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E97C9" w14:textId="77777777" w:rsidR="00F00462" w:rsidRDefault="00F00462" w:rsidP="00F00462">
      <w:pPr>
        <w:jc w:val="center"/>
      </w:pPr>
      <w:bookmarkStart w:id="0" w:name="_Hlk86999845"/>
      <w:bookmarkStart w:id="1" w:name="_GoBack"/>
      <w:bookmarkEnd w:id="0"/>
      <w:bookmarkEnd w:id="1"/>
      <w:r w:rsidRPr="00C3396A">
        <w:rPr>
          <w:noProof/>
          <w:lang w:eastAsia="cs-CZ"/>
        </w:rPr>
        <w:drawing>
          <wp:anchor distT="0" distB="0" distL="114300" distR="114300" simplePos="0" relativeHeight="251659264" behindDoc="0" locked="0" layoutInCell="1" allowOverlap="1" wp14:anchorId="1D27AD4E" wp14:editId="16303B64">
            <wp:simplePos x="0" y="0"/>
            <wp:positionH relativeFrom="margin">
              <wp:posOffset>2522855</wp:posOffset>
            </wp:positionH>
            <wp:positionV relativeFrom="paragraph">
              <wp:posOffset>559</wp:posOffset>
            </wp:positionV>
            <wp:extent cx="713740" cy="504190"/>
            <wp:effectExtent l="0" t="0" r="0" b="0"/>
            <wp:wrapTopAndBottom/>
            <wp:docPr id="6" name="obrázek 4"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3740" cy="504190"/>
                    </a:xfrm>
                    <a:prstGeom prst="rect">
                      <a:avLst/>
                    </a:prstGeom>
                    <a:noFill/>
                  </pic:spPr>
                </pic:pic>
              </a:graphicData>
            </a:graphic>
            <wp14:sizeRelH relativeFrom="page">
              <wp14:pctWidth>0</wp14:pctWidth>
            </wp14:sizeRelH>
            <wp14:sizeRelV relativeFrom="page">
              <wp14:pctHeight>0</wp14:pctHeight>
            </wp14:sizeRelV>
          </wp:anchor>
        </w:drawing>
      </w:r>
    </w:p>
    <w:p w14:paraId="1781E060" w14:textId="77777777" w:rsidR="00F00462" w:rsidRDefault="00F00462" w:rsidP="00F00462">
      <w:pPr>
        <w:jc w:val="center"/>
      </w:pPr>
    </w:p>
    <w:p w14:paraId="6C897B25" w14:textId="77777777" w:rsidR="00F00462" w:rsidRPr="00C3396A" w:rsidRDefault="00F00462" w:rsidP="00F00462">
      <w:pPr>
        <w:jc w:val="center"/>
      </w:pPr>
    </w:p>
    <w:p w14:paraId="71462416" w14:textId="77777777" w:rsidR="00F00462" w:rsidRPr="00C3396A" w:rsidRDefault="00F00462" w:rsidP="00F00462">
      <w:pPr>
        <w:jc w:val="center"/>
        <w:outlineLvl w:val="0"/>
        <w:rPr>
          <w:b/>
          <w:sz w:val="28"/>
          <w:szCs w:val="28"/>
        </w:rPr>
      </w:pPr>
      <w:bookmarkStart w:id="2" w:name="_Hlk94538260"/>
      <w:r w:rsidRPr="00C3396A">
        <w:rPr>
          <w:b/>
          <w:sz w:val="28"/>
          <w:szCs w:val="28"/>
        </w:rPr>
        <w:t>Kontrolní závěr z kontrolní akce</w:t>
      </w:r>
    </w:p>
    <w:p w14:paraId="2AE364B1" w14:textId="77777777" w:rsidR="00F00462" w:rsidRPr="008F74E8" w:rsidRDefault="00F00462" w:rsidP="00F00462">
      <w:pPr>
        <w:jc w:val="center"/>
      </w:pPr>
    </w:p>
    <w:p w14:paraId="709AA826" w14:textId="7214EC2A" w:rsidR="00F00462" w:rsidRDefault="00794A0D" w:rsidP="00F00462">
      <w:pPr>
        <w:jc w:val="center"/>
        <w:rPr>
          <w:b/>
          <w:sz w:val="28"/>
          <w:szCs w:val="28"/>
        </w:rPr>
      </w:pPr>
      <w:r>
        <w:rPr>
          <w:b/>
          <w:sz w:val="28"/>
          <w:szCs w:val="28"/>
        </w:rPr>
        <w:t>2</w:t>
      </w:r>
      <w:r w:rsidR="00F84677">
        <w:rPr>
          <w:b/>
          <w:sz w:val="28"/>
          <w:szCs w:val="28"/>
        </w:rPr>
        <w:t>1</w:t>
      </w:r>
      <w:r w:rsidR="00F00462" w:rsidRPr="00C3396A">
        <w:rPr>
          <w:b/>
          <w:sz w:val="28"/>
          <w:szCs w:val="28"/>
        </w:rPr>
        <w:t>/</w:t>
      </w:r>
      <w:r w:rsidR="00F84677">
        <w:rPr>
          <w:b/>
          <w:sz w:val="28"/>
          <w:szCs w:val="28"/>
        </w:rPr>
        <w:t>34</w:t>
      </w:r>
    </w:p>
    <w:p w14:paraId="7831AF70" w14:textId="77777777" w:rsidR="00F00462" w:rsidRDefault="00F00462" w:rsidP="00F00462">
      <w:pPr>
        <w:jc w:val="center"/>
      </w:pPr>
    </w:p>
    <w:p w14:paraId="252462C9" w14:textId="6F73B93A" w:rsidR="00061CDF" w:rsidRPr="00061CDF" w:rsidRDefault="00FB05D1" w:rsidP="00061CDF">
      <w:pPr>
        <w:jc w:val="center"/>
        <w:rPr>
          <w:b/>
          <w:sz w:val="28"/>
          <w:szCs w:val="28"/>
        </w:rPr>
      </w:pPr>
      <w:r>
        <w:rPr>
          <w:b/>
          <w:sz w:val="28"/>
          <w:szCs w:val="28"/>
        </w:rPr>
        <w:t xml:space="preserve">Peněžní prostředky státu </w:t>
      </w:r>
      <w:r w:rsidR="00F84677">
        <w:rPr>
          <w:b/>
          <w:sz w:val="28"/>
          <w:szCs w:val="28"/>
        </w:rPr>
        <w:t>z daně silniční a správa této daně</w:t>
      </w:r>
    </w:p>
    <w:p w14:paraId="7BA4F4B3" w14:textId="77777777" w:rsidR="005354BE" w:rsidRDefault="005354BE" w:rsidP="00F00462">
      <w:pPr>
        <w:pStyle w:val="Text"/>
        <w:spacing w:after="120" w:line="264" w:lineRule="auto"/>
      </w:pPr>
    </w:p>
    <w:p w14:paraId="024C63C1" w14:textId="3EB9EA37" w:rsidR="00F00462" w:rsidRPr="004E1125" w:rsidRDefault="00F00462" w:rsidP="00F5130C">
      <w:pPr>
        <w:pStyle w:val="Text"/>
        <w:spacing w:before="0" w:after="120"/>
      </w:pPr>
      <w:r w:rsidRPr="003F7FA0">
        <w:t xml:space="preserve">Kontrolní </w:t>
      </w:r>
      <w:r w:rsidRPr="004E1125">
        <w:t xml:space="preserve">akce byla zařazena do plánu kontrolní činnosti Nejvyššího kontrolního úřadu </w:t>
      </w:r>
      <w:r w:rsidR="006076A9" w:rsidRPr="004E1125">
        <w:br/>
      </w:r>
      <w:r w:rsidRPr="004E1125">
        <w:t>(dále</w:t>
      </w:r>
      <w:r w:rsidR="006076A9" w:rsidRPr="004E1125">
        <w:t xml:space="preserve"> </w:t>
      </w:r>
      <w:r w:rsidRPr="004E1125">
        <w:t>také</w:t>
      </w:r>
      <w:r w:rsidR="00794A0D" w:rsidRPr="004E1125">
        <w:t xml:space="preserve"> „NKÚ“) na rok 202</w:t>
      </w:r>
      <w:r w:rsidR="00F84677" w:rsidRPr="004E1125">
        <w:t>1</w:t>
      </w:r>
      <w:r w:rsidRPr="004E1125">
        <w:t xml:space="preserve"> pod číslem </w:t>
      </w:r>
      <w:r w:rsidR="00F84677" w:rsidRPr="004E1125">
        <w:t>21/34</w:t>
      </w:r>
      <w:r w:rsidRPr="004E1125">
        <w:t xml:space="preserve">. Kontrolní akci řídil a kontrolní závěr vypracoval člen NKÚ </w:t>
      </w:r>
      <w:r w:rsidR="00061CDF" w:rsidRPr="004E1125">
        <w:t>Ing. J</w:t>
      </w:r>
      <w:r w:rsidR="00F84677" w:rsidRPr="004E1125">
        <w:t>osef Kubíček</w:t>
      </w:r>
      <w:r w:rsidRPr="004E1125">
        <w:t>.</w:t>
      </w:r>
      <w:r w:rsidR="00920793" w:rsidRPr="004E1125">
        <w:t xml:space="preserve"> </w:t>
      </w:r>
    </w:p>
    <w:p w14:paraId="11436061" w14:textId="067FBE1A" w:rsidR="00794A0D" w:rsidRPr="004E1125" w:rsidRDefault="00F00462" w:rsidP="00F5130C">
      <w:pPr>
        <w:pStyle w:val="Text"/>
        <w:spacing w:before="0" w:after="120"/>
      </w:pPr>
      <w:r w:rsidRPr="004E1125">
        <w:t>Cílem kontroly bylo prověřit</w:t>
      </w:r>
      <w:r w:rsidR="00794A0D" w:rsidRPr="004E1125">
        <w:t>,</w:t>
      </w:r>
      <w:r w:rsidR="00061CDF" w:rsidRPr="004E1125">
        <w:t xml:space="preserve"> </w:t>
      </w:r>
      <w:r w:rsidR="00794A0D" w:rsidRPr="004E1125">
        <w:t xml:space="preserve">zda </w:t>
      </w:r>
      <w:r w:rsidR="00F84677" w:rsidRPr="004E1125">
        <w:t>je systém silniční daně nastaven tak, aby umožňoval naplnění cílů daně</w:t>
      </w:r>
      <w:r w:rsidR="00B931F9">
        <w:t>,</w:t>
      </w:r>
      <w:r w:rsidR="00F84677" w:rsidRPr="004E1125">
        <w:t xml:space="preserve"> a zda orgány finanční správy postupovaly při správě daně silniční v souladu s právními předpisy.</w:t>
      </w:r>
    </w:p>
    <w:p w14:paraId="34690D80" w14:textId="513EE451" w:rsidR="00F00462" w:rsidRPr="004E1125" w:rsidRDefault="00F00462" w:rsidP="00F5130C">
      <w:pPr>
        <w:pStyle w:val="Text"/>
        <w:spacing w:before="0" w:after="120"/>
      </w:pPr>
      <w:r w:rsidRPr="004E1125">
        <w:t xml:space="preserve">Kontrola byla prováděna u kontrolovaných osob v období od </w:t>
      </w:r>
      <w:r w:rsidR="00F84677" w:rsidRPr="004E1125">
        <w:rPr>
          <w:rFonts w:eastAsia="Times New Roman" w:cs="Calibri"/>
        </w:rPr>
        <w:t xml:space="preserve">ledna </w:t>
      </w:r>
      <w:r w:rsidR="00794A0D" w:rsidRPr="004E1125">
        <w:rPr>
          <w:rFonts w:eastAsia="Times New Roman" w:cs="Calibri"/>
        </w:rPr>
        <w:t>202</w:t>
      </w:r>
      <w:r w:rsidR="00F84677" w:rsidRPr="004E1125">
        <w:rPr>
          <w:rFonts w:eastAsia="Times New Roman" w:cs="Calibri"/>
        </w:rPr>
        <w:t>1</w:t>
      </w:r>
      <w:r w:rsidR="00061CDF" w:rsidRPr="004E1125">
        <w:rPr>
          <w:rFonts w:eastAsia="Times New Roman" w:cs="Calibri"/>
        </w:rPr>
        <w:t xml:space="preserve"> do </w:t>
      </w:r>
      <w:r w:rsidR="00F84677" w:rsidRPr="004E1125">
        <w:rPr>
          <w:rFonts w:eastAsia="Times New Roman" w:cs="Calibri"/>
        </w:rPr>
        <w:t>září</w:t>
      </w:r>
      <w:r w:rsidR="00794A0D" w:rsidRPr="004E1125">
        <w:rPr>
          <w:rFonts w:eastAsia="Times New Roman" w:cs="Calibri"/>
        </w:rPr>
        <w:t xml:space="preserve"> 2021</w:t>
      </w:r>
      <w:r w:rsidRPr="004E1125">
        <w:t>.</w:t>
      </w:r>
    </w:p>
    <w:p w14:paraId="3D37B3ED" w14:textId="18C119C5" w:rsidR="00F00462" w:rsidRPr="004E1125" w:rsidRDefault="00F00462" w:rsidP="00F5130C">
      <w:pPr>
        <w:pStyle w:val="Text"/>
        <w:spacing w:before="0" w:after="120"/>
      </w:pPr>
      <w:r w:rsidRPr="004E1125">
        <w:t>Kontrolovaným obdobím byly roky 201</w:t>
      </w:r>
      <w:r w:rsidR="00794A0D" w:rsidRPr="004E1125">
        <w:t>7</w:t>
      </w:r>
      <w:r w:rsidRPr="004E1125">
        <w:t xml:space="preserve"> až 20</w:t>
      </w:r>
      <w:r w:rsidR="00F84677" w:rsidRPr="004E1125">
        <w:t>20</w:t>
      </w:r>
      <w:r w:rsidRPr="004E1125">
        <w:t>, v případě věcných souvislostí i období předcházející a následující.</w:t>
      </w:r>
    </w:p>
    <w:p w14:paraId="3450CBF5" w14:textId="77777777" w:rsidR="00C42CE5" w:rsidRPr="004E1125" w:rsidRDefault="00C42CE5" w:rsidP="00F5130C"/>
    <w:p w14:paraId="674F55FA" w14:textId="0ED8F58D" w:rsidR="005B06AF" w:rsidRPr="004E1125" w:rsidRDefault="00F00462" w:rsidP="007C567F">
      <w:pPr>
        <w:pStyle w:val="Text"/>
        <w:spacing w:before="0"/>
      </w:pPr>
      <w:r w:rsidRPr="004E1125">
        <w:rPr>
          <w:b/>
        </w:rPr>
        <w:t>Kontrolované osoby:</w:t>
      </w:r>
      <w:r w:rsidRPr="004E1125">
        <w:cr/>
      </w:r>
      <w:r w:rsidR="00651F80" w:rsidRPr="004E1125">
        <w:t xml:space="preserve">Ministerstvo </w:t>
      </w:r>
      <w:r w:rsidR="0055381F" w:rsidRPr="004E1125">
        <w:t xml:space="preserve">financí </w:t>
      </w:r>
      <w:r w:rsidR="00651F80" w:rsidRPr="004E1125">
        <w:t>(dále také „M</w:t>
      </w:r>
      <w:r w:rsidR="0055381F" w:rsidRPr="004E1125">
        <w:t>F</w:t>
      </w:r>
      <w:r w:rsidR="00651F80" w:rsidRPr="004E1125">
        <w:t>“)</w:t>
      </w:r>
      <w:r w:rsidR="00EE70A5" w:rsidRPr="004E1125">
        <w:t>;</w:t>
      </w:r>
      <w:r w:rsidR="0055381F" w:rsidRPr="004E1125">
        <w:t xml:space="preserve"> </w:t>
      </w:r>
    </w:p>
    <w:p w14:paraId="13349A12" w14:textId="77777777" w:rsidR="005B06AF" w:rsidRPr="004E1125" w:rsidRDefault="0055381F" w:rsidP="007C567F">
      <w:pPr>
        <w:pStyle w:val="Text"/>
        <w:spacing w:before="0"/>
      </w:pPr>
      <w:r w:rsidRPr="004E1125">
        <w:t xml:space="preserve">Ministerstvo dopravy (dále také „MD“); </w:t>
      </w:r>
    </w:p>
    <w:p w14:paraId="0B82E3B4" w14:textId="4ACF54C0" w:rsidR="005B06AF" w:rsidRPr="004E1125" w:rsidRDefault="0055381F" w:rsidP="007C567F">
      <w:pPr>
        <w:pStyle w:val="Text"/>
        <w:spacing w:before="0"/>
      </w:pPr>
      <w:r w:rsidRPr="004E1125">
        <w:t>Generální finanční ředitelství (dále také „GFŘ“)</w:t>
      </w:r>
      <w:r w:rsidR="000F5A02" w:rsidRPr="004E1125">
        <w:t>;</w:t>
      </w:r>
      <w:r w:rsidRPr="004E1125">
        <w:t xml:space="preserve"> </w:t>
      </w:r>
    </w:p>
    <w:p w14:paraId="63D134F3" w14:textId="53D825B2" w:rsidR="005B06AF" w:rsidRPr="004E1125" w:rsidRDefault="0055381F" w:rsidP="007C567F">
      <w:pPr>
        <w:pStyle w:val="Text"/>
        <w:spacing w:before="0"/>
      </w:pPr>
      <w:r w:rsidRPr="004E1125">
        <w:t>Finanční úřad pro Králov</w:t>
      </w:r>
      <w:r w:rsidR="00B35DBC" w:rsidRPr="004E1125">
        <w:t>é</w:t>
      </w:r>
      <w:r w:rsidRPr="004E1125">
        <w:t>hradecký kraj (dále také „</w:t>
      </w:r>
      <w:r w:rsidR="00926545" w:rsidRPr="004E1125">
        <w:t>FÚ KHK“)</w:t>
      </w:r>
      <w:r w:rsidR="000F5A02" w:rsidRPr="004E1125">
        <w:t>;</w:t>
      </w:r>
      <w:r w:rsidR="00926545" w:rsidRPr="004E1125">
        <w:t xml:space="preserve"> </w:t>
      </w:r>
    </w:p>
    <w:p w14:paraId="2AAB5C74" w14:textId="37661F72" w:rsidR="00794A0D" w:rsidRPr="003F7FA0" w:rsidRDefault="00926545" w:rsidP="007C567F">
      <w:pPr>
        <w:pStyle w:val="Text"/>
        <w:spacing w:before="0"/>
        <w:rPr>
          <w:color w:val="000000"/>
        </w:rPr>
      </w:pPr>
      <w:r w:rsidRPr="004E1125">
        <w:t>Finanční úřad pro Jihomoravský kraj (dále také „FÚ JMK“)</w:t>
      </w:r>
      <w:r w:rsidR="00794A0D" w:rsidRPr="004E1125">
        <w:t>.</w:t>
      </w:r>
    </w:p>
    <w:bookmarkEnd w:id="2"/>
    <w:p w14:paraId="37A8E601" w14:textId="77777777" w:rsidR="005354BE" w:rsidRPr="00D8596E" w:rsidRDefault="005354BE" w:rsidP="00651F80"/>
    <w:p w14:paraId="658C90AC" w14:textId="29D2C6B7" w:rsidR="00F00462" w:rsidRPr="00643BFC" w:rsidRDefault="00F00462" w:rsidP="00F00462">
      <w:r w:rsidRPr="00B81E29">
        <w:rPr>
          <w:b/>
          <w:i/>
          <w:spacing w:val="40"/>
        </w:rPr>
        <w:t>Kolegium</w:t>
      </w:r>
      <w:r w:rsidRPr="00B81E29">
        <w:rPr>
          <w:b/>
          <w:i/>
        </w:rPr>
        <w:t xml:space="preserve">   </w:t>
      </w:r>
      <w:r w:rsidRPr="00B81E29">
        <w:rPr>
          <w:b/>
          <w:i/>
          <w:spacing w:val="40"/>
        </w:rPr>
        <w:t>NKÚ</w:t>
      </w:r>
      <w:r w:rsidRPr="00B81E29">
        <w:rPr>
          <w:b/>
          <w:i/>
        </w:rPr>
        <w:t xml:space="preserve">   </w:t>
      </w:r>
      <w:r w:rsidRPr="00B81E29">
        <w:t xml:space="preserve">na </w:t>
      </w:r>
      <w:r w:rsidRPr="00643BFC">
        <w:t xml:space="preserve">svém </w:t>
      </w:r>
      <w:r w:rsidR="00D67DB2">
        <w:t>II</w:t>
      </w:r>
      <w:r w:rsidR="006D5C0D" w:rsidRPr="00643BFC">
        <w:t>.</w:t>
      </w:r>
      <w:r w:rsidR="00025363" w:rsidRPr="00643BFC">
        <w:t xml:space="preserve"> </w:t>
      </w:r>
      <w:r w:rsidRPr="00643BFC">
        <w:t xml:space="preserve">jednání, které se konalo dne </w:t>
      </w:r>
      <w:r w:rsidR="00D67DB2">
        <w:t>31. ledna</w:t>
      </w:r>
      <w:r w:rsidR="00020ED4" w:rsidRPr="00643BFC">
        <w:t xml:space="preserve"> </w:t>
      </w:r>
      <w:r w:rsidR="00794A0D" w:rsidRPr="00643BFC">
        <w:t>202</w:t>
      </w:r>
      <w:r w:rsidR="006C4AA7" w:rsidRPr="00643BFC">
        <w:t>2</w:t>
      </w:r>
      <w:r w:rsidRPr="00643BFC">
        <w:t>,</w:t>
      </w:r>
    </w:p>
    <w:p w14:paraId="5C970E4B" w14:textId="31769A15" w:rsidR="00F00462" w:rsidRPr="00643BFC" w:rsidRDefault="00F00462" w:rsidP="00F00462">
      <w:r w:rsidRPr="00643BFC">
        <w:rPr>
          <w:b/>
          <w:i/>
          <w:spacing w:val="40"/>
        </w:rPr>
        <w:t>schválilo</w:t>
      </w:r>
      <w:r w:rsidRPr="00643BFC">
        <w:rPr>
          <w:b/>
          <w:i/>
        </w:rPr>
        <w:t xml:space="preserve">   </w:t>
      </w:r>
      <w:r w:rsidRPr="00643BFC">
        <w:t>usnesením č.</w:t>
      </w:r>
      <w:r w:rsidR="0073503F" w:rsidRPr="00643BFC">
        <w:t xml:space="preserve"> </w:t>
      </w:r>
      <w:r w:rsidR="00F26C06">
        <w:t>11</w:t>
      </w:r>
      <w:r w:rsidR="0073503F" w:rsidRPr="00643BFC">
        <w:t>/</w:t>
      </w:r>
      <w:r w:rsidR="00D67DB2">
        <w:t>II</w:t>
      </w:r>
      <w:r w:rsidR="00794A0D" w:rsidRPr="00643BFC">
        <w:t>/202</w:t>
      </w:r>
      <w:r w:rsidR="006C4AA7" w:rsidRPr="00643BFC">
        <w:t>2</w:t>
      </w:r>
    </w:p>
    <w:p w14:paraId="14470C56" w14:textId="77777777" w:rsidR="00011546" w:rsidRDefault="00F00462" w:rsidP="00F00462">
      <w:pPr>
        <w:pStyle w:val="Text"/>
      </w:pPr>
      <w:r w:rsidRPr="00643BFC">
        <w:rPr>
          <w:b/>
          <w:i/>
          <w:spacing w:val="40"/>
        </w:rPr>
        <w:t>kontrolní</w:t>
      </w:r>
      <w:r w:rsidRPr="00643BFC">
        <w:rPr>
          <w:b/>
          <w:i/>
        </w:rPr>
        <w:t xml:space="preserve">   </w:t>
      </w:r>
      <w:r w:rsidRPr="00643BFC">
        <w:rPr>
          <w:b/>
          <w:i/>
          <w:spacing w:val="40"/>
        </w:rPr>
        <w:t>závěr</w:t>
      </w:r>
      <w:r w:rsidRPr="00643BFC">
        <w:t xml:space="preserve">   v tomto znění:</w:t>
      </w:r>
    </w:p>
    <w:p w14:paraId="0B8951FD" w14:textId="79E7E6B2" w:rsidR="00730CC7" w:rsidRDefault="00730CC7">
      <w:pPr>
        <w:spacing w:after="160" w:line="259" w:lineRule="auto"/>
        <w:jc w:val="left"/>
        <w:rPr>
          <w:rFonts w:cstheme="minorHAnsi"/>
          <w:szCs w:val="24"/>
        </w:rPr>
      </w:pPr>
    </w:p>
    <w:p w14:paraId="2A0C3E18" w14:textId="44D503CB" w:rsidR="00F00462" w:rsidRDefault="00F00462" w:rsidP="00215FF1">
      <w:pPr>
        <w:pStyle w:val="Text"/>
        <w:numPr>
          <w:ilvl w:val="0"/>
          <w:numId w:val="15"/>
        </w:numPr>
        <w:spacing w:before="0" w:after="240"/>
      </w:pPr>
      <w:r>
        <w:br w:type="page"/>
      </w:r>
    </w:p>
    <w:p w14:paraId="7A21C68A" w14:textId="77777777" w:rsidR="0049693D" w:rsidRDefault="0049693D" w:rsidP="008E3B7C">
      <w:pPr>
        <w:rPr>
          <w:b/>
          <w:sz w:val="28"/>
          <w:szCs w:val="28"/>
        </w:rPr>
      </w:pPr>
    </w:p>
    <w:p w14:paraId="7A1CD3F2" w14:textId="79C12852" w:rsidR="00C35539" w:rsidRDefault="00C35539" w:rsidP="00FD1B7A">
      <w:pPr>
        <w:spacing w:after="160" w:line="259" w:lineRule="auto"/>
        <w:jc w:val="center"/>
      </w:pPr>
      <w:r w:rsidRPr="00FA1980">
        <w:rPr>
          <w:rFonts w:cstheme="minorHAnsi"/>
          <w:b/>
          <w:sz w:val="28"/>
          <w:szCs w:val="28"/>
        </w:rPr>
        <w:t>Peněžní prostředky z daně silniční a správa této daně</w:t>
      </w:r>
    </w:p>
    <w:p w14:paraId="0C341A43" w14:textId="77777777" w:rsidR="00230C40" w:rsidRPr="00C87E2B" w:rsidRDefault="00230C40" w:rsidP="00230C40">
      <w:pPr>
        <w:jc w:val="center"/>
        <w:rPr>
          <w:szCs w:val="24"/>
        </w:rPr>
      </w:pPr>
    </w:p>
    <w:p w14:paraId="43D97F22" w14:textId="77777777" w:rsidR="00230C40" w:rsidRPr="00C87E2B" w:rsidRDefault="00230C40" w:rsidP="00230C40">
      <w:pPr>
        <w:jc w:val="center"/>
        <w:rPr>
          <w:szCs w:val="24"/>
        </w:rPr>
      </w:pPr>
    </w:p>
    <w:tbl>
      <w:tblPr>
        <w:tblStyle w:val="Mkatabulky1"/>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170" w:type="dxa"/>
          <w:bottom w:w="113" w:type="dxa"/>
          <w:right w:w="170" w:type="dxa"/>
        </w:tblCellMar>
        <w:tblLook w:val="04A0" w:firstRow="1" w:lastRow="0" w:firstColumn="1" w:lastColumn="0" w:noHBand="0" w:noVBand="1"/>
      </w:tblPr>
      <w:tblGrid>
        <w:gridCol w:w="3119"/>
        <w:gridCol w:w="3262"/>
        <w:gridCol w:w="3122"/>
      </w:tblGrid>
      <w:tr w:rsidR="00230C40" w14:paraId="2F16F036" w14:textId="77777777" w:rsidTr="00127828">
        <w:tc>
          <w:tcPr>
            <w:tcW w:w="3119" w:type="dxa"/>
          </w:tcPr>
          <w:p w14:paraId="09EF1831" w14:textId="77777777" w:rsidR="00230C40" w:rsidRDefault="00230C40" w:rsidP="005B68CF">
            <w:pPr>
              <w:spacing w:after="0"/>
              <w:jc w:val="center"/>
              <w:rPr>
                <w:b/>
                <w:bCs/>
                <w:color w:val="000000"/>
                <w:sz w:val="40"/>
                <w:szCs w:val="40"/>
              </w:rPr>
            </w:pPr>
            <w:r>
              <w:rPr>
                <w:b/>
                <w:bCs/>
                <w:color w:val="000000"/>
                <w:sz w:val="40"/>
                <w:szCs w:val="40"/>
              </w:rPr>
              <w:t>8 512 458</w:t>
            </w:r>
          </w:p>
          <w:p w14:paraId="347FC54D" w14:textId="77777777" w:rsidR="00230C40" w:rsidRDefault="00230C40" w:rsidP="005B68CF">
            <w:pPr>
              <w:spacing w:after="0"/>
              <w:jc w:val="center"/>
              <w:rPr>
                <w:b/>
                <w:bCs/>
                <w:color w:val="000000"/>
                <w:sz w:val="40"/>
                <w:szCs w:val="40"/>
              </w:rPr>
            </w:pPr>
            <w:r>
              <w:rPr>
                <w:sz w:val="20"/>
              </w:rPr>
              <w:t xml:space="preserve">Počet registrovaných vozidel </w:t>
            </w:r>
            <w:r>
              <w:rPr>
                <w:sz w:val="20"/>
              </w:rPr>
              <w:br/>
              <w:t>k 31. 12. 2020</w:t>
            </w:r>
          </w:p>
        </w:tc>
        <w:tc>
          <w:tcPr>
            <w:tcW w:w="3262" w:type="dxa"/>
          </w:tcPr>
          <w:p w14:paraId="5F8FC40C" w14:textId="77777777" w:rsidR="00FF5293" w:rsidRPr="00431416" w:rsidRDefault="00FF5293" w:rsidP="00FF5293">
            <w:pPr>
              <w:spacing w:after="0"/>
              <w:jc w:val="center"/>
              <w:rPr>
                <w:b/>
                <w:bCs/>
                <w:color w:val="000000"/>
                <w:sz w:val="40"/>
                <w:szCs w:val="40"/>
              </w:rPr>
            </w:pPr>
            <w:r>
              <w:rPr>
                <w:b/>
                <w:bCs/>
                <w:color w:val="000000"/>
                <w:sz w:val="40"/>
                <w:szCs w:val="40"/>
              </w:rPr>
              <w:t>851 mld.</w:t>
            </w:r>
            <w:r w:rsidRPr="00431416">
              <w:rPr>
                <w:b/>
                <w:bCs/>
                <w:color w:val="000000"/>
                <w:sz w:val="40"/>
                <w:szCs w:val="40"/>
              </w:rPr>
              <w:t xml:space="preserve"> Kč</w:t>
            </w:r>
          </w:p>
          <w:p w14:paraId="17B675AC" w14:textId="1C6331CE" w:rsidR="00230C40" w:rsidRPr="00431416" w:rsidRDefault="00FF5293" w:rsidP="005B68CF">
            <w:pPr>
              <w:jc w:val="center"/>
              <w:rPr>
                <w:sz w:val="20"/>
              </w:rPr>
            </w:pPr>
            <w:r>
              <w:rPr>
                <w:sz w:val="20"/>
                <w:szCs w:val="20"/>
              </w:rPr>
              <w:t>D</w:t>
            </w:r>
            <w:r w:rsidRPr="00E211D6">
              <w:rPr>
                <w:sz w:val="20"/>
                <w:szCs w:val="20"/>
              </w:rPr>
              <w:t xml:space="preserve">aňové příjmy </w:t>
            </w:r>
            <w:r>
              <w:rPr>
                <w:sz w:val="20"/>
                <w:szCs w:val="20"/>
              </w:rPr>
              <w:t>inkasované</w:t>
            </w:r>
            <w:r w:rsidRPr="00E211D6">
              <w:rPr>
                <w:sz w:val="20"/>
                <w:szCs w:val="20"/>
              </w:rPr>
              <w:t xml:space="preserve"> Finanční správou Č</w:t>
            </w:r>
            <w:r>
              <w:rPr>
                <w:sz w:val="20"/>
                <w:szCs w:val="20"/>
              </w:rPr>
              <w:t>eské republiky</w:t>
            </w:r>
            <w:r w:rsidRPr="00E211D6">
              <w:rPr>
                <w:sz w:val="20"/>
                <w:szCs w:val="20"/>
              </w:rPr>
              <w:t xml:space="preserve"> za rok 2020</w:t>
            </w:r>
          </w:p>
        </w:tc>
        <w:tc>
          <w:tcPr>
            <w:tcW w:w="3122" w:type="dxa"/>
          </w:tcPr>
          <w:p w14:paraId="4DCCF976" w14:textId="29098C09" w:rsidR="00230C40" w:rsidRPr="00431416" w:rsidRDefault="00FF5293" w:rsidP="005B68CF">
            <w:pPr>
              <w:spacing w:after="0"/>
              <w:jc w:val="center"/>
              <w:rPr>
                <w:b/>
                <w:bCs/>
                <w:color w:val="000000"/>
                <w:sz w:val="40"/>
                <w:szCs w:val="40"/>
              </w:rPr>
            </w:pPr>
            <w:r>
              <w:rPr>
                <w:b/>
                <w:bCs/>
                <w:color w:val="000000"/>
                <w:sz w:val="40"/>
                <w:szCs w:val="40"/>
              </w:rPr>
              <w:t>13 499 mil</w:t>
            </w:r>
            <w:r w:rsidR="00230C40">
              <w:rPr>
                <w:b/>
                <w:bCs/>
                <w:color w:val="000000"/>
                <w:sz w:val="40"/>
                <w:szCs w:val="40"/>
              </w:rPr>
              <w:t>.</w:t>
            </w:r>
            <w:r w:rsidR="00230C40" w:rsidRPr="00431416">
              <w:rPr>
                <w:b/>
                <w:bCs/>
                <w:color w:val="000000"/>
                <w:sz w:val="40"/>
                <w:szCs w:val="40"/>
              </w:rPr>
              <w:t xml:space="preserve"> Kč</w:t>
            </w:r>
          </w:p>
          <w:p w14:paraId="4B8B03A0" w14:textId="23E8A2F9" w:rsidR="00230C40" w:rsidRPr="00626B40" w:rsidRDefault="00FF5293" w:rsidP="005B68CF">
            <w:pPr>
              <w:spacing w:after="0" w:line="259" w:lineRule="auto"/>
              <w:jc w:val="center"/>
              <w:rPr>
                <w:szCs w:val="24"/>
                <w14:shadow w14:blurRad="50800" w14:dist="50800" w14:dir="5400000" w14:sx="0" w14:sy="0" w14:kx="0" w14:ky="0" w14:algn="ctr">
                  <w14:schemeClr w14:val="bg1"/>
                </w14:shadow>
              </w:rPr>
            </w:pPr>
            <w:r>
              <w:rPr>
                <w:sz w:val="20"/>
                <w:szCs w:val="20"/>
              </w:rPr>
              <w:t>Výdaje</w:t>
            </w:r>
            <w:r w:rsidR="00E211D6" w:rsidRPr="00E211D6">
              <w:rPr>
                <w:sz w:val="20"/>
                <w:szCs w:val="20"/>
              </w:rPr>
              <w:t xml:space="preserve"> Finanční správ</w:t>
            </w:r>
            <w:r>
              <w:rPr>
                <w:sz w:val="20"/>
                <w:szCs w:val="20"/>
              </w:rPr>
              <w:t xml:space="preserve">y </w:t>
            </w:r>
            <w:r w:rsidR="00E211D6" w:rsidRPr="00E211D6">
              <w:rPr>
                <w:sz w:val="20"/>
                <w:szCs w:val="20"/>
              </w:rPr>
              <w:t>Č</w:t>
            </w:r>
            <w:r w:rsidR="00E52B67">
              <w:rPr>
                <w:sz w:val="20"/>
                <w:szCs w:val="20"/>
              </w:rPr>
              <w:t>eské republiky</w:t>
            </w:r>
            <w:r>
              <w:rPr>
                <w:sz w:val="20"/>
                <w:szCs w:val="20"/>
              </w:rPr>
              <w:t xml:space="preserve"> na správu daní</w:t>
            </w:r>
            <w:r w:rsidR="00230C40" w:rsidRPr="00E211D6">
              <w:rPr>
                <w:sz w:val="20"/>
                <w:szCs w:val="20"/>
              </w:rPr>
              <w:t xml:space="preserve"> za rok 2020</w:t>
            </w:r>
          </w:p>
        </w:tc>
      </w:tr>
      <w:tr w:rsidR="00230C40" w:rsidRPr="00182CB9" w14:paraId="5108CEE8" w14:textId="77777777" w:rsidTr="00127828">
        <w:tc>
          <w:tcPr>
            <w:tcW w:w="3119" w:type="dxa"/>
          </w:tcPr>
          <w:p w14:paraId="1E0A0E5A" w14:textId="77777777" w:rsidR="00230C40" w:rsidRDefault="00230C40" w:rsidP="005B68CF">
            <w:pPr>
              <w:spacing w:after="0"/>
              <w:jc w:val="center"/>
              <w:rPr>
                <w:b/>
                <w:bCs/>
                <w:color w:val="000000"/>
                <w:sz w:val="40"/>
                <w:szCs w:val="40"/>
              </w:rPr>
            </w:pPr>
          </w:p>
          <w:p w14:paraId="02D55828" w14:textId="77777777" w:rsidR="00230C40" w:rsidRPr="00DC0A51" w:rsidRDefault="00230C40" w:rsidP="005B68CF">
            <w:pPr>
              <w:spacing w:after="0"/>
              <w:jc w:val="center"/>
              <w:rPr>
                <w:rFonts w:cstheme="minorHAnsi"/>
                <w:b/>
                <w:sz w:val="40"/>
                <w:szCs w:val="40"/>
              </w:rPr>
            </w:pPr>
            <w:r>
              <w:rPr>
                <w:rFonts w:cstheme="minorHAnsi"/>
                <w:b/>
                <w:sz w:val="40"/>
                <w:szCs w:val="40"/>
              </w:rPr>
              <w:t>2 264 126</w:t>
            </w:r>
          </w:p>
          <w:p w14:paraId="4DA3B89E" w14:textId="36986D72" w:rsidR="00230C40" w:rsidRPr="00431416" w:rsidRDefault="00230C40" w:rsidP="005B68CF">
            <w:pPr>
              <w:jc w:val="center"/>
              <w:rPr>
                <w:sz w:val="20"/>
                <w:szCs w:val="20"/>
              </w:rPr>
            </w:pPr>
            <w:r>
              <w:rPr>
                <w:rFonts w:cstheme="minorHAnsi"/>
                <w:sz w:val="20"/>
                <w:szCs w:val="20"/>
              </w:rPr>
              <w:t>Počet záznamů o vozidlech</w:t>
            </w:r>
            <w:r w:rsidR="00EE3041">
              <w:rPr>
                <w:rStyle w:val="Znakapoznpodarou"/>
                <w:rFonts w:cstheme="minorHAnsi"/>
                <w:sz w:val="20"/>
                <w:szCs w:val="20"/>
              </w:rPr>
              <w:footnoteReference w:id="1"/>
            </w:r>
            <w:r>
              <w:rPr>
                <w:rFonts w:cstheme="minorHAnsi"/>
                <w:sz w:val="20"/>
                <w:szCs w:val="20"/>
              </w:rPr>
              <w:t xml:space="preserve"> v </w:t>
            </w:r>
            <w:r w:rsidR="00C66BF6">
              <w:rPr>
                <w:rFonts w:cstheme="minorHAnsi"/>
                <w:sz w:val="20"/>
                <w:szCs w:val="20"/>
              </w:rPr>
              <w:t>r</w:t>
            </w:r>
            <w:r w:rsidR="00DD34B0">
              <w:rPr>
                <w:rFonts w:cstheme="minorHAnsi"/>
                <w:sz w:val="20"/>
                <w:szCs w:val="20"/>
              </w:rPr>
              <w:t xml:space="preserve">egistru silničních vozidel </w:t>
            </w:r>
            <w:r w:rsidR="00EE3041">
              <w:rPr>
                <w:rFonts w:cstheme="minorHAnsi"/>
                <w:sz w:val="20"/>
                <w:szCs w:val="20"/>
              </w:rPr>
              <w:br/>
            </w:r>
            <w:r>
              <w:rPr>
                <w:rFonts w:cstheme="minorHAnsi"/>
                <w:sz w:val="20"/>
                <w:szCs w:val="20"/>
              </w:rPr>
              <w:t>k 10. 6. 2021</w:t>
            </w:r>
          </w:p>
        </w:tc>
        <w:tc>
          <w:tcPr>
            <w:tcW w:w="3262" w:type="dxa"/>
          </w:tcPr>
          <w:p w14:paraId="1CEE672F" w14:textId="77777777" w:rsidR="00230C40" w:rsidRDefault="00230C40" w:rsidP="005B68CF">
            <w:pPr>
              <w:spacing w:after="0"/>
              <w:jc w:val="center"/>
              <w:rPr>
                <w:rFonts w:cstheme="minorHAnsi"/>
                <w:b/>
                <w:sz w:val="40"/>
                <w:szCs w:val="40"/>
              </w:rPr>
            </w:pPr>
          </w:p>
          <w:p w14:paraId="55536776" w14:textId="77777777" w:rsidR="00FF5293" w:rsidRPr="00092B2F" w:rsidRDefault="00FF5293" w:rsidP="00FF5293">
            <w:pPr>
              <w:shd w:val="clear" w:color="auto" w:fill="FFFFFF" w:themeFill="background1"/>
              <w:spacing w:after="0"/>
              <w:jc w:val="center"/>
              <w:rPr>
                <w:rFonts w:cstheme="minorHAnsi"/>
                <w:b/>
                <w:strike/>
                <w:sz w:val="40"/>
                <w:szCs w:val="40"/>
              </w:rPr>
            </w:pPr>
            <w:r>
              <w:rPr>
                <w:rFonts w:cstheme="minorHAnsi"/>
                <w:b/>
                <w:sz w:val="40"/>
                <w:szCs w:val="40"/>
              </w:rPr>
              <w:t>6 mld. Kč</w:t>
            </w:r>
          </w:p>
          <w:p w14:paraId="756AAD79" w14:textId="289027DC" w:rsidR="00230C40" w:rsidRPr="00431416" w:rsidRDefault="00FF5293" w:rsidP="005B68CF">
            <w:pPr>
              <w:ind w:right="-169"/>
              <w:jc w:val="center"/>
              <w:rPr>
                <w:sz w:val="20"/>
              </w:rPr>
            </w:pPr>
            <w:r>
              <w:rPr>
                <w:sz w:val="20"/>
                <w:szCs w:val="20"/>
                <w:lang w:eastAsia="cs-CZ"/>
              </w:rPr>
              <w:t>Inkaso daně silniční za rok 2020</w:t>
            </w:r>
          </w:p>
        </w:tc>
        <w:tc>
          <w:tcPr>
            <w:tcW w:w="3122" w:type="dxa"/>
          </w:tcPr>
          <w:p w14:paraId="188DF1B9" w14:textId="77777777" w:rsidR="00230C40" w:rsidRDefault="00230C40" w:rsidP="005B68CF">
            <w:pPr>
              <w:shd w:val="clear" w:color="auto" w:fill="FFFFFF" w:themeFill="background1"/>
              <w:spacing w:after="0"/>
              <w:jc w:val="center"/>
              <w:rPr>
                <w:rFonts w:cstheme="minorHAnsi"/>
                <w:b/>
                <w:sz w:val="40"/>
                <w:szCs w:val="40"/>
              </w:rPr>
            </w:pPr>
          </w:p>
          <w:p w14:paraId="187F017A" w14:textId="7C870437" w:rsidR="00230C40" w:rsidRPr="00092B2F" w:rsidRDefault="00FF5293" w:rsidP="005B68CF">
            <w:pPr>
              <w:shd w:val="clear" w:color="auto" w:fill="FFFFFF" w:themeFill="background1"/>
              <w:spacing w:after="0"/>
              <w:jc w:val="center"/>
              <w:rPr>
                <w:rFonts w:cstheme="minorHAnsi"/>
                <w:b/>
                <w:strike/>
                <w:sz w:val="40"/>
                <w:szCs w:val="40"/>
              </w:rPr>
            </w:pPr>
            <w:r>
              <w:rPr>
                <w:rFonts w:cstheme="minorHAnsi"/>
                <w:b/>
                <w:sz w:val="40"/>
                <w:szCs w:val="40"/>
              </w:rPr>
              <w:t>460 mil</w:t>
            </w:r>
            <w:r w:rsidR="00D627E4">
              <w:rPr>
                <w:rFonts w:cstheme="minorHAnsi"/>
                <w:b/>
                <w:sz w:val="40"/>
                <w:szCs w:val="40"/>
              </w:rPr>
              <w:t>. Kč</w:t>
            </w:r>
          </w:p>
          <w:p w14:paraId="5B6872CB" w14:textId="5D51AA8B" w:rsidR="00230C40" w:rsidRPr="002D1DF2" w:rsidRDefault="00FF5293" w:rsidP="005B68CF">
            <w:pPr>
              <w:ind w:right="-169"/>
              <w:jc w:val="center"/>
              <w:rPr>
                <w:bCs/>
                <w:color w:val="000000"/>
                <w:sz w:val="20"/>
                <w:szCs w:val="20"/>
              </w:rPr>
            </w:pPr>
            <w:r>
              <w:rPr>
                <w:sz w:val="20"/>
                <w:szCs w:val="20"/>
                <w:lang w:eastAsia="cs-CZ"/>
              </w:rPr>
              <w:t xml:space="preserve">Výdaje Finanční správy České republiky na správu daně silniční </w:t>
            </w:r>
            <w:r w:rsidR="00D92970">
              <w:rPr>
                <w:sz w:val="20"/>
                <w:szCs w:val="20"/>
                <w:lang w:eastAsia="cs-CZ"/>
              </w:rPr>
              <w:br/>
            </w:r>
            <w:r>
              <w:rPr>
                <w:sz w:val="20"/>
                <w:szCs w:val="20"/>
                <w:lang w:eastAsia="cs-CZ"/>
              </w:rPr>
              <w:t>za rok 2020</w:t>
            </w:r>
          </w:p>
        </w:tc>
      </w:tr>
    </w:tbl>
    <w:p w14:paraId="158B7158" w14:textId="7647E9AA" w:rsidR="00344B33" w:rsidRDefault="00344B33" w:rsidP="00230C40">
      <w:pPr>
        <w:spacing w:after="0" w:line="259" w:lineRule="auto"/>
        <w:jc w:val="center"/>
        <w:rPr>
          <w:b/>
          <w:sz w:val="28"/>
          <w:szCs w:val="28"/>
          <w14:shadow w14:blurRad="50800" w14:dist="50800" w14:dir="5400000" w14:sx="0" w14:sy="0" w14:kx="0" w14:ky="0" w14:algn="ctr">
            <w14:schemeClr w14:val="bg1"/>
          </w14:shadow>
        </w:rPr>
      </w:pPr>
    </w:p>
    <w:p w14:paraId="3FDC0902" w14:textId="77525B14" w:rsidR="00B02B5E" w:rsidRDefault="00B02B5E" w:rsidP="00230C40">
      <w:pPr>
        <w:spacing w:after="0" w:line="259" w:lineRule="auto"/>
        <w:jc w:val="center"/>
        <w:rPr>
          <w:b/>
          <w:sz w:val="28"/>
          <w:szCs w:val="28"/>
          <w14:shadow w14:blurRad="50800" w14:dist="50800" w14:dir="5400000" w14:sx="0" w14:sy="0" w14:kx="0" w14:ky="0" w14:algn="ctr">
            <w14:schemeClr w14:val="bg1"/>
          </w14:shadow>
        </w:rPr>
      </w:pPr>
    </w:p>
    <w:p w14:paraId="2D7D07CD" w14:textId="77777777" w:rsidR="00B02B5E" w:rsidRDefault="00B02B5E" w:rsidP="00230C40">
      <w:pPr>
        <w:spacing w:after="0" w:line="259" w:lineRule="auto"/>
        <w:jc w:val="center"/>
        <w:rPr>
          <w:b/>
          <w:sz w:val="28"/>
          <w:szCs w:val="28"/>
          <w14:shadow w14:blurRad="50800" w14:dist="50800" w14:dir="5400000" w14:sx="0" w14:sy="0" w14:kx="0" w14:ky="0" w14:algn="ctr">
            <w14:schemeClr w14:val="bg1"/>
          </w14:shadow>
        </w:rPr>
      </w:pPr>
    </w:p>
    <w:p w14:paraId="384F2DC5" w14:textId="7747B8DA" w:rsidR="00230C40" w:rsidRPr="00501EA0" w:rsidRDefault="00965A52" w:rsidP="00230C40">
      <w:pPr>
        <w:spacing w:after="0" w:line="259" w:lineRule="auto"/>
        <w:jc w:val="center"/>
        <w:rPr>
          <w:b/>
          <w:sz w:val="28"/>
          <w:szCs w:val="28"/>
          <w14:shadow w14:blurRad="50800" w14:dist="50800" w14:dir="5400000" w14:sx="0" w14:sy="0" w14:kx="0" w14:ky="0" w14:algn="ctr">
            <w14:schemeClr w14:val="bg1"/>
          </w14:shadow>
        </w:rPr>
      </w:pPr>
      <w:r>
        <w:rPr>
          <w:b/>
          <w:sz w:val="28"/>
          <w:szCs w:val="28"/>
          <w14:shadow w14:blurRad="50800" w14:dist="50800" w14:dir="5400000" w14:sx="0" w14:sy="0" w14:kx="0" w14:ky="0" w14:algn="ctr">
            <w14:schemeClr w14:val="bg1"/>
          </w14:shadow>
        </w:rPr>
        <w:t>Ukazatel n</w:t>
      </w:r>
      <w:r w:rsidR="00230C40">
        <w:rPr>
          <w:b/>
          <w:sz w:val="28"/>
          <w:szCs w:val="28"/>
          <w14:shadow w14:blurRad="50800" w14:dist="50800" w14:dir="5400000" w14:sx="0" w14:sy="0" w14:kx="0" w14:ky="0" w14:algn="ctr">
            <w14:schemeClr w14:val="bg1"/>
          </w14:shadow>
        </w:rPr>
        <w:t>ákladovost</w:t>
      </w:r>
      <w:r>
        <w:rPr>
          <w:b/>
          <w:sz w:val="28"/>
          <w:szCs w:val="28"/>
          <w14:shadow w14:blurRad="50800" w14:dist="50800" w14:dir="5400000" w14:sx="0" w14:sy="0" w14:kx="0" w14:ky="0" w14:algn="ctr">
            <w14:schemeClr w14:val="bg1"/>
          </w14:shadow>
        </w:rPr>
        <w:t>i</w:t>
      </w:r>
      <w:r w:rsidR="00230C40">
        <w:rPr>
          <w:b/>
          <w:sz w:val="28"/>
          <w:szCs w:val="28"/>
          <w14:shadow w14:blurRad="50800" w14:dist="50800" w14:dir="5400000" w14:sx="0" w14:sy="0" w14:kx="0" w14:ky="0" w14:algn="ctr">
            <w14:schemeClr w14:val="bg1"/>
          </w14:shadow>
        </w:rPr>
        <w:t xml:space="preserve"> daní </w:t>
      </w:r>
      <w:r w:rsidR="00230C40">
        <w:rPr>
          <w:rFonts w:cstheme="minorHAnsi"/>
          <w:b/>
          <w:sz w:val="28"/>
          <w:szCs w:val="28"/>
          <w14:shadow w14:blurRad="50800" w14:dist="50800" w14:dir="5400000" w14:sx="0" w14:sy="0" w14:kx="0" w14:ky="0" w14:algn="ctr">
            <w14:schemeClr w14:val="bg1"/>
          </w14:shadow>
        </w:rPr>
        <w:t>– výdaje</w:t>
      </w:r>
      <w:r w:rsidR="00230C40" w:rsidRPr="00501EA0">
        <w:rPr>
          <w:b/>
          <w:sz w:val="28"/>
          <w:szCs w:val="28"/>
          <w14:shadow w14:blurRad="50800" w14:dist="50800" w14:dir="5400000" w14:sx="0" w14:sy="0" w14:kx="0" w14:ky="0" w14:algn="ctr">
            <w14:schemeClr w14:val="bg1"/>
          </w14:shadow>
        </w:rPr>
        <w:t xml:space="preserve"> na 100 Kč příjmů </w:t>
      </w:r>
    </w:p>
    <w:p w14:paraId="60863A82" w14:textId="5CD1B35D" w:rsidR="00C35539" w:rsidRDefault="00C35539" w:rsidP="001E206F">
      <w:pPr>
        <w:spacing w:after="160" w:line="259" w:lineRule="auto"/>
      </w:pPr>
    </w:p>
    <w:p w14:paraId="59C12DA0" w14:textId="71135217" w:rsidR="00230C40" w:rsidRDefault="00344B33" w:rsidP="006C7DB0">
      <w:pPr>
        <w:spacing w:after="160" w:line="259" w:lineRule="auto"/>
        <w:jc w:val="left"/>
        <w:rPr>
          <w:noProof/>
        </w:rPr>
      </w:pPr>
      <w:r>
        <w:rPr>
          <w:noProof/>
        </w:rPr>
        <w:drawing>
          <wp:inline distT="0" distB="0" distL="0" distR="0" wp14:anchorId="4DDFF8ED" wp14:editId="172C4582">
            <wp:extent cx="4572000" cy="2871787"/>
            <wp:effectExtent l="0" t="0" r="0" b="5080"/>
            <wp:docPr id="4" name="Graf 4">
              <a:extLst xmlns:a="http://schemas.openxmlformats.org/drawingml/2006/main">
                <a:ext uri="{FF2B5EF4-FFF2-40B4-BE49-F238E27FC236}">
                  <a16:creationId xmlns:a16="http://schemas.microsoft.com/office/drawing/2014/main" id="{3000BA41-3F44-43A8-9ABF-4190AEB1EE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C7DB0">
        <w:rPr>
          <w:noProof/>
          <w:szCs w:val="24"/>
        </w:rPr>
        <w:drawing>
          <wp:anchor distT="0" distB="0" distL="114300" distR="114300" simplePos="0" relativeHeight="251692032" behindDoc="0" locked="0" layoutInCell="1" allowOverlap="1" wp14:anchorId="3EA559AD" wp14:editId="2FB87DC0">
            <wp:simplePos x="0" y="0"/>
            <wp:positionH relativeFrom="column">
              <wp:posOffset>4101696</wp:posOffset>
            </wp:positionH>
            <wp:positionV relativeFrom="paragraph">
              <wp:posOffset>306185</wp:posOffset>
            </wp:positionV>
            <wp:extent cx="2179320" cy="1745673"/>
            <wp:effectExtent l="0" t="0" r="68580" b="6985"/>
            <wp:wrapNone/>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612F539E" w14:textId="77777777" w:rsidR="00844080" w:rsidRDefault="00844080" w:rsidP="00FD1B7A">
      <w:pPr>
        <w:keepNext/>
        <w:keepLines/>
        <w:rPr>
          <w:rFonts w:cstheme="minorHAnsi"/>
          <w:sz w:val="20"/>
        </w:rPr>
      </w:pPr>
      <w:r w:rsidRPr="004975CC">
        <w:rPr>
          <w:rFonts w:cstheme="minorHAnsi"/>
          <w:sz w:val="20"/>
        </w:rPr>
        <w:t xml:space="preserve">Zdroj: </w:t>
      </w:r>
      <w:r>
        <w:rPr>
          <w:rFonts w:cstheme="minorHAnsi"/>
          <w:sz w:val="20"/>
        </w:rPr>
        <w:t xml:space="preserve">GFŘ, </w:t>
      </w:r>
      <w:r w:rsidRPr="004975CC">
        <w:rPr>
          <w:rFonts w:cstheme="minorHAnsi"/>
          <w:sz w:val="20"/>
        </w:rPr>
        <w:t>vlastní zpracování NKÚ.</w:t>
      </w:r>
      <w:r>
        <w:rPr>
          <w:rFonts w:cstheme="minorHAnsi"/>
          <w:sz w:val="20"/>
        </w:rPr>
        <w:t xml:space="preserve"> </w:t>
      </w:r>
    </w:p>
    <w:p w14:paraId="18C7158D" w14:textId="77777777" w:rsidR="00031093" w:rsidRDefault="00031093">
      <w:pPr>
        <w:spacing w:after="160" w:line="259" w:lineRule="auto"/>
        <w:jc w:val="left"/>
      </w:pPr>
      <w:r>
        <w:br w:type="page"/>
      </w:r>
    </w:p>
    <w:p w14:paraId="5BCDEA18" w14:textId="77777777" w:rsidR="00A354ED" w:rsidRDefault="00A354ED" w:rsidP="00A354ED">
      <w:pPr>
        <w:pStyle w:val="Nadpis1"/>
        <w:jc w:val="center"/>
      </w:pPr>
      <w:r w:rsidRPr="008124D7">
        <w:t>I.</w:t>
      </w:r>
      <w:r>
        <w:t xml:space="preserve"> </w:t>
      </w:r>
      <w:r w:rsidRPr="008124D7">
        <w:t>Shrnutí</w:t>
      </w:r>
      <w:r w:rsidRPr="003D1C56">
        <w:t xml:space="preserve"> a vyhodnocení</w:t>
      </w:r>
    </w:p>
    <w:p w14:paraId="44D712F6" w14:textId="10AB8170" w:rsidR="0053340F" w:rsidRDefault="0053340F" w:rsidP="0053340F">
      <w:pPr>
        <w:pStyle w:val="Odstavecseseznamem"/>
        <w:spacing w:before="120"/>
        <w:ind w:left="0"/>
      </w:pPr>
      <w:r w:rsidRPr="007C2CC9">
        <w:t>NKÚ provedl kontrolu peněžních prostředků z daně silniční</w:t>
      </w:r>
      <w:r w:rsidR="005A1B2A">
        <w:t xml:space="preserve"> </w:t>
      </w:r>
      <w:r w:rsidR="005A1B2A" w:rsidRPr="004E1125">
        <w:t>(dále také „DSL“)</w:t>
      </w:r>
      <w:r w:rsidRPr="007C2CC9">
        <w:t xml:space="preserve"> a správy této daně. NKÚ kontrolou prověřoval nastavení systému daně silniční ve vztahu k naplnění cílů daně</w:t>
      </w:r>
      <w:r>
        <w:t xml:space="preserve"> a dále</w:t>
      </w:r>
      <w:r w:rsidR="00500AEC">
        <w:t xml:space="preserve"> ověřoval,</w:t>
      </w:r>
      <w:r>
        <w:t xml:space="preserve"> </w:t>
      </w:r>
      <w:r w:rsidRPr="007C2CC9">
        <w:t>zda postup orgánů finanční správy při správě daně silniční odpovídal právním předpisům.</w:t>
      </w:r>
    </w:p>
    <w:p w14:paraId="09FF3D50" w14:textId="77777777" w:rsidR="0053340F" w:rsidRDefault="0053340F" w:rsidP="00F849F9">
      <w:pPr>
        <w:pStyle w:val="Odstavecseseznamem"/>
        <w:spacing w:before="120"/>
        <w:ind w:left="0"/>
        <w:rPr>
          <w:rFonts w:cstheme="minorHAnsi"/>
        </w:rPr>
      </w:pPr>
    </w:p>
    <w:p w14:paraId="6BA05E2C" w14:textId="596C2A6B" w:rsidR="0053340F" w:rsidRDefault="0053340F" w:rsidP="00E5199B">
      <w:pPr>
        <w:pStyle w:val="Odstavecseseznamem"/>
        <w:spacing w:before="120"/>
        <w:ind w:left="0"/>
        <w:rPr>
          <w:rFonts w:cstheme="minorHAnsi"/>
        </w:rPr>
      </w:pPr>
      <w:r>
        <w:t xml:space="preserve">Daň silniční je přímou majetkovou daní </w:t>
      </w:r>
      <w:r w:rsidR="00500AEC">
        <w:t>a</w:t>
      </w:r>
      <w:r>
        <w:t xml:space="preserve"> je upravena zákonem České národní rady </w:t>
      </w:r>
      <w:r>
        <w:br/>
        <w:t xml:space="preserve">č. 16/1993 Sb., o dani silniční (dále také „ZDS“). </w:t>
      </w:r>
      <w:r w:rsidRPr="003F7FA0">
        <w:rPr>
          <w:rFonts w:cstheme="minorHAnsi"/>
        </w:rPr>
        <w:t xml:space="preserve">Z fiskálního hlediska </w:t>
      </w:r>
      <w:r>
        <w:rPr>
          <w:rFonts w:cstheme="minorHAnsi"/>
        </w:rPr>
        <w:t>bylo</w:t>
      </w:r>
      <w:r w:rsidRPr="003F7FA0">
        <w:rPr>
          <w:rFonts w:cstheme="minorHAnsi"/>
        </w:rPr>
        <w:t xml:space="preserve"> cílem </w:t>
      </w:r>
      <w:r>
        <w:rPr>
          <w:rFonts w:cstheme="minorHAnsi"/>
        </w:rPr>
        <w:t xml:space="preserve">daně silniční zajistit její výnos při </w:t>
      </w:r>
      <w:r w:rsidRPr="003F7FA0">
        <w:rPr>
          <w:rFonts w:cstheme="minorHAnsi"/>
        </w:rPr>
        <w:t>stávajícím systémovém a legislativním nastavení zdaňování vozidel.</w:t>
      </w:r>
      <w:r w:rsidRPr="002C3B49">
        <w:rPr>
          <w:lang w:eastAsia="cs-CZ"/>
        </w:rPr>
        <w:t xml:space="preserve"> </w:t>
      </w:r>
      <w:r>
        <w:rPr>
          <w:lang w:eastAsia="cs-CZ"/>
        </w:rPr>
        <w:t>C</w:t>
      </w:r>
      <w:r w:rsidRPr="007C2CC9">
        <w:rPr>
          <w:lang w:eastAsia="cs-CZ"/>
        </w:rPr>
        <w:t xml:space="preserve">elostátní hrubý výnos z daně silniční </w:t>
      </w:r>
      <w:r>
        <w:rPr>
          <w:lang w:eastAsia="cs-CZ"/>
        </w:rPr>
        <w:t xml:space="preserve">je příjmem </w:t>
      </w:r>
      <w:r w:rsidRPr="007C2CC9">
        <w:rPr>
          <w:lang w:eastAsia="cs-CZ"/>
        </w:rPr>
        <w:t>Státního fondu dopravní infrastruktury</w:t>
      </w:r>
      <w:r>
        <w:rPr>
          <w:rStyle w:val="Znakapoznpodarou"/>
          <w:lang w:eastAsia="cs-CZ"/>
        </w:rPr>
        <w:footnoteReference w:id="2"/>
      </w:r>
      <w:r w:rsidRPr="007C2CC9">
        <w:rPr>
          <w:lang w:eastAsia="cs-CZ"/>
        </w:rPr>
        <w:t>.</w:t>
      </w:r>
      <w:r>
        <w:rPr>
          <w:lang w:eastAsia="cs-CZ"/>
        </w:rPr>
        <w:t xml:space="preserve"> </w:t>
      </w:r>
      <w:r w:rsidR="00A77D69">
        <w:rPr>
          <w:lang w:eastAsia="cs-CZ"/>
        </w:rPr>
        <w:br/>
      </w:r>
      <w:r>
        <w:rPr>
          <w:rFonts w:cstheme="minorHAnsi"/>
        </w:rPr>
        <w:t xml:space="preserve">Pro podporu plnění environmentálních cílů </w:t>
      </w:r>
      <w:r w:rsidRPr="003F7FA0">
        <w:rPr>
          <w:rFonts w:cstheme="minorHAnsi"/>
        </w:rPr>
        <w:t xml:space="preserve">byly </w:t>
      </w:r>
      <w:r>
        <w:rPr>
          <w:rFonts w:cstheme="minorHAnsi"/>
        </w:rPr>
        <w:t>do ZDS</w:t>
      </w:r>
      <w:r w:rsidRPr="003F7FA0">
        <w:rPr>
          <w:rFonts w:cstheme="minorHAnsi"/>
        </w:rPr>
        <w:t xml:space="preserve"> </w:t>
      </w:r>
      <w:r>
        <w:rPr>
          <w:rFonts w:cstheme="minorHAnsi"/>
        </w:rPr>
        <w:t>postupně</w:t>
      </w:r>
      <w:r w:rsidRPr="003F7FA0">
        <w:rPr>
          <w:rFonts w:cstheme="minorHAnsi"/>
        </w:rPr>
        <w:t xml:space="preserve"> zavedeny prvky, které m</w:t>
      </w:r>
      <w:r>
        <w:rPr>
          <w:rFonts w:cstheme="minorHAnsi"/>
        </w:rPr>
        <w:t>ěly</w:t>
      </w:r>
      <w:r w:rsidRPr="003F7FA0">
        <w:rPr>
          <w:rFonts w:cstheme="minorHAnsi"/>
        </w:rPr>
        <w:t xml:space="preserve"> motivovat k nákupu nových nebo ekologicky </w:t>
      </w:r>
      <w:r w:rsidR="00500AEC">
        <w:rPr>
          <w:rFonts w:cstheme="minorHAnsi"/>
        </w:rPr>
        <w:t>šetrnějších</w:t>
      </w:r>
      <w:r w:rsidRPr="003F7FA0">
        <w:rPr>
          <w:rFonts w:cstheme="minorHAnsi"/>
        </w:rPr>
        <w:t xml:space="preserve"> vozidel. </w:t>
      </w:r>
      <w:r>
        <w:rPr>
          <w:rFonts w:cstheme="minorHAnsi"/>
        </w:rPr>
        <w:t>ZDS</w:t>
      </w:r>
      <w:r w:rsidRPr="003F7FA0">
        <w:rPr>
          <w:rFonts w:cstheme="minorHAnsi"/>
        </w:rPr>
        <w:t xml:space="preserve"> obsahuje řadu </w:t>
      </w:r>
      <w:r>
        <w:rPr>
          <w:rFonts w:cstheme="minorHAnsi"/>
        </w:rPr>
        <w:t>úlev</w:t>
      </w:r>
      <w:r w:rsidRPr="003F7FA0">
        <w:rPr>
          <w:rFonts w:cstheme="minorHAnsi"/>
        </w:rPr>
        <w:t xml:space="preserve"> v podobě vynětí z předmětu daně, osvobození</w:t>
      </w:r>
      <w:r>
        <w:rPr>
          <w:rFonts w:cstheme="minorHAnsi"/>
        </w:rPr>
        <w:t xml:space="preserve"> od daně</w:t>
      </w:r>
      <w:r w:rsidRPr="003F7FA0">
        <w:rPr>
          <w:rFonts w:cstheme="minorHAnsi"/>
        </w:rPr>
        <w:t xml:space="preserve">, </w:t>
      </w:r>
      <w:r>
        <w:rPr>
          <w:rFonts w:cstheme="minorHAnsi"/>
        </w:rPr>
        <w:t xml:space="preserve">zvýšení či </w:t>
      </w:r>
      <w:r w:rsidRPr="003F7FA0">
        <w:rPr>
          <w:rFonts w:cstheme="minorHAnsi"/>
        </w:rPr>
        <w:t>snížen</w:t>
      </w:r>
      <w:r>
        <w:rPr>
          <w:rFonts w:cstheme="minorHAnsi"/>
        </w:rPr>
        <w:t>í</w:t>
      </w:r>
      <w:r w:rsidRPr="003F7FA0">
        <w:rPr>
          <w:rFonts w:cstheme="minorHAnsi"/>
        </w:rPr>
        <w:t xml:space="preserve"> sazby </w:t>
      </w:r>
      <w:r>
        <w:rPr>
          <w:rFonts w:cstheme="minorHAnsi"/>
        </w:rPr>
        <w:t xml:space="preserve">daně </w:t>
      </w:r>
      <w:r w:rsidRPr="003F7FA0">
        <w:rPr>
          <w:rFonts w:cstheme="minorHAnsi"/>
        </w:rPr>
        <w:t xml:space="preserve">nebo slevy na dani. </w:t>
      </w:r>
    </w:p>
    <w:p w14:paraId="2E7213D6" w14:textId="77777777" w:rsidR="00E5199B" w:rsidRDefault="00E5199B" w:rsidP="00E5199B">
      <w:pPr>
        <w:pStyle w:val="Odstavecseseznamem"/>
        <w:spacing w:before="120"/>
        <w:ind w:left="0"/>
      </w:pPr>
    </w:p>
    <w:p w14:paraId="5D691EC7" w14:textId="250D0CB2" w:rsidR="0053340F" w:rsidRDefault="0053340F" w:rsidP="0053340F">
      <w:pPr>
        <w:pStyle w:val="Odstavecseseznamem"/>
        <w:spacing w:before="120"/>
        <w:ind w:left="0"/>
        <w:contextualSpacing w:val="0"/>
        <w:rPr>
          <w:b/>
          <w:bCs/>
        </w:rPr>
      </w:pPr>
      <w:r>
        <w:rPr>
          <w:b/>
          <w:bCs/>
        </w:rPr>
        <w:t xml:space="preserve">NKÚ při kontrole peněžních prostředků z daně silniční </w:t>
      </w:r>
      <w:r w:rsidR="006A5164">
        <w:rPr>
          <w:b/>
          <w:bCs/>
        </w:rPr>
        <w:t>vyhodnotil</w:t>
      </w:r>
      <w:r>
        <w:rPr>
          <w:b/>
          <w:bCs/>
        </w:rPr>
        <w:t xml:space="preserve">, že daň silniční svůj fiskální cíl do roku 2019 dlouhodobě </w:t>
      </w:r>
      <w:r w:rsidRPr="004B50EC">
        <w:rPr>
          <w:b/>
          <w:bCs/>
        </w:rPr>
        <w:t xml:space="preserve">plnila. </w:t>
      </w:r>
      <w:r w:rsidR="004B50EC" w:rsidRPr="004B50EC">
        <w:rPr>
          <w:b/>
        </w:rPr>
        <w:t xml:space="preserve">Od roku 2020 pokleslo inkaso daně vlivem snížení sazby daně silniční, </w:t>
      </w:r>
      <w:r w:rsidR="00500AEC">
        <w:rPr>
          <w:b/>
        </w:rPr>
        <w:t>toto snížení</w:t>
      </w:r>
      <w:r w:rsidR="004B50EC" w:rsidRPr="004B50EC">
        <w:rPr>
          <w:b/>
        </w:rPr>
        <w:t xml:space="preserve"> bylo zavedeno bez časového omezení.</w:t>
      </w:r>
      <w:r w:rsidR="004B50EC">
        <w:t xml:space="preserve"> </w:t>
      </w:r>
      <w:r>
        <w:rPr>
          <w:b/>
          <w:bCs/>
        </w:rPr>
        <w:t>Motivační prvky ve formě úlev na dani silniční mají</w:t>
      </w:r>
      <w:r w:rsidDel="00C25B97">
        <w:rPr>
          <w:b/>
          <w:bCs/>
        </w:rPr>
        <w:t xml:space="preserve"> </w:t>
      </w:r>
      <w:r>
        <w:rPr>
          <w:b/>
          <w:bCs/>
        </w:rPr>
        <w:t>zanedbatelný vliv</w:t>
      </w:r>
      <w:r w:rsidDel="00C25B97">
        <w:rPr>
          <w:b/>
          <w:bCs/>
        </w:rPr>
        <w:t xml:space="preserve"> </w:t>
      </w:r>
      <w:r>
        <w:rPr>
          <w:b/>
          <w:bCs/>
        </w:rPr>
        <w:t>na</w:t>
      </w:r>
      <w:r w:rsidR="00500AEC">
        <w:rPr>
          <w:b/>
          <w:bCs/>
        </w:rPr>
        <w:t xml:space="preserve"> </w:t>
      </w:r>
      <w:r>
        <w:rPr>
          <w:b/>
          <w:bCs/>
        </w:rPr>
        <w:t xml:space="preserve">plnění environmentálních cílů. </w:t>
      </w:r>
    </w:p>
    <w:p w14:paraId="270D8565" w14:textId="00ACD88B" w:rsidR="0053340F" w:rsidRDefault="00ED5B56" w:rsidP="00E5199B">
      <w:pPr>
        <w:pStyle w:val="Odstavecseseznamem"/>
        <w:spacing w:before="120"/>
        <w:ind w:left="0"/>
        <w:rPr>
          <w:b/>
          <w:bCs/>
        </w:rPr>
      </w:pPr>
      <w:r>
        <w:rPr>
          <w:b/>
          <w:bCs/>
        </w:rPr>
        <w:t>E</w:t>
      </w:r>
      <w:r w:rsidR="0053340F">
        <w:rPr>
          <w:b/>
          <w:bCs/>
        </w:rPr>
        <w:t>fektivnost</w:t>
      </w:r>
      <w:r>
        <w:rPr>
          <w:b/>
          <w:bCs/>
        </w:rPr>
        <w:t xml:space="preserve"> správy daně silniční</w:t>
      </w:r>
      <w:r w:rsidR="0053340F">
        <w:rPr>
          <w:b/>
          <w:bCs/>
        </w:rPr>
        <w:t xml:space="preserve"> je v porovnání s efektivností </w:t>
      </w:r>
      <w:r>
        <w:rPr>
          <w:b/>
          <w:bCs/>
        </w:rPr>
        <w:t xml:space="preserve">správy </w:t>
      </w:r>
      <w:r w:rsidR="0053340F">
        <w:rPr>
          <w:b/>
          <w:bCs/>
        </w:rPr>
        <w:t>všech daní více než čtyřikrát nižší</w:t>
      </w:r>
      <w:r w:rsidR="00484224">
        <w:rPr>
          <w:b/>
          <w:bCs/>
        </w:rPr>
        <w:t xml:space="preserve"> a v průběhu kontrolovaného období se snižovala</w:t>
      </w:r>
      <w:r w:rsidR="0053340F">
        <w:rPr>
          <w:b/>
          <w:bCs/>
        </w:rPr>
        <w:t xml:space="preserve">. </w:t>
      </w:r>
      <w:r w:rsidR="00D82220">
        <w:rPr>
          <w:b/>
          <w:bCs/>
        </w:rPr>
        <w:t xml:space="preserve">Správa daně je administrativně náročná, mj. vlivem pomalého zavádění automatizovaných procesů. </w:t>
      </w:r>
      <w:r w:rsidR="0053340F">
        <w:rPr>
          <w:b/>
          <w:bCs/>
        </w:rPr>
        <w:t xml:space="preserve">Informační podporu správy daně znesnadňuje </w:t>
      </w:r>
      <w:r w:rsidR="00CE78A6">
        <w:rPr>
          <w:b/>
          <w:bCs/>
        </w:rPr>
        <w:t xml:space="preserve">orgánům finanční správy </w:t>
      </w:r>
      <w:r w:rsidR="0053340F">
        <w:rPr>
          <w:b/>
          <w:bCs/>
        </w:rPr>
        <w:t>i skutečnost, že v </w:t>
      </w:r>
      <w:r w:rsidR="00500AEC">
        <w:rPr>
          <w:b/>
          <w:bCs/>
        </w:rPr>
        <w:t>r</w:t>
      </w:r>
      <w:r w:rsidR="0053340F">
        <w:rPr>
          <w:b/>
          <w:bCs/>
        </w:rPr>
        <w:t>egistru silničních vozidel</w:t>
      </w:r>
      <w:r w:rsidR="00060F8C">
        <w:rPr>
          <w:b/>
          <w:bCs/>
        </w:rPr>
        <w:t>, jehož správcem je Ministerstvo dopravy,</w:t>
      </w:r>
      <w:r w:rsidR="0053340F">
        <w:rPr>
          <w:b/>
          <w:bCs/>
        </w:rPr>
        <w:t xml:space="preserve"> se vyskytují chybné </w:t>
      </w:r>
      <w:r w:rsidR="0053340F" w:rsidRPr="00D82220">
        <w:rPr>
          <w:b/>
          <w:bCs/>
        </w:rPr>
        <w:t xml:space="preserve">záznamy. </w:t>
      </w:r>
      <w:r w:rsidR="00D82220" w:rsidRPr="00D82220">
        <w:rPr>
          <w:b/>
        </w:rPr>
        <w:t>Při kontrole bylo na kontrolovaném vzorku ověřeno, že správci daně při správě daně silniční postupovali v souladu s právními předpisy.</w:t>
      </w:r>
      <w:r w:rsidR="0053340F">
        <w:rPr>
          <w:b/>
          <w:bCs/>
        </w:rPr>
        <w:t xml:space="preserve"> </w:t>
      </w:r>
    </w:p>
    <w:p w14:paraId="155DFD40" w14:textId="77777777" w:rsidR="00E5199B" w:rsidRDefault="00E5199B" w:rsidP="00E5199B">
      <w:pPr>
        <w:pStyle w:val="Odstavecseseznamem"/>
        <w:spacing w:before="120"/>
        <w:ind w:left="0"/>
      </w:pPr>
    </w:p>
    <w:p w14:paraId="7896CDB3" w14:textId="51C94CC0" w:rsidR="0053340F" w:rsidRDefault="0053340F" w:rsidP="00E5199B">
      <w:pPr>
        <w:pStyle w:val="Odstavecseseznamem"/>
        <w:spacing w:before="120"/>
        <w:ind w:left="0"/>
      </w:pPr>
      <w:r w:rsidRPr="00531DE0">
        <w:t>Celkové vyhodnocení vyplývá z následujících skutečností zjištěných kontrolou:</w:t>
      </w:r>
    </w:p>
    <w:p w14:paraId="32924D0C" w14:textId="77777777" w:rsidR="00E5199B" w:rsidRPr="00531DE0" w:rsidRDefault="00E5199B" w:rsidP="00E5199B">
      <w:pPr>
        <w:pStyle w:val="Odstavecseseznamem"/>
        <w:spacing w:before="120"/>
        <w:ind w:left="0"/>
      </w:pPr>
    </w:p>
    <w:p w14:paraId="6D0C6B18" w14:textId="05944EA3" w:rsidR="00102436" w:rsidRDefault="0053340F" w:rsidP="00E5199B">
      <w:pPr>
        <w:pStyle w:val="Odstavecseseznamem"/>
        <w:spacing w:before="120"/>
        <w:ind w:left="0"/>
      </w:pPr>
      <w:r w:rsidRPr="00BB48B7">
        <w:rPr>
          <w:szCs w:val="24"/>
        </w:rPr>
        <w:t>1.</w:t>
      </w:r>
      <w:r w:rsidR="00484224">
        <w:rPr>
          <w:szCs w:val="24"/>
        </w:rPr>
        <w:t>1</w:t>
      </w:r>
      <w:r>
        <w:rPr>
          <w:szCs w:val="24"/>
        </w:rPr>
        <w:t xml:space="preserve"> </w:t>
      </w:r>
      <w:r w:rsidRPr="007C2CC9">
        <w:rPr>
          <w:lang w:eastAsia="cs-CZ"/>
        </w:rPr>
        <w:t xml:space="preserve">Daň silniční byla </w:t>
      </w:r>
      <w:r>
        <w:rPr>
          <w:lang w:eastAsia="cs-CZ"/>
        </w:rPr>
        <w:t>v letech 2017</w:t>
      </w:r>
      <w:r w:rsidR="00EE77AC">
        <w:rPr>
          <w:lang w:eastAsia="cs-CZ"/>
        </w:rPr>
        <w:t>–</w:t>
      </w:r>
      <w:r>
        <w:rPr>
          <w:lang w:eastAsia="cs-CZ"/>
        </w:rPr>
        <w:t xml:space="preserve">2020 </w:t>
      </w:r>
      <w:r w:rsidRPr="007C2CC9">
        <w:t>daní s</w:t>
      </w:r>
      <w:r>
        <w:t>e</w:t>
      </w:r>
      <w:r w:rsidR="00EE77AC">
        <w:t xml:space="preserve"> </w:t>
      </w:r>
      <w:r w:rsidRPr="007C2CC9">
        <w:t>stabilním počtem poplatníků</w:t>
      </w:r>
      <w:r w:rsidR="009E081B">
        <w:rPr>
          <w:rStyle w:val="Znakapoznpodarou"/>
        </w:rPr>
        <w:footnoteReference w:id="3"/>
      </w:r>
      <w:r w:rsidRPr="007C2CC9">
        <w:rPr>
          <w:lang w:eastAsia="cs-CZ"/>
        </w:rPr>
        <w:t xml:space="preserve">. </w:t>
      </w:r>
      <w:r w:rsidR="003511EF">
        <w:rPr>
          <w:lang w:eastAsia="cs-CZ"/>
        </w:rPr>
        <w:t>Od roku</w:t>
      </w:r>
      <w:r w:rsidRPr="007C2CC9">
        <w:rPr>
          <w:lang w:eastAsia="cs-CZ"/>
        </w:rPr>
        <w:t xml:space="preserve"> 2017</w:t>
      </w:r>
      <w:r w:rsidR="002B3DF0">
        <w:rPr>
          <w:lang w:eastAsia="cs-CZ"/>
        </w:rPr>
        <w:t xml:space="preserve"> </w:t>
      </w:r>
      <w:r w:rsidR="003511EF">
        <w:rPr>
          <w:lang w:eastAsia="cs-CZ"/>
        </w:rPr>
        <w:t xml:space="preserve">do roku </w:t>
      </w:r>
      <w:r w:rsidRPr="007C2CC9">
        <w:rPr>
          <w:lang w:eastAsia="cs-CZ"/>
        </w:rPr>
        <w:t>2019 činilo inkaso daně silniční průměrně 6 317 mil. Kč ročně.</w:t>
      </w:r>
      <w:r w:rsidR="00D82220" w:rsidRPr="00D82220">
        <w:rPr>
          <w:lang w:eastAsia="cs-CZ"/>
        </w:rPr>
        <w:t xml:space="preserve"> </w:t>
      </w:r>
      <w:r w:rsidR="00D82220">
        <w:rPr>
          <w:lang w:eastAsia="cs-CZ"/>
        </w:rPr>
        <w:t xml:space="preserve">MF navrhlo v roce 2020 v rámci opatření ke zmírnění negativních dopadů pandemie </w:t>
      </w:r>
      <w:r w:rsidR="00500AEC">
        <w:rPr>
          <w:lang w:eastAsia="cs-CZ"/>
        </w:rPr>
        <w:t>covidu</w:t>
      </w:r>
      <w:r w:rsidR="00D82220">
        <w:rPr>
          <w:lang w:eastAsia="cs-CZ"/>
        </w:rPr>
        <w:t>-19</w:t>
      </w:r>
      <w:r w:rsidR="009D2E28">
        <w:rPr>
          <w:lang w:eastAsia="cs-CZ"/>
        </w:rPr>
        <w:t xml:space="preserve"> </w:t>
      </w:r>
      <w:r w:rsidR="00D82220">
        <w:t>snížení všech sazeb daně silniční u vozidel nad 3,5 t</w:t>
      </w:r>
      <w:r w:rsidR="00500AEC">
        <w:t>uny</w:t>
      </w:r>
      <w:r w:rsidR="00D845A8" w:rsidRPr="00D845A8">
        <w:t xml:space="preserve"> </w:t>
      </w:r>
      <w:r w:rsidR="00D845A8">
        <w:t>o 25 %</w:t>
      </w:r>
      <w:r w:rsidR="00484224">
        <w:t>, a to bez časového omezení</w:t>
      </w:r>
      <w:r>
        <w:t xml:space="preserve">. </w:t>
      </w:r>
      <w:r>
        <w:rPr>
          <w:lang w:eastAsia="cs-CZ"/>
        </w:rPr>
        <w:t>V</w:t>
      </w:r>
      <w:r w:rsidRPr="007C2CC9">
        <w:rPr>
          <w:lang w:eastAsia="cs-CZ"/>
        </w:rPr>
        <w:t xml:space="preserve">e výběru </w:t>
      </w:r>
      <w:r>
        <w:rPr>
          <w:lang w:eastAsia="cs-CZ"/>
        </w:rPr>
        <w:t>daní tím došlo ke snížení inkasa daně silniční v roce 2020</w:t>
      </w:r>
      <w:r w:rsidRPr="007C2CC9">
        <w:rPr>
          <w:lang w:eastAsia="cs-CZ"/>
        </w:rPr>
        <w:t xml:space="preserve"> o </w:t>
      </w:r>
      <w:r w:rsidR="00D82220">
        <w:rPr>
          <w:lang w:eastAsia="cs-CZ"/>
        </w:rPr>
        <w:t xml:space="preserve">více než </w:t>
      </w:r>
      <w:r w:rsidRPr="007C2CC9">
        <w:rPr>
          <w:lang w:eastAsia="cs-CZ"/>
        </w:rPr>
        <w:t>8 %</w:t>
      </w:r>
      <w:r>
        <w:rPr>
          <w:lang w:eastAsia="cs-CZ"/>
        </w:rPr>
        <w:t xml:space="preserve"> oproti roku 2019</w:t>
      </w:r>
      <w:r w:rsidR="00A81D61">
        <w:rPr>
          <w:lang w:eastAsia="cs-CZ"/>
        </w:rPr>
        <w:t xml:space="preserve">, tj. </w:t>
      </w:r>
      <w:r w:rsidR="00D82220">
        <w:rPr>
          <w:lang w:eastAsia="cs-CZ"/>
        </w:rPr>
        <w:t>cca 525</w:t>
      </w:r>
      <w:r w:rsidR="00500AEC">
        <w:rPr>
          <w:lang w:eastAsia="cs-CZ"/>
        </w:rPr>
        <w:t> </w:t>
      </w:r>
      <w:r w:rsidR="00D82220">
        <w:rPr>
          <w:lang w:eastAsia="cs-CZ"/>
        </w:rPr>
        <w:t>mil</w:t>
      </w:r>
      <w:r w:rsidR="00A81D61">
        <w:rPr>
          <w:lang w:eastAsia="cs-CZ"/>
        </w:rPr>
        <w:t>.</w:t>
      </w:r>
      <w:r w:rsidR="00500AEC">
        <w:rPr>
          <w:lang w:eastAsia="cs-CZ"/>
        </w:rPr>
        <w:t> </w:t>
      </w:r>
      <w:r w:rsidR="00A81D61">
        <w:rPr>
          <w:lang w:eastAsia="cs-CZ"/>
        </w:rPr>
        <w:t>Kč</w:t>
      </w:r>
      <w:r w:rsidRPr="007C2CC9">
        <w:rPr>
          <w:lang w:eastAsia="cs-CZ"/>
        </w:rPr>
        <w:t xml:space="preserve">. </w:t>
      </w:r>
      <w:r>
        <w:rPr>
          <w:lang w:eastAsia="cs-CZ"/>
        </w:rPr>
        <w:t xml:space="preserve">Zavedená změna bude mít obdobný dopad </w:t>
      </w:r>
      <w:r w:rsidR="00500AEC">
        <w:rPr>
          <w:lang w:eastAsia="cs-CZ"/>
        </w:rPr>
        <w:t>na</w:t>
      </w:r>
      <w:r>
        <w:rPr>
          <w:lang w:eastAsia="cs-CZ"/>
        </w:rPr>
        <w:t xml:space="preserve"> inkas</w:t>
      </w:r>
      <w:r w:rsidR="00500AEC">
        <w:rPr>
          <w:lang w:eastAsia="cs-CZ"/>
        </w:rPr>
        <w:t>o</w:t>
      </w:r>
      <w:r>
        <w:rPr>
          <w:lang w:eastAsia="cs-CZ"/>
        </w:rPr>
        <w:t xml:space="preserve"> daně silniční i v následujících zdaňovacích obdobích.</w:t>
      </w:r>
    </w:p>
    <w:p w14:paraId="58268A9C" w14:textId="6A0EF8D0" w:rsidR="0053340F" w:rsidRDefault="0053340F" w:rsidP="0053340F">
      <w:pPr>
        <w:spacing w:before="120"/>
      </w:pPr>
      <w:r w:rsidRPr="00E91BEE">
        <w:rPr>
          <w:color w:val="000000"/>
        </w:rPr>
        <w:t>1.</w:t>
      </w:r>
      <w:r w:rsidR="00484224">
        <w:rPr>
          <w:color w:val="000000"/>
        </w:rPr>
        <w:t>2</w:t>
      </w:r>
      <w:r w:rsidRPr="00E91BEE">
        <w:rPr>
          <w:color w:val="000000"/>
        </w:rPr>
        <w:t xml:space="preserve"> </w:t>
      </w:r>
      <w:r>
        <w:rPr>
          <w:color w:val="000000"/>
        </w:rPr>
        <w:t xml:space="preserve">Zvýhodnění ekologičtějších druhů vozidel </w:t>
      </w:r>
      <w:r w:rsidR="00A81D61">
        <w:rPr>
          <w:color w:val="000000"/>
        </w:rPr>
        <w:t xml:space="preserve">odpovídalo </w:t>
      </w:r>
      <w:r>
        <w:rPr>
          <w:color w:val="000000"/>
        </w:rPr>
        <w:t>7 % průměrného ročního inkasa daně silniční. Hodnota daňových úlev uplatněn</w:t>
      </w:r>
      <w:r w:rsidR="00500AEC">
        <w:rPr>
          <w:color w:val="000000"/>
        </w:rPr>
        <w:t>ých</w:t>
      </w:r>
      <w:r>
        <w:rPr>
          <w:color w:val="000000"/>
        </w:rPr>
        <w:t xml:space="preserve"> poplatníky v daňových přiznáních </w:t>
      </w:r>
      <w:r w:rsidR="009050C2">
        <w:rPr>
          <w:color w:val="000000"/>
        </w:rPr>
        <w:t xml:space="preserve">k dani silniční </w:t>
      </w:r>
      <w:r>
        <w:rPr>
          <w:color w:val="000000"/>
        </w:rPr>
        <w:t>v letech 2017</w:t>
      </w:r>
      <w:r w:rsidR="00E76988">
        <w:rPr>
          <w:color w:val="000000"/>
        </w:rPr>
        <w:t>–</w:t>
      </w:r>
      <w:r>
        <w:rPr>
          <w:color w:val="000000"/>
        </w:rPr>
        <w:t>20</w:t>
      </w:r>
      <w:r w:rsidR="00891D2A">
        <w:rPr>
          <w:color w:val="000000"/>
        </w:rPr>
        <w:t>20</w:t>
      </w:r>
      <w:r>
        <w:rPr>
          <w:color w:val="000000"/>
        </w:rPr>
        <w:t xml:space="preserve"> činila průměrně cca 4</w:t>
      </w:r>
      <w:r w:rsidR="00891D2A">
        <w:rPr>
          <w:color w:val="000000"/>
        </w:rPr>
        <w:t>15</w:t>
      </w:r>
      <w:r>
        <w:rPr>
          <w:color w:val="000000"/>
        </w:rPr>
        <w:t xml:space="preserve"> mil. Kč ročně. </w:t>
      </w:r>
    </w:p>
    <w:p w14:paraId="1D94ABAC" w14:textId="49A85BA3" w:rsidR="00420126" w:rsidRDefault="0053340F" w:rsidP="00102436">
      <w:pPr>
        <w:spacing w:before="120"/>
      </w:pPr>
      <w:r>
        <w:t>NKÚ opakovaně upozor</w:t>
      </w:r>
      <w:r w:rsidR="00E67144">
        <w:t>ňuje</w:t>
      </w:r>
      <w:r w:rsidR="00E67144">
        <w:rPr>
          <w:rStyle w:val="Znakapoznpodarou"/>
        </w:rPr>
        <w:footnoteReference w:id="4"/>
      </w:r>
      <w:r>
        <w:t xml:space="preserve"> na </w:t>
      </w:r>
      <w:r w:rsidR="00FD7068">
        <w:t xml:space="preserve">skutečnost, že změna </w:t>
      </w:r>
      <w:r>
        <w:t xml:space="preserve">ustanovení </w:t>
      </w:r>
      <w:r w:rsidR="009D2E28">
        <w:t xml:space="preserve">§ 6 odst. 8 </w:t>
      </w:r>
      <w:r w:rsidR="00A81D61">
        <w:t>ZDS z roku 2008</w:t>
      </w:r>
      <w:r>
        <w:t>, kter</w:t>
      </w:r>
      <w:r w:rsidR="00FD7068">
        <w:t>á</w:t>
      </w:r>
      <w:r>
        <w:t xml:space="preserve"> zv</w:t>
      </w:r>
      <w:r w:rsidR="00FD7068">
        <w:t>ý</w:t>
      </w:r>
      <w:r>
        <w:t>š</w:t>
      </w:r>
      <w:r w:rsidR="00FD7068">
        <w:t xml:space="preserve">ila </w:t>
      </w:r>
      <w:r>
        <w:t>sazbu daně o 25 % u vozidel poprvé registrovaných před 31. 12. 1989</w:t>
      </w:r>
      <w:r w:rsidR="00FD7068">
        <w:t>, se postupně</w:t>
      </w:r>
      <w:r w:rsidR="009D2E28">
        <w:t xml:space="preserve"> st</w:t>
      </w:r>
      <w:r w:rsidR="004776CC">
        <w:t>ala</w:t>
      </w:r>
      <w:r w:rsidR="00A81D61" w:rsidRPr="00F031AE">
        <w:t xml:space="preserve"> </w:t>
      </w:r>
      <w:r w:rsidR="009D2E28">
        <w:t>ne</w:t>
      </w:r>
      <w:r w:rsidRPr="00F031AE">
        <w:t>efektivní</w:t>
      </w:r>
      <w:r w:rsidR="00A81D61">
        <w:t>m</w:t>
      </w:r>
      <w:r w:rsidRPr="00F031AE">
        <w:t xml:space="preserve"> nástroj</w:t>
      </w:r>
      <w:r w:rsidR="00A81D61">
        <w:t xml:space="preserve">em, který </w:t>
      </w:r>
      <w:r w:rsidR="009D2E28">
        <w:t>ne</w:t>
      </w:r>
      <w:r w:rsidR="00A81D61">
        <w:t>vede</w:t>
      </w:r>
      <w:r w:rsidRPr="00F031AE">
        <w:t xml:space="preserve"> ke snižování průměrného věku </w:t>
      </w:r>
      <w:r w:rsidR="00500AEC">
        <w:t>(</w:t>
      </w:r>
      <w:r w:rsidRPr="00F031AE">
        <w:t>stáří</w:t>
      </w:r>
      <w:r w:rsidR="00500AEC">
        <w:t>)</w:t>
      </w:r>
      <w:r w:rsidRPr="00F031AE">
        <w:t xml:space="preserve"> vozidla</w:t>
      </w:r>
      <w:r w:rsidR="00B33B2F">
        <w:t>,</w:t>
      </w:r>
      <w:r w:rsidR="00E7566D">
        <w:t xml:space="preserve"> </w:t>
      </w:r>
      <w:r w:rsidR="00500AEC">
        <w:br/>
      </w:r>
      <w:r w:rsidR="00A81D61">
        <w:t xml:space="preserve">mj. </w:t>
      </w:r>
      <w:r w:rsidRPr="00F031AE">
        <w:t>s ohledem na snižování ekologické zátěže z dopravy v</w:t>
      </w:r>
      <w:r w:rsidR="00186561">
        <w:t> </w:t>
      </w:r>
      <w:r w:rsidRPr="00F031AE">
        <w:t>Č</w:t>
      </w:r>
      <w:r w:rsidR="00186561">
        <w:t>eské republice</w:t>
      </w:r>
      <w:r w:rsidRPr="00F031AE">
        <w:t xml:space="preserve">. </w:t>
      </w:r>
      <w:r>
        <w:t xml:space="preserve">Ministerstvo financí do doby ukončení kontroly NKÚ nenavrhlo změnu </w:t>
      </w:r>
      <w:r w:rsidR="00FB5FD4">
        <w:t>právní úpravy</w:t>
      </w:r>
      <w:r>
        <w:t>.</w:t>
      </w:r>
      <w:r w:rsidR="00FB5FD4">
        <w:t xml:space="preserve"> </w:t>
      </w:r>
    </w:p>
    <w:p w14:paraId="66D6F9B3" w14:textId="5B6C3168" w:rsidR="003511EF" w:rsidRDefault="0053340F" w:rsidP="004776CC">
      <w:pPr>
        <w:pStyle w:val="Odstavecseseznamem"/>
        <w:spacing w:before="120"/>
        <w:ind w:left="0"/>
        <w:rPr>
          <w:lang w:eastAsia="cs-CZ"/>
        </w:rPr>
      </w:pPr>
      <w:r>
        <w:t>2.</w:t>
      </w:r>
      <w:r w:rsidR="00A81D61">
        <w:t>1</w:t>
      </w:r>
      <w:r>
        <w:t xml:space="preserve"> Efektivnost správy daně silniční byla více než čtyřikrát nižší než efektivnost</w:t>
      </w:r>
      <w:r w:rsidR="003511EF">
        <w:t xml:space="preserve"> správy všech</w:t>
      </w:r>
      <w:r>
        <w:t xml:space="preserve"> daní. Na nízkou efektivnost </w:t>
      </w:r>
      <w:r w:rsidR="00F849F9">
        <w:t xml:space="preserve">správy </w:t>
      </w:r>
      <w:r>
        <w:t xml:space="preserve">této daně mělo vliv nejen </w:t>
      </w:r>
      <w:r w:rsidR="004776CC">
        <w:t xml:space="preserve">dlouhodobě neměnné </w:t>
      </w:r>
      <w:r>
        <w:t xml:space="preserve">nastavení </w:t>
      </w:r>
      <w:r w:rsidR="004776CC">
        <w:t xml:space="preserve">daně, </w:t>
      </w:r>
      <w:r>
        <w:t xml:space="preserve">ale také vyšší nákladovost její správy. </w:t>
      </w:r>
      <w:r w:rsidR="004776CC">
        <w:t xml:space="preserve">Inkaso daně silniční v roce 2020 činilo celkem </w:t>
      </w:r>
      <w:r w:rsidR="00B33B2F">
        <w:br/>
      </w:r>
      <w:r w:rsidR="004776CC">
        <w:t xml:space="preserve">5 959 mil. Kč, </w:t>
      </w:r>
      <w:r w:rsidR="004776CC">
        <w:rPr>
          <w:lang w:eastAsia="cs-CZ"/>
        </w:rPr>
        <w:t>v</w:t>
      </w:r>
      <w:r>
        <w:rPr>
          <w:lang w:eastAsia="cs-CZ"/>
        </w:rPr>
        <w:t xml:space="preserve">ýdaje na správu </w:t>
      </w:r>
      <w:r w:rsidR="00F849F9">
        <w:rPr>
          <w:lang w:eastAsia="cs-CZ"/>
        </w:rPr>
        <w:t xml:space="preserve">této </w:t>
      </w:r>
      <w:r>
        <w:rPr>
          <w:lang w:eastAsia="cs-CZ"/>
        </w:rPr>
        <w:t xml:space="preserve">daně </w:t>
      </w:r>
      <w:r w:rsidR="004776CC">
        <w:rPr>
          <w:lang w:eastAsia="cs-CZ"/>
        </w:rPr>
        <w:t>v tomto roce činily</w:t>
      </w:r>
      <w:r>
        <w:rPr>
          <w:lang w:eastAsia="cs-CZ"/>
        </w:rPr>
        <w:t xml:space="preserve"> celkem 460 mil. Kč.</w:t>
      </w:r>
      <w:r w:rsidR="00D61C3B">
        <w:rPr>
          <w:rStyle w:val="Znakapoznpodarou"/>
          <w:lang w:eastAsia="cs-CZ"/>
        </w:rPr>
        <w:footnoteReference w:id="5"/>
      </w:r>
    </w:p>
    <w:p w14:paraId="5CFFF06E" w14:textId="60B0478F" w:rsidR="00162C8B" w:rsidRDefault="0053340F" w:rsidP="0053340F">
      <w:pPr>
        <w:spacing w:before="120"/>
      </w:pPr>
      <w:r>
        <w:t>2.</w:t>
      </w:r>
      <w:r w:rsidR="008949A8">
        <w:t>2</w:t>
      </w:r>
      <w:r>
        <w:t xml:space="preserve"> Na správ</w:t>
      </w:r>
      <w:r w:rsidR="00FB5FD4">
        <w:t>u</w:t>
      </w:r>
      <w:r>
        <w:t xml:space="preserve"> daně</w:t>
      </w:r>
      <w:r w:rsidR="003511EF">
        <w:t xml:space="preserve"> silniční</w:t>
      </w:r>
      <w:r>
        <w:t xml:space="preserve"> měl vliv </w:t>
      </w:r>
      <w:r w:rsidR="00FB5FD4">
        <w:t xml:space="preserve">administrativně náročný způsob </w:t>
      </w:r>
      <w:r>
        <w:t>prověřování plnění daňových povinností k dani silniční</w:t>
      </w:r>
      <w:r w:rsidR="001F4FE3" w:rsidRPr="001F4FE3">
        <w:t xml:space="preserve"> </w:t>
      </w:r>
      <w:r w:rsidR="001F4FE3">
        <w:t xml:space="preserve">a </w:t>
      </w:r>
      <w:r w:rsidR="001F4FE3" w:rsidRPr="004C6C6B">
        <w:t>pomalá elektronizace správy daně</w:t>
      </w:r>
      <w:r w:rsidR="00B33B2F">
        <w:t xml:space="preserve">. </w:t>
      </w:r>
      <w:r w:rsidR="00162C8B">
        <w:t>NKÚ zjistil, že:</w:t>
      </w:r>
    </w:p>
    <w:p w14:paraId="55F2EA7F" w14:textId="65B61E8D" w:rsidR="008949A8" w:rsidRDefault="00162C8B" w:rsidP="00162C8B">
      <w:pPr>
        <w:pStyle w:val="Odstavecseseznamem"/>
        <w:numPr>
          <w:ilvl w:val="0"/>
          <w:numId w:val="36"/>
        </w:numPr>
        <w:spacing w:before="120"/>
      </w:pPr>
      <w:r w:rsidRPr="0028062D">
        <w:t xml:space="preserve">aktuální právní úprava neumožňuje </w:t>
      </w:r>
      <w:r w:rsidR="00C85DA0" w:rsidRPr="0028062D">
        <w:t xml:space="preserve">jednoduše </w:t>
      </w:r>
      <w:r w:rsidRPr="0028062D">
        <w:t>ve všech případech ověřit</w:t>
      </w:r>
      <w:r>
        <w:t xml:space="preserve"> splnění povinností poplatníků daně silniční. Jedná se např. o plnění daňových povinností </w:t>
      </w:r>
      <w:r w:rsidR="00225E12">
        <w:br/>
      </w:r>
      <w:r>
        <w:t xml:space="preserve">u autobazarů, které </w:t>
      </w:r>
      <w:r w:rsidR="0048771A">
        <w:t>se stávají</w:t>
      </w:r>
      <w:r>
        <w:t xml:space="preserve"> provozovateli osobních vozidel do 3,5 </w:t>
      </w:r>
      <w:r w:rsidR="0048771A">
        <w:t>t</w:t>
      </w:r>
      <w:r w:rsidR="00C112F4">
        <w:t xml:space="preserve">, nebo </w:t>
      </w:r>
      <w:r w:rsidR="0048771A">
        <w:br/>
        <w:t xml:space="preserve">u </w:t>
      </w:r>
      <w:r>
        <w:t>nepodnikající</w:t>
      </w:r>
      <w:r w:rsidR="0048771A">
        <w:t>ch</w:t>
      </w:r>
      <w:r>
        <w:t xml:space="preserve"> osob, kter</w:t>
      </w:r>
      <w:r w:rsidR="0048771A">
        <w:t>é</w:t>
      </w:r>
      <w:r>
        <w:t xml:space="preserve"> poskytl</w:t>
      </w:r>
      <w:r w:rsidR="0048771A">
        <w:t>y</w:t>
      </w:r>
      <w:r>
        <w:t xml:space="preserve"> osobní vozidlo podnikající osobě k činnosti zdaňované podle zákona o daních z příjmů</w:t>
      </w:r>
      <w:r>
        <w:rPr>
          <w:rStyle w:val="Znakapoznpodarou"/>
        </w:rPr>
        <w:footnoteReference w:id="6"/>
      </w:r>
      <w:r>
        <w:t>;</w:t>
      </w:r>
    </w:p>
    <w:p w14:paraId="797CA2B3" w14:textId="698E90B4" w:rsidR="00394239" w:rsidRDefault="00500AEC" w:rsidP="00162C8B">
      <w:pPr>
        <w:pStyle w:val="Odstavecseseznamem"/>
        <w:numPr>
          <w:ilvl w:val="0"/>
          <w:numId w:val="36"/>
        </w:numPr>
        <w:spacing w:before="120"/>
      </w:pPr>
      <w:r>
        <w:t>r</w:t>
      </w:r>
      <w:r w:rsidR="00394239" w:rsidRPr="004C6C6B">
        <w:t>egistr</w:t>
      </w:r>
      <w:r w:rsidR="00394239">
        <w:t xml:space="preserve"> silničních vozidel </w:t>
      </w:r>
      <w:r w:rsidR="00394239">
        <w:rPr>
          <w:rFonts w:ascii="Calibri" w:hAnsi="Calibri" w:cs="Calibri"/>
        </w:rPr>
        <w:t>(dále také „</w:t>
      </w:r>
      <w:r w:rsidR="00394239" w:rsidRPr="00CC5AC3">
        <w:rPr>
          <w:rFonts w:ascii="Calibri" w:hAnsi="Calibri" w:cs="Calibri"/>
        </w:rPr>
        <w:t>RSV</w:t>
      </w:r>
      <w:r w:rsidR="00394239">
        <w:rPr>
          <w:rFonts w:ascii="Calibri" w:hAnsi="Calibri" w:cs="Calibri"/>
        </w:rPr>
        <w:t>“)</w:t>
      </w:r>
      <w:r w:rsidR="00394239" w:rsidRPr="00CC5AC3">
        <w:rPr>
          <w:rFonts w:ascii="Calibri" w:hAnsi="Calibri" w:cs="Calibri"/>
        </w:rPr>
        <w:t xml:space="preserve"> </w:t>
      </w:r>
      <w:r w:rsidR="00394239">
        <w:t>obsahoval chybné záznamy. NKÚ zjistil</w:t>
      </w:r>
      <w:r w:rsidR="00394239">
        <w:rPr>
          <w:rStyle w:val="Znakapoznpodarou"/>
        </w:rPr>
        <w:footnoteReference w:id="7"/>
      </w:r>
      <w:r w:rsidR="00394239">
        <w:t>, že chybovost záznamů u jednotlivých parametrů</w:t>
      </w:r>
      <w:r w:rsidR="00394239">
        <w:rPr>
          <w:rStyle w:val="Znakapoznpodarou"/>
        </w:rPr>
        <w:footnoteReference w:id="8"/>
      </w:r>
      <w:r w:rsidR="00394239">
        <w:t xml:space="preserve"> uvedených v </w:t>
      </w:r>
      <w:r>
        <w:t>r</w:t>
      </w:r>
      <w:r w:rsidR="00394239">
        <w:t xml:space="preserve">egistru silničních vozidel dosáhla téměř 16 %. </w:t>
      </w:r>
      <w:r w:rsidR="00394239" w:rsidRPr="004C6C6B">
        <w:t>Ministerstvo dopravy</w:t>
      </w:r>
      <w:r w:rsidR="00394239" w:rsidRPr="004C6C6B">
        <w:rPr>
          <w:rStyle w:val="Znakapoznpodarou"/>
          <w:rFonts w:cstheme="minorHAnsi"/>
        </w:rPr>
        <w:footnoteReference w:id="9"/>
      </w:r>
      <w:r w:rsidR="00394239" w:rsidRPr="004C6C6B">
        <w:t xml:space="preserve">, které </w:t>
      </w:r>
      <w:r w:rsidR="00394239" w:rsidRPr="004C6C6B">
        <w:rPr>
          <w:rFonts w:cstheme="minorHAnsi"/>
        </w:rPr>
        <w:t xml:space="preserve">je zodpovědné za správnost </w:t>
      </w:r>
      <w:r w:rsidR="00EF64D4">
        <w:rPr>
          <w:rFonts w:cstheme="minorHAnsi"/>
        </w:rPr>
        <w:br/>
      </w:r>
      <w:r w:rsidR="00394239" w:rsidRPr="004C6C6B">
        <w:rPr>
          <w:rFonts w:cstheme="minorHAnsi"/>
        </w:rPr>
        <w:t>a</w:t>
      </w:r>
      <w:r w:rsidR="00EF64D4">
        <w:rPr>
          <w:rFonts w:cstheme="minorHAnsi"/>
        </w:rPr>
        <w:t xml:space="preserve"> </w:t>
      </w:r>
      <w:r w:rsidR="00394239" w:rsidRPr="004C6C6B">
        <w:rPr>
          <w:rFonts w:cstheme="minorHAnsi"/>
        </w:rPr>
        <w:t xml:space="preserve">úplnost </w:t>
      </w:r>
      <w:r w:rsidRPr="004C6C6B">
        <w:rPr>
          <w:rFonts w:cstheme="minorHAnsi"/>
        </w:rPr>
        <w:t xml:space="preserve">údajů </w:t>
      </w:r>
      <w:r w:rsidR="00394239" w:rsidRPr="004C6C6B">
        <w:rPr>
          <w:rFonts w:cstheme="minorHAnsi"/>
        </w:rPr>
        <w:t>poskytovaných z </w:t>
      </w:r>
      <w:r>
        <w:rPr>
          <w:rFonts w:cstheme="minorHAnsi"/>
        </w:rPr>
        <w:t>r</w:t>
      </w:r>
      <w:r w:rsidR="00394239" w:rsidRPr="004C6C6B">
        <w:rPr>
          <w:rFonts w:cstheme="minorHAnsi"/>
        </w:rPr>
        <w:t>egistru silničních vozidel,</w:t>
      </w:r>
      <w:r w:rsidR="00394239" w:rsidRPr="004C6C6B">
        <w:t xml:space="preserve"> tyto chybné záznamy nevyhledávalo a neodstraňovalo a </w:t>
      </w:r>
      <w:r w:rsidRPr="004C6C6B">
        <w:t xml:space="preserve">nemělo </w:t>
      </w:r>
      <w:r w:rsidR="00394239" w:rsidRPr="004C6C6B">
        <w:t>pro tyto činnosti nastaven</w:t>
      </w:r>
      <w:r>
        <w:t>y</w:t>
      </w:r>
      <w:r w:rsidR="00394239" w:rsidRPr="004C6C6B">
        <w:t xml:space="preserve"> postupy</w:t>
      </w:r>
      <w:r w:rsidR="00394239">
        <w:t>;</w:t>
      </w:r>
    </w:p>
    <w:p w14:paraId="75829EA2" w14:textId="009453BB" w:rsidR="00162C8B" w:rsidRDefault="00162C8B" w:rsidP="00162C8B">
      <w:pPr>
        <w:pStyle w:val="Odstavecseseznamem"/>
        <w:numPr>
          <w:ilvl w:val="0"/>
          <w:numId w:val="36"/>
        </w:numPr>
        <w:spacing w:before="120"/>
      </w:pPr>
      <w:r>
        <w:t>správci daně neměli možnost automatizovaně porovn</w:t>
      </w:r>
      <w:r w:rsidR="00500AEC">
        <w:t>áv</w:t>
      </w:r>
      <w:r>
        <w:t>at údaje o vozidlech získan</w:t>
      </w:r>
      <w:r w:rsidR="00500AEC">
        <w:t>é</w:t>
      </w:r>
      <w:r>
        <w:t xml:space="preserve"> z informačního systému správců daně a </w:t>
      </w:r>
      <w:r w:rsidR="00500AEC">
        <w:t>r</w:t>
      </w:r>
      <w:r>
        <w:t>egistru silničních vozidel</w:t>
      </w:r>
      <w:r w:rsidR="00394239">
        <w:t>;</w:t>
      </w:r>
    </w:p>
    <w:p w14:paraId="22214BFE" w14:textId="555CE73A" w:rsidR="00162C8B" w:rsidRPr="004C6C6B" w:rsidRDefault="00394239" w:rsidP="0065741B">
      <w:pPr>
        <w:pStyle w:val="Odstavecseseznamem"/>
        <w:numPr>
          <w:ilvl w:val="0"/>
          <w:numId w:val="36"/>
        </w:numPr>
        <w:spacing w:before="120"/>
      </w:pPr>
      <w:r>
        <w:t>údaje získané z </w:t>
      </w:r>
      <w:r w:rsidR="00D3252B">
        <w:t>r</w:t>
      </w:r>
      <w:r>
        <w:t xml:space="preserve">egistru silničních vozidel byly pro správce daně pouze podpůrným nástrojem při ověřování daňových </w:t>
      </w:r>
      <w:r w:rsidR="001F4FE3">
        <w:t>povinností k dani silniční</w:t>
      </w:r>
      <w:r>
        <w:t>.</w:t>
      </w:r>
    </w:p>
    <w:p w14:paraId="34F92045" w14:textId="0438B7B9" w:rsidR="00162C8B" w:rsidRDefault="00162C8B" w:rsidP="0053340F">
      <w:pPr>
        <w:spacing w:before="120"/>
      </w:pPr>
    </w:p>
    <w:p w14:paraId="14336A50" w14:textId="471AFA71" w:rsidR="00296688" w:rsidRDefault="00F92600" w:rsidP="00CC4071">
      <w:pPr>
        <w:pStyle w:val="Nadpis1"/>
        <w:spacing w:before="360"/>
        <w:ind w:left="431" w:hanging="431"/>
        <w:jc w:val="center"/>
      </w:pPr>
      <w:r>
        <w:t>I</w:t>
      </w:r>
      <w:r w:rsidR="00296688">
        <w:t xml:space="preserve">I. </w:t>
      </w:r>
      <w:r w:rsidR="00296688" w:rsidRPr="000D66DD">
        <w:t>Informace</w:t>
      </w:r>
      <w:r w:rsidR="00296688">
        <w:t xml:space="preserve"> o kontrolované oblasti</w:t>
      </w:r>
    </w:p>
    <w:p w14:paraId="1546E7A5" w14:textId="08806CFA" w:rsidR="009F3D54" w:rsidRPr="003F7FA0" w:rsidRDefault="00DA4ABC" w:rsidP="000B1403">
      <w:pPr>
        <w:spacing w:before="120"/>
      </w:pPr>
      <w:r>
        <w:t>D</w:t>
      </w:r>
      <w:r w:rsidRPr="004E1125">
        <w:t xml:space="preserve">aň </w:t>
      </w:r>
      <w:r>
        <w:t>s</w:t>
      </w:r>
      <w:r w:rsidR="009F3D54" w:rsidRPr="004E1125">
        <w:t>ilniční je upravena zákonem</w:t>
      </w:r>
      <w:r w:rsidR="00A3228F">
        <w:t xml:space="preserve"> České národní rady</w:t>
      </w:r>
      <w:r w:rsidR="009F3D54" w:rsidRPr="004E1125">
        <w:t xml:space="preserve"> č. 16/1993 Sb</w:t>
      </w:r>
      <w:r w:rsidR="008246DF" w:rsidRPr="004E1125">
        <w:t>.</w:t>
      </w:r>
      <w:r w:rsidR="009F3D54" w:rsidRPr="004E1125">
        <w:t xml:space="preserve"> </w:t>
      </w:r>
      <w:r w:rsidR="000B1403">
        <w:rPr>
          <w:rFonts w:ascii="Calibri" w:hAnsi="Calibri" w:cs="Calibri"/>
        </w:rPr>
        <w:t>Ustanovení § 2 ZDS vymezuje předmět daně silniční, tj. silniční motorová vozidla a jejich přípojná vozidla registrovaná a provozovaná v</w:t>
      </w:r>
      <w:r w:rsidR="001D0875">
        <w:rPr>
          <w:rFonts w:ascii="Calibri" w:hAnsi="Calibri" w:cs="Calibri"/>
        </w:rPr>
        <w:t> </w:t>
      </w:r>
      <w:r w:rsidR="000B1403">
        <w:rPr>
          <w:rFonts w:ascii="Calibri" w:hAnsi="Calibri" w:cs="Calibri"/>
        </w:rPr>
        <w:t>Č</w:t>
      </w:r>
      <w:r w:rsidR="001D0875">
        <w:rPr>
          <w:rFonts w:ascii="Calibri" w:hAnsi="Calibri" w:cs="Calibri"/>
        </w:rPr>
        <w:t>eské republice</w:t>
      </w:r>
      <w:r w:rsidR="000B1403">
        <w:rPr>
          <w:rFonts w:ascii="Calibri" w:hAnsi="Calibri" w:cs="Calibri"/>
        </w:rPr>
        <w:t xml:space="preserve"> </w:t>
      </w:r>
      <w:r w:rsidR="00D3252B">
        <w:rPr>
          <w:rFonts w:ascii="Calibri" w:hAnsi="Calibri" w:cs="Calibri"/>
        </w:rPr>
        <w:t xml:space="preserve">a </w:t>
      </w:r>
      <w:r w:rsidR="000B1403">
        <w:rPr>
          <w:rFonts w:ascii="Calibri" w:hAnsi="Calibri" w:cs="Calibri"/>
        </w:rPr>
        <w:t xml:space="preserve">používaná poplatníkem daně z příjmů právnických osob </w:t>
      </w:r>
      <w:r w:rsidR="000B1403" w:rsidRPr="004E1125">
        <w:rPr>
          <w:rFonts w:ascii="Calibri" w:hAnsi="Calibri" w:cs="Calibri"/>
        </w:rPr>
        <w:t>s</w:t>
      </w:r>
      <w:r w:rsidR="003865B3">
        <w:rPr>
          <w:rFonts w:ascii="Calibri" w:hAnsi="Calibri" w:cs="Calibri"/>
        </w:rPr>
        <w:t xml:space="preserve"> </w:t>
      </w:r>
      <w:r w:rsidR="000B1403" w:rsidRPr="004E1125">
        <w:rPr>
          <w:rFonts w:ascii="Calibri" w:hAnsi="Calibri" w:cs="Calibri"/>
        </w:rPr>
        <w:t>výjimkou používání k</w:t>
      </w:r>
      <w:r w:rsidR="003865B3">
        <w:rPr>
          <w:rFonts w:ascii="Calibri" w:hAnsi="Calibri" w:cs="Calibri"/>
        </w:rPr>
        <w:t xml:space="preserve"> </w:t>
      </w:r>
      <w:r w:rsidR="000B1403" w:rsidRPr="004E1125">
        <w:rPr>
          <w:rFonts w:ascii="Calibri" w:hAnsi="Calibri" w:cs="Calibri"/>
        </w:rPr>
        <w:t xml:space="preserve">činnosti veřejně prospěšného poplatníka </w:t>
      </w:r>
      <w:r w:rsidR="000B1403">
        <w:rPr>
          <w:rFonts w:ascii="Calibri" w:hAnsi="Calibri" w:cs="Calibri"/>
        </w:rPr>
        <w:t>daně z příjmů právnických osob</w:t>
      </w:r>
      <w:r w:rsidR="000B1403" w:rsidRPr="004E1125">
        <w:rPr>
          <w:rFonts w:ascii="Calibri" w:hAnsi="Calibri" w:cs="Calibri"/>
        </w:rPr>
        <w:t>, pokud příjmy z této jeho činnosti nejsou předmětem daně z příjmů, nebo poplatníkem daně z příjmů fyzických osob k</w:t>
      </w:r>
      <w:r w:rsidR="000B1403">
        <w:rPr>
          <w:rFonts w:ascii="Calibri" w:hAnsi="Calibri" w:cs="Calibri"/>
        </w:rPr>
        <w:t> činnosti nebo v přímé souvislosti s činností, ze kterých plynou příjmy ze samostatné činnosti podle zákona upravujícího daně z příjmů</w:t>
      </w:r>
      <w:r w:rsidR="004C6C6B">
        <w:rPr>
          <w:rStyle w:val="Znakapoznpodarou"/>
          <w:rFonts w:ascii="Calibri" w:hAnsi="Calibri" w:cs="Calibri"/>
        </w:rPr>
        <w:footnoteReference w:id="10"/>
      </w:r>
      <w:r w:rsidR="000B1403">
        <w:rPr>
          <w:rFonts w:ascii="Calibri" w:hAnsi="Calibri" w:cs="Calibri"/>
        </w:rPr>
        <w:t xml:space="preserve">. </w:t>
      </w:r>
      <w:r>
        <w:t>D</w:t>
      </w:r>
      <w:r w:rsidRPr="004E1125">
        <w:t>aň</w:t>
      </w:r>
      <w:r>
        <w:t xml:space="preserve"> s</w:t>
      </w:r>
      <w:r w:rsidR="009F3D54" w:rsidRPr="004E1125">
        <w:t>ilniční</w:t>
      </w:r>
      <w:r w:rsidR="00C46CCF" w:rsidRPr="004E1125">
        <w:t xml:space="preserve"> </w:t>
      </w:r>
      <w:r w:rsidR="00055268" w:rsidRPr="004E1125">
        <w:t xml:space="preserve">se </w:t>
      </w:r>
      <w:r w:rsidR="009F3D54" w:rsidRPr="004E1125">
        <w:t>vztahuje na všechna nákladní vozidl</w:t>
      </w:r>
      <w:r w:rsidR="00163538" w:rsidRPr="004E1125">
        <w:t xml:space="preserve">a </w:t>
      </w:r>
      <w:r w:rsidR="009F3D54" w:rsidRPr="004E1125">
        <w:t>s největší povolenou hmotností nad 3,5 t</w:t>
      </w:r>
      <w:r w:rsidR="000B1403">
        <w:t>.</w:t>
      </w:r>
      <w:r w:rsidR="009F3D54" w:rsidRPr="004E1125">
        <w:t xml:space="preserve"> </w:t>
      </w:r>
      <w:r w:rsidR="00163538" w:rsidRPr="004E1125">
        <w:t>U nákladních vozidel je minimální sazba daně silniční stanoven</w:t>
      </w:r>
      <w:r w:rsidR="00B4162E" w:rsidRPr="004E1125">
        <w:t>a</w:t>
      </w:r>
      <w:r w:rsidR="00163538" w:rsidRPr="004E1125">
        <w:t xml:space="preserve"> směrnicí </w:t>
      </w:r>
      <w:r w:rsidR="00593DE5">
        <w:t xml:space="preserve">Evropského parlamentu a Rady </w:t>
      </w:r>
      <w:r w:rsidR="00163538" w:rsidRPr="004E1125">
        <w:t>1999/62/ES</w:t>
      </w:r>
      <w:r w:rsidR="00593DE5">
        <w:t>,</w:t>
      </w:r>
      <w:r w:rsidR="00C516A9">
        <w:t xml:space="preserve"> </w:t>
      </w:r>
      <w:r w:rsidR="00C516A9" w:rsidRPr="00C516A9">
        <w:t>o výběru poplatků za užívání určitých pozemních komunikací těžkými nákladními vozidly</w:t>
      </w:r>
      <w:r w:rsidR="00163538" w:rsidRPr="004E1125">
        <w:t>. V </w:t>
      </w:r>
      <w:r w:rsidR="000C3282" w:rsidRPr="004E1125">
        <w:t xml:space="preserve">České republice </w:t>
      </w:r>
      <w:r w:rsidR="00163538" w:rsidRPr="004E1125">
        <w:t>se sazba daně silniční</w:t>
      </w:r>
      <w:r w:rsidR="00163538" w:rsidRPr="003F7FA0">
        <w:t xml:space="preserve"> u nákladních automobilů určuje podle počtu náprav a</w:t>
      </w:r>
      <w:r w:rsidR="00593DE5">
        <w:t> </w:t>
      </w:r>
      <w:r w:rsidR="00163538" w:rsidRPr="003F7FA0">
        <w:t xml:space="preserve">jejich povoleného zatížení. U osobních automobilů se sazba daně určuje podle zdvihového objemu motoru. </w:t>
      </w:r>
    </w:p>
    <w:p w14:paraId="03E69C41" w14:textId="26865939" w:rsidR="00B00D01" w:rsidRDefault="00B00D01" w:rsidP="00A62EF2">
      <w:pPr>
        <w:pStyle w:val="Titulek"/>
        <w:keepNext/>
        <w:keepLines/>
        <w:spacing w:after="0"/>
        <w:rPr>
          <w:b/>
          <w:i w:val="0"/>
          <w:color w:val="000000" w:themeColor="text1"/>
          <w:sz w:val="24"/>
          <w:szCs w:val="24"/>
        </w:rPr>
      </w:pPr>
      <w:r w:rsidRPr="00786322">
        <w:rPr>
          <w:b/>
          <w:i w:val="0"/>
          <w:color w:val="000000" w:themeColor="text1"/>
          <w:sz w:val="24"/>
          <w:szCs w:val="24"/>
        </w:rPr>
        <w:t>Působnost kontrolovaných osob v oblasti správy daně silniční</w:t>
      </w:r>
    </w:p>
    <w:tbl>
      <w:tblPr>
        <w:tblStyle w:val="Mkatabulky"/>
        <w:tblW w:w="90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9067"/>
      </w:tblGrid>
      <w:tr w:rsidR="00AA79BF" w:rsidRPr="00A63AF6" w14:paraId="7D03A272" w14:textId="77777777" w:rsidTr="00D3252B">
        <w:trPr>
          <w:trHeight w:val="274"/>
        </w:trPr>
        <w:tc>
          <w:tcPr>
            <w:tcW w:w="9067" w:type="dxa"/>
            <w:shd w:val="clear" w:color="auto" w:fill="E5F1FF"/>
          </w:tcPr>
          <w:p w14:paraId="1573229D" w14:textId="77777777" w:rsidR="00AA79BF" w:rsidRPr="002F6EFD" w:rsidRDefault="00AA79BF" w:rsidP="001C07BC">
            <w:pPr>
              <w:spacing w:after="0"/>
              <w:jc w:val="left"/>
              <w:rPr>
                <w:rFonts w:asciiTheme="minorHAnsi" w:hAnsiTheme="minorHAnsi" w:cstheme="minorHAnsi"/>
                <w:b/>
                <w:szCs w:val="24"/>
              </w:rPr>
            </w:pPr>
            <w:r w:rsidRPr="002F6EFD">
              <w:rPr>
                <w:rFonts w:asciiTheme="minorHAnsi" w:hAnsiTheme="minorHAnsi" w:cstheme="minorHAnsi"/>
                <w:b/>
                <w:szCs w:val="24"/>
              </w:rPr>
              <w:t>Ministerstvo financí</w:t>
            </w:r>
          </w:p>
        </w:tc>
      </w:tr>
      <w:tr w:rsidR="00AA79BF" w14:paraId="42F995C5" w14:textId="77777777" w:rsidTr="00D3252B">
        <w:trPr>
          <w:trHeight w:val="2049"/>
        </w:trPr>
        <w:tc>
          <w:tcPr>
            <w:tcW w:w="9067" w:type="dxa"/>
          </w:tcPr>
          <w:p w14:paraId="0F7BDF36" w14:textId="394CB826" w:rsidR="00AA79BF" w:rsidRPr="002F6EFD" w:rsidRDefault="00AA79BF" w:rsidP="00AA79BF">
            <w:pPr>
              <w:numPr>
                <w:ilvl w:val="0"/>
                <w:numId w:val="25"/>
              </w:numPr>
              <w:spacing w:after="0"/>
              <w:ind w:left="306" w:hanging="284"/>
              <w:rPr>
                <w:rFonts w:asciiTheme="minorHAnsi" w:hAnsiTheme="minorHAnsi" w:cstheme="minorHAnsi"/>
                <w:szCs w:val="24"/>
              </w:rPr>
            </w:pPr>
            <w:r w:rsidRPr="002F6EFD">
              <w:rPr>
                <w:rFonts w:asciiTheme="minorHAnsi" w:hAnsiTheme="minorHAnsi" w:cstheme="minorHAnsi"/>
                <w:szCs w:val="24"/>
              </w:rPr>
              <w:t xml:space="preserve">ústřední orgán státní správy mj. pro státní rozpočet, daně, účetnictví a hospodaření </w:t>
            </w:r>
            <w:r w:rsidR="003D77D9" w:rsidRPr="002F6EFD">
              <w:rPr>
                <w:rFonts w:asciiTheme="minorHAnsi" w:hAnsiTheme="minorHAnsi" w:cstheme="minorHAnsi"/>
                <w:szCs w:val="24"/>
              </w:rPr>
              <w:br/>
            </w:r>
            <w:r w:rsidRPr="002F6EFD">
              <w:rPr>
                <w:rFonts w:asciiTheme="minorHAnsi" w:hAnsiTheme="minorHAnsi" w:cstheme="minorHAnsi"/>
                <w:szCs w:val="24"/>
              </w:rPr>
              <w:t>s majetkem státu;</w:t>
            </w:r>
          </w:p>
          <w:p w14:paraId="1E2ECE65" w14:textId="71484802" w:rsidR="00AA79BF" w:rsidRPr="002F6EFD" w:rsidRDefault="00AA79BF" w:rsidP="00AA79BF">
            <w:pPr>
              <w:numPr>
                <w:ilvl w:val="0"/>
                <w:numId w:val="25"/>
              </w:numPr>
              <w:spacing w:after="0"/>
              <w:ind w:left="306" w:hanging="284"/>
              <w:rPr>
                <w:rFonts w:asciiTheme="minorHAnsi" w:hAnsiTheme="minorHAnsi" w:cstheme="minorHAnsi"/>
                <w:szCs w:val="24"/>
              </w:rPr>
            </w:pPr>
            <w:r w:rsidRPr="002F6EFD">
              <w:rPr>
                <w:rFonts w:asciiTheme="minorHAnsi" w:hAnsiTheme="minorHAnsi" w:cstheme="minorHAnsi"/>
                <w:szCs w:val="24"/>
              </w:rPr>
              <w:t>připravuje návrhy zákonů a jiných právních předpisů souvisejících s působností</w:t>
            </w:r>
            <w:r w:rsidR="00C516A9">
              <w:rPr>
                <w:rFonts w:asciiTheme="minorHAnsi" w:hAnsiTheme="minorHAnsi" w:cstheme="minorHAnsi"/>
                <w:szCs w:val="24"/>
              </w:rPr>
              <w:t xml:space="preserve"> MF</w:t>
            </w:r>
            <w:r w:rsidRPr="002F6EFD">
              <w:rPr>
                <w:rFonts w:asciiTheme="minorHAnsi" w:hAnsiTheme="minorHAnsi" w:cstheme="minorHAnsi"/>
                <w:szCs w:val="24"/>
              </w:rPr>
              <w:t xml:space="preserve">, jakož i návrhy, jejichž přípravu </w:t>
            </w:r>
            <w:r w:rsidR="00D3252B" w:rsidRPr="002F6EFD">
              <w:rPr>
                <w:rFonts w:asciiTheme="minorHAnsi" w:hAnsiTheme="minorHAnsi" w:cstheme="minorHAnsi"/>
                <w:szCs w:val="24"/>
              </w:rPr>
              <w:t xml:space="preserve">uložila </w:t>
            </w:r>
            <w:r w:rsidR="00D3252B">
              <w:rPr>
                <w:rFonts w:asciiTheme="minorHAnsi" w:hAnsiTheme="minorHAnsi" w:cstheme="minorHAnsi"/>
                <w:szCs w:val="24"/>
              </w:rPr>
              <w:t xml:space="preserve">Ministerstvu financí </w:t>
            </w:r>
            <w:r w:rsidRPr="002F6EFD">
              <w:rPr>
                <w:rFonts w:asciiTheme="minorHAnsi" w:hAnsiTheme="minorHAnsi" w:cstheme="minorHAnsi"/>
                <w:szCs w:val="24"/>
              </w:rPr>
              <w:t>vláda;</w:t>
            </w:r>
          </w:p>
          <w:p w14:paraId="0BBDBD49" w14:textId="77777777" w:rsidR="00AA79BF" w:rsidRPr="002F6EFD" w:rsidRDefault="00AA79BF" w:rsidP="00AA79BF">
            <w:pPr>
              <w:numPr>
                <w:ilvl w:val="0"/>
                <w:numId w:val="25"/>
              </w:numPr>
              <w:spacing w:after="0"/>
              <w:ind w:left="306" w:hanging="284"/>
              <w:rPr>
                <w:rFonts w:asciiTheme="minorHAnsi" w:hAnsiTheme="minorHAnsi" w:cstheme="minorHAnsi"/>
                <w:szCs w:val="24"/>
              </w:rPr>
            </w:pPr>
            <w:r w:rsidRPr="002F6EFD">
              <w:rPr>
                <w:rFonts w:asciiTheme="minorHAnsi" w:hAnsiTheme="minorHAnsi" w:cstheme="minorHAnsi"/>
                <w:szCs w:val="24"/>
              </w:rPr>
              <w:t>zkoumá společenskou problematiku v okruhu své působnosti, analyzuje dosahované výsledky a činí opatření k řešení aktuálních otázek;</w:t>
            </w:r>
          </w:p>
          <w:p w14:paraId="091342E2" w14:textId="0C53ECC2" w:rsidR="00AA79BF" w:rsidRPr="002F6EFD" w:rsidRDefault="00AA79BF" w:rsidP="00AA79BF">
            <w:pPr>
              <w:numPr>
                <w:ilvl w:val="0"/>
                <w:numId w:val="25"/>
              </w:numPr>
              <w:spacing w:after="0"/>
              <w:ind w:left="306" w:hanging="284"/>
              <w:rPr>
                <w:rFonts w:asciiTheme="minorHAnsi" w:hAnsiTheme="minorHAnsi" w:cstheme="minorHAnsi"/>
                <w:szCs w:val="24"/>
              </w:rPr>
            </w:pPr>
            <w:r w:rsidRPr="002F6EFD">
              <w:rPr>
                <w:rFonts w:asciiTheme="minorHAnsi" w:hAnsiTheme="minorHAnsi" w:cstheme="minorHAnsi"/>
                <w:szCs w:val="24"/>
              </w:rPr>
              <w:t>zpracovává koncepce rozvoje svěřených odvětví a řešení stěžejních otázek.</w:t>
            </w:r>
          </w:p>
        </w:tc>
      </w:tr>
      <w:tr w:rsidR="00AA79BF" w14:paraId="44A3A935" w14:textId="77777777" w:rsidTr="00D3252B">
        <w:trPr>
          <w:trHeight w:val="123"/>
        </w:trPr>
        <w:tc>
          <w:tcPr>
            <w:tcW w:w="9067" w:type="dxa"/>
            <w:shd w:val="clear" w:color="auto" w:fill="E5F1FF"/>
          </w:tcPr>
          <w:p w14:paraId="7BF36CD9" w14:textId="77777777" w:rsidR="00AA79BF" w:rsidRPr="002F6EFD" w:rsidRDefault="00AA79BF" w:rsidP="001C07BC">
            <w:pPr>
              <w:spacing w:after="0"/>
              <w:jc w:val="left"/>
              <w:rPr>
                <w:rFonts w:asciiTheme="minorHAnsi" w:hAnsiTheme="minorHAnsi" w:cstheme="minorHAnsi"/>
                <w:b/>
                <w:szCs w:val="24"/>
              </w:rPr>
            </w:pPr>
            <w:r w:rsidRPr="002F6EFD">
              <w:rPr>
                <w:rFonts w:asciiTheme="minorHAnsi" w:hAnsiTheme="minorHAnsi" w:cstheme="minorHAnsi"/>
                <w:b/>
                <w:szCs w:val="24"/>
              </w:rPr>
              <w:t>Ministerstvo dopravy</w:t>
            </w:r>
          </w:p>
        </w:tc>
      </w:tr>
      <w:tr w:rsidR="00AA79BF" w14:paraId="51D04EE8" w14:textId="77777777" w:rsidTr="00D3252B">
        <w:trPr>
          <w:trHeight w:val="123"/>
        </w:trPr>
        <w:tc>
          <w:tcPr>
            <w:tcW w:w="9067" w:type="dxa"/>
            <w:shd w:val="clear" w:color="auto" w:fill="auto"/>
          </w:tcPr>
          <w:p w14:paraId="559F3124" w14:textId="77777777" w:rsidR="00AA79BF" w:rsidRPr="002F6EFD" w:rsidRDefault="00AA79BF" w:rsidP="00AA79BF">
            <w:pPr>
              <w:numPr>
                <w:ilvl w:val="0"/>
                <w:numId w:val="25"/>
              </w:numPr>
              <w:spacing w:after="0"/>
              <w:ind w:left="306" w:hanging="284"/>
              <w:rPr>
                <w:rFonts w:asciiTheme="minorHAnsi" w:hAnsiTheme="minorHAnsi" w:cstheme="minorHAnsi"/>
                <w:szCs w:val="24"/>
              </w:rPr>
            </w:pPr>
            <w:r w:rsidRPr="002F6EFD">
              <w:rPr>
                <w:rFonts w:asciiTheme="minorHAnsi" w:hAnsiTheme="minorHAnsi" w:cstheme="minorHAnsi"/>
                <w:szCs w:val="24"/>
              </w:rPr>
              <w:t xml:space="preserve">ústřední orgán státní správy ve věcech dopravy, který odpovídá za tvorbu státní politiky </w:t>
            </w:r>
            <w:r w:rsidRPr="002F6EFD">
              <w:rPr>
                <w:rFonts w:asciiTheme="minorHAnsi" w:hAnsiTheme="minorHAnsi" w:cstheme="minorHAnsi"/>
                <w:szCs w:val="24"/>
              </w:rPr>
              <w:br/>
              <w:t xml:space="preserve">v oblasti dopravy a také, v rozsahu své působnosti, za její uskutečňování; </w:t>
            </w:r>
          </w:p>
          <w:p w14:paraId="572D1894" w14:textId="358F5FEE" w:rsidR="00AA79BF" w:rsidRPr="002F6EFD" w:rsidRDefault="00795FA7" w:rsidP="00AA79BF">
            <w:pPr>
              <w:numPr>
                <w:ilvl w:val="0"/>
                <w:numId w:val="25"/>
              </w:numPr>
              <w:spacing w:after="0"/>
              <w:ind w:left="306" w:hanging="284"/>
              <w:rPr>
                <w:rFonts w:asciiTheme="minorHAnsi" w:hAnsiTheme="minorHAnsi" w:cstheme="minorHAnsi"/>
                <w:szCs w:val="24"/>
              </w:rPr>
            </w:pPr>
            <w:r>
              <w:rPr>
                <w:rFonts w:asciiTheme="minorHAnsi" w:hAnsiTheme="minorHAnsi" w:cstheme="minorHAnsi"/>
                <w:szCs w:val="24"/>
              </w:rPr>
              <w:t xml:space="preserve">v rámci meziresortního připomínkového řízení </w:t>
            </w:r>
            <w:r w:rsidR="00AA79BF" w:rsidRPr="002F6EFD">
              <w:rPr>
                <w:rFonts w:asciiTheme="minorHAnsi" w:hAnsiTheme="minorHAnsi" w:cstheme="minorHAnsi"/>
                <w:szCs w:val="24"/>
              </w:rPr>
              <w:t xml:space="preserve">se vyjadřuje k </w:t>
            </w:r>
            <w:r w:rsidR="00C516A9">
              <w:rPr>
                <w:rFonts w:asciiTheme="minorHAnsi" w:hAnsiTheme="minorHAnsi" w:cstheme="minorHAnsi"/>
                <w:szCs w:val="24"/>
              </w:rPr>
              <w:t>návrhům</w:t>
            </w:r>
            <w:r w:rsidR="00AA79BF" w:rsidRPr="002F6EFD">
              <w:rPr>
                <w:rFonts w:asciiTheme="minorHAnsi" w:hAnsiTheme="minorHAnsi" w:cstheme="minorHAnsi"/>
                <w:szCs w:val="24"/>
              </w:rPr>
              <w:t xml:space="preserve"> </w:t>
            </w:r>
            <w:r>
              <w:rPr>
                <w:rFonts w:asciiTheme="minorHAnsi" w:hAnsiTheme="minorHAnsi" w:cstheme="minorHAnsi"/>
                <w:szCs w:val="24"/>
              </w:rPr>
              <w:t>právních předpisů</w:t>
            </w:r>
            <w:r w:rsidRPr="002F6EFD">
              <w:rPr>
                <w:rFonts w:asciiTheme="minorHAnsi" w:hAnsiTheme="minorHAnsi" w:cstheme="minorHAnsi"/>
                <w:szCs w:val="24"/>
              </w:rPr>
              <w:t xml:space="preserve"> </w:t>
            </w:r>
            <w:r>
              <w:rPr>
                <w:rFonts w:asciiTheme="minorHAnsi" w:hAnsiTheme="minorHAnsi" w:cstheme="minorHAnsi"/>
                <w:szCs w:val="24"/>
              </w:rPr>
              <w:t xml:space="preserve">v oblasti daní </w:t>
            </w:r>
            <w:r w:rsidR="00AA79BF" w:rsidRPr="002F6EFD">
              <w:rPr>
                <w:rFonts w:asciiTheme="minorHAnsi" w:hAnsiTheme="minorHAnsi" w:cstheme="minorHAnsi"/>
                <w:szCs w:val="24"/>
              </w:rPr>
              <w:t>v souvislosti s dopravou;</w:t>
            </w:r>
          </w:p>
          <w:p w14:paraId="7814D22F" w14:textId="7CFF71C7" w:rsidR="00AA79BF" w:rsidRPr="002F6EFD" w:rsidRDefault="00AA79BF" w:rsidP="00AA79BF">
            <w:pPr>
              <w:numPr>
                <w:ilvl w:val="0"/>
                <w:numId w:val="25"/>
              </w:numPr>
              <w:spacing w:after="0"/>
              <w:ind w:left="306" w:hanging="284"/>
              <w:rPr>
                <w:rFonts w:asciiTheme="minorHAnsi" w:hAnsiTheme="minorHAnsi" w:cstheme="minorHAnsi"/>
                <w:b/>
                <w:szCs w:val="24"/>
              </w:rPr>
            </w:pPr>
            <w:r w:rsidRPr="002F6EFD">
              <w:rPr>
                <w:rFonts w:asciiTheme="minorHAnsi" w:hAnsiTheme="minorHAnsi" w:cstheme="minorHAnsi"/>
                <w:szCs w:val="24"/>
              </w:rPr>
              <w:t xml:space="preserve">je správcem </w:t>
            </w:r>
            <w:r w:rsidR="00D3252B">
              <w:rPr>
                <w:rFonts w:asciiTheme="minorHAnsi" w:hAnsiTheme="minorHAnsi" w:cstheme="minorHAnsi"/>
                <w:szCs w:val="24"/>
              </w:rPr>
              <w:t>r</w:t>
            </w:r>
            <w:r w:rsidRPr="002F6EFD">
              <w:rPr>
                <w:rFonts w:asciiTheme="minorHAnsi" w:hAnsiTheme="minorHAnsi" w:cstheme="minorHAnsi"/>
                <w:szCs w:val="24"/>
              </w:rPr>
              <w:t>egistru silničních vozidel, který je informačním systémem veřejné správy.</w:t>
            </w:r>
          </w:p>
        </w:tc>
      </w:tr>
      <w:tr w:rsidR="00AA79BF" w14:paraId="46FA83A8" w14:textId="77777777" w:rsidTr="00D3252B">
        <w:trPr>
          <w:trHeight w:val="123"/>
        </w:trPr>
        <w:tc>
          <w:tcPr>
            <w:tcW w:w="9067" w:type="dxa"/>
            <w:shd w:val="clear" w:color="auto" w:fill="E5F1FF"/>
          </w:tcPr>
          <w:p w14:paraId="3F70019C" w14:textId="77777777" w:rsidR="00AA79BF" w:rsidRPr="002F6EFD" w:rsidRDefault="00AA79BF" w:rsidP="001C07BC">
            <w:pPr>
              <w:spacing w:after="0"/>
              <w:jc w:val="left"/>
              <w:rPr>
                <w:rFonts w:asciiTheme="minorHAnsi" w:hAnsiTheme="minorHAnsi" w:cstheme="minorHAnsi"/>
                <w:b/>
                <w:szCs w:val="24"/>
              </w:rPr>
            </w:pPr>
            <w:r w:rsidRPr="002F6EFD">
              <w:rPr>
                <w:rFonts w:asciiTheme="minorHAnsi" w:hAnsiTheme="minorHAnsi" w:cstheme="minorHAnsi"/>
                <w:b/>
                <w:szCs w:val="24"/>
              </w:rPr>
              <w:t>Generální finanční ředitelství</w:t>
            </w:r>
          </w:p>
        </w:tc>
      </w:tr>
      <w:tr w:rsidR="00AA79BF" w14:paraId="1A6A836E" w14:textId="77777777" w:rsidTr="00D3252B">
        <w:trPr>
          <w:trHeight w:val="123"/>
        </w:trPr>
        <w:tc>
          <w:tcPr>
            <w:tcW w:w="9067" w:type="dxa"/>
            <w:shd w:val="clear" w:color="auto" w:fill="auto"/>
          </w:tcPr>
          <w:p w14:paraId="13999089" w14:textId="5FC29247" w:rsidR="00AA79BF" w:rsidRPr="002F6EFD" w:rsidRDefault="00AA79BF" w:rsidP="00AA79BF">
            <w:pPr>
              <w:numPr>
                <w:ilvl w:val="0"/>
                <w:numId w:val="25"/>
              </w:numPr>
              <w:spacing w:after="0"/>
              <w:ind w:left="306" w:hanging="284"/>
              <w:rPr>
                <w:rFonts w:asciiTheme="minorHAnsi" w:hAnsiTheme="minorHAnsi" w:cstheme="minorHAnsi"/>
                <w:szCs w:val="24"/>
              </w:rPr>
            </w:pPr>
            <w:r w:rsidRPr="002F6EFD">
              <w:rPr>
                <w:rFonts w:asciiTheme="minorHAnsi" w:hAnsiTheme="minorHAnsi" w:cstheme="minorHAnsi"/>
                <w:szCs w:val="24"/>
              </w:rPr>
              <w:t xml:space="preserve">organizační složka státu s celostátní působností, je podřízena MF </w:t>
            </w:r>
            <w:r w:rsidR="00D3252B">
              <w:rPr>
                <w:rFonts w:asciiTheme="minorHAnsi" w:hAnsiTheme="minorHAnsi" w:cstheme="minorHAnsi"/>
                <w:szCs w:val="24"/>
              </w:rPr>
              <w:t xml:space="preserve">a </w:t>
            </w:r>
            <w:r w:rsidRPr="002F6EFD">
              <w:rPr>
                <w:rFonts w:asciiTheme="minorHAnsi" w:hAnsiTheme="minorHAnsi" w:cstheme="minorHAnsi"/>
                <w:szCs w:val="24"/>
              </w:rPr>
              <w:t>spolu s Odvolacím finančním ředitelstvím a finančními úřady tvoří soustavu finančních orgánů;</w:t>
            </w:r>
          </w:p>
          <w:p w14:paraId="054A9CB5" w14:textId="77777777" w:rsidR="00AA79BF" w:rsidRPr="002F6EFD" w:rsidRDefault="00AA79BF" w:rsidP="006B2EF2">
            <w:pPr>
              <w:numPr>
                <w:ilvl w:val="0"/>
                <w:numId w:val="25"/>
              </w:numPr>
              <w:spacing w:after="0"/>
              <w:ind w:left="306" w:hanging="284"/>
              <w:jc w:val="left"/>
              <w:rPr>
                <w:rFonts w:asciiTheme="minorHAnsi" w:hAnsiTheme="minorHAnsi" w:cstheme="minorHAnsi"/>
                <w:b/>
                <w:szCs w:val="24"/>
              </w:rPr>
            </w:pPr>
            <w:r w:rsidRPr="002F6EFD">
              <w:rPr>
                <w:rFonts w:asciiTheme="minorHAnsi" w:hAnsiTheme="minorHAnsi" w:cstheme="minorHAnsi"/>
                <w:szCs w:val="24"/>
              </w:rPr>
              <w:t xml:space="preserve">podílí se na přípravě návrhů právních předpisů a zabezpečování analytických </w:t>
            </w:r>
            <w:r w:rsidRPr="002F6EFD">
              <w:rPr>
                <w:rFonts w:asciiTheme="minorHAnsi" w:hAnsiTheme="minorHAnsi" w:cstheme="minorHAnsi"/>
                <w:szCs w:val="24"/>
              </w:rPr>
              <w:br/>
              <w:t>a koncepčních úkolů.</w:t>
            </w:r>
          </w:p>
        </w:tc>
      </w:tr>
      <w:tr w:rsidR="00AA79BF" w14:paraId="66CD2B13" w14:textId="77777777" w:rsidTr="00D3252B">
        <w:trPr>
          <w:trHeight w:val="123"/>
        </w:trPr>
        <w:tc>
          <w:tcPr>
            <w:tcW w:w="9067" w:type="dxa"/>
            <w:shd w:val="clear" w:color="auto" w:fill="E5F1FF"/>
          </w:tcPr>
          <w:p w14:paraId="0340C4DE" w14:textId="77777777" w:rsidR="00AA79BF" w:rsidRPr="002F6EFD" w:rsidRDefault="00AA79BF" w:rsidP="001C07BC">
            <w:pPr>
              <w:spacing w:after="0"/>
              <w:jc w:val="left"/>
              <w:rPr>
                <w:rFonts w:asciiTheme="minorHAnsi" w:hAnsiTheme="minorHAnsi" w:cstheme="minorHAnsi"/>
                <w:b/>
                <w:szCs w:val="24"/>
              </w:rPr>
            </w:pPr>
            <w:r w:rsidRPr="002F6EFD">
              <w:rPr>
                <w:rFonts w:asciiTheme="minorHAnsi" w:hAnsiTheme="minorHAnsi" w:cstheme="minorHAnsi"/>
                <w:b/>
                <w:szCs w:val="24"/>
              </w:rPr>
              <w:t>Finanční úřady</w:t>
            </w:r>
          </w:p>
        </w:tc>
      </w:tr>
      <w:tr w:rsidR="00AA79BF" w14:paraId="5261D430" w14:textId="77777777" w:rsidTr="00D3252B">
        <w:trPr>
          <w:trHeight w:val="1146"/>
        </w:trPr>
        <w:tc>
          <w:tcPr>
            <w:tcW w:w="9067" w:type="dxa"/>
            <w:shd w:val="clear" w:color="auto" w:fill="auto"/>
          </w:tcPr>
          <w:p w14:paraId="67FA5B1C" w14:textId="77777777" w:rsidR="00AA79BF" w:rsidRPr="002F6EFD" w:rsidRDefault="00AA79BF" w:rsidP="00AA79BF">
            <w:pPr>
              <w:numPr>
                <w:ilvl w:val="0"/>
                <w:numId w:val="25"/>
              </w:numPr>
              <w:spacing w:after="0"/>
              <w:ind w:left="306" w:hanging="284"/>
              <w:rPr>
                <w:rFonts w:asciiTheme="minorHAnsi" w:hAnsiTheme="minorHAnsi" w:cstheme="minorHAnsi"/>
                <w:szCs w:val="24"/>
              </w:rPr>
            </w:pPr>
            <w:r w:rsidRPr="002F6EFD">
              <w:rPr>
                <w:rFonts w:asciiTheme="minorHAnsi" w:hAnsiTheme="minorHAnsi" w:cstheme="minorHAnsi"/>
                <w:szCs w:val="24"/>
              </w:rPr>
              <w:t>jsou podřízeny Odvolacímu finančnímu ředitelství;</w:t>
            </w:r>
          </w:p>
          <w:p w14:paraId="0A861E89" w14:textId="1D994DE2" w:rsidR="00AA79BF" w:rsidRPr="002F6EFD" w:rsidRDefault="00AA79BF" w:rsidP="00AA79BF">
            <w:pPr>
              <w:numPr>
                <w:ilvl w:val="0"/>
                <w:numId w:val="25"/>
              </w:numPr>
              <w:spacing w:after="0"/>
              <w:ind w:left="306" w:hanging="284"/>
              <w:rPr>
                <w:rFonts w:asciiTheme="minorHAnsi" w:hAnsiTheme="minorHAnsi" w:cstheme="minorHAnsi"/>
                <w:szCs w:val="24"/>
              </w:rPr>
            </w:pPr>
            <w:r w:rsidRPr="002F6EFD">
              <w:rPr>
                <w:rFonts w:asciiTheme="minorHAnsi" w:hAnsiTheme="minorHAnsi" w:cstheme="minorHAnsi"/>
                <w:szCs w:val="24"/>
              </w:rPr>
              <w:t>vykonávají správu daní, vedou evidence a registry nezbytné pro výkon působnosti orgánů finanční správy;</w:t>
            </w:r>
          </w:p>
          <w:p w14:paraId="103B6A18" w14:textId="72171009" w:rsidR="00AA79BF" w:rsidRPr="002F6EFD" w:rsidRDefault="00AA79BF" w:rsidP="000E6D4E">
            <w:pPr>
              <w:numPr>
                <w:ilvl w:val="0"/>
                <w:numId w:val="25"/>
              </w:numPr>
              <w:spacing w:after="0"/>
              <w:ind w:left="306" w:hanging="284"/>
              <w:rPr>
                <w:rFonts w:asciiTheme="minorHAnsi" w:hAnsiTheme="minorHAnsi" w:cstheme="minorHAnsi"/>
                <w:b/>
                <w:szCs w:val="24"/>
              </w:rPr>
            </w:pPr>
            <w:r w:rsidRPr="002F6EFD">
              <w:rPr>
                <w:rFonts w:asciiTheme="minorHAnsi" w:hAnsiTheme="minorHAnsi" w:cstheme="minorHAnsi"/>
                <w:szCs w:val="24"/>
              </w:rPr>
              <w:t>jsou členěny na územní pracoviště</w:t>
            </w:r>
            <w:r w:rsidR="000E6D4E">
              <w:rPr>
                <w:rFonts w:asciiTheme="minorHAnsi" w:hAnsiTheme="minorHAnsi" w:cstheme="minorHAnsi"/>
                <w:szCs w:val="24"/>
              </w:rPr>
              <w:t>.</w:t>
            </w:r>
          </w:p>
        </w:tc>
      </w:tr>
    </w:tbl>
    <w:p w14:paraId="20F156B3" w14:textId="62D5AF4E" w:rsidR="000C3282" w:rsidRPr="00DE0BB9" w:rsidRDefault="00B60860" w:rsidP="0036373C">
      <w:pPr>
        <w:keepNext/>
        <w:keepLines/>
        <w:spacing w:before="240" w:after="0"/>
        <w:rPr>
          <w:rFonts w:cstheme="minorHAnsi"/>
          <w:szCs w:val="24"/>
        </w:rPr>
      </w:pPr>
      <w:r w:rsidRPr="00DE0BB9">
        <w:rPr>
          <w:rFonts w:cstheme="minorHAnsi"/>
          <w:szCs w:val="24"/>
        </w:rPr>
        <w:t>Daň silniční a její správu</w:t>
      </w:r>
      <w:r w:rsidR="00F43F9C" w:rsidRPr="00DE0BB9">
        <w:rPr>
          <w:rFonts w:cstheme="minorHAnsi"/>
          <w:szCs w:val="24"/>
        </w:rPr>
        <w:t xml:space="preserve"> upravují následující právní předpisy: </w:t>
      </w:r>
    </w:p>
    <w:p w14:paraId="2DCA3193" w14:textId="0675A0F7" w:rsidR="00F43F9C" w:rsidRPr="00DE0BB9" w:rsidRDefault="00F43F9C" w:rsidP="0036373C">
      <w:pPr>
        <w:pStyle w:val="Odstavecseseznamem"/>
        <w:numPr>
          <w:ilvl w:val="0"/>
          <w:numId w:val="8"/>
        </w:numPr>
        <w:spacing w:after="0"/>
        <w:rPr>
          <w:rFonts w:cstheme="minorHAnsi"/>
          <w:szCs w:val="24"/>
        </w:rPr>
      </w:pPr>
      <w:r w:rsidRPr="00DE0BB9">
        <w:rPr>
          <w:rFonts w:cstheme="minorHAnsi"/>
          <w:szCs w:val="24"/>
        </w:rPr>
        <w:t>zákon</w:t>
      </w:r>
      <w:r w:rsidR="00795FA7" w:rsidRPr="00DE0BB9">
        <w:rPr>
          <w:rFonts w:cstheme="minorHAnsi"/>
          <w:szCs w:val="24"/>
        </w:rPr>
        <w:t xml:space="preserve"> České národní rady</w:t>
      </w:r>
      <w:r w:rsidRPr="00DE0BB9">
        <w:rPr>
          <w:rFonts w:cstheme="minorHAnsi"/>
          <w:szCs w:val="24"/>
        </w:rPr>
        <w:t xml:space="preserve"> č. </w:t>
      </w:r>
      <w:r w:rsidRPr="00DE0BB9">
        <w:rPr>
          <w:szCs w:val="24"/>
        </w:rPr>
        <w:t>16/1993 Sb.</w:t>
      </w:r>
      <w:r w:rsidR="00832AFD" w:rsidRPr="00DE0BB9">
        <w:rPr>
          <w:szCs w:val="24"/>
        </w:rPr>
        <w:t>,</w:t>
      </w:r>
      <w:r w:rsidR="00580246" w:rsidRPr="00DE0BB9">
        <w:rPr>
          <w:szCs w:val="24"/>
        </w:rPr>
        <w:t xml:space="preserve"> o dani silniční</w:t>
      </w:r>
      <w:r w:rsidRPr="00DE0BB9">
        <w:rPr>
          <w:szCs w:val="24"/>
        </w:rPr>
        <w:t>;</w:t>
      </w:r>
    </w:p>
    <w:p w14:paraId="551AC5B5" w14:textId="77777777" w:rsidR="00B95DD2" w:rsidRPr="00B95DD2" w:rsidRDefault="00F43F9C" w:rsidP="0036373C">
      <w:pPr>
        <w:pStyle w:val="Odstavecseseznamem"/>
        <w:numPr>
          <w:ilvl w:val="0"/>
          <w:numId w:val="8"/>
        </w:numPr>
        <w:spacing w:after="0"/>
        <w:jc w:val="left"/>
        <w:rPr>
          <w:rFonts w:eastAsia="Times New Roman" w:cs="Times New Roman"/>
          <w:b/>
          <w:kern w:val="36"/>
          <w:sz w:val="28"/>
          <w:szCs w:val="20"/>
          <w:lang w:eastAsia="cs-CZ"/>
        </w:rPr>
      </w:pPr>
      <w:r w:rsidRPr="00DE0BB9">
        <w:rPr>
          <w:rFonts w:cstheme="minorHAnsi"/>
          <w:szCs w:val="24"/>
        </w:rPr>
        <w:t>zákon č. 280/2009 Sb.</w:t>
      </w:r>
      <w:r w:rsidR="00832AFD" w:rsidRPr="00DE0BB9">
        <w:rPr>
          <w:rFonts w:cstheme="minorHAnsi"/>
          <w:szCs w:val="24"/>
        </w:rPr>
        <w:t>,</w:t>
      </w:r>
      <w:r w:rsidR="00580246" w:rsidRPr="00DE0BB9">
        <w:rPr>
          <w:rFonts w:cstheme="minorHAnsi"/>
          <w:szCs w:val="24"/>
        </w:rPr>
        <w:t xml:space="preserve"> daňový řád</w:t>
      </w:r>
      <w:r w:rsidR="007A3A58" w:rsidRPr="00DE0BB9">
        <w:rPr>
          <w:rFonts w:cstheme="minorHAnsi"/>
          <w:szCs w:val="24"/>
        </w:rPr>
        <w:t xml:space="preserve"> </w:t>
      </w:r>
      <w:r w:rsidR="007A3A58" w:rsidRPr="00DE0BB9">
        <w:rPr>
          <w:szCs w:val="24"/>
        </w:rPr>
        <w:t>(dále také „DŘ“)</w:t>
      </w:r>
      <w:r w:rsidR="00580246" w:rsidRPr="00DE0BB9">
        <w:rPr>
          <w:rFonts w:cstheme="minorHAnsi"/>
          <w:szCs w:val="24"/>
        </w:rPr>
        <w:t>.</w:t>
      </w:r>
    </w:p>
    <w:p w14:paraId="6704E2C9" w14:textId="51557715" w:rsidR="00296688" w:rsidRDefault="00296688" w:rsidP="00D03AAA">
      <w:pPr>
        <w:pStyle w:val="Nadpis1"/>
        <w:keepLines w:val="0"/>
        <w:spacing w:before="360"/>
        <w:ind w:left="431" w:hanging="431"/>
        <w:jc w:val="center"/>
      </w:pPr>
      <w:r>
        <w:t>III. Rozsah kontroly</w:t>
      </w:r>
    </w:p>
    <w:p w14:paraId="5F8E3FD7" w14:textId="67856C8F" w:rsidR="00CE66D6" w:rsidRDefault="00E422DA" w:rsidP="00D03AAA">
      <w:pPr>
        <w:pStyle w:val="Text"/>
        <w:spacing w:before="0" w:after="120"/>
      </w:pPr>
      <w:r>
        <w:t xml:space="preserve">Předmětem kontroly NKÚ byly peněžní prostředky státu z daně silniční a správa této daně. Kontrola NKÚ se zaměřila zejména na to, zda daň silniční plnila fiskální a environmentální cíle, </w:t>
      </w:r>
      <w:r w:rsidR="00347F4F">
        <w:t xml:space="preserve">na administrativní náročnost a efektivnost správy daně silniční. </w:t>
      </w:r>
    </w:p>
    <w:p w14:paraId="580F3CAE" w14:textId="01B12AFC" w:rsidR="00A50DC2" w:rsidRPr="00CE66D6" w:rsidRDefault="00FB0E93" w:rsidP="00D03AAA">
      <w:pPr>
        <w:pStyle w:val="Text"/>
        <w:spacing w:before="0" w:after="120"/>
        <w:rPr>
          <w:b/>
        </w:rPr>
      </w:pPr>
      <w:r w:rsidRPr="00CE66D6">
        <w:rPr>
          <w:b/>
        </w:rPr>
        <w:t>Cílem kontroly bylo prověřit, zda je systém silniční daně nastaven tak, aby umožňoval naplnění cílů daně</w:t>
      </w:r>
      <w:r w:rsidR="00D3252B">
        <w:rPr>
          <w:b/>
        </w:rPr>
        <w:t>,</w:t>
      </w:r>
      <w:r w:rsidRPr="00CE66D6">
        <w:rPr>
          <w:b/>
        </w:rPr>
        <w:t xml:space="preserve"> a zda orgány finanční správy postupovaly při správě daně silniční v souladu s právními předpisy.</w:t>
      </w:r>
      <w:r w:rsidR="00D03AAA" w:rsidRPr="00CE66D6">
        <w:rPr>
          <w:b/>
        </w:rPr>
        <w:t xml:space="preserve"> </w:t>
      </w:r>
    </w:p>
    <w:p w14:paraId="3C126453" w14:textId="46729592" w:rsidR="00347F4F" w:rsidRDefault="00347F4F" w:rsidP="00347F4F">
      <w:r w:rsidRPr="00CE66D6">
        <w:t>Systém daně silniční</w:t>
      </w:r>
      <w:r>
        <w:t xml:space="preserve"> je soubor legislativních, organizačních, technických a personálních nastavení stanovených pro výběr a správu daně a představuje především konstrukci daně, která je tvořena zejména předmětem zdanění, </w:t>
      </w:r>
      <w:r w:rsidR="00A07230">
        <w:t>poplatníky daně</w:t>
      </w:r>
      <w:r>
        <w:t>, způsobem stanovení a</w:t>
      </w:r>
      <w:r w:rsidR="00D3252B">
        <w:t> </w:t>
      </w:r>
      <w:r>
        <w:t xml:space="preserve">zabezpečení úhrady daně. </w:t>
      </w:r>
    </w:p>
    <w:p w14:paraId="13AA0D54" w14:textId="30D03AE4" w:rsidR="00603B10" w:rsidRDefault="00603B10" w:rsidP="00603B10">
      <w:r>
        <w:t xml:space="preserve">Administrativní náročnost správy daně </w:t>
      </w:r>
      <w:r w:rsidR="004C2352">
        <w:t xml:space="preserve">byla </w:t>
      </w:r>
      <w:r>
        <w:t xml:space="preserve">pro účely kontroly </w:t>
      </w:r>
      <w:r w:rsidR="004C2352">
        <w:t>posuzována ve vztahu k </w:t>
      </w:r>
      <w:r w:rsidR="00A07230">
        <w:t>výkonu činností</w:t>
      </w:r>
      <w:r>
        <w:t xml:space="preserve"> spojených s výběrem a správou daně. NKÚ prověřil správu daně silniční</w:t>
      </w:r>
      <w:r w:rsidR="00337357">
        <w:rPr>
          <w:rStyle w:val="Znakapoznpodarou"/>
          <w:rFonts w:cstheme="minorHAnsi"/>
        </w:rPr>
        <w:footnoteReference w:id="11"/>
      </w:r>
      <w:r>
        <w:t xml:space="preserve"> u GFŘ a dvou FÚ. </w:t>
      </w:r>
    </w:p>
    <w:p w14:paraId="02B72761" w14:textId="7858B77A" w:rsidR="008F08A7" w:rsidRDefault="0038562F" w:rsidP="00603B10">
      <w:r>
        <w:t xml:space="preserve">Údaje </w:t>
      </w:r>
      <w:r w:rsidR="008F08A7">
        <w:t xml:space="preserve">z </w:t>
      </w:r>
      <w:r w:rsidR="00D3252B">
        <w:t>r</w:t>
      </w:r>
      <w:r w:rsidR="008F08A7">
        <w:t>egistru silničních vozidel</w:t>
      </w:r>
      <w:r>
        <w:t xml:space="preserve"> poskytuje</w:t>
      </w:r>
      <w:r w:rsidR="008F08A7">
        <w:t xml:space="preserve"> </w:t>
      </w:r>
      <w:r>
        <w:t>orgánům Finanční správy Č</w:t>
      </w:r>
      <w:r w:rsidR="001D0875">
        <w:t>eské republiky</w:t>
      </w:r>
      <w:r>
        <w:t xml:space="preserve"> </w:t>
      </w:r>
      <w:r w:rsidR="00F429A6">
        <w:t xml:space="preserve">(dále také „FS ČR“) </w:t>
      </w:r>
      <w:r w:rsidR="008F08A7">
        <w:t xml:space="preserve">v rozsahu potřebném pro plnění konkrétního úkolu při výkonu </w:t>
      </w:r>
      <w:r w:rsidR="00D3252B">
        <w:t>jejich</w:t>
      </w:r>
      <w:r w:rsidR="008F08A7">
        <w:t xml:space="preserve"> působnosti</w:t>
      </w:r>
      <w:r>
        <w:t xml:space="preserve"> správce registru</w:t>
      </w:r>
      <w:r w:rsidR="00D45EC0">
        <w:rPr>
          <w:rStyle w:val="Znakapoznpodarou"/>
        </w:rPr>
        <w:footnoteReference w:id="12"/>
      </w:r>
      <w:r w:rsidR="008F08A7">
        <w:t>. Správcem registru je Ministerstvo dopravy</w:t>
      </w:r>
      <w:r w:rsidR="008F08A7">
        <w:rPr>
          <w:rStyle w:val="Znakapoznpodarou"/>
        </w:rPr>
        <w:footnoteReference w:id="13"/>
      </w:r>
      <w:r w:rsidR="008F08A7">
        <w:t>.</w:t>
      </w:r>
      <w:r>
        <w:t xml:space="preserve"> </w:t>
      </w:r>
    </w:p>
    <w:p w14:paraId="1D124080" w14:textId="1CB9EBD7" w:rsidR="00347F4F" w:rsidRDefault="00347F4F" w:rsidP="00347F4F">
      <w:r>
        <w:t>Efektiv</w:t>
      </w:r>
      <w:r w:rsidR="00CE66D6">
        <w:t>nost</w:t>
      </w:r>
      <w:r>
        <w:t xml:space="preserve"> správ</w:t>
      </w:r>
      <w:r w:rsidR="00CE66D6">
        <w:t>y</w:t>
      </w:r>
      <w:r>
        <w:t xml:space="preserve"> daně silniční </w:t>
      </w:r>
      <w:r w:rsidR="0044254B">
        <w:t xml:space="preserve">byla </w:t>
      </w:r>
      <w:r>
        <w:t xml:space="preserve">pro účely kontroly </w:t>
      </w:r>
      <w:r w:rsidR="0044254B">
        <w:t xml:space="preserve">posuzována jako </w:t>
      </w:r>
      <w:r w:rsidR="00931EBC">
        <w:t>hodnot</w:t>
      </w:r>
      <w:r w:rsidR="00792D2C">
        <w:t>a</w:t>
      </w:r>
      <w:r w:rsidR="00CE66D6">
        <w:t xml:space="preserve"> příjmů z daně silniční </w:t>
      </w:r>
      <w:r w:rsidR="00792D2C">
        <w:t>připadajících na 1 Kč výdajů vynaložených n</w:t>
      </w:r>
      <w:r w:rsidR="00A80A78">
        <w:t xml:space="preserve">a </w:t>
      </w:r>
      <w:r w:rsidR="00792D2C">
        <w:t>správu této daně.</w:t>
      </w:r>
    </w:p>
    <w:p w14:paraId="6C9335B2" w14:textId="23995A78" w:rsidR="00FB0E93" w:rsidRDefault="00FB0E93" w:rsidP="00D03AAA">
      <w:pPr>
        <w:pStyle w:val="Text"/>
        <w:spacing w:before="0" w:after="120"/>
      </w:pPr>
      <w:r>
        <w:t>Kontrolovaným obdobím bylo období od roku 2017 do roku 2020 a v případě věcných souvislostí i období předcházející a následující. K</w:t>
      </w:r>
      <w:r w:rsidR="00856756">
        <w:t>ontrolovaným objemem bylo inkaso daně silniční za roky 2017</w:t>
      </w:r>
      <w:r w:rsidR="00657BD7">
        <w:t>–</w:t>
      </w:r>
      <w:r w:rsidR="00856756">
        <w:t xml:space="preserve">2020, které představovalo částku ve výši 24 910 mil. Kč. </w:t>
      </w:r>
    </w:p>
    <w:p w14:paraId="11675C0C" w14:textId="0B8841B8" w:rsidR="00F352E6" w:rsidRDefault="00C136B1" w:rsidP="001306A7">
      <w:pPr>
        <w:ind w:left="567" w:hanging="567"/>
        <w:rPr>
          <w:rFonts w:cstheme="minorHAnsi"/>
          <w:sz w:val="20"/>
          <w:szCs w:val="20"/>
        </w:rPr>
      </w:pPr>
      <w:bookmarkStart w:id="3" w:name="_Hlk94537948"/>
      <w:r w:rsidRPr="00C136B1">
        <w:rPr>
          <w:rFonts w:cstheme="minorHAnsi"/>
          <w:b/>
          <w:sz w:val="20"/>
          <w:szCs w:val="20"/>
        </w:rPr>
        <w:t>Pozn.:</w:t>
      </w:r>
      <w:r w:rsidRPr="00C136B1">
        <w:rPr>
          <w:rFonts w:cstheme="minorHAnsi"/>
          <w:sz w:val="20"/>
          <w:szCs w:val="20"/>
        </w:rPr>
        <w:t xml:space="preserve"> </w:t>
      </w:r>
      <w:r w:rsidR="001306A7">
        <w:rPr>
          <w:rFonts w:cstheme="minorHAnsi"/>
          <w:sz w:val="20"/>
          <w:szCs w:val="20"/>
        </w:rPr>
        <w:tab/>
      </w:r>
      <w:r w:rsidRPr="00C136B1">
        <w:rPr>
          <w:rFonts w:cstheme="minorHAnsi"/>
          <w:sz w:val="20"/>
          <w:szCs w:val="20"/>
        </w:rPr>
        <w:t>Právní před</w:t>
      </w:r>
      <w:r>
        <w:rPr>
          <w:rFonts w:cstheme="minorHAnsi"/>
          <w:sz w:val="20"/>
          <w:szCs w:val="20"/>
        </w:rPr>
        <w:t>pisy uvedené v tomto kontrolním závěru jsou aplikovány ve znění účinném pro kontrolované období.</w:t>
      </w:r>
    </w:p>
    <w:p w14:paraId="60321A26" w14:textId="5A2BC45F" w:rsidR="00AB2886" w:rsidRDefault="00AB2886" w:rsidP="00AD0CEA">
      <w:pPr>
        <w:pStyle w:val="Nadpis1"/>
        <w:spacing w:before="480"/>
        <w:ind w:left="431" w:hanging="431"/>
        <w:jc w:val="center"/>
      </w:pPr>
      <w:bookmarkStart w:id="4" w:name="_IV._Podrobné_skutečnosti"/>
      <w:bookmarkEnd w:id="3"/>
      <w:bookmarkEnd w:id="4"/>
      <w:r>
        <w:t>IV. Podrobné skutečnosti zjištěné kontrolou</w:t>
      </w:r>
    </w:p>
    <w:p w14:paraId="1F55353A" w14:textId="4D306C62" w:rsidR="00BC474B" w:rsidRPr="001E1174" w:rsidRDefault="00751A7F" w:rsidP="00751A7F">
      <w:pPr>
        <w:pStyle w:val="Odstavecseseznamem"/>
        <w:spacing w:before="120"/>
        <w:ind w:left="0"/>
      </w:pPr>
      <w:r>
        <w:rPr>
          <w:b/>
        </w:rPr>
        <w:t xml:space="preserve">1.1 </w:t>
      </w:r>
      <w:r w:rsidR="000A582A">
        <w:rPr>
          <w:b/>
        </w:rPr>
        <w:t xml:space="preserve">Daň silniční </w:t>
      </w:r>
      <w:r w:rsidR="00537784">
        <w:rPr>
          <w:b/>
        </w:rPr>
        <w:t xml:space="preserve">do roku 2019 </w:t>
      </w:r>
      <w:r w:rsidR="000A582A">
        <w:rPr>
          <w:b/>
        </w:rPr>
        <w:t>plnila fiskální cíl, od roku 2020 se inkaso daně silniční sníž</w:t>
      </w:r>
      <w:r w:rsidR="00142A64">
        <w:rPr>
          <w:b/>
        </w:rPr>
        <w:t>ilo</w:t>
      </w:r>
      <w:r w:rsidR="001E1174">
        <w:rPr>
          <w:b/>
        </w:rPr>
        <w:t>.</w:t>
      </w:r>
    </w:p>
    <w:p w14:paraId="1608CA38" w14:textId="55BACDAF" w:rsidR="0002358E" w:rsidRDefault="0002358E" w:rsidP="00AD0CEA">
      <w:pPr>
        <w:rPr>
          <w:rFonts w:cstheme="minorHAnsi"/>
        </w:rPr>
      </w:pPr>
      <w:r>
        <w:rPr>
          <w:rFonts w:cstheme="minorHAnsi"/>
        </w:rPr>
        <w:t>Daň silniční je v české legislativě upravena</w:t>
      </w:r>
      <w:r w:rsidR="00704111">
        <w:rPr>
          <w:rFonts w:cstheme="minorHAnsi"/>
        </w:rPr>
        <w:t xml:space="preserve"> </w:t>
      </w:r>
      <w:r w:rsidR="0047532E">
        <w:rPr>
          <w:rFonts w:cstheme="minorHAnsi"/>
        </w:rPr>
        <w:t>ZDS</w:t>
      </w:r>
      <w:r w:rsidR="00F50F2E">
        <w:rPr>
          <w:rFonts w:cstheme="minorHAnsi"/>
        </w:rPr>
        <w:t xml:space="preserve">, který byl </w:t>
      </w:r>
      <w:r w:rsidR="00820652">
        <w:rPr>
          <w:rFonts w:cstheme="minorHAnsi"/>
        </w:rPr>
        <w:t xml:space="preserve">od roku 1993 </w:t>
      </w:r>
      <w:r w:rsidR="00F50F2E">
        <w:rPr>
          <w:rFonts w:cstheme="minorHAnsi"/>
        </w:rPr>
        <w:t>více n</w:t>
      </w:r>
      <w:r w:rsidR="004742CA">
        <w:rPr>
          <w:rFonts w:cstheme="minorHAnsi"/>
        </w:rPr>
        <w:t>e</w:t>
      </w:r>
      <w:r w:rsidR="00F50F2E">
        <w:rPr>
          <w:rFonts w:cstheme="minorHAnsi"/>
        </w:rPr>
        <w:t>ž dvace</w:t>
      </w:r>
      <w:r w:rsidR="00046277">
        <w:rPr>
          <w:rFonts w:cstheme="minorHAnsi"/>
        </w:rPr>
        <w:t>t</w:t>
      </w:r>
      <w:r w:rsidR="00F50F2E">
        <w:rPr>
          <w:rFonts w:cstheme="minorHAnsi"/>
        </w:rPr>
        <w:t>krát novelizován</w:t>
      </w:r>
      <w:r>
        <w:rPr>
          <w:rFonts w:cstheme="minorHAnsi"/>
        </w:rPr>
        <w:t>.</w:t>
      </w:r>
      <w:r w:rsidR="00D04ABD">
        <w:rPr>
          <w:rFonts w:cstheme="minorHAnsi"/>
        </w:rPr>
        <w:t xml:space="preserve"> Výklad pojmů souvisejíc</w:t>
      </w:r>
      <w:r w:rsidR="00A33897">
        <w:rPr>
          <w:rFonts w:cstheme="minorHAnsi"/>
        </w:rPr>
        <w:t>íc</w:t>
      </w:r>
      <w:r w:rsidR="00D04ABD">
        <w:rPr>
          <w:rFonts w:cstheme="minorHAnsi"/>
        </w:rPr>
        <w:t>h s DSL</w:t>
      </w:r>
      <w:r w:rsidR="007C7B35">
        <w:rPr>
          <w:rStyle w:val="Znakapoznpodarou"/>
          <w:rFonts w:cstheme="minorHAnsi"/>
        </w:rPr>
        <w:footnoteReference w:id="14"/>
      </w:r>
      <w:r w:rsidR="00D04ABD">
        <w:rPr>
          <w:rFonts w:cstheme="minorHAnsi"/>
        </w:rPr>
        <w:t xml:space="preserve"> je obsažen v zákoně č.</w:t>
      </w:r>
      <w:r>
        <w:rPr>
          <w:rFonts w:cstheme="minorHAnsi"/>
        </w:rPr>
        <w:t xml:space="preserve"> 56/2001 Sb</w:t>
      </w:r>
      <w:r w:rsidR="00142A64">
        <w:rPr>
          <w:rFonts w:cstheme="minorHAnsi"/>
        </w:rPr>
        <w:t>.</w:t>
      </w:r>
      <w:r w:rsidR="001E00BA">
        <w:rPr>
          <w:rStyle w:val="Znakapoznpodarou"/>
          <w:rFonts w:cstheme="minorHAnsi"/>
        </w:rPr>
        <w:footnoteReference w:id="15"/>
      </w:r>
      <w:r>
        <w:rPr>
          <w:rFonts w:cstheme="minorHAnsi"/>
        </w:rPr>
        <w:t xml:space="preserve"> </w:t>
      </w:r>
      <w:r w:rsidR="00D04ABD">
        <w:rPr>
          <w:rFonts w:cstheme="minorHAnsi"/>
        </w:rPr>
        <w:t>Z</w:t>
      </w:r>
      <w:r>
        <w:rPr>
          <w:rFonts w:cstheme="minorHAnsi"/>
        </w:rPr>
        <w:t xml:space="preserve">působ vedení registru silničních motorových vozidel a jejich přípojných vozidel, podrobnosti o údajích zapisovaných do registru a způsob vyznačování změn v registru silničních vozidel </w:t>
      </w:r>
      <w:r w:rsidR="00091185">
        <w:rPr>
          <w:rFonts w:cstheme="minorHAnsi"/>
        </w:rPr>
        <w:t>upravuje v</w:t>
      </w:r>
      <w:r w:rsidR="00031093">
        <w:rPr>
          <w:rFonts w:cstheme="minorHAnsi"/>
        </w:rPr>
        <w:t>y</w:t>
      </w:r>
      <w:r w:rsidR="00091185">
        <w:rPr>
          <w:rFonts w:cstheme="minorHAnsi"/>
        </w:rPr>
        <w:t>hláška č. 343/2014 Sb., o registraci vozidel.</w:t>
      </w:r>
      <w:r>
        <w:rPr>
          <w:rFonts w:cstheme="minorHAnsi"/>
        </w:rPr>
        <w:t xml:space="preserve"> </w:t>
      </w:r>
    </w:p>
    <w:p w14:paraId="677170FD" w14:textId="0E331944" w:rsidR="00227A3B" w:rsidRPr="004E1125" w:rsidRDefault="00292143" w:rsidP="00227A3B">
      <w:pPr>
        <w:rPr>
          <w:rFonts w:cstheme="minorHAnsi"/>
          <w:b/>
        </w:rPr>
      </w:pPr>
      <w:r w:rsidRPr="00177500">
        <w:rPr>
          <w:rFonts w:cstheme="minorHAnsi"/>
          <w:b/>
        </w:rPr>
        <w:t>Zákonem č. 299/2020 Sb.</w:t>
      </w:r>
      <w:r w:rsidR="00D845A8">
        <w:rPr>
          <w:rStyle w:val="Znakapoznpodarou"/>
          <w:rFonts w:cstheme="minorHAnsi"/>
          <w:b/>
        </w:rPr>
        <w:footnoteReference w:id="16"/>
      </w:r>
      <w:r w:rsidRPr="00177500">
        <w:rPr>
          <w:rFonts w:cstheme="minorHAnsi"/>
          <w:b/>
        </w:rPr>
        <w:t xml:space="preserve"> došlo </w:t>
      </w:r>
      <w:r w:rsidR="00B70893" w:rsidRPr="00177500">
        <w:rPr>
          <w:rFonts w:cstheme="minorHAnsi"/>
          <w:b/>
        </w:rPr>
        <w:t>s účinností od 1. 1. 2020</w:t>
      </w:r>
      <w:r w:rsidR="009A5F48" w:rsidRPr="00177500">
        <w:rPr>
          <w:rFonts w:cstheme="minorHAnsi"/>
          <w:b/>
        </w:rPr>
        <w:t xml:space="preserve"> </w:t>
      </w:r>
      <w:r w:rsidRPr="00177500">
        <w:rPr>
          <w:rFonts w:cstheme="minorHAnsi"/>
          <w:b/>
        </w:rPr>
        <w:t>ke snížení všech</w:t>
      </w:r>
      <w:r w:rsidR="00B70893" w:rsidRPr="00177500">
        <w:rPr>
          <w:rFonts w:cstheme="minorHAnsi"/>
          <w:b/>
        </w:rPr>
        <w:t xml:space="preserve"> sazeb</w:t>
      </w:r>
      <w:r w:rsidRPr="00177500">
        <w:rPr>
          <w:rFonts w:cstheme="minorHAnsi"/>
          <w:b/>
        </w:rPr>
        <w:t xml:space="preserve"> </w:t>
      </w:r>
      <w:r w:rsidR="005F3C7B" w:rsidRPr="00177500">
        <w:rPr>
          <w:rFonts w:cstheme="minorHAnsi"/>
          <w:b/>
        </w:rPr>
        <w:t>DSL</w:t>
      </w:r>
      <w:r w:rsidRPr="00177500">
        <w:rPr>
          <w:rFonts w:cstheme="minorHAnsi"/>
          <w:b/>
        </w:rPr>
        <w:t xml:space="preserve"> </w:t>
      </w:r>
      <w:r w:rsidR="00A071DD">
        <w:rPr>
          <w:rFonts w:cstheme="minorHAnsi"/>
          <w:b/>
        </w:rPr>
        <w:br/>
      </w:r>
      <w:r w:rsidRPr="00177500">
        <w:rPr>
          <w:rFonts w:cstheme="minorHAnsi"/>
          <w:b/>
        </w:rPr>
        <w:t>u vozidel nad</w:t>
      </w:r>
      <w:r w:rsidRPr="001E7CCB">
        <w:rPr>
          <w:rFonts w:cstheme="minorHAnsi"/>
          <w:b/>
        </w:rPr>
        <w:t xml:space="preserve"> 3,5 t</w:t>
      </w:r>
      <w:r w:rsidR="00B106AC">
        <w:rPr>
          <w:rFonts w:cstheme="minorHAnsi"/>
          <w:b/>
        </w:rPr>
        <w:t>uny</w:t>
      </w:r>
      <w:r w:rsidRPr="001E7CCB">
        <w:rPr>
          <w:rFonts w:cstheme="minorHAnsi"/>
          <w:b/>
        </w:rPr>
        <w:t xml:space="preserve"> o 25 % oproti roku 2019. Tato změna</w:t>
      </w:r>
      <w:r w:rsidR="00B106AC">
        <w:rPr>
          <w:rFonts w:cstheme="minorHAnsi"/>
          <w:b/>
        </w:rPr>
        <w:t>,</w:t>
      </w:r>
      <w:r w:rsidRPr="001E7CCB">
        <w:rPr>
          <w:rFonts w:cstheme="minorHAnsi"/>
          <w:b/>
        </w:rPr>
        <w:t xml:space="preserve"> reagující na negativní dopady pandemie </w:t>
      </w:r>
      <w:r w:rsidR="00B106AC">
        <w:rPr>
          <w:rFonts w:cstheme="minorHAnsi"/>
          <w:b/>
        </w:rPr>
        <w:t>covidu</w:t>
      </w:r>
      <w:r w:rsidRPr="001E7CCB">
        <w:rPr>
          <w:rFonts w:cstheme="minorHAnsi"/>
          <w:b/>
        </w:rPr>
        <w:t>-19 na ekonomickou situaci daňových subjektů</w:t>
      </w:r>
      <w:r w:rsidR="00B106AC">
        <w:rPr>
          <w:rFonts w:cstheme="minorHAnsi"/>
          <w:b/>
        </w:rPr>
        <w:t>,</w:t>
      </w:r>
      <w:r w:rsidR="0044254B">
        <w:rPr>
          <w:rFonts w:cstheme="minorHAnsi"/>
          <w:b/>
        </w:rPr>
        <w:t xml:space="preserve"> byla zavedena bez časového omezení</w:t>
      </w:r>
      <w:r w:rsidR="00A76A90">
        <w:rPr>
          <w:rFonts w:cstheme="minorHAnsi"/>
          <w:b/>
        </w:rPr>
        <w:t>.</w:t>
      </w:r>
      <w:r w:rsidR="000A582A">
        <w:rPr>
          <w:rFonts w:cstheme="minorHAnsi"/>
          <w:b/>
        </w:rPr>
        <w:t xml:space="preserve"> </w:t>
      </w:r>
      <w:r w:rsidR="00A76A90">
        <w:rPr>
          <w:rFonts w:cstheme="minorHAnsi"/>
          <w:b/>
        </w:rPr>
        <w:t>Změna se p</w:t>
      </w:r>
      <w:r w:rsidRPr="001E7CCB">
        <w:rPr>
          <w:rFonts w:cstheme="minorHAnsi"/>
          <w:b/>
        </w:rPr>
        <w:t xml:space="preserve">rojevila v hodnotě </w:t>
      </w:r>
      <w:r w:rsidR="0044254B">
        <w:rPr>
          <w:rFonts w:cstheme="minorHAnsi"/>
          <w:b/>
        </w:rPr>
        <w:t xml:space="preserve">inkasa </w:t>
      </w:r>
      <w:r w:rsidRPr="001E7CCB">
        <w:rPr>
          <w:rFonts w:cstheme="minorHAnsi"/>
          <w:b/>
        </w:rPr>
        <w:t>daně silniční za rok 2020</w:t>
      </w:r>
      <w:r w:rsidR="001E7CCB">
        <w:rPr>
          <w:rFonts w:cstheme="minorHAnsi"/>
          <w:b/>
        </w:rPr>
        <w:t>.</w:t>
      </w:r>
      <w:r w:rsidR="00970891" w:rsidRPr="007C035B">
        <w:rPr>
          <w:rFonts w:cstheme="minorHAnsi"/>
          <w:b/>
        </w:rPr>
        <w:t xml:space="preserve"> </w:t>
      </w:r>
      <w:r w:rsidR="00FB1F6C" w:rsidRPr="004E1125">
        <w:rPr>
          <w:rFonts w:cstheme="minorHAnsi"/>
          <w:b/>
        </w:rPr>
        <w:t>P</w:t>
      </w:r>
      <w:r w:rsidR="00227A3B" w:rsidRPr="004E1125">
        <w:rPr>
          <w:rFonts w:cstheme="minorHAnsi"/>
          <w:b/>
        </w:rPr>
        <w:t>okles výše inkasa o cca 8 % mezi roky 2019</w:t>
      </w:r>
      <w:r w:rsidR="00CD0AD3">
        <w:rPr>
          <w:rFonts w:cstheme="minorHAnsi"/>
          <w:b/>
        </w:rPr>
        <w:t>–</w:t>
      </w:r>
      <w:r w:rsidR="00227A3B" w:rsidRPr="004E1125">
        <w:rPr>
          <w:rFonts w:cstheme="minorHAnsi"/>
          <w:b/>
        </w:rPr>
        <w:t>2020 přibližn</w:t>
      </w:r>
      <w:r w:rsidR="00B106AC">
        <w:rPr>
          <w:rFonts w:cstheme="minorHAnsi"/>
          <w:b/>
        </w:rPr>
        <w:t>ě</w:t>
      </w:r>
      <w:r w:rsidR="00227A3B" w:rsidRPr="004E1125">
        <w:rPr>
          <w:rFonts w:cstheme="minorHAnsi"/>
          <w:b/>
        </w:rPr>
        <w:t xml:space="preserve"> </w:t>
      </w:r>
      <w:r w:rsidR="00B106AC" w:rsidRPr="004E1125">
        <w:rPr>
          <w:rFonts w:cstheme="minorHAnsi"/>
          <w:b/>
        </w:rPr>
        <w:t xml:space="preserve">na </w:t>
      </w:r>
      <w:r w:rsidR="00227A3B" w:rsidRPr="004E1125">
        <w:rPr>
          <w:rFonts w:cstheme="minorHAnsi"/>
          <w:b/>
        </w:rPr>
        <w:t xml:space="preserve">hodnotu inkasa </w:t>
      </w:r>
      <w:r w:rsidR="00B106AC">
        <w:rPr>
          <w:rFonts w:cstheme="minorHAnsi"/>
          <w:b/>
        </w:rPr>
        <w:t>z</w:t>
      </w:r>
      <w:r w:rsidR="00227A3B" w:rsidRPr="004E1125">
        <w:rPr>
          <w:rFonts w:cstheme="minorHAnsi"/>
          <w:b/>
        </w:rPr>
        <w:t> ro</w:t>
      </w:r>
      <w:r w:rsidR="00B106AC">
        <w:rPr>
          <w:rFonts w:cstheme="minorHAnsi"/>
          <w:b/>
        </w:rPr>
        <w:t>ku</w:t>
      </w:r>
      <w:r w:rsidR="00227A3B" w:rsidRPr="004E1125">
        <w:rPr>
          <w:rFonts w:cstheme="minorHAnsi"/>
          <w:b/>
        </w:rPr>
        <w:t xml:space="preserve"> 2016 ilustruje</w:t>
      </w:r>
      <w:r w:rsidR="00CD0AD3">
        <w:rPr>
          <w:rFonts w:cstheme="minorHAnsi"/>
          <w:b/>
        </w:rPr>
        <w:t xml:space="preserve"> graf </w:t>
      </w:r>
      <w:r w:rsidR="00D054AB">
        <w:rPr>
          <w:rFonts w:cstheme="minorHAnsi"/>
          <w:b/>
        </w:rPr>
        <w:t>1.</w:t>
      </w:r>
    </w:p>
    <w:p w14:paraId="0EFC2689" w14:textId="209CA1CB" w:rsidR="009A5F48" w:rsidRPr="009F2EC1" w:rsidRDefault="009F2EC1" w:rsidP="003C1814">
      <w:pPr>
        <w:pStyle w:val="Titulek"/>
        <w:keepNext/>
        <w:keepLines/>
        <w:rPr>
          <w:b/>
          <w:i w:val="0"/>
          <w:color w:val="auto"/>
          <w:sz w:val="24"/>
          <w:szCs w:val="24"/>
        </w:rPr>
      </w:pPr>
      <w:bookmarkStart w:id="5" w:name="_Ref88127822"/>
      <w:r w:rsidRPr="009F2EC1">
        <w:rPr>
          <w:b/>
          <w:i w:val="0"/>
          <w:color w:val="auto"/>
          <w:sz w:val="24"/>
          <w:szCs w:val="24"/>
        </w:rPr>
        <w:t xml:space="preserve">Graf </w:t>
      </w:r>
      <w:r w:rsidRPr="009F2EC1">
        <w:rPr>
          <w:b/>
          <w:i w:val="0"/>
          <w:color w:val="auto"/>
          <w:sz w:val="24"/>
          <w:szCs w:val="24"/>
        </w:rPr>
        <w:fldChar w:fldCharType="begin"/>
      </w:r>
      <w:r w:rsidRPr="009F2EC1">
        <w:rPr>
          <w:b/>
          <w:i w:val="0"/>
          <w:color w:val="auto"/>
          <w:sz w:val="24"/>
          <w:szCs w:val="24"/>
        </w:rPr>
        <w:instrText xml:space="preserve"> SEQ Graf \* ARABIC </w:instrText>
      </w:r>
      <w:r w:rsidRPr="009F2EC1">
        <w:rPr>
          <w:b/>
          <w:i w:val="0"/>
          <w:color w:val="auto"/>
          <w:sz w:val="24"/>
          <w:szCs w:val="24"/>
        </w:rPr>
        <w:fldChar w:fldCharType="separate"/>
      </w:r>
      <w:r w:rsidR="00500A1C">
        <w:rPr>
          <w:b/>
          <w:i w:val="0"/>
          <w:noProof/>
          <w:color w:val="auto"/>
          <w:sz w:val="24"/>
          <w:szCs w:val="24"/>
        </w:rPr>
        <w:t>1</w:t>
      </w:r>
      <w:r w:rsidRPr="009F2EC1">
        <w:rPr>
          <w:b/>
          <w:i w:val="0"/>
          <w:color w:val="auto"/>
          <w:sz w:val="24"/>
          <w:szCs w:val="24"/>
        </w:rPr>
        <w:fldChar w:fldCharType="end"/>
      </w:r>
      <w:bookmarkEnd w:id="5"/>
      <w:r w:rsidR="00E01508">
        <w:rPr>
          <w:b/>
          <w:i w:val="0"/>
          <w:color w:val="auto"/>
          <w:sz w:val="24"/>
          <w:szCs w:val="24"/>
        </w:rPr>
        <w:t>:</w:t>
      </w:r>
      <w:r w:rsidRPr="009F2EC1">
        <w:rPr>
          <w:b/>
          <w:i w:val="0"/>
          <w:color w:val="auto"/>
          <w:sz w:val="24"/>
          <w:szCs w:val="24"/>
        </w:rPr>
        <w:t xml:space="preserve"> </w:t>
      </w:r>
      <w:r w:rsidR="009A5F48" w:rsidRPr="009F2EC1">
        <w:rPr>
          <w:rFonts w:cstheme="minorHAnsi"/>
          <w:b/>
          <w:i w:val="0"/>
          <w:color w:val="auto"/>
          <w:sz w:val="24"/>
          <w:szCs w:val="24"/>
        </w:rPr>
        <w:t xml:space="preserve">Předpis a inkaso daně silniční v letech </w:t>
      </w:r>
      <w:bookmarkStart w:id="6" w:name="_Hlk79665211"/>
      <w:r w:rsidR="009A5F48" w:rsidRPr="009F2EC1">
        <w:rPr>
          <w:rFonts w:cstheme="minorHAnsi"/>
          <w:b/>
          <w:i w:val="0"/>
          <w:color w:val="auto"/>
          <w:sz w:val="24"/>
          <w:szCs w:val="24"/>
        </w:rPr>
        <w:t xml:space="preserve">2016–2020 </w:t>
      </w:r>
      <w:bookmarkEnd w:id="6"/>
      <w:r w:rsidR="009A5F48" w:rsidRPr="009F2EC1">
        <w:rPr>
          <w:rFonts w:cstheme="minorHAnsi"/>
          <w:b/>
          <w:i w:val="0"/>
          <w:color w:val="auto"/>
          <w:sz w:val="24"/>
          <w:szCs w:val="24"/>
        </w:rPr>
        <w:t>(v mil. Kč)</w:t>
      </w:r>
    </w:p>
    <w:p w14:paraId="7A5F0C77" w14:textId="77777777" w:rsidR="009A5F48" w:rsidRDefault="009A5F48" w:rsidP="003C1814">
      <w:pPr>
        <w:keepNext/>
        <w:keepLines/>
        <w:rPr>
          <w:rFonts w:cstheme="minorHAnsi"/>
          <w:b/>
        </w:rPr>
      </w:pPr>
      <w:r>
        <w:rPr>
          <w:noProof/>
          <w:lang w:eastAsia="cs-CZ"/>
        </w:rPr>
        <w:drawing>
          <wp:inline distT="0" distB="0" distL="0" distR="0" wp14:anchorId="3B1B1BB6" wp14:editId="68A177D1">
            <wp:extent cx="5725795" cy="1889184"/>
            <wp:effectExtent l="0" t="0" r="8255" b="0"/>
            <wp:docPr id="1" name="Graf 1">
              <a:extLst xmlns:a="http://schemas.openxmlformats.org/drawingml/2006/main">
                <a:ext uri="{FF2B5EF4-FFF2-40B4-BE49-F238E27FC236}">
                  <a16:creationId xmlns:a16="http://schemas.microsoft.com/office/drawing/2014/main" id="{CE05E5CC-0AE1-4B65-B00E-68A9EBBBF9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6E2200" w14:textId="475277F9" w:rsidR="009A5F48" w:rsidRDefault="009A5F48" w:rsidP="003C1814">
      <w:pPr>
        <w:keepNext/>
        <w:keepLines/>
        <w:rPr>
          <w:rFonts w:cstheme="minorHAnsi"/>
          <w:sz w:val="20"/>
          <w:szCs w:val="20"/>
        </w:rPr>
      </w:pPr>
      <w:r w:rsidRPr="004975CC">
        <w:rPr>
          <w:rFonts w:cstheme="minorHAnsi"/>
          <w:sz w:val="20"/>
        </w:rPr>
        <w:t>Zdroj: GFŘ, vlastní zpracování NKÚ.</w:t>
      </w:r>
      <w:r>
        <w:rPr>
          <w:rFonts w:cstheme="minorHAnsi"/>
          <w:sz w:val="20"/>
        </w:rPr>
        <w:t xml:space="preserve"> </w:t>
      </w:r>
    </w:p>
    <w:p w14:paraId="3268A053" w14:textId="77777777" w:rsidR="00CC5AC3" w:rsidRDefault="00CC5AC3" w:rsidP="00A31DD0">
      <w:pPr>
        <w:rPr>
          <w:rFonts w:ascii="Calibri" w:eastAsia="Calibri" w:hAnsi="Calibri"/>
        </w:rPr>
      </w:pPr>
      <w:bookmarkStart w:id="7" w:name="_Hlk89848364"/>
    </w:p>
    <w:p w14:paraId="7C822084" w14:textId="2CFCB34E" w:rsidR="000A582A" w:rsidRPr="00751A7F" w:rsidRDefault="00751A7F" w:rsidP="00751A7F">
      <w:pPr>
        <w:spacing w:before="120"/>
        <w:rPr>
          <w:b/>
          <w:highlight w:val="yellow"/>
        </w:rPr>
      </w:pPr>
      <w:r>
        <w:rPr>
          <w:b/>
        </w:rPr>
        <w:t xml:space="preserve">1.2 </w:t>
      </w:r>
      <w:r w:rsidR="00ED5D74">
        <w:rPr>
          <w:b/>
        </w:rPr>
        <w:t xml:space="preserve">I přes </w:t>
      </w:r>
      <w:r w:rsidR="00B26138">
        <w:rPr>
          <w:b/>
        </w:rPr>
        <w:t>zavedení přísnějších norem v oblasti</w:t>
      </w:r>
      <w:r w:rsidR="00ED5D74">
        <w:rPr>
          <w:b/>
        </w:rPr>
        <w:t xml:space="preserve"> emisí škodlivin </w:t>
      </w:r>
      <w:r w:rsidR="00375F60">
        <w:rPr>
          <w:b/>
        </w:rPr>
        <w:t xml:space="preserve">v dopravě </w:t>
      </w:r>
      <w:r w:rsidR="00B26138">
        <w:rPr>
          <w:rFonts w:ascii="Calibri" w:eastAsia="Calibri" w:hAnsi="Calibri"/>
          <w:b/>
        </w:rPr>
        <w:t xml:space="preserve">nedošlo </w:t>
      </w:r>
      <w:r w:rsidR="00B26138">
        <w:rPr>
          <w:b/>
        </w:rPr>
        <w:t>o</w:t>
      </w:r>
      <w:r w:rsidR="00D67B66" w:rsidRPr="00751A7F">
        <w:rPr>
          <w:rFonts w:ascii="Calibri" w:eastAsia="Calibri" w:hAnsi="Calibri"/>
          <w:b/>
        </w:rPr>
        <w:t xml:space="preserve">d roku 2008 </w:t>
      </w:r>
      <w:r w:rsidR="00742D09">
        <w:rPr>
          <w:rFonts w:ascii="Calibri" w:eastAsia="Calibri" w:hAnsi="Calibri"/>
          <w:b/>
        </w:rPr>
        <w:t xml:space="preserve">ke změně </w:t>
      </w:r>
      <w:r w:rsidR="00D67B66" w:rsidRPr="00751A7F">
        <w:rPr>
          <w:b/>
        </w:rPr>
        <w:t xml:space="preserve">ustanovení § 6 odst. 8 ZDS </w:t>
      </w:r>
    </w:p>
    <w:p w14:paraId="71DBEBB1" w14:textId="77777777" w:rsidR="00CC5AC3" w:rsidRDefault="00CC5AC3" w:rsidP="006944A7">
      <w:pPr>
        <w:rPr>
          <w:bCs/>
        </w:rPr>
      </w:pPr>
      <w:r w:rsidRPr="00204396">
        <w:t>V rámci daně</w:t>
      </w:r>
      <w:r>
        <w:t xml:space="preserve"> silniční</w:t>
      </w:r>
      <w:r w:rsidRPr="00204396">
        <w:t xml:space="preserve"> </w:t>
      </w:r>
      <w:r>
        <w:t>umožňuje ZDS uplatnit</w:t>
      </w:r>
      <w:r w:rsidRPr="00204396">
        <w:t xml:space="preserve"> řad</w:t>
      </w:r>
      <w:r>
        <w:t>u</w:t>
      </w:r>
      <w:r w:rsidRPr="00204396">
        <w:t xml:space="preserve"> motivačních opatření</w:t>
      </w:r>
      <w:r>
        <w:t>,</w:t>
      </w:r>
      <w:r w:rsidRPr="00204396">
        <w:t xml:space="preserve"> </w:t>
      </w:r>
      <w:r>
        <w:t xml:space="preserve">jejichž cílem je </w:t>
      </w:r>
      <w:r w:rsidRPr="00204396">
        <w:rPr>
          <w:bCs/>
        </w:rPr>
        <w:t>obnov</w:t>
      </w:r>
      <w:r>
        <w:rPr>
          <w:bCs/>
        </w:rPr>
        <w:t>a</w:t>
      </w:r>
      <w:r w:rsidRPr="00204396">
        <w:rPr>
          <w:bCs/>
        </w:rPr>
        <w:t xml:space="preserve"> vozového parku či poř</w:t>
      </w:r>
      <w:r>
        <w:rPr>
          <w:bCs/>
        </w:rPr>
        <w:t xml:space="preserve">ízení </w:t>
      </w:r>
      <w:r w:rsidRPr="00204396">
        <w:rPr>
          <w:bCs/>
        </w:rPr>
        <w:t>vozidel šetrnější</w:t>
      </w:r>
      <w:r>
        <w:rPr>
          <w:bCs/>
        </w:rPr>
        <w:t xml:space="preserve">ch </w:t>
      </w:r>
      <w:r w:rsidRPr="00204396">
        <w:rPr>
          <w:bCs/>
        </w:rPr>
        <w:t xml:space="preserve">k životnímu prostředí. </w:t>
      </w:r>
    </w:p>
    <w:p w14:paraId="1CEDEBE0" w14:textId="04CA56E3" w:rsidR="00CC5AC3" w:rsidRDefault="00CC5AC3" w:rsidP="006944A7">
      <w:pPr>
        <w:spacing w:after="160"/>
        <w:rPr>
          <w:rFonts w:ascii="Calibri" w:eastAsia="Calibri" w:hAnsi="Calibri"/>
          <w:b/>
        </w:rPr>
      </w:pPr>
      <w:r>
        <w:rPr>
          <w:rFonts w:ascii="Calibri" w:eastAsia="Calibri" w:hAnsi="Calibri"/>
          <w:b/>
        </w:rPr>
        <w:t>Zákon o dani silniční obsahuje řadu daňových úlev, které umož</w:t>
      </w:r>
      <w:r w:rsidR="00EE65EC">
        <w:rPr>
          <w:rFonts w:ascii="Calibri" w:eastAsia="Calibri" w:hAnsi="Calibri"/>
          <w:b/>
        </w:rPr>
        <w:t>ň</w:t>
      </w:r>
      <w:r>
        <w:rPr>
          <w:rFonts w:ascii="Calibri" w:eastAsia="Calibri" w:hAnsi="Calibri"/>
          <w:b/>
        </w:rPr>
        <w:t xml:space="preserve">ují zvýhodnění </w:t>
      </w:r>
      <w:r w:rsidR="005463F0">
        <w:rPr>
          <w:rFonts w:ascii="Calibri" w:eastAsia="Calibri" w:hAnsi="Calibri"/>
          <w:b/>
        </w:rPr>
        <w:br/>
      </w:r>
      <w:r w:rsidR="00D80116">
        <w:rPr>
          <w:rFonts w:ascii="Calibri" w:eastAsia="Calibri" w:hAnsi="Calibri"/>
          <w:b/>
        </w:rPr>
        <w:t>mj.</w:t>
      </w:r>
      <w:r>
        <w:rPr>
          <w:rFonts w:ascii="Calibri" w:eastAsia="Calibri" w:hAnsi="Calibri"/>
          <w:b/>
        </w:rPr>
        <w:t xml:space="preserve"> ekologičtějších typů vozidel. </w:t>
      </w:r>
      <w:r w:rsidRPr="00507FA7">
        <w:rPr>
          <w:rFonts w:cstheme="minorHAnsi"/>
          <w:b/>
        </w:rPr>
        <w:t>NKÚ zjistil, že hodnota daňových úlev dosahuje výše</w:t>
      </w:r>
      <w:r>
        <w:rPr>
          <w:rFonts w:cstheme="minorHAnsi"/>
          <w:b/>
        </w:rPr>
        <w:t xml:space="preserve"> </w:t>
      </w:r>
      <w:r w:rsidR="005463F0">
        <w:rPr>
          <w:rFonts w:cstheme="minorHAnsi"/>
          <w:b/>
        </w:rPr>
        <w:br/>
      </w:r>
      <w:r>
        <w:rPr>
          <w:rFonts w:cstheme="minorHAnsi"/>
          <w:b/>
        </w:rPr>
        <w:t>cca 7 % z </w:t>
      </w:r>
      <w:r w:rsidRPr="004E1125">
        <w:rPr>
          <w:rFonts w:cstheme="minorHAnsi"/>
          <w:b/>
        </w:rPr>
        <w:t>inkasa daně silniční</w:t>
      </w:r>
      <w:r w:rsidR="00792D2C">
        <w:rPr>
          <w:rFonts w:cstheme="minorHAnsi"/>
          <w:b/>
        </w:rPr>
        <w:t>,</w:t>
      </w:r>
      <w:r w:rsidRPr="004E1125">
        <w:rPr>
          <w:rFonts w:cstheme="minorHAnsi"/>
          <w:b/>
        </w:rPr>
        <w:t xml:space="preserve"> viz</w:t>
      </w:r>
      <w:r w:rsidR="00E923B6">
        <w:rPr>
          <w:rFonts w:cstheme="minorHAnsi"/>
          <w:b/>
        </w:rPr>
        <w:t xml:space="preserve"> tabulka 1</w:t>
      </w:r>
      <w:r w:rsidRPr="00866566">
        <w:rPr>
          <w:rFonts w:cstheme="minorHAnsi"/>
          <w:b/>
        </w:rPr>
        <w:t>.</w:t>
      </w:r>
      <w:r w:rsidRPr="00866566">
        <w:rPr>
          <w:rFonts w:ascii="Calibri" w:eastAsia="Calibri" w:hAnsi="Calibri"/>
          <w:b/>
        </w:rPr>
        <w:t xml:space="preserve"> </w:t>
      </w:r>
    </w:p>
    <w:p w14:paraId="6E7EAC8A" w14:textId="5E732C78" w:rsidR="00CC5AC3" w:rsidRPr="009F4B46" w:rsidRDefault="00CC5AC3" w:rsidP="00792D2C">
      <w:pPr>
        <w:keepNext/>
        <w:keepLines/>
        <w:tabs>
          <w:tab w:val="right" w:pos="9070"/>
        </w:tabs>
        <w:spacing w:after="0"/>
        <w:rPr>
          <w:rFonts w:ascii="Calibri" w:eastAsia="Calibri" w:hAnsi="Calibri"/>
          <w:b/>
        </w:rPr>
      </w:pPr>
      <w:bookmarkStart w:id="8" w:name="_Ref88128055"/>
      <w:r w:rsidRPr="00B67F78">
        <w:rPr>
          <w:rFonts w:cstheme="minorHAnsi"/>
          <w:b/>
          <w:color w:val="000000" w:themeColor="text1"/>
          <w:szCs w:val="24"/>
        </w:rPr>
        <w:t xml:space="preserve">Tabulka </w:t>
      </w:r>
      <w:r w:rsidRPr="00B67F78">
        <w:rPr>
          <w:rFonts w:cstheme="minorHAnsi"/>
          <w:b/>
          <w:color w:val="000000" w:themeColor="text1"/>
          <w:szCs w:val="24"/>
        </w:rPr>
        <w:fldChar w:fldCharType="begin"/>
      </w:r>
      <w:r w:rsidRPr="00B67F78">
        <w:rPr>
          <w:rFonts w:cstheme="minorHAnsi"/>
          <w:b/>
          <w:color w:val="000000" w:themeColor="text1"/>
          <w:szCs w:val="24"/>
        </w:rPr>
        <w:instrText xml:space="preserve"> SEQ Tabulka \* ARABIC </w:instrText>
      </w:r>
      <w:r w:rsidRPr="00B67F78">
        <w:rPr>
          <w:rFonts w:cstheme="minorHAnsi"/>
          <w:b/>
          <w:color w:val="000000" w:themeColor="text1"/>
          <w:szCs w:val="24"/>
        </w:rPr>
        <w:fldChar w:fldCharType="separate"/>
      </w:r>
      <w:r w:rsidR="00500A1C">
        <w:rPr>
          <w:rFonts w:cstheme="minorHAnsi"/>
          <w:b/>
          <w:noProof/>
          <w:color w:val="000000" w:themeColor="text1"/>
          <w:szCs w:val="24"/>
        </w:rPr>
        <w:t>1</w:t>
      </w:r>
      <w:r w:rsidRPr="00B67F78">
        <w:rPr>
          <w:rFonts w:cstheme="minorHAnsi"/>
          <w:b/>
          <w:color w:val="000000" w:themeColor="text1"/>
          <w:szCs w:val="24"/>
        </w:rPr>
        <w:fldChar w:fldCharType="end"/>
      </w:r>
      <w:bookmarkEnd w:id="8"/>
      <w:r w:rsidR="00E01508">
        <w:rPr>
          <w:rFonts w:cstheme="minorHAnsi"/>
          <w:b/>
          <w:color w:val="000000" w:themeColor="text1"/>
          <w:szCs w:val="24"/>
        </w:rPr>
        <w:t>:</w:t>
      </w:r>
      <w:r w:rsidRPr="00B67F78">
        <w:rPr>
          <w:rFonts w:cstheme="minorHAnsi"/>
          <w:b/>
          <w:color w:val="000000" w:themeColor="text1"/>
          <w:szCs w:val="24"/>
        </w:rPr>
        <w:t xml:space="preserve"> </w:t>
      </w:r>
      <w:r w:rsidRPr="00B67F78">
        <w:rPr>
          <w:rFonts w:ascii="Calibri" w:eastAsia="Calibri" w:hAnsi="Calibri"/>
          <w:b/>
        </w:rPr>
        <w:t>Hodnota</w:t>
      </w:r>
      <w:r w:rsidRPr="009F4B46">
        <w:rPr>
          <w:rFonts w:ascii="Calibri" w:eastAsia="Calibri" w:hAnsi="Calibri"/>
          <w:b/>
        </w:rPr>
        <w:t xml:space="preserve"> </w:t>
      </w:r>
      <w:r>
        <w:rPr>
          <w:rFonts w:ascii="Calibri" w:eastAsia="Calibri" w:hAnsi="Calibri"/>
          <w:b/>
        </w:rPr>
        <w:t>daňových úlev</w:t>
      </w:r>
      <w:r w:rsidRPr="009F4B46">
        <w:rPr>
          <w:rFonts w:ascii="Calibri" w:eastAsia="Calibri" w:hAnsi="Calibri"/>
          <w:b/>
        </w:rPr>
        <w:t xml:space="preserve"> </w:t>
      </w:r>
      <w:r w:rsidR="00792D2C">
        <w:rPr>
          <w:rFonts w:ascii="Calibri" w:eastAsia="Calibri" w:hAnsi="Calibri"/>
          <w:b/>
        </w:rPr>
        <w:t xml:space="preserve">na </w:t>
      </w:r>
      <w:r w:rsidRPr="009F4B46">
        <w:rPr>
          <w:rFonts w:ascii="Calibri" w:eastAsia="Calibri" w:hAnsi="Calibri"/>
          <w:b/>
        </w:rPr>
        <w:t>dan</w:t>
      </w:r>
      <w:r w:rsidR="00792D2C">
        <w:rPr>
          <w:rFonts w:ascii="Calibri" w:eastAsia="Calibri" w:hAnsi="Calibri"/>
          <w:b/>
        </w:rPr>
        <w:t>i</w:t>
      </w:r>
      <w:r w:rsidRPr="009F4B46">
        <w:rPr>
          <w:rFonts w:ascii="Calibri" w:eastAsia="Calibri" w:hAnsi="Calibri"/>
          <w:b/>
        </w:rPr>
        <w:t xml:space="preserve"> silniční</w:t>
      </w:r>
      <w:r>
        <w:rPr>
          <w:rFonts w:ascii="Calibri" w:eastAsia="Calibri" w:hAnsi="Calibri"/>
          <w:b/>
        </w:rPr>
        <w:t xml:space="preserve"> </w:t>
      </w:r>
      <w:r w:rsidR="00792D2C">
        <w:rPr>
          <w:rFonts w:ascii="Calibri" w:eastAsia="Calibri" w:hAnsi="Calibri"/>
          <w:b/>
        </w:rPr>
        <w:tab/>
      </w:r>
      <w:r>
        <w:rPr>
          <w:rFonts w:ascii="Calibri" w:eastAsia="Calibri" w:hAnsi="Calibri"/>
          <w:b/>
        </w:rPr>
        <w:t>(v tis. Kč)</w:t>
      </w:r>
    </w:p>
    <w:tbl>
      <w:tblPr>
        <w:tblW w:w="9120" w:type="dxa"/>
        <w:tblInd w:w="-5" w:type="dxa"/>
        <w:tblLayout w:type="fixed"/>
        <w:tblCellMar>
          <w:left w:w="70" w:type="dxa"/>
          <w:right w:w="70" w:type="dxa"/>
        </w:tblCellMar>
        <w:tblLook w:val="04A0" w:firstRow="1" w:lastRow="0" w:firstColumn="1" w:lastColumn="0" w:noHBand="0" w:noVBand="1"/>
      </w:tblPr>
      <w:tblGrid>
        <w:gridCol w:w="3261"/>
        <w:gridCol w:w="1171"/>
        <w:gridCol w:w="1172"/>
        <w:gridCol w:w="1172"/>
        <w:gridCol w:w="1172"/>
        <w:gridCol w:w="1172"/>
      </w:tblGrid>
      <w:tr w:rsidR="00A821FE" w:rsidRPr="00A821FE" w14:paraId="387145C6" w14:textId="77777777" w:rsidTr="00646DAE">
        <w:trPr>
          <w:trHeight w:val="300"/>
        </w:trPr>
        <w:tc>
          <w:tcPr>
            <w:tcW w:w="3261"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3CE2CCB6" w14:textId="29221DE2" w:rsidR="00A821FE" w:rsidRPr="00A821FE" w:rsidRDefault="00A821FE" w:rsidP="00A821FE">
            <w:pPr>
              <w:spacing w:after="0"/>
              <w:jc w:val="left"/>
              <w:rPr>
                <w:rFonts w:ascii="Calibri" w:eastAsia="Times New Roman" w:hAnsi="Calibri" w:cs="Calibri"/>
                <w:b/>
                <w:bCs/>
                <w:color w:val="000000"/>
                <w:sz w:val="20"/>
                <w:szCs w:val="20"/>
                <w:lang w:eastAsia="cs-CZ"/>
              </w:rPr>
            </w:pPr>
            <w:r w:rsidRPr="00A821FE">
              <w:rPr>
                <w:rFonts w:ascii="Calibri" w:eastAsia="Times New Roman" w:hAnsi="Calibri" w:cs="Calibri"/>
                <w:b/>
                <w:bCs/>
                <w:color w:val="000000"/>
                <w:sz w:val="20"/>
                <w:szCs w:val="20"/>
                <w:lang w:eastAsia="cs-CZ"/>
              </w:rPr>
              <w:t xml:space="preserve">Daň silniční za zdaňovací období roku </w:t>
            </w:r>
          </w:p>
        </w:tc>
        <w:tc>
          <w:tcPr>
            <w:tcW w:w="1171" w:type="dxa"/>
            <w:tcBorders>
              <w:top w:val="single" w:sz="4" w:space="0" w:color="auto"/>
              <w:left w:val="nil"/>
              <w:bottom w:val="single" w:sz="4" w:space="0" w:color="auto"/>
              <w:right w:val="single" w:sz="4" w:space="0" w:color="auto"/>
            </w:tcBorders>
            <w:shd w:val="clear" w:color="000000" w:fill="E5F1FF"/>
            <w:noWrap/>
            <w:vAlign w:val="center"/>
            <w:hideMark/>
          </w:tcPr>
          <w:p w14:paraId="63D43716" w14:textId="77777777" w:rsidR="00A821FE" w:rsidRPr="00A821FE" w:rsidRDefault="00A821FE" w:rsidP="00A821FE">
            <w:pPr>
              <w:spacing w:after="0"/>
              <w:jc w:val="center"/>
              <w:rPr>
                <w:rFonts w:ascii="Calibri" w:eastAsia="Times New Roman" w:hAnsi="Calibri" w:cs="Calibri"/>
                <w:b/>
                <w:bCs/>
                <w:color w:val="000000"/>
                <w:sz w:val="20"/>
                <w:szCs w:val="20"/>
                <w:lang w:eastAsia="cs-CZ"/>
              </w:rPr>
            </w:pPr>
            <w:r w:rsidRPr="00A821FE">
              <w:rPr>
                <w:rFonts w:ascii="Calibri" w:eastAsia="Times New Roman" w:hAnsi="Calibri" w:cs="Calibri"/>
                <w:b/>
                <w:bCs/>
                <w:color w:val="000000"/>
                <w:sz w:val="20"/>
                <w:szCs w:val="20"/>
                <w:lang w:eastAsia="cs-CZ"/>
              </w:rPr>
              <w:t>2017</w:t>
            </w:r>
          </w:p>
        </w:tc>
        <w:tc>
          <w:tcPr>
            <w:tcW w:w="1172" w:type="dxa"/>
            <w:tcBorders>
              <w:top w:val="single" w:sz="4" w:space="0" w:color="auto"/>
              <w:left w:val="nil"/>
              <w:bottom w:val="single" w:sz="4" w:space="0" w:color="auto"/>
              <w:right w:val="single" w:sz="4" w:space="0" w:color="auto"/>
            </w:tcBorders>
            <w:shd w:val="clear" w:color="000000" w:fill="E5F1FF"/>
            <w:noWrap/>
            <w:vAlign w:val="center"/>
            <w:hideMark/>
          </w:tcPr>
          <w:p w14:paraId="5F522015" w14:textId="77777777" w:rsidR="00A821FE" w:rsidRPr="00A821FE" w:rsidRDefault="00A821FE" w:rsidP="00A821FE">
            <w:pPr>
              <w:spacing w:after="0"/>
              <w:jc w:val="center"/>
              <w:rPr>
                <w:rFonts w:ascii="Calibri" w:eastAsia="Times New Roman" w:hAnsi="Calibri" w:cs="Calibri"/>
                <w:b/>
                <w:bCs/>
                <w:color w:val="000000"/>
                <w:sz w:val="20"/>
                <w:szCs w:val="20"/>
                <w:lang w:eastAsia="cs-CZ"/>
              </w:rPr>
            </w:pPr>
            <w:r w:rsidRPr="00A821FE">
              <w:rPr>
                <w:rFonts w:ascii="Calibri" w:eastAsia="Times New Roman" w:hAnsi="Calibri" w:cs="Calibri"/>
                <w:b/>
                <w:bCs/>
                <w:color w:val="000000"/>
                <w:sz w:val="20"/>
                <w:szCs w:val="20"/>
                <w:lang w:eastAsia="cs-CZ"/>
              </w:rPr>
              <w:t>2018</w:t>
            </w:r>
          </w:p>
        </w:tc>
        <w:tc>
          <w:tcPr>
            <w:tcW w:w="1172" w:type="dxa"/>
            <w:tcBorders>
              <w:top w:val="single" w:sz="4" w:space="0" w:color="auto"/>
              <w:left w:val="nil"/>
              <w:bottom w:val="single" w:sz="4" w:space="0" w:color="auto"/>
              <w:right w:val="single" w:sz="4" w:space="0" w:color="auto"/>
            </w:tcBorders>
            <w:shd w:val="clear" w:color="000000" w:fill="E5F1FF"/>
            <w:noWrap/>
            <w:vAlign w:val="center"/>
            <w:hideMark/>
          </w:tcPr>
          <w:p w14:paraId="6CA59E57" w14:textId="77777777" w:rsidR="00A821FE" w:rsidRPr="00A821FE" w:rsidRDefault="00A821FE" w:rsidP="00A821FE">
            <w:pPr>
              <w:spacing w:after="0"/>
              <w:jc w:val="center"/>
              <w:rPr>
                <w:rFonts w:ascii="Calibri" w:eastAsia="Times New Roman" w:hAnsi="Calibri" w:cs="Calibri"/>
                <w:b/>
                <w:bCs/>
                <w:color w:val="000000"/>
                <w:sz w:val="20"/>
                <w:szCs w:val="20"/>
                <w:lang w:eastAsia="cs-CZ"/>
              </w:rPr>
            </w:pPr>
            <w:r w:rsidRPr="00A821FE">
              <w:rPr>
                <w:rFonts w:ascii="Calibri" w:eastAsia="Times New Roman" w:hAnsi="Calibri" w:cs="Calibri"/>
                <w:b/>
                <w:bCs/>
                <w:color w:val="000000"/>
                <w:sz w:val="20"/>
                <w:szCs w:val="20"/>
                <w:lang w:eastAsia="cs-CZ"/>
              </w:rPr>
              <w:t>2019</w:t>
            </w:r>
          </w:p>
        </w:tc>
        <w:tc>
          <w:tcPr>
            <w:tcW w:w="1172" w:type="dxa"/>
            <w:tcBorders>
              <w:top w:val="single" w:sz="4" w:space="0" w:color="auto"/>
              <w:left w:val="nil"/>
              <w:bottom w:val="single" w:sz="4" w:space="0" w:color="auto"/>
              <w:right w:val="single" w:sz="4" w:space="0" w:color="auto"/>
            </w:tcBorders>
            <w:shd w:val="clear" w:color="000000" w:fill="E5F1FF"/>
            <w:vAlign w:val="center"/>
            <w:hideMark/>
          </w:tcPr>
          <w:p w14:paraId="28B87235" w14:textId="77777777" w:rsidR="00A821FE" w:rsidRPr="00A821FE" w:rsidRDefault="00A821FE" w:rsidP="00A821FE">
            <w:pPr>
              <w:spacing w:after="0"/>
              <w:jc w:val="center"/>
              <w:rPr>
                <w:rFonts w:ascii="Calibri" w:eastAsia="Times New Roman" w:hAnsi="Calibri" w:cs="Calibri"/>
                <w:b/>
                <w:bCs/>
                <w:color w:val="000000"/>
                <w:sz w:val="20"/>
                <w:szCs w:val="20"/>
                <w:lang w:eastAsia="cs-CZ"/>
              </w:rPr>
            </w:pPr>
            <w:r w:rsidRPr="00A821FE">
              <w:rPr>
                <w:rFonts w:ascii="Calibri" w:eastAsia="Times New Roman" w:hAnsi="Calibri" w:cs="Calibri"/>
                <w:b/>
                <w:bCs/>
                <w:color w:val="000000"/>
                <w:sz w:val="20"/>
                <w:szCs w:val="20"/>
                <w:lang w:eastAsia="cs-CZ"/>
              </w:rPr>
              <w:t>2020</w:t>
            </w:r>
          </w:p>
        </w:tc>
        <w:tc>
          <w:tcPr>
            <w:tcW w:w="1172" w:type="dxa"/>
            <w:tcBorders>
              <w:top w:val="single" w:sz="4" w:space="0" w:color="auto"/>
              <w:left w:val="nil"/>
              <w:bottom w:val="single" w:sz="4" w:space="0" w:color="auto"/>
              <w:right w:val="single" w:sz="4" w:space="0" w:color="auto"/>
            </w:tcBorders>
            <w:shd w:val="clear" w:color="000000" w:fill="E5F1FF"/>
            <w:noWrap/>
            <w:vAlign w:val="center"/>
            <w:hideMark/>
          </w:tcPr>
          <w:p w14:paraId="470225CF" w14:textId="12F5DBEE" w:rsidR="00A821FE" w:rsidRPr="00A821FE" w:rsidRDefault="00A821FE" w:rsidP="00A821FE">
            <w:pPr>
              <w:spacing w:after="0"/>
              <w:jc w:val="center"/>
              <w:rPr>
                <w:rFonts w:ascii="Calibri" w:eastAsia="Times New Roman" w:hAnsi="Calibri" w:cs="Calibri"/>
                <w:b/>
                <w:bCs/>
                <w:color w:val="000000"/>
                <w:sz w:val="20"/>
                <w:szCs w:val="20"/>
                <w:lang w:eastAsia="cs-CZ"/>
              </w:rPr>
            </w:pPr>
            <w:r w:rsidRPr="00A821FE">
              <w:rPr>
                <w:rFonts w:ascii="Calibri" w:eastAsia="Times New Roman" w:hAnsi="Calibri" w:cs="Calibri"/>
                <w:b/>
                <w:bCs/>
                <w:color w:val="000000"/>
                <w:sz w:val="20"/>
                <w:szCs w:val="20"/>
                <w:lang w:eastAsia="cs-CZ"/>
              </w:rPr>
              <w:t xml:space="preserve">Celkem </w:t>
            </w:r>
            <w:r>
              <w:rPr>
                <w:rFonts w:ascii="Calibri" w:eastAsia="Times New Roman" w:hAnsi="Calibri" w:cs="Calibri"/>
                <w:b/>
                <w:bCs/>
                <w:color w:val="000000"/>
                <w:sz w:val="20"/>
                <w:szCs w:val="20"/>
                <w:lang w:eastAsia="cs-CZ"/>
              </w:rPr>
              <w:br/>
            </w:r>
            <w:r w:rsidRPr="00A821FE">
              <w:rPr>
                <w:rFonts w:ascii="Calibri" w:eastAsia="Times New Roman" w:hAnsi="Calibri" w:cs="Calibri"/>
                <w:b/>
                <w:bCs/>
                <w:color w:val="000000"/>
                <w:sz w:val="20"/>
                <w:szCs w:val="20"/>
                <w:lang w:eastAsia="cs-CZ"/>
              </w:rPr>
              <w:t>za roky</w:t>
            </w:r>
          </w:p>
        </w:tc>
      </w:tr>
      <w:tr w:rsidR="00A821FE" w:rsidRPr="00A821FE" w14:paraId="668B49C2" w14:textId="77777777" w:rsidTr="00646DAE">
        <w:trPr>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C8E9305" w14:textId="67CFBDD5" w:rsidR="00A821FE" w:rsidRPr="00A821FE" w:rsidRDefault="00A821FE" w:rsidP="00A821FE">
            <w:pPr>
              <w:spacing w:after="0"/>
              <w:jc w:val="lef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Osvobození celkem</w:t>
            </w:r>
            <w:r w:rsidR="00F168EF">
              <w:rPr>
                <w:rFonts w:ascii="Calibri" w:eastAsia="Times New Roman" w:hAnsi="Calibri" w:cs="Calibri"/>
                <w:color w:val="000000"/>
                <w:sz w:val="20"/>
                <w:szCs w:val="20"/>
                <w:vertAlign w:val="superscript"/>
                <w:lang w:eastAsia="cs-CZ"/>
              </w:rPr>
              <w:t>1</w:t>
            </w:r>
            <w:r w:rsidRPr="00A821FE">
              <w:rPr>
                <w:rFonts w:ascii="Calibri" w:eastAsia="Times New Roman" w:hAnsi="Calibri" w:cs="Calibri"/>
                <w:color w:val="000000"/>
                <w:sz w:val="20"/>
                <w:szCs w:val="20"/>
                <w:lang w:eastAsia="cs-CZ"/>
              </w:rPr>
              <w:t xml:space="preserve"> </w:t>
            </w:r>
          </w:p>
        </w:tc>
        <w:tc>
          <w:tcPr>
            <w:tcW w:w="1171" w:type="dxa"/>
            <w:tcBorders>
              <w:top w:val="nil"/>
              <w:left w:val="nil"/>
              <w:bottom w:val="single" w:sz="4" w:space="0" w:color="auto"/>
              <w:right w:val="single" w:sz="4" w:space="0" w:color="auto"/>
            </w:tcBorders>
            <w:shd w:val="clear" w:color="000000" w:fill="FFFFFF"/>
            <w:noWrap/>
            <w:vAlign w:val="center"/>
            <w:hideMark/>
          </w:tcPr>
          <w:p w14:paraId="34AB1BB5"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353 622</w:t>
            </w:r>
          </w:p>
        </w:tc>
        <w:tc>
          <w:tcPr>
            <w:tcW w:w="1172" w:type="dxa"/>
            <w:tcBorders>
              <w:top w:val="nil"/>
              <w:left w:val="nil"/>
              <w:bottom w:val="single" w:sz="4" w:space="0" w:color="auto"/>
              <w:right w:val="single" w:sz="4" w:space="0" w:color="auto"/>
            </w:tcBorders>
            <w:shd w:val="clear" w:color="000000" w:fill="FFFFFF"/>
            <w:noWrap/>
            <w:vAlign w:val="center"/>
            <w:hideMark/>
          </w:tcPr>
          <w:p w14:paraId="2352B005"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371 244</w:t>
            </w:r>
          </w:p>
        </w:tc>
        <w:tc>
          <w:tcPr>
            <w:tcW w:w="1172" w:type="dxa"/>
            <w:tcBorders>
              <w:top w:val="nil"/>
              <w:left w:val="nil"/>
              <w:bottom w:val="single" w:sz="4" w:space="0" w:color="auto"/>
              <w:right w:val="single" w:sz="4" w:space="0" w:color="auto"/>
            </w:tcBorders>
            <w:shd w:val="clear" w:color="000000" w:fill="FFFFFF"/>
            <w:noWrap/>
            <w:vAlign w:val="center"/>
            <w:hideMark/>
          </w:tcPr>
          <w:p w14:paraId="36376B4F"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376 195</w:t>
            </w:r>
          </w:p>
        </w:tc>
        <w:tc>
          <w:tcPr>
            <w:tcW w:w="1172" w:type="dxa"/>
            <w:tcBorders>
              <w:top w:val="nil"/>
              <w:left w:val="nil"/>
              <w:bottom w:val="single" w:sz="4" w:space="0" w:color="auto"/>
              <w:right w:val="single" w:sz="4" w:space="0" w:color="auto"/>
            </w:tcBorders>
            <w:shd w:val="clear" w:color="000000" w:fill="FFFFFF"/>
            <w:noWrap/>
            <w:vAlign w:val="center"/>
            <w:hideMark/>
          </w:tcPr>
          <w:p w14:paraId="071C9815"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307 443</w:t>
            </w:r>
          </w:p>
        </w:tc>
        <w:tc>
          <w:tcPr>
            <w:tcW w:w="1172" w:type="dxa"/>
            <w:tcBorders>
              <w:top w:val="nil"/>
              <w:left w:val="nil"/>
              <w:bottom w:val="single" w:sz="4" w:space="0" w:color="auto"/>
              <w:right w:val="single" w:sz="4" w:space="0" w:color="auto"/>
            </w:tcBorders>
            <w:shd w:val="clear" w:color="auto" w:fill="auto"/>
            <w:noWrap/>
            <w:vAlign w:val="center"/>
            <w:hideMark/>
          </w:tcPr>
          <w:p w14:paraId="6F03240F"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1 408 505</w:t>
            </w:r>
          </w:p>
        </w:tc>
      </w:tr>
      <w:tr w:rsidR="00A821FE" w:rsidRPr="00A821FE" w14:paraId="1BB10948" w14:textId="77777777" w:rsidTr="00646DAE">
        <w:trPr>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899907D" w14:textId="27B27BB5" w:rsidR="00A821FE" w:rsidRPr="00A821FE" w:rsidRDefault="00A821FE" w:rsidP="00A821FE">
            <w:pPr>
              <w:spacing w:after="0"/>
              <w:jc w:val="lef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Slevy celkem</w:t>
            </w:r>
            <w:r w:rsidR="00F168EF" w:rsidRPr="00F168EF">
              <w:rPr>
                <w:rFonts w:ascii="Calibri" w:eastAsia="Times New Roman" w:hAnsi="Calibri" w:cs="Calibri"/>
                <w:color w:val="000000"/>
                <w:sz w:val="20"/>
                <w:szCs w:val="20"/>
                <w:vertAlign w:val="superscript"/>
                <w:lang w:eastAsia="cs-CZ"/>
              </w:rPr>
              <w:t>2</w:t>
            </w:r>
          </w:p>
        </w:tc>
        <w:tc>
          <w:tcPr>
            <w:tcW w:w="1171" w:type="dxa"/>
            <w:tcBorders>
              <w:top w:val="nil"/>
              <w:left w:val="nil"/>
              <w:bottom w:val="single" w:sz="4" w:space="0" w:color="auto"/>
              <w:right w:val="single" w:sz="4" w:space="0" w:color="auto"/>
            </w:tcBorders>
            <w:shd w:val="clear" w:color="000000" w:fill="FFFFFF"/>
            <w:noWrap/>
            <w:vAlign w:val="center"/>
            <w:hideMark/>
          </w:tcPr>
          <w:p w14:paraId="0648CC4D"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63 067</w:t>
            </w:r>
          </w:p>
        </w:tc>
        <w:tc>
          <w:tcPr>
            <w:tcW w:w="1172" w:type="dxa"/>
            <w:tcBorders>
              <w:top w:val="nil"/>
              <w:left w:val="nil"/>
              <w:bottom w:val="single" w:sz="4" w:space="0" w:color="auto"/>
              <w:right w:val="single" w:sz="4" w:space="0" w:color="auto"/>
            </w:tcBorders>
            <w:shd w:val="clear" w:color="000000" w:fill="FFFFFF"/>
            <w:noWrap/>
            <w:vAlign w:val="center"/>
            <w:hideMark/>
          </w:tcPr>
          <w:p w14:paraId="31D264FD"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66 327</w:t>
            </w:r>
          </w:p>
        </w:tc>
        <w:tc>
          <w:tcPr>
            <w:tcW w:w="1172" w:type="dxa"/>
            <w:tcBorders>
              <w:top w:val="nil"/>
              <w:left w:val="nil"/>
              <w:bottom w:val="single" w:sz="4" w:space="0" w:color="auto"/>
              <w:right w:val="single" w:sz="4" w:space="0" w:color="auto"/>
            </w:tcBorders>
            <w:shd w:val="clear" w:color="000000" w:fill="FFFFFF"/>
            <w:noWrap/>
            <w:vAlign w:val="center"/>
            <w:hideMark/>
          </w:tcPr>
          <w:p w14:paraId="6F790E88"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68 416</w:t>
            </w:r>
          </w:p>
        </w:tc>
        <w:tc>
          <w:tcPr>
            <w:tcW w:w="1172" w:type="dxa"/>
            <w:tcBorders>
              <w:top w:val="nil"/>
              <w:left w:val="nil"/>
              <w:bottom w:val="single" w:sz="4" w:space="0" w:color="auto"/>
              <w:right w:val="single" w:sz="4" w:space="0" w:color="auto"/>
            </w:tcBorders>
            <w:shd w:val="clear" w:color="000000" w:fill="FFFFFF"/>
            <w:noWrap/>
            <w:vAlign w:val="center"/>
            <w:hideMark/>
          </w:tcPr>
          <w:p w14:paraId="122F6255"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51 867</w:t>
            </w:r>
          </w:p>
        </w:tc>
        <w:tc>
          <w:tcPr>
            <w:tcW w:w="1172" w:type="dxa"/>
            <w:tcBorders>
              <w:top w:val="nil"/>
              <w:left w:val="nil"/>
              <w:bottom w:val="single" w:sz="4" w:space="0" w:color="auto"/>
              <w:right w:val="single" w:sz="4" w:space="0" w:color="auto"/>
            </w:tcBorders>
            <w:shd w:val="clear" w:color="auto" w:fill="auto"/>
            <w:noWrap/>
            <w:vAlign w:val="center"/>
            <w:hideMark/>
          </w:tcPr>
          <w:p w14:paraId="3EDC1226"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249 676</w:t>
            </w:r>
          </w:p>
        </w:tc>
      </w:tr>
      <w:tr w:rsidR="00A821FE" w:rsidRPr="00A821FE" w14:paraId="238A6AA2" w14:textId="77777777" w:rsidTr="00646DAE">
        <w:trPr>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1BDE1F3" w14:textId="455F816B" w:rsidR="00A821FE" w:rsidRPr="00A821FE" w:rsidRDefault="00792D2C" w:rsidP="00A821FE">
            <w:pPr>
              <w:spacing w:after="0"/>
              <w:jc w:val="lef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D</w:t>
            </w:r>
            <w:r w:rsidR="00A071DD">
              <w:rPr>
                <w:rFonts w:ascii="Calibri" w:eastAsia="Times New Roman" w:hAnsi="Calibri" w:cs="Calibri"/>
                <w:color w:val="000000"/>
                <w:sz w:val="20"/>
                <w:szCs w:val="20"/>
                <w:lang w:eastAsia="cs-CZ"/>
              </w:rPr>
              <w:t>aňové úlevy</w:t>
            </w:r>
            <w:r w:rsidRPr="00A821FE">
              <w:rPr>
                <w:rFonts w:ascii="Calibri" w:eastAsia="Times New Roman" w:hAnsi="Calibri" w:cs="Calibri"/>
                <w:color w:val="000000"/>
                <w:sz w:val="20"/>
                <w:szCs w:val="20"/>
                <w:lang w:eastAsia="cs-CZ"/>
              </w:rPr>
              <w:t xml:space="preserve"> </w:t>
            </w:r>
            <w:r>
              <w:rPr>
                <w:rFonts w:ascii="Calibri" w:eastAsia="Times New Roman" w:hAnsi="Calibri" w:cs="Calibri"/>
                <w:color w:val="000000"/>
                <w:sz w:val="20"/>
                <w:szCs w:val="20"/>
                <w:lang w:eastAsia="cs-CZ"/>
              </w:rPr>
              <w:t>c</w:t>
            </w:r>
            <w:r w:rsidRPr="00A821FE">
              <w:rPr>
                <w:rFonts w:ascii="Calibri" w:eastAsia="Times New Roman" w:hAnsi="Calibri" w:cs="Calibri"/>
                <w:color w:val="000000"/>
                <w:sz w:val="20"/>
                <w:szCs w:val="20"/>
                <w:lang w:eastAsia="cs-CZ"/>
              </w:rPr>
              <w:t>elkem</w:t>
            </w:r>
          </w:p>
        </w:tc>
        <w:tc>
          <w:tcPr>
            <w:tcW w:w="1171" w:type="dxa"/>
            <w:tcBorders>
              <w:top w:val="nil"/>
              <w:left w:val="nil"/>
              <w:bottom w:val="single" w:sz="4" w:space="0" w:color="auto"/>
              <w:right w:val="single" w:sz="4" w:space="0" w:color="auto"/>
            </w:tcBorders>
            <w:shd w:val="clear" w:color="000000" w:fill="FFFFFF"/>
            <w:noWrap/>
            <w:vAlign w:val="center"/>
            <w:hideMark/>
          </w:tcPr>
          <w:p w14:paraId="1C921C78"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416 690</w:t>
            </w:r>
          </w:p>
        </w:tc>
        <w:tc>
          <w:tcPr>
            <w:tcW w:w="1172" w:type="dxa"/>
            <w:tcBorders>
              <w:top w:val="nil"/>
              <w:left w:val="nil"/>
              <w:bottom w:val="single" w:sz="4" w:space="0" w:color="auto"/>
              <w:right w:val="single" w:sz="4" w:space="0" w:color="auto"/>
            </w:tcBorders>
            <w:shd w:val="clear" w:color="000000" w:fill="FFFFFF"/>
            <w:noWrap/>
            <w:vAlign w:val="center"/>
            <w:hideMark/>
          </w:tcPr>
          <w:p w14:paraId="2C5ADE5E"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437 571</w:t>
            </w:r>
          </w:p>
        </w:tc>
        <w:tc>
          <w:tcPr>
            <w:tcW w:w="1172" w:type="dxa"/>
            <w:tcBorders>
              <w:top w:val="nil"/>
              <w:left w:val="nil"/>
              <w:bottom w:val="single" w:sz="4" w:space="0" w:color="auto"/>
              <w:right w:val="single" w:sz="4" w:space="0" w:color="auto"/>
            </w:tcBorders>
            <w:shd w:val="clear" w:color="000000" w:fill="FFFFFF"/>
            <w:noWrap/>
            <w:vAlign w:val="center"/>
            <w:hideMark/>
          </w:tcPr>
          <w:p w14:paraId="35118D86"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444 611</w:t>
            </w:r>
          </w:p>
        </w:tc>
        <w:tc>
          <w:tcPr>
            <w:tcW w:w="1172" w:type="dxa"/>
            <w:tcBorders>
              <w:top w:val="nil"/>
              <w:left w:val="nil"/>
              <w:bottom w:val="single" w:sz="4" w:space="0" w:color="auto"/>
              <w:right w:val="single" w:sz="4" w:space="0" w:color="auto"/>
            </w:tcBorders>
            <w:shd w:val="clear" w:color="000000" w:fill="FFFFFF"/>
            <w:noWrap/>
            <w:vAlign w:val="center"/>
            <w:hideMark/>
          </w:tcPr>
          <w:p w14:paraId="7D6F0B31"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359 310</w:t>
            </w:r>
          </w:p>
        </w:tc>
        <w:tc>
          <w:tcPr>
            <w:tcW w:w="1172" w:type="dxa"/>
            <w:tcBorders>
              <w:top w:val="nil"/>
              <w:left w:val="nil"/>
              <w:bottom w:val="single" w:sz="4" w:space="0" w:color="auto"/>
              <w:right w:val="single" w:sz="4" w:space="0" w:color="auto"/>
            </w:tcBorders>
            <w:shd w:val="clear" w:color="auto" w:fill="auto"/>
            <w:noWrap/>
            <w:vAlign w:val="center"/>
            <w:hideMark/>
          </w:tcPr>
          <w:p w14:paraId="280D5BE0"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1 658 181</w:t>
            </w:r>
          </w:p>
        </w:tc>
      </w:tr>
      <w:tr w:rsidR="00A821FE" w:rsidRPr="00A821FE" w14:paraId="61F0747B" w14:textId="77777777" w:rsidTr="00646DAE">
        <w:trPr>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D56CB6F" w14:textId="7BF4C2C7" w:rsidR="00A821FE" w:rsidRPr="00A821FE" w:rsidRDefault="00792D2C" w:rsidP="00A821FE">
            <w:pPr>
              <w:spacing w:after="0"/>
              <w:jc w:val="lef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I</w:t>
            </w:r>
            <w:r w:rsidR="00A821FE" w:rsidRPr="00A821FE">
              <w:rPr>
                <w:rFonts w:ascii="Calibri" w:eastAsia="Times New Roman" w:hAnsi="Calibri" w:cs="Calibri"/>
                <w:color w:val="000000"/>
                <w:sz w:val="20"/>
                <w:szCs w:val="20"/>
                <w:lang w:eastAsia="cs-CZ"/>
              </w:rPr>
              <w:t xml:space="preserve">nkaso </w:t>
            </w:r>
            <w:r w:rsidR="00A071DD">
              <w:rPr>
                <w:rFonts w:ascii="Calibri" w:eastAsia="Times New Roman" w:hAnsi="Calibri" w:cs="Calibri"/>
                <w:color w:val="000000"/>
                <w:sz w:val="20"/>
                <w:szCs w:val="20"/>
                <w:lang w:eastAsia="cs-CZ"/>
              </w:rPr>
              <w:t>daně silniční</w:t>
            </w:r>
            <w:r>
              <w:rPr>
                <w:rFonts w:ascii="Calibri" w:eastAsia="Times New Roman" w:hAnsi="Calibri" w:cs="Calibri"/>
                <w:color w:val="000000"/>
                <w:sz w:val="20"/>
                <w:szCs w:val="20"/>
                <w:lang w:eastAsia="cs-CZ"/>
              </w:rPr>
              <w:t xml:space="preserve"> celkem</w:t>
            </w:r>
          </w:p>
        </w:tc>
        <w:tc>
          <w:tcPr>
            <w:tcW w:w="1171" w:type="dxa"/>
            <w:tcBorders>
              <w:top w:val="nil"/>
              <w:left w:val="nil"/>
              <w:bottom w:val="single" w:sz="4" w:space="0" w:color="auto"/>
              <w:right w:val="single" w:sz="4" w:space="0" w:color="auto"/>
            </w:tcBorders>
            <w:shd w:val="clear" w:color="000000" w:fill="FFFFFF"/>
            <w:noWrap/>
            <w:vAlign w:val="center"/>
            <w:hideMark/>
          </w:tcPr>
          <w:p w14:paraId="05C76307"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6 190 797</w:t>
            </w:r>
          </w:p>
        </w:tc>
        <w:tc>
          <w:tcPr>
            <w:tcW w:w="1172" w:type="dxa"/>
            <w:tcBorders>
              <w:top w:val="nil"/>
              <w:left w:val="nil"/>
              <w:bottom w:val="single" w:sz="4" w:space="0" w:color="auto"/>
              <w:right w:val="single" w:sz="4" w:space="0" w:color="auto"/>
            </w:tcBorders>
            <w:shd w:val="clear" w:color="000000" w:fill="FFFFFF"/>
            <w:noWrap/>
            <w:vAlign w:val="center"/>
            <w:hideMark/>
          </w:tcPr>
          <w:p w14:paraId="4D2EC734"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6 276 190</w:t>
            </w:r>
          </w:p>
        </w:tc>
        <w:tc>
          <w:tcPr>
            <w:tcW w:w="1172" w:type="dxa"/>
            <w:tcBorders>
              <w:top w:val="nil"/>
              <w:left w:val="nil"/>
              <w:bottom w:val="single" w:sz="4" w:space="0" w:color="auto"/>
              <w:right w:val="single" w:sz="4" w:space="0" w:color="auto"/>
            </w:tcBorders>
            <w:shd w:val="clear" w:color="000000" w:fill="FFFFFF"/>
            <w:noWrap/>
            <w:vAlign w:val="center"/>
            <w:hideMark/>
          </w:tcPr>
          <w:p w14:paraId="169CF08F"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6 483 810</w:t>
            </w:r>
          </w:p>
        </w:tc>
        <w:tc>
          <w:tcPr>
            <w:tcW w:w="1172" w:type="dxa"/>
            <w:tcBorders>
              <w:top w:val="nil"/>
              <w:left w:val="nil"/>
              <w:bottom w:val="single" w:sz="4" w:space="0" w:color="auto"/>
              <w:right w:val="single" w:sz="4" w:space="0" w:color="auto"/>
            </w:tcBorders>
            <w:shd w:val="clear" w:color="000000" w:fill="FFFFFF"/>
            <w:noWrap/>
            <w:vAlign w:val="center"/>
            <w:hideMark/>
          </w:tcPr>
          <w:p w14:paraId="1DC5492F"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5 959 040</w:t>
            </w:r>
          </w:p>
        </w:tc>
        <w:tc>
          <w:tcPr>
            <w:tcW w:w="1172" w:type="dxa"/>
            <w:tcBorders>
              <w:top w:val="nil"/>
              <w:left w:val="nil"/>
              <w:bottom w:val="single" w:sz="4" w:space="0" w:color="auto"/>
              <w:right w:val="single" w:sz="4" w:space="0" w:color="auto"/>
            </w:tcBorders>
            <w:shd w:val="clear" w:color="auto" w:fill="auto"/>
            <w:noWrap/>
            <w:vAlign w:val="center"/>
            <w:hideMark/>
          </w:tcPr>
          <w:p w14:paraId="3495627F" w14:textId="77777777" w:rsidR="00A821FE" w:rsidRPr="00A821FE" w:rsidRDefault="00A821FE" w:rsidP="00A821FE">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24 909 837</w:t>
            </w:r>
          </w:p>
        </w:tc>
      </w:tr>
      <w:tr w:rsidR="00A821FE" w:rsidRPr="00A821FE" w14:paraId="77EEA517" w14:textId="77777777" w:rsidTr="00646DAE">
        <w:trPr>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A83E8DE" w14:textId="77E1557C" w:rsidR="00A821FE" w:rsidRPr="00A821FE" w:rsidRDefault="00792D2C" w:rsidP="00A821FE">
            <w:pPr>
              <w:spacing w:after="0"/>
              <w:jc w:val="lef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Podíl</w:t>
            </w:r>
            <w:r w:rsidR="00A821FE" w:rsidRPr="00A821FE">
              <w:rPr>
                <w:rFonts w:ascii="Calibri" w:eastAsia="Times New Roman" w:hAnsi="Calibri" w:cs="Calibri"/>
                <w:color w:val="000000"/>
                <w:sz w:val="20"/>
                <w:szCs w:val="20"/>
                <w:lang w:eastAsia="cs-CZ"/>
              </w:rPr>
              <w:t xml:space="preserve"> </w:t>
            </w:r>
            <w:r w:rsidR="00A071DD">
              <w:rPr>
                <w:rFonts w:ascii="Calibri" w:eastAsia="Times New Roman" w:hAnsi="Calibri" w:cs="Calibri"/>
                <w:color w:val="000000"/>
                <w:sz w:val="20"/>
                <w:szCs w:val="20"/>
                <w:lang w:eastAsia="cs-CZ"/>
              </w:rPr>
              <w:t>daňových úlev</w:t>
            </w:r>
            <w:r w:rsidR="00A821FE" w:rsidRPr="00A821FE">
              <w:rPr>
                <w:rFonts w:ascii="Calibri" w:eastAsia="Times New Roman" w:hAnsi="Calibri" w:cs="Calibri"/>
                <w:color w:val="000000"/>
                <w:sz w:val="20"/>
                <w:szCs w:val="20"/>
                <w:lang w:eastAsia="cs-CZ"/>
              </w:rPr>
              <w:t xml:space="preserve"> na inkasu</w:t>
            </w:r>
          </w:p>
        </w:tc>
        <w:tc>
          <w:tcPr>
            <w:tcW w:w="1171" w:type="dxa"/>
            <w:tcBorders>
              <w:top w:val="nil"/>
              <w:left w:val="nil"/>
              <w:bottom w:val="single" w:sz="4" w:space="0" w:color="auto"/>
              <w:right w:val="single" w:sz="4" w:space="0" w:color="auto"/>
            </w:tcBorders>
            <w:shd w:val="clear" w:color="auto" w:fill="auto"/>
            <w:noWrap/>
            <w:vAlign w:val="center"/>
            <w:hideMark/>
          </w:tcPr>
          <w:p w14:paraId="41896E35" w14:textId="488595BC" w:rsidR="00A821FE" w:rsidRPr="00A821FE" w:rsidRDefault="00A821FE" w:rsidP="00A821FE">
            <w:pPr>
              <w:spacing w:after="0"/>
              <w:jc w:val="right"/>
              <w:rPr>
                <w:rFonts w:ascii="Calibri" w:eastAsia="Times New Roman" w:hAnsi="Calibri" w:cs="Calibri"/>
                <w:i/>
                <w:iCs/>
                <w:color w:val="000000"/>
                <w:sz w:val="20"/>
                <w:szCs w:val="20"/>
                <w:lang w:eastAsia="cs-CZ"/>
              </w:rPr>
            </w:pPr>
            <w:r w:rsidRPr="00A821FE">
              <w:rPr>
                <w:rFonts w:ascii="Calibri" w:eastAsia="Times New Roman" w:hAnsi="Calibri" w:cs="Calibri"/>
                <w:i/>
                <w:iCs/>
                <w:color w:val="000000"/>
                <w:sz w:val="20"/>
                <w:szCs w:val="20"/>
                <w:lang w:eastAsia="cs-CZ"/>
              </w:rPr>
              <w:t>6,73</w:t>
            </w:r>
            <w:r w:rsidR="007F790B">
              <w:rPr>
                <w:rFonts w:ascii="Calibri" w:eastAsia="Times New Roman" w:hAnsi="Calibri" w:cs="Calibri"/>
                <w:i/>
                <w:iCs/>
                <w:color w:val="000000"/>
                <w:sz w:val="20"/>
                <w:szCs w:val="20"/>
                <w:lang w:eastAsia="cs-CZ"/>
              </w:rPr>
              <w:t xml:space="preserve"> </w:t>
            </w:r>
            <w:r w:rsidRPr="00A821FE">
              <w:rPr>
                <w:rFonts w:ascii="Calibri" w:eastAsia="Times New Roman" w:hAnsi="Calibri" w:cs="Calibri"/>
                <w:i/>
                <w:iCs/>
                <w:color w:val="000000"/>
                <w:sz w:val="20"/>
                <w:szCs w:val="20"/>
                <w:lang w:eastAsia="cs-CZ"/>
              </w:rPr>
              <w:t>%</w:t>
            </w:r>
          </w:p>
        </w:tc>
        <w:tc>
          <w:tcPr>
            <w:tcW w:w="1172" w:type="dxa"/>
            <w:tcBorders>
              <w:top w:val="nil"/>
              <w:left w:val="nil"/>
              <w:bottom w:val="single" w:sz="4" w:space="0" w:color="auto"/>
              <w:right w:val="single" w:sz="4" w:space="0" w:color="auto"/>
            </w:tcBorders>
            <w:shd w:val="clear" w:color="auto" w:fill="auto"/>
            <w:noWrap/>
            <w:vAlign w:val="center"/>
            <w:hideMark/>
          </w:tcPr>
          <w:p w14:paraId="5055ADC3" w14:textId="47CE34D9" w:rsidR="00A821FE" w:rsidRPr="00A821FE" w:rsidRDefault="00A821FE" w:rsidP="00A821FE">
            <w:pPr>
              <w:spacing w:after="0"/>
              <w:jc w:val="right"/>
              <w:rPr>
                <w:rFonts w:ascii="Calibri" w:eastAsia="Times New Roman" w:hAnsi="Calibri" w:cs="Calibri"/>
                <w:i/>
                <w:iCs/>
                <w:color w:val="000000"/>
                <w:sz w:val="20"/>
                <w:szCs w:val="20"/>
                <w:lang w:eastAsia="cs-CZ"/>
              </w:rPr>
            </w:pPr>
            <w:r w:rsidRPr="00A821FE">
              <w:rPr>
                <w:rFonts w:ascii="Calibri" w:eastAsia="Times New Roman" w:hAnsi="Calibri" w:cs="Calibri"/>
                <w:i/>
                <w:iCs/>
                <w:color w:val="000000"/>
                <w:sz w:val="20"/>
                <w:szCs w:val="20"/>
                <w:lang w:eastAsia="cs-CZ"/>
              </w:rPr>
              <w:t>6,97</w:t>
            </w:r>
            <w:r w:rsidR="007F790B">
              <w:rPr>
                <w:rFonts w:ascii="Calibri" w:eastAsia="Times New Roman" w:hAnsi="Calibri" w:cs="Calibri"/>
                <w:i/>
                <w:iCs/>
                <w:color w:val="000000"/>
                <w:sz w:val="20"/>
                <w:szCs w:val="20"/>
                <w:lang w:eastAsia="cs-CZ"/>
              </w:rPr>
              <w:t xml:space="preserve"> </w:t>
            </w:r>
            <w:r w:rsidRPr="00A821FE">
              <w:rPr>
                <w:rFonts w:ascii="Calibri" w:eastAsia="Times New Roman" w:hAnsi="Calibri" w:cs="Calibri"/>
                <w:i/>
                <w:iCs/>
                <w:color w:val="000000"/>
                <w:sz w:val="20"/>
                <w:szCs w:val="20"/>
                <w:lang w:eastAsia="cs-CZ"/>
              </w:rPr>
              <w:t>%</w:t>
            </w:r>
          </w:p>
        </w:tc>
        <w:tc>
          <w:tcPr>
            <w:tcW w:w="1172" w:type="dxa"/>
            <w:tcBorders>
              <w:top w:val="nil"/>
              <w:left w:val="nil"/>
              <w:bottom w:val="single" w:sz="4" w:space="0" w:color="auto"/>
              <w:right w:val="single" w:sz="4" w:space="0" w:color="auto"/>
            </w:tcBorders>
            <w:shd w:val="clear" w:color="auto" w:fill="auto"/>
            <w:noWrap/>
            <w:vAlign w:val="center"/>
            <w:hideMark/>
          </w:tcPr>
          <w:p w14:paraId="01F7E8C3" w14:textId="4CCE43B8" w:rsidR="00A821FE" w:rsidRPr="00A821FE" w:rsidRDefault="00A821FE" w:rsidP="00A821FE">
            <w:pPr>
              <w:spacing w:after="0"/>
              <w:jc w:val="right"/>
              <w:rPr>
                <w:rFonts w:ascii="Calibri" w:eastAsia="Times New Roman" w:hAnsi="Calibri" w:cs="Calibri"/>
                <w:i/>
                <w:iCs/>
                <w:color w:val="000000"/>
                <w:sz w:val="20"/>
                <w:szCs w:val="20"/>
                <w:lang w:eastAsia="cs-CZ"/>
              </w:rPr>
            </w:pPr>
            <w:r w:rsidRPr="00A821FE">
              <w:rPr>
                <w:rFonts w:ascii="Calibri" w:eastAsia="Times New Roman" w:hAnsi="Calibri" w:cs="Calibri"/>
                <w:i/>
                <w:iCs/>
                <w:color w:val="000000"/>
                <w:sz w:val="20"/>
                <w:szCs w:val="20"/>
                <w:lang w:eastAsia="cs-CZ"/>
              </w:rPr>
              <w:t>6,86</w:t>
            </w:r>
            <w:r w:rsidR="007F790B">
              <w:rPr>
                <w:rFonts w:ascii="Calibri" w:eastAsia="Times New Roman" w:hAnsi="Calibri" w:cs="Calibri"/>
                <w:i/>
                <w:iCs/>
                <w:color w:val="000000"/>
                <w:sz w:val="20"/>
                <w:szCs w:val="20"/>
                <w:lang w:eastAsia="cs-CZ"/>
              </w:rPr>
              <w:t xml:space="preserve"> </w:t>
            </w:r>
            <w:r w:rsidRPr="00A821FE">
              <w:rPr>
                <w:rFonts w:ascii="Calibri" w:eastAsia="Times New Roman" w:hAnsi="Calibri" w:cs="Calibri"/>
                <w:i/>
                <w:iCs/>
                <w:color w:val="000000"/>
                <w:sz w:val="20"/>
                <w:szCs w:val="20"/>
                <w:lang w:eastAsia="cs-CZ"/>
              </w:rPr>
              <w:t>%</w:t>
            </w:r>
          </w:p>
        </w:tc>
        <w:tc>
          <w:tcPr>
            <w:tcW w:w="1172" w:type="dxa"/>
            <w:tcBorders>
              <w:top w:val="nil"/>
              <w:left w:val="nil"/>
              <w:bottom w:val="single" w:sz="4" w:space="0" w:color="auto"/>
              <w:right w:val="single" w:sz="4" w:space="0" w:color="auto"/>
            </w:tcBorders>
            <w:shd w:val="clear" w:color="auto" w:fill="auto"/>
            <w:noWrap/>
            <w:vAlign w:val="center"/>
            <w:hideMark/>
          </w:tcPr>
          <w:p w14:paraId="1EA928EE" w14:textId="2008D059" w:rsidR="00A821FE" w:rsidRPr="00A821FE" w:rsidRDefault="00A821FE" w:rsidP="00A821FE">
            <w:pPr>
              <w:spacing w:after="0"/>
              <w:jc w:val="right"/>
              <w:rPr>
                <w:rFonts w:ascii="Calibri" w:eastAsia="Times New Roman" w:hAnsi="Calibri" w:cs="Calibri"/>
                <w:i/>
                <w:iCs/>
                <w:color w:val="000000"/>
                <w:sz w:val="20"/>
                <w:szCs w:val="20"/>
                <w:lang w:eastAsia="cs-CZ"/>
              </w:rPr>
            </w:pPr>
            <w:r w:rsidRPr="00A821FE">
              <w:rPr>
                <w:rFonts w:ascii="Calibri" w:eastAsia="Times New Roman" w:hAnsi="Calibri" w:cs="Calibri"/>
                <w:i/>
                <w:iCs/>
                <w:color w:val="000000"/>
                <w:sz w:val="20"/>
                <w:szCs w:val="20"/>
                <w:lang w:eastAsia="cs-CZ"/>
              </w:rPr>
              <w:t>6,03</w:t>
            </w:r>
            <w:r w:rsidR="007F790B">
              <w:rPr>
                <w:rFonts w:ascii="Calibri" w:eastAsia="Times New Roman" w:hAnsi="Calibri" w:cs="Calibri"/>
                <w:i/>
                <w:iCs/>
                <w:color w:val="000000"/>
                <w:sz w:val="20"/>
                <w:szCs w:val="20"/>
                <w:lang w:eastAsia="cs-CZ"/>
              </w:rPr>
              <w:t xml:space="preserve"> </w:t>
            </w:r>
            <w:r w:rsidRPr="00A821FE">
              <w:rPr>
                <w:rFonts w:ascii="Calibri" w:eastAsia="Times New Roman" w:hAnsi="Calibri" w:cs="Calibri"/>
                <w:i/>
                <w:iCs/>
                <w:color w:val="000000"/>
                <w:sz w:val="20"/>
                <w:szCs w:val="20"/>
                <w:lang w:eastAsia="cs-CZ"/>
              </w:rPr>
              <w:t>%</w:t>
            </w:r>
          </w:p>
        </w:tc>
        <w:tc>
          <w:tcPr>
            <w:tcW w:w="1172" w:type="dxa"/>
            <w:tcBorders>
              <w:top w:val="nil"/>
              <w:left w:val="nil"/>
              <w:bottom w:val="single" w:sz="4" w:space="0" w:color="auto"/>
              <w:right w:val="single" w:sz="4" w:space="0" w:color="auto"/>
            </w:tcBorders>
            <w:shd w:val="clear" w:color="auto" w:fill="auto"/>
            <w:noWrap/>
            <w:vAlign w:val="center"/>
            <w:hideMark/>
          </w:tcPr>
          <w:p w14:paraId="5A93ECC2" w14:textId="77777777" w:rsidR="00A821FE" w:rsidRPr="00A821FE" w:rsidRDefault="00A821FE" w:rsidP="00925D97">
            <w:pPr>
              <w:spacing w:after="0"/>
              <w:jc w:val="right"/>
              <w:rPr>
                <w:rFonts w:ascii="Calibri" w:eastAsia="Times New Roman" w:hAnsi="Calibri" w:cs="Calibri"/>
                <w:color w:val="000000"/>
                <w:sz w:val="20"/>
                <w:szCs w:val="20"/>
                <w:lang w:eastAsia="cs-CZ"/>
              </w:rPr>
            </w:pPr>
            <w:r w:rsidRPr="00A821FE">
              <w:rPr>
                <w:rFonts w:ascii="Calibri" w:eastAsia="Times New Roman" w:hAnsi="Calibri" w:cs="Calibri"/>
                <w:color w:val="000000"/>
                <w:sz w:val="20"/>
                <w:szCs w:val="20"/>
                <w:lang w:eastAsia="cs-CZ"/>
              </w:rPr>
              <w:t>x</w:t>
            </w:r>
          </w:p>
        </w:tc>
      </w:tr>
    </w:tbl>
    <w:p w14:paraId="20972115" w14:textId="1A99665E" w:rsidR="0003536F" w:rsidRDefault="00CC5AC3" w:rsidP="00227654">
      <w:pPr>
        <w:widowControl w:val="0"/>
        <w:spacing w:after="0"/>
        <w:rPr>
          <w:rFonts w:ascii="Calibri" w:eastAsia="Calibri" w:hAnsi="Calibri"/>
          <w:sz w:val="20"/>
          <w:szCs w:val="20"/>
        </w:rPr>
      </w:pPr>
      <w:r w:rsidRPr="00335BB8">
        <w:rPr>
          <w:rFonts w:ascii="Calibri" w:eastAsia="Calibri" w:hAnsi="Calibri"/>
          <w:sz w:val="20"/>
          <w:szCs w:val="20"/>
        </w:rPr>
        <w:t xml:space="preserve">Zdroj: </w:t>
      </w:r>
      <w:r>
        <w:rPr>
          <w:rFonts w:ascii="Calibri" w:eastAsia="Calibri" w:hAnsi="Calibri"/>
          <w:sz w:val="20"/>
          <w:szCs w:val="20"/>
        </w:rPr>
        <w:t>FS</w:t>
      </w:r>
      <w:r w:rsidRPr="00335BB8">
        <w:rPr>
          <w:rFonts w:ascii="Calibri" w:eastAsia="Calibri" w:hAnsi="Calibri"/>
          <w:sz w:val="20"/>
          <w:szCs w:val="20"/>
        </w:rPr>
        <w:t xml:space="preserve"> ČR – vyměřená daňová přiznání z databází jednotlivých FÚ</w:t>
      </w:r>
      <w:r w:rsidR="0003536F">
        <w:rPr>
          <w:rFonts w:ascii="Calibri" w:eastAsia="Calibri" w:hAnsi="Calibri"/>
          <w:sz w:val="20"/>
          <w:szCs w:val="20"/>
        </w:rPr>
        <w:t>, data jsou</w:t>
      </w:r>
      <w:r w:rsidRPr="00335BB8">
        <w:rPr>
          <w:rFonts w:ascii="Calibri" w:eastAsia="Calibri" w:hAnsi="Calibri"/>
          <w:sz w:val="20"/>
          <w:szCs w:val="20"/>
        </w:rPr>
        <w:t xml:space="preserve"> aktuální k </w:t>
      </w:r>
      <w:r w:rsidR="003006F3" w:rsidRPr="00335BB8">
        <w:rPr>
          <w:rFonts w:ascii="Calibri" w:eastAsia="Calibri" w:hAnsi="Calibri"/>
          <w:sz w:val="20"/>
          <w:szCs w:val="20"/>
        </w:rPr>
        <w:t>2</w:t>
      </w:r>
      <w:r w:rsidR="003006F3">
        <w:rPr>
          <w:rFonts w:ascii="Calibri" w:eastAsia="Calibri" w:hAnsi="Calibri"/>
          <w:sz w:val="20"/>
          <w:szCs w:val="20"/>
        </w:rPr>
        <w:t>9</w:t>
      </w:r>
      <w:r w:rsidRPr="00335BB8">
        <w:rPr>
          <w:rFonts w:ascii="Calibri" w:eastAsia="Calibri" w:hAnsi="Calibri"/>
          <w:sz w:val="20"/>
          <w:szCs w:val="20"/>
        </w:rPr>
        <w:t xml:space="preserve">. </w:t>
      </w:r>
      <w:r w:rsidR="003006F3">
        <w:rPr>
          <w:rFonts w:ascii="Calibri" w:eastAsia="Calibri" w:hAnsi="Calibri"/>
          <w:sz w:val="20"/>
          <w:szCs w:val="20"/>
        </w:rPr>
        <w:t>10</w:t>
      </w:r>
      <w:r w:rsidRPr="00335BB8">
        <w:rPr>
          <w:rFonts w:ascii="Calibri" w:eastAsia="Calibri" w:hAnsi="Calibri"/>
          <w:sz w:val="20"/>
          <w:szCs w:val="20"/>
        </w:rPr>
        <w:t>. 2021</w:t>
      </w:r>
      <w:r w:rsidR="0003536F">
        <w:rPr>
          <w:rFonts w:ascii="Calibri" w:eastAsia="Calibri" w:hAnsi="Calibri"/>
          <w:sz w:val="20"/>
          <w:szCs w:val="20"/>
        </w:rPr>
        <w:t>;</w:t>
      </w:r>
      <w:r w:rsidRPr="00335BB8">
        <w:rPr>
          <w:rFonts w:ascii="Calibri" w:eastAsia="Calibri" w:hAnsi="Calibri"/>
          <w:sz w:val="20"/>
          <w:szCs w:val="20"/>
        </w:rPr>
        <w:t xml:space="preserve"> vlastní zpracování NKÚ</w:t>
      </w:r>
      <w:r>
        <w:rPr>
          <w:rFonts w:ascii="Calibri" w:eastAsia="Calibri" w:hAnsi="Calibri"/>
          <w:sz w:val="20"/>
          <w:szCs w:val="20"/>
        </w:rPr>
        <w:t xml:space="preserve">. </w:t>
      </w:r>
    </w:p>
    <w:p w14:paraId="159DFDFF" w14:textId="77777777" w:rsidR="0003536F" w:rsidRDefault="00CC5AC3" w:rsidP="00227654">
      <w:pPr>
        <w:widowControl w:val="0"/>
        <w:spacing w:after="0"/>
        <w:rPr>
          <w:rFonts w:ascii="Calibri" w:eastAsia="Calibri" w:hAnsi="Calibri"/>
          <w:sz w:val="20"/>
          <w:szCs w:val="20"/>
        </w:rPr>
      </w:pPr>
      <w:r>
        <w:rPr>
          <w:rFonts w:ascii="Calibri" w:eastAsia="Calibri" w:hAnsi="Calibri"/>
          <w:sz w:val="20"/>
          <w:szCs w:val="20"/>
        </w:rPr>
        <w:t xml:space="preserve">Pozn.: </w:t>
      </w:r>
    </w:p>
    <w:p w14:paraId="4EE3C7DF" w14:textId="09F8E26B" w:rsidR="0003536F" w:rsidRDefault="00AA0E4A" w:rsidP="00227654">
      <w:pPr>
        <w:widowControl w:val="0"/>
        <w:spacing w:after="0"/>
        <w:rPr>
          <w:rFonts w:ascii="Calibri" w:eastAsia="Calibri" w:hAnsi="Calibri"/>
          <w:sz w:val="20"/>
          <w:szCs w:val="20"/>
        </w:rPr>
      </w:pPr>
      <w:r w:rsidRPr="00227654">
        <w:rPr>
          <w:rFonts w:ascii="Calibri" w:eastAsia="Calibri" w:hAnsi="Calibri"/>
          <w:sz w:val="20"/>
          <w:szCs w:val="20"/>
        </w:rPr>
        <w:t>1</w:t>
      </w:r>
      <w:r w:rsidR="0003536F">
        <w:rPr>
          <w:rFonts w:ascii="Calibri" w:eastAsia="Calibri" w:hAnsi="Calibri"/>
          <w:sz w:val="20"/>
          <w:szCs w:val="20"/>
        </w:rPr>
        <w:t>) D</w:t>
      </w:r>
      <w:r w:rsidRPr="0003536F">
        <w:rPr>
          <w:rFonts w:ascii="Calibri" w:eastAsia="Calibri" w:hAnsi="Calibri"/>
          <w:sz w:val="20"/>
          <w:szCs w:val="20"/>
        </w:rPr>
        <w:t>le</w:t>
      </w:r>
      <w:r>
        <w:rPr>
          <w:rFonts w:ascii="Calibri" w:eastAsia="Calibri" w:hAnsi="Calibri"/>
          <w:sz w:val="20"/>
          <w:szCs w:val="20"/>
        </w:rPr>
        <w:t xml:space="preserve"> § </w:t>
      </w:r>
      <w:r w:rsidR="008751BA">
        <w:rPr>
          <w:rFonts w:ascii="Calibri" w:eastAsia="Calibri" w:hAnsi="Calibri"/>
          <w:sz w:val="20"/>
          <w:szCs w:val="20"/>
        </w:rPr>
        <w:t>3 ZDS</w:t>
      </w:r>
      <w:r>
        <w:rPr>
          <w:rFonts w:ascii="Calibri" w:eastAsia="Calibri" w:hAnsi="Calibri"/>
          <w:sz w:val="20"/>
          <w:szCs w:val="20"/>
        </w:rPr>
        <w:t xml:space="preserve">. </w:t>
      </w:r>
    </w:p>
    <w:p w14:paraId="07E85B3C" w14:textId="2C12D42D" w:rsidR="00CC5AC3" w:rsidRPr="00335BB8" w:rsidRDefault="00AA0E4A" w:rsidP="00CC5AC3">
      <w:pPr>
        <w:widowControl w:val="0"/>
        <w:rPr>
          <w:rFonts w:ascii="Calibri" w:eastAsia="Calibri" w:hAnsi="Calibri"/>
          <w:sz w:val="20"/>
          <w:szCs w:val="20"/>
        </w:rPr>
      </w:pPr>
      <w:r w:rsidRPr="00227654">
        <w:rPr>
          <w:rFonts w:ascii="Calibri" w:eastAsia="Calibri" w:hAnsi="Calibri"/>
          <w:sz w:val="20"/>
          <w:szCs w:val="20"/>
        </w:rPr>
        <w:t>2</w:t>
      </w:r>
      <w:r w:rsidR="0003536F">
        <w:rPr>
          <w:rFonts w:ascii="Calibri" w:eastAsia="Calibri" w:hAnsi="Calibri"/>
          <w:sz w:val="20"/>
          <w:szCs w:val="20"/>
        </w:rPr>
        <w:t>) D</w:t>
      </w:r>
      <w:r w:rsidRPr="0003536F">
        <w:rPr>
          <w:rFonts w:ascii="Calibri" w:eastAsia="Calibri" w:hAnsi="Calibri"/>
          <w:sz w:val="20"/>
          <w:szCs w:val="20"/>
        </w:rPr>
        <w:t>le</w:t>
      </w:r>
      <w:r>
        <w:rPr>
          <w:rFonts w:ascii="Calibri" w:eastAsia="Calibri" w:hAnsi="Calibri"/>
          <w:sz w:val="20"/>
          <w:szCs w:val="20"/>
        </w:rPr>
        <w:t xml:space="preserve"> § </w:t>
      </w:r>
      <w:r w:rsidR="008751BA">
        <w:rPr>
          <w:rFonts w:ascii="Calibri" w:eastAsia="Calibri" w:hAnsi="Calibri"/>
          <w:sz w:val="20"/>
          <w:szCs w:val="20"/>
        </w:rPr>
        <w:t>12 ZDS</w:t>
      </w:r>
      <w:r>
        <w:rPr>
          <w:rFonts w:ascii="Calibri" w:eastAsia="Calibri" w:hAnsi="Calibri"/>
          <w:sz w:val="20"/>
          <w:szCs w:val="20"/>
        </w:rPr>
        <w:t>.</w:t>
      </w:r>
      <w:r w:rsidR="00CC5AC3">
        <w:rPr>
          <w:rFonts w:ascii="Calibri" w:eastAsia="Calibri" w:hAnsi="Calibri"/>
          <w:sz w:val="20"/>
          <w:szCs w:val="20"/>
        </w:rPr>
        <w:t xml:space="preserve"> </w:t>
      </w:r>
    </w:p>
    <w:p w14:paraId="6EE2B640" w14:textId="1EB58276" w:rsidR="00465E07" w:rsidRDefault="00D67B66" w:rsidP="0036373C">
      <w:pPr>
        <w:rPr>
          <w:rFonts w:cstheme="minorHAnsi"/>
          <w:b/>
          <w:iCs/>
          <w:color w:val="000000" w:themeColor="text1"/>
          <w:szCs w:val="24"/>
        </w:rPr>
      </w:pPr>
      <w:r>
        <w:rPr>
          <w:rFonts w:ascii="Calibri" w:eastAsia="Calibri" w:hAnsi="Calibri"/>
        </w:rPr>
        <w:t>Změna u</w:t>
      </w:r>
      <w:r w:rsidR="00C154E5" w:rsidRPr="009847EC">
        <w:rPr>
          <w:rFonts w:ascii="Calibri" w:eastAsia="Calibri" w:hAnsi="Calibri"/>
        </w:rPr>
        <w:t>stanovení § 6 odst. 8</w:t>
      </w:r>
      <w:r w:rsidR="00C154E5">
        <w:rPr>
          <w:rFonts w:ascii="Calibri" w:eastAsia="Calibri" w:hAnsi="Calibri"/>
        </w:rPr>
        <w:t xml:space="preserve"> ZDS</w:t>
      </w:r>
      <w:r>
        <w:rPr>
          <w:rFonts w:ascii="Calibri" w:eastAsia="Calibri" w:hAnsi="Calibri"/>
        </w:rPr>
        <w:t xml:space="preserve"> provedená v roce 2008</w:t>
      </w:r>
      <w:r w:rsidR="00C154E5" w:rsidRPr="009847EC">
        <w:rPr>
          <w:rFonts w:ascii="Calibri" w:eastAsia="Calibri" w:hAnsi="Calibri"/>
        </w:rPr>
        <w:t xml:space="preserve"> zv</w:t>
      </w:r>
      <w:r>
        <w:rPr>
          <w:rFonts w:ascii="Calibri" w:eastAsia="Calibri" w:hAnsi="Calibri"/>
        </w:rPr>
        <w:t>ýšila</w:t>
      </w:r>
      <w:r w:rsidR="00C154E5" w:rsidRPr="009847EC">
        <w:rPr>
          <w:rFonts w:ascii="Calibri" w:eastAsia="Calibri" w:hAnsi="Calibri"/>
        </w:rPr>
        <w:t xml:space="preserve"> sazbu daně o 25 % pro vozidla poprvé registrovaná před 31. 12. 1989, v současnosti se jedná o vozidla starší třiceti let</w:t>
      </w:r>
      <w:bookmarkStart w:id="9" w:name="_Hlk93650871"/>
      <w:r w:rsidR="00C154E5" w:rsidRPr="009847EC">
        <w:rPr>
          <w:rFonts w:ascii="Calibri" w:eastAsia="Calibri" w:hAnsi="Calibri"/>
        </w:rPr>
        <w:t>.</w:t>
      </w:r>
      <w:r w:rsidR="00227359">
        <w:rPr>
          <w:rFonts w:ascii="Calibri" w:eastAsia="Calibri" w:hAnsi="Calibri"/>
        </w:rPr>
        <w:t xml:space="preserve"> </w:t>
      </w:r>
      <w:r w:rsidR="00D601C4">
        <w:rPr>
          <w:rFonts w:ascii="Calibri" w:eastAsia="Calibri" w:hAnsi="Calibri"/>
        </w:rPr>
        <w:t xml:space="preserve">Původní </w:t>
      </w:r>
      <w:r w:rsidR="00DD4714">
        <w:rPr>
          <w:rFonts w:ascii="Calibri" w:eastAsia="Calibri" w:hAnsi="Calibri"/>
        </w:rPr>
        <w:t xml:space="preserve">zvýšení </w:t>
      </w:r>
      <w:r w:rsidR="00227359">
        <w:rPr>
          <w:rFonts w:ascii="Calibri" w:eastAsia="Calibri" w:hAnsi="Calibri"/>
        </w:rPr>
        <w:t xml:space="preserve">sazby daně </w:t>
      </w:r>
      <w:r w:rsidR="00D436A0">
        <w:rPr>
          <w:rFonts w:ascii="Calibri" w:eastAsia="Calibri" w:hAnsi="Calibri"/>
        </w:rPr>
        <w:t xml:space="preserve">o 15 % </w:t>
      </w:r>
      <w:r w:rsidR="00227359">
        <w:rPr>
          <w:rFonts w:ascii="Calibri" w:eastAsia="Calibri" w:hAnsi="Calibri"/>
        </w:rPr>
        <w:t xml:space="preserve">bylo </w:t>
      </w:r>
      <w:r w:rsidR="00D436A0">
        <w:rPr>
          <w:rFonts w:ascii="Calibri" w:eastAsia="Calibri" w:hAnsi="Calibri"/>
        </w:rPr>
        <w:t xml:space="preserve">v roce 2001 </w:t>
      </w:r>
      <w:r w:rsidR="00227359">
        <w:rPr>
          <w:rFonts w:ascii="Calibri" w:eastAsia="Calibri" w:hAnsi="Calibri"/>
        </w:rPr>
        <w:t>zavedeno jako nástroj k motivaci pro pořízení vozidel s příznivějšími emisními parametry. V době zavedení se jednalo o vozidla plnící normu E</w:t>
      </w:r>
      <w:r w:rsidR="0003536F">
        <w:rPr>
          <w:rFonts w:ascii="Calibri" w:eastAsia="Calibri" w:hAnsi="Calibri"/>
        </w:rPr>
        <w:t>uro</w:t>
      </w:r>
      <w:r w:rsidR="00227359">
        <w:rPr>
          <w:rFonts w:ascii="Calibri" w:eastAsia="Calibri" w:hAnsi="Calibri"/>
        </w:rPr>
        <w:t xml:space="preserve"> 2, resp. E</w:t>
      </w:r>
      <w:r w:rsidR="0003536F">
        <w:rPr>
          <w:rFonts w:ascii="Calibri" w:eastAsia="Calibri" w:hAnsi="Calibri"/>
        </w:rPr>
        <w:t>uro</w:t>
      </w:r>
      <w:r w:rsidR="00227359">
        <w:rPr>
          <w:rFonts w:ascii="Calibri" w:eastAsia="Calibri" w:hAnsi="Calibri"/>
        </w:rPr>
        <w:t xml:space="preserve"> 3. </w:t>
      </w:r>
      <w:bookmarkEnd w:id="9"/>
      <w:r w:rsidR="00777566">
        <w:rPr>
          <w:rFonts w:ascii="Calibri" w:eastAsia="Calibri" w:hAnsi="Calibri"/>
        </w:rPr>
        <w:t>NKÚ zjistil, že p</w:t>
      </w:r>
      <w:r w:rsidR="00777566" w:rsidRPr="00777566">
        <w:rPr>
          <w:rFonts w:ascii="Calibri" w:eastAsia="Calibri" w:hAnsi="Calibri"/>
        </w:rPr>
        <w:t xml:space="preserve">očet vozidel, u kterých </w:t>
      </w:r>
      <w:r w:rsidR="00D80116">
        <w:rPr>
          <w:rFonts w:ascii="Calibri" w:eastAsia="Calibri" w:hAnsi="Calibri"/>
        </w:rPr>
        <w:t xml:space="preserve">je uplatněno </w:t>
      </w:r>
      <w:r w:rsidR="00777566" w:rsidRPr="00777566">
        <w:rPr>
          <w:rFonts w:ascii="Calibri" w:eastAsia="Calibri" w:hAnsi="Calibri"/>
        </w:rPr>
        <w:t>zvýšení roční sazby, každoročně klesá</w:t>
      </w:r>
      <w:r w:rsidR="00D80116">
        <w:rPr>
          <w:rFonts w:ascii="Calibri" w:eastAsia="Calibri" w:hAnsi="Calibri"/>
        </w:rPr>
        <w:t>,</w:t>
      </w:r>
      <w:r w:rsidR="00777566" w:rsidRPr="00777566">
        <w:rPr>
          <w:rFonts w:ascii="Calibri" w:eastAsia="Calibri" w:hAnsi="Calibri"/>
        </w:rPr>
        <w:t xml:space="preserve"> </w:t>
      </w:r>
      <w:r w:rsidR="00D80116">
        <w:rPr>
          <w:rFonts w:ascii="Calibri" w:eastAsia="Calibri" w:hAnsi="Calibri"/>
        </w:rPr>
        <w:t xml:space="preserve">neboť dochází k </w:t>
      </w:r>
      <w:r w:rsidR="00777566" w:rsidRPr="00777566">
        <w:rPr>
          <w:rFonts w:ascii="Calibri" w:eastAsia="Calibri" w:hAnsi="Calibri"/>
        </w:rPr>
        <w:t xml:space="preserve">postupnému vyřazování </w:t>
      </w:r>
      <w:r w:rsidR="0003536F">
        <w:rPr>
          <w:rFonts w:ascii="Calibri" w:eastAsia="Calibri" w:hAnsi="Calibri"/>
        </w:rPr>
        <w:t xml:space="preserve">těchto </w:t>
      </w:r>
      <w:r w:rsidR="00777566" w:rsidRPr="00777566">
        <w:rPr>
          <w:rFonts w:ascii="Calibri" w:eastAsia="Calibri" w:hAnsi="Calibri"/>
        </w:rPr>
        <w:t>vozidel z</w:t>
      </w:r>
      <w:r w:rsidR="00777566">
        <w:rPr>
          <w:rFonts w:ascii="Calibri" w:eastAsia="Calibri" w:hAnsi="Calibri"/>
        </w:rPr>
        <w:t> </w:t>
      </w:r>
      <w:r w:rsidR="00777566" w:rsidRPr="00777566">
        <w:rPr>
          <w:rFonts w:ascii="Calibri" w:eastAsia="Calibri" w:hAnsi="Calibri"/>
        </w:rPr>
        <w:t>registr</w:t>
      </w:r>
      <w:r w:rsidR="00E923B6">
        <w:rPr>
          <w:rFonts w:ascii="Calibri" w:eastAsia="Calibri" w:hAnsi="Calibri"/>
        </w:rPr>
        <w:t>u</w:t>
      </w:r>
      <w:r w:rsidR="00777566">
        <w:rPr>
          <w:rFonts w:ascii="Calibri" w:eastAsia="Calibri" w:hAnsi="Calibri"/>
        </w:rPr>
        <w:t xml:space="preserve">, </w:t>
      </w:r>
      <w:bookmarkStart w:id="10" w:name="_Ref93388746"/>
      <w:r w:rsidR="0036373C">
        <w:rPr>
          <w:rFonts w:ascii="Calibri" w:eastAsia="Calibri" w:hAnsi="Calibri"/>
        </w:rPr>
        <w:t>viz</w:t>
      </w:r>
      <w:r w:rsidR="00E923B6">
        <w:rPr>
          <w:rFonts w:ascii="Calibri" w:eastAsia="Calibri" w:hAnsi="Calibri"/>
        </w:rPr>
        <w:t> </w:t>
      </w:r>
      <w:r w:rsidR="00E01508">
        <w:rPr>
          <w:rFonts w:ascii="Calibri" w:eastAsia="Calibri" w:hAnsi="Calibri"/>
        </w:rPr>
        <w:t>t</w:t>
      </w:r>
      <w:r w:rsidR="0036373C">
        <w:rPr>
          <w:rFonts w:ascii="Calibri" w:eastAsia="Calibri" w:hAnsi="Calibri"/>
        </w:rPr>
        <w:t>abulka 2.</w:t>
      </w:r>
    </w:p>
    <w:p w14:paraId="56550115" w14:textId="77777777" w:rsidR="0036373C" w:rsidRDefault="0036373C">
      <w:pPr>
        <w:spacing w:after="160" w:line="259" w:lineRule="auto"/>
        <w:jc w:val="left"/>
        <w:rPr>
          <w:rFonts w:cstheme="minorHAnsi"/>
          <w:b/>
          <w:iCs/>
          <w:color w:val="000000" w:themeColor="text1"/>
          <w:szCs w:val="24"/>
        </w:rPr>
      </w:pPr>
      <w:r>
        <w:rPr>
          <w:rFonts w:cstheme="minorHAnsi"/>
          <w:b/>
          <w:i/>
          <w:color w:val="000000" w:themeColor="text1"/>
          <w:szCs w:val="24"/>
        </w:rPr>
        <w:br w:type="page"/>
      </w:r>
    </w:p>
    <w:p w14:paraId="389A6652" w14:textId="31B3548F" w:rsidR="00777566" w:rsidRDefault="005463F0" w:rsidP="00777566">
      <w:pPr>
        <w:pStyle w:val="Titulek"/>
        <w:spacing w:after="0"/>
        <w:rPr>
          <w:b/>
          <w:bCs/>
          <w:i w:val="0"/>
          <w:iCs w:val="0"/>
          <w:color w:val="auto"/>
          <w:sz w:val="24"/>
          <w:szCs w:val="24"/>
        </w:rPr>
      </w:pPr>
      <w:r w:rsidRPr="005463F0">
        <w:rPr>
          <w:rFonts w:cstheme="minorHAnsi"/>
          <w:b/>
          <w:i w:val="0"/>
          <w:color w:val="000000" w:themeColor="text1"/>
          <w:sz w:val="24"/>
          <w:szCs w:val="24"/>
        </w:rPr>
        <w:t xml:space="preserve">Tabulka </w:t>
      </w:r>
      <w:r w:rsidRPr="005463F0">
        <w:rPr>
          <w:rFonts w:cstheme="minorHAnsi"/>
          <w:b/>
          <w:i w:val="0"/>
          <w:color w:val="000000" w:themeColor="text1"/>
          <w:sz w:val="24"/>
          <w:szCs w:val="24"/>
        </w:rPr>
        <w:fldChar w:fldCharType="begin"/>
      </w:r>
      <w:r w:rsidRPr="005463F0">
        <w:rPr>
          <w:rFonts w:cstheme="minorHAnsi"/>
          <w:b/>
          <w:i w:val="0"/>
          <w:color w:val="000000" w:themeColor="text1"/>
          <w:sz w:val="24"/>
          <w:szCs w:val="24"/>
        </w:rPr>
        <w:instrText xml:space="preserve"> SEQ Tabulka \* ARABIC </w:instrText>
      </w:r>
      <w:r w:rsidRPr="005463F0">
        <w:rPr>
          <w:rFonts w:cstheme="minorHAnsi"/>
          <w:b/>
          <w:i w:val="0"/>
          <w:color w:val="000000" w:themeColor="text1"/>
          <w:sz w:val="24"/>
          <w:szCs w:val="24"/>
        </w:rPr>
        <w:fldChar w:fldCharType="separate"/>
      </w:r>
      <w:r w:rsidR="00500A1C">
        <w:rPr>
          <w:rFonts w:cstheme="minorHAnsi"/>
          <w:b/>
          <w:i w:val="0"/>
          <w:noProof/>
          <w:color w:val="000000" w:themeColor="text1"/>
          <w:sz w:val="24"/>
          <w:szCs w:val="24"/>
        </w:rPr>
        <w:t>2</w:t>
      </w:r>
      <w:r w:rsidRPr="005463F0">
        <w:rPr>
          <w:rFonts w:cstheme="minorHAnsi"/>
          <w:b/>
          <w:i w:val="0"/>
          <w:color w:val="000000" w:themeColor="text1"/>
          <w:sz w:val="24"/>
          <w:szCs w:val="24"/>
        </w:rPr>
        <w:fldChar w:fldCharType="end"/>
      </w:r>
      <w:bookmarkEnd w:id="10"/>
      <w:r w:rsidR="00E01508">
        <w:rPr>
          <w:rFonts w:cstheme="minorHAnsi"/>
          <w:b/>
          <w:i w:val="0"/>
          <w:color w:val="000000" w:themeColor="text1"/>
          <w:sz w:val="24"/>
          <w:szCs w:val="24"/>
        </w:rPr>
        <w:t>:</w:t>
      </w:r>
      <w:r w:rsidRPr="005463F0">
        <w:rPr>
          <w:rFonts w:cstheme="minorHAnsi"/>
          <w:b/>
          <w:i w:val="0"/>
          <w:color w:val="000000" w:themeColor="text1"/>
          <w:sz w:val="24"/>
          <w:szCs w:val="24"/>
        </w:rPr>
        <w:t xml:space="preserve"> </w:t>
      </w:r>
      <w:r w:rsidR="00777566" w:rsidRPr="005463F0">
        <w:rPr>
          <w:b/>
          <w:bCs/>
          <w:i w:val="0"/>
          <w:iCs w:val="0"/>
          <w:color w:val="auto"/>
          <w:sz w:val="24"/>
          <w:szCs w:val="24"/>
        </w:rPr>
        <w:t>P</w:t>
      </w:r>
      <w:r w:rsidR="00777566">
        <w:rPr>
          <w:b/>
          <w:bCs/>
          <w:i w:val="0"/>
          <w:iCs w:val="0"/>
          <w:color w:val="auto"/>
          <w:sz w:val="24"/>
          <w:szCs w:val="24"/>
        </w:rPr>
        <w:t xml:space="preserve">očet vozidel, u kterých bylo uplatněno zvýšení </w:t>
      </w:r>
      <w:r w:rsidR="00A9167C">
        <w:rPr>
          <w:b/>
          <w:bCs/>
          <w:i w:val="0"/>
          <w:iCs w:val="0"/>
          <w:color w:val="auto"/>
          <w:sz w:val="24"/>
          <w:szCs w:val="24"/>
        </w:rPr>
        <w:t>s</w:t>
      </w:r>
      <w:r w:rsidR="00777566">
        <w:rPr>
          <w:b/>
          <w:bCs/>
          <w:i w:val="0"/>
          <w:iCs w:val="0"/>
          <w:color w:val="auto"/>
          <w:sz w:val="24"/>
          <w:szCs w:val="24"/>
        </w:rPr>
        <w:t>azby daně dle § 6 odst. 8 ZDS</w:t>
      </w:r>
    </w:p>
    <w:tbl>
      <w:tblPr>
        <w:tblW w:w="9072"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031"/>
        <w:gridCol w:w="1297"/>
        <w:gridCol w:w="1297"/>
        <w:gridCol w:w="1297"/>
        <w:gridCol w:w="1150"/>
      </w:tblGrid>
      <w:tr w:rsidR="00777566" w14:paraId="59D51EA6" w14:textId="77777777" w:rsidTr="00224296">
        <w:trPr>
          <w:trHeight w:val="295"/>
        </w:trPr>
        <w:tc>
          <w:tcPr>
            <w:tcW w:w="4031" w:type="dxa"/>
            <w:shd w:val="clear" w:color="auto" w:fill="E5F1FF"/>
            <w:vAlign w:val="center"/>
            <w:hideMark/>
          </w:tcPr>
          <w:p w14:paraId="7F0A8BED" w14:textId="77777777" w:rsidR="00777566" w:rsidRPr="00053737" w:rsidRDefault="00777566" w:rsidP="00053737">
            <w:pPr>
              <w:spacing w:after="0"/>
              <w:rPr>
                <w:rFonts w:ascii="Calibri" w:hAnsi="Calibri" w:cs="Calibri"/>
                <w:b/>
                <w:bCs/>
                <w:color w:val="000000"/>
                <w:sz w:val="20"/>
                <w:szCs w:val="20"/>
                <w:lang w:eastAsia="cs-CZ"/>
              </w:rPr>
            </w:pPr>
          </w:p>
        </w:tc>
        <w:tc>
          <w:tcPr>
            <w:tcW w:w="1297" w:type="dxa"/>
            <w:shd w:val="clear" w:color="auto" w:fill="E5F1FF"/>
            <w:noWrap/>
            <w:tcMar>
              <w:top w:w="0" w:type="dxa"/>
              <w:left w:w="70" w:type="dxa"/>
              <w:bottom w:w="0" w:type="dxa"/>
              <w:right w:w="70" w:type="dxa"/>
            </w:tcMar>
            <w:vAlign w:val="bottom"/>
            <w:hideMark/>
          </w:tcPr>
          <w:p w14:paraId="52A6FB5B" w14:textId="77777777" w:rsidR="00777566" w:rsidRPr="00053737" w:rsidRDefault="00777566" w:rsidP="00053737">
            <w:pPr>
              <w:spacing w:after="0" w:line="252" w:lineRule="auto"/>
              <w:jc w:val="center"/>
              <w:rPr>
                <w:b/>
                <w:bCs/>
                <w:color w:val="000000"/>
                <w:sz w:val="20"/>
                <w:szCs w:val="20"/>
                <w:lang w:eastAsia="cs-CZ"/>
              </w:rPr>
            </w:pPr>
            <w:r w:rsidRPr="00053737">
              <w:rPr>
                <w:b/>
                <w:bCs/>
                <w:color w:val="000000"/>
                <w:sz w:val="20"/>
                <w:szCs w:val="20"/>
                <w:lang w:eastAsia="cs-CZ"/>
              </w:rPr>
              <w:t>2017</w:t>
            </w:r>
          </w:p>
        </w:tc>
        <w:tc>
          <w:tcPr>
            <w:tcW w:w="1297" w:type="dxa"/>
            <w:shd w:val="clear" w:color="auto" w:fill="E5F1FF"/>
            <w:noWrap/>
            <w:tcMar>
              <w:top w:w="0" w:type="dxa"/>
              <w:left w:w="70" w:type="dxa"/>
              <w:bottom w:w="0" w:type="dxa"/>
              <w:right w:w="70" w:type="dxa"/>
            </w:tcMar>
            <w:vAlign w:val="bottom"/>
            <w:hideMark/>
          </w:tcPr>
          <w:p w14:paraId="6B05C06D" w14:textId="77777777" w:rsidR="00777566" w:rsidRPr="00053737" w:rsidRDefault="00777566" w:rsidP="00053737">
            <w:pPr>
              <w:spacing w:after="0" w:line="252" w:lineRule="auto"/>
              <w:jc w:val="center"/>
              <w:rPr>
                <w:b/>
                <w:bCs/>
                <w:color w:val="000000"/>
                <w:sz w:val="20"/>
                <w:szCs w:val="20"/>
                <w:lang w:eastAsia="cs-CZ"/>
              </w:rPr>
            </w:pPr>
            <w:r w:rsidRPr="00053737">
              <w:rPr>
                <w:b/>
                <w:bCs/>
                <w:color w:val="000000"/>
                <w:sz w:val="20"/>
                <w:szCs w:val="20"/>
                <w:lang w:eastAsia="cs-CZ"/>
              </w:rPr>
              <w:t>2018</w:t>
            </w:r>
          </w:p>
        </w:tc>
        <w:tc>
          <w:tcPr>
            <w:tcW w:w="1297" w:type="dxa"/>
            <w:shd w:val="clear" w:color="auto" w:fill="E5F1FF"/>
            <w:noWrap/>
            <w:tcMar>
              <w:top w:w="0" w:type="dxa"/>
              <w:left w:w="70" w:type="dxa"/>
              <w:bottom w:w="0" w:type="dxa"/>
              <w:right w:w="70" w:type="dxa"/>
            </w:tcMar>
            <w:vAlign w:val="bottom"/>
            <w:hideMark/>
          </w:tcPr>
          <w:p w14:paraId="56B404CA" w14:textId="77777777" w:rsidR="00777566" w:rsidRPr="00053737" w:rsidRDefault="00777566" w:rsidP="00053737">
            <w:pPr>
              <w:spacing w:after="0" w:line="252" w:lineRule="auto"/>
              <w:jc w:val="center"/>
              <w:rPr>
                <w:b/>
                <w:bCs/>
                <w:color w:val="000000"/>
                <w:sz w:val="20"/>
                <w:szCs w:val="20"/>
                <w:lang w:eastAsia="cs-CZ"/>
              </w:rPr>
            </w:pPr>
            <w:r w:rsidRPr="00053737">
              <w:rPr>
                <w:b/>
                <w:bCs/>
                <w:color w:val="000000"/>
                <w:sz w:val="20"/>
                <w:szCs w:val="20"/>
                <w:lang w:eastAsia="cs-CZ"/>
              </w:rPr>
              <w:t>2019</w:t>
            </w:r>
          </w:p>
        </w:tc>
        <w:tc>
          <w:tcPr>
            <w:tcW w:w="1150" w:type="dxa"/>
            <w:shd w:val="clear" w:color="auto" w:fill="E5F1FF"/>
            <w:noWrap/>
            <w:tcMar>
              <w:top w:w="0" w:type="dxa"/>
              <w:left w:w="70" w:type="dxa"/>
              <w:bottom w:w="0" w:type="dxa"/>
              <w:right w:w="70" w:type="dxa"/>
            </w:tcMar>
            <w:vAlign w:val="bottom"/>
            <w:hideMark/>
          </w:tcPr>
          <w:p w14:paraId="5328A880" w14:textId="77777777" w:rsidR="00777566" w:rsidRPr="00053737" w:rsidRDefault="00777566" w:rsidP="00053737">
            <w:pPr>
              <w:spacing w:after="0" w:line="252" w:lineRule="auto"/>
              <w:jc w:val="center"/>
              <w:rPr>
                <w:b/>
                <w:bCs/>
                <w:color w:val="000000"/>
                <w:sz w:val="20"/>
                <w:szCs w:val="20"/>
                <w:lang w:eastAsia="cs-CZ"/>
              </w:rPr>
            </w:pPr>
            <w:r w:rsidRPr="00053737">
              <w:rPr>
                <w:b/>
                <w:bCs/>
                <w:color w:val="000000"/>
                <w:sz w:val="20"/>
                <w:szCs w:val="20"/>
                <w:lang w:eastAsia="cs-CZ"/>
              </w:rPr>
              <w:t>2020</w:t>
            </w:r>
          </w:p>
        </w:tc>
      </w:tr>
      <w:tr w:rsidR="00777566" w14:paraId="3496AE3F" w14:textId="77777777" w:rsidTr="009E5E2D">
        <w:trPr>
          <w:trHeight w:val="516"/>
        </w:trPr>
        <w:tc>
          <w:tcPr>
            <w:tcW w:w="4031" w:type="dxa"/>
            <w:tcMar>
              <w:top w:w="0" w:type="dxa"/>
              <w:left w:w="70" w:type="dxa"/>
              <w:bottom w:w="0" w:type="dxa"/>
              <w:right w:w="70" w:type="dxa"/>
            </w:tcMar>
            <w:vAlign w:val="bottom"/>
            <w:hideMark/>
          </w:tcPr>
          <w:p w14:paraId="6005B293" w14:textId="038ED5FB" w:rsidR="00777566" w:rsidRPr="00E6603A" w:rsidRDefault="00777566" w:rsidP="00227654">
            <w:pPr>
              <w:spacing w:after="0" w:line="252" w:lineRule="auto"/>
              <w:jc w:val="left"/>
              <w:rPr>
                <w:color w:val="000000"/>
                <w:sz w:val="20"/>
                <w:szCs w:val="20"/>
                <w:lang w:eastAsia="cs-CZ"/>
              </w:rPr>
            </w:pPr>
            <w:r w:rsidRPr="00E6603A">
              <w:rPr>
                <w:bCs/>
                <w:color w:val="000000"/>
                <w:sz w:val="20"/>
                <w:szCs w:val="20"/>
                <w:lang w:eastAsia="cs-CZ"/>
              </w:rPr>
              <w:t xml:space="preserve">§ 6 odst. </w:t>
            </w:r>
            <w:r w:rsidRPr="00E6603A">
              <w:rPr>
                <w:color w:val="000000"/>
                <w:sz w:val="20"/>
                <w:szCs w:val="20"/>
                <w:lang w:eastAsia="cs-CZ"/>
              </w:rPr>
              <w:t xml:space="preserve">8 </w:t>
            </w:r>
            <w:r w:rsidR="00053737" w:rsidRPr="00E6603A">
              <w:rPr>
                <w:color w:val="000000"/>
                <w:sz w:val="20"/>
                <w:szCs w:val="20"/>
                <w:lang w:eastAsia="cs-CZ"/>
              </w:rPr>
              <w:t>ZDS – zvýšení</w:t>
            </w:r>
            <w:r w:rsidRPr="00E6603A">
              <w:rPr>
                <w:color w:val="000000"/>
                <w:sz w:val="20"/>
                <w:szCs w:val="20"/>
                <w:lang w:eastAsia="cs-CZ"/>
              </w:rPr>
              <w:t xml:space="preserve"> sazby u vozidel registrovaných do 31. prosince 1989</w:t>
            </w:r>
          </w:p>
        </w:tc>
        <w:tc>
          <w:tcPr>
            <w:tcW w:w="1297" w:type="dxa"/>
            <w:noWrap/>
            <w:tcMar>
              <w:top w:w="0" w:type="dxa"/>
              <w:left w:w="70" w:type="dxa"/>
              <w:bottom w:w="0" w:type="dxa"/>
              <w:right w:w="70" w:type="dxa"/>
            </w:tcMar>
            <w:vAlign w:val="bottom"/>
            <w:hideMark/>
          </w:tcPr>
          <w:p w14:paraId="55A09D4C" w14:textId="77777777" w:rsidR="00777566" w:rsidRPr="00E6603A" w:rsidRDefault="00777566" w:rsidP="00E6603A">
            <w:pPr>
              <w:spacing w:after="0" w:line="252" w:lineRule="auto"/>
              <w:jc w:val="right"/>
              <w:rPr>
                <w:color w:val="000000"/>
                <w:sz w:val="20"/>
                <w:szCs w:val="20"/>
                <w:lang w:eastAsia="cs-CZ"/>
              </w:rPr>
            </w:pPr>
            <w:r w:rsidRPr="00E6603A">
              <w:rPr>
                <w:color w:val="000000"/>
                <w:sz w:val="20"/>
                <w:szCs w:val="20"/>
                <w:lang w:eastAsia="cs-CZ"/>
              </w:rPr>
              <w:t>21 881</w:t>
            </w:r>
          </w:p>
        </w:tc>
        <w:tc>
          <w:tcPr>
            <w:tcW w:w="1297" w:type="dxa"/>
            <w:noWrap/>
            <w:tcMar>
              <w:top w:w="0" w:type="dxa"/>
              <w:left w:w="70" w:type="dxa"/>
              <w:bottom w:w="0" w:type="dxa"/>
              <w:right w:w="70" w:type="dxa"/>
            </w:tcMar>
            <w:vAlign w:val="bottom"/>
            <w:hideMark/>
          </w:tcPr>
          <w:p w14:paraId="0DBF5C08" w14:textId="77777777" w:rsidR="00777566" w:rsidRPr="00E6603A" w:rsidRDefault="00777566" w:rsidP="00E6603A">
            <w:pPr>
              <w:spacing w:after="0" w:line="252" w:lineRule="auto"/>
              <w:jc w:val="right"/>
              <w:rPr>
                <w:color w:val="000000"/>
                <w:sz w:val="20"/>
                <w:szCs w:val="20"/>
                <w:lang w:eastAsia="cs-CZ"/>
              </w:rPr>
            </w:pPr>
            <w:r w:rsidRPr="00E6603A">
              <w:rPr>
                <w:color w:val="000000"/>
                <w:sz w:val="20"/>
                <w:szCs w:val="20"/>
                <w:lang w:eastAsia="cs-CZ"/>
              </w:rPr>
              <w:t>20 074</w:t>
            </w:r>
          </w:p>
        </w:tc>
        <w:tc>
          <w:tcPr>
            <w:tcW w:w="1297" w:type="dxa"/>
            <w:noWrap/>
            <w:tcMar>
              <w:top w:w="0" w:type="dxa"/>
              <w:left w:w="70" w:type="dxa"/>
              <w:bottom w:w="0" w:type="dxa"/>
              <w:right w:w="70" w:type="dxa"/>
            </w:tcMar>
            <w:vAlign w:val="bottom"/>
            <w:hideMark/>
          </w:tcPr>
          <w:p w14:paraId="013A5635" w14:textId="77777777" w:rsidR="00777566" w:rsidRPr="00E6603A" w:rsidRDefault="00777566" w:rsidP="00E6603A">
            <w:pPr>
              <w:spacing w:after="0" w:line="252" w:lineRule="auto"/>
              <w:jc w:val="right"/>
              <w:rPr>
                <w:color w:val="000000"/>
                <w:sz w:val="20"/>
                <w:szCs w:val="20"/>
                <w:lang w:eastAsia="cs-CZ"/>
              </w:rPr>
            </w:pPr>
            <w:r w:rsidRPr="00E6603A">
              <w:rPr>
                <w:color w:val="000000"/>
                <w:sz w:val="20"/>
                <w:szCs w:val="20"/>
                <w:lang w:eastAsia="cs-CZ"/>
              </w:rPr>
              <w:t>18 285</w:t>
            </w:r>
          </w:p>
        </w:tc>
        <w:tc>
          <w:tcPr>
            <w:tcW w:w="1150" w:type="dxa"/>
            <w:noWrap/>
            <w:tcMar>
              <w:top w:w="0" w:type="dxa"/>
              <w:left w:w="70" w:type="dxa"/>
              <w:bottom w:w="0" w:type="dxa"/>
              <w:right w:w="70" w:type="dxa"/>
            </w:tcMar>
            <w:vAlign w:val="bottom"/>
            <w:hideMark/>
          </w:tcPr>
          <w:p w14:paraId="3609E4AE" w14:textId="77777777" w:rsidR="00777566" w:rsidRPr="00E6603A" w:rsidRDefault="00777566" w:rsidP="00E6603A">
            <w:pPr>
              <w:spacing w:after="0" w:line="252" w:lineRule="auto"/>
              <w:jc w:val="right"/>
              <w:rPr>
                <w:color w:val="000000"/>
                <w:sz w:val="20"/>
                <w:szCs w:val="20"/>
                <w:lang w:eastAsia="cs-CZ"/>
              </w:rPr>
            </w:pPr>
            <w:r w:rsidRPr="00E6603A">
              <w:rPr>
                <w:color w:val="000000"/>
                <w:sz w:val="20"/>
                <w:szCs w:val="20"/>
                <w:lang w:eastAsia="cs-CZ"/>
              </w:rPr>
              <w:t>16 240</w:t>
            </w:r>
          </w:p>
        </w:tc>
      </w:tr>
    </w:tbl>
    <w:p w14:paraId="13A76D53" w14:textId="345AA2F0" w:rsidR="00777566" w:rsidRDefault="00777566" w:rsidP="0036373C">
      <w:pPr>
        <w:widowControl w:val="0"/>
        <w:rPr>
          <w:rFonts w:ascii="Calibri" w:hAnsi="Calibri" w:cs="Calibri"/>
          <w:sz w:val="20"/>
          <w:szCs w:val="20"/>
        </w:rPr>
      </w:pPr>
      <w:r w:rsidRPr="00227654">
        <w:rPr>
          <w:bCs/>
          <w:sz w:val="20"/>
          <w:szCs w:val="20"/>
        </w:rPr>
        <w:t>Zdroj:</w:t>
      </w:r>
      <w:r>
        <w:rPr>
          <w:sz w:val="20"/>
          <w:szCs w:val="20"/>
        </w:rPr>
        <w:t xml:space="preserve"> GFŘ</w:t>
      </w:r>
      <w:r w:rsidR="0003536F">
        <w:rPr>
          <w:sz w:val="20"/>
          <w:szCs w:val="20"/>
        </w:rPr>
        <w:t>;</w:t>
      </w:r>
      <w:r>
        <w:rPr>
          <w:sz w:val="20"/>
          <w:szCs w:val="20"/>
        </w:rPr>
        <w:t xml:space="preserve"> vlastní zpracování NKÚ.</w:t>
      </w:r>
    </w:p>
    <w:p w14:paraId="5FF26055" w14:textId="31C2800B" w:rsidR="00A31DD0" w:rsidRDefault="00A31DD0" w:rsidP="00A31DD0">
      <w:pPr>
        <w:rPr>
          <w:rFonts w:ascii="Calibri" w:eastAsia="Calibri" w:hAnsi="Calibri"/>
          <w:b/>
        </w:rPr>
      </w:pPr>
      <w:r w:rsidRPr="00A86FE7">
        <w:rPr>
          <w:rFonts w:ascii="Calibri" w:eastAsia="Calibri" w:hAnsi="Calibri"/>
          <w:b/>
        </w:rPr>
        <w:t xml:space="preserve">Ačkoliv NKÚ upozornil v roce 2019 na zastaralost, a tedy nenaplňování </w:t>
      </w:r>
      <w:r w:rsidR="00FE3D2C">
        <w:rPr>
          <w:rFonts w:ascii="Calibri" w:eastAsia="Calibri" w:hAnsi="Calibri"/>
          <w:b/>
        </w:rPr>
        <w:t xml:space="preserve">jednoho z environmentálních </w:t>
      </w:r>
      <w:r w:rsidRPr="00A86FE7">
        <w:rPr>
          <w:rFonts w:ascii="Calibri" w:eastAsia="Calibri" w:hAnsi="Calibri"/>
          <w:b/>
        </w:rPr>
        <w:t>cílů zákona o dani silniční</w:t>
      </w:r>
      <w:r w:rsidRPr="00A86FE7">
        <w:rPr>
          <w:rStyle w:val="Znakapoznpodarou"/>
          <w:rFonts w:ascii="Calibri" w:eastAsia="Calibri" w:hAnsi="Calibri"/>
          <w:b/>
        </w:rPr>
        <w:footnoteReference w:id="17"/>
      </w:r>
      <w:r w:rsidRPr="00A86FE7">
        <w:rPr>
          <w:rFonts w:ascii="Calibri" w:eastAsia="Calibri" w:hAnsi="Calibri"/>
          <w:b/>
        </w:rPr>
        <w:t>, MF dosud nenavrhlo změnu ustanovení.</w:t>
      </w:r>
    </w:p>
    <w:bookmarkEnd w:id="7"/>
    <w:p w14:paraId="4F369AFD" w14:textId="77777777" w:rsidR="00CC5AC3" w:rsidRPr="00FD1649" w:rsidRDefault="00CC5AC3" w:rsidP="001A5D9D">
      <w:pPr>
        <w:spacing w:after="160"/>
        <w:rPr>
          <w:szCs w:val="24"/>
        </w:rPr>
      </w:pPr>
    </w:p>
    <w:p w14:paraId="5DF43759" w14:textId="59E7D09E" w:rsidR="00C45626" w:rsidRPr="00C45626" w:rsidRDefault="00751A7F" w:rsidP="00751A7F">
      <w:pPr>
        <w:pStyle w:val="Odstavecseseznamem"/>
        <w:ind w:left="0"/>
        <w:rPr>
          <w:b/>
          <w:iCs/>
          <w:color w:val="000000" w:themeColor="text1"/>
          <w:szCs w:val="24"/>
        </w:rPr>
      </w:pPr>
      <w:r>
        <w:rPr>
          <w:b/>
        </w:rPr>
        <w:t xml:space="preserve">2.1 </w:t>
      </w:r>
      <w:r w:rsidR="00D56078">
        <w:rPr>
          <w:b/>
        </w:rPr>
        <w:t xml:space="preserve">Efektivnost správy daně silniční je nižší než celková efektivnost správy všech daní </w:t>
      </w:r>
    </w:p>
    <w:p w14:paraId="15F8695F" w14:textId="6F2A8969" w:rsidR="00375F60" w:rsidRDefault="00C45626" w:rsidP="00C45626">
      <w:pPr>
        <w:rPr>
          <w:rFonts w:ascii="Calibri" w:eastAsia="Calibri" w:hAnsi="Calibri" w:cs="Calibri"/>
        </w:rPr>
      </w:pPr>
      <w:r>
        <w:rPr>
          <w:iCs/>
          <w:szCs w:val="24"/>
        </w:rPr>
        <w:t xml:space="preserve">MF </w:t>
      </w:r>
      <w:r w:rsidR="007B7E81">
        <w:rPr>
          <w:iCs/>
          <w:szCs w:val="24"/>
        </w:rPr>
        <w:t xml:space="preserve">přeneslo povinnost </w:t>
      </w:r>
      <w:r>
        <w:rPr>
          <w:iCs/>
          <w:szCs w:val="24"/>
        </w:rPr>
        <w:t>zabezpečit měření nákladů na výběr jednotlivých daní a průběžně vyhodnocovat jejich efektivitu</w:t>
      </w:r>
      <w:r>
        <w:rPr>
          <w:rStyle w:val="Znakapoznpodarou"/>
          <w:iCs/>
          <w:szCs w:val="24"/>
        </w:rPr>
        <w:footnoteReference w:id="18"/>
      </w:r>
      <w:r w:rsidR="00AD5C50">
        <w:rPr>
          <w:iCs/>
          <w:szCs w:val="24"/>
        </w:rPr>
        <w:t xml:space="preserve"> na GFŘ</w:t>
      </w:r>
      <w:r>
        <w:rPr>
          <w:iCs/>
          <w:szCs w:val="24"/>
        </w:rPr>
        <w:t xml:space="preserve">. </w:t>
      </w:r>
      <w:r w:rsidR="00AD5C50" w:rsidRPr="00B913EF">
        <w:rPr>
          <w:rFonts w:ascii="Calibri" w:eastAsia="Calibri" w:hAnsi="Calibri" w:cs="Calibri"/>
        </w:rPr>
        <w:t>K</w:t>
      </w:r>
      <w:r w:rsidR="00375F60">
        <w:rPr>
          <w:rFonts w:ascii="Calibri" w:eastAsia="Calibri" w:hAnsi="Calibri" w:cs="Calibri"/>
        </w:rPr>
        <w:t xml:space="preserve"> prvnímu</w:t>
      </w:r>
      <w:r w:rsidR="00AD5C50" w:rsidRPr="00B913EF">
        <w:rPr>
          <w:rFonts w:ascii="Calibri" w:eastAsia="Calibri" w:hAnsi="Calibri" w:cs="Calibri"/>
        </w:rPr>
        <w:t xml:space="preserve"> zpracování analýzy použilo GFŘ údaje </w:t>
      </w:r>
      <w:r w:rsidR="00375F60">
        <w:rPr>
          <w:rFonts w:ascii="Calibri" w:eastAsia="Calibri" w:hAnsi="Calibri" w:cs="Calibri"/>
        </w:rPr>
        <w:br/>
      </w:r>
      <w:r w:rsidR="00AD5C50" w:rsidRPr="00B913EF">
        <w:rPr>
          <w:rFonts w:ascii="Calibri" w:eastAsia="Calibri" w:hAnsi="Calibri" w:cs="Calibri"/>
        </w:rPr>
        <w:t>o inkasu k</w:t>
      </w:r>
      <w:r w:rsidR="00AD5C50">
        <w:rPr>
          <w:rFonts w:ascii="Calibri" w:eastAsia="Calibri" w:hAnsi="Calibri" w:cs="Calibri"/>
        </w:rPr>
        <w:t> </w:t>
      </w:r>
      <w:r w:rsidR="00AD5C50" w:rsidRPr="00B913EF">
        <w:rPr>
          <w:rFonts w:ascii="Calibri" w:eastAsia="Calibri" w:hAnsi="Calibri" w:cs="Calibri"/>
        </w:rPr>
        <w:t>31.</w:t>
      </w:r>
      <w:r w:rsidR="00AD5C50">
        <w:rPr>
          <w:rFonts w:ascii="Calibri" w:eastAsia="Calibri" w:hAnsi="Calibri" w:cs="Calibri"/>
        </w:rPr>
        <w:t> </w:t>
      </w:r>
      <w:r w:rsidR="00AD5C50" w:rsidRPr="00B913EF">
        <w:rPr>
          <w:rFonts w:ascii="Calibri" w:eastAsia="Calibri" w:hAnsi="Calibri" w:cs="Calibri"/>
        </w:rPr>
        <w:t>12.</w:t>
      </w:r>
      <w:r w:rsidR="00AD5C50">
        <w:rPr>
          <w:rFonts w:ascii="Calibri" w:eastAsia="Calibri" w:hAnsi="Calibri" w:cs="Calibri"/>
        </w:rPr>
        <w:t> </w:t>
      </w:r>
      <w:r w:rsidR="00AD5C50" w:rsidRPr="00B913EF">
        <w:rPr>
          <w:rFonts w:ascii="Calibri" w:eastAsia="Calibri" w:hAnsi="Calibri" w:cs="Calibri"/>
        </w:rPr>
        <w:t>2018</w:t>
      </w:r>
      <w:r w:rsidR="00AD5C50">
        <w:rPr>
          <w:rFonts w:ascii="Calibri" w:eastAsia="Calibri" w:hAnsi="Calibri" w:cs="Calibri"/>
        </w:rPr>
        <w:t xml:space="preserve">. </w:t>
      </w:r>
    </w:p>
    <w:p w14:paraId="6BBF721E" w14:textId="2859D3C2" w:rsidR="00C45626" w:rsidRDefault="00AD5C50" w:rsidP="00C45626">
      <w:r>
        <w:t>Pro výpočet efektivnosti a nákladovosti správy všech daní se využívají data o inkasu daní a</w:t>
      </w:r>
      <w:r w:rsidR="0003536F">
        <w:t> </w:t>
      </w:r>
      <w:r>
        <w:t xml:space="preserve">výdajích FS ČR. </w:t>
      </w:r>
      <w:r w:rsidR="00C45626">
        <w:rPr>
          <w:iCs/>
          <w:szCs w:val="24"/>
        </w:rPr>
        <w:t xml:space="preserve">GFŘ zveřejňuje </w:t>
      </w:r>
      <w:r w:rsidR="00C45626" w:rsidRPr="0061149C">
        <w:rPr>
          <w:iCs/>
          <w:szCs w:val="24"/>
        </w:rPr>
        <w:t>informace o nákladovosti a efektivnosti jednotlivých druhů daní v</w:t>
      </w:r>
      <w:r w:rsidR="00C45626">
        <w:rPr>
          <w:iCs/>
          <w:szCs w:val="24"/>
        </w:rPr>
        <w:t> </w:t>
      </w:r>
      <w:r w:rsidR="00C45626" w:rsidRPr="0061149C">
        <w:rPr>
          <w:iCs/>
          <w:szCs w:val="24"/>
        </w:rPr>
        <w:t xml:space="preserve">rámci </w:t>
      </w:r>
      <w:r w:rsidR="0003536F">
        <w:rPr>
          <w:iCs/>
          <w:szCs w:val="24"/>
        </w:rPr>
        <w:t>z</w:t>
      </w:r>
      <w:r w:rsidR="00C45626" w:rsidRPr="0061149C">
        <w:rPr>
          <w:iCs/>
          <w:szCs w:val="24"/>
        </w:rPr>
        <w:t xml:space="preserve">práv o činnosti </w:t>
      </w:r>
      <w:r w:rsidR="00C45626">
        <w:rPr>
          <w:iCs/>
          <w:szCs w:val="24"/>
        </w:rPr>
        <w:t>FS ČR</w:t>
      </w:r>
      <w:r w:rsidR="00C45626" w:rsidRPr="0061149C">
        <w:rPr>
          <w:iCs/>
          <w:szCs w:val="24"/>
        </w:rPr>
        <w:t>.</w:t>
      </w:r>
      <w:r w:rsidR="00C45626" w:rsidRPr="0061149C">
        <w:t xml:space="preserve"> </w:t>
      </w:r>
      <w:r w:rsidR="00C45626" w:rsidRPr="0061149C">
        <w:rPr>
          <w:iCs/>
          <w:szCs w:val="24"/>
        </w:rPr>
        <w:t xml:space="preserve">Zprávy o činnosti </w:t>
      </w:r>
      <w:r w:rsidR="00C45626">
        <w:rPr>
          <w:iCs/>
          <w:szCs w:val="24"/>
        </w:rPr>
        <w:t>FS ČR</w:t>
      </w:r>
      <w:r w:rsidR="00C45626" w:rsidRPr="0061149C">
        <w:rPr>
          <w:iCs/>
          <w:szCs w:val="24"/>
        </w:rPr>
        <w:t xml:space="preserve"> předkládá GFŘ na poradu vedení MF a následně na jednání </w:t>
      </w:r>
      <w:r w:rsidR="0003536F">
        <w:rPr>
          <w:iCs/>
          <w:szCs w:val="24"/>
        </w:rPr>
        <w:t>v</w:t>
      </w:r>
      <w:r w:rsidR="00C45626" w:rsidRPr="0061149C">
        <w:rPr>
          <w:iCs/>
          <w:szCs w:val="24"/>
        </w:rPr>
        <w:t>lády ČR</w:t>
      </w:r>
      <w:r w:rsidR="00C45626">
        <w:rPr>
          <w:iCs/>
          <w:szCs w:val="24"/>
        </w:rPr>
        <w:t xml:space="preserve">. </w:t>
      </w:r>
    </w:p>
    <w:p w14:paraId="2A89DB9E" w14:textId="72559D5D" w:rsidR="00C45626" w:rsidRDefault="00C45626" w:rsidP="00C45626">
      <w:r>
        <w:t xml:space="preserve">Pro stanovení hodnot efektivnosti a nákladovosti daně silniční </w:t>
      </w:r>
      <w:r w:rsidR="00AD5C50">
        <w:t>využil NKÚ postup GFŘ, který zahrnul</w:t>
      </w:r>
      <w:r>
        <w:t xml:space="preserve"> inkaso daně silniční a poměrn</w:t>
      </w:r>
      <w:r w:rsidR="00AD5C50">
        <w:t>ou</w:t>
      </w:r>
      <w:r>
        <w:t xml:space="preserve"> část výdajů, která byla přepočtena dle vah zjištěných z personálního zajištění správy daní. Data o personálním zajištění zahrnují specializované zaměstnance spravující daň silniční a přepočet zaměstnanců zabývajících se podpůrnými činnostmi pro správu daně. </w:t>
      </w:r>
    </w:p>
    <w:p w14:paraId="05BAF37A" w14:textId="3EF4ACD6" w:rsidR="00C45626" w:rsidRDefault="00C45626" w:rsidP="00C45626">
      <w:pPr>
        <w:rPr>
          <w:i/>
        </w:rPr>
      </w:pPr>
      <w:r w:rsidRPr="00E10686">
        <w:t>Ukazateli efektivnosti a nákladovosti se rozumí:</w:t>
      </w:r>
      <w:r>
        <w:t xml:space="preserve"> </w:t>
      </w:r>
      <w:r w:rsidRPr="00B81A1D">
        <w:rPr>
          <w:i/>
        </w:rPr>
        <w:t>n</w:t>
      </w:r>
      <w:r w:rsidRPr="00E10686">
        <w:rPr>
          <w:i/>
        </w:rPr>
        <w:t xml:space="preserve">ákladový ukazatel na 100 Kč příjmů = výdaje celkem/příjmy celkem x 100, </w:t>
      </w:r>
      <w:r>
        <w:rPr>
          <w:i/>
        </w:rPr>
        <w:t>u</w:t>
      </w:r>
      <w:r w:rsidRPr="00E10686">
        <w:rPr>
          <w:i/>
        </w:rPr>
        <w:t xml:space="preserve">kazatel efektivnosti </w:t>
      </w:r>
      <w:r w:rsidR="00F20FE7">
        <w:rPr>
          <w:i/>
        </w:rPr>
        <w:t xml:space="preserve">na 1 Kč výdajů </w:t>
      </w:r>
      <w:r w:rsidRPr="00E10686">
        <w:rPr>
          <w:i/>
        </w:rPr>
        <w:t xml:space="preserve">= příjmy celkem/výdaje celkem. </w:t>
      </w:r>
    </w:p>
    <w:p w14:paraId="701B2FD6" w14:textId="2EB0033C" w:rsidR="00C45626" w:rsidRPr="00C62770" w:rsidRDefault="00D459E9" w:rsidP="00C45626">
      <w:pPr>
        <w:rPr>
          <w:rFonts w:cs="Calibri"/>
        </w:rPr>
      </w:pPr>
      <w:r>
        <w:rPr>
          <w:rFonts w:cs="Calibri"/>
        </w:rPr>
        <w:t>F</w:t>
      </w:r>
      <w:r w:rsidR="00F16309">
        <w:rPr>
          <w:rFonts w:cs="Calibri"/>
        </w:rPr>
        <w:t>aktory</w:t>
      </w:r>
      <w:r w:rsidR="00C45626" w:rsidRPr="00C62770">
        <w:rPr>
          <w:rFonts w:cs="Calibri"/>
        </w:rPr>
        <w:t xml:space="preserve">, které ovlivňují hodnoty efektivnosti, resp. nákladovosti, </w:t>
      </w:r>
      <w:r>
        <w:rPr>
          <w:rFonts w:cs="Calibri"/>
        </w:rPr>
        <w:t>jsou</w:t>
      </w:r>
      <w:r w:rsidR="00C45626" w:rsidRPr="00C62770">
        <w:rPr>
          <w:rFonts w:cs="Calibri"/>
        </w:rPr>
        <w:t xml:space="preserve"> </w:t>
      </w:r>
      <w:r w:rsidR="00C45626">
        <w:rPr>
          <w:rFonts w:cs="Calibri"/>
        </w:rPr>
        <w:t xml:space="preserve">například </w:t>
      </w:r>
      <w:r w:rsidR="00C45626" w:rsidRPr="00C62770">
        <w:rPr>
          <w:rFonts w:cs="Calibri"/>
        </w:rPr>
        <w:t>množství daňových úlev</w:t>
      </w:r>
      <w:r w:rsidR="00C45626">
        <w:rPr>
          <w:rFonts w:cs="Calibri"/>
        </w:rPr>
        <w:t xml:space="preserve"> a s tím související</w:t>
      </w:r>
      <w:r w:rsidR="00C45626" w:rsidRPr="00727607">
        <w:rPr>
          <w:rFonts w:cs="Calibri"/>
        </w:rPr>
        <w:t xml:space="preserve"> </w:t>
      </w:r>
      <w:r w:rsidR="00C45626">
        <w:rPr>
          <w:rFonts w:cs="Calibri"/>
        </w:rPr>
        <w:t>administrativní náročnost správy daně silniční</w:t>
      </w:r>
      <w:r w:rsidR="00C45626" w:rsidRPr="00C62770">
        <w:rPr>
          <w:rFonts w:cs="Calibri"/>
        </w:rPr>
        <w:t xml:space="preserve">, nízká míra elektronizace a nedostatečnost technických nástrojů pro ověření údajů uvedených v daňových přiznáních. </w:t>
      </w:r>
    </w:p>
    <w:p w14:paraId="5E071E80" w14:textId="3DCBAEF9" w:rsidR="00C45626" w:rsidRPr="005D00AC" w:rsidRDefault="00C45626" w:rsidP="00C45626">
      <w:pPr>
        <w:keepNext/>
        <w:keepLines/>
        <w:spacing w:after="0"/>
        <w:rPr>
          <w:rFonts w:cs="Calibri"/>
          <w:b/>
        </w:rPr>
      </w:pPr>
      <w:bookmarkStart w:id="12" w:name="_Ref88128586"/>
      <w:r w:rsidRPr="00B67F78">
        <w:rPr>
          <w:rFonts w:cstheme="minorHAnsi"/>
          <w:b/>
          <w:color w:val="000000" w:themeColor="text1"/>
          <w:szCs w:val="24"/>
        </w:rPr>
        <w:t xml:space="preserve">Tabulka </w:t>
      </w:r>
      <w:r w:rsidRPr="00B67F78">
        <w:rPr>
          <w:rFonts w:cstheme="minorHAnsi"/>
          <w:b/>
          <w:color w:val="000000" w:themeColor="text1"/>
          <w:szCs w:val="24"/>
        </w:rPr>
        <w:fldChar w:fldCharType="begin"/>
      </w:r>
      <w:r w:rsidRPr="00B67F78">
        <w:rPr>
          <w:rFonts w:cstheme="minorHAnsi"/>
          <w:b/>
          <w:color w:val="000000" w:themeColor="text1"/>
          <w:szCs w:val="24"/>
        </w:rPr>
        <w:instrText xml:space="preserve"> SEQ Tabulka \* ARABIC </w:instrText>
      </w:r>
      <w:r w:rsidRPr="00B67F78">
        <w:rPr>
          <w:rFonts w:cstheme="minorHAnsi"/>
          <w:b/>
          <w:color w:val="000000" w:themeColor="text1"/>
          <w:szCs w:val="24"/>
        </w:rPr>
        <w:fldChar w:fldCharType="separate"/>
      </w:r>
      <w:r w:rsidR="00500A1C">
        <w:rPr>
          <w:rFonts w:cstheme="minorHAnsi"/>
          <w:b/>
          <w:noProof/>
          <w:color w:val="000000" w:themeColor="text1"/>
          <w:szCs w:val="24"/>
        </w:rPr>
        <w:t>3</w:t>
      </w:r>
      <w:r w:rsidRPr="00B67F78">
        <w:rPr>
          <w:rFonts w:cstheme="minorHAnsi"/>
          <w:b/>
          <w:color w:val="000000" w:themeColor="text1"/>
          <w:szCs w:val="24"/>
        </w:rPr>
        <w:fldChar w:fldCharType="end"/>
      </w:r>
      <w:bookmarkEnd w:id="12"/>
      <w:r w:rsidR="00E01508">
        <w:rPr>
          <w:rFonts w:cstheme="minorHAnsi"/>
          <w:b/>
          <w:color w:val="000000" w:themeColor="text1"/>
          <w:szCs w:val="24"/>
        </w:rPr>
        <w:t>:</w:t>
      </w:r>
      <w:r>
        <w:rPr>
          <w:rFonts w:cstheme="minorHAnsi"/>
          <w:b/>
          <w:color w:val="000000" w:themeColor="text1"/>
          <w:szCs w:val="24"/>
        </w:rPr>
        <w:t xml:space="preserve"> </w:t>
      </w:r>
      <w:r w:rsidRPr="005D00AC">
        <w:rPr>
          <w:rFonts w:cs="Calibri"/>
          <w:b/>
        </w:rPr>
        <w:t xml:space="preserve">Porovnání hodnot efektivnosti daní </w:t>
      </w:r>
    </w:p>
    <w:tbl>
      <w:tblPr>
        <w:tblW w:w="909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181"/>
        <w:gridCol w:w="1302"/>
        <w:gridCol w:w="1302"/>
        <w:gridCol w:w="1305"/>
      </w:tblGrid>
      <w:tr w:rsidR="00C45626" w:rsidRPr="005D00AC" w14:paraId="6BDD3E75" w14:textId="77777777" w:rsidTr="009E5E2D">
        <w:trPr>
          <w:trHeight w:val="108"/>
        </w:trPr>
        <w:tc>
          <w:tcPr>
            <w:tcW w:w="5181" w:type="dxa"/>
            <w:shd w:val="clear" w:color="auto" w:fill="E5F1FF"/>
            <w:noWrap/>
            <w:vAlign w:val="center"/>
            <w:hideMark/>
          </w:tcPr>
          <w:p w14:paraId="5229F4C8" w14:textId="77777777" w:rsidR="00C45626" w:rsidRPr="00A9736F" w:rsidRDefault="00C45626" w:rsidP="00FD74BB">
            <w:pPr>
              <w:keepNext/>
              <w:keepLines/>
              <w:spacing w:after="0"/>
              <w:jc w:val="left"/>
              <w:rPr>
                <w:rFonts w:cs="Calibri"/>
                <w:b/>
                <w:bCs/>
                <w:sz w:val="20"/>
                <w:szCs w:val="20"/>
                <w:lang w:eastAsia="cs-CZ"/>
              </w:rPr>
            </w:pPr>
            <w:r w:rsidRPr="00A9736F">
              <w:rPr>
                <w:rFonts w:cs="Calibri"/>
                <w:b/>
                <w:bCs/>
                <w:sz w:val="20"/>
                <w:szCs w:val="20"/>
                <w:lang w:eastAsia="cs-CZ"/>
              </w:rPr>
              <w:t>Rok</w:t>
            </w:r>
          </w:p>
        </w:tc>
        <w:tc>
          <w:tcPr>
            <w:tcW w:w="1302" w:type="dxa"/>
            <w:shd w:val="clear" w:color="auto" w:fill="E5F1FF"/>
            <w:noWrap/>
            <w:vAlign w:val="center"/>
            <w:hideMark/>
          </w:tcPr>
          <w:p w14:paraId="2EA08628" w14:textId="77777777" w:rsidR="00C45626" w:rsidRPr="00A9736F" w:rsidRDefault="00C45626" w:rsidP="00FD74BB">
            <w:pPr>
              <w:keepNext/>
              <w:keepLines/>
              <w:spacing w:after="0"/>
              <w:jc w:val="center"/>
              <w:rPr>
                <w:rFonts w:cs="Calibri"/>
                <w:b/>
                <w:bCs/>
                <w:sz w:val="20"/>
                <w:szCs w:val="20"/>
                <w:lang w:eastAsia="cs-CZ"/>
              </w:rPr>
            </w:pPr>
            <w:r w:rsidRPr="00A9736F">
              <w:rPr>
                <w:rFonts w:cs="Calibri"/>
                <w:b/>
                <w:bCs/>
                <w:sz w:val="20"/>
                <w:szCs w:val="20"/>
                <w:lang w:eastAsia="cs-CZ"/>
              </w:rPr>
              <w:t>2018</w:t>
            </w:r>
          </w:p>
        </w:tc>
        <w:tc>
          <w:tcPr>
            <w:tcW w:w="1302" w:type="dxa"/>
            <w:shd w:val="clear" w:color="auto" w:fill="E5F1FF"/>
            <w:noWrap/>
            <w:vAlign w:val="center"/>
            <w:hideMark/>
          </w:tcPr>
          <w:p w14:paraId="5F477CC7" w14:textId="77777777" w:rsidR="00C45626" w:rsidRPr="00A9736F" w:rsidRDefault="00C45626" w:rsidP="00FD74BB">
            <w:pPr>
              <w:keepNext/>
              <w:keepLines/>
              <w:spacing w:after="0"/>
              <w:jc w:val="center"/>
              <w:rPr>
                <w:rFonts w:cs="Calibri"/>
                <w:b/>
                <w:bCs/>
                <w:sz w:val="20"/>
                <w:szCs w:val="20"/>
                <w:lang w:eastAsia="cs-CZ"/>
              </w:rPr>
            </w:pPr>
            <w:r w:rsidRPr="00A9736F">
              <w:rPr>
                <w:rFonts w:cs="Calibri"/>
                <w:b/>
                <w:bCs/>
                <w:sz w:val="20"/>
                <w:szCs w:val="20"/>
                <w:lang w:eastAsia="cs-CZ"/>
              </w:rPr>
              <w:t>2019</w:t>
            </w:r>
          </w:p>
        </w:tc>
        <w:tc>
          <w:tcPr>
            <w:tcW w:w="1305" w:type="dxa"/>
            <w:shd w:val="clear" w:color="auto" w:fill="E5F1FF"/>
            <w:noWrap/>
            <w:vAlign w:val="center"/>
            <w:hideMark/>
          </w:tcPr>
          <w:p w14:paraId="548ACCBD" w14:textId="77777777" w:rsidR="00C45626" w:rsidRPr="00A9736F" w:rsidRDefault="00C45626" w:rsidP="00FD74BB">
            <w:pPr>
              <w:keepNext/>
              <w:keepLines/>
              <w:spacing w:after="0"/>
              <w:jc w:val="center"/>
              <w:rPr>
                <w:rFonts w:cs="Calibri"/>
                <w:b/>
                <w:bCs/>
                <w:sz w:val="20"/>
                <w:szCs w:val="20"/>
                <w:lang w:eastAsia="cs-CZ"/>
              </w:rPr>
            </w:pPr>
            <w:r w:rsidRPr="00A9736F">
              <w:rPr>
                <w:rFonts w:cs="Calibri"/>
                <w:b/>
                <w:bCs/>
                <w:sz w:val="20"/>
                <w:szCs w:val="20"/>
                <w:lang w:eastAsia="cs-CZ"/>
              </w:rPr>
              <w:t>2020</w:t>
            </w:r>
          </w:p>
        </w:tc>
      </w:tr>
      <w:tr w:rsidR="00C45626" w:rsidRPr="005D00AC" w14:paraId="43BD8C06" w14:textId="77777777" w:rsidTr="009E5E2D">
        <w:trPr>
          <w:trHeight w:val="40"/>
        </w:trPr>
        <w:tc>
          <w:tcPr>
            <w:tcW w:w="9090" w:type="dxa"/>
            <w:gridSpan w:val="4"/>
            <w:shd w:val="clear" w:color="auto" w:fill="F2F2F2" w:themeFill="background1" w:themeFillShade="F2"/>
            <w:noWrap/>
            <w:vAlign w:val="center"/>
            <w:hideMark/>
          </w:tcPr>
          <w:p w14:paraId="21B1F981" w14:textId="191D7559" w:rsidR="00C45626" w:rsidRPr="00BA72A1" w:rsidRDefault="00C45626" w:rsidP="00FD74BB">
            <w:pPr>
              <w:keepNext/>
              <w:keepLines/>
              <w:spacing w:after="0"/>
              <w:jc w:val="center"/>
              <w:rPr>
                <w:rFonts w:cs="Calibri"/>
                <w:bCs/>
                <w:sz w:val="20"/>
                <w:szCs w:val="20"/>
                <w:lang w:eastAsia="cs-CZ"/>
              </w:rPr>
            </w:pPr>
            <w:r w:rsidRPr="00BA72A1">
              <w:rPr>
                <w:rFonts w:cs="Calibri"/>
                <w:bCs/>
                <w:sz w:val="20"/>
                <w:szCs w:val="20"/>
                <w:lang w:eastAsia="cs-CZ"/>
              </w:rPr>
              <w:t xml:space="preserve">Efektivnost v Kč </w:t>
            </w:r>
          </w:p>
        </w:tc>
      </w:tr>
      <w:tr w:rsidR="00C45626" w:rsidRPr="005D00AC" w14:paraId="72421C35" w14:textId="77777777" w:rsidTr="009E5E2D">
        <w:trPr>
          <w:trHeight w:val="157"/>
        </w:trPr>
        <w:tc>
          <w:tcPr>
            <w:tcW w:w="5181" w:type="dxa"/>
            <w:shd w:val="clear" w:color="auto" w:fill="auto"/>
            <w:noWrap/>
            <w:vAlign w:val="center"/>
            <w:hideMark/>
          </w:tcPr>
          <w:p w14:paraId="59B1AAEE" w14:textId="77777777" w:rsidR="00C45626" w:rsidRPr="00A9736F" w:rsidRDefault="00C45626" w:rsidP="00FD74BB">
            <w:pPr>
              <w:keepNext/>
              <w:keepLines/>
              <w:spacing w:after="0"/>
              <w:rPr>
                <w:rFonts w:cs="Calibri"/>
                <w:bCs/>
                <w:sz w:val="20"/>
                <w:szCs w:val="20"/>
                <w:lang w:eastAsia="cs-CZ"/>
              </w:rPr>
            </w:pPr>
            <w:r w:rsidRPr="00A9736F">
              <w:rPr>
                <w:rFonts w:cs="Calibri"/>
                <w:bCs/>
                <w:sz w:val="20"/>
                <w:szCs w:val="20"/>
                <w:lang w:eastAsia="cs-CZ"/>
              </w:rPr>
              <w:t xml:space="preserve">Příjmy na 1 Kč výdajů – </w:t>
            </w:r>
            <w:r>
              <w:rPr>
                <w:rFonts w:cs="Calibri"/>
                <w:bCs/>
                <w:sz w:val="20"/>
                <w:szCs w:val="20"/>
                <w:lang w:eastAsia="cs-CZ"/>
              </w:rPr>
              <w:t>daň silniční</w:t>
            </w:r>
          </w:p>
        </w:tc>
        <w:tc>
          <w:tcPr>
            <w:tcW w:w="1302" w:type="dxa"/>
            <w:shd w:val="clear" w:color="auto" w:fill="auto"/>
            <w:noWrap/>
            <w:vAlign w:val="center"/>
            <w:hideMark/>
          </w:tcPr>
          <w:p w14:paraId="0FF743C1"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15,91</w:t>
            </w:r>
          </w:p>
        </w:tc>
        <w:tc>
          <w:tcPr>
            <w:tcW w:w="1302" w:type="dxa"/>
            <w:shd w:val="clear" w:color="auto" w:fill="auto"/>
            <w:noWrap/>
            <w:vAlign w:val="center"/>
            <w:hideMark/>
          </w:tcPr>
          <w:p w14:paraId="1BEF0E0B"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15,71</w:t>
            </w:r>
          </w:p>
        </w:tc>
        <w:tc>
          <w:tcPr>
            <w:tcW w:w="1305" w:type="dxa"/>
            <w:shd w:val="clear" w:color="auto" w:fill="auto"/>
            <w:noWrap/>
            <w:vAlign w:val="center"/>
            <w:hideMark/>
          </w:tcPr>
          <w:p w14:paraId="3CFA880C"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12,96</w:t>
            </w:r>
          </w:p>
        </w:tc>
      </w:tr>
      <w:tr w:rsidR="00C45626" w:rsidRPr="005D00AC" w14:paraId="14E307B1" w14:textId="77777777" w:rsidTr="009E5E2D">
        <w:trPr>
          <w:trHeight w:val="40"/>
        </w:trPr>
        <w:tc>
          <w:tcPr>
            <w:tcW w:w="5181" w:type="dxa"/>
            <w:shd w:val="clear" w:color="auto" w:fill="auto"/>
            <w:noWrap/>
            <w:vAlign w:val="center"/>
            <w:hideMark/>
          </w:tcPr>
          <w:p w14:paraId="6D411403" w14:textId="77777777" w:rsidR="00C45626" w:rsidRPr="00A9736F" w:rsidRDefault="00C45626" w:rsidP="00FD74BB">
            <w:pPr>
              <w:keepNext/>
              <w:keepLines/>
              <w:spacing w:after="0"/>
              <w:rPr>
                <w:rFonts w:cs="Calibri"/>
                <w:bCs/>
                <w:sz w:val="20"/>
                <w:szCs w:val="20"/>
                <w:lang w:eastAsia="cs-CZ"/>
              </w:rPr>
            </w:pPr>
            <w:r w:rsidRPr="00A9736F">
              <w:rPr>
                <w:rFonts w:cs="Calibri"/>
                <w:bCs/>
                <w:sz w:val="20"/>
                <w:szCs w:val="20"/>
                <w:lang w:eastAsia="cs-CZ"/>
              </w:rPr>
              <w:t>Příjmy na 1 Kč výdajů – celkem FS ČR</w:t>
            </w:r>
          </w:p>
        </w:tc>
        <w:tc>
          <w:tcPr>
            <w:tcW w:w="1302" w:type="dxa"/>
            <w:shd w:val="clear" w:color="auto" w:fill="auto"/>
            <w:noWrap/>
            <w:vAlign w:val="center"/>
            <w:hideMark/>
          </w:tcPr>
          <w:p w14:paraId="74A9B38B"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70,58</w:t>
            </w:r>
          </w:p>
        </w:tc>
        <w:tc>
          <w:tcPr>
            <w:tcW w:w="1302" w:type="dxa"/>
            <w:shd w:val="clear" w:color="auto" w:fill="auto"/>
            <w:noWrap/>
            <w:vAlign w:val="center"/>
            <w:hideMark/>
          </w:tcPr>
          <w:p w14:paraId="2D59D076"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71,69</w:t>
            </w:r>
          </w:p>
        </w:tc>
        <w:tc>
          <w:tcPr>
            <w:tcW w:w="1305" w:type="dxa"/>
            <w:shd w:val="clear" w:color="auto" w:fill="auto"/>
            <w:noWrap/>
            <w:vAlign w:val="center"/>
            <w:hideMark/>
          </w:tcPr>
          <w:p w14:paraId="699F072C"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63,02</w:t>
            </w:r>
          </w:p>
        </w:tc>
      </w:tr>
      <w:tr w:rsidR="00C45626" w:rsidRPr="005D00AC" w14:paraId="5180DDC7" w14:textId="77777777" w:rsidTr="009E5E2D">
        <w:trPr>
          <w:trHeight w:val="40"/>
        </w:trPr>
        <w:tc>
          <w:tcPr>
            <w:tcW w:w="5181" w:type="dxa"/>
            <w:shd w:val="clear" w:color="auto" w:fill="auto"/>
            <w:noWrap/>
            <w:vAlign w:val="center"/>
            <w:hideMark/>
          </w:tcPr>
          <w:p w14:paraId="64AAC992" w14:textId="77777777" w:rsidR="00C45626" w:rsidRPr="00A9736F" w:rsidRDefault="00C45626" w:rsidP="00FD74BB">
            <w:pPr>
              <w:keepNext/>
              <w:keepLines/>
              <w:spacing w:after="0"/>
              <w:rPr>
                <w:rFonts w:cs="Calibri"/>
                <w:bCs/>
                <w:sz w:val="20"/>
                <w:szCs w:val="20"/>
                <w:lang w:eastAsia="cs-CZ"/>
              </w:rPr>
            </w:pPr>
            <w:r w:rsidRPr="00A9736F">
              <w:rPr>
                <w:rFonts w:cs="Calibri"/>
                <w:bCs/>
                <w:sz w:val="20"/>
                <w:szCs w:val="20"/>
                <w:lang w:eastAsia="cs-CZ"/>
              </w:rPr>
              <w:t>Porovnání</w:t>
            </w:r>
          </w:p>
        </w:tc>
        <w:tc>
          <w:tcPr>
            <w:tcW w:w="1302" w:type="dxa"/>
            <w:shd w:val="clear" w:color="auto" w:fill="auto"/>
            <w:noWrap/>
            <w:vAlign w:val="center"/>
            <w:hideMark/>
          </w:tcPr>
          <w:p w14:paraId="0703CFB1"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4,44</w:t>
            </w:r>
          </w:p>
        </w:tc>
        <w:tc>
          <w:tcPr>
            <w:tcW w:w="1302" w:type="dxa"/>
            <w:shd w:val="clear" w:color="auto" w:fill="auto"/>
            <w:noWrap/>
            <w:vAlign w:val="center"/>
            <w:hideMark/>
          </w:tcPr>
          <w:p w14:paraId="38437120"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4,56</w:t>
            </w:r>
          </w:p>
        </w:tc>
        <w:tc>
          <w:tcPr>
            <w:tcW w:w="1305" w:type="dxa"/>
            <w:shd w:val="clear" w:color="auto" w:fill="auto"/>
            <w:noWrap/>
            <w:vAlign w:val="center"/>
            <w:hideMark/>
          </w:tcPr>
          <w:p w14:paraId="0E579878"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4,86</w:t>
            </w:r>
          </w:p>
        </w:tc>
      </w:tr>
    </w:tbl>
    <w:p w14:paraId="05D7B40D" w14:textId="14399036" w:rsidR="007B383E" w:rsidRDefault="00C45626" w:rsidP="0003536F">
      <w:pPr>
        <w:widowControl w:val="0"/>
        <w:spacing w:after="0"/>
        <w:rPr>
          <w:rFonts w:cs="Calibri"/>
          <w:sz w:val="20"/>
          <w:szCs w:val="20"/>
        </w:rPr>
      </w:pPr>
      <w:r w:rsidRPr="00F06F73">
        <w:rPr>
          <w:rFonts w:cs="Calibri"/>
          <w:sz w:val="20"/>
          <w:szCs w:val="20"/>
        </w:rPr>
        <w:t>Zdroj</w:t>
      </w:r>
      <w:r w:rsidRPr="004E1125">
        <w:rPr>
          <w:rFonts w:cs="Calibri"/>
          <w:sz w:val="20"/>
          <w:szCs w:val="20"/>
        </w:rPr>
        <w:t>: GFŘ</w:t>
      </w:r>
      <w:r w:rsidR="0003536F">
        <w:rPr>
          <w:rFonts w:cs="Calibri"/>
          <w:sz w:val="20"/>
          <w:szCs w:val="20"/>
        </w:rPr>
        <w:t>;</w:t>
      </w:r>
      <w:r w:rsidRPr="004E1125">
        <w:rPr>
          <w:rFonts w:cs="Calibri"/>
          <w:sz w:val="20"/>
          <w:szCs w:val="20"/>
        </w:rPr>
        <w:t xml:space="preserve"> vlastní zpracování NKÚ</w:t>
      </w:r>
      <w:r w:rsidR="0003536F">
        <w:rPr>
          <w:rFonts w:cs="Calibri"/>
          <w:sz w:val="20"/>
          <w:szCs w:val="20"/>
        </w:rPr>
        <w:t>.</w:t>
      </w:r>
      <w:r w:rsidRPr="004E1125">
        <w:rPr>
          <w:rFonts w:cs="Calibri"/>
          <w:sz w:val="20"/>
          <w:szCs w:val="20"/>
        </w:rPr>
        <w:t xml:space="preserve"> </w:t>
      </w:r>
    </w:p>
    <w:p w14:paraId="52CCAF5E" w14:textId="77777777" w:rsidR="007B383E" w:rsidRDefault="007B383E" w:rsidP="007B383E">
      <w:pPr>
        <w:widowControl w:val="0"/>
        <w:spacing w:after="0"/>
        <w:rPr>
          <w:rFonts w:cs="Calibri"/>
          <w:sz w:val="20"/>
          <w:szCs w:val="20"/>
        </w:rPr>
      </w:pPr>
      <w:r>
        <w:rPr>
          <w:rFonts w:cs="Calibri"/>
          <w:sz w:val="20"/>
          <w:szCs w:val="20"/>
        </w:rPr>
        <w:t>Pozn.:</w:t>
      </w:r>
    </w:p>
    <w:p w14:paraId="3CBC69FD" w14:textId="13E3EF54" w:rsidR="0003536F" w:rsidRDefault="0003536F" w:rsidP="00227654">
      <w:pPr>
        <w:widowControl w:val="0"/>
        <w:spacing w:after="0"/>
        <w:rPr>
          <w:rFonts w:cs="Calibri"/>
          <w:sz w:val="20"/>
          <w:szCs w:val="20"/>
        </w:rPr>
      </w:pPr>
      <w:r>
        <w:rPr>
          <w:rFonts w:cs="Calibri"/>
          <w:sz w:val="20"/>
          <w:szCs w:val="20"/>
        </w:rPr>
        <w:t>P</w:t>
      </w:r>
      <w:r w:rsidR="00C45626" w:rsidRPr="004E1125">
        <w:rPr>
          <w:rFonts w:cs="Calibri"/>
          <w:sz w:val="20"/>
          <w:szCs w:val="20"/>
        </w:rPr>
        <w:t xml:space="preserve">odrobněji </w:t>
      </w:r>
      <w:r w:rsidR="00636CF6">
        <w:rPr>
          <w:rFonts w:cs="Calibri"/>
          <w:sz w:val="20"/>
          <w:szCs w:val="20"/>
        </w:rPr>
        <w:t xml:space="preserve">viz </w:t>
      </w:r>
      <w:r w:rsidR="00A1421B">
        <w:rPr>
          <w:rFonts w:cs="Calibri"/>
          <w:sz w:val="20"/>
          <w:szCs w:val="20"/>
        </w:rPr>
        <w:t>p</w:t>
      </w:r>
      <w:r w:rsidR="00636CF6">
        <w:rPr>
          <w:rFonts w:cs="Calibri"/>
          <w:sz w:val="20"/>
          <w:szCs w:val="20"/>
        </w:rPr>
        <w:t xml:space="preserve">říloha </w:t>
      </w:r>
      <w:r w:rsidR="00A55FFE">
        <w:rPr>
          <w:rFonts w:cs="Calibri"/>
          <w:sz w:val="20"/>
          <w:szCs w:val="20"/>
        </w:rPr>
        <w:t>1</w:t>
      </w:r>
      <w:r w:rsidR="00636CF6">
        <w:rPr>
          <w:rFonts w:cs="Calibri"/>
          <w:sz w:val="20"/>
          <w:szCs w:val="20"/>
        </w:rPr>
        <w:t>.</w:t>
      </w:r>
    </w:p>
    <w:p w14:paraId="1C278268" w14:textId="12243467" w:rsidR="0003536F" w:rsidRDefault="00C45626" w:rsidP="00227654">
      <w:pPr>
        <w:widowControl w:val="0"/>
        <w:spacing w:after="0"/>
        <w:rPr>
          <w:rFonts w:cs="Calibri"/>
          <w:sz w:val="20"/>
          <w:szCs w:val="20"/>
        </w:rPr>
      </w:pPr>
      <w:r w:rsidRPr="003B5BD6">
        <w:rPr>
          <w:rFonts w:cs="Calibri"/>
          <w:sz w:val="20"/>
          <w:szCs w:val="20"/>
        </w:rPr>
        <w:t xml:space="preserve">Porovnání = </w:t>
      </w:r>
      <w:r w:rsidR="0003536F">
        <w:rPr>
          <w:rFonts w:cs="Calibri"/>
          <w:sz w:val="20"/>
          <w:szCs w:val="20"/>
        </w:rPr>
        <w:t>p</w:t>
      </w:r>
      <w:r w:rsidRPr="003B5BD6">
        <w:rPr>
          <w:rFonts w:cs="Calibri"/>
          <w:sz w:val="20"/>
          <w:szCs w:val="20"/>
        </w:rPr>
        <w:t>říjmy na 1</w:t>
      </w:r>
      <w:r w:rsidR="00211012">
        <w:rPr>
          <w:rFonts w:cs="Calibri"/>
          <w:sz w:val="20"/>
          <w:szCs w:val="20"/>
        </w:rPr>
        <w:t xml:space="preserve"> </w:t>
      </w:r>
      <w:r w:rsidRPr="003B5BD6">
        <w:rPr>
          <w:rFonts w:cs="Calibri"/>
          <w:sz w:val="20"/>
          <w:szCs w:val="20"/>
        </w:rPr>
        <w:t>Kč výdajů – celkem FS ČR</w:t>
      </w:r>
      <w:r w:rsidR="0003536F">
        <w:rPr>
          <w:rFonts w:cs="Calibri"/>
          <w:sz w:val="20"/>
          <w:szCs w:val="20"/>
        </w:rPr>
        <w:t xml:space="preserve"> </w:t>
      </w:r>
      <w:r w:rsidRPr="003B5BD6">
        <w:rPr>
          <w:rFonts w:cs="Calibri"/>
          <w:sz w:val="20"/>
          <w:szCs w:val="20"/>
        </w:rPr>
        <w:t xml:space="preserve">/ </w:t>
      </w:r>
      <w:r w:rsidR="0003536F">
        <w:rPr>
          <w:rFonts w:cs="Calibri"/>
          <w:sz w:val="20"/>
          <w:szCs w:val="20"/>
        </w:rPr>
        <w:t>p</w:t>
      </w:r>
      <w:r w:rsidRPr="003B5BD6">
        <w:rPr>
          <w:rFonts w:cs="Calibri"/>
          <w:sz w:val="20"/>
          <w:szCs w:val="20"/>
        </w:rPr>
        <w:t>říjmy na 1</w:t>
      </w:r>
      <w:r w:rsidR="00211012">
        <w:rPr>
          <w:rFonts w:cs="Calibri"/>
          <w:sz w:val="20"/>
          <w:szCs w:val="20"/>
        </w:rPr>
        <w:t xml:space="preserve"> </w:t>
      </w:r>
      <w:r w:rsidRPr="003B5BD6">
        <w:rPr>
          <w:rFonts w:cs="Calibri"/>
          <w:sz w:val="20"/>
          <w:szCs w:val="20"/>
        </w:rPr>
        <w:t>Kč výdajů – daň silniční</w:t>
      </w:r>
      <w:r w:rsidR="0003536F">
        <w:rPr>
          <w:rFonts w:cs="Calibri"/>
          <w:sz w:val="20"/>
          <w:szCs w:val="20"/>
        </w:rPr>
        <w:t>.</w:t>
      </w:r>
      <w:r>
        <w:rPr>
          <w:rFonts w:cs="Calibri"/>
          <w:sz w:val="20"/>
          <w:szCs w:val="20"/>
        </w:rPr>
        <w:t xml:space="preserve"> </w:t>
      </w:r>
    </w:p>
    <w:p w14:paraId="57C8FF3F" w14:textId="11FB1283" w:rsidR="00C45626" w:rsidRDefault="0003536F" w:rsidP="0036373C">
      <w:pPr>
        <w:widowControl w:val="0"/>
        <w:rPr>
          <w:rFonts w:cs="Calibri"/>
          <w:sz w:val="20"/>
          <w:szCs w:val="20"/>
        </w:rPr>
      </w:pPr>
      <w:r>
        <w:rPr>
          <w:rFonts w:cs="Calibri"/>
          <w:sz w:val="20"/>
          <w:szCs w:val="20"/>
        </w:rPr>
        <w:t>Ú</w:t>
      </w:r>
      <w:r w:rsidR="00C45626">
        <w:rPr>
          <w:rFonts w:cs="Calibri"/>
          <w:sz w:val="20"/>
          <w:szCs w:val="20"/>
        </w:rPr>
        <w:t>daj za rok 2017 není uveden, neboť mezi roky 2017 a 2018 GFŘ zpřesnilo vyčíslení počtu pracovníků dle činností, tato hodnota je využita pro výpočet ukazatele efektivnosti</w:t>
      </w:r>
      <w:r w:rsidR="008C69CE">
        <w:rPr>
          <w:rFonts w:cs="Calibri"/>
          <w:sz w:val="20"/>
          <w:szCs w:val="20"/>
        </w:rPr>
        <w:t>.</w:t>
      </w:r>
    </w:p>
    <w:p w14:paraId="54F4F990" w14:textId="2B2BC5A2" w:rsidR="00C45626" w:rsidRPr="005D00AC" w:rsidRDefault="005463F0" w:rsidP="00C45626">
      <w:pPr>
        <w:keepNext/>
        <w:keepLines/>
        <w:spacing w:after="0"/>
        <w:rPr>
          <w:rFonts w:cs="Calibri"/>
          <w:b/>
        </w:rPr>
      </w:pPr>
      <w:bookmarkStart w:id="13" w:name="_Ref93388818"/>
      <w:r w:rsidRPr="00B67F78">
        <w:rPr>
          <w:rFonts w:cstheme="minorHAnsi"/>
          <w:b/>
          <w:color w:val="000000" w:themeColor="text1"/>
          <w:szCs w:val="24"/>
        </w:rPr>
        <w:t xml:space="preserve">Tabulka </w:t>
      </w:r>
      <w:r w:rsidRPr="00B67F78">
        <w:rPr>
          <w:rFonts w:cstheme="minorHAnsi"/>
          <w:b/>
          <w:color w:val="000000" w:themeColor="text1"/>
          <w:szCs w:val="24"/>
        </w:rPr>
        <w:fldChar w:fldCharType="begin"/>
      </w:r>
      <w:r w:rsidRPr="00B67F78">
        <w:rPr>
          <w:rFonts w:cstheme="minorHAnsi"/>
          <w:b/>
          <w:color w:val="000000" w:themeColor="text1"/>
          <w:szCs w:val="24"/>
        </w:rPr>
        <w:instrText xml:space="preserve"> SEQ Tabulka \* ARABIC </w:instrText>
      </w:r>
      <w:r w:rsidRPr="00B67F78">
        <w:rPr>
          <w:rFonts w:cstheme="minorHAnsi"/>
          <w:b/>
          <w:color w:val="000000" w:themeColor="text1"/>
          <w:szCs w:val="24"/>
        </w:rPr>
        <w:fldChar w:fldCharType="separate"/>
      </w:r>
      <w:r w:rsidR="00500A1C">
        <w:rPr>
          <w:rFonts w:cstheme="minorHAnsi"/>
          <w:b/>
          <w:noProof/>
          <w:color w:val="000000" w:themeColor="text1"/>
          <w:szCs w:val="24"/>
        </w:rPr>
        <w:t>4</w:t>
      </w:r>
      <w:r w:rsidRPr="00B67F78">
        <w:rPr>
          <w:rFonts w:cstheme="minorHAnsi"/>
          <w:b/>
          <w:color w:val="000000" w:themeColor="text1"/>
          <w:szCs w:val="24"/>
        </w:rPr>
        <w:fldChar w:fldCharType="end"/>
      </w:r>
      <w:bookmarkEnd w:id="13"/>
      <w:r w:rsidR="00E01508">
        <w:rPr>
          <w:rFonts w:cstheme="minorHAnsi"/>
          <w:b/>
          <w:color w:val="000000" w:themeColor="text1"/>
          <w:szCs w:val="24"/>
        </w:rPr>
        <w:t>:</w:t>
      </w:r>
      <w:r>
        <w:rPr>
          <w:rFonts w:cstheme="minorHAnsi"/>
          <w:b/>
          <w:color w:val="000000" w:themeColor="text1"/>
          <w:szCs w:val="24"/>
        </w:rPr>
        <w:t xml:space="preserve"> </w:t>
      </w:r>
      <w:r w:rsidR="00C45626" w:rsidRPr="005D00AC">
        <w:rPr>
          <w:rFonts w:cs="Calibri"/>
          <w:b/>
        </w:rPr>
        <w:t xml:space="preserve">Porovnání hodnot nákladovosti daní </w:t>
      </w:r>
    </w:p>
    <w:tbl>
      <w:tblPr>
        <w:tblW w:w="909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181"/>
        <w:gridCol w:w="1302"/>
        <w:gridCol w:w="1302"/>
        <w:gridCol w:w="1305"/>
      </w:tblGrid>
      <w:tr w:rsidR="00C45626" w:rsidRPr="005D00AC" w14:paraId="603FAD28" w14:textId="77777777" w:rsidTr="009E5E2D">
        <w:trPr>
          <w:trHeight w:val="108"/>
        </w:trPr>
        <w:tc>
          <w:tcPr>
            <w:tcW w:w="5181" w:type="dxa"/>
            <w:shd w:val="clear" w:color="auto" w:fill="E5F1FF"/>
            <w:noWrap/>
            <w:vAlign w:val="center"/>
            <w:hideMark/>
          </w:tcPr>
          <w:p w14:paraId="5516F5CF" w14:textId="77777777" w:rsidR="00C45626" w:rsidRPr="00A9736F" w:rsidRDefault="00C45626" w:rsidP="00FD74BB">
            <w:pPr>
              <w:keepNext/>
              <w:keepLines/>
              <w:spacing w:after="0"/>
              <w:jc w:val="left"/>
              <w:rPr>
                <w:rFonts w:cs="Calibri"/>
                <w:b/>
                <w:bCs/>
                <w:sz w:val="20"/>
                <w:szCs w:val="20"/>
                <w:lang w:eastAsia="cs-CZ"/>
              </w:rPr>
            </w:pPr>
            <w:r w:rsidRPr="00A9736F">
              <w:rPr>
                <w:rFonts w:cs="Calibri"/>
                <w:b/>
                <w:bCs/>
                <w:sz w:val="20"/>
                <w:szCs w:val="20"/>
                <w:lang w:eastAsia="cs-CZ"/>
              </w:rPr>
              <w:t>Rok</w:t>
            </w:r>
          </w:p>
        </w:tc>
        <w:tc>
          <w:tcPr>
            <w:tcW w:w="1302" w:type="dxa"/>
            <w:shd w:val="clear" w:color="auto" w:fill="E5F1FF"/>
            <w:noWrap/>
            <w:vAlign w:val="center"/>
            <w:hideMark/>
          </w:tcPr>
          <w:p w14:paraId="6CE0E0A3" w14:textId="77777777" w:rsidR="00C45626" w:rsidRPr="00A9736F" w:rsidRDefault="00C45626" w:rsidP="00FD74BB">
            <w:pPr>
              <w:keepNext/>
              <w:keepLines/>
              <w:spacing w:after="0"/>
              <w:jc w:val="center"/>
              <w:rPr>
                <w:rFonts w:cs="Calibri"/>
                <w:b/>
                <w:bCs/>
                <w:sz w:val="20"/>
                <w:szCs w:val="20"/>
                <w:lang w:eastAsia="cs-CZ"/>
              </w:rPr>
            </w:pPr>
            <w:r w:rsidRPr="00A9736F">
              <w:rPr>
                <w:rFonts w:cs="Calibri"/>
                <w:b/>
                <w:bCs/>
                <w:sz w:val="20"/>
                <w:szCs w:val="20"/>
                <w:lang w:eastAsia="cs-CZ"/>
              </w:rPr>
              <w:t>2018</w:t>
            </w:r>
          </w:p>
        </w:tc>
        <w:tc>
          <w:tcPr>
            <w:tcW w:w="1302" w:type="dxa"/>
            <w:shd w:val="clear" w:color="auto" w:fill="E5F1FF"/>
            <w:noWrap/>
            <w:vAlign w:val="center"/>
            <w:hideMark/>
          </w:tcPr>
          <w:p w14:paraId="0A16B046" w14:textId="77777777" w:rsidR="00C45626" w:rsidRPr="00A9736F" w:rsidRDefault="00C45626" w:rsidP="00FD74BB">
            <w:pPr>
              <w:keepNext/>
              <w:keepLines/>
              <w:spacing w:after="0"/>
              <w:jc w:val="center"/>
              <w:rPr>
                <w:rFonts w:cs="Calibri"/>
                <w:b/>
                <w:bCs/>
                <w:sz w:val="20"/>
                <w:szCs w:val="20"/>
                <w:lang w:eastAsia="cs-CZ"/>
              </w:rPr>
            </w:pPr>
            <w:r w:rsidRPr="00A9736F">
              <w:rPr>
                <w:rFonts w:cs="Calibri"/>
                <w:b/>
                <w:bCs/>
                <w:sz w:val="20"/>
                <w:szCs w:val="20"/>
                <w:lang w:eastAsia="cs-CZ"/>
              </w:rPr>
              <w:t>2019</w:t>
            </w:r>
          </w:p>
        </w:tc>
        <w:tc>
          <w:tcPr>
            <w:tcW w:w="1305" w:type="dxa"/>
            <w:shd w:val="clear" w:color="auto" w:fill="E5F1FF"/>
            <w:noWrap/>
            <w:vAlign w:val="center"/>
            <w:hideMark/>
          </w:tcPr>
          <w:p w14:paraId="23752601" w14:textId="77777777" w:rsidR="00C45626" w:rsidRPr="00A9736F" w:rsidRDefault="00C45626" w:rsidP="00FD74BB">
            <w:pPr>
              <w:keepNext/>
              <w:keepLines/>
              <w:spacing w:after="0"/>
              <w:jc w:val="center"/>
              <w:rPr>
                <w:rFonts w:cs="Calibri"/>
                <w:b/>
                <w:bCs/>
                <w:sz w:val="20"/>
                <w:szCs w:val="20"/>
                <w:lang w:eastAsia="cs-CZ"/>
              </w:rPr>
            </w:pPr>
            <w:r w:rsidRPr="00A9736F">
              <w:rPr>
                <w:rFonts w:cs="Calibri"/>
                <w:b/>
                <w:bCs/>
                <w:sz w:val="20"/>
                <w:szCs w:val="20"/>
                <w:lang w:eastAsia="cs-CZ"/>
              </w:rPr>
              <w:t>2020</w:t>
            </w:r>
          </w:p>
        </w:tc>
      </w:tr>
      <w:tr w:rsidR="00C45626" w:rsidRPr="005D00AC" w14:paraId="68A96DEB" w14:textId="77777777" w:rsidTr="009E5E2D">
        <w:trPr>
          <w:trHeight w:val="68"/>
        </w:trPr>
        <w:tc>
          <w:tcPr>
            <w:tcW w:w="9090" w:type="dxa"/>
            <w:gridSpan w:val="4"/>
            <w:shd w:val="clear" w:color="auto" w:fill="F2F2F2" w:themeFill="background1" w:themeFillShade="F2"/>
            <w:noWrap/>
            <w:vAlign w:val="center"/>
            <w:hideMark/>
          </w:tcPr>
          <w:p w14:paraId="05E2CB99" w14:textId="6801DCD1" w:rsidR="00C45626" w:rsidRPr="00A9736F" w:rsidRDefault="00C45626" w:rsidP="00FD74BB">
            <w:pPr>
              <w:keepNext/>
              <w:keepLines/>
              <w:spacing w:after="0"/>
              <w:jc w:val="center"/>
              <w:rPr>
                <w:rFonts w:cs="Calibri"/>
                <w:bCs/>
                <w:sz w:val="20"/>
                <w:szCs w:val="20"/>
                <w:lang w:eastAsia="cs-CZ"/>
              </w:rPr>
            </w:pPr>
            <w:r w:rsidRPr="00A9736F">
              <w:rPr>
                <w:rFonts w:cs="Calibri"/>
                <w:bCs/>
                <w:sz w:val="20"/>
                <w:szCs w:val="20"/>
                <w:lang w:eastAsia="cs-CZ"/>
              </w:rPr>
              <w:t>Nákladovost v</w:t>
            </w:r>
            <w:r>
              <w:rPr>
                <w:rFonts w:cs="Calibri"/>
                <w:bCs/>
                <w:sz w:val="20"/>
                <w:szCs w:val="20"/>
                <w:lang w:eastAsia="cs-CZ"/>
              </w:rPr>
              <w:t> </w:t>
            </w:r>
            <w:r w:rsidRPr="00A9736F">
              <w:rPr>
                <w:rFonts w:cs="Calibri"/>
                <w:bCs/>
                <w:sz w:val="20"/>
                <w:szCs w:val="20"/>
                <w:lang w:eastAsia="cs-CZ"/>
              </w:rPr>
              <w:t>Kč</w:t>
            </w:r>
          </w:p>
        </w:tc>
      </w:tr>
      <w:tr w:rsidR="00C45626" w:rsidRPr="005D00AC" w14:paraId="0FCD4096" w14:textId="77777777" w:rsidTr="009E5E2D">
        <w:trPr>
          <w:trHeight w:val="86"/>
        </w:trPr>
        <w:tc>
          <w:tcPr>
            <w:tcW w:w="5181" w:type="dxa"/>
            <w:shd w:val="clear" w:color="auto" w:fill="auto"/>
            <w:noWrap/>
            <w:vAlign w:val="center"/>
            <w:hideMark/>
          </w:tcPr>
          <w:p w14:paraId="46EAB932" w14:textId="77777777" w:rsidR="00C45626" w:rsidRPr="00A9736F" w:rsidRDefault="00C45626" w:rsidP="00FD74BB">
            <w:pPr>
              <w:keepNext/>
              <w:keepLines/>
              <w:spacing w:after="0"/>
              <w:rPr>
                <w:rFonts w:cs="Calibri"/>
                <w:bCs/>
                <w:sz w:val="20"/>
                <w:szCs w:val="20"/>
                <w:lang w:eastAsia="cs-CZ"/>
              </w:rPr>
            </w:pPr>
            <w:r w:rsidRPr="00A9736F">
              <w:rPr>
                <w:rFonts w:cs="Calibri"/>
                <w:bCs/>
                <w:sz w:val="20"/>
                <w:szCs w:val="20"/>
                <w:lang w:eastAsia="cs-CZ"/>
              </w:rPr>
              <w:t xml:space="preserve">Výdaje na 100 Kč příjmů – </w:t>
            </w:r>
            <w:r>
              <w:rPr>
                <w:rFonts w:cs="Calibri"/>
                <w:bCs/>
                <w:sz w:val="20"/>
                <w:szCs w:val="20"/>
                <w:lang w:eastAsia="cs-CZ"/>
              </w:rPr>
              <w:t>daň silniční</w:t>
            </w:r>
          </w:p>
        </w:tc>
        <w:tc>
          <w:tcPr>
            <w:tcW w:w="1302" w:type="dxa"/>
            <w:shd w:val="clear" w:color="auto" w:fill="auto"/>
            <w:noWrap/>
            <w:vAlign w:val="center"/>
            <w:hideMark/>
          </w:tcPr>
          <w:p w14:paraId="35CF916D"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6,28</w:t>
            </w:r>
          </w:p>
        </w:tc>
        <w:tc>
          <w:tcPr>
            <w:tcW w:w="1302" w:type="dxa"/>
            <w:shd w:val="clear" w:color="auto" w:fill="auto"/>
            <w:noWrap/>
            <w:vAlign w:val="center"/>
            <w:hideMark/>
          </w:tcPr>
          <w:p w14:paraId="770AC967"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6,37</w:t>
            </w:r>
          </w:p>
        </w:tc>
        <w:tc>
          <w:tcPr>
            <w:tcW w:w="1305" w:type="dxa"/>
            <w:shd w:val="clear" w:color="auto" w:fill="auto"/>
            <w:noWrap/>
            <w:vAlign w:val="center"/>
            <w:hideMark/>
          </w:tcPr>
          <w:p w14:paraId="73DD6735"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7,71</w:t>
            </w:r>
          </w:p>
        </w:tc>
      </w:tr>
      <w:tr w:rsidR="00C45626" w:rsidRPr="005D00AC" w14:paraId="2CEE177F" w14:textId="77777777" w:rsidTr="009E5E2D">
        <w:trPr>
          <w:trHeight w:val="40"/>
        </w:trPr>
        <w:tc>
          <w:tcPr>
            <w:tcW w:w="5181" w:type="dxa"/>
            <w:shd w:val="clear" w:color="auto" w:fill="auto"/>
            <w:noWrap/>
            <w:vAlign w:val="center"/>
            <w:hideMark/>
          </w:tcPr>
          <w:p w14:paraId="5033765C" w14:textId="77777777" w:rsidR="00C45626" w:rsidRPr="00A9736F" w:rsidRDefault="00C45626" w:rsidP="00FD74BB">
            <w:pPr>
              <w:keepNext/>
              <w:keepLines/>
              <w:spacing w:after="0"/>
              <w:rPr>
                <w:rFonts w:cs="Calibri"/>
                <w:bCs/>
                <w:sz w:val="20"/>
                <w:szCs w:val="20"/>
                <w:lang w:eastAsia="cs-CZ"/>
              </w:rPr>
            </w:pPr>
            <w:r w:rsidRPr="00A9736F">
              <w:rPr>
                <w:rFonts w:cs="Calibri"/>
                <w:bCs/>
                <w:sz w:val="20"/>
                <w:szCs w:val="20"/>
                <w:lang w:eastAsia="cs-CZ"/>
              </w:rPr>
              <w:t>Výdaje na 100 Kč příjmů – celkem FS ČR</w:t>
            </w:r>
          </w:p>
        </w:tc>
        <w:tc>
          <w:tcPr>
            <w:tcW w:w="1302" w:type="dxa"/>
            <w:shd w:val="clear" w:color="auto" w:fill="auto"/>
            <w:noWrap/>
            <w:vAlign w:val="center"/>
            <w:hideMark/>
          </w:tcPr>
          <w:p w14:paraId="61508648"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1,42</w:t>
            </w:r>
          </w:p>
        </w:tc>
        <w:tc>
          <w:tcPr>
            <w:tcW w:w="1302" w:type="dxa"/>
            <w:shd w:val="clear" w:color="auto" w:fill="auto"/>
            <w:noWrap/>
            <w:vAlign w:val="center"/>
            <w:hideMark/>
          </w:tcPr>
          <w:p w14:paraId="693C5058"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1,39</w:t>
            </w:r>
          </w:p>
        </w:tc>
        <w:tc>
          <w:tcPr>
            <w:tcW w:w="1305" w:type="dxa"/>
            <w:shd w:val="clear" w:color="auto" w:fill="auto"/>
            <w:noWrap/>
            <w:vAlign w:val="center"/>
            <w:hideMark/>
          </w:tcPr>
          <w:p w14:paraId="49E33827"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1,59</w:t>
            </w:r>
          </w:p>
        </w:tc>
      </w:tr>
      <w:tr w:rsidR="00C45626" w:rsidRPr="005D00AC" w14:paraId="7C57BC03" w14:textId="77777777" w:rsidTr="009E5E2D">
        <w:trPr>
          <w:trHeight w:val="40"/>
        </w:trPr>
        <w:tc>
          <w:tcPr>
            <w:tcW w:w="5181" w:type="dxa"/>
            <w:shd w:val="clear" w:color="auto" w:fill="auto"/>
            <w:noWrap/>
            <w:vAlign w:val="center"/>
            <w:hideMark/>
          </w:tcPr>
          <w:p w14:paraId="4508291F" w14:textId="77777777" w:rsidR="00C45626" w:rsidRPr="00A9736F" w:rsidRDefault="00C45626" w:rsidP="00FD74BB">
            <w:pPr>
              <w:keepNext/>
              <w:keepLines/>
              <w:spacing w:after="0"/>
              <w:rPr>
                <w:rFonts w:cs="Calibri"/>
                <w:bCs/>
                <w:sz w:val="20"/>
                <w:szCs w:val="20"/>
                <w:lang w:eastAsia="cs-CZ"/>
              </w:rPr>
            </w:pPr>
            <w:r w:rsidRPr="00A9736F">
              <w:rPr>
                <w:rFonts w:cs="Calibri"/>
                <w:bCs/>
                <w:sz w:val="20"/>
                <w:szCs w:val="20"/>
                <w:lang w:eastAsia="cs-CZ"/>
              </w:rPr>
              <w:t>Porovnání</w:t>
            </w:r>
          </w:p>
        </w:tc>
        <w:tc>
          <w:tcPr>
            <w:tcW w:w="1302" w:type="dxa"/>
            <w:shd w:val="clear" w:color="auto" w:fill="auto"/>
            <w:noWrap/>
            <w:vAlign w:val="center"/>
            <w:hideMark/>
          </w:tcPr>
          <w:p w14:paraId="651E56C3"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4,42</w:t>
            </w:r>
          </w:p>
        </w:tc>
        <w:tc>
          <w:tcPr>
            <w:tcW w:w="1302" w:type="dxa"/>
            <w:shd w:val="clear" w:color="auto" w:fill="auto"/>
            <w:noWrap/>
            <w:vAlign w:val="center"/>
            <w:hideMark/>
          </w:tcPr>
          <w:p w14:paraId="57F36223"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4,58</w:t>
            </w:r>
          </w:p>
        </w:tc>
        <w:tc>
          <w:tcPr>
            <w:tcW w:w="1305" w:type="dxa"/>
            <w:shd w:val="clear" w:color="auto" w:fill="auto"/>
            <w:noWrap/>
            <w:vAlign w:val="center"/>
            <w:hideMark/>
          </w:tcPr>
          <w:p w14:paraId="2F08B6C0" w14:textId="77777777" w:rsidR="00C45626" w:rsidRPr="00A9736F" w:rsidRDefault="00C45626" w:rsidP="00FD74BB">
            <w:pPr>
              <w:keepNext/>
              <w:keepLines/>
              <w:spacing w:after="0"/>
              <w:jc w:val="right"/>
              <w:rPr>
                <w:rFonts w:cs="Calibri"/>
                <w:bCs/>
                <w:sz w:val="20"/>
                <w:szCs w:val="20"/>
                <w:lang w:eastAsia="cs-CZ"/>
              </w:rPr>
            </w:pPr>
            <w:r w:rsidRPr="00A9736F">
              <w:rPr>
                <w:rFonts w:cs="Calibri"/>
                <w:bCs/>
                <w:sz w:val="20"/>
                <w:szCs w:val="20"/>
                <w:lang w:eastAsia="cs-CZ"/>
              </w:rPr>
              <w:t>4,85</w:t>
            </w:r>
          </w:p>
        </w:tc>
      </w:tr>
    </w:tbl>
    <w:p w14:paraId="295C1131" w14:textId="376AD581" w:rsidR="007B383E" w:rsidRDefault="00C45626" w:rsidP="00227654">
      <w:pPr>
        <w:spacing w:after="0"/>
        <w:rPr>
          <w:rFonts w:cs="Calibri"/>
          <w:sz w:val="20"/>
          <w:szCs w:val="20"/>
        </w:rPr>
      </w:pPr>
      <w:r w:rsidRPr="00F06F73">
        <w:rPr>
          <w:rFonts w:cs="Calibri"/>
          <w:sz w:val="20"/>
          <w:szCs w:val="20"/>
        </w:rPr>
        <w:t>Zdroj</w:t>
      </w:r>
      <w:r w:rsidRPr="004E1125">
        <w:rPr>
          <w:rFonts w:cs="Calibri"/>
          <w:sz w:val="20"/>
          <w:szCs w:val="20"/>
        </w:rPr>
        <w:t>: GFŘ</w:t>
      </w:r>
      <w:r w:rsidR="007B383E">
        <w:rPr>
          <w:rFonts w:cs="Calibri"/>
          <w:sz w:val="20"/>
          <w:szCs w:val="20"/>
        </w:rPr>
        <w:t>;</w:t>
      </w:r>
      <w:r w:rsidRPr="004E1125">
        <w:rPr>
          <w:rFonts w:cs="Calibri"/>
          <w:sz w:val="20"/>
          <w:szCs w:val="20"/>
        </w:rPr>
        <w:t xml:space="preserve"> vlastní zpracování NKÚ</w:t>
      </w:r>
      <w:r w:rsidR="007B383E">
        <w:rPr>
          <w:rFonts w:cs="Calibri"/>
          <w:sz w:val="20"/>
          <w:szCs w:val="20"/>
        </w:rPr>
        <w:t>.</w:t>
      </w:r>
      <w:r w:rsidRPr="004E1125">
        <w:rPr>
          <w:rFonts w:cs="Calibri"/>
          <w:sz w:val="20"/>
          <w:szCs w:val="20"/>
        </w:rPr>
        <w:t xml:space="preserve"> </w:t>
      </w:r>
    </w:p>
    <w:p w14:paraId="0F8C62CA" w14:textId="2103A852" w:rsidR="007B383E" w:rsidRDefault="007B383E" w:rsidP="00227654">
      <w:pPr>
        <w:spacing w:after="0"/>
        <w:rPr>
          <w:rFonts w:cs="Calibri"/>
          <w:sz w:val="20"/>
          <w:szCs w:val="20"/>
        </w:rPr>
      </w:pPr>
      <w:r>
        <w:rPr>
          <w:rFonts w:cs="Calibri"/>
          <w:sz w:val="20"/>
          <w:szCs w:val="20"/>
        </w:rPr>
        <w:t>Pozn.:</w:t>
      </w:r>
    </w:p>
    <w:p w14:paraId="7C77AB57" w14:textId="2A612EC0" w:rsidR="007B383E" w:rsidRDefault="007B383E" w:rsidP="00227654">
      <w:pPr>
        <w:spacing w:after="0"/>
        <w:rPr>
          <w:rFonts w:cs="Calibri"/>
          <w:sz w:val="20"/>
          <w:szCs w:val="20"/>
        </w:rPr>
      </w:pPr>
      <w:r>
        <w:rPr>
          <w:rFonts w:cs="Calibri"/>
          <w:sz w:val="20"/>
          <w:szCs w:val="20"/>
        </w:rPr>
        <w:t>P</w:t>
      </w:r>
      <w:r w:rsidR="00C45626" w:rsidRPr="004E1125">
        <w:rPr>
          <w:rFonts w:cs="Calibri"/>
          <w:sz w:val="20"/>
          <w:szCs w:val="20"/>
        </w:rPr>
        <w:t>odrobněji</w:t>
      </w:r>
      <w:r w:rsidR="002D7D90">
        <w:rPr>
          <w:rFonts w:cs="Calibri"/>
          <w:sz w:val="20"/>
          <w:szCs w:val="20"/>
        </w:rPr>
        <w:t xml:space="preserve"> viz </w:t>
      </w:r>
      <w:r w:rsidR="00A1421B">
        <w:rPr>
          <w:rFonts w:cs="Calibri"/>
          <w:sz w:val="20"/>
          <w:szCs w:val="20"/>
        </w:rPr>
        <w:t>p</w:t>
      </w:r>
      <w:r w:rsidR="002D7D90">
        <w:rPr>
          <w:rFonts w:cs="Calibri"/>
          <w:sz w:val="20"/>
          <w:szCs w:val="20"/>
        </w:rPr>
        <w:t>říloha 1.</w:t>
      </w:r>
    </w:p>
    <w:p w14:paraId="61D37B1C" w14:textId="508A8D92" w:rsidR="007B383E" w:rsidRDefault="00C45626" w:rsidP="00227654">
      <w:pPr>
        <w:spacing w:after="0"/>
        <w:rPr>
          <w:rFonts w:cs="Calibri"/>
          <w:sz w:val="20"/>
          <w:szCs w:val="20"/>
        </w:rPr>
      </w:pPr>
      <w:r w:rsidRPr="0038671A">
        <w:rPr>
          <w:rFonts w:cs="Calibri"/>
          <w:sz w:val="20"/>
          <w:szCs w:val="20"/>
        </w:rPr>
        <w:t xml:space="preserve">Porovnání = </w:t>
      </w:r>
      <w:r w:rsidR="007B383E">
        <w:rPr>
          <w:rFonts w:cs="Calibri"/>
          <w:sz w:val="20"/>
          <w:szCs w:val="20"/>
        </w:rPr>
        <w:t>v</w:t>
      </w:r>
      <w:r w:rsidRPr="0038671A">
        <w:rPr>
          <w:rFonts w:cs="Calibri"/>
          <w:sz w:val="20"/>
          <w:szCs w:val="20"/>
        </w:rPr>
        <w:t>ýdaje na 1</w:t>
      </w:r>
      <w:r w:rsidR="00211012">
        <w:rPr>
          <w:rFonts w:cs="Calibri"/>
          <w:sz w:val="20"/>
          <w:szCs w:val="20"/>
        </w:rPr>
        <w:t xml:space="preserve">00 </w:t>
      </w:r>
      <w:r w:rsidRPr="0038671A">
        <w:rPr>
          <w:rFonts w:cs="Calibri"/>
          <w:sz w:val="20"/>
          <w:szCs w:val="20"/>
        </w:rPr>
        <w:t>Kč příjmů – daň silniční</w:t>
      </w:r>
      <w:r w:rsidR="007B383E">
        <w:rPr>
          <w:rFonts w:cs="Calibri"/>
          <w:sz w:val="20"/>
          <w:szCs w:val="20"/>
        </w:rPr>
        <w:t xml:space="preserve"> </w:t>
      </w:r>
      <w:r w:rsidRPr="0038671A">
        <w:rPr>
          <w:rFonts w:cs="Calibri"/>
          <w:sz w:val="20"/>
          <w:szCs w:val="20"/>
        </w:rPr>
        <w:t xml:space="preserve">/ </w:t>
      </w:r>
      <w:r w:rsidR="007B383E">
        <w:rPr>
          <w:rFonts w:cs="Calibri"/>
          <w:sz w:val="20"/>
          <w:szCs w:val="20"/>
        </w:rPr>
        <w:t>v</w:t>
      </w:r>
      <w:r w:rsidRPr="0038671A">
        <w:rPr>
          <w:rFonts w:cs="Calibri"/>
          <w:sz w:val="20"/>
          <w:szCs w:val="20"/>
        </w:rPr>
        <w:t>ýdaje na 1</w:t>
      </w:r>
      <w:r w:rsidR="00211012">
        <w:rPr>
          <w:rFonts w:cs="Calibri"/>
          <w:sz w:val="20"/>
          <w:szCs w:val="20"/>
        </w:rPr>
        <w:t xml:space="preserve">00 </w:t>
      </w:r>
      <w:r w:rsidRPr="0038671A">
        <w:rPr>
          <w:rFonts w:cs="Calibri"/>
          <w:sz w:val="20"/>
          <w:szCs w:val="20"/>
        </w:rPr>
        <w:t>Kč příjmů – celkem FS ČR</w:t>
      </w:r>
      <w:r w:rsidR="007B383E">
        <w:rPr>
          <w:rFonts w:cs="Calibri"/>
          <w:sz w:val="20"/>
          <w:szCs w:val="20"/>
        </w:rPr>
        <w:t>.</w:t>
      </w:r>
      <w:r w:rsidRPr="0038671A">
        <w:rPr>
          <w:rFonts w:cs="Calibri"/>
          <w:sz w:val="20"/>
          <w:szCs w:val="20"/>
        </w:rPr>
        <w:t xml:space="preserve"> </w:t>
      </w:r>
    </w:p>
    <w:p w14:paraId="4CD4BE3E" w14:textId="6E65E796" w:rsidR="00C45626" w:rsidRPr="004E1125" w:rsidRDefault="007B383E" w:rsidP="00227654">
      <w:pPr>
        <w:rPr>
          <w:rFonts w:cs="Calibri"/>
          <w:sz w:val="20"/>
          <w:szCs w:val="20"/>
        </w:rPr>
      </w:pPr>
      <w:r>
        <w:rPr>
          <w:rFonts w:cs="Calibri"/>
          <w:sz w:val="20"/>
          <w:szCs w:val="20"/>
        </w:rPr>
        <w:t>Ú</w:t>
      </w:r>
      <w:r w:rsidR="00C45626" w:rsidRPr="0038671A">
        <w:rPr>
          <w:rFonts w:cs="Calibri"/>
          <w:sz w:val="20"/>
          <w:szCs w:val="20"/>
        </w:rPr>
        <w:t>daj za rok 2017 není uveden</w:t>
      </w:r>
      <w:r w:rsidR="00C45626">
        <w:rPr>
          <w:rFonts w:cs="Calibri"/>
          <w:sz w:val="20"/>
          <w:szCs w:val="20"/>
        </w:rPr>
        <w:t>, neboť mezi roky 2017 a 2018 GFŘ zpřesnilo vyčíslení počtu pracovníků dle činností, tato hodnota je využita pro výpočet ukazatele nákladovosti</w:t>
      </w:r>
      <w:r w:rsidR="008C69CE">
        <w:rPr>
          <w:rFonts w:cs="Calibri"/>
          <w:sz w:val="20"/>
          <w:szCs w:val="20"/>
        </w:rPr>
        <w:t>.</w:t>
      </w:r>
    </w:p>
    <w:p w14:paraId="627F9179" w14:textId="77777777" w:rsidR="0010589A" w:rsidRDefault="00C45626" w:rsidP="00227654">
      <w:pPr>
        <w:pStyle w:val="Normlnweb"/>
        <w:shd w:val="clear" w:color="auto" w:fill="FFFFFF"/>
        <w:spacing w:before="0" w:beforeAutospacing="0" w:after="120" w:afterAutospacing="0"/>
        <w:jc w:val="both"/>
        <w:rPr>
          <w:rFonts w:asciiTheme="minorHAnsi" w:hAnsiTheme="minorHAnsi" w:cstheme="minorHAnsi"/>
          <w:b/>
          <w:iCs/>
        </w:rPr>
      </w:pPr>
      <w:r w:rsidRPr="00C45626">
        <w:rPr>
          <w:rFonts w:asciiTheme="minorHAnsi" w:hAnsiTheme="minorHAnsi" w:cstheme="minorHAnsi"/>
          <w:b/>
          <w:iCs/>
        </w:rPr>
        <w:t xml:space="preserve">Efektivnost správy daně silniční je více než čtyřikrát nižší než </w:t>
      </w:r>
      <w:r w:rsidR="008F156A">
        <w:rPr>
          <w:rFonts w:asciiTheme="minorHAnsi" w:hAnsiTheme="minorHAnsi" w:cstheme="minorHAnsi"/>
          <w:b/>
          <w:iCs/>
        </w:rPr>
        <w:t xml:space="preserve">celková </w:t>
      </w:r>
      <w:r w:rsidRPr="00C45626">
        <w:rPr>
          <w:rFonts w:asciiTheme="minorHAnsi" w:hAnsiTheme="minorHAnsi" w:cstheme="minorHAnsi"/>
          <w:b/>
          <w:iCs/>
        </w:rPr>
        <w:t>efektivnost správy daní</w:t>
      </w:r>
      <w:r w:rsidRPr="005463F0">
        <w:rPr>
          <w:rFonts w:asciiTheme="minorHAnsi" w:hAnsiTheme="minorHAnsi" w:cstheme="minorHAnsi"/>
          <w:b/>
          <w:iCs/>
        </w:rPr>
        <w:t>.</w:t>
      </w:r>
      <w:r w:rsidR="00AD5C50">
        <w:rPr>
          <w:rFonts w:asciiTheme="minorHAnsi" w:hAnsiTheme="minorHAnsi" w:cstheme="minorHAnsi"/>
          <w:b/>
          <w:iCs/>
        </w:rPr>
        <w:t xml:space="preserve"> </w:t>
      </w:r>
    </w:p>
    <w:p w14:paraId="570812A0" w14:textId="75BF01D7" w:rsidR="00C45626" w:rsidRDefault="00D459E9" w:rsidP="00FD5CF1">
      <w:pPr>
        <w:pStyle w:val="Normlnweb"/>
        <w:shd w:val="clear" w:color="auto" w:fill="FFFFFF"/>
        <w:spacing w:before="0" w:beforeAutospacing="0" w:after="0" w:afterAutospacing="0"/>
        <w:jc w:val="both"/>
        <w:rPr>
          <w:rFonts w:asciiTheme="minorHAnsi" w:hAnsiTheme="minorHAnsi" w:cstheme="minorHAnsi"/>
          <w:b/>
          <w:iCs/>
        </w:rPr>
      </w:pPr>
      <w:r>
        <w:rPr>
          <w:rFonts w:asciiTheme="minorHAnsi" w:hAnsiTheme="minorHAnsi" w:cstheme="minorHAnsi"/>
          <w:b/>
          <w:iCs/>
        </w:rPr>
        <w:t>Efektivnost a n</w:t>
      </w:r>
      <w:r w:rsidR="00C45626" w:rsidRPr="00C45626">
        <w:rPr>
          <w:rFonts w:asciiTheme="minorHAnsi" w:hAnsiTheme="minorHAnsi" w:cstheme="minorHAnsi"/>
          <w:b/>
          <w:iCs/>
        </w:rPr>
        <w:t>ákladovost daně silniční</w:t>
      </w:r>
      <w:r>
        <w:rPr>
          <w:rFonts w:asciiTheme="minorHAnsi" w:hAnsiTheme="minorHAnsi" w:cstheme="minorHAnsi"/>
          <w:b/>
          <w:iCs/>
        </w:rPr>
        <w:t xml:space="preserve"> ovlivňují</w:t>
      </w:r>
      <w:r w:rsidR="00C45626" w:rsidRPr="00C45626">
        <w:rPr>
          <w:rFonts w:asciiTheme="minorHAnsi" w:hAnsiTheme="minorHAnsi" w:cstheme="minorHAnsi"/>
          <w:b/>
          <w:iCs/>
        </w:rPr>
        <w:t xml:space="preserve"> nejen </w:t>
      </w:r>
      <w:r>
        <w:rPr>
          <w:rFonts w:asciiTheme="minorHAnsi" w:hAnsiTheme="minorHAnsi" w:cstheme="minorHAnsi"/>
          <w:b/>
          <w:iCs/>
        </w:rPr>
        <w:t>výdaje</w:t>
      </w:r>
      <w:r w:rsidR="00C45626" w:rsidRPr="00C45626">
        <w:rPr>
          <w:rFonts w:asciiTheme="minorHAnsi" w:hAnsiTheme="minorHAnsi" w:cstheme="minorHAnsi"/>
          <w:b/>
          <w:iCs/>
        </w:rPr>
        <w:t xml:space="preserve"> na správu daně, ale také dlouhodobě neměnn</w:t>
      </w:r>
      <w:r w:rsidR="0010589A">
        <w:rPr>
          <w:rFonts w:asciiTheme="minorHAnsi" w:hAnsiTheme="minorHAnsi" w:cstheme="minorHAnsi"/>
          <w:b/>
          <w:iCs/>
        </w:rPr>
        <w:t>á</w:t>
      </w:r>
      <w:r w:rsidR="00C45626" w:rsidRPr="00C45626">
        <w:rPr>
          <w:rFonts w:asciiTheme="minorHAnsi" w:hAnsiTheme="minorHAnsi" w:cstheme="minorHAnsi"/>
          <w:b/>
          <w:iCs/>
        </w:rPr>
        <w:t xml:space="preserve"> výš</w:t>
      </w:r>
      <w:r w:rsidR="0010589A">
        <w:rPr>
          <w:rFonts w:asciiTheme="minorHAnsi" w:hAnsiTheme="minorHAnsi" w:cstheme="minorHAnsi"/>
          <w:b/>
          <w:iCs/>
        </w:rPr>
        <w:t>e</w:t>
      </w:r>
      <w:r w:rsidR="00C45626" w:rsidRPr="00C45626">
        <w:rPr>
          <w:rFonts w:asciiTheme="minorHAnsi" w:hAnsiTheme="minorHAnsi" w:cstheme="minorHAnsi"/>
          <w:b/>
          <w:iCs/>
        </w:rPr>
        <w:t xml:space="preserve"> sazby daně a další atributy ovlivňující konečnou výši daně</w:t>
      </w:r>
      <w:r w:rsidR="002C2EDC">
        <w:rPr>
          <w:rFonts w:asciiTheme="minorHAnsi" w:hAnsiTheme="minorHAnsi" w:cstheme="minorHAnsi"/>
          <w:b/>
          <w:iCs/>
        </w:rPr>
        <w:t xml:space="preserve"> (např.</w:t>
      </w:r>
      <w:r w:rsidR="00EF64D4">
        <w:rPr>
          <w:rFonts w:asciiTheme="minorHAnsi" w:hAnsiTheme="minorHAnsi" w:cstheme="minorHAnsi"/>
          <w:b/>
          <w:iCs/>
        </w:rPr>
        <w:t> </w:t>
      </w:r>
      <w:r w:rsidR="002C2EDC">
        <w:rPr>
          <w:rFonts w:asciiTheme="minorHAnsi" w:hAnsiTheme="minorHAnsi" w:cstheme="minorHAnsi"/>
          <w:b/>
          <w:iCs/>
        </w:rPr>
        <w:t>slevy a osvobození od daně)</w:t>
      </w:r>
      <w:r w:rsidR="00C45626" w:rsidRPr="00C45626">
        <w:rPr>
          <w:rFonts w:asciiTheme="minorHAnsi" w:hAnsiTheme="minorHAnsi" w:cstheme="minorHAnsi"/>
          <w:b/>
          <w:iCs/>
        </w:rPr>
        <w:t>.</w:t>
      </w:r>
    </w:p>
    <w:p w14:paraId="3F902C7A" w14:textId="77777777" w:rsidR="00FD5CF1" w:rsidRDefault="00FD5CF1" w:rsidP="00FD5CF1">
      <w:pPr>
        <w:pStyle w:val="Normlnweb"/>
        <w:shd w:val="clear" w:color="auto" w:fill="FFFFFF"/>
        <w:spacing w:before="0" w:beforeAutospacing="0" w:after="0" w:afterAutospacing="0"/>
        <w:jc w:val="both"/>
        <w:rPr>
          <w:rFonts w:asciiTheme="minorHAnsi" w:hAnsiTheme="minorHAnsi" w:cstheme="minorHAnsi"/>
          <w:b/>
          <w:iCs/>
        </w:rPr>
      </w:pPr>
    </w:p>
    <w:p w14:paraId="1041E801" w14:textId="1648257C" w:rsidR="00751A7F" w:rsidRDefault="00225E12" w:rsidP="00E6473E">
      <w:pPr>
        <w:spacing w:before="120"/>
      </w:pPr>
      <w:r>
        <w:rPr>
          <w:b/>
        </w:rPr>
        <w:t>2.2</w:t>
      </w:r>
      <w:r w:rsidR="003C2E03" w:rsidRPr="00225E12">
        <w:rPr>
          <w:b/>
        </w:rPr>
        <w:t xml:space="preserve"> Administrativní náročnost správy daně silniční</w:t>
      </w:r>
    </w:p>
    <w:p w14:paraId="16878451" w14:textId="68D2CBCE" w:rsidR="001A5D9D" w:rsidRDefault="001A5D9D" w:rsidP="00E6473E">
      <w:pPr>
        <w:spacing w:before="120"/>
      </w:pPr>
      <w:r>
        <w:t xml:space="preserve">NKÚ u dvou </w:t>
      </w:r>
      <w:r w:rsidR="008F1386">
        <w:t xml:space="preserve">kontrolovaných </w:t>
      </w:r>
      <w:r>
        <w:t xml:space="preserve">finančních úřadů </w:t>
      </w:r>
      <w:r w:rsidR="00B43AE0">
        <w:t>zjistil</w:t>
      </w:r>
      <w:r>
        <w:t xml:space="preserve">, že správci daně nemají </w:t>
      </w:r>
      <w:r w:rsidR="00AC5417">
        <w:t xml:space="preserve">efektivní </w:t>
      </w:r>
      <w:r>
        <w:t>nástroje:</w:t>
      </w:r>
    </w:p>
    <w:p w14:paraId="67EBE221" w14:textId="455A2C54" w:rsidR="001A5D9D" w:rsidRDefault="007B383E" w:rsidP="00AF0854">
      <w:pPr>
        <w:pStyle w:val="Odstavecseseznamem"/>
        <w:numPr>
          <w:ilvl w:val="1"/>
          <w:numId w:val="26"/>
        </w:numPr>
        <w:spacing w:before="120"/>
        <w:ind w:left="709" w:hanging="425"/>
      </w:pPr>
      <w:r>
        <w:t xml:space="preserve">pro kontrolu </w:t>
      </w:r>
      <w:r w:rsidR="001A5D9D">
        <w:t>plnění daňových povinností u daně silniční u autobazarů, které jsou provozovateli osobních vozidel do 3,5 t;</w:t>
      </w:r>
    </w:p>
    <w:p w14:paraId="0EBEA2F2" w14:textId="79E17BCB" w:rsidR="0036373C" w:rsidRPr="004F7457" w:rsidRDefault="007B383E" w:rsidP="0036373C">
      <w:pPr>
        <w:pStyle w:val="Odstavecseseznamem"/>
        <w:numPr>
          <w:ilvl w:val="1"/>
          <w:numId w:val="26"/>
        </w:numPr>
        <w:spacing w:before="120"/>
        <w:ind w:left="709" w:hanging="425"/>
      </w:pPr>
      <w:r>
        <w:t xml:space="preserve">pro kontrolu, </w:t>
      </w:r>
      <w:r w:rsidR="001A5D9D">
        <w:t>zda nepodnikající osoba poskytla osobní vozidlo podnikající osobě k činnosti zdaňované podle zákona o daních z příjmů</w:t>
      </w:r>
      <w:r w:rsidR="001A5D9D">
        <w:rPr>
          <w:rStyle w:val="Znakapoznpodarou"/>
        </w:rPr>
        <w:footnoteReference w:id="19"/>
      </w:r>
      <w:r w:rsidR="001A5D9D">
        <w:t>, resp. zda nepodnikající osoba jako poplatník odvedla daň silniční</w:t>
      </w:r>
      <w:r w:rsidR="004F7457">
        <w:t xml:space="preserve"> </w:t>
      </w:r>
      <w:r w:rsidR="0036373C">
        <w:t xml:space="preserve">(viz </w:t>
      </w:r>
      <w:r w:rsidR="00E01508">
        <w:t>t</w:t>
      </w:r>
      <w:r w:rsidR="0036373C">
        <w:t>abulka 5).</w:t>
      </w:r>
    </w:p>
    <w:p w14:paraId="7160A159" w14:textId="69108241" w:rsidR="001A5D9D" w:rsidRDefault="001A5D9D" w:rsidP="00234654">
      <w:pPr>
        <w:spacing w:before="120"/>
      </w:pPr>
      <w:r>
        <w:t xml:space="preserve">NKÚ u dvou </w:t>
      </w:r>
      <w:r w:rsidR="008F1386">
        <w:t xml:space="preserve">kontrolovaných </w:t>
      </w:r>
      <w:r>
        <w:t xml:space="preserve">finančních úřadů </w:t>
      </w:r>
      <w:r w:rsidR="00B43AE0">
        <w:t>zjistil</w:t>
      </w:r>
      <w:r>
        <w:t xml:space="preserve">, že </w:t>
      </w:r>
      <w:r w:rsidR="00D533F6">
        <w:t xml:space="preserve">je pro </w:t>
      </w:r>
      <w:r>
        <w:t xml:space="preserve">správce daně </w:t>
      </w:r>
      <w:r w:rsidR="00AC5417">
        <w:t>administrativně náročné</w:t>
      </w:r>
      <w:r>
        <w:t xml:space="preserve">: </w:t>
      </w:r>
    </w:p>
    <w:p w14:paraId="231AC8F9" w14:textId="6146D495" w:rsidR="001A5D9D" w:rsidRDefault="001A5D9D" w:rsidP="00610FDF">
      <w:pPr>
        <w:pStyle w:val="Odstavecseseznamem"/>
        <w:numPr>
          <w:ilvl w:val="0"/>
          <w:numId w:val="35"/>
        </w:numPr>
        <w:spacing w:before="120"/>
        <w:ind w:left="709" w:hanging="425"/>
      </w:pPr>
      <w:r>
        <w:t>na základě informací z daňových přiznání k dani z příjmů ověřit</w:t>
      </w:r>
      <w:r w:rsidRPr="00DA209F">
        <w:t xml:space="preserve"> </w:t>
      </w:r>
      <w:r>
        <w:t>splnění povinnosti podat daňové přiznání k</w:t>
      </w:r>
      <w:r w:rsidR="00227654">
        <w:t xml:space="preserve"> </w:t>
      </w:r>
      <w:r>
        <w:t>dani silniční u veřejně</w:t>
      </w:r>
      <w:r w:rsidR="00227654" w:rsidRPr="00227654">
        <w:t xml:space="preserve"> </w:t>
      </w:r>
      <w:r w:rsidR="00227654">
        <w:t>prospěšného poplatníka</w:t>
      </w:r>
      <w:r w:rsidR="00533880">
        <w:rPr>
          <w:rStyle w:val="Znakapoznpodarou"/>
        </w:rPr>
        <w:footnoteReference w:id="20"/>
      </w:r>
      <w:r>
        <w:t xml:space="preserve">, resp. </w:t>
      </w:r>
      <w:r w:rsidR="00610FDF">
        <w:br/>
      </w:r>
      <w:r>
        <w:t xml:space="preserve">u poplatníka, který uplatnil paušální výdaje na dopravu; </w:t>
      </w:r>
    </w:p>
    <w:p w14:paraId="2300569A" w14:textId="5A571268" w:rsidR="00F23169" w:rsidRPr="00224296" w:rsidRDefault="001A5D9D" w:rsidP="0036373C">
      <w:pPr>
        <w:pStyle w:val="Odstavecseseznamem"/>
        <w:numPr>
          <w:ilvl w:val="0"/>
          <w:numId w:val="35"/>
        </w:numPr>
        <w:spacing w:before="120"/>
        <w:ind w:left="709" w:hanging="425"/>
        <w:rPr>
          <w:rFonts w:cstheme="minorHAnsi"/>
          <w:color w:val="000000" w:themeColor="text1"/>
          <w:szCs w:val="24"/>
        </w:rPr>
      </w:pPr>
      <w:r>
        <w:t>v rámci daňové kontroly ověřit splnění daňové povinnosti k dani silniční při užití vozidla zaměstnancem pro zaměstnavatele</w:t>
      </w:r>
      <w:r w:rsidR="004F7457">
        <w:t xml:space="preserve"> </w:t>
      </w:r>
      <w:bookmarkStart w:id="14" w:name="_Ref93396136"/>
      <w:r w:rsidR="0036373C">
        <w:t xml:space="preserve">(viz </w:t>
      </w:r>
      <w:r w:rsidR="00E01508">
        <w:t>t</w:t>
      </w:r>
      <w:r w:rsidR="0036373C">
        <w:t>abulka 5).</w:t>
      </w:r>
    </w:p>
    <w:p w14:paraId="63910B9A" w14:textId="77777777" w:rsidR="0036373C" w:rsidRDefault="0036373C">
      <w:pPr>
        <w:spacing w:after="160" w:line="259" w:lineRule="auto"/>
        <w:jc w:val="left"/>
        <w:rPr>
          <w:rFonts w:cstheme="minorHAnsi"/>
          <w:b/>
          <w:color w:val="000000" w:themeColor="text1"/>
          <w:szCs w:val="24"/>
        </w:rPr>
      </w:pPr>
      <w:r>
        <w:rPr>
          <w:rFonts w:cstheme="minorHAnsi"/>
          <w:b/>
          <w:color w:val="000000" w:themeColor="text1"/>
          <w:szCs w:val="24"/>
        </w:rPr>
        <w:br w:type="page"/>
      </w:r>
    </w:p>
    <w:p w14:paraId="5F967DE2" w14:textId="3A59AB25" w:rsidR="00AD7B3E" w:rsidRDefault="00AD7B3E" w:rsidP="00AD7B3E">
      <w:pPr>
        <w:keepNext/>
        <w:keepLines/>
        <w:spacing w:after="0" w:line="259" w:lineRule="auto"/>
        <w:jc w:val="left"/>
        <w:rPr>
          <w:rFonts w:cstheme="minorHAnsi"/>
          <w:b/>
          <w:color w:val="000000" w:themeColor="text1"/>
          <w:szCs w:val="24"/>
        </w:rPr>
      </w:pPr>
      <w:r w:rsidRPr="00B67F78">
        <w:rPr>
          <w:rFonts w:cstheme="minorHAnsi"/>
          <w:b/>
          <w:color w:val="000000" w:themeColor="text1"/>
          <w:szCs w:val="24"/>
        </w:rPr>
        <w:t xml:space="preserve">Tabulka </w:t>
      </w:r>
      <w:r w:rsidRPr="00B67F78">
        <w:rPr>
          <w:rFonts w:cstheme="minorHAnsi"/>
          <w:b/>
          <w:color w:val="000000" w:themeColor="text1"/>
          <w:szCs w:val="24"/>
        </w:rPr>
        <w:fldChar w:fldCharType="begin"/>
      </w:r>
      <w:r w:rsidRPr="00B67F78">
        <w:rPr>
          <w:rFonts w:cstheme="minorHAnsi"/>
          <w:b/>
          <w:color w:val="000000" w:themeColor="text1"/>
          <w:szCs w:val="24"/>
        </w:rPr>
        <w:instrText xml:space="preserve"> SEQ Tabulka \* ARABIC </w:instrText>
      </w:r>
      <w:r w:rsidRPr="00B67F78">
        <w:rPr>
          <w:rFonts w:cstheme="minorHAnsi"/>
          <w:b/>
          <w:color w:val="000000" w:themeColor="text1"/>
          <w:szCs w:val="24"/>
        </w:rPr>
        <w:fldChar w:fldCharType="separate"/>
      </w:r>
      <w:r w:rsidR="00500A1C">
        <w:rPr>
          <w:rFonts w:cstheme="minorHAnsi"/>
          <w:b/>
          <w:noProof/>
          <w:color w:val="000000" w:themeColor="text1"/>
          <w:szCs w:val="24"/>
        </w:rPr>
        <w:t>5</w:t>
      </w:r>
      <w:r w:rsidRPr="00B67F78">
        <w:rPr>
          <w:rFonts w:cstheme="minorHAnsi"/>
          <w:b/>
          <w:color w:val="000000" w:themeColor="text1"/>
          <w:szCs w:val="24"/>
        </w:rPr>
        <w:fldChar w:fldCharType="end"/>
      </w:r>
      <w:bookmarkEnd w:id="14"/>
      <w:r w:rsidR="00E01508">
        <w:rPr>
          <w:rFonts w:cstheme="minorHAnsi"/>
          <w:b/>
          <w:color w:val="000000" w:themeColor="text1"/>
          <w:szCs w:val="24"/>
        </w:rPr>
        <w:t>:</w:t>
      </w:r>
      <w:r>
        <w:rPr>
          <w:rFonts w:cstheme="minorHAnsi"/>
          <w:b/>
          <w:color w:val="000000" w:themeColor="text1"/>
          <w:szCs w:val="24"/>
        </w:rPr>
        <w:t xml:space="preserve"> Možnost ověření splnění povinností poplatníků DSL</w:t>
      </w:r>
      <w:r w:rsidR="002C2EDC">
        <w:rPr>
          <w:rFonts w:cstheme="minorHAnsi"/>
          <w:b/>
          <w:color w:val="000000" w:themeColor="text1"/>
          <w:szCs w:val="24"/>
        </w:rPr>
        <w:t xml:space="preserve"> mimo postupů dle DŘ</w:t>
      </w:r>
    </w:p>
    <w:tbl>
      <w:tblPr>
        <w:tblW w:w="90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15"/>
        <w:gridCol w:w="5386"/>
        <w:gridCol w:w="2768"/>
      </w:tblGrid>
      <w:tr w:rsidR="00A43D64" w:rsidRPr="00961F9F" w14:paraId="2E0F23C7" w14:textId="77777777" w:rsidTr="00224296">
        <w:trPr>
          <w:trHeight w:val="260"/>
        </w:trPr>
        <w:tc>
          <w:tcPr>
            <w:tcW w:w="915" w:type="dxa"/>
            <w:shd w:val="clear" w:color="auto" w:fill="E5F1FF"/>
            <w:vAlign w:val="center"/>
            <w:hideMark/>
          </w:tcPr>
          <w:p w14:paraId="63C5ACAB" w14:textId="29215F7F" w:rsidR="00A43D64" w:rsidRPr="00202C50" w:rsidRDefault="00A43D64" w:rsidP="00961F9F">
            <w:pPr>
              <w:spacing w:after="0"/>
              <w:jc w:val="center"/>
              <w:rPr>
                <w:rFonts w:ascii="Calibri" w:eastAsia="Times New Roman" w:hAnsi="Calibri" w:cs="Calibri"/>
                <w:b/>
                <w:bCs/>
                <w:color w:val="000000"/>
                <w:sz w:val="22"/>
                <w:lang w:eastAsia="cs-CZ"/>
              </w:rPr>
            </w:pPr>
            <w:r w:rsidRPr="00202C50">
              <w:rPr>
                <w:rFonts w:ascii="Calibri" w:eastAsia="Times New Roman" w:hAnsi="Calibri" w:cs="Calibri"/>
                <w:b/>
                <w:bCs/>
                <w:color w:val="000000"/>
                <w:sz w:val="22"/>
                <w:lang w:eastAsia="cs-CZ"/>
              </w:rPr>
              <w:t xml:space="preserve">Oblast </w:t>
            </w:r>
          </w:p>
        </w:tc>
        <w:tc>
          <w:tcPr>
            <w:tcW w:w="5386" w:type="dxa"/>
            <w:shd w:val="clear" w:color="auto" w:fill="E5F1FF"/>
            <w:noWrap/>
            <w:vAlign w:val="center"/>
            <w:hideMark/>
          </w:tcPr>
          <w:p w14:paraId="317DF98F" w14:textId="7675CDC1" w:rsidR="00A43D64" w:rsidRPr="00202C50" w:rsidRDefault="00A43D64" w:rsidP="00961F9F">
            <w:pPr>
              <w:spacing w:after="0"/>
              <w:jc w:val="center"/>
              <w:rPr>
                <w:rFonts w:ascii="Calibri" w:eastAsia="Times New Roman" w:hAnsi="Calibri" w:cs="Calibri"/>
                <w:b/>
                <w:bCs/>
                <w:color w:val="000000"/>
                <w:sz w:val="22"/>
                <w:lang w:eastAsia="cs-CZ"/>
              </w:rPr>
            </w:pPr>
            <w:r>
              <w:rPr>
                <w:rFonts w:ascii="Calibri" w:eastAsia="Times New Roman" w:hAnsi="Calibri" w:cs="Calibri"/>
                <w:b/>
                <w:bCs/>
                <w:color w:val="000000"/>
                <w:sz w:val="22"/>
                <w:lang w:eastAsia="cs-CZ"/>
              </w:rPr>
              <w:t>Stručný p</w:t>
            </w:r>
            <w:r w:rsidRPr="00202C50">
              <w:rPr>
                <w:rFonts w:ascii="Calibri" w:eastAsia="Times New Roman" w:hAnsi="Calibri" w:cs="Calibri"/>
                <w:b/>
                <w:bCs/>
                <w:color w:val="000000"/>
                <w:sz w:val="22"/>
                <w:lang w:eastAsia="cs-CZ"/>
              </w:rPr>
              <w:t>opis</w:t>
            </w:r>
          </w:p>
        </w:tc>
        <w:tc>
          <w:tcPr>
            <w:tcW w:w="2768" w:type="dxa"/>
            <w:shd w:val="clear" w:color="auto" w:fill="E5F1FF"/>
            <w:noWrap/>
            <w:vAlign w:val="center"/>
            <w:hideMark/>
          </w:tcPr>
          <w:p w14:paraId="48DBA9D5" w14:textId="77777777" w:rsidR="00A43D64" w:rsidRPr="00202C50" w:rsidRDefault="00A43D64" w:rsidP="00961F9F">
            <w:pPr>
              <w:spacing w:after="0"/>
              <w:jc w:val="center"/>
              <w:rPr>
                <w:rFonts w:ascii="Calibri" w:eastAsia="Times New Roman" w:hAnsi="Calibri" w:cs="Calibri"/>
                <w:b/>
                <w:bCs/>
                <w:color w:val="000000"/>
                <w:sz w:val="22"/>
                <w:lang w:eastAsia="cs-CZ"/>
              </w:rPr>
            </w:pPr>
            <w:r w:rsidRPr="00202C50">
              <w:rPr>
                <w:rFonts w:ascii="Calibri" w:eastAsia="Times New Roman" w:hAnsi="Calibri" w:cs="Calibri"/>
                <w:b/>
                <w:bCs/>
                <w:color w:val="000000"/>
                <w:sz w:val="22"/>
                <w:lang w:eastAsia="cs-CZ"/>
              </w:rPr>
              <w:t>Možnost ověření</w:t>
            </w:r>
          </w:p>
        </w:tc>
      </w:tr>
      <w:tr w:rsidR="00A43D64" w:rsidRPr="00961F9F" w14:paraId="13EEDD48" w14:textId="77777777" w:rsidTr="00907D04">
        <w:trPr>
          <w:trHeight w:val="259"/>
        </w:trPr>
        <w:tc>
          <w:tcPr>
            <w:tcW w:w="915" w:type="dxa"/>
            <w:vMerge w:val="restart"/>
            <w:shd w:val="clear" w:color="auto" w:fill="auto"/>
            <w:noWrap/>
            <w:vAlign w:val="center"/>
            <w:hideMark/>
          </w:tcPr>
          <w:p w14:paraId="33BB1A6F" w14:textId="173A0FC7" w:rsidR="00A43D64" w:rsidRPr="00202C50" w:rsidRDefault="00A43D64" w:rsidP="009D24F5">
            <w:pPr>
              <w:spacing w:after="0"/>
              <w:jc w:val="center"/>
              <w:rPr>
                <w:rFonts w:ascii="Calibri" w:eastAsia="Times New Roman" w:hAnsi="Calibri" w:cs="Calibri"/>
                <w:color w:val="000000"/>
                <w:sz w:val="22"/>
                <w:lang w:eastAsia="cs-CZ"/>
              </w:rPr>
            </w:pPr>
            <w:r w:rsidRPr="00202C50">
              <w:rPr>
                <w:rFonts w:ascii="Calibri" w:eastAsia="Times New Roman" w:hAnsi="Calibri" w:cs="Calibri"/>
                <w:color w:val="000000"/>
                <w:sz w:val="22"/>
                <w:lang w:eastAsia="cs-CZ"/>
              </w:rPr>
              <w:t xml:space="preserve">Předmět daně </w:t>
            </w:r>
          </w:p>
        </w:tc>
        <w:tc>
          <w:tcPr>
            <w:tcW w:w="5386" w:type="dxa"/>
            <w:shd w:val="clear" w:color="auto" w:fill="auto"/>
            <w:noWrap/>
            <w:vAlign w:val="center"/>
            <w:hideMark/>
          </w:tcPr>
          <w:p w14:paraId="2BF1D49D" w14:textId="06226B55" w:rsidR="00A43D64" w:rsidRPr="00202C50" w:rsidRDefault="00A43D64" w:rsidP="009D24F5">
            <w:pPr>
              <w:spacing w:after="0"/>
              <w:rPr>
                <w:rFonts w:ascii="Calibri" w:eastAsia="Times New Roman" w:hAnsi="Calibri" w:cs="Calibri"/>
                <w:color w:val="000000"/>
                <w:sz w:val="22"/>
                <w:lang w:eastAsia="cs-CZ"/>
              </w:rPr>
            </w:pPr>
            <w:r w:rsidRPr="00202C50">
              <w:rPr>
                <w:rFonts w:ascii="Calibri" w:eastAsia="Times New Roman" w:hAnsi="Calibri" w:cs="Calibri"/>
                <w:color w:val="000000"/>
                <w:sz w:val="22"/>
                <w:lang w:eastAsia="cs-CZ"/>
              </w:rPr>
              <w:t>Nepodnikající fyzická osoba</w:t>
            </w:r>
          </w:p>
        </w:tc>
        <w:tc>
          <w:tcPr>
            <w:tcW w:w="2768" w:type="dxa"/>
            <w:shd w:val="clear" w:color="auto" w:fill="auto"/>
            <w:noWrap/>
            <w:vAlign w:val="center"/>
            <w:hideMark/>
          </w:tcPr>
          <w:p w14:paraId="13288123" w14:textId="08E8EE26" w:rsidR="00A43D64" w:rsidRPr="00202C50" w:rsidRDefault="00887E09" w:rsidP="00961F9F">
            <w:pPr>
              <w:spacing w:after="0"/>
              <w:jc w:val="center"/>
              <w:rPr>
                <w:rFonts w:ascii="Calibri" w:eastAsia="Times New Roman" w:hAnsi="Calibri" w:cs="Calibri"/>
                <w:color w:val="000000"/>
                <w:sz w:val="22"/>
                <w:lang w:eastAsia="cs-CZ"/>
              </w:rPr>
            </w:pPr>
            <w:r>
              <w:rPr>
                <w:rFonts w:ascii="Calibri" w:eastAsia="Times New Roman" w:hAnsi="Calibri" w:cs="Calibri"/>
                <w:b/>
                <w:bCs/>
                <w:color w:val="BD2A33"/>
                <w:sz w:val="22"/>
                <w:lang w:eastAsia="cs-CZ"/>
              </w:rPr>
              <w:t>N</w:t>
            </w:r>
            <w:r w:rsidR="00A43D64">
              <w:rPr>
                <w:rFonts w:ascii="Calibri" w:eastAsia="Times New Roman" w:hAnsi="Calibri" w:cs="Calibri"/>
                <w:b/>
                <w:bCs/>
                <w:color w:val="BD2A33"/>
                <w:sz w:val="22"/>
                <w:lang w:eastAsia="cs-CZ"/>
              </w:rPr>
              <w:t>e</w:t>
            </w:r>
          </w:p>
        </w:tc>
      </w:tr>
      <w:tr w:rsidR="00A43D64" w:rsidRPr="00961F9F" w14:paraId="2100E3C8" w14:textId="77777777" w:rsidTr="00907D04">
        <w:trPr>
          <w:trHeight w:val="112"/>
        </w:trPr>
        <w:tc>
          <w:tcPr>
            <w:tcW w:w="915" w:type="dxa"/>
            <w:vMerge/>
            <w:shd w:val="clear" w:color="auto" w:fill="auto"/>
            <w:noWrap/>
            <w:vAlign w:val="center"/>
            <w:hideMark/>
          </w:tcPr>
          <w:p w14:paraId="4DABC429" w14:textId="76BBBB14" w:rsidR="00A43D64" w:rsidRPr="00202C50" w:rsidRDefault="00A43D64" w:rsidP="00961F9F">
            <w:pPr>
              <w:spacing w:after="0"/>
              <w:jc w:val="center"/>
              <w:rPr>
                <w:rFonts w:ascii="Calibri" w:eastAsia="Times New Roman" w:hAnsi="Calibri" w:cs="Calibri"/>
                <w:color w:val="000000"/>
                <w:sz w:val="22"/>
                <w:lang w:eastAsia="cs-CZ"/>
              </w:rPr>
            </w:pPr>
          </w:p>
        </w:tc>
        <w:tc>
          <w:tcPr>
            <w:tcW w:w="5386" w:type="dxa"/>
            <w:shd w:val="clear" w:color="auto" w:fill="auto"/>
            <w:vAlign w:val="center"/>
            <w:hideMark/>
          </w:tcPr>
          <w:p w14:paraId="51912ACA" w14:textId="38304568" w:rsidR="00A43D64" w:rsidRPr="00202C50" w:rsidRDefault="00A43D64" w:rsidP="009D24F5">
            <w:pPr>
              <w:spacing w:after="0"/>
              <w:rPr>
                <w:rFonts w:ascii="Calibri" w:eastAsia="Times New Roman" w:hAnsi="Calibri" w:cs="Calibri"/>
                <w:color w:val="000000"/>
                <w:sz w:val="22"/>
                <w:lang w:eastAsia="cs-CZ"/>
              </w:rPr>
            </w:pPr>
            <w:r w:rsidRPr="00202C50">
              <w:rPr>
                <w:rFonts w:ascii="Calibri" w:eastAsia="Times New Roman" w:hAnsi="Calibri" w:cs="Calibri"/>
                <w:color w:val="000000"/>
                <w:sz w:val="22"/>
                <w:lang w:eastAsia="cs-CZ"/>
              </w:rPr>
              <w:t>Autobazar</w:t>
            </w:r>
          </w:p>
        </w:tc>
        <w:tc>
          <w:tcPr>
            <w:tcW w:w="2768" w:type="dxa"/>
            <w:shd w:val="clear" w:color="auto" w:fill="auto"/>
            <w:noWrap/>
            <w:vAlign w:val="center"/>
            <w:hideMark/>
          </w:tcPr>
          <w:p w14:paraId="70665612" w14:textId="1A07FF79" w:rsidR="00A43D64" w:rsidRPr="00202C50" w:rsidRDefault="00887E09" w:rsidP="00961F9F">
            <w:pPr>
              <w:spacing w:after="0"/>
              <w:jc w:val="center"/>
              <w:rPr>
                <w:rFonts w:ascii="Calibri" w:eastAsia="Times New Roman" w:hAnsi="Calibri" w:cs="Calibri"/>
                <w:color w:val="000000"/>
                <w:sz w:val="22"/>
                <w:lang w:eastAsia="cs-CZ"/>
              </w:rPr>
            </w:pPr>
            <w:r>
              <w:rPr>
                <w:rFonts w:ascii="Calibri" w:eastAsia="Times New Roman" w:hAnsi="Calibri" w:cs="Calibri"/>
                <w:b/>
                <w:bCs/>
                <w:color w:val="BD2A33"/>
                <w:sz w:val="22"/>
                <w:lang w:eastAsia="cs-CZ"/>
              </w:rPr>
              <w:t>Ne</w:t>
            </w:r>
          </w:p>
        </w:tc>
      </w:tr>
      <w:tr w:rsidR="00A43D64" w:rsidRPr="00961F9F" w14:paraId="1B50D4D4" w14:textId="77777777" w:rsidTr="00907D04">
        <w:trPr>
          <w:trHeight w:val="400"/>
        </w:trPr>
        <w:tc>
          <w:tcPr>
            <w:tcW w:w="915" w:type="dxa"/>
            <w:vMerge/>
            <w:shd w:val="clear" w:color="auto" w:fill="auto"/>
            <w:noWrap/>
            <w:vAlign w:val="center"/>
            <w:hideMark/>
          </w:tcPr>
          <w:p w14:paraId="3A2F3138" w14:textId="493B59E9" w:rsidR="00A43D64" w:rsidRPr="00202C50" w:rsidRDefault="00A43D64" w:rsidP="00961F9F">
            <w:pPr>
              <w:spacing w:after="0"/>
              <w:jc w:val="center"/>
              <w:rPr>
                <w:rFonts w:ascii="Calibri" w:eastAsia="Times New Roman" w:hAnsi="Calibri" w:cs="Calibri"/>
                <w:color w:val="000000"/>
                <w:sz w:val="22"/>
                <w:lang w:eastAsia="cs-CZ"/>
              </w:rPr>
            </w:pPr>
          </w:p>
        </w:tc>
        <w:tc>
          <w:tcPr>
            <w:tcW w:w="5386" w:type="dxa"/>
            <w:shd w:val="clear" w:color="auto" w:fill="auto"/>
            <w:vAlign w:val="center"/>
            <w:hideMark/>
          </w:tcPr>
          <w:p w14:paraId="3F8008B6" w14:textId="1D51149A" w:rsidR="00A43D64" w:rsidRPr="00202C50" w:rsidRDefault="00A43D64" w:rsidP="00EF64D4">
            <w:pPr>
              <w:spacing w:after="0"/>
              <w:jc w:val="left"/>
              <w:rPr>
                <w:rFonts w:ascii="Calibri" w:eastAsia="Times New Roman" w:hAnsi="Calibri" w:cs="Calibri"/>
                <w:color w:val="000000"/>
                <w:sz w:val="22"/>
                <w:lang w:eastAsia="cs-CZ"/>
              </w:rPr>
            </w:pPr>
            <w:r w:rsidRPr="00202C50">
              <w:rPr>
                <w:rFonts w:ascii="Calibri" w:eastAsia="Times New Roman" w:hAnsi="Calibri" w:cs="Calibri"/>
                <w:color w:val="000000"/>
                <w:sz w:val="22"/>
                <w:lang w:eastAsia="cs-CZ"/>
              </w:rPr>
              <w:t xml:space="preserve">Veřejně prospěšný poplatník, příp. poplatník uplatňující paušální výdaj na dopravu </w:t>
            </w:r>
          </w:p>
        </w:tc>
        <w:tc>
          <w:tcPr>
            <w:tcW w:w="2768" w:type="dxa"/>
            <w:shd w:val="clear" w:color="auto" w:fill="auto"/>
            <w:vAlign w:val="center"/>
            <w:hideMark/>
          </w:tcPr>
          <w:p w14:paraId="459C6162" w14:textId="03F102A2" w:rsidR="00A43D64" w:rsidRPr="00202C50" w:rsidRDefault="00A43D64" w:rsidP="00961F9F">
            <w:pPr>
              <w:spacing w:after="0"/>
              <w:jc w:val="center"/>
              <w:rPr>
                <w:rFonts w:ascii="Calibri" w:eastAsia="Times New Roman" w:hAnsi="Calibri" w:cs="Calibri"/>
                <w:color w:val="000000"/>
                <w:sz w:val="22"/>
                <w:lang w:eastAsia="cs-CZ"/>
              </w:rPr>
            </w:pPr>
            <w:r w:rsidRPr="00202C50">
              <w:rPr>
                <w:rFonts w:ascii="Calibri" w:eastAsia="Times New Roman" w:hAnsi="Calibri" w:cs="Calibri"/>
                <w:color w:val="000000"/>
                <w:sz w:val="22"/>
                <w:lang w:eastAsia="cs-CZ"/>
              </w:rPr>
              <w:t xml:space="preserve">Daňové přiznání k dani z příjmů </w:t>
            </w:r>
          </w:p>
        </w:tc>
      </w:tr>
      <w:tr w:rsidR="00A43D64" w:rsidRPr="00961F9F" w14:paraId="575ED5A7" w14:textId="77777777" w:rsidTr="00907D04">
        <w:trPr>
          <w:trHeight w:val="298"/>
        </w:trPr>
        <w:tc>
          <w:tcPr>
            <w:tcW w:w="915" w:type="dxa"/>
            <w:vMerge/>
            <w:shd w:val="clear" w:color="auto" w:fill="auto"/>
            <w:noWrap/>
            <w:vAlign w:val="center"/>
            <w:hideMark/>
          </w:tcPr>
          <w:p w14:paraId="070195E5" w14:textId="7D5FF14A" w:rsidR="00A43D64" w:rsidRPr="00202C50" w:rsidRDefault="00A43D64" w:rsidP="00961F9F">
            <w:pPr>
              <w:spacing w:after="0"/>
              <w:jc w:val="center"/>
              <w:rPr>
                <w:rFonts w:ascii="Calibri" w:eastAsia="Times New Roman" w:hAnsi="Calibri" w:cs="Calibri"/>
                <w:color w:val="000000"/>
                <w:sz w:val="22"/>
                <w:lang w:eastAsia="cs-CZ"/>
              </w:rPr>
            </w:pPr>
          </w:p>
        </w:tc>
        <w:tc>
          <w:tcPr>
            <w:tcW w:w="5386" w:type="dxa"/>
            <w:shd w:val="clear" w:color="auto" w:fill="auto"/>
            <w:vAlign w:val="center"/>
            <w:hideMark/>
          </w:tcPr>
          <w:p w14:paraId="62E0339A" w14:textId="48AFCEC7" w:rsidR="00A43D64" w:rsidRPr="00202C50" w:rsidRDefault="00A43D64" w:rsidP="009D24F5">
            <w:pPr>
              <w:spacing w:after="0"/>
              <w:rPr>
                <w:rFonts w:ascii="Calibri" w:eastAsia="Times New Roman" w:hAnsi="Calibri" w:cs="Calibri"/>
                <w:color w:val="000000"/>
                <w:sz w:val="22"/>
                <w:lang w:eastAsia="cs-CZ"/>
              </w:rPr>
            </w:pPr>
            <w:r w:rsidRPr="00202C50">
              <w:rPr>
                <w:rFonts w:ascii="Calibri" w:eastAsia="Times New Roman" w:hAnsi="Calibri" w:cs="Calibri"/>
                <w:color w:val="000000"/>
                <w:sz w:val="22"/>
                <w:lang w:eastAsia="cs-CZ"/>
              </w:rPr>
              <w:t xml:space="preserve">Užití vozidla </w:t>
            </w:r>
            <w:r w:rsidRPr="00202C50">
              <w:rPr>
                <w:sz w:val="22"/>
              </w:rPr>
              <w:t>zaměstnancem pro zaměstnavatele</w:t>
            </w:r>
          </w:p>
        </w:tc>
        <w:tc>
          <w:tcPr>
            <w:tcW w:w="2768" w:type="dxa"/>
            <w:shd w:val="clear" w:color="auto" w:fill="auto"/>
            <w:noWrap/>
            <w:vAlign w:val="center"/>
            <w:hideMark/>
          </w:tcPr>
          <w:p w14:paraId="045F4ECE" w14:textId="260257C0" w:rsidR="00A43D64" w:rsidRPr="00202C50" w:rsidRDefault="00887E09" w:rsidP="00961F9F">
            <w:pPr>
              <w:spacing w:after="0"/>
              <w:jc w:val="center"/>
              <w:rPr>
                <w:rFonts w:ascii="Calibri" w:eastAsia="Times New Roman" w:hAnsi="Calibri" w:cs="Calibri"/>
                <w:color w:val="000000"/>
                <w:sz w:val="22"/>
                <w:lang w:eastAsia="cs-CZ"/>
              </w:rPr>
            </w:pPr>
            <w:r>
              <w:rPr>
                <w:rFonts w:ascii="Calibri" w:eastAsia="Times New Roman" w:hAnsi="Calibri" w:cs="Calibri"/>
                <w:b/>
                <w:bCs/>
                <w:color w:val="BD2A33"/>
                <w:sz w:val="22"/>
                <w:lang w:eastAsia="cs-CZ"/>
              </w:rPr>
              <w:t>Ne</w:t>
            </w:r>
          </w:p>
        </w:tc>
      </w:tr>
    </w:tbl>
    <w:p w14:paraId="69D884A7" w14:textId="3BE9A173" w:rsidR="00FD5CF1" w:rsidRDefault="00AD7B3E" w:rsidP="00FD5CF1">
      <w:pPr>
        <w:spacing w:after="0"/>
        <w:rPr>
          <w:iCs/>
          <w:sz w:val="20"/>
          <w:szCs w:val="20"/>
        </w:rPr>
      </w:pPr>
      <w:r w:rsidRPr="001E6BA0">
        <w:rPr>
          <w:iCs/>
          <w:sz w:val="20"/>
          <w:szCs w:val="20"/>
        </w:rPr>
        <w:t xml:space="preserve">Zdroj: GFŘ, FÚ JMK a FÚ KHK, </w:t>
      </w:r>
      <w:r w:rsidR="006B7245">
        <w:rPr>
          <w:iCs/>
          <w:sz w:val="20"/>
          <w:szCs w:val="20"/>
        </w:rPr>
        <w:t>ZDS</w:t>
      </w:r>
      <w:r w:rsidR="007D525C">
        <w:rPr>
          <w:iCs/>
          <w:sz w:val="20"/>
          <w:szCs w:val="20"/>
        </w:rPr>
        <w:t>;</w:t>
      </w:r>
      <w:r w:rsidRPr="001E6BA0">
        <w:rPr>
          <w:iCs/>
          <w:sz w:val="20"/>
          <w:szCs w:val="20"/>
        </w:rPr>
        <w:t xml:space="preserve"> vlastní zpracování NKÚ</w:t>
      </w:r>
      <w:r w:rsidR="00F27665">
        <w:rPr>
          <w:iCs/>
          <w:sz w:val="20"/>
          <w:szCs w:val="20"/>
        </w:rPr>
        <w:t>.</w:t>
      </w:r>
      <w:bookmarkStart w:id="15" w:name="_Hlk89075195"/>
    </w:p>
    <w:p w14:paraId="6E2972D9" w14:textId="77777777" w:rsidR="00B05BB6" w:rsidRDefault="00B05BB6" w:rsidP="00FD5CF1">
      <w:pPr>
        <w:spacing w:after="0"/>
        <w:rPr>
          <w:rFonts w:ascii="Calibri" w:hAnsi="Calibri" w:cs="Calibri"/>
        </w:rPr>
      </w:pPr>
    </w:p>
    <w:p w14:paraId="490D420B" w14:textId="0CE393BE" w:rsidR="003C2E03" w:rsidRPr="00CC5AC3" w:rsidRDefault="0054763F" w:rsidP="003C2E03">
      <w:pPr>
        <w:widowControl w:val="0"/>
      </w:pPr>
      <w:r>
        <w:rPr>
          <w:rFonts w:ascii="Calibri" w:hAnsi="Calibri" w:cs="Calibri"/>
        </w:rPr>
        <w:t>NKÚ zjistil, že o</w:t>
      </w:r>
      <w:r w:rsidR="003C2E03" w:rsidRPr="00CC5AC3">
        <w:rPr>
          <w:rFonts w:ascii="Calibri" w:hAnsi="Calibri" w:cs="Calibri"/>
        </w:rPr>
        <w:t xml:space="preserve"> ověření informací v</w:t>
      </w:r>
      <w:r w:rsidR="00433DA1">
        <w:rPr>
          <w:rFonts w:ascii="Calibri" w:hAnsi="Calibri" w:cs="Calibri"/>
        </w:rPr>
        <w:t> </w:t>
      </w:r>
      <w:r w:rsidR="007D525C">
        <w:rPr>
          <w:rFonts w:ascii="Calibri" w:hAnsi="Calibri" w:cs="Calibri"/>
        </w:rPr>
        <w:t>r</w:t>
      </w:r>
      <w:r w:rsidR="00433DA1">
        <w:rPr>
          <w:rFonts w:ascii="Calibri" w:hAnsi="Calibri" w:cs="Calibri"/>
        </w:rPr>
        <w:t xml:space="preserve">egistru silničních vozidel </w:t>
      </w:r>
      <w:r w:rsidR="003C2E03" w:rsidRPr="00CC5AC3">
        <w:rPr>
          <w:rFonts w:ascii="Calibri" w:hAnsi="Calibri" w:cs="Calibri"/>
        </w:rPr>
        <w:t xml:space="preserve">musí správce daně žádat pracovníka </w:t>
      </w:r>
      <w:r w:rsidR="00967DF4">
        <w:rPr>
          <w:rFonts w:ascii="Calibri" w:hAnsi="Calibri" w:cs="Calibri"/>
        </w:rPr>
        <w:t xml:space="preserve">FÚ </w:t>
      </w:r>
      <w:r w:rsidR="003C2E03" w:rsidRPr="00CC5AC3">
        <w:rPr>
          <w:rFonts w:ascii="Calibri" w:hAnsi="Calibri" w:cs="Calibri"/>
        </w:rPr>
        <w:t xml:space="preserve">s přístupem do RSV a vést evidenci o náhledech. </w:t>
      </w:r>
      <w:bookmarkEnd w:id="15"/>
      <w:r w:rsidR="003C2E03" w:rsidRPr="00CC5AC3">
        <w:t>Pokud správce daně nemá možnost ověřit údaje z daňového přiznání k dani silniční v RSV, musí využít standardní nástroje podle zákona č. 280/2009 Sb.</w:t>
      </w:r>
      <w:r w:rsidR="00E01508">
        <w:rPr>
          <w:rStyle w:val="Znakapoznpodarou"/>
        </w:rPr>
        <w:footnoteReference w:id="21"/>
      </w:r>
    </w:p>
    <w:p w14:paraId="1CAB7DF5" w14:textId="30D0332E" w:rsidR="003C2E03" w:rsidRDefault="003C2E03" w:rsidP="003C2E03">
      <w:pPr>
        <w:keepNext/>
        <w:keepLines/>
        <w:spacing w:after="0" w:line="259" w:lineRule="auto"/>
        <w:jc w:val="left"/>
        <w:rPr>
          <w:rFonts w:cstheme="minorHAnsi"/>
          <w:b/>
          <w:color w:val="000000" w:themeColor="text1"/>
          <w:szCs w:val="24"/>
        </w:rPr>
      </w:pPr>
      <w:bookmarkStart w:id="16" w:name="_Ref88127961"/>
      <w:r w:rsidRPr="00B67F78">
        <w:rPr>
          <w:rFonts w:cstheme="minorHAnsi"/>
          <w:b/>
          <w:color w:val="000000" w:themeColor="text1"/>
          <w:szCs w:val="24"/>
        </w:rPr>
        <w:t xml:space="preserve">Tabulka </w:t>
      </w:r>
      <w:r w:rsidRPr="00B67F78">
        <w:rPr>
          <w:rFonts w:cstheme="minorHAnsi"/>
          <w:b/>
          <w:color w:val="000000" w:themeColor="text1"/>
          <w:szCs w:val="24"/>
        </w:rPr>
        <w:fldChar w:fldCharType="begin"/>
      </w:r>
      <w:r w:rsidRPr="00B67F78">
        <w:rPr>
          <w:rFonts w:cstheme="minorHAnsi"/>
          <w:b/>
          <w:color w:val="000000" w:themeColor="text1"/>
          <w:szCs w:val="24"/>
        </w:rPr>
        <w:instrText xml:space="preserve"> SEQ Tabulka \* ARABIC </w:instrText>
      </w:r>
      <w:r w:rsidRPr="00B67F78">
        <w:rPr>
          <w:rFonts w:cstheme="minorHAnsi"/>
          <w:b/>
          <w:color w:val="000000" w:themeColor="text1"/>
          <w:szCs w:val="24"/>
        </w:rPr>
        <w:fldChar w:fldCharType="separate"/>
      </w:r>
      <w:r w:rsidR="00500A1C">
        <w:rPr>
          <w:rFonts w:cstheme="minorHAnsi"/>
          <w:b/>
          <w:noProof/>
          <w:color w:val="000000" w:themeColor="text1"/>
          <w:szCs w:val="24"/>
        </w:rPr>
        <w:t>6</w:t>
      </w:r>
      <w:r w:rsidRPr="00B67F78">
        <w:rPr>
          <w:rFonts w:cstheme="minorHAnsi"/>
          <w:b/>
          <w:color w:val="000000" w:themeColor="text1"/>
          <w:szCs w:val="24"/>
        </w:rPr>
        <w:fldChar w:fldCharType="end"/>
      </w:r>
      <w:bookmarkEnd w:id="16"/>
      <w:r w:rsidR="00E01508">
        <w:rPr>
          <w:rFonts w:cstheme="minorHAnsi"/>
          <w:b/>
          <w:color w:val="000000" w:themeColor="text1"/>
          <w:szCs w:val="24"/>
        </w:rPr>
        <w:t>:</w:t>
      </w:r>
      <w:r>
        <w:rPr>
          <w:rFonts w:cstheme="minorHAnsi"/>
          <w:b/>
          <w:color w:val="000000" w:themeColor="text1"/>
          <w:szCs w:val="24"/>
        </w:rPr>
        <w:t xml:space="preserve"> Možnost ověření uplatněných </w:t>
      </w:r>
      <w:r w:rsidR="003C2EB4">
        <w:rPr>
          <w:rFonts w:cstheme="minorHAnsi"/>
          <w:b/>
          <w:color w:val="000000" w:themeColor="text1"/>
          <w:szCs w:val="24"/>
        </w:rPr>
        <w:t>úlev</w:t>
      </w:r>
      <w:r>
        <w:rPr>
          <w:rFonts w:cstheme="minorHAnsi"/>
          <w:b/>
          <w:color w:val="000000" w:themeColor="text1"/>
          <w:szCs w:val="24"/>
        </w:rPr>
        <w:t xml:space="preserve"> ze ZDS v</w:t>
      </w:r>
      <w:r w:rsidR="00887E09">
        <w:rPr>
          <w:rFonts w:cstheme="minorHAnsi"/>
          <w:b/>
          <w:color w:val="000000" w:themeColor="text1"/>
          <w:szCs w:val="24"/>
        </w:rPr>
        <w:t xml:space="preserve"> </w:t>
      </w:r>
      <w:r>
        <w:rPr>
          <w:rFonts w:cstheme="minorHAnsi"/>
          <w:b/>
          <w:color w:val="000000" w:themeColor="text1"/>
          <w:szCs w:val="24"/>
        </w:rPr>
        <w:t>RSV</w:t>
      </w:r>
      <w:r w:rsidR="00D80F69">
        <w:rPr>
          <w:rFonts w:cstheme="minorHAnsi"/>
          <w:b/>
          <w:color w:val="000000" w:themeColor="text1"/>
          <w:szCs w:val="24"/>
        </w:rPr>
        <w:t xml:space="preserve"> mimo postupů dle DŘ</w:t>
      </w:r>
    </w:p>
    <w:tbl>
      <w:tblPr>
        <w:tblW w:w="9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648"/>
        <w:gridCol w:w="1152"/>
        <w:gridCol w:w="5568"/>
        <w:gridCol w:w="1689"/>
      </w:tblGrid>
      <w:tr w:rsidR="00FD5CF1" w:rsidRPr="00AF612D" w14:paraId="28A625B5" w14:textId="77777777" w:rsidTr="00224296">
        <w:trPr>
          <w:trHeight w:val="367"/>
        </w:trPr>
        <w:tc>
          <w:tcPr>
            <w:tcW w:w="1800" w:type="dxa"/>
            <w:gridSpan w:val="2"/>
            <w:shd w:val="clear" w:color="auto" w:fill="E5F1FF"/>
            <w:noWrap/>
            <w:vAlign w:val="center"/>
            <w:hideMark/>
          </w:tcPr>
          <w:p w14:paraId="7A0BF14C" w14:textId="77777777" w:rsidR="00FD5CF1" w:rsidRPr="00AF612D" w:rsidRDefault="00FD5CF1" w:rsidP="00FD74BB">
            <w:pPr>
              <w:keepNext/>
              <w:keepLines/>
              <w:spacing w:after="0"/>
              <w:jc w:val="center"/>
              <w:rPr>
                <w:rFonts w:ascii="Calibri" w:eastAsia="Times New Roman" w:hAnsi="Calibri" w:cs="Calibri"/>
                <w:b/>
                <w:bCs/>
                <w:color w:val="000000"/>
                <w:sz w:val="20"/>
                <w:szCs w:val="20"/>
                <w:lang w:eastAsia="cs-CZ"/>
              </w:rPr>
            </w:pPr>
            <w:r w:rsidRPr="00AF612D">
              <w:rPr>
                <w:rFonts w:ascii="Calibri" w:eastAsia="Times New Roman" w:hAnsi="Calibri" w:cs="Calibri"/>
                <w:b/>
                <w:bCs/>
                <w:color w:val="000000"/>
                <w:sz w:val="20"/>
                <w:szCs w:val="20"/>
                <w:lang w:eastAsia="cs-CZ"/>
              </w:rPr>
              <w:t>Ustanovení ZDS</w:t>
            </w:r>
          </w:p>
        </w:tc>
        <w:tc>
          <w:tcPr>
            <w:tcW w:w="5568" w:type="dxa"/>
            <w:shd w:val="clear" w:color="auto" w:fill="E5F1FF"/>
            <w:noWrap/>
            <w:vAlign w:val="center"/>
            <w:hideMark/>
          </w:tcPr>
          <w:p w14:paraId="3734F3E2" w14:textId="77777777" w:rsidR="00FD5CF1" w:rsidRPr="00AF612D" w:rsidRDefault="00FD5CF1" w:rsidP="00FD74BB">
            <w:pPr>
              <w:keepNext/>
              <w:keepLines/>
              <w:spacing w:after="0"/>
              <w:jc w:val="center"/>
              <w:rPr>
                <w:rFonts w:ascii="Calibri" w:eastAsia="Times New Roman" w:hAnsi="Calibri" w:cs="Calibri"/>
                <w:b/>
                <w:bCs/>
                <w:color w:val="000000"/>
                <w:sz w:val="20"/>
                <w:szCs w:val="20"/>
                <w:lang w:eastAsia="cs-CZ"/>
              </w:rPr>
            </w:pPr>
            <w:r w:rsidRPr="00AF612D">
              <w:rPr>
                <w:rFonts w:ascii="Calibri" w:eastAsia="Times New Roman" w:hAnsi="Calibri" w:cs="Calibri"/>
                <w:b/>
                <w:bCs/>
                <w:color w:val="000000"/>
                <w:sz w:val="20"/>
                <w:szCs w:val="20"/>
                <w:lang w:eastAsia="cs-CZ"/>
              </w:rPr>
              <w:t>Stručný popis</w:t>
            </w:r>
          </w:p>
        </w:tc>
        <w:tc>
          <w:tcPr>
            <w:tcW w:w="1689" w:type="dxa"/>
            <w:shd w:val="clear" w:color="auto" w:fill="E5F1FF"/>
            <w:noWrap/>
            <w:vAlign w:val="center"/>
            <w:hideMark/>
          </w:tcPr>
          <w:p w14:paraId="057D07F0" w14:textId="77777777" w:rsidR="00FD5CF1" w:rsidRPr="00AF612D" w:rsidRDefault="00FD5CF1" w:rsidP="00FD74BB">
            <w:pPr>
              <w:keepNext/>
              <w:keepLines/>
              <w:spacing w:after="0"/>
              <w:jc w:val="center"/>
              <w:rPr>
                <w:rFonts w:ascii="Calibri" w:eastAsia="Times New Roman" w:hAnsi="Calibri" w:cs="Calibri"/>
                <w:b/>
                <w:bCs/>
                <w:color w:val="000000"/>
                <w:sz w:val="20"/>
                <w:szCs w:val="20"/>
                <w:lang w:eastAsia="cs-CZ"/>
              </w:rPr>
            </w:pPr>
            <w:r w:rsidRPr="00AF612D">
              <w:rPr>
                <w:rFonts w:ascii="Calibri" w:eastAsia="Times New Roman" w:hAnsi="Calibri" w:cs="Calibri"/>
                <w:b/>
                <w:bCs/>
                <w:color w:val="000000"/>
                <w:sz w:val="20"/>
                <w:szCs w:val="20"/>
                <w:lang w:eastAsia="cs-CZ"/>
              </w:rPr>
              <w:t>Možnost ověření</w:t>
            </w:r>
          </w:p>
        </w:tc>
      </w:tr>
      <w:tr w:rsidR="00887E09" w:rsidRPr="00AF612D" w14:paraId="0CDAC02A" w14:textId="77777777" w:rsidTr="00A82C2B">
        <w:trPr>
          <w:trHeight w:val="274"/>
        </w:trPr>
        <w:tc>
          <w:tcPr>
            <w:tcW w:w="648" w:type="dxa"/>
            <w:vMerge w:val="restart"/>
            <w:shd w:val="clear" w:color="auto" w:fill="auto"/>
            <w:noWrap/>
            <w:textDirection w:val="btLr"/>
            <w:vAlign w:val="center"/>
            <w:hideMark/>
          </w:tcPr>
          <w:p w14:paraId="71A3FDA9" w14:textId="395F6D95" w:rsidR="00887E09" w:rsidRPr="00C9483A" w:rsidRDefault="007D525C" w:rsidP="00FD74BB">
            <w:pPr>
              <w:keepNext/>
              <w:keepLines/>
              <w:spacing w:after="0"/>
              <w:jc w:val="center"/>
              <w:rPr>
                <w:rFonts w:ascii="Calibri" w:eastAsia="Times New Roman" w:hAnsi="Calibri" w:cs="Calibri"/>
                <w:iCs/>
                <w:color w:val="000000"/>
                <w:sz w:val="20"/>
                <w:szCs w:val="20"/>
                <w:lang w:eastAsia="cs-CZ"/>
              </w:rPr>
            </w:pPr>
            <w:r>
              <w:rPr>
                <w:rFonts w:ascii="Calibri" w:eastAsia="Times New Roman" w:hAnsi="Calibri" w:cs="Calibri"/>
                <w:iCs/>
                <w:color w:val="000000"/>
                <w:sz w:val="20"/>
                <w:szCs w:val="20"/>
                <w:lang w:eastAsia="cs-CZ"/>
              </w:rPr>
              <w:t>O</w:t>
            </w:r>
            <w:r w:rsidR="00887E09" w:rsidRPr="00C9483A">
              <w:rPr>
                <w:rFonts w:ascii="Calibri" w:eastAsia="Times New Roman" w:hAnsi="Calibri" w:cs="Calibri"/>
                <w:iCs/>
                <w:color w:val="000000"/>
                <w:sz w:val="20"/>
                <w:szCs w:val="20"/>
                <w:lang w:eastAsia="cs-CZ"/>
              </w:rPr>
              <w:t>svobození od daně</w:t>
            </w:r>
          </w:p>
        </w:tc>
        <w:tc>
          <w:tcPr>
            <w:tcW w:w="1152" w:type="dxa"/>
            <w:shd w:val="clear" w:color="auto" w:fill="auto"/>
            <w:noWrap/>
            <w:vAlign w:val="center"/>
            <w:hideMark/>
          </w:tcPr>
          <w:p w14:paraId="3B47218C" w14:textId="77777777" w:rsidR="00887E09" w:rsidRPr="00AF612D" w:rsidRDefault="00887E09" w:rsidP="00FD74BB">
            <w:pPr>
              <w:keepNext/>
              <w:keepLines/>
              <w:spacing w:after="0"/>
              <w:jc w:val="left"/>
              <w:rPr>
                <w:rFonts w:ascii="Calibri" w:eastAsia="Times New Roman" w:hAnsi="Calibri" w:cs="Calibri"/>
                <w:color w:val="000000"/>
                <w:sz w:val="20"/>
                <w:szCs w:val="20"/>
                <w:lang w:eastAsia="cs-CZ"/>
              </w:rPr>
            </w:pPr>
            <w:r w:rsidRPr="00AF612D">
              <w:rPr>
                <w:rFonts w:ascii="Calibri" w:eastAsia="Times New Roman" w:hAnsi="Calibri" w:cs="Calibri"/>
                <w:color w:val="000000"/>
                <w:sz w:val="20"/>
                <w:szCs w:val="20"/>
                <w:lang w:eastAsia="cs-CZ"/>
              </w:rPr>
              <w:t xml:space="preserve">§ 3 písm. c) </w:t>
            </w:r>
          </w:p>
        </w:tc>
        <w:tc>
          <w:tcPr>
            <w:tcW w:w="5568" w:type="dxa"/>
            <w:shd w:val="clear" w:color="auto" w:fill="auto"/>
            <w:noWrap/>
            <w:vAlign w:val="center"/>
            <w:hideMark/>
          </w:tcPr>
          <w:p w14:paraId="32DEDA17" w14:textId="1CFBCB8B" w:rsidR="00887E09" w:rsidRPr="00AF612D" w:rsidRDefault="007D525C" w:rsidP="00FD74BB">
            <w:pPr>
              <w:keepNext/>
              <w:keepLines/>
              <w:spacing w:after="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V</w:t>
            </w:r>
            <w:r w:rsidR="00887E09" w:rsidRPr="00AF612D">
              <w:rPr>
                <w:rFonts w:ascii="Calibri" w:eastAsia="Times New Roman" w:hAnsi="Calibri" w:cs="Calibri"/>
                <w:color w:val="000000"/>
                <w:sz w:val="20"/>
                <w:szCs w:val="20"/>
                <w:lang w:eastAsia="cs-CZ"/>
              </w:rPr>
              <w:t>ozidla linkové osobní vnitrostátní přepravy</w:t>
            </w:r>
          </w:p>
        </w:tc>
        <w:tc>
          <w:tcPr>
            <w:tcW w:w="1689" w:type="dxa"/>
            <w:shd w:val="clear" w:color="000000" w:fill="FFFFFF"/>
            <w:noWrap/>
            <w:vAlign w:val="center"/>
            <w:hideMark/>
          </w:tcPr>
          <w:p w14:paraId="144742CF" w14:textId="35F2562A" w:rsidR="00887E09" w:rsidRPr="00AF612D" w:rsidRDefault="00887E09" w:rsidP="00887E09">
            <w:pPr>
              <w:keepNext/>
              <w:keepLines/>
              <w:spacing w:after="0"/>
              <w:jc w:val="center"/>
              <w:rPr>
                <w:rFonts w:ascii="Calibri" w:eastAsia="Times New Roman" w:hAnsi="Calibri" w:cs="Calibri"/>
                <w:color w:val="000000"/>
                <w:sz w:val="20"/>
                <w:szCs w:val="20"/>
                <w:lang w:eastAsia="cs-CZ"/>
              </w:rPr>
            </w:pPr>
            <w:r>
              <w:rPr>
                <w:rFonts w:ascii="Calibri" w:eastAsia="Times New Roman" w:hAnsi="Calibri" w:cs="Calibri"/>
                <w:b/>
                <w:bCs/>
                <w:color w:val="BD2A33"/>
                <w:sz w:val="20"/>
                <w:szCs w:val="20"/>
                <w:lang w:eastAsia="cs-CZ"/>
              </w:rPr>
              <w:t>Ne</w:t>
            </w:r>
            <w:r w:rsidRPr="00887E09">
              <w:rPr>
                <w:rFonts w:ascii="Calibri" w:eastAsia="Times New Roman" w:hAnsi="Calibri" w:cs="Calibri"/>
                <w:bCs/>
                <w:sz w:val="20"/>
                <w:szCs w:val="20"/>
                <w:lang w:eastAsia="cs-CZ"/>
              </w:rPr>
              <w:t xml:space="preserve">; </w:t>
            </w:r>
            <w:r w:rsidRPr="00887E09">
              <w:rPr>
                <w:rFonts w:ascii="Calibri" w:eastAsia="Times New Roman" w:hAnsi="Calibri" w:cs="Calibri"/>
                <w:sz w:val="20"/>
                <w:szCs w:val="20"/>
                <w:lang w:eastAsia="cs-CZ"/>
              </w:rPr>
              <w:t>místní znalost</w:t>
            </w:r>
          </w:p>
        </w:tc>
      </w:tr>
      <w:tr w:rsidR="00887E09" w:rsidRPr="00AF612D" w14:paraId="3789CEC2" w14:textId="77777777" w:rsidTr="00A82C2B">
        <w:trPr>
          <w:trHeight w:val="263"/>
        </w:trPr>
        <w:tc>
          <w:tcPr>
            <w:tcW w:w="648" w:type="dxa"/>
            <w:vMerge/>
            <w:vAlign w:val="center"/>
            <w:hideMark/>
          </w:tcPr>
          <w:p w14:paraId="3F0AD13E" w14:textId="77777777" w:rsidR="00887E09" w:rsidRPr="00C9483A" w:rsidRDefault="00887E09" w:rsidP="00FD74BB">
            <w:pPr>
              <w:keepNext/>
              <w:keepLines/>
              <w:spacing w:after="0"/>
              <w:jc w:val="left"/>
              <w:rPr>
                <w:rFonts w:ascii="Calibri" w:eastAsia="Times New Roman" w:hAnsi="Calibri" w:cs="Calibri"/>
                <w:iCs/>
                <w:color w:val="000000"/>
                <w:sz w:val="20"/>
                <w:szCs w:val="20"/>
                <w:lang w:eastAsia="cs-CZ"/>
              </w:rPr>
            </w:pPr>
          </w:p>
        </w:tc>
        <w:tc>
          <w:tcPr>
            <w:tcW w:w="1152" w:type="dxa"/>
            <w:shd w:val="clear" w:color="auto" w:fill="auto"/>
            <w:noWrap/>
            <w:vAlign w:val="center"/>
            <w:hideMark/>
          </w:tcPr>
          <w:p w14:paraId="1D0A0407" w14:textId="77777777" w:rsidR="00887E09" w:rsidRPr="00AF612D" w:rsidRDefault="00887E09" w:rsidP="00FD74BB">
            <w:pPr>
              <w:keepNext/>
              <w:keepLines/>
              <w:spacing w:after="0"/>
              <w:jc w:val="left"/>
              <w:rPr>
                <w:rFonts w:ascii="Calibri" w:eastAsia="Times New Roman" w:hAnsi="Calibri" w:cs="Calibri"/>
                <w:color w:val="000000"/>
                <w:sz w:val="20"/>
                <w:szCs w:val="20"/>
                <w:lang w:eastAsia="cs-CZ"/>
              </w:rPr>
            </w:pPr>
            <w:r w:rsidRPr="00AF612D">
              <w:rPr>
                <w:rFonts w:ascii="Calibri" w:eastAsia="Times New Roman" w:hAnsi="Calibri" w:cs="Calibri"/>
                <w:color w:val="000000"/>
                <w:sz w:val="20"/>
                <w:szCs w:val="20"/>
                <w:lang w:eastAsia="cs-CZ"/>
              </w:rPr>
              <w:t xml:space="preserve">§ 3 písm. d) </w:t>
            </w:r>
          </w:p>
        </w:tc>
        <w:tc>
          <w:tcPr>
            <w:tcW w:w="5568" w:type="dxa"/>
            <w:shd w:val="clear" w:color="auto" w:fill="auto"/>
            <w:vAlign w:val="center"/>
            <w:hideMark/>
          </w:tcPr>
          <w:p w14:paraId="2449457B" w14:textId="02BC41E1" w:rsidR="00887E09" w:rsidRPr="00AF612D" w:rsidRDefault="007D525C" w:rsidP="00FD74BB">
            <w:pPr>
              <w:keepNext/>
              <w:keepLines/>
              <w:spacing w:after="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V</w:t>
            </w:r>
            <w:r w:rsidR="00887E09" w:rsidRPr="00AF612D">
              <w:rPr>
                <w:rFonts w:ascii="Calibri" w:eastAsia="Times New Roman" w:hAnsi="Calibri" w:cs="Calibri"/>
                <w:color w:val="000000"/>
                <w:sz w:val="20"/>
                <w:szCs w:val="20"/>
                <w:lang w:eastAsia="cs-CZ"/>
              </w:rPr>
              <w:t>ozidla se zvláštním zvukovým zařízením a výstražným světlem</w:t>
            </w:r>
          </w:p>
        </w:tc>
        <w:tc>
          <w:tcPr>
            <w:tcW w:w="1689" w:type="dxa"/>
            <w:shd w:val="clear" w:color="000000" w:fill="FFFFFF"/>
            <w:noWrap/>
            <w:vAlign w:val="center"/>
            <w:hideMark/>
          </w:tcPr>
          <w:p w14:paraId="58D326F1" w14:textId="0B3818ED" w:rsidR="00887E09" w:rsidRPr="00AF612D" w:rsidRDefault="00887E09" w:rsidP="00887E09">
            <w:pPr>
              <w:keepNext/>
              <w:keepLines/>
              <w:spacing w:after="0"/>
              <w:jc w:val="center"/>
              <w:rPr>
                <w:rFonts w:ascii="Calibri" w:eastAsia="Times New Roman" w:hAnsi="Calibri" w:cs="Calibri"/>
                <w:color w:val="000000"/>
                <w:sz w:val="20"/>
                <w:szCs w:val="20"/>
                <w:lang w:eastAsia="cs-CZ"/>
              </w:rPr>
            </w:pPr>
            <w:r>
              <w:rPr>
                <w:rFonts w:ascii="Calibri" w:eastAsia="Times New Roman" w:hAnsi="Calibri" w:cs="Calibri"/>
                <w:b/>
                <w:bCs/>
                <w:color w:val="0070C0"/>
                <w:sz w:val="20"/>
                <w:szCs w:val="20"/>
                <w:lang w:eastAsia="cs-CZ"/>
              </w:rPr>
              <w:t>Ano</w:t>
            </w:r>
          </w:p>
        </w:tc>
      </w:tr>
      <w:tr w:rsidR="00887E09" w:rsidRPr="00AF612D" w14:paraId="48CEA9FF" w14:textId="77777777" w:rsidTr="00927C9F">
        <w:trPr>
          <w:trHeight w:val="540"/>
        </w:trPr>
        <w:tc>
          <w:tcPr>
            <w:tcW w:w="648" w:type="dxa"/>
            <w:vMerge/>
            <w:vAlign w:val="center"/>
            <w:hideMark/>
          </w:tcPr>
          <w:p w14:paraId="3CCDAED6" w14:textId="77777777" w:rsidR="00887E09" w:rsidRPr="00C9483A" w:rsidRDefault="00887E09" w:rsidP="00FD74BB">
            <w:pPr>
              <w:keepNext/>
              <w:keepLines/>
              <w:spacing w:after="0"/>
              <w:jc w:val="left"/>
              <w:rPr>
                <w:rFonts w:ascii="Calibri" w:eastAsia="Times New Roman" w:hAnsi="Calibri" w:cs="Calibri"/>
                <w:iCs/>
                <w:color w:val="000000"/>
                <w:sz w:val="20"/>
                <w:szCs w:val="20"/>
                <w:lang w:eastAsia="cs-CZ"/>
              </w:rPr>
            </w:pPr>
          </w:p>
        </w:tc>
        <w:tc>
          <w:tcPr>
            <w:tcW w:w="1152" w:type="dxa"/>
            <w:shd w:val="clear" w:color="auto" w:fill="auto"/>
            <w:noWrap/>
            <w:vAlign w:val="center"/>
            <w:hideMark/>
          </w:tcPr>
          <w:p w14:paraId="39B910B9" w14:textId="0220FAD2" w:rsidR="00887E09" w:rsidRPr="00AF612D" w:rsidRDefault="00887E09" w:rsidP="00FD74BB">
            <w:pPr>
              <w:keepNext/>
              <w:keepLines/>
              <w:spacing w:after="0"/>
              <w:jc w:val="left"/>
              <w:rPr>
                <w:rFonts w:ascii="Calibri" w:eastAsia="Times New Roman" w:hAnsi="Calibri" w:cs="Calibri"/>
                <w:color w:val="000000"/>
                <w:sz w:val="20"/>
                <w:szCs w:val="20"/>
                <w:lang w:eastAsia="cs-CZ"/>
              </w:rPr>
            </w:pPr>
            <w:r w:rsidRPr="00AF612D">
              <w:rPr>
                <w:rFonts w:ascii="Calibri" w:eastAsia="Times New Roman" w:hAnsi="Calibri" w:cs="Calibri"/>
                <w:color w:val="000000"/>
                <w:sz w:val="20"/>
                <w:szCs w:val="20"/>
                <w:lang w:eastAsia="cs-CZ"/>
              </w:rPr>
              <w:t>§ 3 písm. e)</w:t>
            </w:r>
          </w:p>
        </w:tc>
        <w:tc>
          <w:tcPr>
            <w:tcW w:w="5568" w:type="dxa"/>
            <w:shd w:val="clear" w:color="auto" w:fill="auto"/>
            <w:vAlign w:val="center"/>
            <w:hideMark/>
          </w:tcPr>
          <w:p w14:paraId="0BC35FE7" w14:textId="4642EFAB" w:rsidR="00887E09" w:rsidRPr="00AF612D" w:rsidRDefault="007D525C" w:rsidP="00FD74BB">
            <w:pPr>
              <w:keepNext/>
              <w:keepLines/>
              <w:spacing w:after="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V</w:t>
            </w:r>
            <w:r w:rsidR="00887E09" w:rsidRPr="00AF612D">
              <w:rPr>
                <w:rFonts w:ascii="Calibri" w:eastAsia="Times New Roman" w:hAnsi="Calibri" w:cs="Calibri"/>
                <w:color w:val="000000"/>
                <w:sz w:val="20"/>
                <w:szCs w:val="20"/>
                <w:lang w:eastAsia="cs-CZ"/>
              </w:rPr>
              <w:t>ozidla zabezpečující sjízdnost a schů</w:t>
            </w:r>
            <w:r w:rsidR="00887E09">
              <w:rPr>
                <w:rFonts w:ascii="Calibri" w:eastAsia="Times New Roman" w:hAnsi="Calibri" w:cs="Calibri"/>
                <w:color w:val="000000"/>
                <w:sz w:val="20"/>
                <w:szCs w:val="20"/>
                <w:lang w:eastAsia="cs-CZ"/>
              </w:rPr>
              <w:t>d</w:t>
            </w:r>
            <w:r w:rsidR="00887E09" w:rsidRPr="00AF612D">
              <w:rPr>
                <w:rFonts w:ascii="Calibri" w:eastAsia="Times New Roman" w:hAnsi="Calibri" w:cs="Calibri"/>
                <w:color w:val="000000"/>
                <w:sz w:val="20"/>
                <w:szCs w:val="20"/>
                <w:lang w:eastAsia="cs-CZ"/>
              </w:rPr>
              <w:t>nost pozemních komunikací</w:t>
            </w:r>
          </w:p>
        </w:tc>
        <w:tc>
          <w:tcPr>
            <w:tcW w:w="1689" w:type="dxa"/>
            <w:shd w:val="clear" w:color="000000" w:fill="FFFFFF"/>
            <w:noWrap/>
            <w:vAlign w:val="center"/>
            <w:hideMark/>
          </w:tcPr>
          <w:p w14:paraId="5EBE6251" w14:textId="14629916" w:rsidR="00887E09" w:rsidRPr="00AF612D" w:rsidRDefault="00887E09" w:rsidP="00887E09">
            <w:pPr>
              <w:keepNext/>
              <w:keepLines/>
              <w:spacing w:after="0"/>
              <w:jc w:val="center"/>
              <w:rPr>
                <w:rFonts w:ascii="Calibri" w:eastAsia="Times New Roman" w:hAnsi="Calibri" w:cs="Calibri"/>
                <w:color w:val="000000"/>
                <w:sz w:val="20"/>
                <w:szCs w:val="20"/>
                <w:lang w:eastAsia="cs-CZ"/>
              </w:rPr>
            </w:pPr>
            <w:r>
              <w:rPr>
                <w:rFonts w:ascii="Calibri" w:eastAsia="Times New Roman" w:hAnsi="Calibri" w:cs="Calibri"/>
                <w:b/>
                <w:bCs/>
                <w:color w:val="7F7F7F"/>
                <w:sz w:val="20"/>
                <w:szCs w:val="20"/>
                <w:lang w:eastAsia="cs-CZ"/>
              </w:rPr>
              <w:t>Č</w:t>
            </w:r>
            <w:r w:rsidRPr="00AF612D">
              <w:rPr>
                <w:rFonts w:ascii="Calibri" w:eastAsia="Times New Roman" w:hAnsi="Calibri" w:cs="Calibri"/>
                <w:b/>
                <w:bCs/>
                <w:color w:val="7F7F7F"/>
                <w:sz w:val="20"/>
                <w:szCs w:val="20"/>
                <w:lang w:eastAsia="cs-CZ"/>
              </w:rPr>
              <w:t xml:space="preserve">ástečně </w:t>
            </w:r>
            <w:r>
              <w:rPr>
                <w:rFonts w:ascii="Calibri" w:eastAsia="Times New Roman" w:hAnsi="Calibri" w:cs="Calibri"/>
                <w:b/>
                <w:bCs/>
                <w:color w:val="7F7F7F"/>
                <w:sz w:val="20"/>
                <w:szCs w:val="20"/>
                <w:lang w:eastAsia="cs-CZ"/>
              </w:rPr>
              <w:t>ano</w:t>
            </w:r>
            <w:r w:rsidRPr="00887E09">
              <w:rPr>
                <w:rFonts w:ascii="Calibri" w:eastAsia="Times New Roman" w:hAnsi="Calibri" w:cs="Calibri"/>
                <w:bCs/>
                <w:color w:val="7F7F7F"/>
                <w:sz w:val="20"/>
                <w:szCs w:val="20"/>
                <w:lang w:eastAsia="cs-CZ"/>
              </w:rPr>
              <w:t xml:space="preserve">; </w:t>
            </w:r>
            <w:r w:rsidRPr="00AF612D">
              <w:rPr>
                <w:rFonts w:ascii="Calibri" w:eastAsia="Times New Roman" w:hAnsi="Calibri" w:cs="Calibri"/>
                <w:color w:val="000000"/>
                <w:sz w:val="20"/>
                <w:szCs w:val="20"/>
                <w:lang w:eastAsia="cs-CZ"/>
              </w:rPr>
              <w:t>místní znalost, název subjektu</w:t>
            </w:r>
          </w:p>
        </w:tc>
      </w:tr>
      <w:tr w:rsidR="00887E09" w:rsidRPr="00AF612D" w14:paraId="66DF70C2" w14:textId="77777777" w:rsidTr="00927C9F">
        <w:trPr>
          <w:trHeight w:val="519"/>
        </w:trPr>
        <w:tc>
          <w:tcPr>
            <w:tcW w:w="648" w:type="dxa"/>
            <w:vMerge/>
            <w:vAlign w:val="center"/>
            <w:hideMark/>
          </w:tcPr>
          <w:p w14:paraId="3B5C7D0B" w14:textId="77777777" w:rsidR="00887E09" w:rsidRPr="00C9483A" w:rsidRDefault="00887E09" w:rsidP="00FD74BB">
            <w:pPr>
              <w:keepNext/>
              <w:keepLines/>
              <w:spacing w:after="0"/>
              <w:jc w:val="left"/>
              <w:rPr>
                <w:rFonts w:ascii="Calibri" w:eastAsia="Times New Roman" w:hAnsi="Calibri" w:cs="Calibri"/>
                <w:iCs/>
                <w:color w:val="000000"/>
                <w:sz w:val="20"/>
                <w:szCs w:val="20"/>
                <w:lang w:eastAsia="cs-CZ"/>
              </w:rPr>
            </w:pPr>
          </w:p>
        </w:tc>
        <w:tc>
          <w:tcPr>
            <w:tcW w:w="1152" w:type="dxa"/>
            <w:shd w:val="clear" w:color="auto" w:fill="auto"/>
            <w:noWrap/>
            <w:vAlign w:val="center"/>
            <w:hideMark/>
          </w:tcPr>
          <w:p w14:paraId="6635EDEE" w14:textId="77777777" w:rsidR="00887E09" w:rsidRPr="00AF612D" w:rsidRDefault="00887E09" w:rsidP="00FD74BB">
            <w:pPr>
              <w:keepNext/>
              <w:keepLines/>
              <w:spacing w:after="0"/>
              <w:jc w:val="left"/>
              <w:rPr>
                <w:rFonts w:ascii="Calibri" w:eastAsia="Times New Roman" w:hAnsi="Calibri" w:cs="Calibri"/>
                <w:color w:val="000000"/>
                <w:sz w:val="20"/>
                <w:szCs w:val="20"/>
                <w:lang w:eastAsia="cs-CZ"/>
              </w:rPr>
            </w:pPr>
            <w:r w:rsidRPr="00AF612D">
              <w:rPr>
                <w:rFonts w:ascii="Calibri" w:eastAsia="Times New Roman" w:hAnsi="Calibri" w:cs="Calibri"/>
                <w:color w:val="000000"/>
                <w:sz w:val="20"/>
                <w:szCs w:val="20"/>
                <w:lang w:eastAsia="cs-CZ"/>
              </w:rPr>
              <w:t xml:space="preserve">§ 3 písm. f) </w:t>
            </w:r>
          </w:p>
        </w:tc>
        <w:tc>
          <w:tcPr>
            <w:tcW w:w="5568" w:type="dxa"/>
            <w:shd w:val="clear" w:color="auto" w:fill="auto"/>
            <w:vAlign w:val="center"/>
            <w:hideMark/>
          </w:tcPr>
          <w:p w14:paraId="3DF5A29F" w14:textId="10F15636" w:rsidR="00887E09" w:rsidRPr="00AF612D" w:rsidRDefault="007D525C" w:rsidP="00FD74BB">
            <w:pPr>
              <w:keepNext/>
              <w:keepLines/>
              <w:spacing w:after="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V</w:t>
            </w:r>
            <w:r w:rsidR="00887E09" w:rsidRPr="00AF612D">
              <w:rPr>
                <w:rFonts w:ascii="Calibri" w:eastAsia="Times New Roman" w:hAnsi="Calibri" w:cs="Calibri"/>
                <w:color w:val="000000"/>
                <w:sz w:val="20"/>
                <w:szCs w:val="20"/>
                <w:lang w:eastAsia="cs-CZ"/>
              </w:rPr>
              <w:t>ozidla pro dopravu osob, nákladů s největší povolenou hmotností méně než 12 t s alternativním pohonem</w:t>
            </w:r>
          </w:p>
        </w:tc>
        <w:tc>
          <w:tcPr>
            <w:tcW w:w="1689" w:type="dxa"/>
            <w:shd w:val="clear" w:color="000000" w:fill="FFFFFF"/>
            <w:noWrap/>
            <w:vAlign w:val="center"/>
            <w:hideMark/>
          </w:tcPr>
          <w:p w14:paraId="1B7EB481" w14:textId="2B47B491" w:rsidR="00887E09" w:rsidRPr="00AF612D" w:rsidRDefault="00887E09" w:rsidP="00887E09">
            <w:pPr>
              <w:keepNext/>
              <w:keepLines/>
              <w:spacing w:after="0"/>
              <w:jc w:val="center"/>
              <w:rPr>
                <w:rFonts w:ascii="Calibri" w:eastAsia="Times New Roman" w:hAnsi="Calibri" w:cs="Calibri"/>
                <w:color w:val="000000"/>
                <w:sz w:val="20"/>
                <w:szCs w:val="20"/>
                <w:lang w:eastAsia="cs-CZ"/>
              </w:rPr>
            </w:pPr>
            <w:r>
              <w:rPr>
                <w:rFonts w:ascii="Calibri" w:eastAsia="Times New Roman" w:hAnsi="Calibri" w:cs="Calibri"/>
                <w:b/>
                <w:bCs/>
                <w:color w:val="0070C0"/>
                <w:sz w:val="20"/>
                <w:szCs w:val="20"/>
                <w:lang w:eastAsia="cs-CZ"/>
              </w:rPr>
              <w:t>Ano</w:t>
            </w:r>
          </w:p>
        </w:tc>
      </w:tr>
      <w:tr w:rsidR="00887E09" w:rsidRPr="00AF612D" w14:paraId="4AD54DD3" w14:textId="77777777" w:rsidTr="00A82C2B">
        <w:trPr>
          <w:trHeight w:val="157"/>
        </w:trPr>
        <w:tc>
          <w:tcPr>
            <w:tcW w:w="648" w:type="dxa"/>
            <w:vMerge/>
            <w:vAlign w:val="center"/>
            <w:hideMark/>
          </w:tcPr>
          <w:p w14:paraId="24F5AFA6" w14:textId="77777777" w:rsidR="00887E09" w:rsidRPr="00C9483A" w:rsidRDefault="00887E09" w:rsidP="00FD5CF1">
            <w:pPr>
              <w:keepNext/>
              <w:keepLines/>
              <w:spacing w:after="0"/>
              <w:jc w:val="left"/>
              <w:rPr>
                <w:rFonts w:ascii="Calibri" w:eastAsia="Times New Roman" w:hAnsi="Calibri" w:cs="Calibri"/>
                <w:iCs/>
                <w:color w:val="000000"/>
                <w:sz w:val="20"/>
                <w:szCs w:val="20"/>
                <w:lang w:eastAsia="cs-CZ"/>
              </w:rPr>
            </w:pPr>
          </w:p>
        </w:tc>
        <w:tc>
          <w:tcPr>
            <w:tcW w:w="1152" w:type="dxa"/>
            <w:shd w:val="clear" w:color="auto" w:fill="auto"/>
            <w:noWrap/>
            <w:vAlign w:val="center"/>
            <w:hideMark/>
          </w:tcPr>
          <w:p w14:paraId="00603FBC" w14:textId="78E6DD17" w:rsidR="00887E09" w:rsidRPr="00AF612D" w:rsidRDefault="00887E09" w:rsidP="00FD5CF1">
            <w:pPr>
              <w:keepNext/>
              <w:keepLines/>
              <w:spacing w:after="0"/>
              <w:jc w:val="left"/>
              <w:rPr>
                <w:rFonts w:ascii="Calibri" w:eastAsia="Times New Roman" w:hAnsi="Calibri" w:cs="Calibri"/>
                <w:color w:val="000000"/>
                <w:sz w:val="20"/>
                <w:szCs w:val="20"/>
                <w:lang w:eastAsia="cs-CZ"/>
              </w:rPr>
            </w:pPr>
            <w:r w:rsidRPr="00AF612D">
              <w:rPr>
                <w:rFonts w:ascii="Calibri" w:eastAsia="Times New Roman" w:hAnsi="Calibri" w:cs="Calibri"/>
                <w:color w:val="000000"/>
                <w:sz w:val="20"/>
                <w:szCs w:val="20"/>
                <w:lang w:eastAsia="cs-CZ"/>
              </w:rPr>
              <w:t>§ 3 písm. g)</w:t>
            </w:r>
          </w:p>
        </w:tc>
        <w:tc>
          <w:tcPr>
            <w:tcW w:w="5568" w:type="dxa"/>
            <w:shd w:val="clear" w:color="auto" w:fill="auto"/>
            <w:noWrap/>
            <w:vAlign w:val="center"/>
            <w:hideMark/>
          </w:tcPr>
          <w:p w14:paraId="0779CD44" w14:textId="4BBCA0F5" w:rsidR="00887E09" w:rsidRPr="00AF612D" w:rsidRDefault="007D525C" w:rsidP="00FD5CF1">
            <w:pPr>
              <w:keepNext/>
              <w:keepLines/>
              <w:spacing w:after="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V</w:t>
            </w:r>
            <w:r w:rsidR="00887E09" w:rsidRPr="00AF612D">
              <w:rPr>
                <w:rFonts w:ascii="Calibri" w:eastAsia="Times New Roman" w:hAnsi="Calibri" w:cs="Calibri"/>
                <w:color w:val="000000"/>
                <w:sz w:val="20"/>
                <w:szCs w:val="20"/>
                <w:lang w:eastAsia="cs-CZ"/>
              </w:rPr>
              <w:t>ozidla požární ochrany</w:t>
            </w:r>
          </w:p>
        </w:tc>
        <w:tc>
          <w:tcPr>
            <w:tcW w:w="1689" w:type="dxa"/>
            <w:shd w:val="clear" w:color="000000" w:fill="FFFFFF"/>
            <w:noWrap/>
            <w:hideMark/>
          </w:tcPr>
          <w:p w14:paraId="3CCE2103" w14:textId="72888BF7" w:rsidR="00887E09" w:rsidRPr="00AF612D" w:rsidRDefault="00887E09" w:rsidP="00FD5CF1">
            <w:pPr>
              <w:keepNext/>
              <w:keepLines/>
              <w:spacing w:after="0"/>
              <w:jc w:val="center"/>
              <w:rPr>
                <w:rFonts w:ascii="Calibri" w:eastAsia="Times New Roman" w:hAnsi="Calibri" w:cs="Calibri"/>
                <w:color w:val="000000"/>
                <w:sz w:val="20"/>
                <w:szCs w:val="20"/>
                <w:lang w:eastAsia="cs-CZ"/>
              </w:rPr>
            </w:pPr>
            <w:r>
              <w:rPr>
                <w:rFonts w:ascii="Calibri" w:eastAsia="Times New Roman" w:hAnsi="Calibri" w:cs="Calibri"/>
                <w:b/>
                <w:bCs/>
                <w:color w:val="0070C0"/>
                <w:sz w:val="20"/>
                <w:szCs w:val="20"/>
                <w:lang w:eastAsia="cs-CZ"/>
              </w:rPr>
              <w:t>Ano</w:t>
            </w:r>
          </w:p>
        </w:tc>
      </w:tr>
      <w:tr w:rsidR="00887E09" w:rsidRPr="00AF612D" w14:paraId="2A0FA74D" w14:textId="77777777" w:rsidTr="00927C9F">
        <w:trPr>
          <w:trHeight w:val="263"/>
        </w:trPr>
        <w:tc>
          <w:tcPr>
            <w:tcW w:w="648" w:type="dxa"/>
            <w:vMerge/>
            <w:vAlign w:val="center"/>
            <w:hideMark/>
          </w:tcPr>
          <w:p w14:paraId="74177A68" w14:textId="77777777" w:rsidR="00887E09" w:rsidRPr="00C9483A" w:rsidRDefault="00887E09" w:rsidP="00FD5CF1">
            <w:pPr>
              <w:keepNext/>
              <w:keepLines/>
              <w:spacing w:after="0"/>
              <w:jc w:val="left"/>
              <w:rPr>
                <w:rFonts w:ascii="Calibri" w:eastAsia="Times New Roman" w:hAnsi="Calibri" w:cs="Calibri"/>
                <w:iCs/>
                <w:color w:val="000000"/>
                <w:sz w:val="20"/>
                <w:szCs w:val="20"/>
                <w:lang w:eastAsia="cs-CZ"/>
              </w:rPr>
            </w:pPr>
          </w:p>
        </w:tc>
        <w:tc>
          <w:tcPr>
            <w:tcW w:w="1152" w:type="dxa"/>
            <w:shd w:val="clear" w:color="auto" w:fill="auto"/>
            <w:noWrap/>
            <w:vAlign w:val="center"/>
            <w:hideMark/>
          </w:tcPr>
          <w:p w14:paraId="43BFD10E" w14:textId="77777777" w:rsidR="00887E09" w:rsidRPr="00AF612D" w:rsidRDefault="00887E09" w:rsidP="00FD5CF1">
            <w:pPr>
              <w:keepNext/>
              <w:keepLines/>
              <w:spacing w:after="0"/>
              <w:jc w:val="left"/>
              <w:rPr>
                <w:rFonts w:ascii="Calibri" w:eastAsia="Times New Roman" w:hAnsi="Calibri" w:cs="Calibri"/>
                <w:color w:val="000000"/>
                <w:sz w:val="20"/>
                <w:szCs w:val="20"/>
                <w:lang w:eastAsia="cs-CZ"/>
              </w:rPr>
            </w:pPr>
            <w:r w:rsidRPr="00AF612D">
              <w:rPr>
                <w:rFonts w:ascii="Calibri" w:eastAsia="Times New Roman" w:hAnsi="Calibri" w:cs="Calibri"/>
                <w:color w:val="000000"/>
                <w:sz w:val="20"/>
                <w:szCs w:val="20"/>
                <w:lang w:eastAsia="cs-CZ"/>
              </w:rPr>
              <w:t xml:space="preserve">§ 3 písm. h) </w:t>
            </w:r>
          </w:p>
        </w:tc>
        <w:tc>
          <w:tcPr>
            <w:tcW w:w="5568" w:type="dxa"/>
            <w:shd w:val="clear" w:color="auto" w:fill="auto"/>
            <w:vAlign w:val="center"/>
            <w:hideMark/>
          </w:tcPr>
          <w:p w14:paraId="30C3E7DE" w14:textId="7B6E6568" w:rsidR="00887E09" w:rsidRPr="00AF612D" w:rsidRDefault="007D525C" w:rsidP="00FD5CF1">
            <w:pPr>
              <w:keepNext/>
              <w:keepLines/>
              <w:spacing w:after="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V</w:t>
            </w:r>
            <w:r w:rsidR="00887E09" w:rsidRPr="00AF612D">
              <w:rPr>
                <w:rFonts w:ascii="Calibri" w:eastAsia="Times New Roman" w:hAnsi="Calibri" w:cs="Calibri"/>
                <w:color w:val="000000"/>
                <w:sz w:val="20"/>
                <w:szCs w:val="20"/>
                <w:lang w:eastAsia="cs-CZ"/>
              </w:rPr>
              <w:t>ozidla sloužící jako mobilizační rezervy, pohotovostní zásoby</w:t>
            </w:r>
          </w:p>
        </w:tc>
        <w:tc>
          <w:tcPr>
            <w:tcW w:w="1689" w:type="dxa"/>
            <w:shd w:val="clear" w:color="000000" w:fill="FFFFFF"/>
            <w:noWrap/>
            <w:hideMark/>
          </w:tcPr>
          <w:p w14:paraId="5AE1F8B9" w14:textId="5DD78CA3" w:rsidR="00887E09" w:rsidRPr="00AF612D" w:rsidRDefault="00887E09" w:rsidP="00887E09">
            <w:pPr>
              <w:keepNext/>
              <w:keepLines/>
              <w:spacing w:after="0"/>
              <w:jc w:val="center"/>
              <w:rPr>
                <w:rFonts w:ascii="Calibri" w:eastAsia="Times New Roman" w:hAnsi="Calibri" w:cs="Calibri"/>
                <w:color w:val="000000"/>
                <w:sz w:val="20"/>
                <w:szCs w:val="20"/>
                <w:lang w:eastAsia="cs-CZ"/>
              </w:rPr>
            </w:pPr>
            <w:r>
              <w:rPr>
                <w:rFonts w:ascii="Calibri" w:eastAsia="Times New Roman" w:hAnsi="Calibri" w:cs="Calibri"/>
                <w:b/>
                <w:bCs/>
                <w:color w:val="BD2A33"/>
                <w:sz w:val="20"/>
                <w:szCs w:val="20"/>
                <w:lang w:eastAsia="cs-CZ"/>
              </w:rPr>
              <w:t>N</w:t>
            </w:r>
            <w:r w:rsidRPr="00C34854">
              <w:rPr>
                <w:rFonts w:ascii="Calibri" w:eastAsia="Times New Roman" w:hAnsi="Calibri" w:cs="Calibri"/>
                <w:b/>
                <w:bCs/>
                <w:color w:val="BD2A33"/>
                <w:sz w:val="20"/>
                <w:szCs w:val="20"/>
                <w:lang w:eastAsia="cs-CZ"/>
              </w:rPr>
              <w:t>e</w:t>
            </w:r>
          </w:p>
        </w:tc>
      </w:tr>
      <w:tr w:rsidR="00887E09" w:rsidRPr="00AF612D" w14:paraId="6BF22ED9" w14:textId="77777777" w:rsidTr="00A82C2B">
        <w:trPr>
          <w:trHeight w:val="208"/>
        </w:trPr>
        <w:tc>
          <w:tcPr>
            <w:tcW w:w="648" w:type="dxa"/>
            <w:vMerge w:val="restart"/>
            <w:shd w:val="clear" w:color="auto" w:fill="auto"/>
            <w:textDirection w:val="btLr"/>
            <w:vAlign w:val="center"/>
            <w:hideMark/>
          </w:tcPr>
          <w:p w14:paraId="35920380" w14:textId="55354F86" w:rsidR="00887E09" w:rsidRPr="00C9483A" w:rsidRDefault="007D525C" w:rsidP="00FD5CF1">
            <w:pPr>
              <w:keepNext/>
              <w:keepLines/>
              <w:spacing w:after="0"/>
              <w:jc w:val="center"/>
              <w:rPr>
                <w:rFonts w:ascii="Calibri" w:eastAsia="Times New Roman" w:hAnsi="Calibri" w:cs="Calibri"/>
                <w:iCs/>
                <w:color w:val="000000"/>
                <w:sz w:val="20"/>
                <w:szCs w:val="20"/>
                <w:lang w:eastAsia="cs-CZ"/>
              </w:rPr>
            </w:pPr>
            <w:r>
              <w:rPr>
                <w:rFonts w:ascii="Calibri" w:eastAsia="Times New Roman" w:hAnsi="Calibri" w:cs="Calibri"/>
                <w:iCs/>
                <w:color w:val="000000"/>
                <w:sz w:val="20"/>
                <w:szCs w:val="20"/>
                <w:lang w:eastAsia="cs-CZ"/>
              </w:rPr>
              <w:t>S</w:t>
            </w:r>
            <w:r w:rsidR="00887E09" w:rsidRPr="00C9483A">
              <w:rPr>
                <w:rFonts w:ascii="Calibri" w:eastAsia="Times New Roman" w:hAnsi="Calibri" w:cs="Calibri"/>
                <w:iCs/>
                <w:color w:val="000000"/>
                <w:sz w:val="20"/>
                <w:szCs w:val="20"/>
                <w:lang w:eastAsia="cs-CZ"/>
              </w:rPr>
              <w:t>nížení, resp. zvýšení sazby daně</w:t>
            </w:r>
          </w:p>
        </w:tc>
        <w:tc>
          <w:tcPr>
            <w:tcW w:w="1152" w:type="dxa"/>
            <w:shd w:val="clear" w:color="auto" w:fill="auto"/>
            <w:noWrap/>
            <w:vAlign w:val="center"/>
            <w:hideMark/>
          </w:tcPr>
          <w:p w14:paraId="3D9D06C3" w14:textId="7938B48C" w:rsidR="00887E09" w:rsidRPr="00AF612D" w:rsidRDefault="00887E09" w:rsidP="00FD5CF1">
            <w:pPr>
              <w:keepNext/>
              <w:keepLines/>
              <w:spacing w:after="0"/>
              <w:jc w:val="left"/>
              <w:rPr>
                <w:rFonts w:ascii="Calibri" w:eastAsia="Times New Roman" w:hAnsi="Calibri" w:cs="Calibri"/>
                <w:color w:val="000000"/>
                <w:sz w:val="20"/>
                <w:szCs w:val="20"/>
                <w:lang w:eastAsia="cs-CZ"/>
              </w:rPr>
            </w:pPr>
            <w:r w:rsidRPr="00AF612D">
              <w:rPr>
                <w:rFonts w:ascii="Calibri" w:eastAsia="Times New Roman" w:hAnsi="Calibri" w:cs="Calibri"/>
                <w:color w:val="000000"/>
                <w:sz w:val="20"/>
                <w:szCs w:val="20"/>
                <w:lang w:eastAsia="cs-CZ"/>
              </w:rPr>
              <w:t>§ 6 odst. 5)</w:t>
            </w:r>
          </w:p>
        </w:tc>
        <w:tc>
          <w:tcPr>
            <w:tcW w:w="5568" w:type="dxa"/>
            <w:shd w:val="clear" w:color="auto" w:fill="auto"/>
            <w:vAlign w:val="center"/>
            <w:hideMark/>
          </w:tcPr>
          <w:p w14:paraId="4C1948B2" w14:textId="0F735C25" w:rsidR="00887E09" w:rsidRPr="00AF612D" w:rsidRDefault="007D525C" w:rsidP="00FD5CF1">
            <w:pPr>
              <w:keepNext/>
              <w:keepLines/>
              <w:spacing w:after="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V</w:t>
            </w:r>
            <w:r w:rsidR="00887E09" w:rsidRPr="00AF612D">
              <w:rPr>
                <w:rFonts w:ascii="Calibri" w:eastAsia="Times New Roman" w:hAnsi="Calibri" w:cs="Calibri"/>
                <w:color w:val="000000"/>
                <w:sz w:val="20"/>
                <w:szCs w:val="20"/>
                <w:lang w:eastAsia="cs-CZ"/>
              </w:rPr>
              <w:t>ozidla používaná pro činnost výrobní povahy v rostlinné výrobě</w:t>
            </w:r>
          </w:p>
        </w:tc>
        <w:tc>
          <w:tcPr>
            <w:tcW w:w="1689" w:type="dxa"/>
            <w:shd w:val="clear" w:color="000000" w:fill="FFFFFF"/>
            <w:noWrap/>
            <w:hideMark/>
          </w:tcPr>
          <w:p w14:paraId="6582F4B2" w14:textId="38A5B040" w:rsidR="00887E09" w:rsidRPr="00AF612D" w:rsidRDefault="00887E09" w:rsidP="00FD5CF1">
            <w:pPr>
              <w:keepNext/>
              <w:keepLines/>
              <w:spacing w:after="0"/>
              <w:jc w:val="center"/>
              <w:rPr>
                <w:rFonts w:ascii="Calibri" w:eastAsia="Times New Roman" w:hAnsi="Calibri" w:cs="Calibri"/>
                <w:color w:val="000000"/>
                <w:sz w:val="20"/>
                <w:szCs w:val="20"/>
                <w:lang w:eastAsia="cs-CZ"/>
              </w:rPr>
            </w:pPr>
            <w:r>
              <w:rPr>
                <w:rFonts w:ascii="Calibri" w:eastAsia="Times New Roman" w:hAnsi="Calibri" w:cs="Calibri"/>
                <w:b/>
                <w:bCs/>
                <w:color w:val="BD2A33"/>
                <w:sz w:val="20"/>
                <w:szCs w:val="20"/>
                <w:lang w:eastAsia="cs-CZ"/>
              </w:rPr>
              <w:t>N</w:t>
            </w:r>
            <w:r w:rsidRPr="00C34854">
              <w:rPr>
                <w:rFonts w:ascii="Calibri" w:eastAsia="Times New Roman" w:hAnsi="Calibri" w:cs="Calibri"/>
                <w:b/>
                <w:bCs/>
                <w:color w:val="BD2A33"/>
                <w:sz w:val="20"/>
                <w:szCs w:val="20"/>
                <w:lang w:eastAsia="cs-CZ"/>
              </w:rPr>
              <w:t>e</w:t>
            </w:r>
          </w:p>
        </w:tc>
      </w:tr>
      <w:tr w:rsidR="00887E09" w:rsidRPr="00AF612D" w14:paraId="493F106B" w14:textId="77777777" w:rsidTr="00927C9F">
        <w:trPr>
          <w:trHeight w:val="772"/>
        </w:trPr>
        <w:tc>
          <w:tcPr>
            <w:tcW w:w="648" w:type="dxa"/>
            <w:vMerge/>
            <w:vAlign w:val="center"/>
            <w:hideMark/>
          </w:tcPr>
          <w:p w14:paraId="44FC2109" w14:textId="77777777" w:rsidR="00887E09" w:rsidRPr="00C9483A" w:rsidRDefault="00887E09" w:rsidP="00887E09">
            <w:pPr>
              <w:keepNext/>
              <w:keepLines/>
              <w:spacing w:after="0"/>
              <w:jc w:val="left"/>
              <w:rPr>
                <w:rFonts w:ascii="Calibri" w:eastAsia="Times New Roman" w:hAnsi="Calibri" w:cs="Calibri"/>
                <w:iCs/>
                <w:color w:val="000000"/>
                <w:sz w:val="20"/>
                <w:szCs w:val="20"/>
                <w:lang w:eastAsia="cs-CZ"/>
              </w:rPr>
            </w:pPr>
          </w:p>
        </w:tc>
        <w:tc>
          <w:tcPr>
            <w:tcW w:w="1152" w:type="dxa"/>
            <w:shd w:val="clear" w:color="auto" w:fill="auto"/>
            <w:noWrap/>
            <w:vAlign w:val="center"/>
            <w:hideMark/>
          </w:tcPr>
          <w:p w14:paraId="178C26D2" w14:textId="57A29F87" w:rsidR="00887E09" w:rsidRPr="00AF612D" w:rsidRDefault="00887E09" w:rsidP="00887E09">
            <w:pPr>
              <w:keepNext/>
              <w:keepLines/>
              <w:spacing w:after="0"/>
              <w:jc w:val="left"/>
              <w:rPr>
                <w:rFonts w:ascii="Calibri" w:eastAsia="Times New Roman" w:hAnsi="Calibri" w:cs="Calibri"/>
                <w:color w:val="000000"/>
                <w:sz w:val="20"/>
                <w:szCs w:val="20"/>
                <w:lang w:eastAsia="cs-CZ"/>
              </w:rPr>
            </w:pPr>
            <w:r w:rsidRPr="00AF612D">
              <w:rPr>
                <w:rFonts w:ascii="Calibri" w:eastAsia="Times New Roman" w:hAnsi="Calibri" w:cs="Calibri"/>
                <w:color w:val="000000"/>
                <w:sz w:val="20"/>
                <w:szCs w:val="20"/>
                <w:lang w:eastAsia="cs-CZ"/>
              </w:rPr>
              <w:t>§ 6 odst. 6)</w:t>
            </w:r>
          </w:p>
        </w:tc>
        <w:tc>
          <w:tcPr>
            <w:tcW w:w="5568" w:type="dxa"/>
            <w:shd w:val="clear" w:color="auto" w:fill="auto"/>
            <w:vAlign w:val="center"/>
            <w:hideMark/>
          </w:tcPr>
          <w:p w14:paraId="76BA03E1" w14:textId="5F425F01" w:rsidR="00887E09" w:rsidRPr="00AF612D" w:rsidRDefault="007D525C" w:rsidP="00887E09">
            <w:pPr>
              <w:keepNext/>
              <w:keepLines/>
              <w:spacing w:after="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S</w:t>
            </w:r>
            <w:r w:rsidR="00887E09" w:rsidRPr="00AF612D">
              <w:rPr>
                <w:rFonts w:ascii="Calibri" w:eastAsia="Times New Roman" w:hAnsi="Calibri" w:cs="Calibri"/>
                <w:color w:val="000000"/>
                <w:sz w:val="20"/>
                <w:szCs w:val="20"/>
                <w:lang w:eastAsia="cs-CZ"/>
              </w:rPr>
              <w:t xml:space="preserve">nížení sazby daně o 48 % </w:t>
            </w:r>
            <w:r w:rsidRPr="00A9736F">
              <w:rPr>
                <w:rFonts w:cs="Calibri"/>
                <w:bCs/>
                <w:sz w:val="20"/>
                <w:szCs w:val="20"/>
                <w:lang w:eastAsia="cs-CZ"/>
              </w:rPr>
              <w:t>–</w:t>
            </w:r>
            <w:r w:rsidR="00887E09" w:rsidRPr="00AF612D">
              <w:rPr>
                <w:rFonts w:ascii="Calibri" w:eastAsia="Times New Roman" w:hAnsi="Calibri" w:cs="Calibri"/>
                <w:color w:val="000000"/>
                <w:sz w:val="20"/>
                <w:szCs w:val="20"/>
                <w:lang w:eastAsia="cs-CZ"/>
              </w:rPr>
              <w:t xml:space="preserve"> 36 měsíců od data první registrace, </w:t>
            </w:r>
            <w:r w:rsidR="001735CD">
              <w:rPr>
                <w:rFonts w:ascii="Calibri" w:eastAsia="Times New Roman" w:hAnsi="Calibri" w:cs="Calibri"/>
                <w:color w:val="000000"/>
                <w:sz w:val="20"/>
                <w:szCs w:val="20"/>
                <w:lang w:eastAsia="cs-CZ"/>
              </w:rPr>
              <w:br/>
            </w:r>
            <w:r w:rsidR="00887E09" w:rsidRPr="00AF612D">
              <w:rPr>
                <w:rFonts w:ascii="Calibri" w:eastAsia="Times New Roman" w:hAnsi="Calibri" w:cs="Calibri"/>
                <w:color w:val="000000"/>
                <w:sz w:val="20"/>
                <w:szCs w:val="20"/>
                <w:lang w:eastAsia="cs-CZ"/>
              </w:rPr>
              <w:t>40 % po dobu následujících 36 měsíců</w:t>
            </w:r>
            <w:r w:rsidR="001735CD">
              <w:rPr>
                <w:rFonts w:ascii="Calibri" w:eastAsia="Times New Roman" w:hAnsi="Calibri" w:cs="Calibri"/>
                <w:color w:val="000000"/>
                <w:sz w:val="20"/>
                <w:szCs w:val="20"/>
                <w:lang w:eastAsia="cs-CZ"/>
              </w:rPr>
              <w:t xml:space="preserve"> </w:t>
            </w:r>
            <w:r w:rsidR="00887E09" w:rsidRPr="00AF612D">
              <w:rPr>
                <w:rFonts w:ascii="Calibri" w:eastAsia="Times New Roman" w:hAnsi="Calibri" w:cs="Calibri"/>
                <w:color w:val="000000"/>
                <w:sz w:val="20"/>
                <w:szCs w:val="20"/>
                <w:lang w:eastAsia="cs-CZ"/>
              </w:rPr>
              <w:t>a</w:t>
            </w:r>
            <w:r w:rsidR="00887E09">
              <w:rPr>
                <w:rFonts w:ascii="Calibri" w:eastAsia="Times New Roman" w:hAnsi="Calibri" w:cs="Calibri"/>
                <w:color w:val="000000"/>
                <w:sz w:val="20"/>
                <w:szCs w:val="20"/>
                <w:lang w:eastAsia="cs-CZ"/>
              </w:rPr>
              <w:t xml:space="preserve"> </w:t>
            </w:r>
            <w:r w:rsidR="00887E09" w:rsidRPr="00AF612D">
              <w:rPr>
                <w:rFonts w:ascii="Calibri" w:eastAsia="Times New Roman" w:hAnsi="Calibri" w:cs="Calibri"/>
                <w:color w:val="000000"/>
                <w:sz w:val="20"/>
                <w:szCs w:val="20"/>
                <w:lang w:eastAsia="cs-CZ"/>
              </w:rPr>
              <w:t>25 % po dobu následujících 36 měsíců)</w:t>
            </w:r>
          </w:p>
        </w:tc>
        <w:tc>
          <w:tcPr>
            <w:tcW w:w="1689" w:type="dxa"/>
            <w:shd w:val="clear" w:color="000000" w:fill="FFFFFF"/>
            <w:noWrap/>
            <w:hideMark/>
          </w:tcPr>
          <w:p w14:paraId="3CBD67AC" w14:textId="5079CA49" w:rsidR="00887E09" w:rsidRPr="00AF612D" w:rsidRDefault="00887E09" w:rsidP="00887E09">
            <w:pPr>
              <w:keepNext/>
              <w:keepLines/>
              <w:spacing w:after="0"/>
              <w:jc w:val="center"/>
              <w:rPr>
                <w:rFonts w:ascii="Calibri" w:eastAsia="Times New Roman" w:hAnsi="Calibri" w:cs="Calibri"/>
                <w:color w:val="000000"/>
                <w:sz w:val="20"/>
                <w:szCs w:val="20"/>
                <w:lang w:eastAsia="cs-CZ"/>
              </w:rPr>
            </w:pPr>
            <w:r w:rsidRPr="002F1287">
              <w:rPr>
                <w:rFonts w:ascii="Calibri" w:eastAsia="Times New Roman" w:hAnsi="Calibri" w:cs="Calibri"/>
                <w:b/>
                <w:bCs/>
                <w:color w:val="0070C0"/>
                <w:sz w:val="20"/>
                <w:szCs w:val="20"/>
                <w:lang w:eastAsia="cs-CZ"/>
              </w:rPr>
              <w:t>Ano</w:t>
            </w:r>
          </w:p>
        </w:tc>
      </w:tr>
      <w:tr w:rsidR="00887E09" w:rsidRPr="00AF612D" w14:paraId="3544A710" w14:textId="77777777" w:rsidTr="00927C9F">
        <w:trPr>
          <w:trHeight w:val="428"/>
        </w:trPr>
        <w:tc>
          <w:tcPr>
            <w:tcW w:w="648" w:type="dxa"/>
            <w:vMerge/>
            <w:vAlign w:val="center"/>
            <w:hideMark/>
          </w:tcPr>
          <w:p w14:paraId="1365B808" w14:textId="77777777" w:rsidR="00887E09" w:rsidRPr="00C9483A" w:rsidRDefault="00887E09" w:rsidP="00887E09">
            <w:pPr>
              <w:keepNext/>
              <w:keepLines/>
              <w:spacing w:after="0"/>
              <w:jc w:val="left"/>
              <w:rPr>
                <w:rFonts w:ascii="Calibri" w:eastAsia="Times New Roman" w:hAnsi="Calibri" w:cs="Calibri"/>
                <w:iCs/>
                <w:color w:val="000000"/>
                <w:sz w:val="20"/>
                <w:szCs w:val="20"/>
                <w:lang w:eastAsia="cs-CZ"/>
              </w:rPr>
            </w:pPr>
          </w:p>
        </w:tc>
        <w:tc>
          <w:tcPr>
            <w:tcW w:w="1152" w:type="dxa"/>
            <w:shd w:val="clear" w:color="auto" w:fill="auto"/>
            <w:noWrap/>
            <w:vAlign w:val="center"/>
            <w:hideMark/>
          </w:tcPr>
          <w:p w14:paraId="4051D89B" w14:textId="10438B5F" w:rsidR="00887E09" w:rsidRPr="00AF612D" w:rsidRDefault="00887E09" w:rsidP="00887E09">
            <w:pPr>
              <w:keepNext/>
              <w:keepLines/>
              <w:spacing w:after="0"/>
              <w:jc w:val="left"/>
              <w:rPr>
                <w:rFonts w:ascii="Calibri" w:eastAsia="Times New Roman" w:hAnsi="Calibri" w:cs="Calibri"/>
                <w:color w:val="000000"/>
                <w:sz w:val="20"/>
                <w:szCs w:val="20"/>
                <w:lang w:eastAsia="cs-CZ"/>
              </w:rPr>
            </w:pPr>
            <w:r w:rsidRPr="00AF612D">
              <w:rPr>
                <w:rFonts w:ascii="Calibri" w:eastAsia="Times New Roman" w:hAnsi="Calibri" w:cs="Calibri"/>
                <w:color w:val="000000"/>
                <w:sz w:val="20"/>
                <w:szCs w:val="20"/>
                <w:lang w:eastAsia="cs-CZ"/>
              </w:rPr>
              <w:t>§ 6 odst. 8)</w:t>
            </w:r>
          </w:p>
        </w:tc>
        <w:tc>
          <w:tcPr>
            <w:tcW w:w="5568" w:type="dxa"/>
            <w:shd w:val="clear" w:color="auto" w:fill="auto"/>
            <w:vAlign w:val="center"/>
            <w:hideMark/>
          </w:tcPr>
          <w:p w14:paraId="1EEF9A03" w14:textId="0A468578" w:rsidR="00887E09" w:rsidRPr="00AF612D" w:rsidRDefault="007D525C" w:rsidP="00227654">
            <w:pPr>
              <w:keepNext/>
              <w:keepLines/>
              <w:spacing w:after="0"/>
              <w:jc w:val="lef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Z</w:t>
            </w:r>
            <w:r w:rsidR="00887E09" w:rsidRPr="00AF612D">
              <w:rPr>
                <w:rFonts w:ascii="Calibri" w:eastAsia="Times New Roman" w:hAnsi="Calibri" w:cs="Calibri"/>
                <w:color w:val="000000"/>
                <w:sz w:val="20"/>
                <w:szCs w:val="20"/>
                <w:lang w:eastAsia="cs-CZ"/>
              </w:rPr>
              <w:t xml:space="preserve">výšení sazby daně o 25 % </w:t>
            </w:r>
            <w:r>
              <w:rPr>
                <w:rFonts w:ascii="Calibri" w:eastAsia="Times New Roman" w:hAnsi="Calibri" w:cs="Calibri"/>
                <w:color w:val="000000"/>
                <w:sz w:val="20"/>
                <w:szCs w:val="20"/>
                <w:lang w:eastAsia="cs-CZ"/>
              </w:rPr>
              <w:t xml:space="preserve">u </w:t>
            </w:r>
            <w:r w:rsidR="00887E09" w:rsidRPr="00AF612D">
              <w:rPr>
                <w:rFonts w:ascii="Calibri" w:eastAsia="Times New Roman" w:hAnsi="Calibri" w:cs="Calibri"/>
                <w:color w:val="000000"/>
                <w:sz w:val="20"/>
                <w:szCs w:val="20"/>
                <w:lang w:eastAsia="cs-CZ"/>
              </w:rPr>
              <w:t xml:space="preserve">vozidel registrovaných nejpozději </w:t>
            </w:r>
            <w:r w:rsidR="001735CD">
              <w:rPr>
                <w:rFonts w:ascii="Calibri" w:eastAsia="Times New Roman" w:hAnsi="Calibri" w:cs="Calibri"/>
                <w:color w:val="000000"/>
                <w:sz w:val="20"/>
                <w:szCs w:val="20"/>
                <w:lang w:eastAsia="cs-CZ"/>
              </w:rPr>
              <w:br/>
            </w:r>
            <w:r w:rsidR="00887E09" w:rsidRPr="00AF612D">
              <w:rPr>
                <w:rFonts w:ascii="Calibri" w:eastAsia="Times New Roman" w:hAnsi="Calibri" w:cs="Calibri"/>
                <w:color w:val="000000"/>
                <w:sz w:val="20"/>
                <w:szCs w:val="20"/>
                <w:lang w:eastAsia="cs-CZ"/>
              </w:rPr>
              <w:t>do 31. 12. 1989</w:t>
            </w:r>
          </w:p>
        </w:tc>
        <w:tc>
          <w:tcPr>
            <w:tcW w:w="1689" w:type="dxa"/>
            <w:shd w:val="clear" w:color="000000" w:fill="FFFFFF"/>
            <w:noWrap/>
            <w:hideMark/>
          </w:tcPr>
          <w:p w14:paraId="43D09DDB" w14:textId="1FAA212F" w:rsidR="00887E09" w:rsidRPr="00AF612D" w:rsidRDefault="00887E09" w:rsidP="00887E09">
            <w:pPr>
              <w:keepNext/>
              <w:keepLines/>
              <w:spacing w:after="0"/>
              <w:jc w:val="center"/>
              <w:rPr>
                <w:rFonts w:ascii="Calibri" w:eastAsia="Times New Roman" w:hAnsi="Calibri" w:cs="Calibri"/>
                <w:color w:val="000000"/>
                <w:sz w:val="20"/>
                <w:szCs w:val="20"/>
                <w:lang w:eastAsia="cs-CZ"/>
              </w:rPr>
            </w:pPr>
            <w:r w:rsidRPr="002F1287">
              <w:rPr>
                <w:rFonts w:ascii="Calibri" w:eastAsia="Times New Roman" w:hAnsi="Calibri" w:cs="Calibri"/>
                <w:b/>
                <w:bCs/>
                <w:color w:val="0070C0"/>
                <w:sz w:val="20"/>
                <w:szCs w:val="20"/>
                <w:lang w:eastAsia="cs-CZ"/>
              </w:rPr>
              <w:t>Ano</w:t>
            </w:r>
          </w:p>
        </w:tc>
      </w:tr>
      <w:tr w:rsidR="00887E09" w:rsidRPr="00AF612D" w14:paraId="44583776" w14:textId="77777777" w:rsidTr="00A82C2B">
        <w:trPr>
          <w:trHeight w:val="1107"/>
        </w:trPr>
        <w:tc>
          <w:tcPr>
            <w:tcW w:w="648" w:type="dxa"/>
            <w:vMerge/>
            <w:vAlign w:val="center"/>
            <w:hideMark/>
          </w:tcPr>
          <w:p w14:paraId="25C9D5C0" w14:textId="77777777" w:rsidR="00887E09" w:rsidRPr="00C9483A" w:rsidRDefault="00887E09" w:rsidP="00FD5CF1">
            <w:pPr>
              <w:keepNext/>
              <w:keepLines/>
              <w:spacing w:after="0"/>
              <w:jc w:val="left"/>
              <w:rPr>
                <w:rFonts w:ascii="Calibri" w:eastAsia="Times New Roman" w:hAnsi="Calibri" w:cs="Calibri"/>
                <w:iCs/>
                <w:color w:val="000000"/>
                <w:sz w:val="20"/>
                <w:szCs w:val="20"/>
                <w:lang w:eastAsia="cs-CZ"/>
              </w:rPr>
            </w:pPr>
          </w:p>
        </w:tc>
        <w:tc>
          <w:tcPr>
            <w:tcW w:w="1152" w:type="dxa"/>
            <w:shd w:val="clear" w:color="auto" w:fill="auto"/>
            <w:noWrap/>
            <w:vAlign w:val="center"/>
            <w:hideMark/>
          </w:tcPr>
          <w:p w14:paraId="4B19DE6C" w14:textId="4E7B0AC9" w:rsidR="00887E09" w:rsidRPr="00AF612D" w:rsidRDefault="00887E09" w:rsidP="00FD5CF1">
            <w:pPr>
              <w:keepNext/>
              <w:keepLines/>
              <w:spacing w:after="0"/>
              <w:jc w:val="left"/>
              <w:rPr>
                <w:rFonts w:ascii="Calibri" w:eastAsia="Times New Roman" w:hAnsi="Calibri" w:cs="Calibri"/>
                <w:color w:val="000000"/>
                <w:sz w:val="20"/>
                <w:szCs w:val="20"/>
                <w:lang w:eastAsia="cs-CZ"/>
              </w:rPr>
            </w:pPr>
            <w:r w:rsidRPr="00AF612D">
              <w:rPr>
                <w:rFonts w:ascii="Calibri" w:eastAsia="Times New Roman" w:hAnsi="Calibri" w:cs="Calibri"/>
                <w:color w:val="000000"/>
                <w:sz w:val="20"/>
                <w:szCs w:val="20"/>
                <w:lang w:eastAsia="cs-CZ"/>
              </w:rPr>
              <w:t>§ 6 odst. 9)</w:t>
            </w:r>
          </w:p>
        </w:tc>
        <w:tc>
          <w:tcPr>
            <w:tcW w:w="5568" w:type="dxa"/>
            <w:shd w:val="clear" w:color="auto" w:fill="auto"/>
            <w:vAlign w:val="center"/>
            <w:hideMark/>
          </w:tcPr>
          <w:p w14:paraId="3A76AD80" w14:textId="615991B7" w:rsidR="00887E09" w:rsidRPr="00AF612D" w:rsidRDefault="007D525C" w:rsidP="00227654">
            <w:pPr>
              <w:keepNext/>
              <w:keepLines/>
              <w:spacing w:after="0"/>
              <w:jc w:val="lef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S</w:t>
            </w:r>
            <w:r w:rsidR="00887E09" w:rsidRPr="00AF612D">
              <w:rPr>
                <w:rFonts w:ascii="Calibri" w:eastAsia="Times New Roman" w:hAnsi="Calibri" w:cs="Calibri"/>
                <w:color w:val="000000"/>
                <w:sz w:val="20"/>
                <w:szCs w:val="20"/>
                <w:lang w:eastAsia="cs-CZ"/>
              </w:rPr>
              <w:t xml:space="preserve">nížení sazby daně o 100 % u nákladních vozidel </w:t>
            </w:r>
            <w:r w:rsidR="00887E09">
              <w:rPr>
                <w:rFonts w:ascii="Calibri" w:eastAsia="Times New Roman" w:hAnsi="Calibri" w:cs="Calibri"/>
                <w:color w:val="000000"/>
                <w:sz w:val="20"/>
                <w:szCs w:val="20"/>
                <w:lang w:eastAsia="cs-CZ"/>
              </w:rPr>
              <w:br/>
            </w:r>
            <w:r w:rsidR="00887E09" w:rsidRPr="00AF612D">
              <w:rPr>
                <w:rFonts w:ascii="Calibri" w:eastAsia="Times New Roman" w:hAnsi="Calibri" w:cs="Calibri"/>
                <w:color w:val="000000"/>
                <w:sz w:val="20"/>
                <w:szCs w:val="20"/>
                <w:lang w:eastAsia="cs-CZ"/>
              </w:rPr>
              <w:t>a přípojných vozidel s nejvyšší povolenou hmotností nad 3,5</w:t>
            </w:r>
            <w:r w:rsidR="00887E09">
              <w:rPr>
                <w:rFonts w:ascii="Calibri" w:eastAsia="Times New Roman" w:hAnsi="Calibri" w:cs="Calibri"/>
                <w:color w:val="000000"/>
                <w:sz w:val="20"/>
                <w:szCs w:val="20"/>
                <w:lang w:eastAsia="cs-CZ"/>
              </w:rPr>
              <w:t xml:space="preserve"> </w:t>
            </w:r>
            <w:r w:rsidR="00887E09" w:rsidRPr="00AF612D">
              <w:rPr>
                <w:rFonts w:ascii="Calibri" w:eastAsia="Times New Roman" w:hAnsi="Calibri" w:cs="Calibri"/>
                <w:color w:val="000000"/>
                <w:sz w:val="20"/>
                <w:szCs w:val="20"/>
                <w:lang w:eastAsia="cs-CZ"/>
              </w:rPr>
              <w:t xml:space="preserve">t </w:t>
            </w:r>
            <w:r w:rsidR="001735CD">
              <w:rPr>
                <w:rFonts w:ascii="Calibri" w:eastAsia="Times New Roman" w:hAnsi="Calibri" w:cs="Calibri"/>
                <w:color w:val="000000"/>
                <w:sz w:val="20"/>
                <w:szCs w:val="20"/>
                <w:lang w:eastAsia="cs-CZ"/>
              </w:rPr>
              <w:br/>
            </w:r>
            <w:r w:rsidR="00887E09" w:rsidRPr="00AF612D">
              <w:rPr>
                <w:rFonts w:ascii="Calibri" w:eastAsia="Times New Roman" w:hAnsi="Calibri" w:cs="Calibri"/>
                <w:color w:val="000000"/>
                <w:sz w:val="20"/>
                <w:szCs w:val="20"/>
                <w:lang w:eastAsia="cs-CZ"/>
              </w:rPr>
              <w:t>do 12</w:t>
            </w:r>
            <w:r w:rsidR="00887E09">
              <w:rPr>
                <w:rFonts w:ascii="Calibri" w:eastAsia="Times New Roman" w:hAnsi="Calibri" w:cs="Calibri"/>
                <w:color w:val="000000"/>
                <w:sz w:val="20"/>
                <w:szCs w:val="20"/>
                <w:lang w:eastAsia="cs-CZ"/>
              </w:rPr>
              <w:t xml:space="preserve"> </w:t>
            </w:r>
            <w:r w:rsidR="00887E09" w:rsidRPr="00AF612D">
              <w:rPr>
                <w:rFonts w:ascii="Calibri" w:eastAsia="Times New Roman" w:hAnsi="Calibri" w:cs="Calibri"/>
                <w:color w:val="000000"/>
                <w:sz w:val="20"/>
                <w:szCs w:val="20"/>
                <w:lang w:eastAsia="cs-CZ"/>
              </w:rPr>
              <w:t xml:space="preserve">t sloužících veřejně prospěšným poplatníkům či jako výcviková vozidla, vozidla používaná </w:t>
            </w:r>
            <w:r w:rsidR="00887E09">
              <w:rPr>
                <w:rFonts w:ascii="Calibri" w:eastAsia="Times New Roman" w:hAnsi="Calibri" w:cs="Calibri"/>
                <w:color w:val="000000"/>
                <w:sz w:val="20"/>
                <w:szCs w:val="20"/>
                <w:lang w:eastAsia="cs-CZ"/>
              </w:rPr>
              <w:t xml:space="preserve">fyzickými osobami </w:t>
            </w:r>
            <w:r w:rsidR="00887E09" w:rsidRPr="00AF612D">
              <w:rPr>
                <w:rFonts w:ascii="Calibri" w:eastAsia="Times New Roman" w:hAnsi="Calibri" w:cs="Calibri"/>
                <w:color w:val="000000"/>
                <w:sz w:val="20"/>
                <w:szCs w:val="20"/>
                <w:lang w:eastAsia="cs-CZ"/>
              </w:rPr>
              <w:t xml:space="preserve">k činnosti, </w:t>
            </w:r>
            <w:r w:rsidR="001735CD">
              <w:rPr>
                <w:rFonts w:ascii="Calibri" w:eastAsia="Times New Roman" w:hAnsi="Calibri" w:cs="Calibri"/>
                <w:color w:val="000000"/>
                <w:sz w:val="20"/>
                <w:szCs w:val="20"/>
                <w:lang w:eastAsia="cs-CZ"/>
              </w:rPr>
              <w:br/>
            </w:r>
            <w:r w:rsidR="00887E09" w:rsidRPr="00AF612D">
              <w:rPr>
                <w:rFonts w:ascii="Calibri" w:eastAsia="Times New Roman" w:hAnsi="Calibri" w:cs="Calibri"/>
                <w:color w:val="000000"/>
                <w:sz w:val="20"/>
                <w:szCs w:val="20"/>
                <w:lang w:eastAsia="cs-CZ"/>
              </w:rPr>
              <w:t>z níž neplynou příjmy ze samostatné činnosti</w:t>
            </w:r>
          </w:p>
        </w:tc>
        <w:tc>
          <w:tcPr>
            <w:tcW w:w="1689" w:type="dxa"/>
            <w:shd w:val="clear" w:color="000000" w:fill="FFFFFF"/>
            <w:noWrap/>
            <w:hideMark/>
          </w:tcPr>
          <w:p w14:paraId="1EABEAB7" w14:textId="4C129EE3" w:rsidR="00887E09" w:rsidRPr="00AF612D" w:rsidRDefault="00887E09" w:rsidP="00FD5CF1">
            <w:pPr>
              <w:keepNext/>
              <w:keepLines/>
              <w:spacing w:after="0"/>
              <w:jc w:val="center"/>
              <w:rPr>
                <w:rFonts w:ascii="Calibri" w:eastAsia="Times New Roman" w:hAnsi="Calibri" w:cs="Calibri"/>
                <w:color w:val="000000"/>
                <w:sz w:val="20"/>
                <w:szCs w:val="20"/>
                <w:lang w:eastAsia="cs-CZ"/>
              </w:rPr>
            </w:pPr>
            <w:r>
              <w:rPr>
                <w:rFonts w:ascii="Calibri" w:eastAsia="Times New Roman" w:hAnsi="Calibri" w:cs="Calibri"/>
                <w:b/>
                <w:bCs/>
                <w:color w:val="BD2A33"/>
                <w:sz w:val="20"/>
                <w:szCs w:val="20"/>
                <w:lang w:eastAsia="cs-CZ"/>
              </w:rPr>
              <w:t>N</w:t>
            </w:r>
            <w:r w:rsidRPr="00C34854">
              <w:rPr>
                <w:rFonts w:ascii="Calibri" w:eastAsia="Times New Roman" w:hAnsi="Calibri" w:cs="Calibri"/>
                <w:b/>
                <w:bCs/>
                <w:color w:val="BD2A33"/>
                <w:sz w:val="20"/>
                <w:szCs w:val="20"/>
                <w:lang w:eastAsia="cs-CZ"/>
              </w:rPr>
              <w:t>e</w:t>
            </w:r>
          </w:p>
        </w:tc>
      </w:tr>
      <w:tr w:rsidR="00887E09" w:rsidRPr="00AF612D" w14:paraId="05B879E7" w14:textId="77777777" w:rsidTr="00927C9F">
        <w:trPr>
          <w:trHeight w:val="712"/>
        </w:trPr>
        <w:tc>
          <w:tcPr>
            <w:tcW w:w="648" w:type="dxa"/>
            <w:vMerge/>
            <w:vAlign w:val="center"/>
            <w:hideMark/>
          </w:tcPr>
          <w:p w14:paraId="07548090" w14:textId="77777777" w:rsidR="00887E09" w:rsidRPr="00C9483A" w:rsidRDefault="00887E09" w:rsidP="00FD5CF1">
            <w:pPr>
              <w:keepNext/>
              <w:keepLines/>
              <w:spacing w:after="0"/>
              <w:jc w:val="left"/>
              <w:rPr>
                <w:rFonts w:ascii="Calibri" w:eastAsia="Times New Roman" w:hAnsi="Calibri" w:cs="Calibri"/>
                <w:iCs/>
                <w:color w:val="000000"/>
                <w:sz w:val="20"/>
                <w:szCs w:val="20"/>
                <w:lang w:eastAsia="cs-CZ"/>
              </w:rPr>
            </w:pPr>
          </w:p>
        </w:tc>
        <w:tc>
          <w:tcPr>
            <w:tcW w:w="1152" w:type="dxa"/>
            <w:shd w:val="clear" w:color="auto" w:fill="auto"/>
            <w:noWrap/>
            <w:vAlign w:val="center"/>
            <w:hideMark/>
          </w:tcPr>
          <w:p w14:paraId="4FD4CDDB" w14:textId="44380B5F" w:rsidR="00887E09" w:rsidRPr="00AF612D" w:rsidRDefault="00887E09" w:rsidP="00FD5CF1">
            <w:pPr>
              <w:keepNext/>
              <w:keepLines/>
              <w:spacing w:after="0"/>
              <w:jc w:val="left"/>
              <w:rPr>
                <w:rFonts w:ascii="Calibri" w:eastAsia="Times New Roman" w:hAnsi="Calibri" w:cs="Calibri"/>
                <w:color w:val="000000"/>
                <w:sz w:val="20"/>
                <w:szCs w:val="20"/>
                <w:lang w:eastAsia="cs-CZ"/>
              </w:rPr>
            </w:pPr>
            <w:r w:rsidRPr="00AF612D">
              <w:rPr>
                <w:rFonts w:ascii="Calibri" w:eastAsia="Times New Roman" w:hAnsi="Calibri" w:cs="Calibri"/>
                <w:color w:val="000000"/>
                <w:sz w:val="20"/>
                <w:szCs w:val="20"/>
                <w:lang w:eastAsia="cs-CZ"/>
              </w:rPr>
              <w:t>§ 6 odst. 10)</w:t>
            </w:r>
          </w:p>
        </w:tc>
        <w:tc>
          <w:tcPr>
            <w:tcW w:w="5568" w:type="dxa"/>
            <w:shd w:val="clear" w:color="auto" w:fill="auto"/>
            <w:vAlign w:val="center"/>
            <w:hideMark/>
          </w:tcPr>
          <w:p w14:paraId="31EA3795" w14:textId="351918F3" w:rsidR="00887E09" w:rsidRPr="00AF612D" w:rsidRDefault="007D525C" w:rsidP="00227654">
            <w:pPr>
              <w:keepNext/>
              <w:keepLines/>
              <w:spacing w:after="0"/>
              <w:jc w:val="lef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S</w:t>
            </w:r>
            <w:r w:rsidR="00887E09" w:rsidRPr="00AF612D">
              <w:rPr>
                <w:rFonts w:ascii="Calibri" w:eastAsia="Times New Roman" w:hAnsi="Calibri" w:cs="Calibri"/>
                <w:color w:val="000000"/>
                <w:sz w:val="20"/>
                <w:szCs w:val="20"/>
                <w:lang w:eastAsia="cs-CZ"/>
              </w:rPr>
              <w:t xml:space="preserve">nížení sazby daně o 48 % u nákladních automobilů </w:t>
            </w:r>
            <w:r w:rsidR="00887E09">
              <w:rPr>
                <w:rFonts w:ascii="Calibri" w:eastAsia="Times New Roman" w:hAnsi="Calibri" w:cs="Calibri"/>
                <w:color w:val="000000"/>
                <w:sz w:val="20"/>
                <w:szCs w:val="20"/>
                <w:lang w:eastAsia="cs-CZ"/>
              </w:rPr>
              <w:br/>
            </w:r>
            <w:r w:rsidR="00887E09" w:rsidRPr="00AF612D">
              <w:rPr>
                <w:rFonts w:ascii="Calibri" w:eastAsia="Times New Roman" w:hAnsi="Calibri" w:cs="Calibri"/>
                <w:color w:val="000000"/>
                <w:sz w:val="20"/>
                <w:szCs w:val="20"/>
                <w:lang w:eastAsia="cs-CZ"/>
              </w:rPr>
              <w:t>a přípojných vozidel s n</w:t>
            </w:r>
            <w:r w:rsidR="00887E09">
              <w:rPr>
                <w:rFonts w:ascii="Calibri" w:eastAsia="Times New Roman" w:hAnsi="Calibri" w:cs="Calibri"/>
                <w:color w:val="000000"/>
                <w:sz w:val="20"/>
                <w:szCs w:val="20"/>
                <w:lang w:eastAsia="cs-CZ"/>
              </w:rPr>
              <w:t>e</w:t>
            </w:r>
            <w:r w:rsidR="00887E09" w:rsidRPr="00AF612D">
              <w:rPr>
                <w:rFonts w:ascii="Calibri" w:eastAsia="Times New Roman" w:hAnsi="Calibri" w:cs="Calibri"/>
                <w:color w:val="000000"/>
                <w:sz w:val="20"/>
                <w:szCs w:val="20"/>
                <w:lang w:eastAsia="cs-CZ"/>
              </w:rPr>
              <w:t xml:space="preserve">jvětší povolenou hmotností </w:t>
            </w:r>
            <w:r w:rsidR="00887E09">
              <w:rPr>
                <w:rFonts w:ascii="Calibri" w:eastAsia="Times New Roman" w:hAnsi="Calibri" w:cs="Calibri"/>
                <w:color w:val="000000"/>
                <w:sz w:val="20"/>
                <w:szCs w:val="20"/>
                <w:lang w:eastAsia="cs-CZ"/>
              </w:rPr>
              <w:br/>
            </w:r>
            <w:r w:rsidR="00887E09" w:rsidRPr="00AF612D">
              <w:rPr>
                <w:rFonts w:ascii="Calibri" w:eastAsia="Times New Roman" w:hAnsi="Calibri" w:cs="Calibri"/>
                <w:color w:val="000000"/>
                <w:sz w:val="20"/>
                <w:szCs w:val="20"/>
                <w:lang w:eastAsia="cs-CZ"/>
              </w:rPr>
              <w:t>12 a více t, za podmínek uvedených v § 6 odst. 9 ZDS</w:t>
            </w:r>
          </w:p>
        </w:tc>
        <w:tc>
          <w:tcPr>
            <w:tcW w:w="1689" w:type="dxa"/>
            <w:shd w:val="clear" w:color="000000" w:fill="FFFFFF"/>
            <w:noWrap/>
            <w:hideMark/>
          </w:tcPr>
          <w:p w14:paraId="5091D580" w14:textId="497CEB59" w:rsidR="00887E09" w:rsidRPr="00AF612D" w:rsidRDefault="00887E09" w:rsidP="00FD5CF1">
            <w:pPr>
              <w:keepNext/>
              <w:keepLines/>
              <w:spacing w:after="0"/>
              <w:jc w:val="center"/>
              <w:rPr>
                <w:rFonts w:ascii="Calibri" w:eastAsia="Times New Roman" w:hAnsi="Calibri" w:cs="Calibri"/>
                <w:color w:val="000000"/>
                <w:sz w:val="20"/>
                <w:szCs w:val="20"/>
                <w:lang w:eastAsia="cs-CZ"/>
              </w:rPr>
            </w:pPr>
            <w:r>
              <w:rPr>
                <w:rFonts w:ascii="Calibri" w:eastAsia="Times New Roman" w:hAnsi="Calibri" w:cs="Calibri"/>
                <w:b/>
                <w:bCs/>
                <w:color w:val="BD2A33"/>
                <w:sz w:val="20"/>
                <w:szCs w:val="20"/>
                <w:lang w:eastAsia="cs-CZ"/>
              </w:rPr>
              <w:t>N</w:t>
            </w:r>
            <w:r w:rsidRPr="00C34854">
              <w:rPr>
                <w:rFonts w:ascii="Calibri" w:eastAsia="Times New Roman" w:hAnsi="Calibri" w:cs="Calibri"/>
                <w:b/>
                <w:bCs/>
                <w:color w:val="BD2A33"/>
                <w:sz w:val="20"/>
                <w:szCs w:val="20"/>
                <w:lang w:eastAsia="cs-CZ"/>
              </w:rPr>
              <w:t>e</w:t>
            </w:r>
          </w:p>
        </w:tc>
      </w:tr>
      <w:tr w:rsidR="00887E09" w:rsidRPr="00AF612D" w14:paraId="24E742C1" w14:textId="77777777" w:rsidTr="00927C9F">
        <w:trPr>
          <w:trHeight w:val="854"/>
        </w:trPr>
        <w:tc>
          <w:tcPr>
            <w:tcW w:w="648" w:type="dxa"/>
            <w:shd w:val="clear" w:color="auto" w:fill="auto"/>
            <w:textDirection w:val="btLr"/>
            <w:vAlign w:val="center"/>
            <w:hideMark/>
          </w:tcPr>
          <w:p w14:paraId="112943B3" w14:textId="1EDEE929" w:rsidR="00887E09" w:rsidRPr="00C9483A" w:rsidRDefault="007D525C" w:rsidP="00FD5CF1">
            <w:pPr>
              <w:keepNext/>
              <w:keepLines/>
              <w:spacing w:after="0"/>
              <w:jc w:val="center"/>
              <w:rPr>
                <w:rFonts w:ascii="Calibri" w:eastAsia="Times New Roman" w:hAnsi="Calibri" w:cs="Calibri"/>
                <w:iCs/>
                <w:color w:val="000000"/>
                <w:sz w:val="20"/>
                <w:szCs w:val="20"/>
                <w:lang w:eastAsia="cs-CZ"/>
              </w:rPr>
            </w:pPr>
            <w:r>
              <w:rPr>
                <w:rFonts w:ascii="Calibri" w:eastAsia="Times New Roman" w:hAnsi="Calibri" w:cs="Calibri"/>
                <w:iCs/>
                <w:color w:val="000000"/>
                <w:sz w:val="20"/>
                <w:szCs w:val="20"/>
                <w:lang w:eastAsia="cs-CZ"/>
              </w:rPr>
              <w:t>S</w:t>
            </w:r>
            <w:r w:rsidR="00887E09" w:rsidRPr="00C9483A">
              <w:rPr>
                <w:rFonts w:ascii="Calibri" w:eastAsia="Times New Roman" w:hAnsi="Calibri" w:cs="Calibri"/>
                <w:iCs/>
                <w:color w:val="000000"/>
                <w:sz w:val="20"/>
                <w:szCs w:val="20"/>
                <w:lang w:eastAsia="cs-CZ"/>
              </w:rPr>
              <w:t xml:space="preserve">leva </w:t>
            </w:r>
            <w:r w:rsidR="00887E09" w:rsidRPr="00C9483A">
              <w:rPr>
                <w:rFonts w:ascii="Calibri" w:eastAsia="Times New Roman" w:hAnsi="Calibri" w:cs="Calibri"/>
                <w:iCs/>
                <w:color w:val="000000"/>
                <w:sz w:val="20"/>
                <w:szCs w:val="20"/>
                <w:lang w:eastAsia="cs-CZ"/>
              </w:rPr>
              <w:br/>
              <w:t>na dani</w:t>
            </w:r>
          </w:p>
        </w:tc>
        <w:tc>
          <w:tcPr>
            <w:tcW w:w="1152" w:type="dxa"/>
            <w:shd w:val="clear" w:color="auto" w:fill="auto"/>
            <w:noWrap/>
            <w:vAlign w:val="center"/>
            <w:hideMark/>
          </w:tcPr>
          <w:p w14:paraId="7716E704" w14:textId="77777777" w:rsidR="00887E09" w:rsidRPr="00AF612D" w:rsidRDefault="00887E09" w:rsidP="00FD5CF1">
            <w:pPr>
              <w:keepNext/>
              <w:keepLines/>
              <w:spacing w:after="0"/>
              <w:jc w:val="left"/>
              <w:rPr>
                <w:rFonts w:ascii="Calibri" w:eastAsia="Times New Roman" w:hAnsi="Calibri" w:cs="Calibri"/>
                <w:color w:val="000000"/>
                <w:sz w:val="20"/>
                <w:szCs w:val="20"/>
                <w:lang w:eastAsia="cs-CZ"/>
              </w:rPr>
            </w:pPr>
            <w:r w:rsidRPr="00AF612D">
              <w:rPr>
                <w:rFonts w:ascii="Calibri" w:eastAsia="Times New Roman" w:hAnsi="Calibri" w:cs="Calibri"/>
                <w:color w:val="000000"/>
                <w:sz w:val="20"/>
                <w:szCs w:val="20"/>
                <w:lang w:eastAsia="cs-CZ"/>
              </w:rPr>
              <w:t xml:space="preserve">§ 12 </w:t>
            </w:r>
          </w:p>
        </w:tc>
        <w:tc>
          <w:tcPr>
            <w:tcW w:w="5568" w:type="dxa"/>
            <w:shd w:val="clear" w:color="auto" w:fill="auto"/>
            <w:vAlign w:val="center"/>
            <w:hideMark/>
          </w:tcPr>
          <w:p w14:paraId="44A97F1C" w14:textId="68A39D4A" w:rsidR="00887E09" w:rsidRPr="00AF612D" w:rsidRDefault="007D525C" w:rsidP="00FD5CF1">
            <w:pPr>
              <w:keepNext/>
              <w:keepLines/>
              <w:spacing w:after="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S</w:t>
            </w:r>
            <w:r w:rsidR="00887E09" w:rsidRPr="00AF612D">
              <w:rPr>
                <w:rFonts w:ascii="Calibri" w:eastAsia="Times New Roman" w:hAnsi="Calibri" w:cs="Calibri"/>
                <w:color w:val="000000"/>
                <w:sz w:val="20"/>
                <w:szCs w:val="20"/>
                <w:lang w:eastAsia="cs-CZ"/>
              </w:rPr>
              <w:t>leva na dani u kombinované přepravy</w:t>
            </w:r>
          </w:p>
        </w:tc>
        <w:tc>
          <w:tcPr>
            <w:tcW w:w="1689" w:type="dxa"/>
            <w:shd w:val="clear" w:color="000000" w:fill="FFFFFF"/>
            <w:noWrap/>
            <w:hideMark/>
          </w:tcPr>
          <w:p w14:paraId="4DCF4DC4" w14:textId="1B1B4D96" w:rsidR="00887E09" w:rsidRPr="00AF612D" w:rsidRDefault="00887E09" w:rsidP="00FD5CF1">
            <w:pPr>
              <w:keepNext/>
              <w:keepLines/>
              <w:spacing w:after="0"/>
              <w:jc w:val="center"/>
              <w:rPr>
                <w:rFonts w:ascii="Calibri" w:eastAsia="Times New Roman" w:hAnsi="Calibri" w:cs="Calibri"/>
                <w:color w:val="000000"/>
                <w:sz w:val="20"/>
                <w:szCs w:val="20"/>
                <w:lang w:eastAsia="cs-CZ"/>
              </w:rPr>
            </w:pPr>
            <w:r>
              <w:rPr>
                <w:rFonts w:ascii="Calibri" w:eastAsia="Times New Roman" w:hAnsi="Calibri" w:cs="Calibri"/>
                <w:b/>
                <w:bCs/>
                <w:color w:val="BD2A33"/>
                <w:sz w:val="20"/>
                <w:szCs w:val="20"/>
                <w:lang w:eastAsia="cs-CZ"/>
              </w:rPr>
              <w:t>N</w:t>
            </w:r>
            <w:r w:rsidRPr="00C34854">
              <w:rPr>
                <w:rFonts w:ascii="Calibri" w:eastAsia="Times New Roman" w:hAnsi="Calibri" w:cs="Calibri"/>
                <w:b/>
                <w:bCs/>
                <w:color w:val="BD2A33"/>
                <w:sz w:val="20"/>
                <w:szCs w:val="20"/>
                <w:lang w:eastAsia="cs-CZ"/>
              </w:rPr>
              <w:t>e</w:t>
            </w:r>
            <w:r w:rsidRPr="00887E09">
              <w:rPr>
                <w:rFonts w:ascii="Calibri" w:eastAsia="Times New Roman" w:hAnsi="Calibri" w:cs="Calibri"/>
                <w:bCs/>
                <w:sz w:val="20"/>
                <w:szCs w:val="20"/>
                <w:lang w:eastAsia="cs-CZ"/>
              </w:rPr>
              <w:t>;</w:t>
            </w:r>
            <w:r w:rsidRPr="00887E09">
              <w:rPr>
                <w:rFonts w:ascii="Calibri" w:eastAsia="Times New Roman" w:hAnsi="Calibri" w:cs="Calibri"/>
                <w:b/>
                <w:bCs/>
                <w:sz w:val="20"/>
                <w:szCs w:val="20"/>
                <w:lang w:eastAsia="cs-CZ"/>
              </w:rPr>
              <w:t xml:space="preserve"> </w:t>
            </w:r>
            <w:r w:rsidRPr="00AF612D">
              <w:rPr>
                <w:rFonts w:ascii="Calibri" w:eastAsia="Times New Roman" w:hAnsi="Calibri" w:cs="Calibri"/>
                <w:color w:val="000000"/>
                <w:sz w:val="20"/>
                <w:szCs w:val="20"/>
                <w:lang w:eastAsia="cs-CZ"/>
              </w:rPr>
              <w:t>přepravní doklady</w:t>
            </w:r>
          </w:p>
        </w:tc>
      </w:tr>
    </w:tbl>
    <w:p w14:paraId="5DDC1321" w14:textId="67D60017" w:rsidR="007D525C" w:rsidRDefault="003C2E03" w:rsidP="00227654">
      <w:pPr>
        <w:keepNext/>
        <w:keepLines/>
        <w:spacing w:after="0"/>
        <w:rPr>
          <w:iCs/>
          <w:sz w:val="20"/>
          <w:szCs w:val="20"/>
        </w:rPr>
      </w:pPr>
      <w:r w:rsidRPr="001E6BA0">
        <w:rPr>
          <w:iCs/>
          <w:sz w:val="20"/>
          <w:szCs w:val="20"/>
        </w:rPr>
        <w:t xml:space="preserve">Zdroj: GFŘ, FÚ JMK a FÚ KHK, </w:t>
      </w:r>
      <w:r w:rsidR="002026FF">
        <w:rPr>
          <w:iCs/>
          <w:sz w:val="20"/>
          <w:szCs w:val="20"/>
        </w:rPr>
        <w:t>ZDS</w:t>
      </w:r>
      <w:r w:rsidR="007D525C">
        <w:rPr>
          <w:iCs/>
          <w:sz w:val="20"/>
          <w:szCs w:val="20"/>
        </w:rPr>
        <w:t>;</w:t>
      </w:r>
      <w:r w:rsidRPr="001E6BA0">
        <w:rPr>
          <w:iCs/>
          <w:sz w:val="20"/>
          <w:szCs w:val="20"/>
        </w:rPr>
        <w:t xml:space="preserve"> vlastní zpracování NKÚ.</w:t>
      </w:r>
      <w:r>
        <w:rPr>
          <w:iCs/>
          <w:sz w:val="20"/>
          <w:szCs w:val="20"/>
        </w:rPr>
        <w:t xml:space="preserve"> </w:t>
      </w:r>
    </w:p>
    <w:p w14:paraId="3B20F13F" w14:textId="6D4B4F4B" w:rsidR="00FE4CA8" w:rsidRDefault="003C2E03" w:rsidP="00E6473E">
      <w:pPr>
        <w:keepNext/>
        <w:keepLines/>
        <w:spacing w:after="160"/>
      </w:pPr>
      <w:r>
        <w:rPr>
          <w:iCs/>
          <w:sz w:val="20"/>
          <w:szCs w:val="20"/>
        </w:rPr>
        <w:t xml:space="preserve">Pozn.: Mimo výše uvedené </w:t>
      </w:r>
      <w:r w:rsidR="00D90C81">
        <w:rPr>
          <w:iCs/>
          <w:sz w:val="20"/>
          <w:szCs w:val="20"/>
        </w:rPr>
        <w:t>úlevy</w:t>
      </w:r>
      <w:r>
        <w:rPr>
          <w:iCs/>
          <w:sz w:val="20"/>
          <w:szCs w:val="20"/>
        </w:rPr>
        <w:t xml:space="preserve"> obsahuje RSV i další technické údaje, které jsou rovněž součástí </w:t>
      </w:r>
      <w:r w:rsidR="00CF220F">
        <w:rPr>
          <w:iCs/>
          <w:sz w:val="20"/>
          <w:szCs w:val="20"/>
        </w:rPr>
        <w:t>daňového přiznání</w:t>
      </w:r>
      <w:r>
        <w:rPr>
          <w:iCs/>
          <w:sz w:val="20"/>
          <w:szCs w:val="20"/>
        </w:rPr>
        <w:t xml:space="preserve"> k DSL a slouží pro stanovení správné výše DSL, </w:t>
      </w:r>
      <w:r w:rsidR="0005287E">
        <w:rPr>
          <w:iCs/>
          <w:sz w:val="20"/>
          <w:szCs w:val="20"/>
        </w:rPr>
        <w:t xml:space="preserve">viz </w:t>
      </w:r>
      <w:r w:rsidR="00A1421B">
        <w:rPr>
          <w:iCs/>
          <w:sz w:val="20"/>
          <w:szCs w:val="20"/>
        </w:rPr>
        <w:t>p</w:t>
      </w:r>
      <w:r w:rsidR="0005287E">
        <w:rPr>
          <w:iCs/>
          <w:sz w:val="20"/>
          <w:szCs w:val="20"/>
        </w:rPr>
        <w:t>říloha 2.</w:t>
      </w:r>
    </w:p>
    <w:p w14:paraId="3031E485" w14:textId="049F5F66" w:rsidR="00FE4CA8" w:rsidRDefault="00871F09" w:rsidP="00FE4CA8">
      <w:pPr>
        <w:pStyle w:val="Normlnweb"/>
        <w:shd w:val="clear" w:color="auto" w:fill="FFFFFF"/>
        <w:spacing w:before="0" w:beforeAutospacing="0" w:after="120" w:afterAutospacing="0"/>
        <w:jc w:val="both"/>
        <w:rPr>
          <w:rFonts w:asciiTheme="minorHAnsi" w:hAnsiTheme="minorHAnsi" w:cstheme="minorHAnsi"/>
          <w:b/>
          <w:iCs/>
        </w:rPr>
      </w:pPr>
      <w:r>
        <w:rPr>
          <w:rFonts w:asciiTheme="minorHAnsi" w:hAnsiTheme="minorHAnsi" w:cstheme="minorHAnsi"/>
          <w:b/>
          <w:iCs/>
        </w:rPr>
        <w:t>Do roku 2020 nedošlo ke z</w:t>
      </w:r>
      <w:r w:rsidR="00FE4CA8">
        <w:rPr>
          <w:rFonts w:asciiTheme="minorHAnsi" w:hAnsiTheme="minorHAnsi" w:cstheme="minorHAnsi"/>
          <w:b/>
          <w:iCs/>
        </w:rPr>
        <w:t xml:space="preserve">jednodušení </w:t>
      </w:r>
      <w:r w:rsidR="00FE4CA8" w:rsidRPr="00227654">
        <w:rPr>
          <w:rFonts w:asciiTheme="minorHAnsi" w:hAnsiTheme="minorHAnsi" w:cstheme="minorHAnsi"/>
          <w:b/>
          <w:iCs/>
        </w:rPr>
        <w:t>administra</w:t>
      </w:r>
      <w:r w:rsidR="000A2DB6" w:rsidRPr="00227654">
        <w:rPr>
          <w:rFonts w:asciiTheme="minorHAnsi" w:hAnsiTheme="minorHAnsi" w:cstheme="minorHAnsi"/>
          <w:b/>
          <w:iCs/>
        </w:rPr>
        <w:t>ce daně</w:t>
      </w:r>
      <w:r w:rsidR="00FE4CA8" w:rsidRPr="00227654">
        <w:rPr>
          <w:rFonts w:asciiTheme="minorHAnsi" w:hAnsiTheme="minorHAnsi" w:cstheme="minorHAnsi"/>
          <w:b/>
          <w:iCs/>
        </w:rPr>
        <w:t xml:space="preserve"> prostřednictvím</w:t>
      </w:r>
      <w:r w:rsidR="00FE4CA8">
        <w:rPr>
          <w:rFonts w:asciiTheme="minorHAnsi" w:hAnsiTheme="minorHAnsi" w:cstheme="minorHAnsi"/>
          <w:b/>
          <w:iCs/>
        </w:rPr>
        <w:t xml:space="preserve"> využití </w:t>
      </w:r>
      <w:r>
        <w:rPr>
          <w:rFonts w:asciiTheme="minorHAnsi" w:hAnsiTheme="minorHAnsi" w:cstheme="minorHAnsi"/>
          <w:b/>
          <w:iCs/>
        </w:rPr>
        <w:t>elektronizace daňových tvrzení.</w:t>
      </w:r>
      <w:r w:rsidR="00FE4CA8">
        <w:rPr>
          <w:rFonts w:asciiTheme="minorHAnsi" w:hAnsiTheme="minorHAnsi" w:cstheme="minorHAnsi"/>
          <w:b/>
          <w:iCs/>
        </w:rPr>
        <w:t xml:space="preserve"> </w:t>
      </w:r>
    </w:p>
    <w:p w14:paraId="4C42454D" w14:textId="20454573" w:rsidR="00FE4CA8" w:rsidRPr="00086D31" w:rsidRDefault="00A8096C" w:rsidP="00FE4CA8">
      <w:pPr>
        <w:pStyle w:val="Normlnweb"/>
        <w:shd w:val="clear" w:color="auto" w:fill="FFFFFF"/>
        <w:spacing w:before="0" w:beforeAutospacing="0" w:after="120" w:afterAutospacing="0"/>
        <w:jc w:val="both"/>
        <w:rPr>
          <w:rFonts w:asciiTheme="minorHAnsi" w:hAnsiTheme="minorHAnsi" w:cstheme="minorHAnsi"/>
          <w:b/>
          <w:iCs/>
        </w:rPr>
      </w:pPr>
      <w:r>
        <w:rPr>
          <w:rFonts w:asciiTheme="minorHAnsi" w:hAnsiTheme="minorHAnsi" w:cstheme="minorHAnsi"/>
          <w:iCs/>
        </w:rPr>
        <w:t xml:space="preserve">Z materiálu </w:t>
      </w:r>
      <w:r w:rsidRPr="00227654">
        <w:rPr>
          <w:rFonts w:asciiTheme="minorHAnsi" w:hAnsiTheme="minorHAnsi" w:cstheme="minorHAnsi"/>
          <w:i/>
          <w:iCs/>
        </w:rPr>
        <w:t>Strategie rozvoje Finanční správy ČR</w:t>
      </w:r>
      <w:r>
        <w:rPr>
          <w:rFonts w:asciiTheme="minorHAnsi" w:hAnsiTheme="minorHAnsi" w:cstheme="minorHAnsi"/>
          <w:iCs/>
        </w:rPr>
        <w:t xml:space="preserve"> vyplývá, že d</w:t>
      </w:r>
      <w:r w:rsidR="00FE4CA8" w:rsidRPr="00FE4CA8">
        <w:rPr>
          <w:rFonts w:asciiTheme="minorHAnsi" w:hAnsiTheme="minorHAnsi" w:cstheme="minorHAnsi"/>
          <w:iCs/>
        </w:rPr>
        <w:t xml:space="preserve">o správy </w:t>
      </w:r>
      <w:r w:rsidR="007D525C">
        <w:rPr>
          <w:rFonts w:asciiTheme="minorHAnsi" w:hAnsiTheme="minorHAnsi" w:cstheme="minorHAnsi"/>
          <w:iCs/>
        </w:rPr>
        <w:t>DSL</w:t>
      </w:r>
      <w:r w:rsidR="00FE4CA8" w:rsidRPr="00FE4CA8">
        <w:rPr>
          <w:rFonts w:asciiTheme="minorHAnsi" w:hAnsiTheme="minorHAnsi" w:cstheme="minorHAnsi"/>
          <w:iCs/>
        </w:rPr>
        <w:t xml:space="preserve"> by měly být aplikovány prvky, které zabezpečí maximální míru automatizace procesů správy daně silniční a povedou ke zjednodušení její správy jak na straně daňových subjektů, tak správců daně. K tomu by měl sloužit portál </w:t>
      </w:r>
      <w:r w:rsidR="00FE4CA8" w:rsidRPr="00227654">
        <w:rPr>
          <w:rFonts w:asciiTheme="minorHAnsi" w:hAnsiTheme="minorHAnsi" w:cstheme="minorHAnsi"/>
          <w:i/>
          <w:iCs/>
        </w:rPr>
        <w:t>MOJE daně</w:t>
      </w:r>
      <w:r w:rsidR="00FE4CA8" w:rsidRPr="00FE4CA8">
        <w:rPr>
          <w:rFonts w:asciiTheme="minorHAnsi" w:hAnsiTheme="minorHAnsi" w:cstheme="minorHAnsi"/>
          <w:iCs/>
        </w:rPr>
        <w:t xml:space="preserve"> s prvky předvyplnění údajů pro podání daňového tvrzení a aplikace samovyměření daně silniční. </w:t>
      </w:r>
      <w:r w:rsidR="00FE4CA8" w:rsidRPr="00086D31">
        <w:rPr>
          <w:rFonts w:asciiTheme="minorHAnsi" w:hAnsiTheme="minorHAnsi" w:cstheme="minorHAnsi"/>
          <w:b/>
          <w:iCs/>
        </w:rPr>
        <w:t>Na přípravě jejich realizace se GFŘ a MF v době ukončení kontroly NKÚ podílel</w:t>
      </w:r>
      <w:r w:rsidR="00EF50D2">
        <w:rPr>
          <w:rFonts w:asciiTheme="minorHAnsi" w:hAnsiTheme="minorHAnsi" w:cstheme="minorHAnsi"/>
          <w:b/>
          <w:iCs/>
        </w:rPr>
        <w:t>y</w:t>
      </w:r>
      <w:r w:rsidR="00FE4CA8" w:rsidRPr="00086D31">
        <w:rPr>
          <w:rFonts w:asciiTheme="minorHAnsi" w:hAnsiTheme="minorHAnsi" w:cstheme="minorHAnsi"/>
          <w:b/>
          <w:iCs/>
        </w:rPr>
        <w:t xml:space="preserve">. </w:t>
      </w:r>
    </w:p>
    <w:p w14:paraId="1AF42407" w14:textId="2F32100B" w:rsidR="00871F09" w:rsidRPr="00CD3C72" w:rsidRDefault="00FE4CA8" w:rsidP="00FE4CA8">
      <w:pPr>
        <w:rPr>
          <w:b/>
        </w:rPr>
      </w:pPr>
      <w:r>
        <w:t xml:space="preserve">Prostřednictvím portálu </w:t>
      </w:r>
      <w:r w:rsidRPr="00227654">
        <w:rPr>
          <w:i/>
        </w:rPr>
        <w:t>MOJE daně</w:t>
      </w:r>
      <w:r>
        <w:t xml:space="preserve"> je možné přistupovat do online finančního úřadu, tj. do </w:t>
      </w:r>
      <w:r w:rsidR="00227654" w:rsidRPr="00227654">
        <w:rPr>
          <w:i/>
        </w:rPr>
        <w:t>D</w:t>
      </w:r>
      <w:r w:rsidR="000A2DB6" w:rsidRPr="00227654">
        <w:rPr>
          <w:i/>
        </w:rPr>
        <w:t>aňové informační schránky</w:t>
      </w:r>
      <w:r w:rsidR="00227654" w:rsidRPr="00227654">
        <w:rPr>
          <w:i/>
        </w:rPr>
        <w:t xml:space="preserve"> plus</w:t>
      </w:r>
      <w:r w:rsidR="000A2DB6">
        <w:t xml:space="preserve"> (</w:t>
      </w:r>
      <w:r>
        <w:t>DIS+</w:t>
      </w:r>
      <w:r w:rsidR="000A2DB6">
        <w:t>)</w:t>
      </w:r>
      <w:r w:rsidR="00EF50D2">
        <w:t>,</w:t>
      </w:r>
      <w:r>
        <w:t xml:space="preserve"> a využívat jeho funkcionality</w:t>
      </w:r>
      <w:r w:rsidR="00EF50D2">
        <w:t>,</w:t>
      </w:r>
      <w:r>
        <w:t xml:space="preserve"> např. přihlášení bez uznávaného el. podpisu či datové schránky,</w:t>
      </w:r>
      <w:r w:rsidRPr="00A64C59">
        <w:t xml:space="preserve"> </w:t>
      </w:r>
      <w:r>
        <w:t>p</w:t>
      </w:r>
      <w:r w:rsidRPr="005E2958">
        <w:t>řihlášení pře</w:t>
      </w:r>
      <w:r>
        <w:t>s</w:t>
      </w:r>
      <w:r w:rsidRPr="005E2958">
        <w:t xml:space="preserve"> tz</w:t>
      </w:r>
      <w:r>
        <w:t>v</w:t>
      </w:r>
      <w:r w:rsidRPr="005E2958">
        <w:t xml:space="preserve">. </w:t>
      </w:r>
      <w:r>
        <w:t>e</w:t>
      </w:r>
      <w:r w:rsidR="00EF50D2">
        <w:t>-</w:t>
      </w:r>
      <w:r w:rsidRPr="005E2958">
        <w:t>identitu</w:t>
      </w:r>
      <w:r>
        <w:t xml:space="preserve"> a předvyplnění údajů o daňovém přiznání z podaného daňového přiznání k DSL z předchozího roku. </w:t>
      </w:r>
      <w:r w:rsidR="00CD3C72" w:rsidRPr="00CD3C72">
        <w:rPr>
          <w:b/>
        </w:rPr>
        <w:t xml:space="preserve">NKÚ </w:t>
      </w:r>
      <w:r w:rsidR="00EF50D2" w:rsidRPr="00CD3C72">
        <w:rPr>
          <w:b/>
        </w:rPr>
        <w:t xml:space="preserve">však </w:t>
      </w:r>
      <w:r w:rsidR="00CD3C72" w:rsidRPr="00CD3C72">
        <w:rPr>
          <w:b/>
        </w:rPr>
        <w:t>zjistil, že předvyplněné</w:t>
      </w:r>
      <w:r w:rsidRPr="00CD3C72">
        <w:rPr>
          <w:b/>
        </w:rPr>
        <w:t xml:space="preserve"> údaje </w:t>
      </w:r>
      <w:r w:rsidR="002C63EA" w:rsidRPr="00CD3C72">
        <w:rPr>
          <w:b/>
        </w:rPr>
        <w:t>byly</w:t>
      </w:r>
      <w:r w:rsidRPr="00CD3C72">
        <w:rPr>
          <w:b/>
        </w:rPr>
        <w:t xml:space="preserve"> údaje tvrzené daňovým subjektem</w:t>
      </w:r>
      <w:r w:rsidR="00F30C3C">
        <w:rPr>
          <w:b/>
        </w:rPr>
        <w:t>,</w:t>
      </w:r>
      <w:r w:rsidRPr="00CD3C72">
        <w:rPr>
          <w:b/>
        </w:rPr>
        <w:t xml:space="preserve"> nikoliv </w:t>
      </w:r>
      <w:r w:rsidR="00FB2079">
        <w:rPr>
          <w:b/>
        </w:rPr>
        <w:t xml:space="preserve">údaje </w:t>
      </w:r>
      <w:r w:rsidRPr="00CD3C72">
        <w:rPr>
          <w:b/>
        </w:rPr>
        <w:t>po ověření správcem daně.</w:t>
      </w:r>
    </w:p>
    <w:p w14:paraId="0E884C6E" w14:textId="4D781977" w:rsidR="00871F09" w:rsidRPr="00871F09" w:rsidRDefault="00871F09" w:rsidP="00871F09">
      <w:pPr>
        <w:rPr>
          <w:rFonts w:cstheme="minorHAnsi"/>
        </w:rPr>
      </w:pPr>
      <w:r w:rsidRPr="00871F09">
        <w:rPr>
          <w:b/>
        </w:rPr>
        <w:t>Registr silničních vozidel obsahuje chybné záznamy a tím ztěžuje správu daně silniční.</w:t>
      </w:r>
    </w:p>
    <w:p w14:paraId="77156C25" w14:textId="1855E03D" w:rsidR="000F738E" w:rsidRPr="004B5001" w:rsidRDefault="000F738E" w:rsidP="000F738E">
      <w:pPr>
        <w:spacing w:before="120"/>
        <w:rPr>
          <w:rFonts w:cstheme="minorHAnsi"/>
        </w:rPr>
      </w:pPr>
      <w:r>
        <w:rPr>
          <w:lang w:eastAsia="cs-CZ"/>
        </w:rPr>
        <w:t xml:space="preserve">Registr silničních vozidel </w:t>
      </w:r>
      <w:r w:rsidRPr="004B5001">
        <w:rPr>
          <w:rFonts w:cstheme="minorHAnsi"/>
        </w:rPr>
        <w:t>je informačním systémem veřejné správy podle zákona č.</w:t>
      </w:r>
      <w:r w:rsidR="000513FF">
        <w:rPr>
          <w:rFonts w:cstheme="minorHAnsi"/>
        </w:rPr>
        <w:t> </w:t>
      </w:r>
      <w:r w:rsidRPr="004B5001">
        <w:rPr>
          <w:rFonts w:cstheme="minorHAnsi"/>
        </w:rPr>
        <w:t>365/2000</w:t>
      </w:r>
      <w:r w:rsidR="000513FF">
        <w:rPr>
          <w:rFonts w:cstheme="minorHAnsi"/>
        </w:rPr>
        <w:t> </w:t>
      </w:r>
      <w:r w:rsidRPr="004B5001">
        <w:rPr>
          <w:rFonts w:cstheme="minorHAnsi"/>
        </w:rPr>
        <w:t>Sb.</w:t>
      </w:r>
      <w:r w:rsidR="00495FD1">
        <w:rPr>
          <w:rStyle w:val="Znakapoznpodarou"/>
          <w:rFonts w:cstheme="minorHAnsi"/>
        </w:rPr>
        <w:footnoteReference w:id="22"/>
      </w:r>
      <w:r w:rsidRPr="004B5001">
        <w:rPr>
          <w:rFonts w:cstheme="minorHAnsi"/>
        </w:rPr>
        <w:t xml:space="preserve"> </w:t>
      </w:r>
      <w:r w:rsidR="00815406">
        <w:rPr>
          <w:rFonts w:cstheme="minorHAnsi"/>
        </w:rPr>
        <w:t xml:space="preserve">a </w:t>
      </w:r>
      <w:r w:rsidRPr="004B5001">
        <w:rPr>
          <w:rFonts w:cstheme="minorHAnsi"/>
        </w:rPr>
        <w:t xml:space="preserve">od roku 2012 </w:t>
      </w:r>
      <w:r w:rsidR="00815406">
        <w:rPr>
          <w:rFonts w:cstheme="minorHAnsi"/>
        </w:rPr>
        <w:t xml:space="preserve">jej spravuje </w:t>
      </w:r>
      <w:r w:rsidRPr="004B5001">
        <w:rPr>
          <w:rFonts w:cstheme="minorHAnsi"/>
        </w:rPr>
        <w:t>Ministerstvo dopravy. R</w:t>
      </w:r>
      <w:r>
        <w:rPr>
          <w:rFonts w:cstheme="minorHAnsi"/>
        </w:rPr>
        <w:t xml:space="preserve">egistr silničních vozidel </w:t>
      </w:r>
      <w:r>
        <w:rPr>
          <w:lang w:eastAsia="cs-CZ"/>
        </w:rPr>
        <w:t>obsahuje</w:t>
      </w:r>
      <w:r w:rsidR="00444FEC">
        <w:rPr>
          <w:lang w:eastAsia="cs-CZ"/>
        </w:rPr>
        <w:t xml:space="preserve"> evidenci </w:t>
      </w:r>
      <w:r>
        <w:rPr>
          <w:lang w:eastAsia="cs-CZ"/>
        </w:rPr>
        <w:t>údaj</w:t>
      </w:r>
      <w:r w:rsidR="00444FEC">
        <w:rPr>
          <w:lang w:eastAsia="cs-CZ"/>
        </w:rPr>
        <w:t>ů</w:t>
      </w:r>
      <w:r>
        <w:rPr>
          <w:lang w:eastAsia="cs-CZ"/>
        </w:rPr>
        <w:t xml:space="preserve"> </w:t>
      </w:r>
      <w:r w:rsidR="00A15448">
        <w:rPr>
          <w:lang w:eastAsia="cs-CZ"/>
        </w:rPr>
        <w:t>stanovených</w:t>
      </w:r>
      <w:r>
        <w:rPr>
          <w:lang w:eastAsia="cs-CZ"/>
        </w:rPr>
        <w:t xml:space="preserve"> v § 4 odst. 1 až 5</w:t>
      </w:r>
      <w:r w:rsidR="00A15448">
        <w:rPr>
          <w:lang w:eastAsia="cs-CZ"/>
        </w:rPr>
        <w:t xml:space="preserve"> </w:t>
      </w:r>
      <w:r>
        <w:rPr>
          <w:lang w:eastAsia="cs-CZ"/>
        </w:rPr>
        <w:t>zákona č. 56/2001 Sb.</w:t>
      </w:r>
      <w:r w:rsidRPr="004B5001">
        <w:rPr>
          <w:rFonts w:cstheme="minorHAnsi"/>
        </w:rPr>
        <w:t xml:space="preserve"> a také ve vyhlášce č.</w:t>
      </w:r>
      <w:r w:rsidR="000513FF">
        <w:rPr>
          <w:rFonts w:cstheme="minorHAnsi"/>
        </w:rPr>
        <w:t> </w:t>
      </w:r>
      <w:r w:rsidRPr="004B5001">
        <w:rPr>
          <w:rFonts w:cstheme="minorHAnsi"/>
        </w:rPr>
        <w:t>343/2014</w:t>
      </w:r>
      <w:r w:rsidR="000513FF">
        <w:rPr>
          <w:rFonts w:cstheme="minorHAnsi"/>
        </w:rPr>
        <w:t> </w:t>
      </w:r>
      <w:r w:rsidRPr="004B5001">
        <w:rPr>
          <w:rFonts w:cstheme="minorHAnsi"/>
        </w:rPr>
        <w:t xml:space="preserve">Sb., o registraci vozidel (zejména § 9 až § 16). </w:t>
      </w:r>
    </w:p>
    <w:p w14:paraId="0BE2CD57" w14:textId="2E8EFB7B" w:rsidR="000F738E" w:rsidRDefault="000513FF" w:rsidP="000F738E">
      <w:pPr>
        <w:rPr>
          <w:lang w:eastAsia="cs-CZ"/>
        </w:rPr>
      </w:pPr>
      <w:r>
        <w:t>V RSV bylo k 31.</w:t>
      </w:r>
      <w:r w:rsidR="002C63EA">
        <w:t xml:space="preserve"> </w:t>
      </w:r>
      <w:r>
        <w:t>12.</w:t>
      </w:r>
      <w:r w:rsidR="002C63EA">
        <w:t xml:space="preserve"> </w:t>
      </w:r>
      <w:r>
        <w:t xml:space="preserve">2020 registrováno 8 512 458 vozidel. </w:t>
      </w:r>
      <w:r w:rsidR="000F738E">
        <w:rPr>
          <w:lang w:eastAsia="cs-CZ"/>
        </w:rPr>
        <w:t xml:space="preserve">NKÚ si vyžádal výstup z RSV </w:t>
      </w:r>
      <w:r w:rsidR="007B1292">
        <w:rPr>
          <w:lang w:eastAsia="cs-CZ"/>
        </w:rPr>
        <w:br/>
      </w:r>
      <w:r w:rsidR="000F738E">
        <w:rPr>
          <w:lang w:eastAsia="cs-CZ"/>
        </w:rPr>
        <w:t>za veškerá podnikatelská vozidla (</w:t>
      </w:r>
      <w:r>
        <w:rPr>
          <w:lang w:eastAsia="cs-CZ"/>
        </w:rPr>
        <w:t>tj. k 10.</w:t>
      </w:r>
      <w:r w:rsidR="002C63EA">
        <w:rPr>
          <w:lang w:eastAsia="cs-CZ"/>
        </w:rPr>
        <w:t xml:space="preserve"> </w:t>
      </w:r>
      <w:r>
        <w:rPr>
          <w:lang w:eastAsia="cs-CZ"/>
        </w:rPr>
        <w:t>6.</w:t>
      </w:r>
      <w:r w:rsidR="002C63EA">
        <w:rPr>
          <w:lang w:eastAsia="cs-CZ"/>
        </w:rPr>
        <w:t xml:space="preserve"> </w:t>
      </w:r>
      <w:r>
        <w:rPr>
          <w:lang w:eastAsia="cs-CZ"/>
        </w:rPr>
        <w:t xml:space="preserve">2021 to bylo 2 264 126 záznamů v RSV, </w:t>
      </w:r>
      <w:r w:rsidR="000F738E">
        <w:rPr>
          <w:lang w:eastAsia="cs-CZ"/>
        </w:rPr>
        <w:t xml:space="preserve">provozovatelem je fyzická či právnická osoba zapsaná ve formě identifikačního čísla osoby (IČO) v technickém průkazu vozidla). </w:t>
      </w:r>
    </w:p>
    <w:p w14:paraId="16EC4CDD" w14:textId="7D2DDE63" w:rsidR="000F738E" w:rsidRPr="00512BCE" w:rsidRDefault="000F738E" w:rsidP="000F738E">
      <w:pPr>
        <w:rPr>
          <w:lang w:eastAsia="cs-CZ"/>
        </w:rPr>
      </w:pPr>
      <w:r w:rsidRPr="00622254">
        <w:rPr>
          <w:b/>
          <w:lang w:eastAsia="cs-CZ"/>
        </w:rPr>
        <w:t>NKÚ zjistil, že zápisy v</w:t>
      </w:r>
      <w:r w:rsidR="00444FEC">
        <w:rPr>
          <w:b/>
          <w:lang w:eastAsia="cs-CZ"/>
        </w:rPr>
        <w:t> </w:t>
      </w:r>
      <w:r w:rsidRPr="00622254">
        <w:rPr>
          <w:b/>
          <w:lang w:eastAsia="cs-CZ"/>
        </w:rPr>
        <w:t>RSV</w:t>
      </w:r>
      <w:r w:rsidR="00444FEC">
        <w:rPr>
          <w:b/>
          <w:lang w:eastAsia="cs-CZ"/>
        </w:rPr>
        <w:t>, které potřebuje správce daně pro zjištění a ověření informací, které uvedl daňový subjekt v daňovém přiznání,</w:t>
      </w:r>
      <w:r w:rsidRPr="00622254">
        <w:rPr>
          <w:b/>
          <w:lang w:eastAsia="cs-CZ"/>
        </w:rPr>
        <w:t xml:space="preserve"> obsahovaly množství </w:t>
      </w:r>
      <w:r w:rsidR="000513FF">
        <w:rPr>
          <w:b/>
          <w:lang w:eastAsia="cs-CZ"/>
        </w:rPr>
        <w:t>chybných záznamů</w:t>
      </w:r>
      <w:r>
        <w:rPr>
          <w:b/>
          <w:lang w:eastAsia="cs-CZ"/>
        </w:rPr>
        <w:t xml:space="preserve">. </w:t>
      </w:r>
      <w:r w:rsidRPr="001A10E8">
        <w:rPr>
          <w:b/>
          <w:lang w:eastAsia="cs-CZ"/>
        </w:rPr>
        <w:t>Nejčastěji se objevovaly chyby: nemožnost zjistit součet nejvyšších povolených hmotností na nápravu u návěsů</w:t>
      </w:r>
      <w:r w:rsidR="00815406">
        <w:rPr>
          <w:b/>
          <w:lang w:eastAsia="cs-CZ"/>
        </w:rPr>
        <w:t>,</w:t>
      </w:r>
      <w:r w:rsidRPr="001A10E8">
        <w:rPr>
          <w:b/>
          <w:lang w:eastAsia="cs-CZ"/>
        </w:rPr>
        <w:t xml:space="preserve"> </w:t>
      </w:r>
      <w:r w:rsidR="00815406">
        <w:rPr>
          <w:b/>
          <w:lang w:eastAsia="cs-CZ"/>
        </w:rPr>
        <w:t xml:space="preserve">dále </w:t>
      </w:r>
      <w:r w:rsidRPr="001A10E8">
        <w:rPr>
          <w:b/>
          <w:lang w:eastAsia="cs-CZ"/>
        </w:rPr>
        <w:t xml:space="preserve">chybný počet náprav u nákladních automobilů a tahačů a </w:t>
      </w:r>
      <w:r w:rsidR="00815406">
        <w:rPr>
          <w:b/>
          <w:lang w:eastAsia="cs-CZ"/>
        </w:rPr>
        <w:t xml:space="preserve">také </w:t>
      </w:r>
      <w:r w:rsidRPr="001A10E8">
        <w:rPr>
          <w:b/>
          <w:lang w:eastAsia="cs-CZ"/>
        </w:rPr>
        <w:t xml:space="preserve">neurčité </w:t>
      </w:r>
      <w:r w:rsidRPr="004E1125">
        <w:rPr>
          <w:b/>
          <w:lang w:eastAsia="cs-CZ"/>
        </w:rPr>
        <w:t>stáří vozidel, viz</w:t>
      </w:r>
      <w:r w:rsidR="00E923B6">
        <w:rPr>
          <w:b/>
          <w:lang w:eastAsia="cs-CZ"/>
        </w:rPr>
        <w:t xml:space="preserve"> graf 2</w:t>
      </w:r>
      <w:r w:rsidRPr="004E1125">
        <w:rPr>
          <w:b/>
          <w:lang w:eastAsia="cs-CZ"/>
        </w:rPr>
        <w:t>.</w:t>
      </w:r>
      <w:r w:rsidRPr="001A10E8">
        <w:rPr>
          <w:b/>
          <w:lang w:eastAsia="cs-CZ"/>
        </w:rPr>
        <w:t xml:space="preserve"> </w:t>
      </w:r>
      <w:r w:rsidRPr="001A10E8">
        <w:rPr>
          <w:lang w:eastAsia="cs-CZ"/>
        </w:rPr>
        <w:t xml:space="preserve">Souhrn zjištěných </w:t>
      </w:r>
      <w:r w:rsidR="000513FF">
        <w:rPr>
          <w:lang w:eastAsia="cs-CZ"/>
        </w:rPr>
        <w:t>chybných záznamů</w:t>
      </w:r>
      <w:r w:rsidRPr="001A10E8">
        <w:rPr>
          <w:lang w:eastAsia="cs-CZ"/>
        </w:rPr>
        <w:t xml:space="preserve">, které obsahoval RSV v požadovaném </w:t>
      </w:r>
      <w:r w:rsidRPr="00177500">
        <w:rPr>
          <w:lang w:eastAsia="cs-CZ"/>
        </w:rPr>
        <w:t xml:space="preserve">výstupu, </w:t>
      </w:r>
      <w:r w:rsidR="008974FB">
        <w:rPr>
          <w:lang w:eastAsia="cs-CZ"/>
        </w:rPr>
        <w:t xml:space="preserve">uvádí </w:t>
      </w:r>
      <w:r w:rsidR="00A1421B">
        <w:rPr>
          <w:lang w:eastAsia="cs-CZ"/>
        </w:rPr>
        <w:t>p</w:t>
      </w:r>
      <w:r w:rsidR="008974FB">
        <w:rPr>
          <w:lang w:eastAsia="cs-CZ"/>
        </w:rPr>
        <w:t>říloha 3.</w:t>
      </w:r>
    </w:p>
    <w:p w14:paraId="024D6DFD" w14:textId="44B7C397" w:rsidR="000F738E" w:rsidRDefault="000F738E" w:rsidP="000F738E">
      <w:pPr>
        <w:pStyle w:val="Normlnweb"/>
        <w:keepNext/>
        <w:keepLines/>
        <w:spacing w:after="0" w:afterAutospacing="0"/>
        <w:rPr>
          <w:rFonts w:asciiTheme="minorHAnsi" w:hAnsiTheme="minorHAnsi" w:cstheme="minorHAnsi"/>
          <w:b/>
        </w:rPr>
      </w:pPr>
      <w:bookmarkStart w:id="17" w:name="_Ref89353947"/>
      <w:r w:rsidRPr="00C560C1">
        <w:rPr>
          <w:rFonts w:asciiTheme="minorHAnsi" w:hAnsiTheme="minorHAnsi" w:cstheme="minorHAnsi"/>
          <w:b/>
        </w:rPr>
        <w:t xml:space="preserve">Graf </w:t>
      </w:r>
      <w:r w:rsidRPr="00C560C1">
        <w:rPr>
          <w:rFonts w:asciiTheme="minorHAnsi" w:hAnsiTheme="minorHAnsi" w:cstheme="minorHAnsi"/>
          <w:b/>
        </w:rPr>
        <w:fldChar w:fldCharType="begin"/>
      </w:r>
      <w:r w:rsidRPr="00C560C1">
        <w:rPr>
          <w:rFonts w:asciiTheme="minorHAnsi" w:hAnsiTheme="minorHAnsi" w:cstheme="minorHAnsi"/>
          <w:b/>
        </w:rPr>
        <w:instrText xml:space="preserve"> SEQ Graf \* ARABIC </w:instrText>
      </w:r>
      <w:r w:rsidRPr="00C560C1">
        <w:rPr>
          <w:rFonts w:asciiTheme="minorHAnsi" w:hAnsiTheme="minorHAnsi" w:cstheme="minorHAnsi"/>
          <w:b/>
        </w:rPr>
        <w:fldChar w:fldCharType="separate"/>
      </w:r>
      <w:r w:rsidR="00500A1C">
        <w:rPr>
          <w:rFonts w:asciiTheme="minorHAnsi" w:hAnsiTheme="minorHAnsi" w:cstheme="minorHAnsi"/>
          <w:b/>
          <w:noProof/>
        </w:rPr>
        <w:t>2</w:t>
      </w:r>
      <w:r w:rsidRPr="00C560C1">
        <w:rPr>
          <w:rFonts w:asciiTheme="minorHAnsi" w:hAnsiTheme="minorHAnsi" w:cstheme="minorHAnsi"/>
          <w:b/>
        </w:rPr>
        <w:fldChar w:fldCharType="end"/>
      </w:r>
      <w:bookmarkEnd w:id="17"/>
      <w:r w:rsidR="00E01508">
        <w:rPr>
          <w:rFonts w:asciiTheme="minorHAnsi" w:hAnsiTheme="minorHAnsi" w:cstheme="minorHAnsi"/>
          <w:b/>
        </w:rPr>
        <w:t>:</w:t>
      </w:r>
      <w:r w:rsidRPr="00C560C1">
        <w:rPr>
          <w:rFonts w:asciiTheme="minorHAnsi" w:hAnsiTheme="minorHAnsi" w:cstheme="minorHAnsi"/>
          <w:b/>
        </w:rPr>
        <w:t xml:space="preserve"> Počet</w:t>
      </w:r>
      <w:r w:rsidRPr="0002581D">
        <w:rPr>
          <w:rFonts w:asciiTheme="minorHAnsi" w:hAnsiTheme="minorHAnsi" w:cstheme="minorHAnsi"/>
          <w:b/>
        </w:rPr>
        <w:t xml:space="preserve"> </w:t>
      </w:r>
      <w:r>
        <w:rPr>
          <w:rFonts w:asciiTheme="minorHAnsi" w:hAnsiTheme="minorHAnsi" w:cstheme="minorHAnsi"/>
          <w:b/>
        </w:rPr>
        <w:t xml:space="preserve">záznamů o </w:t>
      </w:r>
      <w:r w:rsidRPr="0002581D">
        <w:rPr>
          <w:rFonts w:asciiTheme="minorHAnsi" w:hAnsiTheme="minorHAnsi" w:cstheme="minorHAnsi"/>
          <w:b/>
        </w:rPr>
        <w:t>vozid</w:t>
      </w:r>
      <w:r>
        <w:rPr>
          <w:rFonts w:asciiTheme="minorHAnsi" w:hAnsiTheme="minorHAnsi" w:cstheme="minorHAnsi"/>
          <w:b/>
        </w:rPr>
        <w:t xml:space="preserve">lech </w:t>
      </w:r>
      <w:r w:rsidRPr="0002581D">
        <w:rPr>
          <w:rFonts w:asciiTheme="minorHAnsi" w:hAnsiTheme="minorHAnsi" w:cstheme="minorHAnsi"/>
          <w:b/>
        </w:rPr>
        <w:t>v RSV dle druhu k 10. 6. 2021</w:t>
      </w:r>
    </w:p>
    <w:p w14:paraId="6F81431F" w14:textId="3665D65D" w:rsidR="000F738E" w:rsidRDefault="000F738E" w:rsidP="000F738E">
      <w:pPr>
        <w:pStyle w:val="Normlnweb"/>
        <w:keepNext/>
        <w:keepLines/>
        <w:spacing w:before="0" w:beforeAutospacing="0" w:after="0" w:afterAutospacing="0"/>
      </w:pPr>
      <w:r w:rsidRPr="0002581D">
        <w:rPr>
          <w:rFonts w:asciiTheme="minorHAnsi" w:hAnsiTheme="minorHAnsi" w:cstheme="minorHAnsi"/>
          <w:b/>
          <w:noProof/>
        </w:rPr>
        <mc:AlternateContent>
          <mc:Choice Requires="wps">
            <w:drawing>
              <wp:anchor distT="45720" distB="45720" distL="114300" distR="114300" simplePos="0" relativeHeight="251694080" behindDoc="0" locked="0" layoutInCell="1" allowOverlap="1" wp14:anchorId="26E82738" wp14:editId="33355B06">
                <wp:simplePos x="0" y="0"/>
                <wp:positionH relativeFrom="column">
                  <wp:posOffset>3220720</wp:posOffset>
                </wp:positionH>
                <wp:positionV relativeFrom="paragraph">
                  <wp:posOffset>154962</wp:posOffset>
                </wp:positionV>
                <wp:extent cx="2624446" cy="1294410"/>
                <wp:effectExtent l="0" t="0" r="24130" b="2032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46" cy="1294410"/>
                        </a:xfrm>
                        <a:prstGeom prst="rect">
                          <a:avLst/>
                        </a:prstGeom>
                        <a:solidFill>
                          <a:srgbClr val="E5F1FF">
                            <a:alpha val="20000"/>
                          </a:srgbClr>
                        </a:solidFill>
                        <a:ln w="9525">
                          <a:solidFill>
                            <a:schemeClr val="bg1"/>
                          </a:solidFill>
                          <a:miter lim="800000"/>
                          <a:headEnd/>
                          <a:tailEnd/>
                        </a:ln>
                      </wps:spPr>
                      <wps:txbx>
                        <w:txbxContent>
                          <w:p w14:paraId="7625B532" w14:textId="77777777" w:rsidR="000E5F69" w:rsidRPr="005248DF" w:rsidRDefault="000E5F69" w:rsidP="00227654">
                            <w:pPr>
                              <w:pStyle w:val="Odstavecseseznamem"/>
                              <w:numPr>
                                <w:ilvl w:val="0"/>
                                <w:numId w:val="19"/>
                              </w:numPr>
                              <w:shd w:val="clear" w:color="auto" w:fill="E5F1FF"/>
                              <w:spacing w:after="0" w:line="259" w:lineRule="auto"/>
                              <w:jc w:val="left"/>
                              <w:rPr>
                                <w:sz w:val="20"/>
                                <w:szCs w:val="20"/>
                              </w:rPr>
                            </w:pPr>
                            <w:r w:rsidRPr="005248DF">
                              <w:rPr>
                                <w:sz w:val="20"/>
                                <w:szCs w:val="20"/>
                              </w:rPr>
                              <w:t>u</w:t>
                            </w:r>
                            <w:r w:rsidRPr="005248DF">
                              <w:rPr>
                                <w:b/>
                                <w:sz w:val="20"/>
                                <w:szCs w:val="20"/>
                              </w:rPr>
                              <w:t xml:space="preserve"> </w:t>
                            </w:r>
                            <w:r w:rsidRPr="005248DF">
                              <w:rPr>
                                <w:b/>
                                <w:color w:val="FF0000"/>
                                <w:sz w:val="20"/>
                                <w:szCs w:val="20"/>
                                <w:shd w:val="clear" w:color="auto" w:fill="E5F1FF"/>
                              </w:rPr>
                              <w:t>15,8 %</w:t>
                            </w:r>
                            <w:r w:rsidRPr="005248DF">
                              <w:rPr>
                                <w:color w:val="FF0000"/>
                                <w:sz w:val="20"/>
                                <w:szCs w:val="20"/>
                                <w:shd w:val="clear" w:color="auto" w:fill="E5F1FF"/>
                              </w:rPr>
                              <w:t xml:space="preserve"> </w:t>
                            </w:r>
                            <w:r w:rsidRPr="005248DF">
                              <w:rPr>
                                <w:sz w:val="20"/>
                                <w:szCs w:val="20"/>
                                <w:shd w:val="clear" w:color="auto" w:fill="E5F1FF"/>
                              </w:rPr>
                              <w:t xml:space="preserve">záznamů </w:t>
                            </w:r>
                            <w:r w:rsidRPr="005248DF">
                              <w:rPr>
                                <w:color w:val="FF0000"/>
                                <w:sz w:val="20"/>
                                <w:szCs w:val="20"/>
                                <w:shd w:val="clear" w:color="auto" w:fill="E5F1FF"/>
                              </w:rPr>
                              <w:t>nelze</w:t>
                            </w:r>
                            <w:r w:rsidRPr="005248DF">
                              <w:rPr>
                                <w:color w:val="FF0000"/>
                                <w:sz w:val="20"/>
                                <w:szCs w:val="20"/>
                              </w:rPr>
                              <w:t xml:space="preserve"> zjistit </w:t>
                            </w:r>
                            <w:r w:rsidRPr="005248DF">
                              <w:rPr>
                                <w:sz w:val="20"/>
                                <w:szCs w:val="20"/>
                              </w:rPr>
                              <w:t xml:space="preserve">součet povolených hmotností na nápravu </w:t>
                            </w:r>
                            <w:r w:rsidRPr="005248DF">
                              <w:rPr>
                                <w:sz w:val="20"/>
                                <w:szCs w:val="20"/>
                              </w:rPr>
                              <w:br/>
                              <w:t>u návěsů;</w:t>
                            </w:r>
                          </w:p>
                          <w:p w14:paraId="1FA536E7" w14:textId="77777777" w:rsidR="000E5F69" w:rsidRPr="005248DF" w:rsidRDefault="000E5F69" w:rsidP="00227654">
                            <w:pPr>
                              <w:pStyle w:val="Odstavecseseznamem"/>
                              <w:numPr>
                                <w:ilvl w:val="0"/>
                                <w:numId w:val="19"/>
                              </w:numPr>
                              <w:shd w:val="clear" w:color="auto" w:fill="E5F1FF"/>
                              <w:spacing w:after="0" w:line="259" w:lineRule="auto"/>
                              <w:jc w:val="left"/>
                              <w:rPr>
                                <w:sz w:val="20"/>
                                <w:szCs w:val="20"/>
                              </w:rPr>
                            </w:pPr>
                            <w:r w:rsidRPr="005248DF">
                              <w:rPr>
                                <w:sz w:val="20"/>
                                <w:szCs w:val="20"/>
                              </w:rPr>
                              <w:t>u</w:t>
                            </w:r>
                            <w:r w:rsidRPr="005248DF">
                              <w:rPr>
                                <w:b/>
                                <w:sz w:val="20"/>
                                <w:szCs w:val="20"/>
                              </w:rPr>
                              <w:t xml:space="preserve"> </w:t>
                            </w:r>
                            <w:r w:rsidRPr="005248DF">
                              <w:rPr>
                                <w:b/>
                                <w:color w:val="FF0000"/>
                                <w:sz w:val="20"/>
                                <w:szCs w:val="20"/>
                                <w:shd w:val="clear" w:color="auto" w:fill="E5F1FF"/>
                              </w:rPr>
                              <w:t>7,4 %</w:t>
                            </w:r>
                            <w:r w:rsidRPr="005248DF">
                              <w:rPr>
                                <w:color w:val="FF0000"/>
                                <w:sz w:val="20"/>
                                <w:szCs w:val="20"/>
                                <w:shd w:val="clear" w:color="auto" w:fill="E5F1FF"/>
                              </w:rPr>
                              <w:t xml:space="preserve"> </w:t>
                            </w:r>
                            <w:r w:rsidRPr="005248DF">
                              <w:rPr>
                                <w:sz w:val="20"/>
                                <w:szCs w:val="20"/>
                                <w:shd w:val="clear" w:color="auto" w:fill="E5F1FF"/>
                              </w:rPr>
                              <w:t xml:space="preserve">záznamů </w:t>
                            </w:r>
                            <w:r w:rsidRPr="005248DF">
                              <w:rPr>
                                <w:color w:val="FF0000"/>
                                <w:sz w:val="20"/>
                                <w:szCs w:val="20"/>
                                <w:shd w:val="clear" w:color="auto" w:fill="E5F1FF"/>
                              </w:rPr>
                              <w:t xml:space="preserve">je chybně uveden </w:t>
                            </w:r>
                            <w:r w:rsidRPr="005248DF">
                              <w:rPr>
                                <w:sz w:val="20"/>
                                <w:szCs w:val="20"/>
                                <w:shd w:val="clear" w:color="auto" w:fill="E5F1FF"/>
                              </w:rPr>
                              <w:t>počet náprav u nákladních automobilů</w:t>
                            </w:r>
                            <w:r w:rsidRPr="005248DF">
                              <w:rPr>
                                <w:sz w:val="20"/>
                                <w:szCs w:val="20"/>
                              </w:rPr>
                              <w:t xml:space="preserve"> a tahačů;</w:t>
                            </w:r>
                          </w:p>
                          <w:p w14:paraId="2037F996" w14:textId="77777777" w:rsidR="000E5F69" w:rsidRPr="005248DF" w:rsidRDefault="000E5F69" w:rsidP="00227654">
                            <w:pPr>
                              <w:pStyle w:val="Odstavecseseznamem"/>
                              <w:numPr>
                                <w:ilvl w:val="0"/>
                                <w:numId w:val="19"/>
                              </w:numPr>
                              <w:shd w:val="clear" w:color="auto" w:fill="E5F1FF"/>
                              <w:spacing w:line="259" w:lineRule="auto"/>
                              <w:jc w:val="left"/>
                              <w:rPr>
                                <w:sz w:val="20"/>
                                <w:szCs w:val="20"/>
                              </w:rPr>
                            </w:pPr>
                            <w:r w:rsidRPr="005248DF">
                              <w:rPr>
                                <w:sz w:val="20"/>
                                <w:szCs w:val="20"/>
                              </w:rPr>
                              <w:t xml:space="preserve">u </w:t>
                            </w:r>
                            <w:r w:rsidRPr="005248DF">
                              <w:rPr>
                                <w:b/>
                                <w:color w:val="FF0000"/>
                                <w:sz w:val="20"/>
                                <w:szCs w:val="20"/>
                                <w:shd w:val="clear" w:color="auto" w:fill="E5F1FF"/>
                              </w:rPr>
                              <w:t>6,0 %</w:t>
                            </w:r>
                            <w:r w:rsidRPr="005248DF">
                              <w:rPr>
                                <w:color w:val="FF0000"/>
                                <w:sz w:val="20"/>
                                <w:szCs w:val="20"/>
                                <w:shd w:val="clear" w:color="auto" w:fill="E5F1FF"/>
                              </w:rPr>
                              <w:t xml:space="preserve"> </w:t>
                            </w:r>
                            <w:r w:rsidRPr="005248DF">
                              <w:rPr>
                                <w:sz w:val="20"/>
                                <w:szCs w:val="20"/>
                                <w:shd w:val="clear" w:color="auto" w:fill="E5F1FF"/>
                              </w:rPr>
                              <w:t xml:space="preserve">záznamů </w:t>
                            </w:r>
                            <w:r w:rsidRPr="005248DF">
                              <w:rPr>
                                <w:color w:val="FF0000"/>
                                <w:sz w:val="20"/>
                                <w:szCs w:val="20"/>
                                <w:shd w:val="clear" w:color="auto" w:fill="E5F1FF"/>
                              </w:rPr>
                              <w:t xml:space="preserve">nelze </w:t>
                            </w:r>
                            <w:r w:rsidRPr="005248DF">
                              <w:rPr>
                                <w:color w:val="FF0000"/>
                                <w:sz w:val="20"/>
                                <w:szCs w:val="20"/>
                              </w:rPr>
                              <w:t xml:space="preserve">určit </w:t>
                            </w:r>
                            <w:r w:rsidRPr="005248DF">
                              <w:rPr>
                                <w:sz w:val="20"/>
                                <w:szCs w:val="20"/>
                              </w:rPr>
                              <w:t>přesné stáří vozidel.</w:t>
                            </w:r>
                          </w:p>
                          <w:p w14:paraId="1E6EB5C7" w14:textId="77777777" w:rsidR="000E5F69" w:rsidRPr="00E45E6A" w:rsidRDefault="000E5F69" w:rsidP="000F738E">
                            <w:pPr>
                              <w:pStyle w:val="Odstavecseseznamem"/>
                              <w:numPr>
                                <w:ilvl w:val="0"/>
                                <w:numId w:val="19"/>
                              </w:numPr>
                              <w:shd w:val="clear" w:color="auto" w:fill="E5F1FF"/>
                              <w:spacing w:line="259"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82738" id="_x0000_t202" coordsize="21600,21600" o:spt="202" path="m,l,21600r21600,l21600,xe">
                <v:stroke joinstyle="miter"/>
                <v:path gradientshapeok="t" o:connecttype="rect"/>
              </v:shapetype>
              <v:shape id="Textové pole 2" o:spid="_x0000_s1026" type="#_x0000_t202" style="position:absolute;margin-left:253.6pt;margin-top:12.2pt;width:206.65pt;height:101.9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" fillcolor="#e5f1ff" strokecolor="white [3212]">
                <v:fill opacity="13107f"/>
                <v:textbox>
                  <w:txbxContent>
                    <w:p w14:paraId="7625B532" w14:textId="77777777" w:rsidR="000E5F69" w:rsidRPr="005248DF" w:rsidRDefault="000E5F69" w:rsidP="00227654">
                      <w:pPr>
                        <w:pStyle w:val="Odstavecseseznamem"/>
                        <w:numPr>
                          <w:ilvl w:val="0"/>
                          <w:numId w:val="19"/>
                        </w:numPr>
                        <w:shd w:val="clear" w:color="auto" w:fill="E5F1FF"/>
                        <w:spacing w:after="0" w:line="259" w:lineRule="auto"/>
                        <w:jc w:val="left"/>
                        <w:rPr>
                          <w:sz w:val="20"/>
                          <w:szCs w:val="20"/>
                        </w:rPr>
                      </w:pPr>
                      <w:r w:rsidRPr="005248DF">
                        <w:rPr>
                          <w:sz w:val="20"/>
                          <w:szCs w:val="20"/>
                        </w:rPr>
                        <w:t>u</w:t>
                      </w:r>
                      <w:r w:rsidRPr="005248DF">
                        <w:rPr>
                          <w:b/>
                          <w:sz w:val="20"/>
                          <w:szCs w:val="20"/>
                        </w:rPr>
                        <w:t xml:space="preserve"> </w:t>
                      </w:r>
                      <w:r w:rsidRPr="005248DF">
                        <w:rPr>
                          <w:b/>
                          <w:color w:val="FF0000"/>
                          <w:sz w:val="20"/>
                          <w:szCs w:val="20"/>
                          <w:shd w:val="clear" w:color="auto" w:fill="E5F1FF"/>
                        </w:rPr>
                        <w:t>15,8 %</w:t>
                      </w:r>
                      <w:r w:rsidRPr="005248DF">
                        <w:rPr>
                          <w:color w:val="FF0000"/>
                          <w:sz w:val="20"/>
                          <w:szCs w:val="20"/>
                          <w:shd w:val="clear" w:color="auto" w:fill="E5F1FF"/>
                        </w:rPr>
                        <w:t xml:space="preserve"> </w:t>
                      </w:r>
                      <w:r w:rsidRPr="005248DF">
                        <w:rPr>
                          <w:sz w:val="20"/>
                          <w:szCs w:val="20"/>
                          <w:shd w:val="clear" w:color="auto" w:fill="E5F1FF"/>
                        </w:rPr>
                        <w:t xml:space="preserve">záznamů </w:t>
                      </w:r>
                      <w:r w:rsidRPr="005248DF">
                        <w:rPr>
                          <w:color w:val="FF0000"/>
                          <w:sz w:val="20"/>
                          <w:szCs w:val="20"/>
                          <w:shd w:val="clear" w:color="auto" w:fill="E5F1FF"/>
                        </w:rPr>
                        <w:t>nelze</w:t>
                      </w:r>
                      <w:r w:rsidRPr="005248DF">
                        <w:rPr>
                          <w:color w:val="FF0000"/>
                          <w:sz w:val="20"/>
                          <w:szCs w:val="20"/>
                        </w:rPr>
                        <w:t xml:space="preserve"> zjistit </w:t>
                      </w:r>
                      <w:r w:rsidRPr="005248DF">
                        <w:rPr>
                          <w:sz w:val="20"/>
                          <w:szCs w:val="20"/>
                        </w:rPr>
                        <w:t xml:space="preserve">součet povolených hmotností na nápravu </w:t>
                      </w:r>
                      <w:r w:rsidRPr="005248DF">
                        <w:rPr>
                          <w:sz w:val="20"/>
                          <w:szCs w:val="20"/>
                        </w:rPr>
                        <w:br/>
                        <w:t>u návěsů;</w:t>
                      </w:r>
                    </w:p>
                    <w:p w14:paraId="1FA536E7" w14:textId="77777777" w:rsidR="000E5F69" w:rsidRPr="005248DF" w:rsidRDefault="000E5F69" w:rsidP="00227654">
                      <w:pPr>
                        <w:pStyle w:val="Odstavecseseznamem"/>
                        <w:numPr>
                          <w:ilvl w:val="0"/>
                          <w:numId w:val="19"/>
                        </w:numPr>
                        <w:shd w:val="clear" w:color="auto" w:fill="E5F1FF"/>
                        <w:spacing w:after="0" w:line="259" w:lineRule="auto"/>
                        <w:jc w:val="left"/>
                        <w:rPr>
                          <w:sz w:val="20"/>
                          <w:szCs w:val="20"/>
                        </w:rPr>
                      </w:pPr>
                      <w:r w:rsidRPr="005248DF">
                        <w:rPr>
                          <w:sz w:val="20"/>
                          <w:szCs w:val="20"/>
                        </w:rPr>
                        <w:t>u</w:t>
                      </w:r>
                      <w:r w:rsidRPr="005248DF">
                        <w:rPr>
                          <w:b/>
                          <w:sz w:val="20"/>
                          <w:szCs w:val="20"/>
                        </w:rPr>
                        <w:t xml:space="preserve"> </w:t>
                      </w:r>
                      <w:r w:rsidRPr="005248DF">
                        <w:rPr>
                          <w:b/>
                          <w:color w:val="FF0000"/>
                          <w:sz w:val="20"/>
                          <w:szCs w:val="20"/>
                          <w:shd w:val="clear" w:color="auto" w:fill="E5F1FF"/>
                        </w:rPr>
                        <w:t>7,4 %</w:t>
                      </w:r>
                      <w:r w:rsidRPr="005248DF">
                        <w:rPr>
                          <w:color w:val="FF0000"/>
                          <w:sz w:val="20"/>
                          <w:szCs w:val="20"/>
                          <w:shd w:val="clear" w:color="auto" w:fill="E5F1FF"/>
                        </w:rPr>
                        <w:t xml:space="preserve"> </w:t>
                      </w:r>
                      <w:r w:rsidRPr="005248DF">
                        <w:rPr>
                          <w:sz w:val="20"/>
                          <w:szCs w:val="20"/>
                          <w:shd w:val="clear" w:color="auto" w:fill="E5F1FF"/>
                        </w:rPr>
                        <w:t xml:space="preserve">záznamů </w:t>
                      </w:r>
                      <w:r w:rsidRPr="005248DF">
                        <w:rPr>
                          <w:color w:val="FF0000"/>
                          <w:sz w:val="20"/>
                          <w:szCs w:val="20"/>
                          <w:shd w:val="clear" w:color="auto" w:fill="E5F1FF"/>
                        </w:rPr>
                        <w:t xml:space="preserve">je chybně uveden </w:t>
                      </w:r>
                      <w:r w:rsidRPr="005248DF">
                        <w:rPr>
                          <w:sz w:val="20"/>
                          <w:szCs w:val="20"/>
                          <w:shd w:val="clear" w:color="auto" w:fill="E5F1FF"/>
                        </w:rPr>
                        <w:t>počet náprav u nákladních automobilů</w:t>
                      </w:r>
                      <w:r w:rsidRPr="005248DF">
                        <w:rPr>
                          <w:sz w:val="20"/>
                          <w:szCs w:val="20"/>
                        </w:rPr>
                        <w:t xml:space="preserve"> a tahačů;</w:t>
                      </w:r>
                    </w:p>
                    <w:p w14:paraId="2037F996" w14:textId="77777777" w:rsidR="000E5F69" w:rsidRPr="005248DF" w:rsidRDefault="000E5F69" w:rsidP="00227654">
                      <w:pPr>
                        <w:pStyle w:val="Odstavecseseznamem"/>
                        <w:numPr>
                          <w:ilvl w:val="0"/>
                          <w:numId w:val="19"/>
                        </w:numPr>
                        <w:shd w:val="clear" w:color="auto" w:fill="E5F1FF"/>
                        <w:spacing w:line="259" w:lineRule="auto"/>
                        <w:jc w:val="left"/>
                        <w:rPr>
                          <w:sz w:val="20"/>
                          <w:szCs w:val="20"/>
                        </w:rPr>
                      </w:pPr>
                      <w:r w:rsidRPr="005248DF">
                        <w:rPr>
                          <w:sz w:val="20"/>
                          <w:szCs w:val="20"/>
                        </w:rPr>
                        <w:t xml:space="preserve">u </w:t>
                      </w:r>
                      <w:r w:rsidRPr="005248DF">
                        <w:rPr>
                          <w:b/>
                          <w:color w:val="FF0000"/>
                          <w:sz w:val="20"/>
                          <w:szCs w:val="20"/>
                          <w:shd w:val="clear" w:color="auto" w:fill="E5F1FF"/>
                        </w:rPr>
                        <w:t>6,0 %</w:t>
                      </w:r>
                      <w:r w:rsidRPr="005248DF">
                        <w:rPr>
                          <w:color w:val="FF0000"/>
                          <w:sz w:val="20"/>
                          <w:szCs w:val="20"/>
                          <w:shd w:val="clear" w:color="auto" w:fill="E5F1FF"/>
                        </w:rPr>
                        <w:t xml:space="preserve"> </w:t>
                      </w:r>
                      <w:r w:rsidRPr="005248DF">
                        <w:rPr>
                          <w:sz w:val="20"/>
                          <w:szCs w:val="20"/>
                          <w:shd w:val="clear" w:color="auto" w:fill="E5F1FF"/>
                        </w:rPr>
                        <w:t xml:space="preserve">záznamů </w:t>
                      </w:r>
                      <w:r w:rsidRPr="005248DF">
                        <w:rPr>
                          <w:color w:val="FF0000"/>
                          <w:sz w:val="20"/>
                          <w:szCs w:val="20"/>
                          <w:shd w:val="clear" w:color="auto" w:fill="E5F1FF"/>
                        </w:rPr>
                        <w:t xml:space="preserve">nelze </w:t>
                      </w:r>
                      <w:r w:rsidRPr="005248DF">
                        <w:rPr>
                          <w:color w:val="FF0000"/>
                          <w:sz w:val="20"/>
                          <w:szCs w:val="20"/>
                        </w:rPr>
                        <w:t xml:space="preserve">určit </w:t>
                      </w:r>
                      <w:r w:rsidRPr="005248DF">
                        <w:rPr>
                          <w:sz w:val="20"/>
                          <w:szCs w:val="20"/>
                        </w:rPr>
                        <w:t>přesné stáří vozidel.</w:t>
                      </w:r>
                    </w:p>
                    <w:p w14:paraId="1E6EB5C7" w14:textId="77777777" w:rsidR="000E5F69" w:rsidRPr="00E45E6A" w:rsidRDefault="000E5F69" w:rsidP="000F738E">
                      <w:pPr>
                        <w:pStyle w:val="Odstavecseseznamem"/>
                        <w:numPr>
                          <w:ilvl w:val="0"/>
                          <w:numId w:val="19"/>
                        </w:numPr>
                        <w:shd w:val="clear" w:color="auto" w:fill="E5F1FF"/>
                        <w:spacing w:line="259" w:lineRule="auto"/>
                        <w:rPr>
                          <w:sz w:val="20"/>
                          <w:szCs w:val="20"/>
                        </w:rPr>
                      </w:pPr>
                    </w:p>
                  </w:txbxContent>
                </v:textbox>
              </v:shape>
            </w:pict>
          </mc:Fallback>
        </mc:AlternateContent>
      </w:r>
      <w:r w:rsidR="002F1BDE">
        <w:rPr>
          <w:noProof/>
        </w:rPr>
        <w:drawing>
          <wp:inline distT="0" distB="0" distL="0" distR="0" wp14:anchorId="7BDD6F92" wp14:editId="49E23AD4">
            <wp:extent cx="5759450" cy="1948873"/>
            <wp:effectExtent l="0" t="0" r="0" b="0"/>
            <wp:docPr id="2" name="Graf 2">
              <a:extLst xmlns:a="http://schemas.openxmlformats.org/drawingml/2006/main">
                <a:ext uri="{FF2B5EF4-FFF2-40B4-BE49-F238E27FC236}">
                  <a16:creationId xmlns:a16="http://schemas.microsoft.com/office/drawing/2014/main" id="{65DCD591-85F3-4385-8813-4C283CE392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F8EFA7" w14:textId="6FE1DF95" w:rsidR="000F738E" w:rsidRPr="007902BA" w:rsidRDefault="000F738E" w:rsidP="00A43D64">
      <w:pPr>
        <w:pStyle w:val="Normlnweb"/>
        <w:widowControl w:val="0"/>
        <w:spacing w:before="0" w:beforeAutospacing="0"/>
        <w:rPr>
          <w:rFonts w:asciiTheme="minorHAnsi" w:hAnsiTheme="minorHAnsi" w:cstheme="minorHAnsi"/>
        </w:rPr>
      </w:pPr>
      <w:r w:rsidRPr="007902BA">
        <w:rPr>
          <w:rFonts w:asciiTheme="minorHAnsi" w:hAnsiTheme="minorHAnsi" w:cstheme="minorHAnsi"/>
          <w:sz w:val="20"/>
          <w:szCs w:val="20"/>
        </w:rPr>
        <w:t xml:space="preserve">Zdroj: </w:t>
      </w:r>
      <w:r>
        <w:rPr>
          <w:rFonts w:asciiTheme="minorHAnsi" w:hAnsiTheme="minorHAnsi" w:cstheme="minorHAnsi"/>
          <w:sz w:val="20"/>
          <w:szCs w:val="20"/>
        </w:rPr>
        <w:t>MD</w:t>
      </w:r>
      <w:r w:rsidR="00815406">
        <w:rPr>
          <w:rFonts w:asciiTheme="minorHAnsi" w:hAnsiTheme="minorHAnsi" w:cstheme="minorHAnsi"/>
          <w:sz w:val="20"/>
          <w:szCs w:val="20"/>
        </w:rPr>
        <w:t>;</w:t>
      </w:r>
      <w:r w:rsidRPr="007902BA">
        <w:rPr>
          <w:rFonts w:asciiTheme="minorHAnsi" w:hAnsiTheme="minorHAnsi" w:cstheme="minorHAnsi"/>
          <w:sz w:val="20"/>
          <w:szCs w:val="20"/>
        </w:rPr>
        <w:t xml:space="preserve"> vlastní zpracování NKÚ</w:t>
      </w:r>
      <w:r>
        <w:rPr>
          <w:rFonts w:asciiTheme="minorHAnsi" w:hAnsiTheme="minorHAnsi" w:cstheme="minorHAnsi"/>
          <w:sz w:val="20"/>
          <w:szCs w:val="20"/>
        </w:rPr>
        <w:t>.</w:t>
      </w:r>
    </w:p>
    <w:p w14:paraId="050EC019" w14:textId="474B46FF" w:rsidR="000F738E" w:rsidRDefault="002449F9" w:rsidP="000F738E">
      <w:pPr>
        <w:rPr>
          <w:rFonts w:cstheme="minorHAnsi"/>
        </w:rPr>
      </w:pPr>
      <w:r w:rsidRPr="004731ED">
        <w:rPr>
          <w:rFonts w:cstheme="minorHAnsi"/>
          <w:b/>
        </w:rPr>
        <w:t xml:space="preserve">Podle zákona č. 56/2001 Sb. </w:t>
      </w:r>
      <w:r>
        <w:rPr>
          <w:rFonts w:cstheme="minorHAnsi"/>
          <w:b/>
        </w:rPr>
        <w:t>je</w:t>
      </w:r>
      <w:r w:rsidRPr="004731ED">
        <w:rPr>
          <w:rFonts w:cstheme="minorHAnsi"/>
          <w:b/>
        </w:rPr>
        <w:t xml:space="preserve"> </w:t>
      </w:r>
      <w:r>
        <w:rPr>
          <w:rFonts w:cstheme="minorHAnsi"/>
          <w:b/>
        </w:rPr>
        <w:t xml:space="preserve">MD </w:t>
      </w:r>
      <w:r w:rsidR="00A15448" w:rsidRPr="004731ED">
        <w:rPr>
          <w:rFonts w:cstheme="minorHAnsi"/>
          <w:b/>
        </w:rPr>
        <w:t xml:space="preserve">orgánem </w:t>
      </w:r>
      <w:r w:rsidRPr="004731ED">
        <w:rPr>
          <w:rFonts w:cstheme="minorHAnsi"/>
          <w:b/>
        </w:rPr>
        <w:t xml:space="preserve">zodpovědným za správnost a úplnost </w:t>
      </w:r>
      <w:r w:rsidR="00E10462" w:rsidRPr="004731ED">
        <w:rPr>
          <w:rFonts w:cstheme="minorHAnsi"/>
          <w:b/>
        </w:rPr>
        <w:t xml:space="preserve">údajů </w:t>
      </w:r>
      <w:r w:rsidRPr="004731ED">
        <w:rPr>
          <w:rFonts w:cstheme="minorHAnsi"/>
          <w:b/>
        </w:rPr>
        <w:t>poskytovaných</w:t>
      </w:r>
      <w:r w:rsidR="00E10462">
        <w:rPr>
          <w:rFonts w:cstheme="minorHAnsi"/>
          <w:b/>
        </w:rPr>
        <w:t xml:space="preserve"> z RSV</w:t>
      </w:r>
      <w:r>
        <w:rPr>
          <w:rFonts w:cstheme="minorHAnsi"/>
          <w:b/>
        </w:rPr>
        <w:t xml:space="preserve">. </w:t>
      </w:r>
      <w:r w:rsidR="000F738E" w:rsidRPr="0024633C">
        <w:rPr>
          <w:b/>
          <w:lang w:eastAsia="cs-CZ"/>
        </w:rPr>
        <w:t xml:space="preserve">NKÚ zjistil, že </w:t>
      </w:r>
      <w:r w:rsidR="000D0D6D">
        <w:rPr>
          <w:b/>
          <w:lang w:eastAsia="cs-CZ"/>
        </w:rPr>
        <w:t>chybné záznamy</w:t>
      </w:r>
      <w:r w:rsidR="000D0D6D" w:rsidRPr="0024633C">
        <w:rPr>
          <w:b/>
          <w:lang w:eastAsia="cs-CZ"/>
        </w:rPr>
        <w:t xml:space="preserve"> </w:t>
      </w:r>
      <w:r w:rsidR="000F738E" w:rsidRPr="0024633C">
        <w:rPr>
          <w:b/>
          <w:lang w:eastAsia="cs-CZ"/>
        </w:rPr>
        <w:t xml:space="preserve">MD aktivně </w:t>
      </w:r>
      <w:r>
        <w:rPr>
          <w:b/>
          <w:lang w:eastAsia="cs-CZ"/>
        </w:rPr>
        <w:t>ne</w:t>
      </w:r>
      <w:r w:rsidR="000F738E" w:rsidRPr="0024633C">
        <w:rPr>
          <w:b/>
          <w:lang w:eastAsia="cs-CZ"/>
        </w:rPr>
        <w:t>vyhledáv</w:t>
      </w:r>
      <w:r>
        <w:rPr>
          <w:b/>
          <w:lang w:eastAsia="cs-CZ"/>
        </w:rPr>
        <w:t>al</w:t>
      </w:r>
      <w:r w:rsidR="00E10462">
        <w:rPr>
          <w:b/>
          <w:lang w:eastAsia="cs-CZ"/>
        </w:rPr>
        <w:t>o</w:t>
      </w:r>
      <w:r w:rsidR="000F738E" w:rsidRPr="0024633C">
        <w:rPr>
          <w:b/>
          <w:lang w:eastAsia="cs-CZ"/>
        </w:rPr>
        <w:t xml:space="preserve">, </w:t>
      </w:r>
      <w:r>
        <w:rPr>
          <w:b/>
          <w:lang w:eastAsia="cs-CZ"/>
        </w:rPr>
        <w:t>ne</w:t>
      </w:r>
      <w:r w:rsidR="000F738E" w:rsidRPr="0024633C">
        <w:rPr>
          <w:b/>
          <w:lang w:eastAsia="cs-CZ"/>
        </w:rPr>
        <w:t>odstraňov</w:t>
      </w:r>
      <w:r>
        <w:rPr>
          <w:b/>
          <w:lang w:eastAsia="cs-CZ"/>
        </w:rPr>
        <w:t>al</w:t>
      </w:r>
      <w:r w:rsidR="00E10462">
        <w:rPr>
          <w:b/>
          <w:lang w:eastAsia="cs-CZ"/>
        </w:rPr>
        <w:t>o</w:t>
      </w:r>
      <w:r w:rsidR="000F738E" w:rsidRPr="0024633C">
        <w:rPr>
          <w:b/>
          <w:lang w:eastAsia="cs-CZ"/>
        </w:rPr>
        <w:t xml:space="preserve"> a ani pro tyto činnosti nenastavil</w:t>
      </w:r>
      <w:r w:rsidR="00E10462">
        <w:rPr>
          <w:b/>
          <w:lang w:eastAsia="cs-CZ"/>
        </w:rPr>
        <w:t>o</w:t>
      </w:r>
      <w:r w:rsidR="000F738E" w:rsidRPr="0024633C">
        <w:rPr>
          <w:b/>
          <w:lang w:eastAsia="cs-CZ"/>
        </w:rPr>
        <w:t xml:space="preserve"> postupy.</w:t>
      </w:r>
      <w:r w:rsidR="000F738E" w:rsidRPr="0024633C">
        <w:rPr>
          <w:rFonts w:cstheme="minorHAnsi"/>
          <w:b/>
        </w:rPr>
        <w:t xml:space="preserve"> MD jako správce RSV poskytuje data dalším subjektům (např. FS ČR, Policii ČR atd.).</w:t>
      </w:r>
      <w:r w:rsidR="000F738E" w:rsidRPr="004731ED">
        <w:rPr>
          <w:rFonts w:cstheme="minorHAnsi"/>
          <w:b/>
        </w:rPr>
        <w:t xml:space="preserve"> </w:t>
      </w:r>
    </w:p>
    <w:p w14:paraId="21EC3E2C" w14:textId="02901877" w:rsidR="000F738E" w:rsidRPr="006C682E" w:rsidRDefault="000F738E" w:rsidP="000F738E">
      <w:pPr>
        <w:rPr>
          <w:rFonts w:ascii="Calibri" w:hAnsi="Calibri" w:cs="Calibri"/>
        </w:rPr>
      </w:pPr>
      <w:r w:rsidRPr="00AE5E02">
        <w:rPr>
          <w:lang w:eastAsia="cs-CZ"/>
        </w:rPr>
        <w:t xml:space="preserve">Pracovníci úřadů obcí s rozšířenou působností by měli dle </w:t>
      </w:r>
      <w:r w:rsidR="008219BF">
        <w:rPr>
          <w:lang w:eastAsia="cs-CZ"/>
        </w:rPr>
        <w:t>metodiky</w:t>
      </w:r>
      <w:r w:rsidR="008219BF" w:rsidRPr="00AE5E02">
        <w:rPr>
          <w:lang w:eastAsia="cs-CZ"/>
        </w:rPr>
        <w:t xml:space="preserve"> </w:t>
      </w:r>
      <w:r w:rsidRPr="00AE5E02">
        <w:rPr>
          <w:lang w:eastAsia="cs-CZ"/>
        </w:rPr>
        <w:t xml:space="preserve">MD používat technické popisy zpřístupněné a automaticky vyplňované do RSV dle schváleného technického popisu. Schválený </w:t>
      </w:r>
      <w:r w:rsidRPr="004F4B90">
        <w:rPr>
          <w:lang w:eastAsia="cs-CZ"/>
        </w:rPr>
        <w:t xml:space="preserve">technický popis musí výrobce vozidla povinně vložit do informačního systému technických prohlídek. Přesto se v RSV objevují </w:t>
      </w:r>
      <w:r w:rsidR="00357930">
        <w:rPr>
          <w:lang w:eastAsia="cs-CZ"/>
        </w:rPr>
        <w:t>chybné záznamy</w:t>
      </w:r>
      <w:r w:rsidRPr="004F4B90">
        <w:rPr>
          <w:lang w:eastAsia="cs-CZ"/>
        </w:rPr>
        <w:t>, jejichž výskyt odůvodňuje MD mj. historickou skladbou migrovaných a vkládaných</w:t>
      </w:r>
      <w:r w:rsidRPr="007039D0">
        <w:rPr>
          <w:lang w:eastAsia="cs-CZ"/>
        </w:rPr>
        <w:t xml:space="preserve"> dat. Z materiálů </w:t>
      </w:r>
      <w:r w:rsidR="00A15448">
        <w:rPr>
          <w:lang w:eastAsia="cs-CZ"/>
        </w:rPr>
        <w:t>od</w:t>
      </w:r>
      <w:r w:rsidR="00A15448" w:rsidRPr="007039D0">
        <w:rPr>
          <w:lang w:eastAsia="cs-CZ"/>
        </w:rPr>
        <w:t xml:space="preserve"> </w:t>
      </w:r>
      <w:r w:rsidRPr="007039D0">
        <w:rPr>
          <w:lang w:eastAsia="cs-CZ"/>
        </w:rPr>
        <w:t xml:space="preserve">FÚ KHK </w:t>
      </w:r>
      <w:r w:rsidR="004D5F0E" w:rsidRPr="004D5F0E">
        <w:rPr>
          <w:b/>
          <w:lang w:eastAsia="cs-CZ"/>
        </w:rPr>
        <w:t>Nejvyšší kontrolní úřad</w:t>
      </w:r>
      <w:r w:rsidRPr="008A3FCC">
        <w:rPr>
          <w:b/>
          <w:lang w:eastAsia="cs-CZ"/>
        </w:rPr>
        <w:t xml:space="preserve"> zjistil, že i správci daně se setkáva</w:t>
      </w:r>
      <w:r w:rsidR="00F30C3C">
        <w:rPr>
          <w:b/>
          <w:lang w:eastAsia="cs-CZ"/>
        </w:rPr>
        <w:t xml:space="preserve">li </w:t>
      </w:r>
      <w:r w:rsidRPr="008A3FCC">
        <w:rPr>
          <w:b/>
          <w:lang w:eastAsia="cs-CZ"/>
        </w:rPr>
        <w:t xml:space="preserve">s tím, že údaje uvedené v technickém průkazu jsou odlišné od údajů získaných </w:t>
      </w:r>
      <w:r w:rsidR="004D5F0E">
        <w:rPr>
          <w:b/>
          <w:lang w:eastAsia="cs-CZ"/>
        </w:rPr>
        <w:t>z</w:t>
      </w:r>
      <w:r>
        <w:rPr>
          <w:b/>
          <w:lang w:eastAsia="cs-CZ"/>
        </w:rPr>
        <w:t> </w:t>
      </w:r>
      <w:r w:rsidRPr="008A3FCC">
        <w:rPr>
          <w:b/>
          <w:lang w:eastAsia="cs-CZ"/>
        </w:rPr>
        <w:t>RSV</w:t>
      </w:r>
      <w:r>
        <w:rPr>
          <w:b/>
          <w:lang w:eastAsia="cs-CZ"/>
        </w:rPr>
        <w:t>,</w:t>
      </w:r>
      <w:r w:rsidRPr="008A3FCC">
        <w:rPr>
          <w:b/>
          <w:lang w:eastAsia="cs-CZ"/>
        </w:rPr>
        <w:t xml:space="preserve"> např. chybně zapsané údaje, neuvedení záznamů o přestavbách vozidel, nesrozumitelné zápisy. </w:t>
      </w:r>
      <w:r w:rsidRPr="008A3FCC">
        <w:rPr>
          <w:b/>
        </w:rPr>
        <w:t xml:space="preserve">Na základě těchto nejasností </w:t>
      </w:r>
      <w:r>
        <w:rPr>
          <w:b/>
        </w:rPr>
        <w:t>mohl</w:t>
      </w:r>
      <w:r w:rsidRPr="008A3FCC">
        <w:rPr>
          <w:b/>
        </w:rPr>
        <w:t xml:space="preserve"> </w:t>
      </w:r>
      <w:r w:rsidR="004947F3">
        <w:rPr>
          <w:b/>
        </w:rPr>
        <w:t>správce daně</w:t>
      </w:r>
      <w:r w:rsidRPr="008A3FCC">
        <w:rPr>
          <w:b/>
        </w:rPr>
        <w:t xml:space="preserve"> </w:t>
      </w:r>
      <w:r>
        <w:rPr>
          <w:b/>
        </w:rPr>
        <w:t xml:space="preserve">vyzvat daňový subjekt </w:t>
      </w:r>
      <w:r w:rsidRPr="008A3FCC">
        <w:rPr>
          <w:b/>
        </w:rPr>
        <w:t xml:space="preserve">k podání </w:t>
      </w:r>
      <w:r>
        <w:rPr>
          <w:b/>
        </w:rPr>
        <w:t xml:space="preserve">daňového přiznání </w:t>
      </w:r>
      <w:r w:rsidRPr="008A3FCC">
        <w:rPr>
          <w:b/>
        </w:rPr>
        <w:t>k</w:t>
      </w:r>
      <w:r>
        <w:rPr>
          <w:b/>
        </w:rPr>
        <w:t> dani silniční,</w:t>
      </w:r>
      <w:r w:rsidRPr="008A3FCC">
        <w:rPr>
          <w:b/>
        </w:rPr>
        <w:t xml:space="preserve"> dodatečného </w:t>
      </w:r>
      <w:r w:rsidR="00CF220F">
        <w:rPr>
          <w:b/>
        </w:rPr>
        <w:t>daňového přiznání</w:t>
      </w:r>
      <w:r w:rsidRPr="008A3FCC">
        <w:rPr>
          <w:b/>
        </w:rPr>
        <w:t xml:space="preserve"> k</w:t>
      </w:r>
      <w:r w:rsidR="004D5F0E">
        <w:rPr>
          <w:b/>
        </w:rPr>
        <w:t> </w:t>
      </w:r>
      <w:r w:rsidRPr="008A3FCC">
        <w:rPr>
          <w:b/>
        </w:rPr>
        <w:t>DSL</w:t>
      </w:r>
      <w:r w:rsidR="004D5F0E">
        <w:rPr>
          <w:b/>
        </w:rPr>
        <w:t>,</w:t>
      </w:r>
      <w:r w:rsidRPr="008A3FCC">
        <w:rPr>
          <w:b/>
        </w:rPr>
        <w:t xml:space="preserve"> příp. k odstranění pochybností, přičemž m</w:t>
      </w:r>
      <w:r>
        <w:rPr>
          <w:b/>
        </w:rPr>
        <w:t>ohl</w:t>
      </w:r>
      <w:r w:rsidRPr="008A3FCC">
        <w:rPr>
          <w:b/>
        </w:rPr>
        <w:t xml:space="preserve"> následně zjistit, že požadavky a výzvy byly nedůvodné. </w:t>
      </w:r>
      <w:r w:rsidRPr="008A3FCC">
        <w:rPr>
          <w:b/>
          <w:lang w:eastAsia="cs-CZ"/>
        </w:rPr>
        <w:t xml:space="preserve">Od února 2021 došlo </w:t>
      </w:r>
      <w:r>
        <w:rPr>
          <w:b/>
          <w:lang w:eastAsia="cs-CZ"/>
        </w:rPr>
        <w:t xml:space="preserve">na základě požadavku FS ČR </w:t>
      </w:r>
      <w:r w:rsidRPr="008A3FCC">
        <w:rPr>
          <w:b/>
          <w:lang w:eastAsia="cs-CZ"/>
        </w:rPr>
        <w:t xml:space="preserve">k rozšíření náhledu do RSV a správce daně má </w:t>
      </w:r>
      <w:r w:rsidRPr="008A3FCC">
        <w:rPr>
          <w:rFonts w:ascii="Calibri" w:hAnsi="Calibri" w:cs="Calibri"/>
          <w:b/>
          <w:lang w:eastAsia="cs-CZ"/>
        </w:rPr>
        <w:t>možnost nahlížet přímo do velkého technického průkazu</w:t>
      </w:r>
      <w:r w:rsidRPr="008A3FCC">
        <w:rPr>
          <w:rFonts w:ascii="Calibri" w:hAnsi="Calibri" w:cs="Calibri"/>
          <w:b/>
          <w:i/>
          <w:lang w:eastAsia="cs-CZ"/>
        </w:rPr>
        <w:t>.</w:t>
      </w:r>
    </w:p>
    <w:p w14:paraId="7F19F592" w14:textId="4A4D114C" w:rsidR="000F738E" w:rsidRDefault="000F738E" w:rsidP="000F738E">
      <w:pPr>
        <w:rPr>
          <w:lang w:eastAsia="cs-CZ"/>
        </w:rPr>
      </w:pPr>
      <w:r w:rsidRPr="006C682E">
        <w:rPr>
          <w:lang w:eastAsia="cs-CZ"/>
        </w:rPr>
        <w:t xml:space="preserve">Opravy a doplnění dat v RSV musí být učiněny i v technickém průkazu vozidla a osvědčení </w:t>
      </w:r>
      <w:r>
        <w:rPr>
          <w:lang w:eastAsia="cs-CZ"/>
        </w:rPr>
        <w:br/>
      </w:r>
      <w:r w:rsidRPr="006C682E">
        <w:rPr>
          <w:lang w:eastAsia="cs-CZ"/>
        </w:rPr>
        <w:t xml:space="preserve">o registraci vozidla. </w:t>
      </w:r>
      <w:r w:rsidRPr="00B122B7">
        <w:rPr>
          <w:lang w:eastAsia="cs-CZ"/>
        </w:rPr>
        <w:t xml:space="preserve">Správce daně využívá údaje z RSV pouze pro svou činnost a nemá zákonem stanovenou povinnost a ani oprávnění sdělovat MD své pochybnosti o údajích obsažených v registru. Pokud </w:t>
      </w:r>
      <w:r w:rsidR="004947F3">
        <w:rPr>
          <w:lang w:eastAsia="cs-CZ"/>
        </w:rPr>
        <w:t>správce daně</w:t>
      </w:r>
      <w:r w:rsidRPr="00B122B7">
        <w:rPr>
          <w:lang w:eastAsia="cs-CZ"/>
        </w:rPr>
        <w:t xml:space="preserve"> zjistí nesrovnalost mezi doklady o vozidle a údaji uvedenými v RSV, řeší to s příslušným daňovým subjektem, příp. formou součinnosti s odborem dopravy</w:t>
      </w:r>
      <w:r w:rsidRPr="00B122B7">
        <w:rPr>
          <w:rStyle w:val="Znakapoznpodarou"/>
          <w:lang w:eastAsia="cs-CZ"/>
        </w:rPr>
        <w:footnoteReference w:id="23"/>
      </w:r>
      <w:r w:rsidR="0062550A">
        <w:rPr>
          <w:lang w:eastAsia="cs-CZ"/>
        </w:rPr>
        <w:t xml:space="preserve"> </w:t>
      </w:r>
      <w:r w:rsidR="00A76BFF">
        <w:rPr>
          <w:lang w:eastAsia="cs-CZ"/>
        </w:rPr>
        <w:t xml:space="preserve">úřadu </w:t>
      </w:r>
      <w:r w:rsidR="00E10462">
        <w:rPr>
          <w:lang w:eastAsia="cs-CZ"/>
        </w:rPr>
        <w:t xml:space="preserve">obce </w:t>
      </w:r>
      <w:r w:rsidR="00A76BFF">
        <w:rPr>
          <w:lang w:eastAsia="cs-CZ"/>
        </w:rPr>
        <w:t>s rozšířenou působností</w:t>
      </w:r>
      <w:r w:rsidR="00FA03B2">
        <w:rPr>
          <w:lang w:eastAsia="cs-CZ"/>
        </w:rPr>
        <w:t xml:space="preserve">. </w:t>
      </w:r>
      <w:r w:rsidRPr="006C682E">
        <w:rPr>
          <w:lang w:eastAsia="cs-CZ"/>
        </w:rPr>
        <w:t xml:space="preserve">Na základě výzvy </w:t>
      </w:r>
      <w:r w:rsidR="00FA03B2">
        <w:rPr>
          <w:lang w:eastAsia="cs-CZ"/>
        </w:rPr>
        <w:t xml:space="preserve">k součinnosti </w:t>
      </w:r>
      <w:r w:rsidRPr="006C682E">
        <w:rPr>
          <w:lang w:eastAsia="cs-CZ"/>
        </w:rPr>
        <w:t>a informací</w:t>
      </w:r>
      <w:r w:rsidR="007F790B">
        <w:rPr>
          <w:lang w:eastAsia="cs-CZ"/>
        </w:rPr>
        <w:t xml:space="preserve"> </w:t>
      </w:r>
      <w:r>
        <w:rPr>
          <w:lang w:eastAsia="cs-CZ"/>
        </w:rPr>
        <w:t>v</w:t>
      </w:r>
      <w:r w:rsidR="007F790B">
        <w:rPr>
          <w:lang w:eastAsia="cs-CZ"/>
        </w:rPr>
        <w:t xml:space="preserve"> </w:t>
      </w:r>
      <w:r>
        <w:rPr>
          <w:lang w:eastAsia="cs-CZ"/>
        </w:rPr>
        <w:t xml:space="preserve">ní </w:t>
      </w:r>
      <w:r w:rsidRPr="006C682E">
        <w:rPr>
          <w:lang w:eastAsia="cs-CZ"/>
        </w:rPr>
        <w:t xml:space="preserve">uvedených může </w:t>
      </w:r>
      <w:r w:rsidR="00AD4881">
        <w:rPr>
          <w:lang w:eastAsia="cs-CZ"/>
        </w:rPr>
        <w:t xml:space="preserve">příslušný </w:t>
      </w:r>
      <w:r w:rsidRPr="006C682E">
        <w:rPr>
          <w:lang w:eastAsia="cs-CZ"/>
        </w:rPr>
        <w:t>správní orgán provést nápravu případně zjištěného nesouladu.</w:t>
      </w:r>
    </w:p>
    <w:p w14:paraId="21EEEF35" w14:textId="5DF44E55" w:rsidR="000F738E" w:rsidRPr="0038671A" w:rsidRDefault="000F738E" w:rsidP="000F738E">
      <w:pPr>
        <w:rPr>
          <w:rFonts w:cs="Calibri"/>
          <w:szCs w:val="24"/>
        </w:rPr>
      </w:pPr>
      <w:r w:rsidRPr="00546431">
        <w:rPr>
          <w:lang w:eastAsia="cs-CZ"/>
        </w:rPr>
        <w:t>Uživatelské přístupy do aplikace RSV</w:t>
      </w:r>
      <w:r w:rsidRPr="00546431">
        <w:rPr>
          <w:rStyle w:val="Znakapoznpodarou"/>
          <w:lang w:eastAsia="cs-CZ"/>
        </w:rPr>
        <w:footnoteReference w:id="24"/>
      </w:r>
      <w:r w:rsidRPr="00546431">
        <w:rPr>
          <w:lang w:eastAsia="cs-CZ"/>
        </w:rPr>
        <w:t xml:space="preserve"> zřizuje MD především pro pracovníky registračních míst, tedy zaměstnance obecních úřadů obcí s rozšířenou působností.</w:t>
      </w:r>
      <w:r>
        <w:rPr>
          <w:lang w:eastAsia="cs-CZ"/>
        </w:rPr>
        <w:t xml:space="preserve"> </w:t>
      </w:r>
      <w:r w:rsidRPr="00546431">
        <w:rPr>
          <w:lang w:eastAsia="cs-CZ"/>
        </w:rPr>
        <w:t xml:space="preserve">MD zřídilo pro zaměstnance GFŘ a FÚ celkem 250 přístupů do RSV. V březnu roku 2021 MD navýšilo počet </w:t>
      </w:r>
      <w:r>
        <w:rPr>
          <w:lang w:eastAsia="cs-CZ"/>
        </w:rPr>
        <w:br/>
      </w:r>
      <w:r w:rsidRPr="00546431">
        <w:rPr>
          <w:lang w:eastAsia="cs-CZ"/>
        </w:rPr>
        <w:t xml:space="preserve">na 258 přístupů s možností jejich dalšího navýšení. </w:t>
      </w:r>
      <w:r w:rsidR="00FA03B2" w:rsidRPr="00885259">
        <w:rPr>
          <w:lang w:eastAsia="cs-CZ"/>
        </w:rPr>
        <w:t xml:space="preserve">Pracovníci s přístupem do RSV vyřizují </w:t>
      </w:r>
      <w:r w:rsidR="00775D1E">
        <w:rPr>
          <w:lang w:eastAsia="cs-CZ"/>
        </w:rPr>
        <w:br/>
      </w:r>
      <w:r w:rsidR="00FA03B2" w:rsidRPr="00885259">
        <w:rPr>
          <w:lang w:eastAsia="cs-CZ"/>
        </w:rPr>
        <w:t>také požadavky ostatních správců daně ve věci získání informací z RSV.</w:t>
      </w:r>
      <w:r w:rsidR="00FA03B2">
        <w:rPr>
          <w:lang w:eastAsia="cs-CZ"/>
        </w:rPr>
        <w:t xml:space="preserve"> </w:t>
      </w:r>
      <w:r w:rsidRPr="00546431">
        <w:rPr>
          <w:lang w:eastAsia="cs-CZ"/>
        </w:rPr>
        <w:t xml:space="preserve">MD pro přístupy do RSV pro </w:t>
      </w:r>
      <w:r>
        <w:rPr>
          <w:lang w:eastAsia="cs-CZ"/>
        </w:rPr>
        <w:t>Finanční správ</w:t>
      </w:r>
      <w:r w:rsidR="00AD4881">
        <w:rPr>
          <w:lang w:eastAsia="cs-CZ"/>
        </w:rPr>
        <w:t>u</w:t>
      </w:r>
      <w:r>
        <w:rPr>
          <w:lang w:eastAsia="cs-CZ"/>
        </w:rPr>
        <w:t xml:space="preserve"> České republiky </w:t>
      </w:r>
      <w:r w:rsidRPr="00546431">
        <w:rPr>
          <w:lang w:eastAsia="cs-CZ"/>
        </w:rPr>
        <w:t>preferovalo připojování samostatnou webovou službou – přenáší se jen data a zobrazují se pomocí softwar</w:t>
      </w:r>
      <w:r w:rsidR="004D5F0E">
        <w:rPr>
          <w:lang w:eastAsia="cs-CZ"/>
        </w:rPr>
        <w:t>u</w:t>
      </w:r>
      <w:r w:rsidRPr="00546431">
        <w:rPr>
          <w:lang w:eastAsia="cs-CZ"/>
        </w:rPr>
        <w:t xml:space="preserve"> na straně tazatele bez možnosti editace. GFŘ a FÚ takto mají náhled na aktuální informace v RSV k danému okamžiku.</w:t>
      </w:r>
      <w:r>
        <w:rPr>
          <w:lang w:eastAsia="cs-CZ"/>
        </w:rPr>
        <w:t xml:space="preserve"> V</w:t>
      </w:r>
      <w:r w:rsidRPr="00546431">
        <w:rPr>
          <w:lang w:eastAsia="cs-CZ"/>
        </w:rPr>
        <w:t xml:space="preserve"> případě správného a úplného </w:t>
      </w:r>
      <w:r w:rsidRPr="00177500">
        <w:rPr>
          <w:lang w:eastAsia="cs-CZ"/>
        </w:rPr>
        <w:t xml:space="preserve">vyplnění údajů o vozidle má </w:t>
      </w:r>
      <w:r w:rsidR="004947F3">
        <w:rPr>
          <w:lang w:eastAsia="cs-CZ"/>
        </w:rPr>
        <w:t>správce daně</w:t>
      </w:r>
      <w:r w:rsidRPr="00177500">
        <w:rPr>
          <w:lang w:eastAsia="cs-CZ"/>
        </w:rPr>
        <w:t xml:space="preserve"> možnost u</w:t>
      </w:r>
      <w:r w:rsidR="00775D1E">
        <w:rPr>
          <w:lang w:eastAsia="cs-CZ"/>
        </w:rPr>
        <w:t> </w:t>
      </w:r>
      <w:r w:rsidRPr="00177500">
        <w:rPr>
          <w:lang w:eastAsia="cs-CZ"/>
        </w:rPr>
        <w:t>konkrétního vozidla dohledat detailní informace</w:t>
      </w:r>
      <w:r w:rsidR="004D5F0E">
        <w:rPr>
          <w:lang w:eastAsia="cs-CZ"/>
        </w:rPr>
        <w:t>,</w:t>
      </w:r>
      <w:r w:rsidRPr="00177500">
        <w:rPr>
          <w:lang w:eastAsia="cs-CZ"/>
        </w:rPr>
        <w:t xml:space="preserve"> </w:t>
      </w:r>
      <w:r w:rsidR="00E30B7B">
        <w:rPr>
          <w:szCs w:val="24"/>
        </w:rPr>
        <w:t xml:space="preserve">viz </w:t>
      </w:r>
      <w:r w:rsidR="00A1421B">
        <w:rPr>
          <w:szCs w:val="24"/>
        </w:rPr>
        <w:t>p</w:t>
      </w:r>
      <w:r w:rsidR="00E30B7B">
        <w:rPr>
          <w:szCs w:val="24"/>
        </w:rPr>
        <w:t>říloha 2.</w:t>
      </w:r>
    </w:p>
    <w:p w14:paraId="5F4384A3" w14:textId="03E7483E" w:rsidR="000F738E" w:rsidRDefault="000F738E" w:rsidP="000F738E">
      <w:pPr>
        <w:rPr>
          <w:b/>
          <w:lang w:eastAsia="cs-CZ"/>
        </w:rPr>
      </w:pPr>
      <w:bookmarkStart w:id="18" w:name="_Toc83044841"/>
      <w:bookmarkStart w:id="19" w:name="_Hlk86826703"/>
      <w:r w:rsidRPr="00923248">
        <w:rPr>
          <w:lang w:eastAsia="cs-CZ"/>
        </w:rPr>
        <w:t xml:space="preserve">MD </w:t>
      </w:r>
      <w:r w:rsidR="00AD4881" w:rsidRPr="00923248">
        <w:rPr>
          <w:lang w:eastAsia="cs-CZ"/>
        </w:rPr>
        <w:t xml:space="preserve">poskytuje </w:t>
      </w:r>
      <w:r w:rsidRPr="00923248">
        <w:rPr>
          <w:lang w:eastAsia="cs-CZ"/>
        </w:rPr>
        <w:t xml:space="preserve">na základě dohody </w:t>
      </w:r>
      <w:r w:rsidR="004D5F0E">
        <w:rPr>
          <w:lang w:eastAsia="cs-CZ"/>
        </w:rPr>
        <w:t>Generálnímu finančnímu ředitelství</w:t>
      </w:r>
      <w:r w:rsidRPr="00923248">
        <w:rPr>
          <w:lang w:eastAsia="cs-CZ"/>
        </w:rPr>
        <w:t xml:space="preserve"> od roku 2012 pravidelně jednou za dva měsíce soubor dat z</w:t>
      </w:r>
      <w:r w:rsidR="004D5F0E">
        <w:rPr>
          <w:lang w:eastAsia="cs-CZ"/>
        </w:rPr>
        <w:t> </w:t>
      </w:r>
      <w:r w:rsidRPr="00923248">
        <w:rPr>
          <w:lang w:eastAsia="cs-CZ"/>
        </w:rPr>
        <w:t>RSV</w:t>
      </w:r>
      <w:r w:rsidR="004D5F0E">
        <w:rPr>
          <w:lang w:eastAsia="cs-CZ"/>
        </w:rPr>
        <w:t>,</w:t>
      </w:r>
      <w:r w:rsidRPr="00923248">
        <w:rPr>
          <w:lang w:eastAsia="cs-CZ"/>
        </w:rPr>
        <w:t xml:space="preserve"> tzv. </w:t>
      </w:r>
      <w:r w:rsidR="004D5F0E">
        <w:rPr>
          <w:lang w:eastAsia="cs-CZ"/>
        </w:rPr>
        <w:t>d</w:t>
      </w:r>
      <w:r w:rsidRPr="00923248">
        <w:rPr>
          <w:lang w:eastAsia="cs-CZ"/>
        </w:rPr>
        <w:t>atabázi evidence vozidel</w:t>
      </w:r>
      <w:r w:rsidR="00FA03B2">
        <w:rPr>
          <w:rStyle w:val="Znakapoznpodarou"/>
          <w:lang w:eastAsia="cs-CZ"/>
        </w:rPr>
        <w:footnoteReference w:id="25"/>
      </w:r>
      <w:r w:rsidR="00512A36">
        <w:rPr>
          <w:lang w:eastAsia="cs-CZ"/>
        </w:rPr>
        <w:t>(dále také „DEV“)</w:t>
      </w:r>
      <w:r w:rsidRPr="00923248">
        <w:rPr>
          <w:lang w:eastAsia="cs-CZ"/>
        </w:rPr>
        <w:t>. Datové</w:t>
      </w:r>
      <w:r w:rsidRPr="00885259">
        <w:rPr>
          <w:lang w:eastAsia="cs-CZ"/>
        </w:rPr>
        <w:t xml:space="preserve"> sestavy jsou aktuální pouze v okamžiku </w:t>
      </w:r>
      <w:r w:rsidR="004D5F0E">
        <w:rPr>
          <w:lang w:eastAsia="cs-CZ"/>
        </w:rPr>
        <w:t>svého</w:t>
      </w:r>
      <w:r w:rsidRPr="00885259">
        <w:rPr>
          <w:lang w:eastAsia="cs-CZ"/>
        </w:rPr>
        <w:t xml:space="preserve"> vygenerování a neposkytují náhled na údaje uvedené v technických průkazech vozidel, chybí zde náhled do elektronické části spisu. </w:t>
      </w:r>
      <w:r w:rsidRPr="00885259">
        <w:rPr>
          <w:rFonts w:cstheme="minorHAnsi"/>
        </w:rPr>
        <w:t xml:space="preserve">FS ČR data nahrává do vlastní vytvořené aplikace. Po nahrání nových dat jsou nepotřebná data smazána. </w:t>
      </w:r>
      <w:r w:rsidRPr="00923248">
        <w:rPr>
          <w:b/>
          <w:lang w:eastAsia="cs-CZ"/>
        </w:rPr>
        <w:t xml:space="preserve">Data v DEV slouží FS ČR především k vyhledávací a kontrolní činnosti a k ověřování údajů uvedených v daňových přiznáních. Zjištění v rámci DEV jsou pouze podpůrného charakteru a bez dalšího dokazování je nelze využít </w:t>
      </w:r>
      <w:r w:rsidR="004D5F0E" w:rsidRPr="00923248">
        <w:rPr>
          <w:b/>
          <w:lang w:eastAsia="cs-CZ"/>
        </w:rPr>
        <w:t xml:space="preserve">jako důkazní prostředek </w:t>
      </w:r>
      <w:r w:rsidRPr="00923248">
        <w:rPr>
          <w:b/>
          <w:lang w:eastAsia="cs-CZ"/>
        </w:rPr>
        <w:t xml:space="preserve">pro vyměření či doměření daně. Tyto informace je nutno ověřit v daňovém řízení. </w:t>
      </w:r>
    </w:p>
    <w:p w14:paraId="27F3E96D" w14:textId="0AFF2065" w:rsidR="00102436" w:rsidRPr="002B76E3" w:rsidRDefault="00102436" w:rsidP="00102436">
      <w:pPr>
        <w:widowControl w:val="0"/>
        <w:rPr>
          <w:rFonts w:cstheme="minorHAnsi"/>
          <w:color w:val="000000" w:themeColor="text1"/>
          <w:szCs w:val="24"/>
        </w:rPr>
      </w:pPr>
      <w:r w:rsidRPr="00C8679B">
        <w:rPr>
          <w:rFonts w:cstheme="minorHAnsi"/>
        </w:rPr>
        <w:t>Finanční správ</w:t>
      </w:r>
      <w:r>
        <w:rPr>
          <w:rFonts w:cstheme="minorHAnsi"/>
        </w:rPr>
        <w:t>a</w:t>
      </w:r>
      <w:r w:rsidRPr="00C8679B">
        <w:rPr>
          <w:rFonts w:cstheme="minorHAnsi"/>
        </w:rPr>
        <w:t xml:space="preserve"> ČR </w:t>
      </w:r>
      <w:r>
        <w:rPr>
          <w:rFonts w:cstheme="minorHAnsi"/>
          <w:color w:val="000000"/>
          <w:lang w:eastAsia="cs-CZ"/>
        </w:rPr>
        <w:t>uskutečnila v letech 2016–2020 dvě celostátní kontrolní akce,</w:t>
      </w:r>
      <w:r w:rsidRPr="00AC3E35">
        <w:rPr>
          <w:rFonts w:cstheme="minorHAnsi"/>
          <w:color w:val="000000"/>
          <w:lang w:eastAsia="cs-CZ"/>
        </w:rPr>
        <w:t xml:space="preserve"> zdroj</w:t>
      </w:r>
      <w:r>
        <w:rPr>
          <w:rFonts w:cstheme="minorHAnsi"/>
          <w:color w:val="000000"/>
          <w:lang w:eastAsia="cs-CZ"/>
        </w:rPr>
        <w:t>em</w:t>
      </w:r>
      <w:r w:rsidRPr="00AC3E35">
        <w:rPr>
          <w:rFonts w:cstheme="minorHAnsi"/>
          <w:color w:val="000000"/>
          <w:lang w:eastAsia="cs-CZ"/>
        </w:rPr>
        <w:t xml:space="preserve"> k</w:t>
      </w:r>
      <w:r>
        <w:rPr>
          <w:rFonts w:cstheme="minorHAnsi"/>
          <w:color w:val="000000"/>
          <w:lang w:eastAsia="cs-CZ"/>
        </w:rPr>
        <w:t> </w:t>
      </w:r>
      <w:r w:rsidRPr="00AC3E35">
        <w:rPr>
          <w:rFonts w:cstheme="minorHAnsi"/>
          <w:color w:val="000000"/>
          <w:lang w:eastAsia="cs-CZ"/>
        </w:rPr>
        <w:t>vypracov</w:t>
      </w:r>
      <w:r w:rsidR="004D5F0E">
        <w:rPr>
          <w:rFonts w:cstheme="minorHAnsi"/>
          <w:color w:val="000000"/>
          <w:lang w:eastAsia="cs-CZ"/>
        </w:rPr>
        <w:t>á</w:t>
      </w:r>
      <w:r w:rsidRPr="00AC3E35">
        <w:rPr>
          <w:rFonts w:cstheme="minorHAnsi"/>
          <w:color w:val="000000"/>
          <w:lang w:eastAsia="cs-CZ"/>
        </w:rPr>
        <w:t>n</w:t>
      </w:r>
      <w:r>
        <w:rPr>
          <w:rFonts w:cstheme="minorHAnsi"/>
          <w:color w:val="000000"/>
          <w:lang w:eastAsia="cs-CZ"/>
        </w:rPr>
        <w:t>í rizikových analýz byla</w:t>
      </w:r>
      <w:r w:rsidRPr="00AC3E35">
        <w:rPr>
          <w:rFonts w:cstheme="minorHAnsi"/>
          <w:color w:val="000000"/>
          <w:lang w:eastAsia="cs-CZ"/>
        </w:rPr>
        <w:t xml:space="preserve"> </w:t>
      </w:r>
      <w:r w:rsidR="004D5F0E">
        <w:rPr>
          <w:rFonts w:cstheme="minorHAnsi"/>
          <w:color w:val="000000"/>
          <w:lang w:eastAsia="cs-CZ"/>
        </w:rPr>
        <w:t>d</w:t>
      </w:r>
      <w:r>
        <w:rPr>
          <w:rFonts w:cstheme="minorHAnsi"/>
          <w:color w:val="000000"/>
          <w:lang w:eastAsia="cs-CZ"/>
        </w:rPr>
        <w:t xml:space="preserve">atabáze evidence </w:t>
      </w:r>
      <w:r w:rsidRPr="004E1125">
        <w:rPr>
          <w:rFonts w:cstheme="minorHAnsi"/>
          <w:color w:val="000000"/>
          <w:lang w:eastAsia="cs-CZ"/>
        </w:rPr>
        <w:t>vozidel a</w:t>
      </w:r>
      <w:r w:rsidRPr="00AC3E35">
        <w:rPr>
          <w:rFonts w:cstheme="minorHAnsi"/>
          <w:color w:val="000000"/>
          <w:lang w:eastAsia="cs-CZ"/>
        </w:rPr>
        <w:t xml:space="preserve"> data získaná z dalších zdrojů</w:t>
      </w:r>
      <w:r w:rsidRPr="00AC3E35">
        <w:rPr>
          <w:rStyle w:val="Znakapoznpodarou"/>
          <w:rFonts w:cstheme="minorHAnsi"/>
          <w:color w:val="000000"/>
          <w:lang w:eastAsia="cs-CZ"/>
        </w:rPr>
        <w:footnoteReference w:id="26"/>
      </w:r>
      <w:r w:rsidR="004D5F0E">
        <w:rPr>
          <w:rFonts w:cstheme="minorHAnsi"/>
          <w:color w:val="000000"/>
          <w:lang w:eastAsia="cs-CZ"/>
        </w:rPr>
        <w:t>.</w:t>
      </w:r>
      <w:r w:rsidRPr="00AC3E35">
        <w:rPr>
          <w:rFonts w:cstheme="minorHAnsi"/>
          <w:color w:val="000000"/>
          <w:lang w:eastAsia="cs-CZ"/>
        </w:rPr>
        <w:t xml:space="preserve"> V rámci první realizované akce s názvem </w:t>
      </w:r>
      <w:r w:rsidRPr="00227654">
        <w:rPr>
          <w:rFonts w:cstheme="minorHAnsi"/>
          <w:i/>
          <w:color w:val="000000"/>
          <w:lang w:eastAsia="cs-CZ"/>
        </w:rPr>
        <w:t>Náklaďák IV</w:t>
      </w:r>
      <w:r w:rsidRPr="00AC3E35">
        <w:rPr>
          <w:rFonts w:cstheme="minorHAnsi"/>
          <w:color w:val="000000"/>
          <w:lang w:eastAsia="cs-CZ"/>
        </w:rPr>
        <w:t xml:space="preserve"> bylo prověřováno zdanění nákladních vozidel a jejich přípojných vozidel s nejvyšší povolenou hmotností nad 12 tun</w:t>
      </w:r>
      <w:r w:rsidRPr="004E1125">
        <w:rPr>
          <w:rFonts w:cstheme="minorHAnsi"/>
          <w:color w:val="000000"/>
          <w:lang w:eastAsia="cs-CZ"/>
        </w:rPr>
        <w:t xml:space="preserve">, </w:t>
      </w:r>
      <w:r w:rsidR="0089336F">
        <w:rPr>
          <w:rFonts w:cstheme="minorHAnsi"/>
          <w:color w:val="000000"/>
          <w:lang w:eastAsia="cs-CZ"/>
        </w:rPr>
        <w:br/>
      </w:r>
      <w:r w:rsidRPr="004E1125">
        <w:rPr>
          <w:rFonts w:cstheme="minorHAnsi"/>
          <w:color w:val="000000"/>
          <w:lang w:eastAsia="cs-CZ"/>
        </w:rPr>
        <w:t>viz</w:t>
      </w:r>
      <w:r w:rsidR="009D70B8">
        <w:rPr>
          <w:rFonts w:cstheme="minorHAnsi"/>
          <w:color w:val="000000"/>
          <w:lang w:eastAsia="cs-CZ"/>
        </w:rPr>
        <w:t xml:space="preserve"> tabulka 7</w:t>
      </w:r>
      <w:r w:rsidRPr="002B76E3">
        <w:rPr>
          <w:rFonts w:cstheme="minorHAnsi"/>
          <w:i/>
          <w:color w:val="000000"/>
          <w:lang w:eastAsia="cs-CZ"/>
        </w:rPr>
        <w:t>.</w:t>
      </w:r>
      <w:r w:rsidRPr="002B76E3">
        <w:rPr>
          <w:rFonts w:cstheme="minorHAnsi"/>
          <w:color w:val="000000" w:themeColor="text1"/>
          <w:szCs w:val="24"/>
        </w:rPr>
        <w:t xml:space="preserve"> </w:t>
      </w:r>
    </w:p>
    <w:p w14:paraId="534EBD5C" w14:textId="78F69561" w:rsidR="00102436" w:rsidRPr="00554EC3" w:rsidRDefault="002B76E3" w:rsidP="00102436">
      <w:pPr>
        <w:keepNext/>
        <w:keepLines/>
        <w:spacing w:after="0"/>
        <w:rPr>
          <w:rFonts w:cstheme="minorHAnsi"/>
          <w:b/>
          <w:color w:val="000000"/>
          <w:lang w:eastAsia="cs-CZ"/>
        </w:rPr>
      </w:pPr>
      <w:bookmarkStart w:id="20" w:name="_Ref93389803"/>
      <w:r w:rsidRPr="00B67F78">
        <w:rPr>
          <w:rFonts w:cstheme="minorHAnsi"/>
          <w:b/>
          <w:color w:val="000000" w:themeColor="text1"/>
          <w:szCs w:val="24"/>
        </w:rPr>
        <w:t xml:space="preserve">Tabulka </w:t>
      </w:r>
      <w:r w:rsidRPr="00B67F78">
        <w:rPr>
          <w:rFonts w:cstheme="minorHAnsi"/>
          <w:b/>
          <w:color w:val="000000" w:themeColor="text1"/>
          <w:szCs w:val="24"/>
        </w:rPr>
        <w:fldChar w:fldCharType="begin"/>
      </w:r>
      <w:r w:rsidRPr="00B67F78">
        <w:rPr>
          <w:rFonts w:cstheme="minorHAnsi"/>
          <w:b/>
          <w:color w:val="000000" w:themeColor="text1"/>
          <w:szCs w:val="24"/>
        </w:rPr>
        <w:instrText xml:space="preserve"> SEQ Tabulka \* ARABIC </w:instrText>
      </w:r>
      <w:r w:rsidRPr="00B67F78">
        <w:rPr>
          <w:rFonts w:cstheme="minorHAnsi"/>
          <w:b/>
          <w:color w:val="000000" w:themeColor="text1"/>
          <w:szCs w:val="24"/>
        </w:rPr>
        <w:fldChar w:fldCharType="separate"/>
      </w:r>
      <w:r w:rsidR="00500A1C">
        <w:rPr>
          <w:rFonts w:cstheme="minorHAnsi"/>
          <w:b/>
          <w:noProof/>
          <w:color w:val="000000" w:themeColor="text1"/>
          <w:szCs w:val="24"/>
        </w:rPr>
        <w:t>7</w:t>
      </w:r>
      <w:r w:rsidRPr="00B67F78">
        <w:rPr>
          <w:rFonts w:cstheme="minorHAnsi"/>
          <w:b/>
          <w:color w:val="000000" w:themeColor="text1"/>
          <w:szCs w:val="24"/>
        </w:rPr>
        <w:fldChar w:fldCharType="end"/>
      </w:r>
      <w:bookmarkEnd w:id="20"/>
      <w:r w:rsidR="00E01508">
        <w:rPr>
          <w:rFonts w:cstheme="minorHAnsi"/>
          <w:b/>
          <w:color w:val="000000" w:themeColor="text1"/>
          <w:szCs w:val="24"/>
        </w:rPr>
        <w:t>:</w:t>
      </w:r>
      <w:r w:rsidR="00102436">
        <w:rPr>
          <w:rFonts w:cstheme="minorHAnsi"/>
          <w:b/>
          <w:color w:val="000000" w:themeColor="text1"/>
          <w:szCs w:val="24"/>
        </w:rPr>
        <w:t xml:space="preserve"> </w:t>
      </w:r>
      <w:r w:rsidR="00102436" w:rsidRPr="00554EC3">
        <w:rPr>
          <w:rFonts w:cstheme="minorHAnsi"/>
          <w:b/>
          <w:color w:val="000000"/>
          <w:lang w:eastAsia="cs-CZ"/>
        </w:rPr>
        <w:t xml:space="preserve">Akce </w:t>
      </w:r>
      <w:r w:rsidR="00102436" w:rsidRPr="00227654">
        <w:rPr>
          <w:rFonts w:cstheme="minorHAnsi"/>
          <w:b/>
          <w:i/>
          <w:color w:val="000000"/>
          <w:lang w:eastAsia="cs-CZ"/>
        </w:rPr>
        <w:t>Náklaďák IV</w:t>
      </w:r>
      <w:r w:rsidR="00102436" w:rsidRPr="00554EC3">
        <w:rPr>
          <w:rFonts w:cstheme="minorHAnsi"/>
          <w:b/>
          <w:color w:val="000000"/>
          <w:lang w:eastAsia="cs-CZ"/>
        </w:rPr>
        <w:t xml:space="preserve"> </w:t>
      </w: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6"/>
        <w:gridCol w:w="2267"/>
        <w:gridCol w:w="2267"/>
        <w:gridCol w:w="2267"/>
      </w:tblGrid>
      <w:tr w:rsidR="00102436" w:rsidRPr="00AC3E35" w14:paraId="1A706196" w14:textId="77777777" w:rsidTr="00224296">
        <w:tc>
          <w:tcPr>
            <w:tcW w:w="2266" w:type="dxa"/>
            <w:shd w:val="clear" w:color="auto" w:fill="E5F1FF"/>
            <w:vAlign w:val="center"/>
          </w:tcPr>
          <w:p w14:paraId="0EC34632" w14:textId="5B6F533F" w:rsidR="00102436" w:rsidRPr="00282E01" w:rsidRDefault="00102436" w:rsidP="00224296">
            <w:pPr>
              <w:keepNext/>
              <w:keepLines/>
              <w:spacing w:after="0"/>
              <w:jc w:val="center"/>
              <w:rPr>
                <w:rFonts w:cstheme="minorHAnsi"/>
                <w:b/>
                <w:color w:val="000000"/>
                <w:sz w:val="20"/>
                <w:szCs w:val="20"/>
              </w:rPr>
            </w:pPr>
            <w:r w:rsidRPr="00282E01">
              <w:rPr>
                <w:rFonts w:cstheme="minorHAnsi"/>
                <w:b/>
                <w:color w:val="000000"/>
                <w:sz w:val="20"/>
                <w:szCs w:val="20"/>
              </w:rPr>
              <w:t>Akce</w:t>
            </w:r>
          </w:p>
        </w:tc>
        <w:tc>
          <w:tcPr>
            <w:tcW w:w="2267" w:type="dxa"/>
            <w:shd w:val="clear" w:color="auto" w:fill="E5F1FF"/>
            <w:vAlign w:val="center"/>
          </w:tcPr>
          <w:p w14:paraId="7468A27C" w14:textId="77777777" w:rsidR="00102436" w:rsidRPr="00282E01" w:rsidRDefault="00102436" w:rsidP="00224296">
            <w:pPr>
              <w:keepNext/>
              <w:keepLines/>
              <w:spacing w:after="0"/>
              <w:jc w:val="center"/>
              <w:rPr>
                <w:rFonts w:cstheme="minorHAnsi"/>
                <w:b/>
                <w:color w:val="000000"/>
                <w:sz w:val="20"/>
                <w:szCs w:val="20"/>
              </w:rPr>
            </w:pPr>
            <w:r w:rsidRPr="00282E01">
              <w:rPr>
                <w:rFonts w:cstheme="minorHAnsi"/>
                <w:b/>
                <w:color w:val="000000"/>
                <w:sz w:val="20"/>
                <w:szCs w:val="20"/>
              </w:rPr>
              <w:t xml:space="preserve">Počet zahájených </w:t>
            </w:r>
            <w:r>
              <w:rPr>
                <w:rFonts w:cstheme="minorHAnsi"/>
                <w:b/>
                <w:color w:val="000000"/>
                <w:sz w:val="20"/>
                <w:szCs w:val="20"/>
              </w:rPr>
              <w:t>daňových kontrol</w:t>
            </w:r>
          </w:p>
        </w:tc>
        <w:tc>
          <w:tcPr>
            <w:tcW w:w="2267" w:type="dxa"/>
            <w:shd w:val="clear" w:color="auto" w:fill="E5F1FF"/>
            <w:vAlign w:val="center"/>
          </w:tcPr>
          <w:p w14:paraId="6D2E6355" w14:textId="77777777" w:rsidR="00102436" w:rsidRPr="00282E01" w:rsidRDefault="00102436" w:rsidP="00224296">
            <w:pPr>
              <w:keepNext/>
              <w:keepLines/>
              <w:spacing w:after="0"/>
              <w:jc w:val="center"/>
              <w:rPr>
                <w:rFonts w:cstheme="minorHAnsi"/>
                <w:b/>
                <w:color w:val="000000"/>
                <w:sz w:val="20"/>
                <w:szCs w:val="20"/>
              </w:rPr>
            </w:pPr>
            <w:r w:rsidRPr="00282E01">
              <w:rPr>
                <w:rFonts w:cstheme="minorHAnsi"/>
                <w:b/>
                <w:color w:val="000000"/>
                <w:sz w:val="20"/>
                <w:szCs w:val="20"/>
              </w:rPr>
              <w:t xml:space="preserve">Počet </w:t>
            </w:r>
            <w:r>
              <w:rPr>
                <w:rFonts w:cstheme="minorHAnsi"/>
                <w:b/>
                <w:color w:val="000000"/>
                <w:sz w:val="20"/>
                <w:szCs w:val="20"/>
              </w:rPr>
              <w:t>kontrolních úkonů</w:t>
            </w:r>
            <w:r w:rsidRPr="00282E01">
              <w:rPr>
                <w:rFonts w:cstheme="minorHAnsi"/>
                <w:b/>
                <w:color w:val="000000"/>
                <w:sz w:val="20"/>
                <w:szCs w:val="20"/>
              </w:rPr>
              <w:t xml:space="preserve"> s nálezem</w:t>
            </w:r>
            <w:r w:rsidRPr="00282E01">
              <w:rPr>
                <w:rStyle w:val="Znakapoznpodarou"/>
                <w:rFonts w:cstheme="minorHAnsi"/>
                <w:b/>
                <w:color w:val="000000"/>
                <w:sz w:val="20"/>
                <w:szCs w:val="20"/>
              </w:rPr>
              <w:footnoteReference w:id="27"/>
            </w:r>
          </w:p>
        </w:tc>
        <w:tc>
          <w:tcPr>
            <w:tcW w:w="2267" w:type="dxa"/>
            <w:shd w:val="clear" w:color="auto" w:fill="E5F1FF"/>
            <w:vAlign w:val="center"/>
          </w:tcPr>
          <w:p w14:paraId="27A5B07D" w14:textId="77777777" w:rsidR="00102436" w:rsidRPr="00282E01" w:rsidRDefault="00102436" w:rsidP="00224296">
            <w:pPr>
              <w:keepNext/>
              <w:keepLines/>
              <w:spacing w:after="0"/>
              <w:jc w:val="center"/>
              <w:rPr>
                <w:rFonts w:cstheme="minorHAnsi"/>
                <w:b/>
                <w:color w:val="000000"/>
                <w:sz w:val="20"/>
                <w:szCs w:val="20"/>
              </w:rPr>
            </w:pPr>
            <w:r w:rsidRPr="00282E01">
              <w:rPr>
                <w:rFonts w:cstheme="minorHAnsi"/>
                <w:b/>
                <w:color w:val="000000"/>
                <w:sz w:val="20"/>
                <w:szCs w:val="20"/>
              </w:rPr>
              <w:t>Fiskální dopad</w:t>
            </w:r>
            <w:r w:rsidRPr="00282E01">
              <w:rPr>
                <w:rStyle w:val="Znakapoznpodarou"/>
                <w:rFonts w:cstheme="minorHAnsi"/>
                <w:b/>
                <w:color w:val="000000"/>
                <w:sz w:val="20"/>
                <w:szCs w:val="20"/>
              </w:rPr>
              <w:footnoteReference w:id="28"/>
            </w:r>
          </w:p>
        </w:tc>
      </w:tr>
      <w:tr w:rsidR="00102436" w:rsidRPr="00AC3E35" w14:paraId="2CBDE9DE" w14:textId="77777777" w:rsidTr="009E5E2D">
        <w:tc>
          <w:tcPr>
            <w:tcW w:w="2266" w:type="dxa"/>
          </w:tcPr>
          <w:p w14:paraId="645C777B" w14:textId="77777777" w:rsidR="00102436" w:rsidRPr="00282E01" w:rsidRDefault="00102436" w:rsidP="00FD74BB">
            <w:pPr>
              <w:keepNext/>
              <w:keepLines/>
              <w:spacing w:after="0"/>
              <w:rPr>
                <w:rFonts w:cstheme="minorHAnsi"/>
                <w:color w:val="000000"/>
                <w:sz w:val="20"/>
                <w:szCs w:val="20"/>
              </w:rPr>
            </w:pPr>
            <w:r w:rsidRPr="00282E01">
              <w:rPr>
                <w:rFonts w:cstheme="minorHAnsi"/>
                <w:color w:val="000000"/>
                <w:sz w:val="20"/>
                <w:szCs w:val="20"/>
              </w:rPr>
              <w:t>Náklaďák IV</w:t>
            </w:r>
          </w:p>
        </w:tc>
        <w:tc>
          <w:tcPr>
            <w:tcW w:w="2267" w:type="dxa"/>
          </w:tcPr>
          <w:p w14:paraId="4A60882B" w14:textId="77777777" w:rsidR="00102436" w:rsidRPr="00282E01" w:rsidRDefault="00102436" w:rsidP="00FD74BB">
            <w:pPr>
              <w:keepNext/>
              <w:keepLines/>
              <w:spacing w:after="0"/>
              <w:jc w:val="right"/>
              <w:rPr>
                <w:rFonts w:cstheme="minorHAnsi"/>
                <w:color w:val="000000"/>
                <w:sz w:val="20"/>
                <w:szCs w:val="20"/>
              </w:rPr>
            </w:pPr>
            <w:r w:rsidRPr="00282E01">
              <w:rPr>
                <w:rFonts w:cstheme="minorHAnsi"/>
                <w:color w:val="000000"/>
                <w:sz w:val="20"/>
                <w:szCs w:val="20"/>
              </w:rPr>
              <w:t>239</w:t>
            </w:r>
          </w:p>
        </w:tc>
        <w:tc>
          <w:tcPr>
            <w:tcW w:w="2267" w:type="dxa"/>
          </w:tcPr>
          <w:p w14:paraId="7454B555" w14:textId="77777777" w:rsidR="00102436" w:rsidRPr="00282E01" w:rsidRDefault="00102436" w:rsidP="00FD74BB">
            <w:pPr>
              <w:keepNext/>
              <w:keepLines/>
              <w:spacing w:after="0"/>
              <w:jc w:val="right"/>
              <w:rPr>
                <w:rFonts w:cstheme="minorHAnsi"/>
                <w:bCs/>
                <w:color w:val="000000"/>
                <w:sz w:val="20"/>
                <w:szCs w:val="20"/>
              </w:rPr>
            </w:pPr>
            <w:r w:rsidRPr="00282E01">
              <w:rPr>
                <w:rFonts w:cstheme="minorHAnsi"/>
                <w:bCs/>
                <w:color w:val="000000"/>
                <w:sz w:val="20"/>
                <w:szCs w:val="20"/>
              </w:rPr>
              <w:t>3 187</w:t>
            </w:r>
          </w:p>
        </w:tc>
        <w:tc>
          <w:tcPr>
            <w:tcW w:w="2267" w:type="dxa"/>
          </w:tcPr>
          <w:p w14:paraId="70BD644E" w14:textId="77777777" w:rsidR="00102436" w:rsidRPr="00282E01" w:rsidRDefault="00102436" w:rsidP="00FD74BB">
            <w:pPr>
              <w:keepNext/>
              <w:keepLines/>
              <w:spacing w:after="0"/>
              <w:jc w:val="right"/>
              <w:rPr>
                <w:rFonts w:cstheme="minorHAnsi"/>
                <w:color w:val="000000"/>
                <w:sz w:val="20"/>
                <w:szCs w:val="20"/>
              </w:rPr>
            </w:pPr>
            <w:r w:rsidRPr="00282E01">
              <w:rPr>
                <w:rFonts w:cstheme="minorHAnsi"/>
                <w:color w:val="000000"/>
                <w:sz w:val="20"/>
                <w:szCs w:val="20"/>
              </w:rPr>
              <w:t>127 135</w:t>
            </w:r>
            <w:r>
              <w:rPr>
                <w:rFonts w:cstheme="minorHAnsi"/>
                <w:color w:val="000000"/>
                <w:sz w:val="20"/>
                <w:szCs w:val="20"/>
              </w:rPr>
              <w:t> </w:t>
            </w:r>
            <w:r w:rsidRPr="00282E01">
              <w:rPr>
                <w:rFonts w:cstheme="minorHAnsi"/>
                <w:color w:val="000000"/>
                <w:sz w:val="20"/>
                <w:szCs w:val="20"/>
              </w:rPr>
              <w:t>083</w:t>
            </w:r>
            <w:r>
              <w:rPr>
                <w:rFonts w:cstheme="minorHAnsi"/>
                <w:color w:val="000000"/>
                <w:sz w:val="20"/>
                <w:szCs w:val="20"/>
              </w:rPr>
              <w:t xml:space="preserve"> Kč</w:t>
            </w:r>
          </w:p>
        </w:tc>
      </w:tr>
    </w:tbl>
    <w:p w14:paraId="0CC1A1EC" w14:textId="788A6D19" w:rsidR="00102436" w:rsidRDefault="00102436" w:rsidP="00102436">
      <w:pPr>
        <w:keepNext/>
        <w:keepLines/>
        <w:shd w:val="clear" w:color="auto" w:fill="FFFFFF"/>
        <w:rPr>
          <w:rFonts w:cstheme="minorHAnsi"/>
          <w:sz w:val="20"/>
          <w:szCs w:val="20"/>
        </w:rPr>
      </w:pPr>
      <w:r w:rsidRPr="00215B2B">
        <w:rPr>
          <w:rFonts w:cstheme="minorHAnsi"/>
          <w:sz w:val="20"/>
          <w:szCs w:val="20"/>
        </w:rPr>
        <w:t>Zdroj: GFŘ</w:t>
      </w:r>
      <w:r w:rsidR="005E09E4">
        <w:rPr>
          <w:rFonts w:cstheme="minorHAnsi"/>
          <w:sz w:val="20"/>
          <w:szCs w:val="20"/>
        </w:rPr>
        <w:t>;</w:t>
      </w:r>
      <w:r>
        <w:rPr>
          <w:rFonts w:cstheme="minorHAnsi"/>
          <w:sz w:val="20"/>
          <w:szCs w:val="20"/>
        </w:rPr>
        <w:t xml:space="preserve"> vlastní zpracování NKÚ. </w:t>
      </w:r>
    </w:p>
    <w:p w14:paraId="7B6D9E04" w14:textId="718850F0" w:rsidR="00102436" w:rsidRPr="002B76E3" w:rsidRDefault="00102436" w:rsidP="00102436">
      <w:pPr>
        <w:shd w:val="clear" w:color="auto" w:fill="FFFFFF"/>
        <w:rPr>
          <w:rFonts w:cstheme="minorHAnsi"/>
          <w:color w:val="000000"/>
          <w:lang w:eastAsia="cs-CZ"/>
        </w:rPr>
      </w:pPr>
      <w:r>
        <w:rPr>
          <w:rFonts w:cstheme="minorHAnsi"/>
          <w:color w:val="000000"/>
          <w:lang w:eastAsia="cs-CZ"/>
        </w:rPr>
        <w:t>Cílem druhé akce bylo</w:t>
      </w:r>
      <w:r w:rsidRPr="00AC3E35">
        <w:rPr>
          <w:rFonts w:cstheme="minorHAnsi"/>
          <w:color w:val="000000"/>
          <w:lang w:eastAsia="cs-CZ"/>
        </w:rPr>
        <w:t xml:space="preserve"> prověřit</w:t>
      </w:r>
      <w:r w:rsidRPr="007B773D">
        <w:rPr>
          <w:rFonts w:cstheme="minorHAnsi"/>
          <w:color w:val="000000"/>
          <w:lang w:eastAsia="cs-CZ"/>
        </w:rPr>
        <w:t xml:space="preserve"> </w:t>
      </w:r>
      <w:r>
        <w:rPr>
          <w:rFonts w:cstheme="minorHAnsi"/>
          <w:color w:val="000000"/>
          <w:lang w:eastAsia="cs-CZ"/>
        </w:rPr>
        <w:t>daňové subjekty</w:t>
      </w:r>
      <w:r w:rsidRPr="00AC3E35">
        <w:rPr>
          <w:rFonts w:cstheme="minorHAnsi"/>
          <w:color w:val="000000"/>
          <w:lang w:eastAsia="cs-CZ"/>
        </w:rPr>
        <w:t xml:space="preserve">, zda </w:t>
      </w:r>
      <w:r>
        <w:rPr>
          <w:rFonts w:cstheme="minorHAnsi"/>
          <w:color w:val="000000"/>
          <w:lang w:eastAsia="cs-CZ"/>
        </w:rPr>
        <w:t xml:space="preserve">správně zdaňují </w:t>
      </w:r>
      <w:r w:rsidRPr="00AC3E35">
        <w:rPr>
          <w:rFonts w:cstheme="minorHAnsi"/>
          <w:color w:val="000000"/>
          <w:lang w:eastAsia="cs-CZ"/>
        </w:rPr>
        <w:t>vozid</w:t>
      </w:r>
      <w:r>
        <w:rPr>
          <w:rFonts w:cstheme="minorHAnsi"/>
          <w:color w:val="000000"/>
          <w:lang w:eastAsia="cs-CZ"/>
        </w:rPr>
        <w:t>la</w:t>
      </w:r>
      <w:r w:rsidRPr="00AC3E35">
        <w:rPr>
          <w:rFonts w:cstheme="minorHAnsi"/>
          <w:color w:val="000000"/>
          <w:lang w:eastAsia="cs-CZ"/>
        </w:rPr>
        <w:t xml:space="preserve"> použ</w:t>
      </w:r>
      <w:r>
        <w:rPr>
          <w:rFonts w:cstheme="minorHAnsi"/>
          <w:color w:val="000000"/>
          <w:lang w:eastAsia="cs-CZ"/>
        </w:rPr>
        <w:t>ívaná</w:t>
      </w:r>
      <w:r w:rsidRPr="00AC3E35">
        <w:rPr>
          <w:rFonts w:cstheme="minorHAnsi"/>
          <w:color w:val="000000"/>
          <w:lang w:eastAsia="cs-CZ"/>
        </w:rPr>
        <w:t xml:space="preserve"> </w:t>
      </w:r>
      <w:r>
        <w:rPr>
          <w:rFonts w:cstheme="minorHAnsi"/>
          <w:color w:val="000000"/>
          <w:lang w:eastAsia="cs-CZ"/>
        </w:rPr>
        <w:t xml:space="preserve">pro uskutečňování </w:t>
      </w:r>
      <w:r w:rsidRPr="00AC3E35">
        <w:rPr>
          <w:rFonts w:cstheme="minorHAnsi"/>
          <w:color w:val="000000"/>
          <w:lang w:eastAsia="cs-CZ"/>
        </w:rPr>
        <w:t>služ</w:t>
      </w:r>
      <w:r>
        <w:rPr>
          <w:rFonts w:cstheme="minorHAnsi"/>
          <w:color w:val="000000"/>
          <w:lang w:eastAsia="cs-CZ"/>
        </w:rPr>
        <w:t>eb</w:t>
      </w:r>
      <w:r w:rsidRPr="00AC3E35">
        <w:rPr>
          <w:rFonts w:cstheme="minorHAnsi"/>
          <w:color w:val="000000"/>
          <w:lang w:eastAsia="cs-CZ"/>
        </w:rPr>
        <w:t xml:space="preserve"> přes elektronické platformy</w:t>
      </w:r>
      <w:r w:rsidRPr="00AC3E35">
        <w:rPr>
          <w:rStyle w:val="Znakapoznpodarou"/>
          <w:rFonts w:cstheme="minorHAnsi"/>
          <w:color w:val="000000"/>
          <w:lang w:eastAsia="cs-CZ"/>
        </w:rPr>
        <w:footnoteReference w:id="29"/>
      </w:r>
      <w:r>
        <w:rPr>
          <w:rFonts w:cstheme="minorHAnsi"/>
          <w:color w:val="000000"/>
          <w:lang w:eastAsia="cs-CZ"/>
        </w:rPr>
        <w:t xml:space="preserve">, </w:t>
      </w:r>
      <w:r w:rsidRPr="002B76E3">
        <w:rPr>
          <w:rFonts w:cstheme="minorHAnsi"/>
          <w:color w:val="000000"/>
          <w:lang w:eastAsia="cs-CZ"/>
        </w:rPr>
        <w:t>v</w:t>
      </w:r>
      <w:r w:rsidR="002B76E3" w:rsidRPr="002B76E3">
        <w:rPr>
          <w:rFonts w:cstheme="minorHAnsi"/>
          <w:color w:val="000000"/>
          <w:lang w:eastAsia="cs-CZ"/>
        </w:rPr>
        <w:t>iz</w:t>
      </w:r>
      <w:r w:rsidR="009D70B8">
        <w:rPr>
          <w:rFonts w:cstheme="minorHAnsi"/>
          <w:color w:val="000000"/>
          <w:lang w:eastAsia="cs-CZ"/>
        </w:rPr>
        <w:t xml:space="preserve"> tabulka 8</w:t>
      </w:r>
      <w:r w:rsidRPr="002B76E3">
        <w:rPr>
          <w:rFonts w:cstheme="minorHAnsi"/>
          <w:color w:val="000000"/>
          <w:lang w:eastAsia="cs-CZ"/>
        </w:rPr>
        <w:t xml:space="preserve">. </w:t>
      </w:r>
    </w:p>
    <w:p w14:paraId="37540401" w14:textId="350BAE32" w:rsidR="00102436" w:rsidRPr="006D2847" w:rsidRDefault="002B76E3" w:rsidP="00102436">
      <w:pPr>
        <w:keepNext/>
        <w:keepLines/>
        <w:spacing w:after="0"/>
        <w:rPr>
          <w:rFonts w:cstheme="minorHAnsi"/>
          <w:b/>
        </w:rPr>
      </w:pPr>
      <w:bookmarkStart w:id="21" w:name="_Ref93389827"/>
      <w:r w:rsidRPr="00B67F78">
        <w:rPr>
          <w:rFonts w:cstheme="minorHAnsi"/>
          <w:b/>
          <w:color w:val="000000" w:themeColor="text1"/>
          <w:szCs w:val="24"/>
        </w:rPr>
        <w:t xml:space="preserve">Tabulka </w:t>
      </w:r>
      <w:r w:rsidRPr="00B67F78">
        <w:rPr>
          <w:rFonts w:cstheme="minorHAnsi"/>
          <w:b/>
          <w:color w:val="000000" w:themeColor="text1"/>
          <w:szCs w:val="24"/>
        </w:rPr>
        <w:fldChar w:fldCharType="begin"/>
      </w:r>
      <w:r w:rsidRPr="00B67F78">
        <w:rPr>
          <w:rFonts w:cstheme="minorHAnsi"/>
          <w:b/>
          <w:color w:val="000000" w:themeColor="text1"/>
          <w:szCs w:val="24"/>
        </w:rPr>
        <w:instrText xml:space="preserve"> SEQ Tabulka \* ARABIC </w:instrText>
      </w:r>
      <w:r w:rsidRPr="00B67F78">
        <w:rPr>
          <w:rFonts w:cstheme="minorHAnsi"/>
          <w:b/>
          <w:color w:val="000000" w:themeColor="text1"/>
          <w:szCs w:val="24"/>
        </w:rPr>
        <w:fldChar w:fldCharType="separate"/>
      </w:r>
      <w:r w:rsidR="00500A1C">
        <w:rPr>
          <w:rFonts w:cstheme="minorHAnsi"/>
          <w:b/>
          <w:noProof/>
          <w:color w:val="000000" w:themeColor="text1"/>
          <w:szCs w:val="24"/>
        </w:rPr>
        <w:t>8</w:t>
      </w:r>
      <w:r w:rsidRPr="00B67F78">
        <w:rPr>
          <w:rFonts w:cstheme="minorHAnsi"/>
          <w:b/>
          <w:color w:val="000000" w:themeColor="text1"/>
          <w:szCs w:val="24"/>
        </w:rPr>
        <w:fldChar w:fldCharType="end"/>
      </w:r>
      <w:bookmarkEnd w:id="21"/>
      <w:r w:rsidR="00E01508">
        <w:rPr>
          <w:rFonts w:cstheme="minorHAnsi"/>
          <w:b/>
          <w:color w:val="000000" w:themeColor="text1"/>
          <w:szCs w:val="24"/>
        </w:rPr>
        <w:t>:</w:t>
      </w:r>
      <w:r w:rsidR="00102436">
        <w:rPr>
          <w:rFonts w:cstheme="minorHAnsi"/>
          <w:b/>
          <w:color w:val="000000" w:themeColor="text1"/>
          <w:szCs w:val="24"/>
        </w:rPr>
        <w:t xml:space="preserve"> </w:t>
      </w:r>
      <w:r w:rsidR="00102436" w:rsidRPr="00554EC3">
        <w:rPr>
          <w:rFonts w:cstheme="minorHAnsi"/>
          <w:b/>
          <w:color w:val="000000"/>
          <w:lang w:eastAsia="cs-CZ"/>
        </w:rPr>
        <w:t xml:space="preserve">Akce </w:t>
      </w:r>
      <w:r w:rsidR="00102436" w:rsidRPr="00227654">
        <w:rPr>
          <w:rFonts w:cstheme="minorHAnsi"/>
          <w:b/>
          <w:i/>
        </w:rPr>
        <w:t>E</w:t>
      </w:r>
      <w:r w:rsidR="00102436" w:rsidRPr="00227654">
        <w:rPr>
          <w:rFonts w:cstheme="minorHAnsi"/>
          <w:b/>
          <w:i/>
          <w:color w:val="000000"/>
          <w:lang w:eastAsia="cs-CZ"/>
        </w:rPr>
        <w:t>lektronické platformy</w:t>
      </w:r>
    </w:p>
    <w:tbl>
      <w:tblPr>
        <w:tblW w:w="909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72"/>
        <w:gridCol w:w="2273"/>
        <w:gridCol w:w="2273"/>
        <w:gridCol w:w="2273"/>
      </w:tblGrid>
      <w:tr w:rsidR="00102436" w:rsidRPr="003B2A6E" w14:paraId="1FDB037B" w14:textId="77777777" w:rsidTr="00224296">
        <w:trPr>
          <w:trHeight w:val="406"/>
        </w:trPr>
        <w:tc>
          <w:tcPr>
            <w:tcW w:w="2272" w:type="dxa"/>
            <w:shd w:val="clear" w:color="auto" w:fill="E5F1FF"/>
            <w:vAlign w:val="center"/>
          </w:tcPr>
          <w:p w14:paraId="2D2A5A47" w14:textId="77777777" w:rsidR="00102436" w:rsidRPr="00282E01" w:rsidRDefault="00102436" w:rsidP="00224296">
            <w:pPr>
              <w:keepNext/>
              <w:keepLines/>
              <w:autoSpaceDE w:val="0"/>
              <w:autoSpaceDN w:val="0"/>
              <w:adjustRightInd w:val="0"/>
              <w:spacing w:after="0"/>
              <w:jc w:val="center"/>
              <w:rPr>
                <w:rFonts w:cstheme="minorHAnsi"/>
                <w:b/>
                <w:sz w:val="20"/>
                <w:szCs w:val="20"/>
              </w:rPr>
            </w:pPr>
            <w:r w:rsidRPr="00282E01">
              <w:rPr>
                <w:rFonts w:cstheme="minorHAnsi"/>
                <w:b/>
                <w:sz w:val="20"/>
                <w:szCs w:val="20"/>
              </w:rPr>
              <w:t>Rok, kdy bylo šetření ukončeno</w:t>
            </w:r>
          </w:p>
        </w:tc>
        <w:tc>
          <w:tcPr>
            <w:tcW w:w="2273" w:type="dxa"/>
            <w:shd w:val="clear" w:color="auto" w:fill="E5F1FF"/>
            <w:vAlign w:val="center"/>
          </w:tcPr>
          <w:p w14:paraId="4CD62D4F" w14:textId="28E5F908" w:rsidR="00102436" w:rsidRPr="00282E01" w:rsidRDefault="00102436" w:rsidP="00224296">
            <w:pPr>
              <w:keepNext/>
              <w:keepLines/>
              <w:autoSpaceDE w:val="0"/>
              <w:autoSpaceDN w:val="0"/>
              <w:adjustRightInd w:val="0"/>
              <w:spacing w:after="0"/>
              <w:jc w:val="center"/>
              <w:rPr>
                <w:rFonts w:cstheme="minorHAnsi"/>
                <w:b/>
                <w:sz w:val="20"/>
                <w:szCs w:val="20"/>
              </w:rPr>
            </w:pPr>
            <w:r>
              <w:rPr>
                <w:rFonts w:cstheme="minorHAnsi"/>
                <w:b/>
                <w:sz w:val="20"/>
                <w:szCs w:val="20"/>
              </w:rPr>
              <w:t xml:space="preserve">Počet šetřených </w:t>
            </w:r>
            <w:r w:rsidR="002B3DF0">
              <w:rPr>
                <w:rFonts w:cstheme="minorHAnsi"/>
                <w:b/>
                <w:sz w:val="20"/>
                <w:szCs w:val="20"/>
              </w:rPr>
              <w:t>s</w:t>
            </w:r>
            <w:r w:rsidRPr="00282E01">
              <w:rPr>
                <w:rFonts w:cstheme="minorHAnsi"/>
                <w:b/>
                <w:sz w:val="20"/>
                <w:szCs w:val="20"/>
              </w:rPr>
              <w:t>ubjekt</w:t>
            </w:r>
            <w:r>
              <w:rPr>
                <w:rFonts w:cstheme="minorHAnsi"/>
                <w:b/>
                <w:sz w:val="20"/>
                <w:szCs w:val="20"/>
              </w:rPr>
              <w:t>ů</w:t>
            </w:r>
            <w:r w:rsidRPr="00282E01">
              <w:rPr>
                <w:rFonts w:cstheme="minorHAnsi"/>
                <w:b/>
                <w:sz w:val="20"/>
                <w:szCs w:val="20"/>
              </w:rPr>
              <w:t xml:space="preserve"> s fiskálním efektem celkem</w:t>
            </w:r>
          </w:p>
        </w:tc>
        <w:tc>
          <w:tcPr>
            <w:tcW w:w="2273" w:type="dxa"/>
            <w:shd w:val="clear" w:color="auto" w:fill="E5F1FF"/>
            <w:vAlign w:val="center"/>
          </w:tcPr>
          <w:p w14:paraId="4F950F88" w14:textId="77777777" w:rsidR="00102436" w:rsidRPr="00282E01" w:rsidRDefault="00102436" w:rsidP="00224296">
            <w:pPr>
              <w:keepNext/>
              <w:keepLines/>
              <w:autoSpaceDE w:val="0"/>
              <w:autoSpaceDN w:val="0"/>
              <w:adjustRightInd w:val="0"/>
              <w:spacing w:after="0"/>
              <w:jc w:val="center"/>
              <w:rPr>
                <w:rFonts w:cstheme="minorHAnsi"/>
                <w:b/>
                <w:sz w:val="20"/>
                <w:szCs w:val="20"/>
              </w:rPr>
            </w:pPr>
            <w:r w:rsidRPr="00282E01">
              <w:rPr>
                <w:rFonts w:cstheme="minorHAnsi"/>
                <w:b/>
                <w:sz w:val="20"/>
                <w:szCs w:val="20"/>
              </w:rPr>
              <w:t xml:space="preserve">Počet </w:t>
            </w:r>
            <w:r>
              <w:rPr>
                <w:rFonts w:cstheme="minorHAnsi"/>
                <w:b/>
                <w:sz w:val="20"/>
                <w:szCs w:val="20"/>
              </w:rPr>
              <w:t xml:space="preserve">šetřených </w:t>
            </w:r>
            <w:r w:rsidRPr="00282E01">
              <w:rPr>
                <w:rFonts w:cstheme="minorHAnsi"/>
                <w:b/>
                <w:sz w:val="20"/>
                <w:szCs w:val="20"/>
              </w:rPr>
              <w:t>zdaňovacích období celkem</w:t>
            </w:r>
          </w:p>
        </w:tc>
        <w:tc>
          <w:tcPr>
            <w:tcW w:w="2273" w:type="dxa"/>
            <w:shd w:val="clear" w:color="auto" w:fill="E5F1FF"/>
            <w:vAlign w:val="center"/>
          </w:tcPr>
          <w:p w14:paraId="2481BA76" w14:textId="24D27397" w:rsidR="00102436" w:rsidRPr="00282E01" w:rsidRDefault="00102436" w:rsidP="00224296">
            <w:pPr>
              <w:keepNext/>
              <w:keepLines/>
              <w:autoSpaceDE w:val="0"/>
              <w:autoSpaceDN w:val="0"/>
              <w:adjustRightInd w:val="0"/>
              <w:spacing w:after="0"/>
              <w:jc w:val="center"/>
              <w:rPr>
                <w:rFonts w:cstheme="minorHAnsi"/>
                <w:b/>
                <w:sz w:val="20"/>
                <w:szCs w:val="20"/>
              </w:rPr>
            </w:pPr>
            <w:r w:rsidRPr="00282E01">
              <w:rPr>
                <w:rFonts w:cstheme="minorHAnsi"/>
                <w:b/>
                <w:sz w:val="20"/>
                <w:szCs w:val="20"/>
              </w:rPr>
              <w:t xml:space="preserve">Fiskální efekt </w:t>
            </w:r>
            <w:r w:rsidR="001D0875">
              <w:rPr>
                <w:rFonts w:cstheme="minorHAnsi"/>
                <w:b/>
                <w:sz w:val="20"/>
                <w:szCs w:val="20"/>
              </w:rPr>
              <w:br/>
            </w:r>
            <w:r>
              <w:rPr>
                <w:rFonts w:cstheme="minorHAnsi"/>
                <w:b/>
                <w:sz w:val="20"/>
                <w:szCs w:val="20"/>
              </w:rPr>
              <w:t xml:space="preserve">u šetřených subjektů </w:t>
            </w:r>
            <w:r w:rsidRPr="00282E01">
              <w:rPr>
                <w:rFonts w:cstheme="minorHAnsi"/>
                <w:b/>
                <w:sz w:val="20"/>
                <w:szCs w:val="20"/>
              </w:rPr>
              <w:t>celkem</w:t>
            </w:r>
          </w:p>
        </w:tc>
      </w:tr>
      <w:tr w:rsidR="00102436" w:rsidRPr="003B2A6E" w14:paraId="33019593" w14:textId="77777777" w:rsidTr="009E5E2D">
        <w:trPr>
          <w:trHeight w:val="202"/>
        </w:trPr>
        <w:tc>
          <w:tcPr>
            <w:tcW w:w="2272" w:type="dxa"/>
            <w:vAlign w:val="center"/>
          </w:tcPr>
          <w:p w14:paraId="30214B85" w14:textId="77777777" w:rsidR="00102436" w:rsidRPr="00282E01" w:rsidRDefault="00102436" w:rsidP="00FD74BB">
            <w:pPr>
              <w:keepNext/>
              <w:keepLines/>
              <w:autoSpaceDE w:val="0"/>
              <w:autoSpaceDN w:val="0"/>
              <w:adjustRightInd w:val="0"/>
              <w:spacing w:after="0"/>
              <w:jc w:val="left"/>
              <w:rPr>
                <w:rFonts w:cstheme="minorHAnsi"/>
                <w:sz w:val="20"/>
                <w:szCs w:val="20"/>
              </w:rPr>
            </w:pPr>
            <w:r w:rsidRPr="00282E01">
              <w:rPr>
                <w:rFonts w:cstheme="minorHAnsi"/>
                <w:sz w:val="20"/>
                <w:szCs w:val="20"/>
              </w:rPr>
              <w:t>2019 – UBER a TAXI</w:t>
            </w:r>
          </w:p>
        </w:tc>
        <w:tc>
          <w:tcPr>
            <w:tcW w:w="2273" w:type="dxa"/>
            <w:vAlign w:val="center"/>
          </w:tcPr>
          <w:p w14:paraId="085AEBE3" w14:textId="77777777" w:rsidR="00102436" w:rsidRPr="00282E01" w:rsidRDefault="00102436" w:rsidP="00FD74BB">
            <w:pPr>
              <w:keepNext/>
              <w:keepLines/>
              <w:autoSpaceDE w:val="0"/>
              <w:autoSpaceDN w:val="0"/>
              <w:adjustRightInd w:val="0"/>
              <w:spacing w:after="0"/>
              <w:jc w:val="right"/>
              <w:rPr>
                <w:rFonts w:cstheme="minorHAnsi"/>
                <w:sz w:val="20"/>
                <w:szCs w:val="20"/>
              </w:rPr>
            </w:pPr>
            <w:r w:rsidRPr="00282E01">
              <w:rPr>
                <w:rFonts w:cstheme="minorHAnsi"/>
                <w:sz w:val="20"/>
                <w:szCs w:val="20"/>
              </w:rPr>
              <w:t>67</w:t>
            </w:r>
          </w:p>
        </w:tc>
        <w:tc>
          <w:tcPr>
            <w:tcW w:w="2273" w:type="dxa"/>
            <w:vAlign w:val="center"/>
          </w:tcPr>
          <w:p w14:paraId="23180A48" w14:textId="77777777" w:rsidR="00102436" w:rsidRPr="00282E01" w:rsidRDefault="00102436" w:rsidP="00FD74BB">
            <w:pPr>
              <w:keepNext/>
              <w:keepLines/>
              <w:autoSpaceDE w:val="0"/>
              <w:autoSpaceDN w:val="0"/>
              <w:adjustRightInd w:val="0"/>
              <w:spacing w:after="0"/>
              <w:jc w:val="right"/>
              <w:rPr>
                <w:rFonts w:cstheme="minorHAnsi"/>
                <w:sz w:val="20"/>
                <w:szCs w:val="20"/>
              </w:rPr>
            </w:pPr>
            <w:r w:rsidRPr="00282E01">
              <w:rPr>
                <w:rFonts w:cstheme="minorHAnsi"/>
                <w:sz w:val="20"/>
                <w:szCs w:val="20"/>
              </w:rPr>
              <w:t>98</w:t>
            </w:r>
          </w:p>
        </w:tc>
        <w:tc>
          <w:tcPr>
            <w:tcW w:w="2273" w:type="dxa"/>
            <w:vAlign w:val="center"/>
          </w:tcPr>
          <w:p w14:paraId="6C4F2314" w14:textId="77777777" w:rsidR="00102436" w:rsidRPr="00282E01" w:rsidRDefault="00102436" w:rsidP="00FD74BB">
            <w:pPr>
              <w:keepNext/>
              <w:keepLines/>
              <w:autoSpaceDE w:val="0"/>
              <w:autoSpaceDN w:val="0"/>
              <w:adjustRightInd w:val="0"/>
              <w:spacing w:after="0"/>
              <w:jc w:val="right"/>
              <w:rPr>
                <w:rFonts w:cstheme="minorHAnsi"/>
                <w:sz w:val="20"/>
                <w:szCs w:val="20"/>
              </w:rPr>
            </w:pPr>
            <w:r w:rsidRPr="00282E01">
              <w:rPr>
                <w:rFonts w:cstheme="minorHAnsi"/>
                <w:sz w:val="20"/>
                <w:szCs w:val="20"/>
              </w:rPr>
              <w:t>163 927 Kč</w:t>
            </w:r>
          </w:p>
        </w:tc>
      </w:tr>
      <w:tr w:rsidR="00102436" w:rsidRPr="003B2A6E" w14:paraId="2E25462C" w14:textId="77777777" w:rsidTr="009E5E2D">
        <w:trPr>
          <w:trHeight w:val="202"/>
        </w:trPr>
        <w:tc>
          <w:tcPr>
            <w:tcW w:w="2272" w:type="dxa"/>
            <w:vAlign w:val="center"/>
          </w:tcPr>
          <w:p w14:paraId="5ED4040A" w14:textId="77777777" w:rsidR="00102436" w:rsidRPr="00282E01" w:rsidRDefault="00102436" w:rsidP="00FD74BB">
            <w:pPr>
              <w:keepNext/>
              <w:keepLines/>
              <w:autoSpaceDE w:val="0"/>
              <w:autoSpaceDN w:val="0"/>
              <w:adjustRightInd w:val="0"/>
              <w:spacing w:after="0"/>
              <w:jc w:val="left"/>
              <w:rPr>
                <w:rFonts w:cstheme="minorHAnsi"/>
                <w:sz w:val="20"/>
                <w:szCs w:val="20"/>
              </w:rPr>
            </w:pPr>
            <w:r w:rsidRPr="00282E01">
              <w:rPr>
                <w:rFonts w:cstheme="minorHAnsi"/>
                <w:sz w:val="20"/>
                <w:szCs w:val="20"/>
              </w:rPr>
              <w:t>2020 – TAXI</w:t>
            </w:r>
          </w:p>
        </w:tc>
        <w:tc>
          <w:tcPr>
            <w:tcW w:w="2273" w:type="dxa"/>
            <w:vAlign w:val="center"/>
          </w:tcPr>
          <w:p w14:paraId="06ABD318" w14:textId="77777777" w:rsidR="00102436" w:rsidRPr="00282E01" w:rsidRDefault="00102436" w:rsidP="00FD74BB">
            <w:pPr>
              <w:keepNext/>
              <w:keepLines/>
              <w:autoSpaceDE w:val="0"/>
              <w:autoSpaceDN w:val="0"/>
              <w:adjustRightInd w:val="0"/>
              <w:spacing w:after="0"/>
              <w:jc w:val="right"/>
              <w:rPr>
                <w:rFonts w:cstheme="minorHAnsi"/>
                <w:sz w:val="20"/>
                <w:szCs w:val="20"/>
              </w:rPr>
            </w:pPr>
            <w:r w:rsidRPr="00282E01">
              <w:rPr>
                <w:rFonts w:cstheme="minorHAnsi"/>
                <w:sz w:val="20"/>
                <w:szCs w:val="20"/>
              </w:rPr>
              <w:t>66</w:t>
            </w:r>
          </w:p>
        </w:tc>
        <w:tc>
          <w:tcPr>
            <w:tcW w:w="2273" w:type="dxa"/>
            <w:vAlign w:val="center"/>
          </w:tcPr>
          <w:p w14:paraId="08CE02EF" w14:textId="77777777" w:rsidR="00102436" w:rsidRPr="00282E01" w:rsidRDefault="00102436" w:rsidP="00FD74BB">
            <w:pPr>
              <w:keepNext/>
              <w:keepLines/>
              <w:autoSpaceDE w:val="0"/>
              <w:autoSpaceDN w:val="0"/>
              <w:adjustRightInd w:val="0"/>
              <w:spacing w:after="0"/>
              <w:jc w:val="right"/>
              <w:rPr>
                <w:rFonts w:cstheme="minorHAnsi"/>
                <w:sz w:val="20"/>
                <w:szCs w:val="20"/>
              </w:rPr>
            </w:pPr>
            <w:r w:rsidRPr="00282E01">
              <w:rPr>
                <w:rFonts w:cstheme="minorHAnsi"/>
                <w:sz w:val="20"/>
                <w:szCs w:val="20"/>
              </w:rPr>
              <w:t>92</w:t>
            </w:r>
          </w:p>
        </w:tc>
        <w:tc>
          <w:tcPr>
            <w:tcW w:w="2273" w:type="dxa"/>
            <w:vAlign w:val="center"/>
          </w:tcPr>
          <w:p w14:paraId="62533BAD" w14:textId="77777777" w:rsidR="00102436" w:rsidRPr="00282E01" w:rsidRDefault="00102436" w:rsidP="00FD74BB">
            <w:pPr>
              <w:keepNext/>
              <w:keepLines/>
              <w:autoSpaceDE w:val="0"/>
              <w:autoSpaceDN w:val="0"/>
              <w:adjustRightInd w:val="0"/>
              <w:spacing w:after="0"/>
              <w:jc w:val="right"/>
              <w:rPr>
                <w:rFonts w:cstheme="minorHAnsi"/>
                <w:sz w:val="20"/>
                <w:szCs w:val="20"/>
              </w:rPr>
            </w:pPr>
            <w:r w:rsidRPr="00282E01">
              <w:rPr>
                <w:rFonts w:cstheme="minorHAnsi"/>
                <w:sz w:val="20"/>
                <w:szCs w:val="20"/>
              </w:rPr>
              <w:t>166 339 Kč</w:t>
            </w:r>
          </w:p>
        </w:tc>
      </w:tr>
    </w:tbl>
    <w:p w14:paraId="6701D628" w14:textId="159606F1" w:rsidR="00102436" w:rsidRDefault="00102436" w:rsidP="00102436">
      <w:r w:rsidRPr="00215B2B">
        <w:rPr>
          <w:rFonts w:cstheme="minorHAnsi"/>
          <w:sz w:val="20"/>
          <w:szCs w:val="20"/>
        </w:rPr>
        <w:t>Zdroj: GFŘ</w:t>
      </w:r>
      <w:r w:rsidR="005E09E4">
        <w:rPr>
          <w:rFonts w:cstheme="minorHAnsi"/>
          <w:sz w:val="20"/>
          <w:szCs w:val="20"/>
        </w:rPr>
        <w:t>;</w:t>
      </w:r>
      <w:r w:rsidRPr="00215B2B">
        <w:rPr>
          <w:rFonts w:cstheme="minorHAnsi"/>
          <w:sz w:val="20"/>
          <w:szCs w:val="20"/>
        </w:rPr>
        <w:t xml:space="preserve"> vlastní</w:t>
      </w:r>
      <w:r>
        <w:rPr>
          <w:rFonts w:cstheme="minorHAnsi"/>
          <w:sz w:val="20"/>
          <w:szCs w:val="20"/>
        </w:rPr>
        <w:t xml:space="preserve"> zpracování NKÚ.</w:t>
      </w:r>
    </w:p>
    <w:p w14:paraId="638EF4A5" w14:textId="20A4350D" w:rsidR="00102436" w:rsidRPr="00923248" w:rsidRDefault="00102436" w:rsidP="000F738E">
      <w:pPr>
        <w:rPr>
          <w:b/>
        </w:rPr>
      </w:pPr>
      <w:r>
        <w:rPr>
          <w:b/>
        </w:rPr>
        <w:t xml:space="preserve">NKÚ zjistil, že analýzy na národní úrovni byly ve vztahu k daňovým únikům provedeny </w:t>
      </w:r>
      <w:r>
        <w:rPr>
          <w:b/>
        </w:rPr>
        <w:br/>
        <w:t>ve dvou rizikových oblastech. GFŘ výsledky analýz sdílelo s</w:t>
      </w:r>
      <w:r w:rsidR="002F1BDE">
        <w:rPr>
          <w:b/>
        </w:rPr>
        <w:t xml:space="preserve"> </w:t>
      </w:r>
      <w:r>
        <w:rPr>
          <w:b/>
        </w:rPr>
        <w:t xml:space="preserve">finančními úřady, které </w:t>
      </w:r>
      <w:r>
        <w:rPr>
          <w:b/>
        </w:rPr>
        <w:br/>
        <w:t xml:space="preserve">na základě následně zahájených daňových řízení dodatečně vyměřily daň silniční ve výši </w:t>
      </w:r>
      <w:r w:rsidR="007F790B">
        <w:rPr>
          <w:b/>
        </w:rPr>
        <w:br/>
      </w:r>
      <w:r>
        <w:rPr>
          <w:b/>
        </w:rPr>
        <w:t xml:space="preserve">cca 127 mil. Kč. </w:t>
      </w:r>
    </w:p>
    <w:p w14:paraId="3C4449E4" w14:textId="3948741B" w:rsidR="000F738E" w:rsidRPr="00F34C2C" w:rsidRDefault="000F738E" w:rsidP="000F738E">
      <w:pPr>
        <w:rPr>
          <w:b/>
          <w:lang w:eastAsia="cs-CZ"/>
        </w:rPr>
      </w:pPr>
      <w:r>
        <w:rPr>
          <w:b/>
          <w:lang w:eastAsia="cs-CZ"/>
        </w:rPr>
        <w:t xml:space="preserve">NKÚ zjistil, že </w:t>
      </w:r>
      <w:bookmarkStart w:id="22" w:name="_Hlk95288611"/>
      <w:r w:rsidR="00772C1A">
        <w:rPr>
          <w:b/>
          <w:lang w:eastAsia="cs-CZ"/>
        </w:rPr>
        <w:t xml:space="preserve">registr silničních vozidel </w:t>
      </w:r>
      <w:r w:rsidRPr="00F34C2C">
        <w:rPr>
          <w:b/>
          <w:lang w:eastAsia="cs-CZ"/>
        </w:rPr>
        <w:t xml:space="preserve">a </w:t>
      </w:r>
      <w:bookmarkEnd w:id="22"/>
      <w:r w:rsidR="009D5859">
        <w:rPr>
          <w:b/>
          <w:lang w:eastAsia="cs-CZ"/>
        </w:rPr>
        <w:t>databáze evidence vozidel</w:t>
      </w:r>
      <w:r w:rsidRPr="00F34C2C">
        <w:rPr>
          <w:b/>
          <w:lang w:eastAsia="cs-CZ"/>
        </w:rPr>
        <w:t xml:space="preserve"> nejsou propojeny </w:t>
      </w:r>
      <w:r w:rsidR="009D5859">
        <w:rPr>
          <w:b/>
          <w:lang w:eastAsia="cs-CZ"/>
        </w:rPr>
        <w:br/>
      </w:r>
      <w:r>
        <w:rPr>
          <w:b/>
          <w:lang w:eastAsia="cs-CZ"/>
        </w:rPr>
        <w:t>s</w:t>
      </w:r>
      <w:r w:rsidRPr="00F34C2C">
        <w:rPr>
          <w:b/>
          <w:lang w:eastAsia="cs-CZ"/>
        </w:rPr>
        <w:t xml:space="preserve"> </w:t>
      </w:r>
      <w:r w:rsidRPr="009E7004">
        <w:rPr>
          <w:b/>
          <w:i/>
          <w:lang w:eastAsia="cs-CZ"/>
        </w:rPr>
        <w:t>Automatizovaným daňovým informačním systémem</w:t>
      </w:r>
      <w:r w:rsidR="00E25AEF">
        <w:rPr>
          <w:b/>
          <w:lang w:eastAsia="cs-CZ"/>
        </w:rPr>
        <w:t>,</w:t>
      </w:r>
      <w:r w:rsidR="00FA03B2">
        <w:rPr>
          <w:b/>
          <w:lang w:eastAsia="cs-CZ"/>
        </w:rPr>
        <w:t xml:space="preserve"> </w:t>
      </w:r>
      <w:r w:rsidR="00E25AEF">
        <w:rPr>
          <w:b/>
          <w:lang w:eastAsia="cs-CZ"/>
        </w:rPr>
        <w:t xml:space="preserve">což </w:t>
      </w:r>
      <w:r w:rsidRPr="004E1125">
        <w:rPr>
          <w:b/>
          <w:lang w:eastAsia="cs-CZ"/>
        </w:rPr>
        <w:t>neumožňuje automatické porovnání dat z</w:t>
      </w:r>
      <w:r w:rsidR="007E7C5A" w:rsidRPr="007E7C5A">
        <w:rPr>
          <w:b/>
          <w:lang w:eastAsia="cs-CZ"/>
        </w:rPr>
        <w:t xml:space="preserve"> </w:t>
      </w:r>
      <w:r w:rsidR="007E7C5A" w:rsidRPr="00F34C2C">
        <w:rPr>
          <w:b/>
          <w:lang w:eastAsia="cs-CZ"/>
        </w:rPr>
        <w:t xml:space="preserve">RSV </w:t>
      </w:r>
      <w:r w:rsidR="008121E7">
        <w:rPr>
          <w:b/>
          <w:lang w:eastAsia="cs-CZ"/>
        </w:rPr>
        <w:t>nebo</w:t>
      </w:r>
      <w:r w:rsidR="007E7C5A" w:rsidRPr="00F34C2C">
        <w:rPr>
          <w:b/>
          <w:lang w:eastAsia="cs-CZ"/>
        </w:rPr>
        <w:t xml:space="preserve"> DEV</w:t>
      </w:r>
      <w:r w:rsidR="008B15F0">
        <w:rPr>
          <w:b/>
          <w:lang w:eastAsia="cs-CZ"/>
        </w:rPr>
        <w:t xml:space="preserve"> </w:t>
      </w:r>
      <w:r w:rsidR="00905C18">
        <w:rPr>
          <w:b/>
          <w:lang w:eastAsia="cs-CZ"/>
        </w:rPr>
        <w:t xml:space="preserve">a údajů z </w:t>
      </w:r>
      <w:r w:rsidR="00CF220F">
        <w:rPr>
          <w:b/>
          <w:lang w:eastAsia="cs-CZ"/>
        </w:rPr>
        <w:t>daňového přiznání</w:t>
      </w:r>
      <w:r w:rsidRPr="004E1125">
        <w:rPr>
          <w:b/>
          <w:lang w:eastAsia="cs-CZ"/>
        </w:rPr>
        <w:t xml:space="preserve"> k</w:t>
      </w:r>
      <w:r w:rsidR="00E25AEF">
        <w:rPr>
          <w:b/>
          <w:lang w:eastAsia="cs-CZ"/>
        </w:rPr>
        <w:t> </w:t>
      </w:r>
      <w:r w:rsidRPr="004E1125">
        <w:rPr>
          <w:b/>
          <w:lang w:eastAsia="cs-CZ"/>
        </w:rPr>
        <w:t>DSL</w:t>
      </w:r>
      <w:r w:rsidR="00E25AEF">
        <w:rPr>
          <w:b/>
          <w:lang w:eastAsia="cs-CZ"/>
        </w:rPr>
        <w:t xml:space="preserve">. </w:t>
      </w:r>
      <w:r w:rsidRPr="004E1125">
        <w:rPr>
          <w:b/>
          <w:lang w:eastAsia="cs-CZ"/>
        </w:rPr>
        <w:t>T</w:t>
      </w:r>
      <w:r w:rsidR="00FA03B2">
        <w:rPr>
          <w:b/>
          <w:lang w:eastAsia="cs-CZ"/>
        </w:rPr>
        <w:t>a</w:t>
      </w:r>
      <w:r w:rsidRPr="004E1125">
        <w:rPr>
          <w:b/>
          <w:lang w:eastAsia="cs-CZ"/>
        </w:rPr>
        <w:t>to skutečnost</w:t>
      </w:r>
      <w:r w:rsidRPr="00F34C2C">
        <w:rPr>
          <w:b/>
          <w:lang w:eastAsia="cs-CZ"/>
        </w:rPr>
        <w:t xml:space="preserve"> dle NKÚ </w:t>
      </w:r>
      <w:r w:rsidR="00FA03B2">
        <w:rPr>
          <w:b/>
          <w:lang w:eastAsia="cs-CZ"/>
        </w:rPr>
        <w:t xml:space="preserve">také </w:t>
      </w:r>
      <w:r w:rsidRPr="00F34C2C">
        <w:rPr>
          <w:b/>
          <w:lang w:eastAsia="cs-CZ"/>
        </w:rPr>
        <w:t>negativně ovlivňuj</w:t>
      </w:r>
      <w:r w:rsidR="00FA03B2">
        <w:rPr>
          <w:b/>
          <w:lang w:eastAsia="cs-CZ"/>
        </w:rPr>
        <w:t>e</w:t>
      </w:r>
      <w:r w:rsidRPr="00F34C2C">
        <w:rPr>
          <w:b/>
          <w:lang w:eastAsia="cs-CZ"/>
        </w:rPr>
        <w:t xml:space="preserve"> efektivnost správy daně silniční.</w:t>
      </w:r>
    </w:p>
    <w:bookmarkEnd w:id="18"/>
    <w:bookmarkEnd w:id="19"/>
    <w:p w14:paraId="46F906B3" w14:textId="12F1304C" w:rsidR="009D24F5" w:rsidRDefault="009D24F5">
      <w:pPr>
        <w:spacing w:after="160" w:line="259" w:lineRule="auto"/>
        <w:jc w:val="left"/>
        <w:rPr>
          <w:rFonts w:cstheme="minorHAnsi"/>
          <w:b/>
        </w:rPr>
      </w:pPr>
      <w:r>
        <w:rPr>
          <w:rFonts w:cstheme="minorHAnsi"/>
          <w:b/>
        </w:rPr>
        <w:br w:type="page"/>
      </w:r>
    </w:p>
    <w:p w14:paraId="6183A97B" w14:textId="1356E9A3" w:rsidR="00AB2886" w:rsidRPr="003D1C56" w:rsidRDefault="00AB2886" w:rsidP="00417A5D">
      <w:pPr>
        <w:keepNext/>
        <w:spacing w:after="240"/>
        <w:outlineLvl w:val="0"/>
        <w:rPr>
          <w:rFonts w:cstheme="minorHAnsi"/>
          <w:b/>
        </w:rPr>
      </w:pPr>
      <w:r w:rsidRPr="003D1C56">
        <w:rPr>
          <w:rFonts w:cstheme="minorHAnsi"/>
          <w:b/>
        </w:rPr>
        <w:t>Seznam použitých zkratek</w:t>
      </w:r>
      <w:r w:rsidR="00D06348">
        <w:rPr>
          <w:rFonts w:cstheme="minorHAnsi"/>
          <w:b/>
        </w:rPr>
        <w:t xml:space="preserve"> </w:t>
      </w:r>
    </w:p>
    <w:tbl>
      <w:tblPr>
        <w:tblW w:w="8931" w:type="dxa"/>
        <w:tblInd w:w="70" w:type="dxa"/>
        <w:tblCellMar>
          <w:left w:w="70" w:type="dxa"/>
          <w:right w:w="70" w:type="dxa"/>
        </w:tblCellMar>
        <w:tblLook w:val="04A0" w:firstRow="1" w:lastRow="0" w:firstColumn="1" w:lastColumn="0" w:noHBand="0" w:noVBand="1"/>
      </w:tblPr>
      <w:tblGrid>
        <w:gridCol w:w="2835"/>
        <w:gridCol w:w="6096"/>
      </w:tblGrid>
      <w:tr w:rsidR="00C2283C" w14:paraId="176EC914" w14:textId="77777777" w:rsidTr="00E70C65">
        <w:trPr>
          <w:trHeight w:val="315"/>
        </w:trPr>
        <w:tc>
          <w:tcPr>
            <w:tcW w:w="2835" w:type="dxa"/>
            <w:noWrap/>
          </w:tcPr>
          <w:p w14:paraId="15AE8DA4" w14:textId="6F10BE82" w:rsidR="00C2283C" w:rsidRDefault="00C2283C" w:rsidP="002D41E2">
            <w:pPr>
              <w:spacing w:after="0"/>
              <w:rPr>
                <w:rFonts w:ascii="Calibri" w:hAnsi="Calibri" w:cs="Calibri"/>
                <w:color w:val="000000"/>
              </w:rPr>
            </w:pPr>
            <w:r>
              <w:rPr>
                <w:rFonts w:ascii="Calibri" w:hAnsi="Calibri" w:cs="Calibri"/>
                <w:color w:val="000000"/>
              </w:rPr>
              <w:t>ČR</w:t>
            </w:r>
          </w:p>
        </w:tc>
        <w:tc>
          <w:tcPr>
            <w:tcW w:w="6096" w:type="dxa"/>
            <w:vAlign w:val="center"/>
          </w:tcPr>
          <w:p w14:paraId="647C8107" w14:textId="18BFB593" w:rsidR="00C2283C" w:rsidDel="001322F7" w:rsidRDefault="00C2283C" w:rsidP="002D41E2">
            <w:pPr>
              <w:spacing w:after="0"/>
              <w:rPr>
                <w:rFonts w:ascii="Calibri" w:hAnsi="Calibri" w:cs="Calibri"/>
                <w:color w:val="000000"/>
              </w:rPr>
            </w:pPr>
            <w:r>
              <w:rPr>
                <w:rFonts w:ascii="Calibri" w:hAnsi="Calibri" w:cs="Calibri"/>
                <w:color w:val="000000"/>
              </w:rPr>
              <w:t>Česká republika</w:t>
            </w:r>
          </w:p>
        </w:tc>
      </w:tr>
      <w:tr w:rsidR="00A5306E" w14:paraId="1549D7DE" w14:textId="77777777" w:rsidTr="00E70C65">
        <w:trPr>
          <w:trHeight w:val="315"/>
        </w:trPr>
        <w:tc>
          <w:tcPr>
            <w:tcW w:w="2835" w:type="dxa"/>
            <w:noWrap/>
            <w:hideMark/>
          </w:tcPr>
          <w:p w14:paraId="326DF62A" w14:textId="77777777" w:rsidR="00A5306E" w:rsidRDefault="00A5306E" w:rsidP="002D41E2">
            <w:pPr>
              <w:spacing w:after="0"/>
              <w:rPr>
                <w:rFonts w:ascii="Calibri" w:hAnsi="Calibri" w:cs="Calibri"/>
                <w:color w:val="000000"/>
              </w:rPr>
            </w:pPr>
            <w:r>
              <w:rPr>
                <w:rFonts w:ascii="Calibri" w:hAnsi="Calibri" w:cs="Calibri"/>
                <w:color w:val="000000"/>
              </w:rPr>
              <w:t>DEV</w:t>
            </w:r>
          </w:p>
        </w:tc>
        <w:tc>
          <w:tcPr>
            <w:tcW w:w="6096" w:type="dxa"/>
            <w:vAlign w:val="center"/>
            <w:hideMark/>
          </w:tcPr>
          <w:p w14:paraId="3F896739" w14:textId="21C6B51B" w:rsidR="00A5306E" w:rsidRDefault="001322F7" w:rsidP="002D41E2">
            <w:pPr>
              <w:spacing w:after="0"/>
              <w:rPr>
                <w:rFonts w:ascii="Calibri" w:hAnsi="Calibri" w:cs="Calibri"/>
                <w:color w:val="000000"/>
              </w:rPr>
            </w:pPr>
            <w:r>
              <w:rPr>
                <w:rFonts w:ascii="Calibri" w:hAnsi="Calibri" w:cs="Calibri"/>
                <w:color w:val="000000"/>
              </w:rPr>
              <w:t>d</w:t>
            </w:r>
            <w:r w:rsidR="00A5306E">
              <w:rPr>
                <w:rFonts w:ascii="Calibri" w:hAnsi="Calibri" w:cs="Calibri"/>
                <w:color w:val="000000"/>
              </w:rPr>
              <w:t>atabáze evidence vozidel</w:t>
            </w:r>
          </w:p>
        </w:tc>
      </w:tr>
      <w:tr w:rsidR="00A5306E" w14:paraId="793E6FD7" w14:textId="77777777" w:rsidTr="00E70C65">
        <w:trPr>
          <w:trHeight w:val="315"/>
        </w:trPr>
        <w:tc>
          <w:tcPr>
            <w:tcW w:w="2835" w:type="dxa"/>
            <w:noWrap/>
            <w:hideMark/>
          </w:tcPr>
          <w:p w14:paraId="4CEB112D" w14:textId="77777777" w:rsidR="00A5306E" w:rsidRDefault="00A5306E" w:rsidP="002D41E2">
            <w:pPr>
              <w:spacing w:after="0"/>
              <w:rPr>
                <w:rFonts w:ascii="Calibri" w:hAnsi="Calibri" w:cs="Calibri"/>
                <w:color w:val="000000"/>
              </w:rPr>
            </w:pPr>
            <w:r>
              <w:rPr>
                <w:rFonts w:ascii="Calibri" w:hAnsi="Calibri" w:cs="Calibri"/>
                <w:color w:val="000000"/>
              </w:rPr>
              <w:t>DŘ</w:t>
            </w:r>
          </w:p>
        </w:tc>
        <w:tc>
          <w:tcPr>
            <w:tcW w:w="6096" w:type="dxa"/>
            <w:vAlign w:val="center"/>
            <w:hideMark/>
          </w:tcPr>
          <w:p w14:paraId="70FEC7A8" w14:textId="5F1E81A2" w:rsidR="00A5306E" w:rsidRDefault="001322F7" w:rsidP="002D41E2">
            <w:pPr>
              <w:spacing w:after="0"/>
              <w:rPr>
                <w:rFonts w:ascii="Calibri" w:hAnsi="Calibri" w:cs="Calibri"/>
                <w:color w:val="000000"/>
              </w:rPr>
            </w:pPr>
            <w:r>
              <w:rPr>
                <w:rFonts w:ascii="Calibri" w:hAnsi="Calibri" w:cs="Calibri"/>
                <w:color w:val="000000"/>
              </w:rPr>
              <w:t>z</w:t>
            </w:r>
            <w:r w:rsidR="00A5306E">
              <w:rPr>
                <w:rFonts w:ascii="Calibri" w:hAnsi="Calibri" w:cs="Calibri"/>
                <w:color w:val="000000"/>
              </w:rPr>
              <w:t>ákon č. 280/2009 Sb., daňový řád</w:t>
            </w:r>
          </w:p>
        </w:tc>
      </w:tr>
      <w:tr w:rsidR="00A5306E" w14:paraId="0508DF4A" w14:textId="77777777" w:rsidTr="00E70C65">
        <w:trPr>
          <w:trHeight w:val="315"/>
        </w:trPr>
        <w:tc>
          <w:tcPr>
            <w:tcW w:w="2835" w:type="dxa"/>
            <w:noWrap/>
            <w:hideMark/>
          </w:tcPr>
          <w:p w14:paraId="0F6BFC52" w14:textId="77777777" w:rsidR="00A5306E" w:rsidRDefault="00A5306E" w:rsidP="002D41E2">
            <w:pPr>
              <w:spacing w:after="0"/>
              <w:rPr>
                <w:rFonts w:ascii="Calibri" w:hAnsi="Calibri" w:cs="Calibri"/>
                <w:color w:val="000000"/>
              </w:rPr>
            </w:pPr>
            <w:r>
              <w:rPr>
                <w:rFonts w:ascii="Calibri" w:hAnsi="Calibri" w:cs="Calibri"/>
                <w:color w:val="000000"/>
              </w:rPr>
              <w:t>DSL</w:t>
            </w:r>
          </w:p>
        </w:tc>
        <w:tc>
          <w:tcPr>
            <w:tcW w:w="6096" w:type="dxa"/>
            <w:vAlign w:val="center"/>
            <w:hideMark/>
          </w:tcPr>
          <w:p w14:paraId="3CBBA07E" w14:textId="77777777" w:rsidR="00A5306E" w:rsidRDefault="00A5306E" w:rsidP="002D41E2">
            <w:pPr>
              <w:spacing w:after="0"/>
              <w:rPr>
                <w:rFonts w:ascii="Calibri" w:hAnsi="Calibri" w:cs="Calibri"/>
                <w:color w:val="000000"/>
              </w:rPr>
            </w:pPr>
            <w:r>
              <w:rPr>
                <w:rFonts w:ascii="Calibri" w:hAnsi="Calibri" w:cs="Calibri"/>
                <w:color w:val="000000"/>
              </w:rPr>
              <w:t>daň silniční</w:t>
            </w:r>
          </w:p>
        </w:tc>
      </w:tr>
      <w:tr w:rsidR="00A5306E" w14:paraId="1FA9D226" w14:textId="77777777" w:rsidTr="00E70C65">
        <w:trPr>
          <w:trHeight w:val="315"/>
        </w:trPr>
        <w:tc>
          <w:tcPr>
            <w:tcW w:w="2835" w:type="dxa"/>
            <w:noWrap/>
            <w:hideMark/>
          </w:tcPr>
          <w:p w14:paraId="0BD4FDF5" w14:textId="77777777" w:rsidR="00A5306E" w:rsidRDefault="00A5306E" w:rsidP="002D41E2">
            <w:pPr>
              <w:spacing w:after="0"/>
              <w:rPr>
                <w:rFonts w:ascii="Calibri" w:hAnsi="Calibri" w:cs="Calibri"/>
                <w:color w:val="000000"/>
              </w:rPr>
            </w:pPr>
            <w:r>
              <w:rPr>
                <w:rFonts w:ascii="Calibri" w:hAnsi="Calibri" w:cs="Calibri"/>
                <w:color w:val="000000"/>
              </w:rPr>
              <w:t>FS ČR</w:t>
            </w:r>
          </w:p>
        </w:tc>
        <w:tc>
          <w:tcPr>
            <w:tcW w:w="6096" w:type="dxa"/>
            <w:vAlign w:val="center"/>
            <w:hideMark/>
          </w:tcPr>
          <w:p w14:paraId="051F5FC6" w14:textId="77777777" w:rsidR="00A5306E" w:rsidRDefault="00A5306E" w:rsidP="002D41E2">
            <w:pPr>
              <w:spacing w:after="0"/>
              <w:rPr>
                <w:rFonts w:ascii="Calibri" w:hAnsi="Calibri" w:cs="Calibri"/>
                <w:color w:val="000000"/>
              </w:rPr>
            </w:pPr>
            <w:r>
              <w:rPr>
                <w:rFonts w:ascii="Calibri" w:hAnsi="Calibri" w:cs="Calibri"/>
                <w:color w:val="000000"/>
              </w:rPr>
              <w:t>Finanční správa ČR</w:t>
            </w:r>
          </w:p>
        </w:tc>
      </w:tr>
      <w:tr w:rsidR="00A5306E" w14:paraId="5D67EBA1" w14:textId="77777777" w:rsidTr="00E70C65">
        <w:trPr>
          <w:trHeight w:val="315"/>
        </w:trPr>
        <w:tc>
          <w:tcPr>
            <w:tcW w:w="2835" w:type="dxa"/>
            <w:noWrap/>
            <w:hideMark/>
          </w:tcPr>
          <w:p w14:paraId="50EFBD84" w14:textId="77777777" w:rsidR="00A5306E" w:rsidRDefault="00A5306E" w:rsidP="002D41E2">
            <w:pPr>
              <w:spacing w:after="0"/>
              <w:rPr>
                <w:rFonts w:ascii="Calibri" w:hAnsi="Calibri" w:cs="Calibri"/>
                <w:color w:val="000000"/>
              </w:rPr>
            </w:pPr>
            <w:r>
              <w:rPr>
                <w:rFonts w:ascii="Calibri" w:hAnsi="Calibri" w:cs="Calibri"/>
                <w:color w:val="000000"/>
              </w:rPr>
              <w:t>FÚ</w:t>
            </w:r>
          </w:p>
        </w:tc>
        <w:tc>
          <w:tcPr>
            <w:tcW w:w="6096" w:type="dxa"/>
            <w:vAlign w:val="center"/>
            <w:hideMark/>
          </w:tcPr>
          <w:p w14:paraId="18465642" w14:textId="305FFFDD" w:rsidR="00A5306E" w:rsidRDefault="001322F7" w:rsidP="002D41E2">
            <w:pPr>
              <w:spacing w:after="0"/>
              <w:rPr>
                <w:rFonts w:ascii="Calibri" w:hAnsi="Calibri" w:cs="Calibri"/>
                <w:color w:val="000000"/>
              </w:rPr>
            </w:pPr>
            <w:r>
              <w:rPr>
                <w:rFonts w:ascii="Calibri" w:hAnsi="Calibri" w:cs="Calibri"/>
                <w:color w:val="000000"/>
              </w:rPr>
              <w:t>f</w:t>
            </w:r>
            <w:r w:rsidR="00A5306E">
              <w:rPr>
                <w:rFonts w:ascii="Calibri" w:hAnsi="Calibri" w:cs="Calibri"/>
                <w:color w:val="000000"/>
              </w:rPr>
              <w:t>inanční úřad</w:t>
            </w:r>
          </w:p>
        </w:tc>
      </w:tr>
      <w:tr w:rsidR="00A5306E" w14:paraId="76CFC2F5" w14:textId="77777777" w:rsidTr="00E70C65">
        <w:trPr>
          <w:trHeight w:val="315"/>
        </w:trPr>
        <w:tc>
          <w:tcPr>
            <w:tcW w:w="2835" w:type="dxa"/>
            <w:noWrap/>
            <w:hideMark/>
          </w:tcPr>
          <w:p w14:paraId="76C76E87" w14:textId="77777777" w:rsidR="00A5306E" w:rsidRDefault="00A5306E" w:rsidP="002D41E2">
            <w:pPr>
              <w:spacing w:after="0"/>
              <w:rPr>
                <w:rFonts w:ascii="Calibri" w:hAnsi="Calibri" w:cs="Calibri"/>
                <w:color w:val="000000"/>
              </w:rPr>
            </w:pPr>
            <w:r>
              <w:rPr>
                <w:rFonts w:ascii="Calibri" w:hAnsi="Calibri" w:cs="Calibri"/>
                <w:color w:val="000000"/>
              </w:rPr>
              <w:t>FÚ JMK</w:t>
            </w:r>
          </w:p>
        </w:tc>
        <w:tc>
          <w:tcPr>
            <w:tcW w:w="6096" w:type="dxa"/>
            <w:vAlign w:val="center"/>
            <w:hideMark/>
          </w:tcPr>
          <w:p w14:paraId="5BE83896" w14:textId="77777777" w:rsidR="00A5306E" w:rsidRDefault="00A5306E" w:rsidP="002D41E2">
            <w:pPr>
              <w:spacing w:after="0"/>
              <w:rPr>
                <w:rFonts w:ascii="Calibri" w:hAnsi="Calibri" w:cs="Calibri"/>
                <w:color w:val="000000"/>
              </w:rPr>
            </w:pPr>
            <w:r>
              <w:rPr>
                <w:rFonts w:ascii="Calibri" w:hAnsi="Calibri" w:cs="Calibri"/>
                <w:color w:val="000000"/>
              </w:rPr>
              <w:t>Finanční úřad pro Jihomoravský kraj</w:t>
            </w:r>
          </w:p>
        </w:tc>
      </w:tr>
      <w:tr w:rsidR="00A5306E" w14:paraId="50F39E7F" w14:textId="77777777" w:rsidTr="00E70C65">
        <w:trPr>
          <w:trHeight w:val="315"/>
        </w:trPr>
        <w:tc>
          <w:tcPr>
            <w:tcW w:w="2835" w:type="dxa"/>
            <w:noWrap/>
            <w:hideMark/>
          </w:tcPr>
          <w:p w14:paraId="1B77237F" w14:textId="77777777" w:rsidR="00A5306E" w:rsidRDefault="00A5306E" w:rsidP="002D41E2">
            <w:pPr>
              <w:spacing w:after="0"/>
              <w:rPr>
                <w:rFonts w:ascii="Calibri" w:hAnsi="Calibri" w:cs="Calibri"/>
                <w:color w:val="000000"/>
              </w:rPr>
            </w:pPr>
            <w:r>
              <w:rPr>
                <w:rFonts w:ascii="Calibri" w:hAnsi="Calibri" w:cs="Calibri"/>
                <w:color w:val="000000"/>
              </w:rPr>
              <w:t>FÚ KHK</w:t>
            </w:r>
          </w:p>
        </w:tc>
        <w:tc>
          <w:tcPr>
            <w:tcW w:w="6096" w:type="dxa"/>
            <w:vAlign w:val="center"/>
            <w:hideMark/>
          </w:tcPr>
          <w:p w14:paraId="44998798" w14:textId="77777777" w:rsidR="00A5306E" w:rsidRDefault="00A5306E" w:rsidP="002D41E2">
            <w:pPr>
              <w:spacing w:after="0"/>
              <w:rPr>
                <w:rFonts w:ascii="Calibri" w:hAnsi="Calibri" w:cs="Calibri"/>
                <w:color w:val="000000"/>
              </w:rPr>
            </w:pPr>
            <w:r>
              <w:rPr>
                <w:rFonts w:ascii="Calibri" w:hAnsi="Calibri" w:cs="Calibri"/>
                <w:color w:val="000000"/>
              </w:rPr>
              <w:t>Finanční úřad pro Královéhradecký kraj</w:t>
            </w:r>
          </w:p>
        </w:tc>
      </w:tr>
      <w:tr w:rsidR="00A5306E" w14:paraId="78C39B30" w14:textId="77777777" w:rsidTr="00E70C65">
        <w:trPr>
          <w:trHeight w:val="315"/>
        </w:trPr>
        <w:tc>
          <w:tcPr>
            <w:tcW w:w="2835" w:type="dxa"/>
            <w:noWrap/>
            <w:hideMark/>
          </w:tcPr>
          <w:p w14:paraId="2D144488" w14:textId="77777777" w:rsidR="00A5306E" w:rsidRDefault="00A5306E" w:rsidP="002D41E2">
            <w:pPr>
              <w:spacing w:after="0"/>
              <w:rPr>
                <w:rFonts w:ascii="Calibri" w:hAnsi="Calibri" w:cs="Calibri"/>
                <w:color w:val="000000"/>
              </w:rPr>
            </w:pPr>
            <w:r>
              <w:rPr>
                <w:rFonts w:ascii="Calibri" w:hAnsi="Calibri" w:cs="Calibri"/>
                <w:color w:val="000000"/>
              </w:rPr>
              <w:t>GFŘ</w:t>
            </w:r>
          </w:p>
        </w:tc>
        <w:tc>
          <w:tcPr>
            <w:tcW w:w="6096" w:type="dxa"/>
            <w:vAlign w:val="center"/>
            <w:hideMark/>
          </w:tcPr>
          <w:p w14:paraId="7D95D970" w14:textId="77777777" w:rsidR="00A5306E" w:rsidRDefault="00A5306E" w:rsidP="002D41E2">
            <w:pPr>
              <w:spacing w:after="0"/>
              <w:rPr>
                <w:rFonts w:ascii="Calibri" w:hAnsi="Calibri" w:cs="Calibri"/>
                <w:color w:val="000000"/>
              </w:rPr>
            </w:pPr>
            <w:r>
              <w:rPr>
                <w:rFonts w:ascii="Calibri" w:hAnsi="Calibri" w:cs="Calibri"/>
                <w:color w:val="000000"/>
              </w:rPr>
              <w:t>Generální finanční ředitelství</w:t>
            </w:r>
          </w:p>
        </w:tc>
      </w:tr>
      <w:tr w:rsidR="00C2283C" w14:paraId="32E27B00" w14:textId="77777777" w:rsidTr="00E70C65">
        <w:trPr>
          <w:trHeight w:val="315"/>
        </w:trPr>
        <w:tc>
          <w:tcPr>
            <w:tcW w:w="2835" w:type="dxa"/>
            <w:noWrap/>
          </w:tcPr>
          <w:p w14:paraId="4BCC255A" w14:textId="5694285F" w:rsidR="00C2283C" w:rsidRDefault="00C2283C" w:rsidP="002D41E2">
            <w:pPr>
              <w:spacing w:after="0"/>
              <w:rPr>
                <w:rFonts w:ascii="Calibri" w:hAnsi="Calibri" w:cs="Calibri"/>
                <w:color w:val="000000"/>
              </w:rPr>
            </w:pPr>
            <w:r>
              <w:rPr>
                <w:rFonts w:ascii="Calibri" w:hAnsi="Calibri" w:cs="Calibri"/>
                <w:color w:val="000000"/>
              </w:rPr>
              <w:t>IČO</w:t>
            </w:r>
          </w:p>
        </w:tc>
        <w:tc>
          <w:tcPr>
            <w:tcW w:w="6096" w:type="dxa"/>
            <w:vAlign w:val="center"/>
          </w:tcPr>
          <w:p w14:paraId="71C1CD00" w14:textId="243CA7DA" w:rsidR="00C2283C" w:rsidRDefault="00C2283C" w:rsidP="002D41E2">
            <w:pPr>
              <w:spacing w:after="0"/>
              <w:rPr>
                <w:rFonts w:ascii="Calibri" w:hAnsi="Calibri" w:cs="Calibri"/>
                <w:color w:val="000000"/>
              </w:rPr>
            </w:pPr>
            <w:r>
              <w:rPr>
                <w:rFonts w:ascii="Calibri" w:hAnsi="Calibri" w:cs="Calibri"/>
                <w:color w:val="000000"/>
              </w:rPr>
              <w:t>identifikační číslo osoby</w:t>
            </w:r>
          </w:p>
        </w:tc>
      </w:tr>
      <w:tr w:rsidR="00C2283C" w14:paraId="72F2C258" w14:textId="77777777" w:rsidTr="00E70C65">
        <w:trPr>
          <w:trHeight w:val="315"/>
        </w:trPr>
        <w:tc>
          <w:tcPr>
            <w:tcW w:w="2835" w:type="dxa"/>
            <w:noWrap/>
          </w:tcPr>
          <w:p w14:paraId="38A3D1BE" w14:textId="143189FA" w:rsidR="00C2283C" w:rsidRDefault="00C2283C" w:rsidP="002D41E2">
            <w:pPr>
              <w:spacing w:after="0"/>
              <w:rPr>
                <w:rFonts w:ascii="Calibri" w:hAnsi="Calibri" w:cs="Calibri"/>
                <w:color w:val="000000"/>
              </w:rPr>
            </w:pPr>
            <w:r>
              <w:rPr>
                <w:rFonts w:ascii="Calibri" w:hAnsi="Calibri" w:cs="Calibri"/>
                <w:color w:val="000000"/>
              </w:rPr>
              <w:t>LNG</w:t>
            </w:r>
          </w:p>
        </w:tc>
        <w:tc>
          <w:tcPr>
            <w:tcW w:w="6096" w:type="dxa"/>
            <w:vAlign w:val="center"/>
          </w:tcPr>
          <w:p w14:paraId="7FB236F1" w14:textId="276577A5" w:rsidR="00C2283C" w:rsidRDefault="00C2283C" w:rsidP="002D41E2">
            <w:pPr>
              <w:spacing w:after="0"/>
              <w:rPr>
                <w:rFonts w:ascii="Calibri" w:hAnsi="Calibri" w:cs="Calibri"/>
                <w:color w:val="000000"/>
              </w:rPr>
            </w:pPr>
            <w:r>
              <w:rPr>
                <w:rFonts w:ascii="Calibri" w:hAnsi="Calibri" w:cs="Calibri"/>
                <w:color w:val="000000"/>
              </w:rPr>
              <w:t>zkapalněný zemní plyn (</w:t>
            </w:r>
            <w:r w:rsidRPr="00C2283C">
              <w:rPr>
                <w:szCs w:val="24"/>
                <w:lang w:val="en-GB"/>
              </w:rPr>
              <w:t>liquefied natural gas</w:t>
            </w:r>
            <w:r>
              <w:rPr>
                <w:szCs w:val="24"/>
              </w:rPr>
              <w:t>)</w:t>
            </w:r>
          </w:p>
        </w:tc>
      </w:tr>
      <w:tr w:rsidR="00D6622D" w14:paraId="4FD37384" w14:textId="77777777" w:rsidTr="00E70C65">
        <w:trPr>
          <w:trHeight w:val="315"/>
        </w:trPr>
        <w:tc>
          <w:tcPr>
            <w:tcW w:w="2835" w:type="dxa"/>
            <w:noWrap/>
            <w:hideMark/>
          </w:tcPr>
          <w:p w14:paraId="03258A3C" w14:textId="1DBE257D" w:rsidR="00D6622D" w:rsidRDefault="00D6622D" w:rsidP="002D41E2">
            <w:pPr>
              <w:spacing w:after="0"/>
              <w:rPr>
                <w:rFonts w:ascii="Calibri" w:hAnsi="Calibri" w:cs="Calibri"/>
                <w:color w:val="000000"/>
              </w:rPr>
            </w:pPr>
            <w:r>
              <w:rPr>
                <w:rFonts w:ascii="Calibri" w:hAnsi="Calibri" w:cs="Calibri"/>
                <w:color w:val="000000"/>
              </w:rPr>
              <w:t>MD</w:t>
            </w:r>
          </w:p>
        </w:tc>
        <w:tc>
          <w:tcPr>
            <w:tcW w:w="6096" w:type="dxa"/>
            <w:vAlign w:val="center"/>
            <w:hideMark/>
          </w:tcPr>
          <w:p w14:paraId="5234D4C5" w14:textId="79AEB4EC" w:rsidR="00D6622D" w:rsidRDefault="00D6622D" w:rsidP="002D41E2">
            <w:pPr>
              <w:spacing w:after="0"/>
              <w:rPr>
                <w:rFonts w:ascii="Calibri" w:hAnsi="Calibri" w:cs="Calibri"/>
                <w:color w:val="000000"/>
              </w:rPr>
            </w:pPr>
            <w:r>
              <w:rPr>
                <w:rFonts w:ascii="Calibri" w:hAnsi="Calibri" w:cs="Calibri"/>
                <w:color w:val="000000"/>
              </w:rPr>
              <w:t>Ministerstvo dopravy</w:t>
            </w:r>
          </w:p>
        </w:tc>
      </w:tr>
      <w:tr w:rsidR="00D6622D" w14:paraId="5D37C4BC" w14:textId="77777777" w:rsidTr="00E70C65">
        <w:trPr>
          <w:trHeight w:val="315"/>
        </w:trPr>
        <w:tc>
          <w:tcPr>
            <w:tcW w:w="2835" w:type="dxa"/>
            <w:noWrap/>
            <w:hideMark/>
          </w:tcPr>
          <w:p w14:paraId="7E0379A6" w14:textId="7A1BABE1" w:rsidR="00D6622D" w:rsidRDefault="00D6622D" w:rsidP="002D41E2">
            <w:pPr>
              <w:spacing w:after="0"/>
              <w:rPr>
                <w:rFonts w:ascii="Calibri" w:hAnsi="Calibri" w:cs="Calibri"/>
                <w:color w:val="000000"/>
              </w:rPr>
            </w:pPr>
            <w:r>
              <w:rPr>
                <w:rFonts w:ascii="Calibri" w:hAnsi="Calibri" w:cs="Calibri"/>
                <w:color w:val="000000"/>
              </w:rPr>
              <w:t>MF</w:t>
            </w:r>
          </w:p>
        </w:tc>
        <w:tc>
          <w:tcPr>
            <w:tcW w:w="6096" w:type="dxa"/>
            <w:vAlign w:val="center"/>
            <w:hideMark/>
          </w:tcPr>
          <w:p w14:paraId="665EC851" w14:textId="4CEF85DA" w:rsidR="00D6622D" w:rsidRDefault="00D6622D" w:rsidP="002D41E2">
            <w:pPr>
              <w:spacing w:after="0"/>
              <w:rPr>
                <w:rFonts w:ascii="Calibri" w:hAnsi="Calibri" w:cs="Calibri"/>
                <w:color w:val="000000"/>
              </w:rPr>
            </w:pPr>
            <w:r>
              <w:rPr>
                <w:rFonts w:ascii="Calibri" w:hAnsi="Calibri" w:cs="Calibri"/>
                <w:color w:val="000000"/>
              </w:rPr>
              <w:t>Ministerstvo financí</w:t>
            </w:r>
          </w:p>
        </w:tc>
      </w:tr>
      <w:tr w:rsidR="00D6622D" w14:paraId="489595CA" w14:textId="77777777" w:rsidTr="00E70C65">
        <w:trPr>
          <w:trHeight w:val="315"/>
        </w:trPr>
        <w:tc>
          <w:tcPr>
            <w:tcW w:w="2835" w:type="dxa"/>
            <w:noWrap/>
            <w:hideMark/>
          </w:tcPr>
          <w:p w14:paraId="457ED594" w14:textId="3DF8C101" w:rsidR="00D6622D" w:rsidRDefault="00D6622D" w:rsidP="002D41E2">
            <w:pPr>
              <w:spacing w:after="0"/>
              <w:rPr>
                <w:rFonts w:ascii="Calibri" w:hAnsi="Calibri" w:cs="Calibri"/>
                <w:color w:val="000000"/>
              </w:rPr>
            </w:pPr>
            <w:r>
              <w:rPr>
                <w:rFonts w:ascii="Calibri" w:hAnsi="Calibri" w:cs="Calibri"/>
                <w:color w:val="000000"/>
              </w:rPr>
              <w:t>NKÚ</w:t>
            </w:r>
          </w:p>
        </w:tc>
        <w:tc>
          <w:tcPr>
            <w:tcW w:w="6096" w:type="dxa"/>
            <w:vAlign w:val="center"/>
            <w:hideMark/>
          </w:tcPr>
          <w:p w14:paraId="2DD4678F" w14:textId="2C3812F1" w:rsidR="00D6622D" w:rsidRDefault="00D6622D" w:rsidP="002D41E2">
            <w:pPr>
              <w:spacing w:after="0"/>
              <w:rPr>
                <w:rFonts w:ascii="Calibri" w:hAnsi="Calibri" w:cs="Calibri"/>
                <w:color w:val="000000"/>
              </w:rPr>
            </w:pPr>
            <w:r>
              <w:rPr>
                <w:rFonts w:ascii="Calibri" w:hAnsi="Calibri" w:cs="Calibri"/>
                <w:color w:val="000000"/>
              </w:rPr>
              <w:t>Nejvyšší kontrolní úřad</w:t>
            </w:r>
          </w:p>
        </w:tc>
      </w:tr>
      <w:tr w:rsidR="007B383E" w14:paraId="0F2719BF" w14:textId="77777777" w:rsidTr="00E70C65">
        <w:trPr>
          <w:trHeight w:val="315"/>
        </w:trPr>
        <w:tc>
          <w:tcPr>
            <w:tcW w:w="2835" w:type="dxa"/>
            <w:noWrap/>
          </w:tcPr>
          <w:p w14:paraId="1AA554B6" w14:textId="6A137054" w:rsidR="007B383E" w:rsidRDefault="007B383E" w:rsidP="002D41E2">
            <w:pPr>
              <w:spacing w:after="0"/>
              <w:rPr>
                <w:rFonts w:ascii="Calibri" w:hAnsi="Calibri" w:cs="Calibri"/>
                <w:color w:val="000000"/>
              </w:rPr>
            </w:pPr>
            <w:r w:rsidRPr="007B383E">
              <w:rPr>
                <w:iCs/>
                <w:szCs w:val="24"/>
              </w:rPr>
              <w:t>PSP ČR</w:t>
            </w:r>
          </w:p>
        </w:tc>
        <w:tc>
          <w:tcPr>
            <w:tcW w:w="6096" w:type="dxa"/>
            <w:vAlign w:val="center"/>
          </w:tcPr>
          <w:p w14:paraId="53AF8250" w14:textId="1E837075" w:rsidR="007B383E" w:rsidRDefault="007B383E" w:rsidP="002D41E2">
            <w:pPr>
              <w:spacing w:after="0"/>
              <w:rPr>
                <w:rFonts w:ascii="Calibri" w:hAnsi="Calibri" w:cs="Calibri"/>
                <w:color w:val="000000"/>
              </w:rPr>
            </w:pPr>
            <w:r>
              <w:rPr>
                <w:rFonts w:ascii="Calibri" w:hAnsi="Calibri" w:cs="Calibri"/>
                <w:color w:val="000000"/>
              </w:rPr>
              <w:t>Poslanecká sněmovna Parlamentu České republiky</w:t>
            </w:r>
          </w:p>
        </w:tc>
      </w:tr>
      <w:tr w:rsidR="00D6622D" w14:paraId="54ACB83B" w14:textId="77777777" w:rsidTr="00E70C65">
        <w:trPr>
          <w:trHeight w:val="315"/>
        </w:trPr>
        <w:tc>
          <w:tcPr>
            <w:tcW w:w="2835" w:type="dxa"/>
            <w:noWrap/>
            <w:hideMark/>
          </w:tcPr>
          <w:p w14:paraId="49FE14F0" w14:textId="19028D21" w:rsidR="00D6622D" w:rsidRDefault="00D6622D" w:rsidP="002D41E2">
            <w:pPr>
              <w:spacing w:after="0"/>
              <w:rPr>
                <w:rFonts w:ascii="Calibri" w:hAnsi="Calibri" w:cs="Calibri"/>
                <w:color w:val="000000"/>
              </w:rPr>
            </w:pPr>
            <w:r>
              <w:rPr>
                <w:rFonts w:ascii="Calibri" w:hAnsi="Calibri" w:cs="Calibri"/>
                <w:color w:val="000000"/>
              </w:rPr>
              <w:t>RSV</w:t>
            </w:r>
          </w:p>
        </w:tc>
        <w:tc>
          <w:tcPr>
            <w:tcW w:w="6096" w:type="dxa"/>
            <w:vAlign w:val="center"/>
            <w:hideMark/>
          </w:tcPr>
          <w:p w14:paraId="33761913" w14:textId="6DE79D38" w:rsidR="00D6622D" w:rsidRDefault="001322F7" w:rsidP="002D41E2">
            <w:pPr>
              <w:spacing w:after="0"/>
              <w:rPr>
                <w:rFonts w:ascii="Calibri" w:hAnsi="Calibri" w:cs="Calibri"/>
                <w:color w:val="000000"/>
              </w:rPr>
            </w:pPr>
            <w:r>
              <w:rPr>
                <w:rFonts w:ascii="Calibri" w:hAnsi="Calibri" w:cs="Calibri"/>
                <w:color w:val="000000"/>
              </w:rPr>
              <w:t>r</w:t>
            </w:r>
            <w:r w:rsidR="00D6622D">
              <w:rPr>
                <w:rFonts w:ascii="Calibri" w:hAnsi="Calibri" w:cs="Calibri"/>
                <w:color w:val="000000"/>
              </w:rPr>
              <w:t>egistr silničních vozidel</w:t>
            </w:r>
          </w:p>
        </w:tc>
      </w:tr>
      <w:tr w:rsidR="00C2283C" w14:paraId="7673A7E3" w14:textId="77777777" w:rsidTr="00E70C65">
        <w:trPr>
          <w:trHeight w:val="315"/>
        </w:trPr>
        <w:tc>
          <w:tcPr>
            <w:tcW w:w="2835" w:type="dxa"/>
            <w:noWrap/>
          </w:tcPr>
          <w:p w14:paraId="7E9FEE45" w14:textId="7011BA47" w:rsidR="00C2283C" w:rsidRDefault="00C2283C" w:rsidP="002D41E2">
            <w:pPr>
              <w:spacing w:after="0"/>
              <w:rPr>
                <w:rFonts w:ascii="Calibri" w:hAnsi="Calibri" w:cs="Calibri"/>
                <w:color w:val="000000"/>
              </w:rPr>
            </w:pPr>
            <w:r>
              <w:rPr>
                <w:rFonts w:ascii="Calibri" w:hAnsi="Calibri" w:cs="Calibri"/>
                <w:color w:val="000000"/>
              </w:rPr>
              <w:t>TP</w:t>
            </w:r>
          </w:p>
        </w:tc>
        <w:tc>
          <w:tcPr>
            <w:tcW w:w="6096" w:type="dxa"/>
            <w:vAlign w:val="center"/>
          </w:tcPr>
          <w:p w14:paraId="5884B72A" w14:textId="35DA5A58" w:rsidR="00C2283C" w:rsidDel="001322F7" w:rsidRDefault="00C2283C" w:rsidP="002D41E2">
            <w:pPr>
              <w:spacing w:after="0"/>
              <w:rPr>
                <w:rFonts w:ascii="Calibri" w:hAnsi="Calibri" w:cs="Calibri"/>
                <w:color w:val="000000"/>
              </w:rPr>
            </w:pPr>
            <w:r>
              <w:rPr>
                <w:rFonts w:ascii="Calibri" w:hAnsi="Calibri" w:cs="Calibri"/>
                <w:color w:val="000000"/>
              </w:rPr>
              <w:t>technický průkaz</w:t>
            </w:r>
          </w:p>
        </w:tc>
      </w:tr>
      <w:tr w:rsidR="00D6622D" w14:paraId="5DD42223" w14:textId="77777777" w:rsidTr="00E70C65">
        <w:trPr>
          <w:trHeight w:val="315"/>
        </w:trPr>
        <w:tc>
          <w:tcPr>
            <w:tcW w:w="2835" w:type="dxa"/>
            <w:noWrap/>
            <w:hideMark/>
          </w:tcPr>
          <w:p w14:paraId="5F5BFC20" w14:textId="5B34B022" w:rsidR="00D6622D" w:rsidRDefault="00D6622D" w:rsidP="002D41E2">
            <w:pPr>
              <w:spacing w:after="0"/>
              <w:rPr>
                <w:rFonts w:ascii="Calibri" w:hAnsi="Calibri" w:cs="Calibri"/>
                <w:color w:val="000000"/>
              </w:rPr>
            </w:pPr>
            <w:r>
              <w:rPr>
                <w:rFonts w:ascii="Calibri" w:hAnsi="Calibri" w:cs="Calibri"/>
                <w:color w:val="000000"/>
              </w:rPr>
              <w:t>ZDS</w:t>
            </w:r>
          </w:p>
        </w:tc>
        <w:tc>
          <w:tcPr>
            <w:tcW w:w="6096" w:type="dxa"/>
            <w:vAlign w:val="center"/>
            <w:hideMark/>
          </w:tcPr>
          <w:p w14:paraId="66E44266" w14:textId="698768AC" w:rsidR="00D6622D" w:rsidRDefault="001322F7" w:rsidP="002D41E2">
            <w:pPr>
              <w:spacing w:after="0"/>
              <w:rPr>
                <w:rFonts w:ascii="Calibri" w:hAnsi="Calibri" w:cs="Calibri"/>
                <w:color w:val="000000"/>
              </w:rPr>
            </w:pPr>
            <w:r>
              <w:rPr>
                <w:rFonts w:ascii="Calibri" w:hAnsi="Calibri" w:cs="Calibri"/>
                <w:color w:val="000000"/>
              </w:rPr>
              <w:t>z</w:t>
            </w:r>
            <w:r w:rsidR="00D6622D">
              <w:rPr>
                <w:rFonts w:ascii="Calibri" w:hAnsi="Calibri" w:cs="Calibri"/>
                <w:color w:val="000000"/>
              </w:rPr>
              <w:t xml:space="preserve">ákon </w:t>
            </w:r>
            <w:r w:rsidR="00E35B12">
              <w:rPr>
                <w:rFonts w:ascii="Calibri" w:hAnsi="Calibri" w:cs="Calibri"/>
                <w:color w:val="000000"/>
              </w:rPr>
              <w:t xml:space="preserve">České národní rady </w:t>
            </w:r>
            <w:r w:rsidR="00D6622D">
              <w:rPr>
                <w:rFonts w:ascii="Calibri" w:hAnsi="Calibri" w:cs="Calibri"/>
                <w:color w:val="000000"/>
              </w:rPr>
              <w:t>č. 16/1993 Sb.</w:t>
            </w:r>
            <w:r>
              <w:rPr>
                <w:rFonts w:ascii="Calibri" w:hAnsi="Calibri" w:cs="Calibri"/>
                <w:color w:val="000000"/>
              </w:rPr>
              <w:t>,</w:t>
            </w:r>
            <w:r w:rsidR="00D6622D">
              <w:rPr>
                <w:rFonts w:ascii="Calibri" w:hAnsi="Calibri" w:cs="Calibri"/>
                <w:color w:val="000000"/>
              </w:rPr>
              <w:t xml:space="preserve"> o dani silniční</w:t>
            </w:r>
          </w:p>
        </w:tc>
      </w:tr>
      <w:tr w:rsidR="00CA00B1" w14:paraId="14D5912A" w14:textId="77777777" w:rsidTr="00E70C65">
        <w:trPr>
          <w:trHeight w:val="315"/>
        </w:trPr>
        <w:tc>
          <w:tcPr>
            <w:tcW w:w="2835" w:type="dxa"/>
            <w:noWrap/>
          </w:tcPr>
          <w:p w14:paraId="67ACF831" w14:textId="77777777" w:rsidR="00CA00B1" w:rsidRDefault="00CA00B1" w:rsidP="002D41E2">
            <w:pPr>
              <w:spacing w:after="0"/>
              <w:rPr>
                <w:rFonts w:ascii="Calibri" w:hAnsi="Calibri" w:cs="Calibri"/>
                <w:color w:val="000000"/>
              </w:rPr>
            </w:pPr>
          </w:p>
        </w:tc>
        <w:tc>
          <w:tcPr>
            <w:tcW w:w="6096" w:type="dxa"/>
            <w:vAlign w:val="center"/>
          </w:tcPr>
          <w:p w14:paraId="71BA582C" w14:textId="77777777" w:rsidR="00CA00B1" w:rsidRDefault="00CA00B1" w:rsidP="002D41E2">
            <w:pPr>
              <w:spacing w:after="0"/>
              <w:rPr>
                <w:rFonts w:ascii="Calibri" w:hAnsi="Calibri" w:cs="Calibri"/>
                <w:color w:val="000000"/>
              </w:rPr>
            </w:pPr>
          </w:p>
        </w:tc>
      </w:tr>
      <w:tr w:rsidR="00A5306E" w:rsidRPr="00EB3AA6" w14:paraId="53313334" w14:textId="77777777" w:rsidTr="001322F7">
        <w:trPr>
          <w:trHeight w:val="315"/>
        </w:trPr>
        <w:tc>
          <w:tcPr>
            <w:tcW w:w="2835" w:type="dxa"/>
            <w:tcBorders>
              <w:top w:val="nil"/>
              <w:left w:val="nil"/>
              <w:bottom w:val="nil"/>
              <w:right w:val="nil"/>
            </w:tcBorders>
            <w:shd w:val="clear" w:color="auto" w:fill="auto"/>
            <w:noWrap/>
            <w:hideMark/>
          </w:tcPr>
          <w:p w14:paraId="1A0AB27F" w14:textId="7B8BA499" w:rsidR="00A5306E" w:rsidRPr="00EB3AA6" w:rsidRDefault="00A5306E" w:rsidP="001322F7">
            <w:pPr>
              <w:spacing w:after="0"/>
              <w:jc w:val="left"/>
              <w:rPr>
                <w:rFonts w:ascii="Calibri" w:hAnsi="Calibri"/>
                <w:color w:val="000000"/>
              </w:rPr>
            </w:pPr>
            <w:r w:rsidRPr="00EB3AA6">
              <w:rPr>
                <w:rFonts w:ascii="Calibri" w:hAnsi="Calibri" w:cs="Calibri"/>
                <w:color w:val="000000"/>
              </w:rPr>
              <w:t>zákon č. 16/1993 Sb.</w:t>
            </w:r>
          </w:p>
        </w:tc>
        <w:tc>
          <w:tcPr>
            <w:tcW w:w="6096" w:type="dxa"/>
            <w:tcBorders>
              <w:top w:val="nil"/>
              <w:left w:val="nil"/>
              <w:bottom w:val="nil"/>
              <w:right w:val="nil"/>
            </w:tcBorders>
            <w:shd w:val="clear" w:color="auto" w:fill="auto"/>
            <w:hideMark/>
          </w:tcPr>
          <w:p w14:paraId="276E72A7" w14:textId="0AC78E17" w:rsidR="00A5306E" w:rsidRPr="00EB3AA6" w:rsidRDefault="001322F7" w:rsidP="001322F7">
            <w:pPr>
              <w:spacing w:after="0"/>
              <w:jc w:val="left"/>
              <w:rPr>
                <w:rFonts w:ascii="Calibri" w:hAnsi="Calibri"/>
                <w:color w:val="000000"/>
              </w:rPr>
            </w:pPr>
            <w:r>
              <w:rPr>
                <w:rFonts w:ascii="Calibri" w:hAnsi="Calibri" w:cs="Calibri"/>
                <w:color w:val="000000"/>
              </w:rPr>
              <w:t>z</w:t>
            </w:r>
            <w:r w:rsidR="00A5306E" w:rsidRPr="00EB3AA6">
              <w:rPr>
                <w:rFonts w:ascii="Calibri" w:hAnsi="Calibri" w:cs="Calibri"/>
                <w:color w:val="000000"/>
              </w:rPr>
              <w:t xml:space="preserve">ákon </w:t>
            </w:r>
            <w:r w:rsidR="009F0C39">
              <w:rPr>
                <w:rFonts w:ascii="Calibri" w:hAnsi="Calibri" w:cs="Calibri"/>
                <w:color w:val="000000"/>
              </w:rPr>
              <w:t xml:space="preserve">České národní rady </w:t>
            </w:r>
            <w:r w:rsidR="00A5306E" w:rsidRPr="00EB3AA6">
              <w:rPr>
                <w:rFonts w:ascii="Calibri" w:hAnsi="Calibri" w:cs="Calibri"/>
                <w:color w:val="000000"/>
              </w:rPr>
              <w:t>č. 16/1993 Sb.</w:t>
            </w:r>
            <w:r>
              <w:rPr>
                <w:rFonts w:ascii="Calibri" w:hAnsi="Calibri" w:cs="Calibri"/>
                <w:color w:val="000000"/>
              </w:rPr>
              <w:t>,</w:t>
            </w:r>
            <w:r w:rsidR="00A5306E" w:rsidRPr="00EB3AA6">
              <w:rPr>
                <w:rFonts w:ascii="Calibri" w:hAnsi="Calibri" w:cs="Calibri"/>
                <w:color w:val="000000"/>
              </w:rPr>
              <w:t xml:space="preserve"> o dani silniční</w:t>
            </w:r>
          </w:p>
        </w:tc>
      </w:tr>
      <w:tr w:rsidR="00A5306E" w:rsidRPr="00EB3AA6" w14:paraId="087D7E4E" w14:textId="77777777" w:rsidTr="001322F7">
        <w:trPr>
          <w:trHeight w:val="315"/>
        </w:trPr>
        <w:tc>
          <w:tcPr>
            <w:tcW w:w="2835" w:type="dxa"/>
            <w:tcBorders>
              <w:top w:val="nil"/>
              <w:left w:val="nil"/>
              <w:bottom w:val="nil"/>
              <w:right w:val="nil"/>
            </w:tcBorders>
            <w:shd w:val="clear" w:color="auto" w:fill="auto"/>
            <w:noWrap/>
            <w:hideMark/>
          </w:tcPr>
          <w:p w14:paraId="45EE54FC" w14:textId="77777777" w:rsidR="00A5306E" w:rsidRPr="00EB3AA6" w:rsidRDefault="00A5306E" w:rsidP="001322F7">
            <w:pPr>
              <w:spacing w:after="0"/>
              <w:jc w:val="left"/>
              <w:rPr>
                <w:rFonts w:ascii="Calibri" w:hAnsi="Calibri"/>
                <w:color w:val="000000"/>
              </w:rPr>
            </w:pPr>
            <w:r w:rsidRPr="00EB3AA6">
              <w:rPr>
                <w:rFonts w:ascii="Calibri" w:hAnsi="Calibri" w:cs="Calibri"/>
                <w:color w:val="000000"/>
              </w:rPr>
              <w:t>zákon č. 280/2009 Sb.</w:t>
            </w:r>
          </w:p>
        </w:tc>
        <w:tc>
          <w:tcPr>
            <w:tcW w:w="6096" w:type="dxa"/>
            <w:tcBorders>
              <w:top w:val="nil"/>
              <w:left w:val="nil"/>
              <w:bottom w:val="nil"/>
              <w:right w:val="nil"/>
            </w:tcBorders>
            <w:shd w:val="clear" w:color="auto" w:fill="auto"/>
            <w:hideMark/>
          </w:tcPr>
          <w:p w14:paraId="633F250E" w14:textId="24A2C8A5" w:rsidR="00A5306E" w:rsidRPr="00EB3AA6" w:rsidRDefault="001322F7" w:rsidP="001322F7">
            <w:pPr>
              <w:spacing w:after="0"/>
              <w:jc w:val="left"/>
              <w:rPr>
                <w:rFonts w:ascii="Calibri" w:hAnsi="Calibri"/>
                <w:color w:val="000000"/>
              </w:rPr>
            </w:pPr>
            <w:r>
              <w:rPr>
                <w:rFonts w:ascii="Calibri" w:hAnsi="Calibri" w:cs="Calibri"/>
                <w:color w:val="000000"/>
              </w:rPr>
              <w:t>z</w:t>
            </w:r>
            <w:r w:rsidR="00A5306E" w:rsidRPr="00EB3AA6">
              <w:rPr>
                <w:rFonts w:ascii="Calibri" w:hAnsi="Calibri" w:cs="Calibri"/>
                <w:color w:val="000000"/>
              </w:rPr>
              <w:t>ákon č</w:t>
            </w:r>
            <w:r w:rsidR="00BD0C6F">
              <w:rPr>
                <w:rFonts w:ascii="Calibri" w:hAnsi="Calibri" w:cs="Calibri"/>
                <w:color w:val="000000"/>
              </w:rPr>
              <w:t>.</w:t>
            </w:r>
            <w:r w:rsidR="00A5306E" w:rsidRPr="00EB3AA6">
              <w:rPr>
                <w:rFonts w:ascii="Calibri" w:hAnsi="Calibri" w:cs="Calibri"/>
                <w:color w:val="000000"/>
              </w:rPr>
              <w:t xml:space="preserve"> 280/2009 Sb.</w:t>
            </w:r>
            <w:r>
              <w:rPr>
                <w:rFonts w:ascii="Calibri" w:hAnsi="Calibri" w:cs="Calibri"/>
                <w:color w:val="000000"/>
              </w:rPr>
              <w:t>,</w:t>
            </w:r>
            <w:r w:rsidR="00A5306E" w:rsidRPr="00EB3AA6">
              <w:rPr>
                <w:rFonts w:ascii="Calibri" w:hAnsi="Calibri" w:cs="Calibri"/>
                <w:color w:val="000000"/>
              </w:rPr>
              <w:t xml:space="preserve"> daňový řád</w:t>
            </w:r>
          </w:p>
        </w:tc>
      </w:tr>
      <w:tr w:rsidR="00A5306E" w:rsidRPr="00EB3AA6" w14:paraId="77F69E9A" w14:textId="77777777" w:rsidTr="00775D1E">
        <w:trPr>
          <w:trHeight w:val="1499"/>
        </w:trPr>
        <w:tc>
          <w:tcPr>
            <w:tcW w:w="2835" w:type="dxa"/>
            <w:tcBorders>
              <w:top w:val="nil"/>
              <w:left w:val="nil"/>
              <w:bottom w:val="nil"/>
              <w:right w:val="nil"/>
            </w:tcBorders>
            <w:shd w:val="clear" w:color="auto" w:fill="auto"/>
            <w:noWrap/>
            <w:hideMark/>
          </w:tcPr>
          <w:p w14:paraId="51631F3F" w14:textId="77777777" w:rsidR="00A5306E" w:rsidRPr="00EB3AA6" w:rsidRDefault="00A5306E" w:rsidP="001322F7">
            <w:pPr>
              <w:spacing w:after="0"/>
              <w:jc w:val="left"/>
              <w:rPr>
                <w:rFonts w:ascii="Calibri" w:hAnsi="Calibri"/>
                <w:color w:val="000000"/>
              </w:rPr>
            </w:pPr>
            <w:r w:rsidRPr="00EB3AA6">
              <w:rPr>
                <w:rFonts w:ascii="Calibri" w:hAnsi="Calibri" w:cs="Calibri"/>
                <w:color w:val="000000"/>
              </w:rPr>
              <w:t>zákon č. 299/2020 Sb.</w:t>
            </w:r>
          </w:p>
        </w:tc>
        <w:tc>
          <w:tcPr>
            <w:tcW w:w="6096" w:type="dxa"/>
            <w:tcBorders>
              <w:top w:val="nil"/>
              <w:left w:val="nil"/>
              <w:bottom w:val="nil"/>
              <w:right w:val="nil"/>
            </w:tcBorders>
            <w:shd w:val="clear" w:color="auto" w:fill="auto"/>
            <w:hideMark/>
          </w:tcPr>
          <w:p w14:paraId="62B29478" w14:textId="30A1E16F" w:rsidR="00A5306E" w:rsidRPr="00EB3AA6" w:rsidRDefault="001322F7" w:rsidP="001322F7">
            <w:pPr>
              <w:spacing w:after="0"/>
              <w:jc w:val="left"/>
              <w:rPr>
                <w:rFonts w:ascii="Calibri" w:hAnsi="Calibri"/>
                <w:color w:val="000000"/>
              </w:rPr>
            </w:pPr>
            <w:r>
              <w:rPr>
                <w:rFonts w:ascii="Calibri" w:hAnsi="Calibri" w:cs="Calibri"/>
                <w:color w:val="000000"/>
              </w:rPr>
              <w:t>z</w:t>
            </w:r>
            <w:r w:rsidR="00A5306E" w:rsidRPr="00EB3AA6">
              <w:rPr>
                <w:rFonts w:ascii="Calibri" w:hAnsi="Calibri" w:cs="Calibri"/>
                <w:color w:val="000000"/>
              </w:rPr>
              <w:t>ákon č. 299/2020 Sb.</w:t>
            </w:r>
            <w:r>
              <w:rPr>
                <w:rFonts w:ascii="Calibri" w:hAnsi="Calibri" w:cs="Calibri"/>
                <w:color w:val="000000"/>
              </w:rPr>
              <w:t>,</w:t>
            </w:r>
            <w:r w:rsidR="00A5306E" w:rsidRPr="00EB3AA6">
              <w:rPr>
                <w:rFonts w:ascii="Calibri" w:hAnsi="Calibri" w:cs="Calibri"/>
                <w:color w:val="000000"/>
              </w:rPr>
              <w:t xml:space="preserve"> kterým se mění některé daňové zákony v souvislosti s výskytem koronaviru SARS CoV-2 a</w:t>
            </w:r>
            <w:r>
              <w:rPr>
                <w:rFonts w:ascii="Calibri" w:hAnsi="Calibri" w:cs="Calibri"/>
                <w:color w:val="000000"/>
              </w:rPr>
              <w:t> </w:t>
            </w:r>
            <w:r w:rsidR="00A5306E" w:rsidRPr="00EB3AA6">
              <w:rPr>
                <w:rFonts w:ascii="Calibri" w:hAnsi="Calibri" w:cs="Calibri"/>
                <w:color w:val="000000"/>
              </w:rPr>
              <w:t>z</w:t>
            </w:r>
            <w:r w:rsidR="00A5306E">
              <w:rPr>
                <w:rFonts w:ascii="Calibri" w:hAnsi="Calibri" w:cs="Calibri"/>
                <w:color w:val="000000"/>
              </w:rPr>
              <w:t>ákon č. 159/2020 Sb.</w:t>
            </w:r>
            <w:r>
              <w:rPr>
                <w:rFonts w:ascii="Calibri" w:hAnsi="Calibri" w:cs="Calibri"/>
                <w:color w:val="000000"/>
              </w:rPr>
              <w:t>,</w:t>
            </w:r>
            <w:r w:rsidR="00A5306E">
              <w:rPr>
                <w:rFonts w:ascii="Calibri" w:hAnsi="Calibri" w:cs="Calibri"/>
                <w:color w:val="000000"/>
              </w:rPr>
              <w:t xml:space="preserve"> </w:t>
            </w:r>
            <w:r w:rsidR="00A5306E" w:rsidRPr="00EB3AA6">
              <w:rPr>
                <w:rFonts w:ascii="Calibri" w:hAnsi="Calibri" w:cs="Calibri"/>
                <w:color w:val="000000"/>
              </w:rPr>
              <w:t>o kompenzačním bonusu v</w:t>
            </w:r>
            <w:r>
              <w:rPr>
                <w:rFonts w:ascii="Calibri" w:hAnsi="Calibri" w:cs="Calibri"/>
                <w:color w:val="000000"/>
              </w:rPr>
              <w:t> </w:t>
            </w:r>
            <w:r w:rsidR="00A5306E" w:rsidRPr="00EB3AA6">
              <w:rPr>
                <w:rFonts w:ascii="Calibri" w:hAnsi="Calibri" w:cs="Calibri"/>
                <w:color w:val="000000"/>
              </w:rPr>
              <w:t>souvislosti s krizovými opatřeními v souvislosti s výskytem koronaviru SARS CoV-2, ve znění pozdějších předpisů</w:t>
            </w:r>
          </w:p>
        </w:tc>
      </w:tr>
      <w:tr w:rsidR="00A5306E" w:rsidRPr="00EB3AA6" w14:paraId="7A02A9E4" w14:textId="77777777" w:rsidTr="00775D1E">
        <w:trPr>
          <w:trHeight w:val="570"/>
        </w:trPr>
        <w:tc>
          <w:tcPr>
            <w:tcW w:w="2835" w:type="dxa"/>
            <w:tcBorders>
              <w:top w:val="nil"/>
              <w:left w:val="nil"/>
              <w:bottom w:val="nil"/>
              <w:right w:val="nil"/>
            </w:tcBorders>
            <w:shd w:val="clear" w:color="auto" w:fill="auto"/>
            <w:noWrap/>
            <w:hideMark/>
          </w:tcPr>
          <w:p w14:paraId="4D63B1D2" w14:textId="77777777" w:rsidR="00A5306E" w:rsidRPr="00EB3AA6" w:rsidRDefault="00A5306E" w:rsidP="001322F7">
            <w:pPr>
              <w:spacing w:after="0"/>
              <w:jc w:val="left"/>
              <w:rPr>
                <w:rFonts w:ascii="Calibri" w:hAnsi="Calibri"/>
                <w:color w:val="000000"/>
              </w:rPr>
            </w:pPr>
            <w:r w:rsidRPr="00EB3AA6">
              <w:rPr>
                <w:rFonts w:ascii="Calibri" w:hAnsi="Calibri"/>
                <w:color w:val="000000"/>
              </w:rPr>
              <w:t>zákon č. 365/2000 Sb.</w:t>
            </w:r>
          </w:p>
        </w:tc>
        <w:tc>
          <w:tcPr>
            <w:tcW w:w="6096" w:type="dxa"/>
            <w:tcBorders>
              <w:top w:val="nil"/>
              <w:left w:val="nil"/>
              <w:bottom w:val="nil"/>
              <w:right w:val="nil"/>
            </w:tcBorders>
            <w:shd w:val="clear" w:color="auto" w:fill="auto"/>
            <w:hideMark/>
          </w:tcPr>
          <w:p w14:paraId="04A99D42" w14:textId="4D5236B1" w:rsidR="00A5306E" w:rsidRPr="00EB3AA6" w:rsidRDefault="001322F7" w:rsidP="00775D1E">
            <w:pPr>
              <w:spacing w:after="0"/>
              <w:jc w:val="left"/>
              <w:rPr>
                <w:rFonts w:ascii="Calibri" w:hAnsi="Calibri"/>
                <w:color w:val="000000"/>
              </w:rPr>
            </w:pPr>
            <w:r>
              <w:rPr>
                <w:rFonts w:ascii="Calibri" w:hAnsi="Calibri"/>
                <w:color w:val="000000"/>
              </w:rPr>
              <w:t>z</w:t>
            </w:r>
            <w:r w:rsidR="00A5306E" w:rsidRPr="00EB3AA6">
              <w:rPr>
                <w:rFonts w:ascii="Calibri" w:hAnsi="Calibri"/>
                <w:color w:val="000000"/>
              </w:rPr>
              <w:t>ákon č. 365/2000 Sb.</w:t>
            </w:r>
            <w:r>
              <w:rPr>
                <w:rFonts w:ascii="Calibri" w:hAnsi="Calibri"/>
                <w:color w:val="000000"/>
              </w:rPr>
              <w:t>,</w:t>
            </w:r>
            <w:r w:rsidR="00A5306E" w:rsidRPr="00EB3AA6">
              <w:rPr>
                <w:rFonts w:ascii="Calibri" w:hAnsi="Calibri"/>
                <w:color w:val="000000"/>
              </w:rPr>
              <w:t xml:space="preserve"> o informačních systémech veřejné správy a o změně některých dalších zákonů</w:t>
            </w:r>
          </w:p>
        </w:tc>
      </w:tr>
      <w:tr w:rsidR="001D13A7" w:rsidRPr="00EB3AA6" w14:paraId="7C42C720" w14:textId="77777777" w:rsidTr="00775D1E">
        <w:trPr>
          <w:trHeight w:val="267"/>
        </w:trPr>
        <w:tc>
          <w:tcPr>
            <w:tcW w:w="2835" w:type="dxa"/>
            <w:tcBorders>
              <w:top w:val="nil"/>
              <w:left w:val="nil"/>
              <w:bottom w:val="nil"/>
              <w:right w:val="nil"/>
            </w:tcBorders>
            <w:shd w:val="clear" w:color="auto" w:fill="auto"/>
            <w:noWrap/>
          </w:tcPr>
          <w:p w14:paraId="16E6AE45" w14:textId="104B47AA" w:rsidR="001D13A7" w:rsidRPr="00020502" w:rsidRDefault="00020502" w:rsidP="00775D1E">
            <w:pPr>
              <w:spacing w:before="40" w:after="0"/>
              <w:jc w:val="left"/>
              <w:rPr>
                <w:rFonts w:ascii="Calibri" w:hAnsi="Calibri" w:cs="Calibri"/>
                <w:color w:val="000000"/>
              </w:rPr>
            </w:pPr>
            <w:r>
              <w:rPr>
                <w:rFonts w:ascii="Calibri" w:hAnsi="Calibri" w:cs="Calibri"/>
                <w:color w:val="000000"/>
              </w:rPr>
              <w:t>zákon č. 456/20</w:t>
            </w:r>
            <w:r w:rsidR="00406F93">
              <w:rPr>
                <w:rFonts w:ascii="Calibri" w:hAnsi="Calibri" w:cs="Calibri"/>
                <w:color w:val="000000"/>
              </w:rPr>
              <w:t>11</w:t>
            </w:r>
            <w:r>
              <w:rPr>
                <w:rFonts w:ascii="Calibri" w:hAnsi="Calibri" w:cs="Calibri"/>
                <w:color w:val="000000"/>
              </w:rPr>
              <w:t xml:space="preserve"> Sb</w:t>
            </w:r>
            <w:r w:rsidRPr="00EB3AA6">
              <w:rPr>
                <w:rFonts w:ascii="Calibri" w:hAnsi="Calibri"/>
                <w:color w:val="000000"/>
              </w:rPr>
              <w:t>.</w:t>
            </w:r>
          </w:p>
        </w:tc>
        <w:tc>
          <w:tcPr>
            <w:tcW w:w="6096" w:type="dxa"/>
            <w:tcBorders>
              <w:top w:val="nil"/>
              <w:left w:val="nil"/>
              <w:bottom w:val="nil"/>
              <w:right w:val="nil"/>
            </w:tcBorders>
            <w:shd w:val="clear" w:color="auto" w:fill="auto"/>
          </w:tcPr>
          <w:p w14:paraId="2AB85287" w14:textId="6608F632" w:rsidR="001D13A7" w:rsidRDefault="001322F7" w:rsidP="00775D1E">
            <w:pPr>
              <w:spacing w:before="40" w:after="0"/>
              <w:jc w:val="left"/>
              <w:rPr>
                <w:rFonts w:ascii="Calibri" w:hAnsi="Calibri"/>
                <w:color w:val="000000"/>
              </w:rPr>
            </w:pPr>
            <w:r>
              <w:rPr>
                <w:rFonts w:ascii="Calibri" w:hAnsi="Calibri" w:cs="Calibri"/>
                <w:color w:val="000000"/>
              </w:rPr>
              <w:t>z</w:t>
            </w:r>
            <w:r w:rsidR="00406F93">
              <w:rPr>
                <w:rFonts w:ascii="Calibri" w:hAnsi="Calibri" w:cs="Calibri"/>
                <w:color w:val="000000"/>
              </w:rPr>
              <w:t>ákon č. 456/2011 Sb</w:t>
            </w:r>
            <w:r w:rsidR="00406F93" w:rsidRPr="00EB3AA6">
              <w:rPr>
                <w:rFonts w:ascii="Calibri" w:hAnsi="Calibri"/>
                <w:color w:val="000000"/>
              </w:rPr>
              <w:t>.</w:t>
            </w:r>
            <w:r>
              <w:rPr>
                <w:rFonts w:ascii="Calibri" w:hAnsi="Calibri"/>
                <w:color w:val="000000"/>
              </w:rPr>
              <w:t>,</w:t>
            </w:r>
            <w:r w:rsidR="00406F93">
              <w:rPr>
                <w:rFonts w:ascii="Calibri" w:hAnsi="Calibri"/>
                <w:color w:val="000000"/>
              </w:rPr>
              <w:t xml:space="preserve"> o Finanční správě České republiky</w:t>
            </w:r>
          </w:p>
        </w:tc>
      </w:tr>
      <w:tr w:rsidR="00A5306E" w:rsidRPr="00EB3AA6" w14:paraId="18ED870A" w14:textId="77777777" w:rsidTr="001322F7">
        <w:trPr>
          <w:trHeight w:val="1575"/>
        </w:trPr>
        <w:tc>
          <w:tcPr>
            <w:tcW w:w="2835" w:type="dxa"/>
            <w:tcBorders>
              <w:top w:val="nil"/>
              <w:left w:val="nil"/>
              <w:bottom w:val="nil"/>
              <w:right w:val="nil"/>
            </w:tcBorders>
            <w:shd w:val="clear" w:color="auto" w:fill="auto"/>
            <w:noWrap/>
            <w:hideMark/>
          </w:tcPr>
          <w:p w14:paraId="36B1F9E5" w14:textId="77777777" w:rsidR="00A5306E" w:rsidRPr="00EB3AA6" w:rsidRDefault="00A5306E" w:rsidP="00775D1E">
            <w:pPr>
              <w:spacing w:before="40" w:after="0"/>
              <w:jc w:val="left"/>
              <w:rPr>
                <w:rFonts w:ascii="Calibri" w:hAnsi="Calibri"/>
                <w:color w:val="000000"/>
              </w:rPr>
            </w:pPr>
            <w:r w:rsidRPr="00EB3AA6">
              <w:rPr>
                <w:rFonts w:ascii="Calibri" w:hAnsi="Calibri" w:cs="Calibri"/>
                <w:color w:val="000000"/>
              </w:rPr>
              <w:t>zákon č. 56/2001 Sb.</w:t>
            </w:r>
          </w:p>
        </w:tc>
        <w:tc>
          <w:tcPr>
            <w:tcW w:w="6096" w:type="dxa"/>
            <w:tcBorders>
              <w:top w:val="nil"/>
              <w:left w:val="nil"/>
              <w:bottom w:val="nil"/>
              <w:right w:val="nil"/>
            </w:tcBorders>
            <w:shd w:val="clear" w:color="auto" w:fill="auto"/>
            <w:hideMark/>
          </w:tcPr>
          <w:p w14:paraId="64CC9E9B" w14:textId="3E38D2BB" w:rsidR="00A5306E" w:rsidRPr="00EB3AA6" w:rsidRDefault="001322F7" w:rsidP="00775D1E">
            <w:pPr>
              <w:spacing w:before="40" w:after="0"/>
              <w:jc w:val="left"/>
              <w:rPr>
                <w:rFonts w:ascii="Calibri" w:hAnsi="Calibri"/>
                <w:color w:val="000000"/>
              </w:rPr>
            </w:pPr>
            <w:r>
              <w:rPr>
                <w:rFonts w:ascii="Calibri" w:hAnsi="Calibri" w:cs="Calibri"/>
                <w:color w:val="000000"/>
              </w:rPr>
              <w:t>z</w:t>
            </w:r>
            <w:r w:rsidR="00A5306E" w:rsidRPr="00EB3AA6">
              <w:rPr>
                <w:rFonts w:ascii="Calibri" w:hAnsi="Calibri" w:cs="Calibri"/>
                <w:color w:val="000000"/>
              </w:rPr>
              <w:t>ákon č. 56/2001 Sb.</w:t>
            </w:r>
            <w:r>
              <w:rPr>
                <w:rFonts w:ascii="Calibri" w:hAnsi="Calibri" w:cs="Calibri"/>
                <w:color w:val="000000"/>
              </w:rPr>
              <w:t>,</w:t>
            </w:r>
            <w:r w:rsidR="00A5306E" w:rsidRPr="00EB3AA6">
              <w:rPr>
                <w:rFonts w:ascii="Calibri" w:hAnsi="Calibri" w:cs="Calibri"/>
                <w:color w:val="000000"/>
              </w:rPr>
              <w:t xml:space="preserve"> o podmínkách provozu vozidel </w:t>
            </w:r>
            <w:r w:rsidR="00A5306E">
              <w:rPr>
                <w:rFonts w:ascii="Calibri" w:hAnsi="Calibri" w:cs="Calibri"/>
                <w:color w:val="000000"/>
              </w:rPr>
              <w:br/>
            </w:r>
            <w:r w:rsidR="00A5306E" w:rsidRPr="00EB3AA6">
              <w:rPr>
                <w:rFonts w:ascii="Calibri" w:hAnsi="Calibri" w:cs="Calibri"/>
                <w:color w:val="000000"/>
              </w:rPr>
              <w:t xml:space="preserve">na pozemních komunikacích a o změně zákona </w:t>
            </w:r>
            <w:r>
              <w:rPr>
                <w:rFonts w:ascii="Calibri" w:hAnsi="Calibri" w:cs="Calibri"/>
                <w:color w:val="000000"/>
              </w:rPr>
              <w:br/>
            </w:r>
            <w:r w:rsidR="00A5306E" w:rsidRPr="00EB3AA6">
              <w:rPr>
                <w:rFonts w:ascii="Calibri" w:hAnsi="Calibri" w:cs="Calibri"/>
                <w:color w:val="000000"/>
              </w:rPr>
              <w:t>č. 168/1999 Sb., o pojištění odpovědnosti za škodu způsobenou provozem vozidla a o změně některých souvisejících zákonů (zákon o pojištění odpovědnosti z</w:t>
            </w:r>
            <w:r>
              <w:rPr>
                <w:rFonts w:ascii="Calibri" w:hAnsi="Calibri" w:cs="Calibri"/>
                <w:color w:val="000000"/>
              </w:rPr>
              <w:t> </w:t>
            </w:r>
            <w:r w:rsidR="00A5306E" w:rsidRPr="00EB3AA6">
              <w:rPr>
                <w:rFonts w:ascii="Calibri" w:hAnsi="Calibri" w:cs="Calibri"/>
                <w:color w:val="000000"/>
              </w:rPr>
              <w:t>provozu vozidla), ve znění zákona č. 307/1999 Sb.</w:t>
            </w:r>
          </w:p>
        </w:tc>
      </w:tr>
      <w:tr w:rsidR="00020502" w:rsidRPr="00EB3AA6" w14:paraId="4F18F725" w14:textId="77777777" w:rsidTr="001322F7">
        <w:trPr>
          <w:trHeight w:val="246"/>
        </w:trPr>
        <w:tc>
          <w:tcPr>
            <w:tcW w:w="2835" w:type="dxa"/>
            <w:tcBorders>
              <w:top w:val="nil"/>
              <w:left w:val="nil"/>
              <w:bottom w:val="nil"/>
              <w:right w:val="nil"/>
            </w:tcBorders>
            <w:shd w:val="clear" w:color="auto" w:fill="auto"/>
            <w:noWrap/>
          </w:tcPr>
          <w:p w14:paraId="4D163F9C" w14:textId="47876625" w:rsidR="00020502" w:rsidRPr="00EB3AA6" w:rsidRDefault="00020502" w:rsidP="00775D1E">
            <w:pPr>
              <w:spacing w:before="40" w:after="0"/>
              <w:jc w:val="left"/>
              <w:rPr>
                <w:rFonts w:ascii="Calibri" w:hAnsi="Calibri" w:cs="Calibri"/>
                <w:color w:val="000000"/>
              </w:rPr>
            </w:pPr>
            <w:r>
              <w:rPr>
                <w:rFonts w:ascii="Calibri" w:hAnsi="Calibri" w:cs="Calibri"/>
                <w:color w:val="000000"/>
              </w:rPr>
              <w:t>zákon č. 586/1992 Sb.</w:t>
            </w:r>
          </w:p>
        </w:tc>
        <w:tc>
          <w:tcPr>
            <w:tcW w:w="6096" w:type="dxa"/>
            <w:tcBorders>
              <w:top w:val="nil"/>
              <w:left w:val="nil"/>
              <w:bottom w:val="nil"/>
              <w:right w:val="nil"/>
            </w:tcBorders>
            <w:shd w:val="clear" w:color="auto" w:fill="auto"/>
          </w:tcPr>
          <w:p w14:paraId="69933303" w14:textId="24F91CD0" w:rsidR="00020502" w:rsidRPr="00EB3AA6" w:rsidRDefault="001322F7" w:rsidP="00775D1E">
            <w:pPr>
              <w:spacing w:before="40" w:after="0"/>
              <w:ind w:right="-141"/>
              <w:jc w:val="left"/>
              <w:rPr>
                <w:rFonts w:ascii="Calibri" w:hAnsi="Calibri" w:cs="Calibri"/>
                <w:color w:val="000000"/>
              </w:rPr>
            </w:pPr>
            <w:r>
              <w:rPr>
                <w:rFonts w:ascii="Calibri" w:hAnsi="Calibri" w:cs="Calibri"/>
                <w:color w:val="000000"/>
              </w:rPr>
              <w:t>z</w:t>
            </w:r>
            <w:r w:rsidR="00406F93">
              <w:rPr>
                <w:rFonts w:ascii="Calibri" w:hAnsi="Calibri" w:cs="Calibri"/>
                <w:color w:val="000000"/>
              </w:rPr>
              <w:t xml:space="preserve">ákon </w:t>
            </w:r>
            <w:r w:rsidR="00225E12">
              <w:rPr>
                <w:rFonts w:ascii="Calibri" w:hAnsi="Calibri" w:cs="Calibri"/>
                <w:color w:val="000000"/>
              </w:rPr>
              <w:t xml:space="preserve">České národní rady </w:t>
            </w:r>
            <w:r w:rsidR="00406F93">
              <w:rPr>
                <w:rFonts w:ascii="Calibri" w:hAnsi="Calibri" w:cs="Calibri"/>
                <w:color w:val="000000"/>
              </w:rPr>
              <w:t>č. 586/1992 Sb.</w:t>
            </w:r>
            <w:r>
              <w:rPr>
                <w:rFonts w:ascii="Calibri" w:hAnsi="Calibri" w:cs="Calibri"/>
                <w:color w:val="000000"/>
              </w:rPr>
              <w:t>,</w:t>
            </w:r>
            <w:r w:rsidR="00406F93">
              <w:rPr>
                <w:rFonts w:ascii="Calibri" w:hAnsi="Calibri" w:cs="Calibri"/>
                <w:color w:val="000000"/>
              </w:rPr>
              <w:t xml:space="preserve"> o daních z příjmů</w:t>
            </w:r>
          </w:p>
        </w:tc>
      </w:tr>
      <w:tr w:rsidR="00020502" w:rsidRPr="00EB3AA6" w14:paraId="6AC01C31" w14:textId="77777777" w:rsidTr="001322F7">
        <w:trPr>
          <w:trHeight w:val="368"/>
        </w:trPr>
        <w:tc>
          <w:tcPr>
            <w:tcW w:w="2835" w:type="dxa"/>
            <w:tcBorders>
              <w:top w:val="nil"/>
              <w:left w:val="nil"/>
              <w:bottom w:val="nil"/>
              <w:right w:val="nil"/>
            </w:tcBorders>
            <w:shd w:val="clear" w:color="auto" w:fill="auto"/>
            <w:noWrap/>
          </w:tcPr>
          <w:p w14:paraId="3883861C" w14:textId="30668677" w:rsidR="00020502" w:rsidRPr="00EB3AA6" w:rsidRDefault="00406F93" w:rsidP="00775D1E">
            <w:pPr>
              <w:spacing w:before="40" w:after="0"/>
              <w:jc w:val="left"/>
              <w:rPr>
                <w:rFonts w:ascii="Calibri" w:hAnsi="Calibri" w:cs="Calibri"/>
                <w:color w:val="000000"/>
              </w:rPr>
            </w:pPr>
            <w:r>
              <w:rPr>
                <w:rFonts w:ascii="Calibri" w:hAnsi="Calibri" w:cs="Calibri"/>
                <w:color w:val="000000"/>
              </w:rPr>
              <w:t>z</w:t>
            </w:r>
            <w:r w:rsidR="00020502">
              <w:rPr>
                <w:rFonts w:ascii="Calibri" w:hAnsi="Calibri" w:cs="Calibri"/>
                <w:color w:val="000000"/>
              </w:rPr>
              <w:t>ákon č. 63/2017 Sb.</w:t>
            </w:r>
          </w:p>
        </w:tc>
        <w:tc>
          <w:tcPr>
            <w:tcW w:w="6096" w:type="dxa"/>
            <w:tcBorders>
              <w:top w:val="nil"/>
              <w:left w:val="nil"/>
              <w:bottom w:val="nil"/>
              <w:right w:val="nil"/>
            </w:tcBorders>
            <w:shd w:val="clear" w:color="auto" w:fill="auto"/>
          </w:tcPr>
          <w:p w14:paraId="28BCB6DE" w14:textId="1B62D2AA" w:rsidR="00020502" w:rsidRPr="00EB3AA6" w:rsidRDefault="001322F7" w:rsidP="00775D1E">
            <w:pPr>
              <w:spacing w:before="40" w:after="0"/>
              <w:jc w:val="left"/>
              <w:rPr>
                <w:rFonts w:ascii="Calibri" w:hAnsi="Calibri" w:cs="Calibri"/>
                <w:color w:val="000000"/>
              </w:rPr>
            </w:pPr>
            <w:r>
              <w:rPr>
                <w:rFonts w:cstheme="minorHAnsi"/>
                <w:iCs/>
                <w:color w:val="000000"/>
              </w:rPr>
              <w:t>z</w:t>
            </w:r>
            <w:r w:rsidR="0009371C" w:rsidRPr="00C154E5">
              <w:rPr>
                <w:rFonts w:cstheme="minorHAnsi"/>
                <w:iCs/>
                <w:color w:val="000000"/>
              </w:rPr>
              <w:t xml:space="preserve">ákon č. 63/2017 Sb., kterým se mění zákon č. 56/2001 Sb., </w:t>
            </w:r>
            <w:r w:rsidR="0009371C">
              <w:rPr>
                <w:rFonts w:cstheme="minorHAnsi"/>
                <w:iCs/>
                <w:color w:val="000000"/>
              </w:rPr>
              <w:br/>
            </w:r>
            <w:r w:rsidR="0009371C" w:rsidRPr="00C154E5">
              <w:rPr>
                <w:rFonts w:cstheme="minorHAnsi"/>
                <w:iCs/>
                <w:color w:val="000000"/>
              </w:rPr>
              <w:t>o podmínkách provozu vozidel na pozemních komunikacích a</w:t>
            </w:r>
            <w:r>
              <w:rPr>
                <w:rFonts w:cstheme="minorHAnsi"/>
                <w:iCs/>
                <w:color w:val="000000"/>
              </w:rPr>
              <w:t> </w:t>
            </w:r>
            <w:r w:rsidR="0009371C" w:rsidRPr="00C154E5">
              <w:rPr>
                <w:rFonts w:cstheme="minorHAnsi"/>
                <w:iCs/>
                <w:color w:val="000000"/>
              </w:rPr>
              <w:t xml:space="preserve">o změně zákona č. 168/1999 Sb., o pojištění odpovědnosti </w:t>
            </w:r>
            <w:r w:rsidR="0009371C">
              <w:rPr>
                <w:rFonts w:cstheme="minorHAnsi"/>
                <w:iCs/>
                <w:color w:val="000000"/>
              </w:rPr>
              <w:br/>
            </w:r>
            <w:r w:rsidR="0009371C" w:rsidRPr="00C154E5">
              <w:rPr>
                <w:rFonts w:cstheme="minorHAnsi"/>
                <w:iCs/>
                <w:color w:val="000000"/>
              </w:rPr>
              <w:t>za škodu způsobenou provozem vozidla a o změně některých souvisejících zákonů (zákon o pojištění odpovědnosti z provozu vozidla), ve znění zákona č. 307/1999 Sb., a další související zákony</w:t>
            </w:r>
          </w:p>
        </w:tc>
      </w:tr>
    </w:tbl>
    <w:p w14:paraId="6C1C40C3" w14:textId="6F57E3F2" w:rsidR="0038671A" w:rsidRPr="001775CE" w:rsidRDefault="0038671A" w:rsidP="001775CE">
      <w:pPr>
        <w:pStyle w:val="Titulek"/>
        <w:keepNext/>
        <w:jc w:val="right"/>
        <w:rPr>
          <w:b/>
          <w:i w:val="0"/>
          <w:color w:val="auto"/>
          <w:sz w:val="24"/>
          <w:szCs w:val="24"/>
        </w:rPr>
      </w:pPr>
      <w:bookmarkStart w:id="23" w:name="_Ref88128616"/>
      <w:bookmarkStart w:id="24" w:name="_Ref94622812"/>
      <w:bookmarkStart w:id="25" w:name="_Ref94623226"/>
      <w:bookmarkStart w:id="26" w:name="_Ref88128024"/>
      <w:bookmarkStart w:id="27" w:name="_Ref89694266"/>
      <w:bookmarkStart w:id="28" w:name="_Ref88825231"/>
      <w:bookmarkStart w:id="29" w:name="_Ref88737722"/>
      <w:bookmarkStart w:id="30" w:name="_Ref89263476"/>
      <w:r w:rsidRPr="001775CE">
        <w:rPr>
          <w:b/>
          <w:i w:val="0"/>
          <w:color w:val="auto"/>
          <w:sz w:val="24"/>
          <w:szCs w:val="24"/>
        </w:rPr>
        <w:t xml:space="preserve">Příloha </w:t>
      </w:r>
      <w:bookmarkEnd w:id="23"/>
      <w:bookmarkEnd w:id="24"/>
      <w:r w:rsidR="001775CE" w:rsidRPr="001775CE">
        <w:rPr>
          <w:b/>
          <w:i w:val="0"/>
          <w:color w:val="auto"/>
          <w:sz w:val="24"/>
          <w:szCs w:val="24"/>
        </w:rPr>
        <w:fldChar w:fldCharType="begin"/>
      </w:r>
      <w:r w:rsidR="001775CE" w:rsidRPr="001775CE">
        <w:rPr>
          <w:b/>
          <w:i w:val="0"/>
          <w:color w:val="auto"/>
          <w:sz w:val="24"/>
          <w:szCs w:val="24"/>
        </w:rPr>
        <w:instrText xml:space="preserve"> SEQ Příloha \* ARABIC </w:instrText>
      </w:r>
      <w:r w:rsidR="001775CE" w:rsidRPr="001775CE">
        <w:rPr>
          <w:b/>
          <w:i w:val="0"/>
          <w:color w:val="auto"/>
          <w:sz w:val="24"/>
          <w:szCs w:val="24"/>
        </w:rPr>
        <w:fldChar w:fldCharType="separate"/>
      </w:r>
      <w:r w:rsidR="00500A1C">
        <w:rPr>
          <w:b/>
          <w:i w:val="0"/>
          <w:noProof/>
          <w:color w:val="auto"/>
          <w:sz w:val="24"/>
          <w:szCs w:val="24"/>
        </w:rPr>
        <w:t>1</w:t>
      </w:r>
      <w:r w:rsidR="001775CE" w:rsidRPr="001775CE">
        <w:rPr>
          <w:b/>
          <w:i w:val="0"/>
          <w:color w:val="auto"/>
          <w:sz w:val="24"/>
          <w:szCs w:val="24"/>
        </w:rPr>
        <w:fldChar w:fldCharType="end"/>
      </w:r>
      <w:bookmarkEnd w:id="25"/>
    </w:p>
    <w:p w14:paraId="12ED7C31" w14:textId="6B62861B" w:rsidR="0038671A" w:rsidRPr="002E6EFA" w:rsidRDefault="0038671A" w:rsidP="0038671A">
      <w:pPr>
        <w:spacing w:after="0"/>
        <w:rPr>
          <w:b/>
        </w:rPr>
      </w:pPr>
      <w:r>
        <w:rPr>
          <w:b/>
        </w:rPr>
        <w:t>Ukazatele e</w:t>
      </w:r>
      <w:r w:rsidRPr="002E6EFA">
        <w:rPr>
          <w:b/>
        </w:rPr>
        <w:t>fektivnost</w:t>
      </w:r>
      <w:r>
        <w:rPr>
          <w:b/>
        </w:rPr>
        <w:t>i</w:t>
      </w:r>
      <w:r w:rsidRPr="002E6EFA">
        <w:rPr>
          <w:b/>
        </w:rPr>
        <w:t xml:space="preserve"> a nákladovost</w:t>
      </w:r>
      <w:r>
        <w:rPr>
          <w:b/>
        </w:rPr>
        <w:t>i</w:t>
      </w:r>
      <w:r w:rsidRPr="002E6EFA">
        <w:rPr>
          <w:b/>
        </w:rPr>
        <w:t xml:space="preserve"> </w:t>
      </w:r>
      <w:r>
        <w:rPr>
          <w:b/>
        </w:rPr>
        <w:t xml:space="preserve">všech daní </w:t>
      </w:r>
    </w:p>
    <w:tbl>
      <w:tblPr>
        <w:tblW w:w="9158"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3367"/>
        <w:gridCol w:w="1930"/>
        <w:gridCol w:w="1930"/>
        <w:gridCol w:w="1931"/>
      </w:tblGrid>
      <w:tr w:rsidR="0038671A" w:rsidRPr="00C0129C" w14:paraId="3FFAE9C7" w14:textId="77777777" w:rsidTr="00390FA0">
        <w:trPr>
          <w:trHeight w:val="201"/>
        </w:trPr>
        <w:tc>
          <w:tcPr>
            <w:tcW w:w="3367" w:type="dxa"/>
            <w:shd w:val="clear" w:color="auto" w:fill="E5F1FF"/>
            <w:noWrap/>
            <w:vAlign w:val="bottom"/>
            <w:hideMark/>
          </w:tcPr>
          <w:p w14:paraId="3BC22750" w14:textId="77777777" w:rsidR="0038671A" w:rsidRPr="00C0129C" w:rsidRDefault="0038671A" w:rsidP="00CF220F">
            <w:pPr>
              <w:spacing w:after="0"/>
              <w:jc w:val="center"/>
              <w:rPr>
                <w:rFonts w:cstheme="minorHAnsi"/>
                <w:b/>
                <w:bCs/>
                <w:sz w:val="20"/>
                <w:szCs w:val="20"/>
                <w:lang w:eastAsia="cs-CZ"/>
              </w:rPr>
            </w:pPr>
          </w:p>
        </w:tc>
        <w:tc>
          <w:tcPr>
            <w:tcW w:w="1930" w:type="dxa"/>
            <w:shd w:val="clear" w:color="auto" w:fill="E5F1FF"/>
            <w:noWrap/>
            <w:vAlign w:val="bottom"/>
            <w:hideMark/>
          </w:tcPr>
          <w:p w14:paraId="226AF4CB" w14:textId="77777777" w:rsidR="0038671A" w:rsidRPr="00C0129C" w:rsidRDefault="0038671A" w:rsidP="00CF220F">
            <w:pPr>
              <w:spacing w:after="0"/>
              <w:jc w:val="center"/>
              <w:rPr>
                <w:rFonts w:cstheme="minorHAnsi"/>
                <w:b/>
                <w:bCs/>
                <w:sz w:val="20"/>
                <w:szCs w:val="20"/>
                <w:lang w:eastAsia="cs-CZ"/>
              </w:rPr>
            </w:pPr>
            <w:r w:rsidRPr="00C0129C">
              <w:rPr>
                <w:rFonts w:cstheme="minorHAnsi"/>
                <w:b/>
                <w:bCs/>
                <w:sz w:val="20"/>
                <w:szCs w:val="20"/>
                <w:lang w:eastAsia="cs-CZ"/>
              </w:rPr>
              <w:t>2018</w:t>
            </w:r>
          </w:p>
        </w:tc>
        <w:tc>
          <w:tcPr>
            <w:tcW w:w="1930" w:type="dxa"/>
            <w:shd w:val="clear" w:color="auto" w:fill="E5F1FF"/>
            <w:noWrap/>
            <w:vAlign w:val="bottom"/>
            <w:hideMark/>
          </w:tcPr>
          <w:p w14:paraId="7C3DC338" w14:textId="77777777" w:rsidR="0038671A" w:rsidRPr="00C0129C" w:rsidRDefault="0038671A" w:rsidP="00CF220F">
            <w:pPr>
              <w:spacing w:after="0"/>
              <w:jc w:val="center"/>
              <w:rPr>
                <w:rFonts w:cstheme="minorHAnsi"/>
                <w:b/>
                <w:bCs/>
                <w:sz w:val="20"/>
                <w:szCs w:val="20"/>
                <w:lang w:eastAsia="cs-CZ"/>
              </w:rPr>
            </w:pPr>
            <w:r w:rsidRPr="00C0129C">
              <w:rPr>
                <w:rFonts w:cstheme="minorHAnsi"/>
                <w:b/>
                <w:bCs/>
                <w:sz w:val="20"/>
                <w:szCs w:val="20"/>
                <w:lang w:eastAsia="cs-CZ"/>
              </w:rPr>
              <w:t>2019</w:t>
            </w:r>
          </w:p>
        </w:tc>
        <w:tc>
          <w:tcPr>
            <w:tcW w:w="1930" w:type="dxa"/>
            <w:shd w:val="clear" w:color="auto" w:fill="E5F1FF"/>
            <w:noWrap/>
            <w:vAlign w:val="bottom"/>
            <w:hideMark/>
          </w:tcPr>
          <w:p w14:paraId="68773360" w14:textId="77777777" w:rsidR="0038671A" w:rsidRPr="00C0129C" w:rsidRDefault="0038671A" w:rsidP="00CF220F">
            <w:pPr>
              <w:spacing w:after="0"/>
              <w:jc w:val="center"/>
              <w:rPr>
                <w:rFonts w:cstheme="minorHAnsi"/>
                <w:b/>
                <w:bCs/>
                <w:sz w:val="20"/>
                <w:szCs w:val="20"/>
                <w:lang w:eastAsia="cs-CZ"/>
              </w:rPr>
            </w:pPr>
            <w:r w:rsidRPr="00C0129C">
              <w:rPr>
                <w:rFonts w:cstheme="minorHAnsi"/>
                <w:b/>
                <w:bCs/>
                <w:sz w:val="20"/>
                <w:szCs w:val="20"/>
                <w:lang w:eastAsia="cs-CZ"/>
              </w:rPr>
              <w:t>2020</w:t>
            </w:r>
          </w:p>
        </w:tc>
      </w:tr>
      <w:tr w:rsidR="0038671A" w:rsidRPr="00C0129C" w14:paraId="688C4DF8" w14:textId="77777777" w:rsidTr="00F934DD">
        <w:trPr>
          <w:trHeight w:val="231"/>
        </w:trPr>
        <w:tc>
          <w:tcPr>
            <w:tcW w:w="3367" w:type="dxa"/>
            <w:shd w:val="clear" w:color="auto" w:fill="auto"/>
            <w:vAlign w:val="bottom"/>
            <w:hideMark/>
          </w:tcPr>
          <w:p w14:paraId="17E75375" w14:textId="41F9E1AE"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Daňové příjmy celkem</w:t>
            </w:r>
            <w:r w:rsidR="00F934DD">
              <w:rPr>
                <w:rFonts w:cstheme="minorHAnsi"/>
                <w:b/>
                <w:bCs/>
                <w:color w:val="000000"/>
                <w:sz w:val="20"/>
                <w:szCs w:val="20"/>
                <w:lang w:eastAsia="cs-CZ"/>
              </w:rPr>
              <w:t xml:space="preserve"> </w:t>
            </w:r>
            <w:r w:rsidRPr="00C0129C">
              <w:rPr>
                <w:rFonts w:cstheme="minorHAnsi"/>
                <w:b/>
                <w:bCs/>
                <w:color w:val="000000"/>
                <w:sz w:val="20"/>
                <w:szCs w:val="20"/>
                <w:lang w:eastAsia="cs-CZ"/>
              </w:rPr>
              <w:t>(v mil. Kč)</w:t>
            </w:r>
          </w:p>
        </w:tc>
        <w:tc>
          <w:tcPr>
            <w:tcW w:w="1930" w:type="dxa"/>
            <w:shd w:val="clear" w:color="auto" w:fill="auto"/>
            <w:noWrap/>
            <w:vAlign w:val="bottom"/>
            <w:hideMark/>
          </w:tcPr>
          <w:p w14:paraId="20797304"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853 266,70</w:t>
            </w:r>
          </w:p>
        </w:tc>
        <w:tc>
          <w:tcPr>
            <w:tcW w:w="1930" w:type="dxa"/>
            <w:shd w:val="clear" w:color="auto" w:fill="auto"/>
            <w:noWrap/>
            <w:vAlign w:val="bottom"/>
            <w:hideMark/>
          </w:tcPr>
          <w:p w14:paraId="6E3E2D2D"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906 583,00</w:t>
            </w:r>
          </w:p>
        </w:tc>
        <w:tc>
          <w:tcPr>
            <w:tcW w:w="1930" w:type="dxa"/>
            <w:shd w:val="clear" w:color="auto" w:fill="auto"/>
            <w:noWrap/>
            <w:vAlign w:val="bottom"/>
            <w:hideMark/>
          </w:tcPr>
          <w:p w14:paraId="6258178C"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850 560,90</w:t>
            </w:r>
          </w:p>
        </w:tc>
      </w:tr>
      <w:tr w:rsidR="0038671A" w:rsidRPr="00C0129C" w14:paraId="3A3727EC" w14:textId="77777777" w:rsidTr="009E5E2D">
        <w:trPr>
          <w:trHeight w:val="557"/>
        </w:trPr>
        <w:tc>
          <w:tcPr>
            <w:tcW w:w="3367" w:type="dxa"/>
            <w:shd w:val="clear" w:color="auto" w:fill="auto"/>
            <w:vAlign w:val="bottom"/>
            <w:hideMark/>
          </w:tcPr>
          <w:p w14:paraId="69980373" w14:textId="06F67B28" w:rsidR="0038671A" w:rsidRPr="00C0129C" w:rsidRDefault="0038671A" w:rsidP="00227654">
            <w:pPr>
              <w:spacing w:after="0"/>
              <w:jc w:val="left"/>
              <w:rPr>
                <w:rFonts w:cstheme="minorHAnsi"/>
                <w:b/>
                <w:bCs/>
                <w:color w:val="000000"/>
                <w:sz w:val="20"/>
                <w:szCs w:val="20"/>
                <w:lang w:eastAsia="cs-CZ"/>
              </w:rPr>
            </w:pPr>
            <w:r w:rsidRPr="00C0129C">
              <w:rPr>
                <w:rFonts w:cstheme="minorHAnsi"/>
                <w:b/>
                <w:bCs/>
                <w:color w:val="000000"/>
                <w:sz w:val="20"/>
                <w:szCs w:val="20"/>
                <w:lang w:eastAsia="cs-CZ"/>
              </w:rPr>
              <w:t xml:space="preserve">Nedaňové </w:t>
            </w:r>
            <w:r w:rsidR="00A1421B" w:rsidRPr="00C0129C">
              <w:rPr>
                <w:rFonts w:cstheme="minorHAnsi"/>
                <w:b/>
                <w:bCs/>
                <w:color w:val="000000"/>
                <w:sz w:val="20"/>
                <w:szCs w:val="20"/>
                <w:lang w:eastAsia="cs-CZ"/>
              </w:rPr>
              <w:t>příjmy – kapitola</w:t>
            </w:r>
            <w:r w:rsidRPr="00C0129C">
              <w:rPr>
                <w:rFonts w:cstheme="minorHAnsi"/>
                <w:b/>
                <w:bCs/>
                <w:color w:val="000000"/>
                <w:sz w:val="20"/>
                <w:szCs w:val="20"/>
                <w:lang w:eastAsia="cs-CZ"/>
              </w:rPr>
              <w:t xml:space="preserve"> </w:t>
            </w:r>
            <w:r w:rsidR="005E09E4">
              <w:rPr>
                <w:rFonts w:cstheme="minorHAnsi"/>
                <w:b/>
                <w:bCs/>
                <w:color w:val="000000"/>
                <w:sz w:val="20"/>
                <w:szCs w:val="20"/>
                <w:lang w:eastAsia="cs-CZ"/>
              </w:rPr>
              <w:t xml:space="preserve">státního rozpočtu </w:t>
            </w:r>
            <w:r w:rsidRPr="00C0129C">
              <w:rPr>
                <w:rFonts w:cstheme="minorHAnsi"/>
                <w:b/>
                <w:bCs/>
                <w:color w:val="000000"/>
                <w:sz w:val="20"/>
                <w:szCs w:val="20"/>
                <w:lang w:eastAsia="cs-CZ"/>
              </w:rPr>
              <w:t xml:space="preserve">312 </w:t>
            </w:r>
            <w:r w:rsidR="008B15F0" w:rsidRPr="00C0129C">
              <w:rPr>
                <w:rFonts w:cstheme="minorHAnsi"/>
                <w:b/>
                <w:bCs/>
                <w:color w:val="000000"/>
                <w:sz w:val="20"/>
                <w:szCs w:val="20"/>
                <w:lang w:eastAsia="cs-CZ"/>
              </w:rPr>
              <w:t>–</w:t>
            </w:r>
            <w:r w:rsidRPr="00C0129C">
              <w:rPr>
                <w:rFonts w:cstheme="minorHAnsi"/>
                <w:b/>
                <w:bCs/>
                <w:color w:val="000000"/>
                <w:sz w:val="20"/>
                <w:szCs w:val="20"/>
                <w:lang w:eastAsia="cs-CZ"/>
              </w:rPr>
              <w:t xml:space="preserve"> MF (v mil. Kč)</w:t>
            </w:r>
          </w:p>
        </w:tc>
        <w:tc>
          <w:tcPr>
            <w:tcW w:w="1930" w:type="dxa"/>
            <w:shd w:val="clear" w:color="auto" w:fill="auto"/>
            <w:noWrap/>
            <w:vAlign w:val="bottom"/>
            <w:hideMark/>
          </w:tcPr>
          <w:p w14:paraId="07C94340"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518,3</w:t>
            </w:r>
          </w:p>
        </w:tc>
        <w:tc>
          <w:tcPr>
            <w:tcW w:w="1930" w:type="dxa"/>
            <w:shd w:val="clear" w:color="auto" w:fill="auto"/>
            <w:noWrap/>
            <w:vAlign w:val="bottom"/>
            <w:hideMark/>
          </w:tcPr>
          <w:p w14:paraId="4F259403"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421,8</w:t>
            </w:r>
          </w:p>
        </w:tc>
        <w:tc>
          <w:tcPr>
            <w:tcW w:w="1930" w:type="dxa"/>
            <w:shd w:val="clear" w:color="auto" w:fill="auto"/>
            <w:noWrap/>
            <w:vAlign w:val="bottom"/>
            <w:hideMark/>
          </w:tcPr>
          <w:p w14:paraId="6FAC25E8"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208,30</w:t>
            </w:r>
          </w:p>
        </w:tc>
      </w:tr>
      <w:tr w:rsidR="0038671A" w:rsidRPr="00C0129C" w14:paraId="5D88BD41" w14:textId="77777777" w:rsidTr="009E5E2D">
        <w:trPr>
          <w:trHeight w:val="318"/>
        </w:trPr>
        <w:tc>
          <w:tcPr>
            <w:tcW w:w="3367" w:type="dxa"/>
            <w:shd w:val="clear" w:color="auto" w:fill="auto"/>
            <w:vAlign w:val="bottom"/>
            <w:hideMark/>
          </w:tcPr>
          <w:p w14:paraId="71035F46"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Příjmy celkem (v mil. Kč)</w:t>
            </w:r>
          </w:p>
        </w:tc>
        <w:tc>
          <w:tcPr>
            <w:tcW w:w="1930" w:type="dxa"/>
            <w:shd w:val="clear" w:color="auto" w:fill="auto"/>
            <w:noWrap/>
            <w:vAlign w:val="bottom"/>
            <w:hideMark/>
          </w:tcPr>
          <w:p w14:paraId="296AF8C4"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853 785,00</w:t>
            </w:r>
          </w:p>
        </w:tc>
        <w:tc>
          <w:tcPr>
            <w:tcW w:w="1930" w:type="dxa"/>
            <w:shd w:val="clear" w:color="auto" w:fill="auto"/>
            <w:noWrap/>
            <w:vAlign w:val="bottom"/>
            <w:hideMark/>
          </w:tcPr>
          <w:p w14:paraId="07D64642"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907 004,80</w:t>
            </w:r>
          </w:p>
        </w:tc>
        <w:tc>
          <w:tcPr>
            <w:tcW w:w="1930" w:type="dxa"/>
            <w:shd w:val="clear" w:color="auto" w:fill="auto"/>
            <w:noWrap/>
            <w:vAlign w:val="bottom"/>
            <w:hideMark/>
          </w:tcPr>
          <w:p w14:paraId="4251F74B"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850 769,20</w:t>
            </w:r>
          </w:p>
        </w:tc>
      </w:tr>
      <w:tr w:rsidR="0038671A" w:rsidRPr="00C0129C" w14:paraId="3135F362" w14:textId="77777777" w:rsidTr="009E5E2D">
        <w:trPr>
          <w:trHeight w:val="318"/>
        </w:trPr>
        <w:tc>
          <w:tcPr>
            <w:tcW w:w="3367" w:type="dxa"/>
            <w:shd w:val="clear" w:color="auto" w:fill="auto"/>
            <w:noWrap/>
            <w:vAlign w:val="bottom"/>
            <w:hideMark/>
          </w:tcPr>
          <w:p w14:paraId="61D14B9D"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Výdaje celkem (v mil. Kč)</w:t>
            </w:r>
          </w:p>
        </w:tc>
        <w:tc>
          <w:tcPr>
            <w:tcW w:w="1930" w:type="dxa"/>
            <w:shd w:val="clear" w:color="auto" w:fill="auto"/>
            <w:noWrap/>
            <w:vAlign w:val="bottom"/>
            <w:hideMark/>
          </w:tcPr>
          <w:p w14:paraId="354EC08B"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12 096,60</w:t>
            </w:r>
          </w:p>
        </w:tc>
        <w:tc>
          <w:tcPr>
            <w:tcW w:w="1930" w:type="dxa"/>
            <w:shd w:val="clear" w:color="auto" w:fill="auto"/>
            <w:noWrap/>
            <w:vAlign w:val="bottom"/>
            <w:hideMark/>
          </w:tcPr>
          <w:p w14:paraId="293D6DAA"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12 652,60</w:t>
            </w:r>
          </w:p>
        </w:tc>
        <w:tc>
          <w:tcPr>
            <w:tcW w:w="1930" w:type="dxa"/>
            <w:shd w:val="clear" w:color="auto" w:fill="auto"/>
            <w:noWrap/>
            <w:vAlign w:val="bottom"/>
            <w:hideMark/>
          </w:tcPr>
          <w:p w14:paraId="34A4CC14"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13 499,40</w:t>
            </w:r>
          </w:p>
        </w:tc>
      </w:tr>
      <w:tr w:rsidR="0038671A" w:rsidRPr="00C0129C" w14:paraId="5B068415" w14:textId="77777777" w:rsidTr="009E5E2D">
        <w:trPr>
          <w:trHeight w:val="335"/>
        </w:trPr>
        <w:tc>
          <w:tcPr>
            <w:tcW w:w="3367" w:type="dxa"/>
            <w:shd w:val="clear" w:color="auto" w:fill="auto"/>
            <w:noWrap/>
            <w:vAlign w:val="bottom"/>
            <w:hideMark/>
          </w:tcPr>
          <w:p w14:paraId="7DC6C174"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 xml:space="preserve">Počet zaměstnanců FS ČR </w:t>
            </w:r>
          </w:p>
        </w:tc>
        <w:tc>
          <w:tcPr>
            <w:tcW w:w="1930" w:type="dxa"/>
            <w:shd w:val="clear" w:color="auto" w:fill="auto"/>
            <w:noWrap/>
            <w:vAlign w:val="bottom"/>
            <w:hideMark/>
          </w:tcPr>
          <w:p w14:paraId="4CF86A96"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15 540</w:t>
            </w:r>
          </w:p>
        </w:tc>
        <w:tc>
          <w:tcPr>
            <w:tcW w:w="1930" w:type="dxa"/>
            <w:shd w:val="clear" w:color="auto" w:fill="auto"/>
            <w:noWrap/>
            <w:vAlign w:val="bottom"/>
            <w:hideMark/>
          </w:tcPr>
          <w:p w14:paraId="711DE89C"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15 232</w:t>
            </w:r>
          </w:p>
        </w:tc>
        <w:tc>
          <w:tcPr>
            <w:tcW w:w="1930" w:type="dxa"/>
            <w:shd w:val="clear" w:color="auto" w:fill="auto"/>
            <w:noWrap/>
            <w:vAlign w:val="bottom"/>
            <w:hideMark/>
          </w:tcPr>
          <w:p w14:paraId="2371ACFF"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14 977</w:t>
            </w:r>
          </w:p>
        </w:tc>
      </w:tr>
      <w:tr w:rsidR="0038671A" w:rsidRPr="00C0129C" w14:paraId="15E696E9" w14:textId="77777777" w:rsidTr="009E5E2D">
        <w:trPr>
          <w:trHeight w:val="101"/>
        </w:trPr>
        <w:tc>
          <w:tcPr>
            <w:tcW w:w="9158" w:type="dxa"/>
            <w:gridSpan w:val="4"/>
            <w:shd w:val="clear" w:color="auto" w:fill="auto"/>
            <w:noWrap/>
            <w:vAlign w:val="bottom"/>
            <w:hideMark/>
          </w:tcPr>
          <w:p w14:paraId="2406047B" w14:textId="464E89F4" w:rsidR="0038671A" w:rsidRPr="00C0129C" w:rsidRDefault="0038671A" w:rsidP="00CF220F">
            <w:pPr>
              <w:spacing w:after="0"/>
              <w:jc w:val="center"/>
              <w:rPr>
                <w:rFonts w:cstheme="minorHAnsi"/>
                <w:b/>
                <w:bCs/>
                <w:color w:val="000000"/>
                <w:sz w:val="20"/>
                <w:szCs w:val="20"/>
                <w:lang w:eastAsia="cs-CZ"/>
              </w:rPr>
            </w:pPr>
            <w:r w:rsidRPr="00C0129C">
              <w:rPr>
                <w:rFonts w:cstheme="minorHAnsi"/>
                <w:b/>
                <w:bCs/>
                <w:color w:val="000000"/>
                <w:sz w:val="20"/>
                <w:szCs w:val="20"/>
                <w:lang w:eastAsia="cs-CZ"/>
              </w:rPr>
              <w:t>Efektivnost v Kč (bez tvorby rezervního fondu)</w:t>
            </w:r>
          </w:p>
        </w:tc>
      </w:tr>
      <w:tr w:rsidR="0038671A" w:rsidRPr="00C0129C" w14:paraId="39C4546E" w14:textId="77777777" w:rsidTr="009E5E2D">
        <w:trPr>
          <w:trHeight w:val="318"/>
        </w:trPr>
        <w:tc>
          <w:tcPr>
            <w:tcW w:w="3367" w:type="dxa"/>
            <w:shd w:val="clear" w:color="auto" w:fill="auto"/>
            <w:noWrap/>
            <w:vAlign w:val="bottom"/>
            <w:hideMark/>
          </w:tcPr>
          <w:p w14:paraId="4A383346"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 xml:space="preserve">Příjmy na </w:t>
            </w:r>
          </w:p>
        </w:tc>
        <w:tc>
          <w:tcPr>
            <w:tcW w:w="5790" w:type="dxa"/>
            <w:gridSpan w:val="3"/>
            <w:shd w:val="clear" w:color="auto" w:fill="auto"/>
            <w:noWrap/>
            <w:vAlign w:val="bottom"/>
            <w:hideMark/>
          </w:tcPr>
          <w:p w14:paraId="6913DAF8" w14:textId="77777777" w:rsidR="0038671A" w:rsidRPr="00C0129C" w:rsidRDefault="0038671A" w:rsidP="00CF220F">
            <w:pPr>
              <w:spacing w:after="0"/>
              <w:jc w:val="center"/>
              <w:rPr>
                <w:rFonts w:cstheme="minorHAnsi"/>
                <w:b/>
                <w:bCs/>
                <w:color w:val="000000"/>
                <w:sz w:val="20"/>
                <w:szCs w:val="20"/>
                <w:lang w:eastAsia="cs-CZ"/>
              </w:rPr>
            </w:pPr>
            <w:r w:rsidRPr="00C0129C">
              <w:rPr>
                <w:rFonts w:cstheme="minorHAnsi"/>
                <w:b/>
                <w:bCs/>
                <w:color w:val="000000"/>
                <w:sz w:val="20"/>
                <w:szCs w:val="20"/>
                <w:lang w:eastAsia="cs-CZ"/>
              </w:rPr>
              <w:t> </w:t>
            </w:r>
          </w:p>
        </w:tc>
      </w:tr>
      <w:tr w:rsidR="0038671A" w:rsidRPr="00C0129C" w14:paraId="61A3C630" w14:textId="77777777" w:rsidTr="009E5E2D">
        <w:trPr>
          <w:trHeight w:val="318"/>
        </w:trPr>
        <w:tc>
          <w:tcPr>
            <w:tcW w:w="3367" w:type="dxa"/>
            <w:shd w:val="clear" w:color="auto" w:fill="auto"/>
            <w:noWrap/>
            <w:vAlign w:val="bottom"/>
            <w:hideMark/>
          </w:tcPr>
          <w:p w14:paraId="3BE7CEDC"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1 Kč výdajů</w:t>
            </w:r>
          </w:p>
        </w:tc>
        <w:tc>
          <w:tcPr>
            <w:tcW w:w="1930" w:type="dxa"/>
            <w:shd w:val="clear" w:color="auto" w:fill="auto"/>
            <w:noWrap/>
            <w:vAlign w:val="bottom"/>
            <w:hideMark/>
          </w:tcPr>
          <w:p w14:paraId="46F7B207"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70,58</w:t>
            </w:r>
          </w:p>
        </w:tc>
        <w:tc>
          <w:tcPr>
            <w:tcW w:w="1930" w:type="dxa"/>
            <w:shd w:val="clear" w:color="auto" w:fill="auto"/>
            <w:noWrap/>
            <w:vAlign w:val="bottom"/>
            <w:hideMark/>
          </w:tcPr>
          <w:p w14:paraId="277583CC"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71,69</w:t>
            </w:r>
          </w:p>
        </w:tc>
        <w:tc>
          <w:tcPr>
            <w:tcW w:w="1930" w:type="dxa"/>
            <w:shd w:val="clear" w:color="auto" w:fill="auto"/>
            <w:noWrap/>
            <w:vAlign w:val="bottom"/>
            <w:hideMark/>
          </w:tcPr>
          <w:p w14:paraId="624DE700"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63,02</w:t>
            </w:r>
          </w:p>
        </w:tc>
      </w:tr>
      <w:tr w:rsidR="0038671A" w:rsidRPr="00C0129C" w14:paraId="7ED9C85C" w14:textId="77777777" w:rsidTr="009E5E2D">
        <w:trPr>
          <w:trHeight w:val="335"/>
        </w:trPr>
        <w:tc>
          <w:tcPr>
            <w:tcW w:w="3367" w:type="dxa"/>
            <w:shd w:val="clear" w:color="auto" w:fill="auto"/>
            <w:noWrap/>
            <w:vAlign w:val="bottom"/>
            <w:hideMark/>
          </w:tcPr>
          <w:p w14:paraId="62F6FB73"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1 zaměstnance</w:t>
            </w:r>
          </w:p>
        </w:tc>
        <w:tc>
          <w:tcPr>
            <w:tcW w:w="1930" w:type="dxa"/>
            <w:shd w:val="clear" w:color="auto" w:fill="auto"/>
            <w:noWrap/>
            <w:vAlign w:val="bottom"/>
            <w:hideMark/>
          </w:tcPr>
          <w:p w14:paraId="381946B7"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54 980 036,00</w:t>
            </w:r>
          </w:p>
        </w:tc>
        <w:tc>
          <w:tcPr>
            <w:tcW w:w="1930" w:type="dxa"/>
            <w:shd w:val="clear" w:color="auto" w:fill="auto"/>
            <w:noWrap/>
            <w:vAlign w:val="bottom"/>
            <w:hideMark/>
          </w:tcPr>
          <w:p w14:paraId="3CBAAF73"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58 930 856,00</w:t>
            </w:r>
          </w:p>
        </w:tc>
        <w:tc>
          <w:tcPr>
            <w:tcW w:w="1930" w:type="dxa"/>
            <w:shd w:val="clear" w:color="auto" w:fill="auto"/>
            <w:noWrap/>
            <w:vAlign w:val="bottom"/>
            <w:hideMark/>
          </w:tcPr>
          <w:p w14:paraId="60E9A7DE"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56 656 456,00</w:t>
            </w:r>
          </w:p>
        </w:tc>
      </w:tr>
      <w:tr w:rsidR="0038671A" w:rsidRPr="00C0129C" w14:paraId="07B7D4BD" w14:textId="77777777" w:rsidTr="009E5E2D">
        <w:trPr>
          <w:trHeight w:val="101"/>
        </w:trPr>
        <w:tc>
          <w:tcPr>
            <w:tcW w:w="9158" w:type="dxa"/>
            <w:gridSpan w:val="4"/>
            <w:shd w:val="clear" w:color="auto" w:fill="auto"/>
            <w:noWrap/>
            <w:vAlign w:val="bottom"/>
            <w:hideMark/>
          </w:tcPr>
          <w:p w14:paraId="03E87407" w14:textId="4E0F1E8C" w:rsidR="0038671A" w:rsidRPr="00C0129C" w:rsidRDefault="0038671A" w:rsidP="00CF220F">
            <w:pPr>
              <w:spacing w:after="0"/>
              <w:jc w:val="center"/>
              <w:rPr>
                <w:rFonts w:cstheme="minorHAnsi"/>
                <w:b/>
                <w:bCs/>
                <w:color w:val="000000"/>
                <w:sz w:val="20"/>
                <w:szCs w:val="20"/>
                <w:lang w:eastAsia="cs-CZ"/>
              </w:rPr>
            </w:pPr>
            <w:r w:rsidRPr="00C0129C">
              <w:rPr>
                <w:rFonts w:cstheme="minorHAnsi"/>
                <w:b/>
                <w:bCs/>
                <w:color w:val="000000"/>
                <w:sz w:val="20"/>
                <w:szCs w:val="20"/>
                <w:lang w:eastAsia="cs-CZ"/>
              </w:rPr>
              <w:t>Nákladovost v Kč (bez tvorby rezervního fondu)</w:t>
            </w:r>
          </w:p>
        </w:tc>
      </w:tr>
      <w:tr w:rsidR="0038671A" w:rsidRPr="00C0129C" w14:paraId="3237AE56" w14:textId="77777777" w:rsidTr="009E5E2D">
        <w:trPr>
          <w:trHeight w:val="318"/>
        </w:trPr>
        <w:tc>
          <w:tcPr>
            <w:tcW w:w="3367" w:type="dxa"/>
            <w:shd w:val="clear" w:color="auto" w:fill="auto"/>
            <w:noWrap/>
            <w:vAlign w:val="bottom"/>
            <w:hideMark/>
          </w:tcPr>
          <w:p w14:paraId="3268FFDF"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 xml:space="preserve">Výdaje na </w:t>
            </w:r>
          </w:p>
        </w:tc>
        <w:tc>
          <w:tcPr>
            <w:tcW w:w="5790" w:type="dxa"/>
            <w:gridSpan w:val="3"/>
            <w:shd w:val="clear" w:color="auto" w:fill="auto"/>
            <w:noWrap/>
            <w:vAlign w:val="bottom"/>
            <w:hideMark/>
          </w:tcPr>
          <w:p w14:paraId="012CE41C" w14:textId="77777777" w:rsidR="0038671A" w:rsidRPr="00C0129C" w:rsidRDefault="0038671A" w:rsidP="00CF220F">
            <w:pPr>
              <w:spacing w:after="0"/>
              <w:jc w:val="center"/>
              <w:rPr>
                <w:rFonts w:cstheme="minorHAnsi"/>
                <w:b/>
                <w:bCs/>
                <w:color w:val="000000"/>
                <w:sz w:val="20"/>
                <w:szCs w:val="20"/>
                <w:lang w:eastAsia="cs-CZ"/>
              </w:rPr>
            </w:pPr>
            <w:r w:rsidRPr="00C0129C">
              <w:rPr>
                <w:rFonts w:cstheme="minorHAnsi"/>
                <w:b/>
                <w:bCs/>
                <w:color w:val="000000"/>
                <w:sz w:val="20"/>
                <w:szCs w:val="20"/>
                <w:lang w:eastAsia="cs-CZ"/>
              </w:rPr>
              <w:t> </w:t>
            </w:r>
          </w:p>
        </w:tc>
      </w:tr>
      <w:tr w:rsidR="0038671A" w:rsidRPr="00C0129C" w14:paraId="220D5BE7" w14:textId="77777777" w:rsidTr="009E5E2D">
        <w:trPr>
          <w:trHeight w:val="318"/>
        </w:trPr>
        <w:tc>
          <w:tcPr>
            <w:tcW w:w="3367" w:type="dxa"/>
            <w:shd w:val="clear" w:color="auto" w:fill="auto"/>
            <w:noWrap/>
            <w:vAlign w:val="bottom"/>
            <w:hideMark/>
          </w:tcPr>
          <w:p w14:paraId="1D27DA82"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100 Kč příjmů</w:t>
            </w:r>
          </w:p>
        </w:tc>
        <w:tc>
          <w:tcPr>
            <w:tcW w:w="1930" w:type="dxa"/>
            <w:shd w:val="clear" w:color="auto" w:fill="auto"/>
            <w:noWrap/>
            <w:vAlign w:val="bottom"/>
            <w:hideMark/>
          </w:tcPr>
          <w:p w14:paraId="1CF67439"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1,42</w:t>
            </w:r>
          </w:p>
        </w:tc>
        <w:tc>
          <w:tcPr>
            <w:tcW w:w="1930" w:type="dxa"/>
            <w:shd w:val="clear" w:color="auto" w:fill="auto"/>
            <w:noWrap/>
            <w:vAlign w:val="bottom"/>
            <w:hideMark/>
          </w:tcPr>
          <w:p w14:paraId="35D57960"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1,39</w:t>
            </w:r>
          </w:p>
        </w:tc>
        <w:tc>
          <w:tcPr>
            <w:tcW w:w="1930" w:type="dxa"/>
            <w:shd w:val="clear" w:color="auto" w:fill="auto"/>
            <w:noWrap/>
            <w:vAlign w:val="bottom"/>
            <w:hideMark/>
          </w:tcPr>
          <w:p w14:paraId="599E1EB8"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1,59</w:t>
            </w:r>
          </w:p>
        </w:tc>
      </w:tr>
      <w:tr w:rsidR="0038671A" w:rsidRPr="00C0129C" w14:paraId="17810A62" w14:textId="77777777" w:rsidTr="009E5E2D">
        <w:trPr>
          <w:trHeight w:val="335"/>
        </w:trPr>
        <w:tc>
          <w:tcPr>
            <w:tcW w:w="3367" w:type="dxa"/>
            <w:shd w:val="clear" w:color="auto" w:fill="auto"/>
            <w:noWrap/>
            <w:vAlign w:val="bottom"/>
            <w:hideMark/>
          </w:tcPr>
          <w:p w14:paraId="758B6556"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1 zaměstnance</w:t>
            </w:r>
          </w:p>
        </w:tc>
        <w:tc>
          <w:tcPr>
            <w:tcW w:w="1930" w:type="dxa"/>
            <w:shd w:val="clear" w:color="auto" w:fill="auto"/>
            <w:noWrap/>
            <w:vAlign w:val="bottom"/>
            <w:hideMark/>
          </w:tcPr>
          <w:p w14:paraId="7FBB8BD3"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778 971,00</w:t>
            </w:r>
          </w:p>
        </w:tc>
        <w:tc>
          <w:tcPr>
            <w:tcW w:w="1930" w:type="dxa"/>
            <w:shd w:val="clear" w:color="auto" w:fill="auto"/>
            <w:noWrap/>
            <w:vAlign w:val="bottom"/>
            <w:hideMark/>
          </w:tcPr>
          <w:p w14:paraId="58F019F5"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822 078,00</w:t>
            </w:r>
          </w:p>
        </w:tc>
        <w:tc>
          <w:tcPr>
            <w:tcW w:w="1930" w:type="dxa"/>
            <w:shd w:val="clear" w:color="auto" w:fill="auto"/>
            <w:noWrap/>
            <w:vAlign w:val="bottom"/>
            <w:hideMark/>
          </w:tcPr>
          <w:p w14:paraId="0E20B309" w14:textId="1DB5AE79"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898</w:t>
            </w:r>
            <w:r w:rsidR="00A67D32">
              <w:rPr>
                <w:rFonts w:cstheme="minorHAnsi"/>
                <w:bCs/>
                <w:color w:val="000000"/>
                <w:sz w:val="20"/>
                <w:szCs w:val="20"/>
                <w:lang w:eastAsia="cs-CZ"/>
              </w:rPr>
              <w:t xml:space="preserve"> </w:t>
            </w:r>
            <w:r w:rsidRPr="00C0129C">
              <w:rPr>
                <w:rFonts w:cstheme="minorHAnsi"/>
                <w:bCs/>
                <w:color w:val="000000"/>
                <w:sz w:val="20"/>
                <w:szCs w:val="20"/>
                <w:lang w:eastAsia="cs-CZ"/>
              </w:rPr>
              <w:t>9</w:t>
            </w:r>
            <w:r>
              <w:rPr>
                <w:rFonts w:cstheme="minorHAnsi"/>
                <w:bCs/>
                <w:color w:val="000000"/>
                <w:sz w:val="20"/>
                <w:szCs w:val="20"/>
                <w:lang w:eastAsia="cs-CZ"/>
              </w:rPr>
              <w:t>8</w:t>
            </w:r>
            <w:r w:rsidRPr="00C0129C">
              <w:rPr>
                <w:rFonts w:cstheme="minorHAnsi"/>
                <w:bCs/>
                <w:color w:val="000000"/>
                <w:sz w:val="20"/>
                <w:szCs w:val="20"/>
                <w:lang w:eastAsia="cs-CZ"/>
              </w:rPr>
              <w:t>6,00</w:t>
            </w:r>
          </w:p>
        </w:tc>
      </w:tr>
    </w:tbl>
    <w:p w14:paraId="4C780839" w14:textId="3513B096" w:rsidR="0038671A" w:rsidRDefault="0038671A" w:rsidP="0038671A">
      <w:pPr>
        <w:rPr>
          <w:rFonts w:cs="Calibri"/>
          <w:sz w:val="20"/>
          <w:szCs w:val="20"/>
        </w:rPr>
      </w:pPr>
      <w:r w:rsidRPr="002E2DE8">
        <w:rPr>
          <w:rFonts w:cs="Calibri"/>
          <w:sz w:val="20"/>
          <w:szCs w:val="20"/>
        </w:rPr>
        <w:t xml:space="preserve">Zdroj: </w:t>
      </w:r>
      <w:r w:rsidRPr="00227654">
        <w:rPr>
          <w:rFonts w:cs="Calibri"/>
          <w:i/>
          <w:sz w:val="20"/>
          <w:szCs w:val="20"/>
        </w:rPr>
        <w:t>Výroční zpráva Finanční správy ČR za rok 2020</w:t>
      </w:r>
      <w:r w:rsidR="005E09E4">
        <w:rPr>
          <w:rFonts w:cs="Calibri"/>
          <w:sz w:val="20"/>
          <w:szCs w:val="20"/>
        </w:rPr>
        <w:t>;</w:t>
      </w:r>
      <w:r>
        <w:rPr>
          <w:rFonts w:cs="Calibri"/>
          <w:sz w:val="20"/>
          <w:szCs w:val="20"/>
        </w:rPr>
        <w:t xml:space="preserve"> vlastní zpracování NKÚ.</w:t>
      </w:r>
    </w:p>
    <w:p w14:paraId="33E05C82" w14:textId="77777777" w:rsidR="0038671A" w:rsidRPr="002E2DE8" w:rsidRDefault="0038671A" w:rsidP="0038671A">
      <w:pPr>
        <w:rPr>
          <w:rFonts w:cs="Calibri"/>
          <w:sz w:val="20"/>
          <w:szCs w:val="20"/>
        </w:rPr>
      </w:pPr>
    </w:p>
    <w:p w14:paraId="4149ACFC" w14:textId="3DBFA661" w:rsidR="0038671A" w:rsidRPr="001C6FA8" w:rsidRDefault="0038671A" w:rsidP="0038671A">
      <w:pPr>
        <w:spacing w:after="0"/>
        <w:rPr>
          <w:b/>
        </w:rPr>
      </w:pPr>
      <w:r>
        <w:rPr>
          <w:b/>
        </w:rPr>
        <w:t>Ukazatele e</w:t>
      </w:r>
      <w:r w:rsidRPr="002E6EFA">
        <w:rPr>
          <w:b/>
        </w:rPr>
        <w:t>fektivnost</w:t>
      </w:r>
      <w:r>
        <w:rPr>
          <w:b/>
        </w:rPr>
        <w:t>i</w:t>
      </w:r>
      <w:r w:rsidRPr="002E6EFA">
        <w:rPr>
          <w:b/>
        </w:rPr>
        <w:t xml:space="preserve"> a nákladovost</w:t>
      </w:r>
      <w:r>
        <w:rPr>
          <w:b/>
        </w:rPr>
        <w:t>i</w:t>
      </w:r>
      <w:r w:rsidRPr="002E6EFA">
        <w:rPr>
          <w:b/>
        </w:rPr>
        <w:t xml:space="preserve"> </w:t>
      </w:r>
      <w:r w:rsidRPr="001C6FA8">
        <w:rPr>
          <w:b/>
        </w:rPr>
        <w:t>daně silniční</w:t>
      </w:r>
      <w:r>
        <w:rPr>
          <w:b/>
        </w:rPr>
        <w:t xml:space="preserve"> </w:t>
      </w:r>
    </w:p>
    <w:tbl>
      <w:tblPr>
        <w:tblW w:w="9103"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825"/>
        <w:gridCol w:w="1425"/>
        <w:gridCol w:w="1425"/>
        <w:gridCol w:w="1428"/>
      </w:tblGrid>
      <w:tr w:rsidR="0038671A" w:rsidRPr="00C0129C" w14:paraId="37EC22D1" w14:textId="77777777" w:rsidTr="00390FA0">
        <w:trPr>
          <w:trHeight w:val="137"/>
        </w:trPr>
        <w:tc>
          <w:tcPr>
            <w:tcW w:w="4825" w:type="dxa"/>
            <w:shd w:val="clear" w:color="auto" w:fill="E5F1FF"/>
            <w:vAlign w:val="center"/>
            <w:hideMark/>
          </w:tcPr>
          <w:p w14:paraId="427E1D82" w14:textId="77777777" w:rsidR="0038671A" w:rsidRPr="00C0129C" w:rsidRDefault="0038671A" w:rsidP="00CF220F">
            <w:pPr>
              <w:spacing w:after="0"/>
              <w:jc w:val="center"/>
              <w:rPr>
                <w:rFonts w:cstheme="minorHAnsi"/>
                <w:b/>
                <w:bCs/>
                <w:color w:val="000000"/>
                <w:sz w:val="20"/>
                <w:szCs w:val="20"/>
                <w:lang w:eastAsia="cs-CZ"/>
              </w:rPr>
            </w:pPr>
          </w:p>
        </w:tc>
        <w:tc>
          <w:tcPr>
            <w:tcW w:w="1425" w:type="dxa"/>
            <w:shd w:val="clear" w:color="auto" w:fill="E5F1FF"/>
            <w:noWrap/>
            <w:vAlign w:val="center"/>
            <w:hideMark/>
          </w:tcPr>
          <w:p w14:paraId="7B3ED585" w14:textId="77777777" w:rsidR="0038671A" w:rsidRPr="00C0129C" w:rsidRDefault="0038671A" w:rsidP="00CF220F">
            <w:pPr>
              <w:spacing w:after="0"/>
              <w:jc w:val="center"/>
              <w:rPr>
                <w:rFonts w:cstheme="minorHAnsi"/>
                <w:b/>
                <w:bCs/>
                <w:color w:val="000000"/>
                <w:sz w:val="20"/>
                <w:szCs w:val="20"/>
                <w:lang w:eastAsia="cs-CZ"/>
              </w:rPr>
            </w:pPr>
            <w:r w:rsidRPr="00C0129C">
              <w:rPr>
                <w:rFonts w:cstheme="minorHAnsi"/>
                <w:b/>
                <w:bCs/>
                <w:color w:val="000000"/>
                <w:sz w:val="20"/>
                <w:szCs w:val="20"/>
                <w:lang w:eastAsia="cs-CZ"/>
              </w:rPr>
              <w:t>2018</w:t>
            </w:r>
          </w:p>
        </w:tc>
        <w:tc>
          <w:tcPr>
            <w:tcW w:w="1425" w:type="dxa"/>
            <w:shd w:val="clear" w:color="auto" w:fill="E5F1FF"/>
            <w:noWrap/>
            <w:vAlign w:val="center"/>
            <w:hideMark/>
          </w:tcPr>
          <w:p w14:paraId="34925297" w14:textId="77777777" w:rsidR="0038671A" w:rsidRPr="00C0129C" w:rsidRDefault="0038671A" w:rsidP="00CF220F">
            <w:pPr>
              <w:spacing w:after="0"/>
              <w:jc w:val="center"/>
              <w:rPr>
                <w:rFonts w:cstheme="minorHAnsi"/>
                <w:b/>
                <w:bCs/>
                <w:color w:val="000000"/>
                <w:sz w:val="20"/>
                <w:szCs w:val="20"/>
                <w:lang w:eastAsia="cs-CZ"/>
              </w:rPr>
            </w:pPr>
            <w:r w:rsidRPr="00C0129C">
              <w:rPr>
                <w:rFonts w:cstheme="minorHAnsi"/>
                <w:b/>
                <w:bCs/>
                <w:color w:val="000000"/>
                <w:sz w:val="20"/>
                <w:szCs w:val="20"/>
                <w:lang w:eastAsia="cs-CZ"/>
              </w:rPr>
              <w:t>2019</w:t>
            </w:r>
          </w:p>
        </w:tc>
        <w:tc>
          <w:tcPr>
            <w:tcW w:w="1428" w:type="dxa"/>
            <w:shd w:val="clear" w:color="auto" w:fill="E5F1FF"/>
            <w:noWrap/>
            <w:vAlign w:val="center"/>
            <w:hideMark/>
          </w:tcPr>
          <w:p w14:paraId="6C774DAF" w14:textId="77777777" w:rsidR="0038671A" w:rsidRPr="00C0129C" w:rsidRDefault="0038671A" w:rsidP="00CF220F">
            <w:pPr>
              <w:spacing w:after="0"/>
              <w:jc w:val="center"/>
              <w:rPr>
                <w:rFonts w:cstheme="minorHAnsi"/>
                <w:b/>
                <w:bCs/>
                <w:color w:val="000000"/>
                <w:sz w:val="20"/>
                <w:szCs w:val="20"/>
                <w:lang w:eastAsia="cs-CZ"/>
              </w:rPr>
            </w:pPr>
            <w:r w:rsidRPr="00C0129C">
              <w:rPr>
                <w:rFonts w:cstheme="minorHAnsi"/>
                <w:b/>
                <w:bCs/>
                <w:color w:val="000000"/>
                <w:sz w:val="20"/>
                <w:szCs w:val="20"/>
                <w:lang w:eastAsia="cs-CZ"/>
              </w:rPr>
              <w:t>2020</w:t>
            </w:r>
          </w:p>
        </w:tc>
      </w:tr>
      <w:tr w:rsidR="0038671A" w:rsidRPr="00C0129C" w14:paraId="4F4BF2AF" w14:textId="77777777" w:rsidTr="009E5E2D">
        <w:trPr>
          <w:trHeight w:val="333"/>
        </w:trPr>
        <w:tc>
          <w:tcPr>
            <w:tcW w:w="4825" w:type="dxa"/>
            <w:shd w:val="clear" w:color="auto" w:fill="auto"/>
            <w:vAlign w:val="center"/>
            <w:hideMark/>
          </w:tcPr>
          <w:p w14:paraId="790089A8"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Výdaje celkem (v mil. Kč)</w:t>
            </w:r>
          </w:p>
        </w:tc>
        <w:tc>
          <w:tcPr>
            <w:tcW w:w="1425" w:type="dxa"/>
            <w:shd w:val="clear" w:color="auto" w:fill="auto"/>
            <w:noWrap/>
            <w:vAlign w:val="center"/>
            <w:hideMark/>
          </w:tcPr>
          <w:p w14:paraId="24ADFB27"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12 096,60</w:t>
            </w:r>
          </w:p>
        </w:tc>
        <w:tc>
          <w:tcPr>
            <w:tcW w:w="1425" w:type="dxa"/>
            <w:shd w:val="clear" w:color="auto" w:fill="auto"/>
            <w:noWrap/>
            <w:vAlign w:val="center"/>
            <w:hideMark/>
          </w:tcPr>
          <w:p w14:paraId="4188CA3B"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12 652,60</w:t>
            </w:r>
          </w:p>
        </w:tc>
        <w:tc>
          <w:tcPr>
            <w:tcW w:w="1428" w:type="dxa"/>
            <w:shd w:val="clear" w:color="auto" w:fill="auto"/>
            <w:noWrap/>
            <w:vAlign w:val="center"/>
            <w:hideMark/>
          </w:tcPr>
          <w:p w14:paraId="37C302B7"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13 499,40</w:t>
            </w:r>
          </w:p>
        </w:tc>
      </w:tr>
      <w:tr w:rsidR="0038671A" w:rsidRPr="00C0129C" w14:paraId="27FCE7F3" w14:textId="77777777" w:rsidTr="009E5E2D">
        <w:trPr>
          <w:trHeight w:val="826"/>
        </w:trPr>
        <w:tc>
          <w:tcPr>
            <w:tcW w:w="4825" w:type="dxa"/>
            <w:shd w:val="clear" w:color="auto" w:fill="auto"/>
            <w:vAlign w:val="center"/>
            <w:hideMark/>
          </w:tcPr>
          <w:p w14:paraId="2FA9F300" w14:textId="51B66DB9" w:rsidR="0038671A" w:rsidRPr="00C0129C" w:rsidRDefault="0038671A" w:rsidP="00227654">
            <w:pPr>
              <w:spacing w:after="0"/>
              <w:jc w:val="left"/>
              <w:rPr>
                <w:rFonts w:cstheme="minorHAnsi"/>
                <w:b/>
                <w:bCs/>
                <w:color w:val="000000"/>
                <w:sz w:val="20"/>
                <w:szCs w:val="20"/>
                <w:lang w:eastAsia="cs-CZ"/>
              </w:rPr>
            </w:pPr>
            <w:r w:rsidRPr="00C0129C">
              <w:rPr>
                <w:rFonts w:cstheme="minorHAnsi"/>
                <w:b/>
                <w:bCs/>
                <w:color w:val="000000"/>
                <w:sz w:val="20"/>
                <w:szCs w:val="20"/>
                <w:lang w:eastAsia="cs-CZ"/>
              </w:rPr>
              <w:t xml:space="preserve">Hodnota pro přepočet výdajů pro daňové činnosti </w:t>
            </w:r>
            <w:r w:rsidRPr="00C0129C">
              <w:rPr>
                <w:rFonts w:cstheme="minorHAnsi"/>
                <w:color w:val="000000"/>
                <w:sz w:val="20"/>
                <w:szCs w:val="20"/>
                <w:lang w:eastAsia="cs-CZ"/>
              </w:rPr>
              <w:t>(</w:t>
            </w:r>
            <w:r w:rsidR="005E09E4">
              <w:rPr>
                <w:rFonts w:cstheme="minorHAnsi"/>
                <w:color w:val="000000"/>
                <w:sz w:val="20"/>
                <w:szCs w:val="20"/>
                <w:lang w:eastAsia="cs-CZ"/>
              </w:rPr>
              <w:t>d</w:t>
            </w:r>
            <w:r w:rsidRPr="00C0129C">
              <w:rPr>
                <w:rFonts w:cstheme="minorHAnsi"/>
                <w:color w:val="000000"/>
                <w:sz w:val="20"/>
                <w:szCs w:val="20"/>
                <w:lang w:eastAsia="cs-CZ"/>
              </w:rPr>
              <w:t>aňové činnosti celkem / (</w:t>
            </w:r>
            <w:r w:rsidR="005E09E4">
              <w:rPr>
                <w:rFonts w:cstheme="minorHAnsi"/>
                <w:color w:val="000000"/>
                <w:sz w:val="20"/>
                <w:szCs w:val="20"/>
                <w:lang w:eastAsia="cs-CZ"/>
              </w:rPr>
              <w:t>d</w:t>
            </w:r>
            <w:r w:rsidRPr="00C0129C">
              <w:rPr>
                <w:rFonts w:cstheme="minorHAnsi"/>
                <w:color w:val="000000"/>
                <w:sz w:val="20"/>
                <w:szCs w:val="20"/>
                <w:lang w:eastAsia="cs-CZ"/>
              </w:rPr>
              <w:t xml:space="preserve">aňové činnosti celkem + </w:t>
            </w:r>
            <w:r w:rsidR="005E09E4">
              <w:rPr>
                <w:rFonts w:cstheme="minorHAnsi"/>
                <w:color w:val="000000"/>
                <w:sz w:val="20"/>
                <w:szCs w:val="20"/>
                <w:lang w:eastAsia="cs-CZ"/>
              </w:rPr>
              <w:t>n</w:t>
            </w:r>
            <w:r w:rsidRPr="00C0129C">
              <w:rPr>
                <w:rFonts w:cstheme="minorHAnsi"/>
                <w:color w:val="000000"/>
                <w:sz w:val="20"/>
                <w:szCs w:val="20"/>
                <w:lang w:eastAsia="cs-CZ"/>
              </w:rPr>
              <w:t>edaňové činnosti celkem))</w:t>
            </w:r>
          </w:p>
        </w:tc>
        <w:tc>
          <w:tcPr>
            <w:tcW w:w="1425" w:type="dxa"/>
            <w:shd w:val="clear" w:color="auto" w:fill="auto"/>
            <w:noWrap/>
            <w:vAlign w:val="center"/>
            <w:hideMark/>
          </w:tcPr>
          <w:p w14:paraId="25DC0F28" w14:textId="77777777" w:rsidR="0038671A" w:rsidRPr="00C0129C" w:rsidRDefault="0038671A" w:rsidP="00CF220F">
            <w:pPr>
              <w:spacing w:after="0"/>
              <w:jc w:val="right"/>
              <w:rPr>
                <w:rFonts w:cstheme="minorHAnsi"/>
                <w:color w:val="000000"/>
                <w:sz w:val="20"/>
                <w:szCs w:val="20"/>
                <w:lang w:eastAsia="cs-CZ"/>
              </w:rPr>
            </w:pPr>
            <w:r w:rsidRPr="00C0129C">
              <w:rPr>
                <w:rFonts w:cstheme="minorHAnsi"/>
                <w:color w:val="000000"/>
                <w:sz w:val="20"/>
                <w:szCs w:val="20"/>
                <w:lang w:eastAsia="cs-CZ"/>
              </w:rPr>
              <w:t>0,9238</w:t>
            </w:r>
          </w:p>
        </w:tc>
        <w:tc>
          <w:tcPr>
            <w:tcW w:w="1425" w:type="dxa"/>
            <w:shd w:val="clear" w:color="auto" w:fill="auto"/>
            <w:noWrap/>
            <w:vAlign w:val="center"/>
            <w:hideMark/>
          </w:tcPr>
          <w:p w14:paraId="063E484D" w14:textId="77777777" w:rsidR="0038671A" w:rsidRPr="00C0129C" w:rsidRDefault="0038671A" w:rsidP="00CF220F">
            <w:pPr>
              <w:spacing w:after="0"/>
              <w:jc w:val="right"/>
              <w:rPr>
                <w:rFonts w:cstheme="minorHAnsi"/>
                <w:color w:val="000000"/>
                <w:sz w:val="20"/>
                <w:szCs w:val="20"/>
                <w:lang w:eastAsia="cs-CZ"/>
              </w:rPr>
            </w:pPr>
            <w:r w:rsidRPr="00C0129C">
              <w:rPr>
                <w:rFonts w:cstheme="minorHAnsi"/>
                <w:color w:val="000000"/>
                <w:sz w:val="20"/>
                <w:szCs w:val="20"/>
                <w:lang w:eastAsia="cs-CZ"/>
              </w:rPr>
              <w:t>0,9275</w:t>
            </w:r>
          </w:p>
        </w:tc>
        <w:tc>
          <w:tcPr>
            <w:tcW w:w="1428" w:type="dxa"/>
            <w:shd w:val="clear" w:color="auto" w:fill="auto"/>
            <w:noWrap/>
            <w:vAlign w:val="center"/>
            <w:hideMark/>
          </w:tcPr>
          <w:p w14:paraId="1E68727D" w14:textId="77777777" w:rsidR="0038671A" w:rsidRPr="00C0129C" w:rsidRDefault="0038671A" w:rsidP="00CF220F">
            <w:pPr>
              <w:spacing w:after="0"/>
              <w:jc w:val="right"/>
              <w:rPr>
                <w:rFonts w:cstheme="minorHAnsi"/>
                <w:color w:val="000000"/>
                <w:sz w:val="20"/>
                <w:szCs w:val="20"/>
                <w:lang w:eastAsia="cs-CZ"/>
              </w:rPr>
            </w:pPr>
            <w:r w:rsidRPr="00C0129C">
              <w:rPr>
                <w:rFonts w:cstheme="minorHAnsi"/>
                <w:color w:val="000000"/>
                <w:sz w:val="20"/>
                <w:szCs w:val="20"/>
                <w:lang w:eastAsia="cs-CZ"/>
              </w:rPr>
              <w:t>0,9406</w:t>
            </w:r>
          </w:p>
        </w:tc>
      </w:tr>
      <w:tr w:rsidR="0038671A" w:rsidRPr="00C0129C" w14:paraId="774BFB59" w14:textId="77777777" w:rsidTr="009E5E2D">
        <w:trPr>
          <w:trHeight w:val="826"/>
        </w:trPr>
        <w:tc>
          <w:tcPr>
            <w:tcW w:w="4825" w:type="dxa"/>
            <w:shd w:val="clear" w:color="auto" w:fill="auto"/>
            <w:vAlign w:val="center"/>
            <w:hideMark/>
          </w:tcPr>
          <w:p w14:paraId="2C5B1425" w14:textId="3A678A79" w:rsidR="0038671A" w:rsidRPr="00C0129C" w:rsidRDefault="0038671A" w:rsidP="00227654">
            <w:pPr>
              <w:spacing w:after="0"/>
              <w:jc w:val="left"/>
              <w:rPr>
                <w:rFonts w:cstheme="minorHAnsi"/>
                <w:b/>
                <w:bCs/>
                <w:color w:val="000000"/>
                <w:sz w:val="20"/>
                <w:szCs w:val="20"/>
                <w:lang w:eastAsia="cs-CZ"/>
              </w:rPr>
            </w:pPr>
            <w:r w:rsidRPr="00C0129C">
              <w:rPr>
                <w:rFonts w:cstheme="minorHAnsi"/>
                <w:b/>
                <w:bCs/>
                <w:color w:val="000000"/>
                <w:sz w:val="20"/>
                <w:szCs w:val="20"/>
                <w:lang w:eastAsia="cs-CZ"/>
              </w:rPr>
              <w:t xml:space="preserve">Hodnota pro přepočet výdajů na DSL </w:t>
            </w:r>
            <w:r w:rsidRPr="00C0129C">
              <w:rPr>
                <w:rFonts w:cstheme="minorHAnsi"/>
                <w:color w:val="000000"/>
                <w:sz w:val="20"/>
                <w:szCs w:val="20"/>
                <w:lang w:eastAsia="cs-CZ"/>
              </w:rPr>
              <w:t>((</w:t>
            </w:r>
            <w:r w:rsidR="005E09E4">
              <w:rPr>
                <w:rFonts w:cstheme="minorHAnsi"/>
                <w:color w:val="000000"/>
                <w:sz w:val="20"/>
                <w:szCs w:val="20"/>
                <w:lang w:eastAsia="cs-CZ"/>
              </w:rPr>
              <w:t>d</w:t>
            </w:r>
            <w:r w:rsidRPr="00C0129C">
              <w:rPr>
                <w:rFonts w:cstheme="minorHAnsi"/>
                <w:color w:val="000000"/>
                <w:sz w:val="20"/>
                <w:szCs w:val="20"/>
                <w:lang w:eastAsia="cs-CZ"/>
              </w:rPr>
              <w:t xml:space="preserve">aňové činnosti DSL celkem + </w:t>
            </w:r>
            <w:r w:rsidR="005E09E4">
              <w:rPr>
                <w:rFonts w:cstheme="minorHAnsi"/>
                <w:color w:val="000000"/>
                <w:sz w:val="20"/>
                <w:szCs w:val="20"/>
                <w:lang w:eastAsia="cs-CZ"/>
              </w:rPr>
              <w:t>o</w:t>
            </w:r>
            <w:r w:rsidRPr="00C0129C">
              <w:rPr>
                <w:rFonts w:cstheme="minorHAnsi"/>
                <w:color w:val="000000"/>
                <w:sz w:val="20"/>
                <w:szCs w:val="20"/>
                <w:lang w:eastAsia="cs-CZ"/>
              </w:rPr>
              <w:t>statní daň. čin. k DSL) / daňové činnosti</w:t>
            </w:r>
            <w:r w:rsidR="005E09E4">
              <w:rPr>
                <w:rFonts w:cstheme="minorHAnsi"/>
                <w:color w:val="000000"/>
                <w:sz w:val="20"/>
                <w:szCs w:val="20"/>
                <w:lang w:eastAsia="cs-CZ"/>
              </w:rPr>
              <w:t xml:space="preserve"> c</w:t>
            </w:r>
            <w:r w:rsidR="005E09E4" w:rsidRPr="00C0129C">
              <w:rPr>
                <w:rFonts w:cstheme="minorHAnsi"/>
                <w:color w:val="000000"/>
                <w:sz w:val="20"/>
                <w:szCs w:val="20"/>
                <w:lang w:eastAsia="cs-CZ"/>
              </w:rPr>
              <w:t>elkem</w:t>
            </w:r>
            <w:r w:rsidRPr="00C0129C">
              <w:rPr>
                <w:rFonts w:cstheme="minorHAnsi"/>
                <w:color w:val="000000"/>
                <w:sz w:val="20"/>
                <w:szCs w:val="20"/>
                <w:lang w:eastAsia="cs-CZ"/>
              </w:rPr>
              <w:t>)</w:t>
            </w:r>
          </w:p>
        </w:tc>
        <w:tc>
          <w:tcPr>
            <w:tcW w:w="1425" w:type="dxa"/>
            <w:shd w:val="clear" w:color="auto" w:fill="auto"/>
            <w:noWrap/>
            <w:vAlign w:val="center"/>
            <w:hideMark/>
          </w:tcPr>
          <w:p w14:paraId="3D209221" w14:textId="77777777" w:rsidR="0038671A" w:rsidRPr="00C0129C" w:rsidRDefault="0038671A" w:rsidP="00CF220F">
            <w:pPr>
              <w:spacing w:after="0"/>
              <w:jc w:val="right"/>
              <w:rPr>
                <w:rFonts w:cstheme="minorHAnsi"/>
                <w:color w:val="000000"/>
                <w:sz w:val="20"/>
                <w:szCs w:val="20"/>
                <w:lang w:eastAsia="cs-CZ"/>
              </w:rPr>
            </w:pPr>
            <w:r w:rsidRPr="00C0129C">
              <w:rPr>
                <w:rFonts w:cstheme="minorHAnsi"/>
                <w:color w:val="000000"/>
                <w:sz w:val="20"/>
                <w:szCs w:val="20"/>
                <w:lang w:eastAsia="cs-CZ"/>
              </w:rPr>
              <w:t>0,0353</w:t>
            </w:r>
          </w:p>
        </w:tc>
        <w:tc>
          <w:tcPr>
            <w:tcW w:w="1425" w:type="dxa"/>
            <w:shd w:val="clear" w:color="auto" w:fill="auto"/>
            <w:noWrap/>
            <w:vAlign w:val="center"/>
            <w:hideMark/>
          </w:tcPr>
          <w:p w14:paraId="2592C8CB" w14:textId="77777777" w:rsidR="0038671A" w:rsidRPr="00C0129C" w:rsidRDefault="0038671A" w:rsidP="00CF220F">
            <w:pPr>
              <w:spacing w:after="0"/>
              <w:jc w:val="right"/>
              <w:rPr>
                <w:rFonts w:cstheme="minorHAnsi"/>
                <w:color w:val="000000"/>
                <w:sz w:val="20"/>
                <w:szCs w:val="20"/>
                <w:lang w:eastAsia="cs-CZ"/>
              </w:rPr>
            </w:pPr>
            <w:r w:rsidRPr="00C0129C">
              <w:rPr>
                <w:rFonts w:cstheme="minorHAnsi"/>
                <w:color w:val="000000"/>
                <w:sz w:val="20"/>
                <w:szCs w:val="20"/>
                <w:lang w:eastAsia="cs-CZ"/>
              </w:rPr>
              <w:t>0,0352</w:t>
            </w:r>
          </w:p>
        </w:tc>
        <w:tc>
          <w:tcPr>
            <w:tcW w:w="1428" w:type="dxa"/>
            <w:shd w:val="clear" w:color="auto" w:fill="auto"/>
            <w:noWrap/>
            <w:vAlign w:val="center"/>
            <w:hideMark/>
          </w:tcPr>
          <w:p w14:paraId="0B2DCE32" w14:textId="77777777" w:rsidR="0038671A" w:rsidRPr="00C0129C" w:rsidRDefault="0038671A" w:rsidP="00CF220F">
            <w:pPr>
              <w:spacing w:after="0"/>
              <w:jc w:val="right"/>
              <w:rPr>
                <w:rFonts w:cstheme="minorHAnsi"/>
                <w:color w:val="000000"/>
                <w:sz w:val="20"/>
                <w:szCs w:val="20"/>
                <w:lang w:eastAsia="cs-CZ"/>
              </w:rPr>
            </w:pPr>
            <w:r w:rsidRPr="00C0129C">
              <w:rPr>
                <w:rFonts w:cstheme="minorHAnsi"/>
                <w:color w:val="000000"/>
                <w:sz w:val="20"/>
                <w:szCs w:val="20"/>
                <w:lang w:eastAsia="cs-CZ"/>
              </w:rPr>
              <w:t>0,0362</w:t>
            </w:r>
          </w:p>
        </w:tc>
      </w:tr>
      <w:tr w:rsidR="0038671A" w:rsidRPr="00C0129C" w14:paraId="1EE93BA9" w14:textId="77777777" w:rsidTr="009E5E2D">
        <w:trPr>
          <w:trHeight w:val="333"/>
        </w:trPr>
        <w:tc>
          <w:tcPr>
            <w:tcW w:w="4825" w:type="dxa"/>
            <w:shd w:val="clear" w:color="auto" w:fill="auto"/>
            <w:vAlign w:val="center"/>
            <w:hideMark/>
          </w:tcPr>
          <w:p w14:paraId="38F68576"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Výdaje DSL (v mil. Kč)</w:t>
            </w:r>
          </w:p>
        </w:tc>
        <w:tc>
          <w:tcPr>
            <w:tcW w:w="1425" w:type="dxa"/>
            <w:shd w:val="clear" w:color="auto" w:fill="auto"/>
            <w:noWrap/>
            <w:vAlign w:val="center"/>
            <w:hideMark/>
          </w:tcPr>
          <w:p w14:paraId="646ACAB8"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394,45</w:t>
            </w:r>
          </w:p>
        </w:tc>
        <w:tc>
          <w:tcPr>
            <w:tcW w:w="1425" w:type="dxa"/>
            <w:shd w:val="clear" w:color="auto" w:fill="auto"/>
            <w:noWrap/>
            <w:vAlign w:val="center"/>
            <w:hideMark/>
          </w:tcPr>
          <w:p w14:paraId="6FEFE04A"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412,72</w:t>
            </w:r>
          </w:p>
        </w:tc>
        <w:tc>
          <w:tcPr>
            <w:tcW w:w="1428" w:type="dxa"/>
            <w:shd w:val="clear" w:color="auto" w:fill="auto"/>
            <w:noWrap/>
            <w:vAlign w:val="center"/>
            <w:hideMark/>
          </w:tcPr>
          <w:p w14:paraId="607C62DA"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459,70</w:t>
            </w:r>
          </w:p>
        </w:tc>
      </w:tr>
      <w:tr w:rsidR="0038671A" w:rsidRPr="00C0129C" w14:paraId="05F48CA4" w14:textId="77777777" w:rsidTr="009E5E2D">
        <w:trPr>
          <w:trHeight w:val="333"/>
        </w:trPr>
        <w:tc>
          <w:tcPr>
            <w:tcW w:w="4825" w:type="dxa"/>
            <w:shd w:val="clear" w:color="auto" w:fill="auto"/>
            <w:vAlign w:val="center"/>
            <w:hideMark/>
          </w:tcPr>
          <w:p w14:paraId="74A27C89"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Inkaso DSL (v mil. Kč)</w:t>
            </w:r>
          </w:p>
        </w:tc>
        <w:tc>
          <w:tcPr>
            <w:tcW w:w="1425" w:type="dxa"/>
            <w:shd w:val="clear" w:color="auto" w:fill="auto"/>
            <w:noWrap/>
            <w:vAlign w:val="center"/>
            <w:hideMark/>
          </w:tcPr>
          <w:p w14:paraId="1890922D"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6 276,19</w:t>
            </w:r>
          </w:p>
        </w:tc>
        <w:tc>
          <w:tcPr>
            <w:tcW w:w="1425" w:type="dxa"/>
            <w:shd w:val="clear" w:color="auto" w:fill="auto"/>
            <w:noWrap/>
            <w:vAlign w:val="center"/>
            <w:hideMark/>
          </w:tcPr>
          <w:p w14:paraId="7D448C4E"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6 483,81</w:t>
            </w:r>
          </w:p>
        </w:tc>
        <w:tc>
          <w:tcPr>
            <w:tcW w:w="1428" w:type="dxa"/>
            <w:shd w:val="clear" w:color="auto" w:fill="auto"/>
            <w:noWrap/>
            <w:vAlign w:val="center"/>
            <w:hideMark/>
          </w:tcPr>
          <w:p w14:paraId="49C782DF"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5 959,04</w:t>
            </w:r>
          </w:p>
        </w:tc>
      </w:tr>
      <w:tr w:rsidR="0038671A" w:rsidRPr="00C0129C" w14:paraId="0989939D" w14:textId="77777777" w:rsidTr="009E5E2D">
        <w:trPr>
          <w:trHeight w:val="333"/>
        </w:trPr>
        <w:tc>
          <w:tcPr>
            <w:tcW w:w="4825" w:type="dxa"/>
            <w:shd w:val="clear" w:color="auto" w:fill="auto"/>
            <w:vAlign w:val="center"/>
            <w:hideMark/>
          </w:tcPr>
          <w:p w14:paraId="11C42B13" w14:textId="77777777" w:rsidR="0038671A" w:rsidRPr="00907F01" w:rsidRDefault="0038671A" w:rsidP="00CF220F">
            <w:pPr>
              <w:spacing w:after="0"/>
              <w:rPr>
                <w:rFonts w:cstheme="minorHAnsi"/>
                <w:b/>
                <w:bCs/>
                <w:sz w:val="20"/>
                <w:szCs w:val="20"/>
                <w:lang w:eastAsia="cs-CZ"/>
              </w:rPr>
            </w:pPr>
            <w:r w:rsidRPr="00907F01">
              <w:rPr>
                <w:rFonts w:cstheme="minorHAnsi"/>
                <w:b/>
                <w:bCs/>
                <w:sz w:val="20"/>
                <w:szCs w:val="20"/>
                <w:lang w:eastAsia="cs-CZ"/>
              </w:rPr>
              <w:t> </w:t>
            </w:r>
          </w:p>
        </w:tc>
        <w:tc>
          <w:tcPr>
            <w:tcW w:w="1425" w:type="dxa"/>
            <w:shd w:val="clear" w:color="auto" w:fill="auto"/>
            <w:noWrap/>
            <w:vAlign w:val="center"/>
            <w:hideMark/>
          </w:tcPr>
          <w:p w14:paraId="2DB533EC" w14:textId="77777777" w:rsidR="0038671A" w:rsidRPr="00907F01" w:rsidRDefault="0038671A" w:rsidP="00CF220F">
            <w:pPr>
              <w:spacing w:after="0"/>
              <w:jc w:val="right"/>
              <w:rPr>
                <w:rFonts w:cstheme="minorHAnsi"/>
                <w:sz w:val="20"/>
                <w:szCs w:val="20"/>
                <w:lang w:eastAsia="cs-CZ"/>
              </w:rPr>
            </w:pPr>
            <w:r w:rsidRPr="00907F01">
              <w:rPr>
                <w:rFonts w:cstheme="minorHAnsi"/>
                <w:sz w:val="20"/>
                <w:szCs w:val="20"/>
                <w:lang w:eastAsia="cs-CZ"/>
              </w:rPr>
              <w:t> </w:t>
            </w:r>
          </w:p>
        </w:tc>
        <w:tc>
          <w:tcPr>
            <w:tcW w:w="1425" w:type="dxa"/>
            <w:shd w:val="clear" w:color="auto" w:fill="auto"/>
            <w:noWrap/>
            <w:vAlign w:val="center"/>
            <w:hideMark/>
          </w:tcPr>
          <w:p w14:paraId="1B95AB2B" w14:textId="77777777" w:rsidR="0038671A" w:rsidRPr="00907F01" w:rsidRDefault="0038671A" w:rsidP="00CF220F">
            <w:pPr>
              <w:spacing w:after="0"/>
              <w:jc w:val="right"/>
              <w:rPr>
                <w:rFonts w:cstheme="minorHAnsi"/>
                <w:sz w:val="20"/>
                <w:szCs w:val="20"/>
                <w:lang w:eastAsia="cs-CZ"/>
              </w:rPr>
            </w:pPr>
            <w:r w:rsidRPr="00907F01">
              <w:rPr>
                <w:rFonts w:cstheme="minorHAnsi"/>
                <w:sz w:val="20"/>
                <w:szCs w:val="20"/>
                <w:lang w:eastAsia="cs-CZ"/>
              </w:rPr>
              <w:t> </w:t>
            </w:r>
          </w:p>
        </w:tc>
        <w:tc>
          <w:tcPr>
            <w:tcW w:w="1428" w:type="dxa"/>
            <w:shd w:val="clear" w:color="auto" w:fill="auto"/>
            <w:noWrap/>
            <w:vAlign w:val="center"/>
            <w:hideMark/>
          </w:tcPr>
          <w:p w14:paraId="57D46092" w14:textId="77777777" w:rsidR="0038671A" w:rsidRPr="00907F01" w:rsidRDefault="0038671A" w:rsidP="00CF220F">
            <w:pPr>
              <w:spacing w:after="0"/>
              <w:jc w:val="right"/>
              <w:rPr>
                <w:rFonts w:cstheme="minorHAnsi"/>
                <w:sz w:val="20"/>
                <w:szCs w:val="20"/>
                <w:lang w:eastAsia="cs-CZ"/>
              </w:rPr>
            </w:pPr>
            <w:r w:rsidRPr="00907F01">
              <w:rPr>
                <w:rFonts w:cstheme="minorHAnsi"/>
                <w:sz w:val="20"/>
                <w:szCs w:val="20"/>
                <w:lang w:eastAsia="cs-CZ"/>
              </w:rPr>
              <w:t> </w:t>
            </w:r>
          </w:p>
        </w:tc>
      </w:tr>
      <w:tr w:rsidR="0038671A" w:rsidRPr="00C0129C" w14:paraId="36AC3988" w14:textId="77777777" w:rsidTr="009E5E2D">
        <w:trPr>
          <w:trHeight w:val="333"/>
        </w:trPr>
        <w:tc>
          <w:tcPr>
            <w:tcW w:w="4825" w:type="dxa"/>
            <w:shd w:val="clear" w:color="auto" w:fill="auto"/>
            <w:vAlign w:val="center"/>
            <w:hideMark/>
          </w:tcPr>
          <w:p w14:paraId="7DF0A7F4"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Celkem – přepočtený počet zaměstnanců na DSL</w:t>
            </w:r>
          </w:p>
        </w:tc>
        <w:tc>
          <w:tcPr>
            <w:tcW w:w="1425" w:type="dxa"/>
            <w:shd w:val="clear" w:color="auto" w:fill="auto"/>
            <w:noWrap/>
            <w:vAlign w:val="center"/>
            <w:hideMark/>
          </w:tcPr>
          <w:p w14:paraId="14682525"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506,73</w:t>
            </w:r>
          </w:p>
        </w:tc>
        <w:tc>
          <w:tcPr>
            <w:tcW w:w="1425" w:type="dxa"/>
            <w:shd w:val="clear" w:color="auto" w:fill="auto"/>
            <w:noWrap/>
            <w:vAlign w:val="center"/>
            <w:hideMark/>
          </w:tcPr>
          <w:p w14:paraId="7A65A653"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496,85</w:t>
            </w:r>
          </w:p>
        </w:tc>
        <w:tc>
          <w:tcPr>
            <w:tcW w:w="1428" w:type="dxa"/>
            <w:shd w:val="clear" w:color="auto" w:fill="auto"/>
            <w:noWrap/>
            <w:vAlign w:val="center"/>
            <w:hideMark/>
          </w:tcPr>
          <w:p w14:paraId="28AAAC99"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510,02</w:t>
            </w:r>
          </w:p>
        </w:tc>
      </w:tr>
      <w:tr w:rsidR="0038671A" w:rsidRPr="00C0129C" w14:paraId="67073069" w14:textId="77777777" w:rsidTr="009E5E2D">
        <w:trPr>
          <w:trHeight w:val="333"/>
        </w:trPr>
        <w:tc>
          <w:tcPr>
            <w:tcW w:w="4825" w:type="dxa"/>
            <w:shd w:val="clear" w:color="auto" w:fill="auto"/>
            <w:vAlign w:val="center"/>
            <w:hideMark/>
          </w:tcPr>
          <w:p w14:paraId="0827E8FB"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 xml:space="preserve">Počet zaměstnanců FS ČR </w:t>
            </w:r>
          </w:p>
        </w:tc>
        <w:tc>
          <w:tcPr>
            <w:tcW w:w="1425" w:type="dxa"/>
            <w:shd w:val="clear" w:color="auto" w:fill="auto"/>
            <w:noWrap/>
            <w:vAlign w:val="center"/>
            <w:hideMark/>
          </w:tcPr>
          <w:p w14:paraId="7E219F1A"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15 540,00</w:t>
            </w:r>
          </w:p>
        </w:tc>
        <w:tc>
          <w:tcPr>
            <w:tcW w:w="1425" w:type="dxa"/>
            <w:shd w:val="clear" w:color="auto" w:fill="auto"/>
            <w:noWrap/>
            <w:vAlign w:val="center"/>
            <w:hideMark/>
          </w:tcPr>
          <w:p w14:paraId="6AE191F1"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15 232,00</w:t>
            </w:r>
          </w:p>
        </w:tc>
        <w:tc>
          <w:tcPr>
            <w:tcW w:w="1428" w:type="dxa"/>
            <w:shd w:val="clear" w:color="auto" w:fill="auto"/>
            <w:noWrap/>
            <w:vAlign w:val="center"/>
            <w:hideMark/>
          </w:tcPr>
          <w:p w14:paraId="6AA8C129"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14 977,00</w:t>
            </w:r>
          </w:p>
        </w:tc>
      </w:tr>
      <w:tr w:rsidR="0038671A" w:rsidRPr="00C0129C" w14:paraId="3B11494F" w14:textId="77777777" w:rsidTr="009E5E2D">
        <w:trPr>
          <w:trHeight w:val="142"/>
        </w:trPr>
        <w:tc>
          <w:tcPr>
            <w:tcW w:w="9103" w:type="dxa"/>
            <w:gridSpan w:val="4"/>
            <w:shd w:val="clear" w:color="auto" w:fill="auto"/>
            <w:noWrap/>
            <w:vAlign w:val="center"/>
            <w:hideMark/>
          </w:tcPr>
          <w:p w14:paraId="19D92947" w14:textId="3138084B" w:rsidR="0038671A" w:rsidRPr="00C0129C" w:rsidRDefault="0038671A" w:rsidP="00CF220F">
            <w:pPr>
              <w:spacing w:after="0"/>
              <w:jc w:val="center"/>
              <w:rPr>
                <w:rFonts w:cstheme="minorHAnsi"/>
                <w:b/>
                <w:bCs/>
                <w:color w:val="000000"/>
                <w:sz w:val="20"/>
                <w:szCs w:val="20"/>
                <w:lang w:eastAsia="cs-CZ"/>
              </w:rPr>
            </w:pPr>
            <w:r w:rsidRPr="00C0129C">
              <w:rPr>
                <w:rFonts w:cstheme="minorHAnsi"/>
                <w:b/>
                <w:bCs/>
                <w:color w:val="000000"/>
                <w:sz w:val="20"/>
                <w:szCs w:val="20"/>
                <w:lang w:eastAsia="cs-CZ"/>
              </w:rPr>
              <w:t>Efektivnost v Kč (bez tvorby rezervního fondu)</w:t>
            </w:r>
          </w:p>
        </w:tc>
      </w:tr>
      <w:tr w:rsidR="0038671A" w:rsidRPr="00C0129C" w14:paraId="1B56D43B" w14:textId="77777777" w:rsidTr="009E5E2D">
        <w:trPr>
          <w:trHeight w:val="333"/>
        </w:trPr>
        <w:tc>
          <w:tcPr>
            <w:tcW w:w="4825" w:type="dxa"/>
            <w:shd w:val="clear" w:color="auto" w:fill="auto"/>
            <w:vAlign w:val="center"/>
            <w:hideMark/>
          </w:tcPr>
          <w:p w14:paraId="21361E3D"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 xml:space="preserve">Příjmy na </w:t>
            </w:r>
          </w:p>
        </w:tc>
        <w:tc>
          <w:tcPr>
            <w:tcW w:w="4278" w:type="dxa"/>
            <w:gridSpan w:val="3"/>
            <w:shd w:val="clear" w:color="auto" w:fill="auto"/>
            <w:noWrap/>
            <w:vAlign w:val="center"/>
            <w:hideMark/>
          </w:tcPr>
          <w:p w14:paraId="3432C907" w14:textId="77777777" w:rsidR="0038671A" w:rsidRPr="00C0129C" w:rsidRDefault="0038671A" w:rsidP="00CF220F">
            <w:pPr>
              <w:spacing w:after="0"/>
              <w:jc w:val="center"/>
              <w:rPr>
                <w:rFonts w:cstheme="minorHAnsi"/>
                <w:b/>
                <w:bCs/>
                <w:color w:val="000000"/>
                <w:sz w:val="20"/>
                <w:szCs w:val="20"/>
                <w:lang w:eastAsia="cs-CZ"/>
              </w:rPr>
            </w:pPr>
            <w:r w:rsidRPr="00C0129C">
              <w:rPr>
                <w:rFonts w:cstheme="minorHAnsi"/>
                <w:b/>
                <w:bCs/>
                <w:color w:val="000000"/>
                <w:sz w:val="20"/>
                <w:szCs w:val="20"/>
                <w:lang w:eastAsia="cs-CZ"/>
              </w:rPr>
              <w:t> </w:t>
            </w:r>
          </w:p>
        </w:tc>
      </w:tr>
      <w:tr w:rsidR="0038671A" w:rsidRPr="00C0129C" w14:paraId="7CDD14A3" w14:textId="77777777" w:rsidTr="009E5E2D">
        <w:trPr>
          <w:trHeight w:val="333"/>
        </w:trPr>
        <w:tc>
          <w:tcPr>
            <w:tcW w:w="4825" w:type="dxa"/>
            <w:shd w:val="clear" w:color="auto" w:fill="auto"/>
            <w:vAlign w:val="center"/>
            <w:hideMark/>
          </w:tcPr>
          <w:p w14:paraId="6D18A83C"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1 Kč výdajů</w:t>
            </w:r>
          </w:p>
        </w:tc>
        <w:tc>
          <w:tcPr>
            <w:tcW w:w="1425" w:type="dxa"/>
            <w:shd w:val="clear" w:color="auto" w:fill="auto"/>
            <w:noWrap/>
            <w:vAlign w:val="center"/>
            <w:hideMark/>
          </w:tcPr>
          <w:p w14:paraId="65FAE69A"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15,91</w:t>
            </w:r>
          </w:p>
        </w:tc>
        <w:tc>
          <w:tcPr>
            <w:tcW w:w="1425" w:type="dxa"/>
            <w:shd w:val="clear" w:color="auto" w:fill="auto"/>
            <w:noWrap/>
            <w:vAlign w:val="center"/>
            <w:hideMark/>
          </w:tcPr>
          <w:p w14:paraId="656D95DB"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15,71</w:t>
            </w:r>
          </w:p>
        </w:tc>
        <w:tc>
          <w:tcPr>
            <w:tcW w:w="1428" w:type="dxa"/>
            <w:shd w:val="clear" w:color="auto" w:fill="auto"/>
            <w:noWrap/>
            <w:vAlign w:val="center"/>
            <w:hideMark/>
          </w:tcPr>
          <w:p w14:paraId="381AF2B0"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12,96</w:t>
            </w:r>
          </w:p>
        </w:tc>
      </w:tr>
      <w:tr w:rsidR="0038671A" w:rsidRPr="00C0129C" w14:paraId="13ED6D23" w14:textId="77777777" w:rsidTr="009E5E2D">
        <w:trPr>
          <w:trHeight w:val="333"/>
        </w:trPr>
        <w:tc>
          <w:tcPr>
            <w:tcW w:w="4825" w:type="dxa"/>
            <w:shd w:val="clear" w:color="auto" w:fill="auto"/>
            <w:vAlign w:val="center"/>
            <w:hideMark/>
          </w:tcPr>
          <w:p w14:paraId="486DB517"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1 zaměstnance</w:t>
            </w:r>
          </w:p>
        </w:tc>
        <w:tc>
          <w:tcPr>
            <w:tcW w:w="1425" w:type="dxa"/>
            <w:shd w:val="clear" w:color="auto" w:fill="auto"/>
            <w:noWrap/>
            <w:vAlign w:val="center"/>
            <w:hideMark/>
          </w:tcPr>
          <w:p w14:paraId="33C90135"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12 385 734,89</w:t>
            </w:r>
          </w:p>
        </w:tc>
        <w:tc>
          <w:tcPr>
            <w:tcW w:w="1425" w:type="dxa"/>
            <w:shd w:val="clear" w:color="auto" w:fill="auto"/>
            <w:noWrap/>
            <w:vAlign w:val="center"/>
            <w:hideMark/>
          </w:tcPr>
          <w:p w14:paraId="41401D87"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13 049 727,12</w:t>
            </w:r>
          </w:p>
        </w:tc>
        <w:tc>
          <w:tcPr>
            <w:tcW w:w="1428" w:type="dxa"/>
            <w:shd w:val="clear" w:color="auto" w:fill="auto"/>
            <w:noWrap/>
            <w:vAlign w:val="center"/>
            <w:hideMark/>
          </w:tcPr>
          <w:p w14:paraId="53B9A4A0"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11 683 962,74</w:t>
            </w:r>
          </w:p>
        </w:tc>
      </w:tr>
      <w:tr w:rsidR="0038671A" w:rsidRPr="00C0129C" w14:paraId="5E401343" w14:textId="77777777" w:rsidTr="009E5E2D">
        <w:trPr>
          <w:trHeight w:val="218"/>
        </w:trPr>
        <w:tc>
          <w:tcPr>
            <w:tcW w:w="9103" w:type="dxa"/>
            <w:gridSpan w:val="4"/>
            <w:shd w:val="clear" w:color="auto" w:fill="auto"/>
            <w:noWrap/>
            <w:vAlign w:val="center"/>
            <w:hideMark/>
          </w:tcPr>
          <w:p w14:paraId="1680977B" w14:textId="4DA2F1E6" w:rsidR="0038671A" w:rsidRPr="00C0129C" w:rsidRDefault="0038671A" w:rsidP="00CF220F">
            <w:pPr>
              <w:spacing w:after="0"/>
              <w:jc w:val="center"/>
              <w:rPr>
                <w:rFonts w:cstheme="minorHAnsi"/>
                <w:b/>
                <w:bCs/>
                <w:color w:val="000000"/>
                <w:sz w:val="20"/>
                <w:szCs w:val="20"/>
                <w:lang w:eastAsia="cs-CZ"/>
              </w:rPr>
            </w:pPr>
            <w:r w:rsidRPr="00C0129C">
              <w:rPr>
                <w:rFonts w:cstheme="minorHAnsi"/>
                <w:b/>
                <w:bCs/>
                <w:color w:val="000000"/>
                <w:sz w:val="20"/>
                <w:szCs w:val="20"/>
                <w:lang w:eastAsia="cs-CZ"/>
              </w:rPr>
              <w:t>Nákladovost v Kč (bez tvorby rezervního fondu)</w:t>
            </w:r>
          </w:p>
        </w:tc>
      </w:tr>
      <w:tr w:rsidR="0038671A" w:rsidRPr="00C0129C" w14:paraId="0CF0A138" w14:textId="77777777" w:rsidTr="009E5E2D">
        <w:trPr>
          <w:trHeight w:val="333"/>
        </w:trPr>
        <w:tc>
          <w:tcPr>
            <w:tcW w:w="4825" w:type="dxa"/>
            <w:shd w:val="clear" w:color="auto" w:fill="auto"/>
            <w:vAlign w:val="center"/>
            <w:hideMark/>
          </w:tcPr>
          <w:p w14:paraId="5B2FD96A"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 xml:space="preserve">Výdaje na </w:t>
            </w:r>
          </w:p>
        </w:tc>
        <w:tc>
          <w:tcPr>
            <w:tcW w:w="4278" w:type="dxa"/>
            <w:gridSpan w:val="3"/>
            <w:shd w:val="clear" w:color="auto" w:fill="auto"/>
            <w:noWrap/>
            <w:vAlign w:val="center"/>
            <w:hideMark/>
          </w:tcPr>
          <w:p w14:paraId="55B49CCF" w14:textId="77777777" w:rsidR="0038671A" w:rsidRPr="00C0129C" w:rsidRDefault="0038671A" w:rsidP="00CF220F">
            <w:pPr>
              <w:spacing w:after="0"/>
              <w:jc w:val="center"/>
              <w:rPr>
                <w:rFonts w:cstheme="minorHAnsi"/>
                <w:b/>
                <w:bCs/>
                <w:color w:val="000000"/>
                <w:sz w:val="20"/>
                <w:szCs w:val="20"/>
                <w:lang w:eastAsia="cs-CZ"/>
              </w:rPr>
            </w:pPr>
            <w:r w:rsidRPr="00C0129C">
              <w:rPr>
                <w:rFonts w:cstheme="minorHAnsi"/>
                <w:b/>
                <w:bCs/>
                <w:color w:val="000000"/>
                <w:sz w:val="20"/>
                <w:szCs w:val="20"/>
                <w:lang w:eastAsia="cs-CZ"/>
              </w:rPr>
              <w:t> </w:t>
            </w:r>
          </w:p>
        </w:tc>
      </w:tr>
      <w:tr w:rsidR="0038671A" w:rsidRPr="00C0129C" w14:paraId="3F316192" w14:textId="77777777" w:rsidTr="009E5E2D">
        <w:trPr>
          <w:trHeight w:val="333"/>
        </w:trPr>
        <w:tc>
          <w:tcPr>
            <w:tcW w:w="4825" w:type="dxa"/>
            <w:shd w:val="clear" w:color="auto" w:fill="auto"/>
            <w:vAlign w:val="center"/>
            <w:hideMark/>
          </w:tcPr>
          <w:p w14:paraId="0665AA07"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100 Kč příjmů</w:t>
            </w:r>
          </w:p>
        </w:tc>
        <w:tc>
          <w:tcPr>
            <w:tcW w:w="1425" w:type="dxa"/>
            <w:shd w:val="clear" w:color="auto" w:fill="auto"/>
            <w:noWrap/>
            <w:vAlign w:val="center"/>
            <w:hideMark/>
          </w:tcPr>
          <w:p w14:paraId="0538895E"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6,28</w:t>
            </w:r>
          </w:p>
        </w:tc>
        <w:tc>
          <w:tcPr>
            <w:tcW w:w="1425" w:type="dxa"/>
            <w:shd w:val="clear" w:color="auto" w:fill="auto"/>
            <w:noWrap/>
            <w:vAlign w:val="center"/>
            <w:hideMark/>
          </w:tcPr>
          <w:p w14:paraId="64FA7ED0"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6,37</w:t>
            </w:r>
          </w:p>
        </w:tc>
        <w:tc>
          <w:tcPr>
            <w:tcW w:w="1428" w:type="dxa"/>
            <w:shd w:val="clear" w:color="auto" w:fill="auto"/>
            <w:noWrap/>
            <w:vAlign w:val="center"/>
            <w:hideMark/>
          </w:tcPr>
          <w:p w14:paraId="78DFDD15"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7,71</w:t>
            </w:r>
          </w:p>
        </w:tc>
      </w:tr>
      <w:tr w:rsidR="0038671A" w:rsidRPr="00C0129C" w14:paraId="13D7687F" w14:textId="77777777" w:rsidTr="009E5E2D">
        <w:trPr>
          <w:trHeight w:val="333"/>
        </w:trPr>
        <w:tc>
          <w:tcPr>
            <w:tcW w:w="4825" w:type="dxa"/>
            <w:shd w:val="clear" w:color="auto" w:fill="auto"/>
            <w:vAlign w:val="center"/>
            <w:hideMark/>
          </w:tcPr>
          <w:p w14:paraId="6478EA17" w14:textId="77777777" w:rsidR="0038671A" w:rsidRPr="00C0129C" w:rsidRDefault="0038671A" w:rsidP="00CF220F">
            <w:pPr>
              <w:spacing w:after="0"/>
              <w:rPr>
                <w:rFonts w:cstheme="minorHAnsi"/>
                <w:b/>
                <w:bCs/>
                <w:color w:val="000000"/>
                <w:sz w:val="20"/>
                <w:szCs w:val="20"/>
                <w:lang w:eastAsia="cs-CZ"/>
              </w:rPr>
            </w:pPr>
            <w:r w:rsidRPr="00C0129C">
              <w:rPr>
                <w:rFonts w:cstheme="minorHAnsi"/>
                <w:b/>
                <w:bCs/>
                <w:color w:val="000000"/>
                <w:sz w:val="20"/>
                <w:szCs w:val="20"/>
                <w:lang w:eastAsia="cs-CZ"/>
              </w:rPr>
              <w:t>1 zaměstnance</w:t>
            </w:r>
          </w:p>
        </w:tc>
        <w:tc>
          <w:tcPr>
            <w:tcW w:w="1425" w:type="dxa"/>
            <w:shd w:val="clear" w:color="auto" w:fill="auto"/>
            <w:noWrap/>
            <w:vAlign w:val="center"/>
            <w:hideMark/>
          </w:tcPr>
          <w:p w14:paraId="0DB95C36"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778 416,99</w:t>
            </w:r>
          </w:p>
        </w:tc>
        <w:tc>
          <w:tcPr>
            <w:tcW w:w="1425" w:type="dxa"/>
            <w:shd w:val="clear" w:color="auto" w:fill="auto"/>
            <w:noWrap/>
            <w:vAlign w:val="center"/>
            <w:hideMark/>
          </w:tcPr>
          <w:p w14:paraId="1B132DA8"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830 659,14</w:t>
            </w:r>
          </w:p>
        </w:tc>
        <w:tc>
          <w:tcPr>
            <w:tcW w:w="1428" w:type="dxa"/>
            <w:shd w:val="clear" w:color="auto" w:fill="auto"/>
            <w:noWrap/>
            <w:vAlign w:val="center"/>
            <w:hideMark/>
          </w:tcPr>
          <w:p w14:paraId="49CB35AF" w14:textId="77777777" w:rsidR="0038671A" w:rsidRPr="00C0129C" w:rsidRDefault="0038671A" w:rsidP="00CF220F">
            <w:pPr>
              <w:spacing w:after="0"/>
              <w:jc w:val="right"/>
              <w:rPr>
                <w:rFonts w:cstheme="minorHAnsi"/>
                <w:bCs/>
                <w:color w:val="000000"/>
                <w:sz w:val="20"/>
                <w:szCs w:val="20"/>
                <w:lang w:eastAsia="cs-CZ"/>
              </w:rPr>
            </w:pPr>
            <w:r w:rsidRPr="00C0129C">
              <w:rPr>
                <w:rFonts w:cstheme="minorHAnsi"/>
                <w:bCs/>
                <w:color w:val="000000"/>
                <w:sz w:val="20"/>
                <w:szCs w:val="20"/>
                <w:lang w:eastAsia="cs-CZ"/>
              </w:rPr>
              <w:t>901 342,06</w:t>
            </w:r>
          </w:p>
        </w:tc>
      </w:tr>
    </w:tbl>
    <w:p w14:paraId="49D09585" w14:textId="7F26D76C" w:rsidR="0038671A" w:rsidRPr="0074042C" w:rsidRDefault="0038671A" w:rsidP="0038671A">
      <w:pPr>
        <w:rPr>
          <w:b/>
        </w:rPr>
      </w:pPr>
      <w:r w:rsidRPr="00485659">
        <w:rPr>
          <w:sz w:val="20"/>
          <w:szCs w:val="20"/>
        </w:rPr>
        <w:t>Zdroj: GFŘ</w:t>
      </w:r>
      <w:r w:rsidR="005E09E4">
        <w:rPr>
          <w:sz w:val="20"/>
          <w:szCs w:val="20"/>
        </w:rPr>
        <w:t>;</w:t>
      </w:r>
      <w:r w:rsidRPr="00485659">
        <w:rPr>
          <w:sz w:val="20"/>
          <w:szCs w:val="20"/>
        </w:rPr>
        <w:t xml:space="preserve"> vlastní zpracování NKÚ.</w:t>
      </w:r>
      <w:bookmarkEnd w:id="26"/>
    </w:p>
    <w:p w14:paraId="6AA236C6" w14:textId="77777777" w:rsidR="0038671A" w:rsidRDefault="0038671A">
      <w:pPr>
        <w:spacing w:after="160" w:line="259" w:lineRule="auto"/>
        <w:jc w:val="left"/>
        <w:rPr>
          <w:b/>
          <w:iCs/>
          <w:szCs w:val="24"/>
        </w:rPr>
      </w:pPr>
      <w:r>
        <w:rPr>
          <w:b/>
          <w:i/>
          <w:szCs w:val="24"/>
        </w:rPr>
        <w:br w:type="page"/>
      </w:r>
    </w:p>
    <w:p w14:paraId="063179B9" w14:textId="22702824" w:rsidR="0074042C" w:rsidRPr="001775CE" w:rsidRDefault="001775CE" w:rsidP="001775CE">
      <w:pPr>
        <w:pStyle w:val="Titulek"/>
        <w:jc w:val="right"/>
        <w:rPr>
          <w:b/>
          <w:i w:val="0"/>
          <w:color w:val="auto"/>
          <w:sz w:val="24"/>
          <w:szCs w:val="24"/>
        </w:rPr>
      </w:pPr>
      <w:bookmarkStart w:id="31" w:name="_Ref94623457"/>
      <w:bookmarkEnd w:id="27"/>
      <w:r w:rsidRPr="001775CE">
        <w:rPr>
          <w:b/>
          <w:i w:val="0"/>
          <w:color w:val="auto"/>
          <w:sz w:val="24"/>
          <w:szCs w:val="24"/>
        </w:rPr>
        <w:t xml:space="preserve">Příloha </w:t>
      </w:r>
      <w:r w:rsidRPr="001775CE">
        <w:rPr>
          <w:b/>
          <w:i w:val="0"/>
          <w:color w:val="auto"/>
          <w:sz w:val="24"/>
          <w:szCs w:val="24"/>
        </w:rPr>
        <w:fldChar w:fldCharType="begin"/>
      </w:r>
      <w:r w:rsidRPr="001775CE">
        <w:rPr>
          <w:b/>
          <w:i w:val="0"/>
          <w:color w:val="auto"/>
          <w:sz w:val="24"/>
          <w:szCs w:val="24"/>
        </w:rPr>
        <w:instrText xml:space="preserve"> SEQ Příloha \* ARABIC </w:instrText>
      </w:r>
      <w:r w:rsidRPr="001775CE">
        <w:rPr>
          <w:b/>
          <w:i w:val="0"/>
          <w:color w:val="auto"/>
          <w:sz w:val="24"/>
          <w:szCs w:val="24"/>
        </w:rPr>
        <w:fldChar w:fldCharType="separate"/>
      </w:r>
      <w:r w:rsidR="00500A1C">
        <w:rPr>
          <w:b/>
          <w:i w:val="0"/>
          <w:noProof/>
          <w:color w:val="auto"/>
          <w:sz w:val="24"/>
          <w:szCs w:val="24"/>
        </w:rPr>
        <w:t>2</w:t>
      </w:r>
      <w:r w:rsidRPr="001775CE">
        <w:rPr>
          <w:b/>
          <w:i w:val="0"/>
          <w:color w:val="auto"/>
          <w:sz w:val="24"/>
          <w:szCs w:val="24"/>
        </w:rPr>
        <w:fldChar w:fldCharType="end"/>
      </w:r>
      <w:bookmarkEnd w:id="31"/>
    </w:p>
    <w:p w14:paraId="33176E46" w14:textId="10234665" w:rsidR="0074042C" w:rsidRDefault="0074042C" w:rsidP="0074042C">
      <w:pPr>
        <w:pStyle w:val="Odstavecseseznamem"/>
        <w:autoSpaceDE w:val="0"/>
        <w:autoSpaceDN w:val="0"/>
        <w:adjustRightInd w:val="0"/>
        <w:spacing w:after="0"/>
        <w:ind w:left="360"/>
        <w:rPr>
          <w:b/>
        </w:rPr>
      </w:pPr>
      <w:r w:rsidRPr="00467506">
        <w:rPr>
          <w:b/>
        </w:rPr>
        <w:t xml:space="preserve">Základní informace o vozidlech </w:t>
      </w:r>
      <w:r>
        <w:rPr>
          <w:rFonts w:cstheme="minorHAnsi"/>
          <w:b/>
        </w:rPr>
        <w:t xml:space="preserve">– </w:t>
      </w:r>
      <w:r w:rsidR="00963887">
        <w:rPr>
          <w:rFonts w:cstheme="minorHAnsi"/>
          <w:b/>
        </w:rPr>
        <w:t>k</w:t>
      </w:r>
      <w:r>
        <w:rPr>
          <w:rFonts w:cstheme="minorHAnsi"/>
          <w:b/>
        </w:rPr>
        <w:t>arta</w:t>
      </w:r>
      <w:r w:rsidRPr="00467506">
        <w:rPr>
          <w:b/>
        </w:rPr>
        <w:t xml:space="preserve"> vozidla</w:t>
      </w:r>
      <w:r>
        <w:rPr>
          <w:b/>
        </w:rPr>
        <w:t>, náhled na záznam v RSV</w:t>
      </w:r>
    </w:p>
    <w:p w14:paraId="24EE3285" w14:textId="77777777" w:rsidR="0074042C" w:rsidRPr="00467506" w:rsidRDefault="0074042C" w:rsidP="0074042C">
      <w:pPr>
        <w:pStyle w:val="Odstavecseseznamem"/>
        <w:autoSpaceDE w:val="0"/>
        <w:autoSpaceDN w:val="0"/>
        <w:adjustRightInd w:val="0"/>
        <w:spacing w:after="0"/>
        <w:ind w:left="360"/>
        <w:rPr>
          <w:rFonts w:cs="Arial-BoldMT"/>
          <w:b/>
          <w:bCs/>
          <w:lang w:eastAsia="cs-CZ"/>
        </w:rPr>
      </w:pPr>
    </w:p>
    <w:p w14:paraId="6114EFE8" w14:textId="77777777" w:rsidR="0074042C" w:rsidRPr="004F66D5"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 xml:space="preserve">PČV </w:t>
      </w:r>
      <w:r w:rsidRPr="004F66D5">
        <w:rPr>
          <w:rFonts w:cs="ArialMT"/>
          <w:lang w:eastAsia="cs-CZ"/>
        </w:rPr>
        <w:t>– počítačové číslo vozidla. Interní systémové čí</w:t>
      </w:r>
      <w:r>
        <w:rPr>
          <w:rFonts w:cs="ArialMT"/>
          <w:lang w:eastAsia="cs-CZ"/>
        </w:rPr>
        <w:t>slo přidělené záznamu vozidla, s</w:t>
      </w:r>
      <w:r w:rsidRPr="004F66D5">
        <w:rPr>
          <w:rFonts w:cs="ArialMT"/>
          <w:lang w:eastAsia="cs-CZ"/>
        </w:rPr>
        <w:t xml:space="preserve">louží k jednoznačné identifikaci vozidla v databázi. </w:t>
      </w:r>
    </w:p>
    <w:p w14:paraId="7B447E14" w14:textId="77777777" w:rsidR="0074042C" w:rsidRPr="004F66D5"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 xml:space="preserve">RM </w:t>
      </w:r>
      <w:r w:rsidRPr="00227654">
        <w:rPr>
          <w:rFonts w:cs="ArialMT"/>
          <w:b/>
          <w:lang w:eastAsia="cs-CZ"/>
        </w:rPr>
        <w:t>vozidla</w:t>
      </w:r>
      <w:r>
        <w:rPr>
          <w:rFonts w:cs="ArialMT"/>
          <w:lang w:eastAsia="cs-CZ"/>
        </w:rPr>
        <w:t xml:space="preserve"> – registrační</w:t>
      </w:r>
      <w:r w:rsidRPr="004F66D5">
        <w:rPr>
          <w:rFonts w:cs="ArialMT"/>
          <w:lang w:eastAsia="cs-CZ"/>
        </w:rPr>
        <w:t xml:space="preserve"> místo vozidla</w:t>
      </w:r>
      <w:r>
        <w:rPr>
          <w:rFonts w:cs="ArialMT"/>
          <w:lang w:eastAsia="cs-CZ"/>
        </w:rPr>
        <w:t>.</w:t>
      </w:r>
    </w:p>
    <w:p w14:paraId="0DA5CD90" w14:textId="77777777" w:rsidR="0074042C" w:rsidRPr="004F66D5"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 xml:space="preserve">První zaevidování </w:t>
      </w:r>
      <w:r>
        <w:rPr>
          <w:rFonts w:cs="ArialMT"/>
          <w:lang w:eastAsia="cs-CZ"/>
        </w:rPr>
        <w:t>– datum</w:t>
      </w:r>
      <w:r w:rsidRPr="004F66D5">
        <w:rPr>
          <w:rFonts w:cs="ArialMT"/>
          <w:lang w:eastAsia="cs-CZ"/>
        </w:rPr>
        <w:t xml:space="preserve"> první registrace vozidla</w:t>
      </w:r>
      <w:r>
        <w:rPr>
          <w:rFonts w:cs="ArialMT"/>
          <w:lang w:eastAsia="cs-CZ"/>
        </w:rPr>
        <w:t>.</w:t>
      </w:r>
    </w:p>
    <w:p w14:paraId="2CCBD060" w14:textId="77777777" w:rsidR="0074042C" w:rsidRPr="004F66D5"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 xml:space="preserve">Zaevidováno ČR </w:t>
      </w:r>
      <w:r w:rsidRPr="004F66D5">
        <w:rPr>
          <w:rFonts w:cs="ArialMT"/>
          <w:lang w:eastAsia="cs-CZ"/>
        </w:rPr>
        <w:t xml:space="preserve">– datum první registrace vozidla </w:t>
      </w:r>
      <w:r w:rsidRPr="004F66D5">
        <w:rPr>
          <w:rFonts w:cs="Arial-BoldMT"/>
          <w:bCs/>
          <w:lang w:eastAsia="cs-CZ"/>
        </w:rPr>
        <w:t>v České republice.</w:t>
      </w:r>
      <w:r w:rsidRPr="004F66D5">
        <w:rPr>
          <w:rFonts w:cs="Arial-BoldMT"/>
          <w:b/>
          <w:bCs/>
          <w:lang w:eastAsia="cs-CZ"/>
        </w:rPr>
        <w:t xml:space="preserve"> </w:t>
      </w:r>
    </w:p>
    <w:p w14:paraId="2205BC28" w14:textId="29F607C0" w:rsidR="0074042C" w:rsidRPr="004F66D5"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Statu</w:t>
      </w:r>
      <w:r w:rsidR="00963887">
        <w:rPr>
          <w:rFonts w:cs="Arial-BoldMT"/>
          <w:b/>
          <w:bCs/>
          <w:lang w:eastAsia="cs-CZ"/>
        </w:rPr>
        <w:t>s</w:t>
      </w:r>
      <w:r w:rsidRPr="004F66D5">
        <w:rPr>
          <w:rFonts w:cs="Arial-BoldMT"/>
          <w:b/>
          <w:bCs/>
          <w:lang w:eastAsia="cs-CZ"/>
        </w:rPr>
        <w:t xml:space="preserve"> </w:t>
      </w:r>
      <w:r>
        <w:rPr>
          <w:rFonts w:cs="ArialMT"/>
          <w:lang w:eastAsia="cs-CZ"/>
        </w:rPr>
        <w:t xml:space="preserve">– </w:t>
      </w:r>
      <w:r w:rsidR="00963887">
        <w:rPr>
          <w:rFonts w:cs="ArialMT"/>
          <w:lang w:eastAsia="cs-CZ"/>
        </w:rPr>
        <w:t>záznam o stavu</w:t>
      </w:r>
      <w:r>
        <w:rPr>
          <w:rFonts w:cs="ArialMT"/>
          <w:lang w:eastAsia="cs-CZ"/>
        </w:rPr>
        <w:t xml:space="preserve"> vozidla </w:t>
      </w:r>
      <w:r w:rsidR="00963887">
        <w:rPr>
          <w:rFonts w:cs="ArialMT"/>
          <w:lang w:eastAsia="cs-CZ"/>
        </w:rPr>
        <w:t>–</w:t>
      </w:r>
      <w:r w:rsidRPr="004F66D5">
        <w:rPr>
          <w:rFonts w:cs="ArialMT"/>
          <w:lang w:eastAsia="cs-CZ"/>
        </w:rPr>
        <w:t xml:space="preserve"> např. provozované, </w:t>
      </w:r>
      <w:r w:rsidR="00963887">
        <w:rPr>
          <w:rFonts w:cs="ArialMT"/>
          <w:lang w:eastAsia="cs-CZ"/>
        </w:rPr>
        <w:t>zaniklé</w:t>
      </w:r>
      <w:r w:rsidRPr="004F66D5">
        <w:rPr>
          <w:rFonts w:cs="ArialMT"/>
          <w:lang w:eastAsia="cs-CZ"/>
        </w:rPr>
        <w:t xml:space="preserve"> atd. </w:t>
      </w:r>
    </w:p>
    <w:p w14:paraId="511016BC" w14:textId="73725FB4" w:rsidR="0074042C"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Příznak</w:t>
      </w:r>
      <w:r w:rsidRPr="00CB55F6">
        <w:rPr>
          <w:rFonts w:cs="Arial-BoldMT"/>
          <w:bCs/>
          <w:lang w:eastAsia="cs-CZ"/>
        </w:rPr>
        <w:t xml:space="preserve"> </w:t>
      </w:r>
      <w:r w:rsidR="00963887" w:rsidRPr="004F66D5">
        <w:rPr>
          <w:rFonts w:cs="ArialMT"/>
          <w:lang w:eastAsia="cs-CZ"/>
        </w:rPr>
        <w:t>–</w:t>
      </w:r>
      <w:r w:rsidR="00963887" w:rsidRPr="00CB55F6">
        <w:rPr>
          <w:rFonts w:cs="Arial-BoldMT"/>
          <w:bCs/>
          <w:lang w:eastAsia="cs-CZ"/>
        </w:rPr>
        <w:t xml:space="preserve"> </w:t>
      </w:r>
      <w:r w:rsidRPr="004F66D5">
        <w:rPr>
          <w:rFonts w:cs="ArialMT"/>
          <w:lang w:eastAsia="cs-CZ"/>
        </w:rPr>
        <w:t>např. výjimka z pojištění odpovědnosti, zastaveno ve správním řízení</w:t>
      </w:r>
      <w:r>
        <w:rPr>
          <w:rFonts w:cs="ArialMT"/>
          <w:lang w:eastAsia="cs-CZ"/>
        </w:rPr>
        <w:t xml:space="preserve"> atd.</w:t>
      </w:r>
    </w:p>
    <w:p w14:paraId="7144F9B8" w14:textId="74E53DA2" w:rsidR="0074042C" w:rsidRPr="004F66D5"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 xml:space="preserve">Depozit </w:t>
      </w:r>
      <w:r w:rsidRPr="004F66D5">
        <w:rPr>
          <w:rFonts w:cs="ArialMT"/>
          <w:lang w:eastAsia="cs-CZ"/>
        </w:rPr>
        <w:t xml:space="preserve">– datum účinnosti poslední změny: Spis. značka: </w:t>
      </w:r>
      <w:r w:rsidRPr="004F66D5">
        <w:rPr>
          <w:rFonts w:cs="Arial-BoldMT"/>
          <w:b/>
          <w:bCs/>
          <w:lang w:eastAsia="cs-CZ"/>
        </w:rPr>
        <w:t xml:space="preserve">--- </w:t>
      </w:r>
      <w:r w:rsidRPr="004F66D5">
        <w:rPr>
          <w:rFonts w:cs="ArialMT"/>
          <w:lang w:eastAsia="cs-CZ"/>
        </w:rPr>
        <w:t xml:space="preserve">Číslo jednací: </w:t>
      </w:r>
      <w:r w:rsidRPr="004F66D5">
        <w:rPr>
          <w:rFonts w:cs="Arial-BoldMT"/>
          <w:b/>
          <w:bCs/>
          <w:lang w:eastAsia="cs-CZ"/>
        </w:rPr>
        <w:t xml:space="preserve">--- </w:t>
      </w:r>
      <w:r>
        <w:rPr>
          <w:rFonts w:cs="ArialMT"/>
          <w:lang w:eastAsia="cs-CZ"/>
        </w:rPr>
        <w:t>Ú</w:t>
      </w:r>
      <w:r w:rsidRPr="004F66D5">
        <w:rPr>
          <w:rFonts w:cs="ArialMT"/>
          <w:lang w:eastAsia="cs-CZ"/>
        </w:rPr>
        <w:t xml:space="preserve">čel vozidla: </w:t>
      </w:r>
      <w:r w:rsidRPr="004F66D5">
        <w:rPr>
          <w:rFonts w:cs="Arial-BoldMT"/>
          <w:b/>
          <w:bCs/>
          <w:lang w:eastAsia="cs-CZ"/>
        </w:rPr>
        <w:t>---</w:t>
      </w:r>
      <w:r w:rsidR="00963887" w:rsidRPr="00227654">
        <w:rPr>
          <w:rFonts w:cs="Arial-BoldMT"/>
          <w:bCs/>
          <w:lang w:eastAsia="cs-CZ"/>
        </w:rPr>
        <w:t>.</w:t>
      </w:r>
      <w:r w:rsidRPr="004F66D5">
        <w:rPr>
          <w:rFonts w:cs="Arial-BoldMT"/>
          <w:b/>
          <w:bCs/>
          <w:lang w:eastAsia="cs-CZ"/>
        </w:rPr>
        <w:t xml:space="preserve"> </w:t>
      </w:r>
    </w:p>
    <w:p w14:paraId="7E2CF65C" w14:textId="252268CE" w:rsidR="0074042C" w:rsidRPr="004F66D5"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Provozovatel</w:t>
      </w:r>
      <w:r>
        <w:rPr>
          <w:rFonts w:cs="Arial-BoldMT"/>
          <w:b/>
          <w:bCs/>
          <w:lang w:eastAsia="cs-CZ"/>
        </w:rPr>
        <w:t xml:space="preserve"> </w:t>
      </w:r>
      <w:r w:rsidRPr="004F66D5">
        <w:rPr>
          <w:rFonts w:cs="Arial-BoldMT"/>
          <w:bCs/>
          <w:lang w:eastAsia="cs-CZ"/>
        </w:rPr>
        <w:t>– zde</w:t>
      </w:r>
      <w:r w:rsidRPr="004F66D5">
        <w:rPr>
          <w:rFonts w:cs="ArialMT"/>
          <w:lang w:eastAsia="cs-CZ"/>
        </w:rPr>
        <w:t xml:space="preserve"> je uveden přehled provozovatelů</w:t>
      </w:r>
      <w:r w:rsidR="00963887">
        <w:rPr>
          <w:rFonts w:cs="ArialMT"/>
          <w:lang w:eastAsia="cs-CZ"/>
        </w:rPr>
        <w:t>:</w:t>
      </w:r>
      <w:r w:rsidRPr="004F66D5">
        <w:rPr>
          <w:rFonts w:cs="ArialMT"/>
          <w:lang w:eastAsia="cs-CZ"/>
        </w:rPr>
        <w:t xml:space="preserve"> Jméno: </w:t>
      </w:r>
      <w:r w:rsidRPr="00227654">
        <w:rPr>
          <w:rFonts w:cs="ArialMT"/>
          <w:b/>
          <w:lang w:eastAsia="cs-CZ"/>
        </w:rPr>
        <w:t>---</w:t>
      </w:r>
      <w:r w:rsidRPr="004F66D5">
        <w:rPr>
          <w:rFonts w:cs="ArialMT"/>
          <w:lang w:eastAsia="cs-CZ"/>
        </w:rPr>
        <w:t xml:space="preserve"> Adresa: </w:t>
      </w:r>
      <w:r w:rsidRPr="004F66D5">
        <w:rPr>
          <w:rFonts w:cs="Arial-BoldMT"/>
          <w:b/>
          <w:bCs/>
          <w:lang w:eastAsia="cs-CZ"/>
        </w:rPr>
        <w:t xml:space="preserve">--- </w:t>
      </w:r>
      <w:r w:rsidRPr="004F66D5">
        <w:rPr>
          <w:rFonts w:cs="ArialMT"/>
          <w:lang w:eastAsia="cs-CZ"/>
        </w:rPr>
        <w:t xml:space="preserve">Do: </w:t>
      </w:r>
      <w:r w:rsidRPr="004F66D5">
        <w:rPr>
          <w:rFonts w:cs="Arial-BoldMT"/>
          <w:b/>
          <w:bCs/>
          <w:lang w:eastAsia="cs-CZ"/>
        </w:rPr>
        <w:t>---</w:t>
      </w:r>
      <w:r w:rsidR="00963887" w:rsidRPr="00227654">
        <w:rPr>
          <w:rFonts w:cs="Arial-BoldMT"/>
          <w:bCs/>
          <w:lang w:eastAsia="cs-CZ"/>
        </w:rPr>
        <w:t>.</w:t>
      </w:r>
      <w:r w:rsidRPr="004F66D5">
        <w:rPr>
          <w:rFonts w:cs="Arial-BoldMT"/>
          <w:b/>
          <w:bCs/>
          <w:lang w:eastAsia="cs-CZ"/>
        </w:rPr>
        <w:t xml:space="preserve"> </w:t>
      </w:r>
    </w:p>
    <w:p w14:paraId="1DF424A1" w14:textId="341B6002" w:rsidR="0074042C" w:rsidRPr="004F66D5"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Vlastník</w:t>
      </w:r>
      <w:r>
        <w:rPr>
          <w:rFonts w:cs="Arial-BoldMT"/>
          <w:b/>
          <w:bCs/>
          <w:lang w:eastAsia="cs-CZ"/>
        </w:rPr>
        <w:t xml:space="preserve"> </w:t>
      </w:r>
      <w:r w:rsidRPr="00C26502">
        <w:rPr>
          <w:rFonts w:cs="Arial-BoldMT"/>
          <w:bCs/>
          <w:lang w:eastAsia="cs-CZ"/>
        </w:rPr>
        <w:t>– zde</w:t>
      </w:r>
      <w:r w:rsidRPr="004F66D5">
        <w:rPr>
          <w:rFonts w:cs="Arial-BoldMT"/>
          <w:bCs/>
          <w:lang w:eastAsia="cs-CZ"/>
        </w:rPr>
        <w:t xml:space="preserve"> je uveden přehled vlastníků</w:t>
      </w:r>
      <w:r w:rsidR="00963887">
        <w:rPr>
          <w:rFonts w:cs="Arial-BoldMT"/>
          <w:bCs/>
          <w:lang w:eastAsia="cs-CZ"/>
        </w:rPr>
        <w:t>:</w:t>
      </w:r>
      <w:r>
        <w:rPr>
          <w:rFonts w:cs="Arial-BoldMT"/>
          <w:bCs/>
          <w:lang w:eastAsia="cs-CZ"/>
        </w:rPr>
        <w:t xml:space="preserve"> </w:t>
      </w:r>
      <w:r w:rsidRPr="004F66D5">
        <w:rPr>
          <w:rFonts w:cs="ArialMT"/>
          <w:lang w:eastAsia="cs-CZ"/>
        </w:rPr>
        <w:t xml:space="preserve">Jméno: </w:t>
      </w:r>
      <w:r w:rsidRPr="00227654">
        <w:rPr>
          <w:rFonts w:cs="ArialMT"/>
          <w:b/>
          <w:lang w:eastAsia="cs-CZ"/>
        </w:rPr>
        <w:t>---</w:t>
      </w:r>
      <w:r w:rsidRPr="004F66D5">
        <w:rPr>
          <w:rFonts w:cs="ArialMT"/>
          <w:lang w:eastAsia="cs-CZ"/>
        </w:rPr>
        <w:t xml:space="preserve"> Adresa: </w:t>
      </w:r>
      <w:r w:rsidRPr="004F66D5">
        <w:rPr>
          <w:rFonts w:cs="Arial-BoldMT"/>
          <w:b/>
          <w:bCs/>
          <w:lang w:eastAsia="cs-CZ"/>
        </w:rPr>
        <w:t xml:space="preserve">--- </w:t>
      </w:r>
      <w:r w:rsidRPr="004F66D5">
        <w:rPr>
          <w:rFonts w:cs="ArialMT"/>
          <w:lang w:eastAsia="cs-CZ"/>
        </w:rPr>
        <w:t xml:space="preserve">Do: </w:t>
      </w:r>
      <w:r w:rsidRPr="004F66D5">
        <w:rPr>
          <w:rFonts w:cs="Arial-BoldMT"/>
          <w:b/>
          <w:bCs/>
          <w:lang w:eastAsia="cs-CZ"/>
        </w:rPr>
        <w:t>---</w:t>
      </w:r>
      <w:r w:rsidR="00963887" w:rsidRPr="00227654">
        <w:rPr>
          <w:rFonts w:cs="Arial-BoldMT"/>
          <w:bCs/>
          <w:lang w:eastAsia="cs-CZ"/>
        </w:rPr>
        <w:t>.</w:t>
      </w:r>
    </w:p>
    <w:p w14:paraId="3A2DFC0C" w14:textId="5ABD255A" w:rsidR="0074042C" w:rsidRPr="004F66D5"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Způsob nabytí</w:t>
      </w:r>
      <w:r w:rsidR="00963887">
        <w:rPr>
          <w:rFonts w:cs="Arial-BoldMT"/>
          <w:b/>
          <w:bCs/>
          <w:lang w:eastAsia="cs-CZ"/>
        </w:rPr>
        <w:t xml:space="preserve"> </w:t>
      </w:r>
      <w:r w:rsidR="00963887" w:rsidRPr="004F66D5">
        <w:rPr>
          <w:rFonts w:cs="ArialMT"/>
          <w:lang w:eastAsia="cs-CZ"/>
        </w:rPr>
        <w:t>–</w:t>
      </w:r>
      <w:r w:rsidRPr="004F66D5">
        <w:rPr>
          <w:rFonts w:cs="Arial-BoldMT"/>
          <w:bCs/>
          <w:lang w:eastAsia="cs-CZ"/>
        </w:rPr>
        <w:t xml:space="preserve"> např. kupní smlouva</w:t>
      </w:r>
      <w:r w:rsidR="00963887">
        <w:rPr>
          <w:rFonts w:cs="Arial-BoldMT"/>
          <w:bCs/>
          <w:lang w:eastAsia="cs-CZ"/>
        </w:rPr>
        <w:t>.</w:t>
      </w:r>
      <w:r w:rsidRPr="004F66D5">
        <w:rPr>
          <w:rFonts w:cs="Arial-BoldMT"/>
          <w:bCs/>
          <w:lang w:eastAsia="cs-CZ"/>
        </w:rPr>
        <w:t xml:space="preserve"> </w:t>
      </w:r>
    </w:p>
    <w:p w14:paraId="112B1DBF" w14:textId="6C677B69" w:rsidR="0074042C" w:rsidRPr="004F66D5" w:rsidRDefault="0074042C" w:rsidP="0074042C">
      <w:pPr>
        <w:pStyle w:val="Odstavecseseznamem"/>
        <w:numPr>
          <w:ilvl w:val="0"/>
          <w:numId w:val="6"/>
        </w:numPr>
        <w:autoSpaceDE w:val="0"/>
        <w:autoSpaceDN w:val="0"/>
        <w:adjustRightInd w:val="0"/>
        <w:rPr>
          <w:rFonts w:cs="ArialMT"/>
          <w:lang w:eastAsia="cs-CZ"/>
        </w:rPr>
      </w:pPr>
      <w:r w:rsidRPr="00DA395E">
        <w:rPr>
          <w:rFonts w:cs="Arial-BoldMT"/>
          <w:b/>
          <w:bCs/>
          <w:lang w:eastAsia="cs-CZ"/>
        </w:rPr>
        <w:t>Registrační značka</w:t>
      </w:r>
      <w:r>
        <w:rPr>
          <w:rFonts w:cs="Arial-BoldMT"/>
          <w:bCs/>
          <w:lang w:eastAsia="cs-CZ"/>
        </w:rPr>
        <w:t xml:space="preserve"> – Druh</w:t>
      </w:r>
      <w:r w:rsidRPr="004F66D5">
        <w:rPr>
          <w:rFonts w:cs="ArialMT"/>
          <w:lang w:eastAsia="cs-CZ"/>
        </w:rPr>
        <w:t xml:space="preserve">: </w:t>
      </w:r>
      <w:r w:rsidRPr="004F66D5">
        <w:rPr>
          <w:rFonts w:cs="Arial-BoldMT"/>
          <w:b/>
          <w:bCs/>
          <w:lang w:eastAsia="cs-CZ"/>
        </w:rPr>
        <w:t xml:space="preserve">--- </w:t>
      </w:r>
      <w:r w:rsidRPr="004F66D5">
        <w:rPr>
          <w:rFonts w:cs="ArialMT"/>
          <w:lang w:eastAsia="cs-CZ"/>
        </w:rPr>
        <w:t xml:space="preserve">Vydána dne: </w:t>
      </w:r>
      <w:r w:rsidRPr="004F66D5">
        <w:rPr>
          <w:rFonts w:cs="Arial-BoldMT"/>
          <w:b/>
          <w:bCs/>
          <w:lang w:eastAsia="cs-CZ"/>
        </w:rPr>
        <w:t xml:space="preserve">--- </w:t>
      </w:r>
      <w:r w:rsidRPr="004F66D5">
        <w:rPr>
          <w:rFonts w:cs="ArialMT"/>
          <w:lang w:eastAsia="cs-CZ"/>
        </w:rPr>
        <w:t xml:space="preserve">Platnost do: </w:t>
      </w:r>
      <w:r w:rsidRPr="004F66D5">
        <w:rPr>
          <w:rFonts w:cs="Arial-BoldMT"/>
          <w:b/>
          <w:bCs/>
          <w:lang w:eastAsia="cs-CZ"/>
        </w:rPr>
        <w:t>---</w:t>
      </w:r>
      <w:r w:rsidR="00963887" w:rsidRPr="00227654">
        <w:rPr>
          <w:rFonts w:cs="Arial-BoldMT"/>
          <w:bCs/>
          <w:lang w:eastAsia="cs-CZ"/>
        </w:rPr>
        <w:t>.</w:t>
      </w:r>
    </w:p>
    <w:p w14:paraId="3E20E381" w14:textId="1AB9F4B3" w:rsidR="0074042C" w:rsidRPr="004F66D5"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 xml:space="preserve">Technický průkaz </w:t>
      </w:r>
      <w:r w:rsidRPr="004F66D5">
        <w:rPr>
          <w:rFonts w:cs="Arial-BoldMT"/>
          <w:bCs/>
          <w:lang w:eastAsia="cs-CZ"/>
        </w:rPr>
        <w:t>– Číslo</w:t>
      </w:r>
      <w:r w:rsidRPr="004F66D5">
        <w:rPr>
          <w:rFonts w:cs="ArialMT"/>
          <w:lang w:eastAsia="cs-CZ"/>
        </w:rPr>
        <w:t xml:space="preserve">: </w:t>
      </w:r>
      <w:r w:rsidRPr="00227654">
        <w:rPr>
          <w:rFonts w:cs="ArialMT"/>
          <w:b/>
          <w:lang w:eastAsia="cs-CZ"/>
        </w:rPr>
        <w:t>---</w:t>
      </w:r>
      <w:r w:rsidRPr="004F66D5">
        <w:rPr>
          <w:rFonts w:cs="ArialMT"/>
          <w:lang w:eastAsia="cs-CZ"/>
        </w:rPr>
        <w:t xml:space="preserve"> Vydán: </w:t>
      </w:r>
      <w:r w:rsidRPr="004F66D5">
        <w:rPr>
          <w:rFonts w:cs="Arial-BoldMT"/>
          <w:b/>
          <w:bCs/>
          <w:lang w:eastAsia="cs-CZ"/>
        </w:rPr>
        <w:t xml:space="preserve">--- </w:t>
      </w:r>
      <w:r w:rsidRPr="004F66D5">
        <w:rPr>
          <w:rFonts w:cs="ArialMT"/>
          <w:lang w:eastAsia="cs-CZ"/>
        </w:rPr>
        <w:t xml:space="preserve">Platnost od: </w:t>
      </w:r>
      <w:r w:rsidRPr="004F66D5">
        <w:rPr>
          <w:rFonts w:cs="Arial-BoldMT"/>
          <w:b/>
          <w:bCs/>
          <w:lang w:eastAsia="cs-CZ"/>
        </w:rPr>
        <w:t xml:space="preserve">--- </w:t>
      </w:r>
      <w:r w:rsidRPr="004F66D5">
        <w:rPr>
          <w:rFonts w:cs="ArialMT"/>
          <w:lang w:eastAsia="cs-CZ"/>
        </w:rPr>
        <w:t xml:space="preserve">Platnost do: </w:t>
      </w:r>
      <w:r w:rsidRPr="004F66D5">
        <w:rPr>
          <w:rFonts w:cs="Arial-BoldMT"/>
          <w:b/>
          <w:bCs/>
          <w:lang w:eastAsia="cs-CZ"/>
        </w:rPr>
        <w:t>---</w:t>
      </w:r>
      <w:r w:rsidR="00963887" w:rsidRPr="00A449D0">
        <w:rPr>
          <w:rFonts w:cs="Arial-BoldMT"/>
          <w:bCs/>
          <w:lang w:eastAsia="cs-CZ"/>
        </w:rPr>
        <w:t>.</w:t>
      </w:r>
      <w:r w:rsidRPr="004F66D5">
        <w:rPr>
          <w:rFonts w:cs="Arial-BoldMT"/>
          <w:b/>
          <w:bCs/>
          <w:lang w:eastAsia="cs-CZ"/>
        </w:rPr>
        <w:t xml:space="preserve"> </w:t>
      </w:r>
    </w:p>
    <w:p w14:paraId="0EC4B1C5" w14:textId="1F92F561" w:rsidR="0074042C" w:rsidRPr="004F66D5"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Osvědčení o registraci vozidla</w:t>
      </w:r>
      <w:r w:rsidR="00963887">
        <w:rPr>
          <w:rFonts w:cs="Arial-BoldMT"/>
          <w:b/>
          <w:bCs/>
          <w:lang w:eastAsia="cs-CZ"/>
        </w:rPr>
        <w:t xml:space="preserve"> </w:t>
      </w:r>
      <w:r w:rsidR="00963887">
        <w:rPr>
          <w:rFonts w:cs="ArialMT"/>
          <w:lang w:eastAsia="cs-CZ"/>
        </w:rPr>
        <w:t>–</w:t>
      </w:r>
      <w:r w:rsidRPr="004F66D5">
        <w:rPr>
          <w:rFonts w:cs="Arial-BoldMT"/>
          <w:b/>
          <w:bCs/>
          <w:lang w:eastAsia="cs-CZ"/>
        </w:rPr>
        <w:t xml:space="preserve"> </w:t>
      </w:r>
      <w:r w:rsidRPr="004F66D5">
        <w:rPr>
          <w:rFonts w:cs="ArialMT"/>
          <w:lang w:eastAsia="cs-CZ"/>
        </w:rPr>
        <w:t xml:space="preserve">Vydáno: </w:t>
      </w:r>
      <w:r w:rsidRPr="004F66D5">
        <w:rPr>
          <w:rFonts w:cs="Arial-BoldMT"/>
          <w:b/>
          <w:bCs/>
          <w:lang w:eastAsia="cs-CZ"/>
        </w:rPr>
        <w:t xml:space="preserve">--- </w:t>
      </w:r>
      <w:r w:rsidRPr="004F66D5">
        <w:rPr>
          <w:rFonts w:cs="ArialMT"/>
          <w:lang w:eastAsia="cs-CZ"/>
        </w:rPr>
        <w:t xml:space="preserve">Platnost od: </w:t>
      </w:r>
      <w:r w:rsidRPr="004F66D5">
        <w:rPr>
          <w:rFonts w:cs="Arial-BoldMT"/>
          <w:b/>
          <w:bCs/>
          <w:lang w:eastAsia="cs-CZ"/>
        </w:rPr>
        <w:t xml:space="preserve">--- </w:t>
      </w:r>
      <w:r w:rsidRPr="004F66D5">
        <w:rPr>
          <w:rFonts w:cs="ArialMT"/>
          <w:lang w:eastAsia="cs-CZ"/>
        </w:rPr>
        <w:t xml:space="preserve">Platnost do: </w:t>
      </w:r>
      <w:r w:rsidRPr="004F66D5">
        <w:rPr>
          <w:rFonts w:cs="Arial-BoldMT"/>
          <w:b/>
          <w:bCs/>
          <w:lang w:eastAsia="cs-CZ"/>
        </w:rPr>
        <w:t>---</w:t>
      </w:r>
      <w:r w:rsidR="00963887" w:rsidRPr="00A449D0">
        <w:rPr>
          <w:rFonts w:cs="Arial-BoldMT"/>
          <w:bCs/>
          <w:lang w:eastAsia="cs-CZ"/>
        </w:rPr>
        <w:t>.</w:t>
      </w:r>
      <w:r w:rsidRPr="004F66D5">
        <w:rPr>
          <w:rFonts w:cs="Arial-BoldMT"/>
          <w:b/>
          <w:bCs/>
          <w:lang w:eastAsia="cs-CZ"/>
        </w:rPr>
        <w:t xml:space="preserve"> </w:t>
      </w:r>
    </w:p>
    <w:p w14:paraId="2AE4873E" w14:textId="2C115435" w:rsidR="0074042C"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 xml:space="preserve">Indikace na vozidle </w:t>
      </w:r>
      <w:r w:rsidRPr="00227654">
        <w:rPr>
          <w:rFonts w:cs="Arial-BoldMT"/>
          <w:bCs/>
          <w:lang w:eastAsia="cs-CZ"/>
        </w:rPr>
        <w:t xml:space="preserve">– </w:t>
      </w:r>
      <w:r w:rsidR="00963887">
        <w:rPr>
          <w:rFonts w:cs="Arial-BoldMT"/>
          <w:bCs/>
          <w:lang w:eastAsia="cs-CZ"/>
        </w:rPr>
        <w:t>i</w:t>
      </w:r>
      <w:r w:rsidRPr="00227654">
        <w:rPr>
          <w:rFonts w:cs="Arial-BoldMT"/>
          <w:bCs/>
          <w:lang w:eastAsia="cs-CZ"/>
        </w:rPr>
        <w:t>ndikace</w:t>
      </w:r>
      <w:r w:rsidRPr="004F66D5">
        <w:rPr>
          <w:rFonts w:cs="ArialMT"/>
          <w:lang w:eastAsia="cs-CZ"/>
        </w:rPr>
        <w:t xml:space="preserve"> I – určuje prováděné změny </w:t>
      </w:r>
      <w:r w:rsidR="00963887">
        <w:rPr>
          <w:rFonts w:cs="ArialMT"/>
          <w:lang w:eastAsia="cs-CZ"/>
        </w:rPr>
        <w:t>o</w:t>
      </w:r>
      <w:r w:rsidRPr="004F66D5">
        <w:rPr>
          <w:rFonts w:cs="ArialMT"/>
          <w:lang w:eastAsia="cs-CZ"/>
        </w:rPr>
        <w:t>proti původnímu stavu</w:t>
      </w:r>
      <w:r w:rsidR="00963887">
        <w:rPr>
          <w:rFonts w:cs="ArialMT"/>
          <w:lang w:eastAsia="cs-CZ"/>
        </w:rPr>
        <w:t>;</w:t>
      </w:r>
      <w:r w:rsidRPr="004F66D5">
        <w:rPr>
          <w:rFonts w:cs="ArialMT"/>
          <w:lang w:eastAsia="cs-CZ"/>
        </w:rPr>
        <w:t xml:space="preserve"> </w:t>
      </w:r>
      <w:r w:rsidR="00963887">
        <w:rPr>
          <w:rFonts w:cs="ArialMT"/>
          <w:lang w:eastAsia="cs-CZ"/>
        </w:rPr>
        <w:t>i</w:t>
      </w:r>
      <w:r w:rsidRPr="004F66D5">
        <w:rPr>
          <w:rFonts w:cs="ArialMT"/>
          <w:lang w:eastAsia="cs-CZ"/>
        </w:rPr>
        <w:t>ndikace II – určuje rozpory mezi skutečností a evidencí</w:t>
      </w:r>
      <w:r w:rsidR="00963887">
        <w:rPr>
          <w:rFonts w:cs="ArialMT"/>
          <w:lang w:eastAsia="cs-CZ"/>
        </w:rPr>
        <w:t>;</w:t>
      </w:r>
      <w:r w:rsidRPr="004F66D5">
        <w:rPr>
          <w:rFonts w:cs="ArialMT"/>
          <w:lang w:eastAsia="cs-CZ"/>
        </w:rPr>
        <w:t xml:space="preserve"> </w:t>
      </w:r>
      <w:r w:rsidR="00963887">
        <w:rPr>
          <w:rFonts w:cs="ArialMT"/>
          <w:lang w:eastAsia="cs-CZ"/>
        </w:rPr>
        <w:t>i</w:t>
      </w:r>
      <w:r w:rsidRPr="004F66D5">
        <w:rPr>
          <w:rFonts w:cs="ArialMT"/>
          <w:lang w:eastAsia="cs-CZ"/>
        </w:rPr>
        <w:t>ndikace III – definuj</w:t>
      </w:r>
      <w:r w:rsidR="00963887">
        <w:rPr>
          <w:rFonts w:cs="ArialMT"/>
          <w:lang w:eastAsia="cs-CZ"/>
        </w:rPr>
        <w:t>e</w:t>
      </w:r>
      <w:r w:rsidRPr="004F66D5">
        <w:rPr>
          <w:rFonts w:cs="ArialMT"/>
          <w:lang w:eastAsia="cs-CZ"/>
        </w:rPr>
        <w:t xml:space="preserve"> omezení provádění změn v registru</w:t>
      </w:r>
      <w:r w:rsidR="00963887" w:rsidRPr="00A449D0">
        <w:rPr>
          <w:rFonts w:cs="Arial-BoldMT"/>
          <w:bCs/>
          <w:lang w:eastAsia="cs-CZ"/>
        </w:rPr>
        <w:t>.</w:t>
      </w:r>
      <w:r w:rsidRPr="004F66D5">
        <w:rPr>
          <w:rFonts w:cs="ArialMT"/>
          <w:lang w:eastAsia="cs-CZ"/>
        </w:rPr>
        <w:t xml:space="preserve"> </w:t>
      </w:r>
    </w:p>
    <w:p w14:paraId="1C25239A" w14:textId="2FD84C52" w:rsidR="0074042C" w:rsidRPr="004F66D5" w:rsidRDefault="0074042C" w:rsidP="0074042C">
      <w:pPr>
        <w:pStyle w:val="Odstavecseseznamem"/>
        <w:numPr>
          <w:ilvl w:val="0"/>
          <w:numId w:val="6"/>
        </w:numPr>
        <w:autoSpaceDE w:val="0"/>
        <w:autoSpaceDN w:val="0"/>
        <w:adjustRightInd w:val="0"/>
        <w:rPr>
          <w:rFonts w:cs="ArialMT"/>
          <w:lang w:eastAsia="cs-CZ"/>
        </w:rPr>
      </w:pPr>
      <w:r>
        <w:rPr>
          <w:rFonts w:cs="Arial-BoldMT"/>
          <w:b/>
          <w:bCs/>
          <w:lang w:eastAsia="cs-CZ"/>
        </w:rPr>
        <w:t xml:space="preserve">Informace o vozidle </w:t>
      </w:r>
      <w:r w:rsidRPr="00227654">
        <w:rPr>
          <w:rFonts w:cs="Arial-BoldMT"/>
          <w:bCs/>
          <w:lang w:eastAsia="cs-CZ"/>
        </w:rPr>
        <w:t>– zde</w:t>
      </w:r>
      <w:r w:rsidRPr="004F66D5">
        <w:rPr>
          <w:rFonts w:cs="ArialMT"/>
          <w:lang w:eastAsia="cs-CZ"/>
        </w:rPr>
        <w:t xml:space="preserve"> se zjistí veškeré technické údaje o vozidl</w:t>
      </w:r>
      <w:r w:rsidR="00963887">
        <w:rPr>
          <w:rFonts w:cs="ArialMT"/>
          <w:lang w:eastAsia="cs-CZ"/>
        </w:rPr>
        <w:t>e</w:t>
      </w:r>
      <w:r w:rsidR="00963887" w:rsidRPr="00A449D0">
        <w:rPr>
          <w:rFonts w:cs="Arial-BoldMT"/>
          <w:bCs/>
          <w:lang w:eastAsia="cs-CZ"/>
        </w:rPr>
        <w:t>.</w:t>
      </w:r>
    </w:p>
    <w:p w14:paraId="57D388C3" w14:textId="17F4C22E" w:rsidR="0074042C" w:rsidRPr="004F66D5" w:rsidRDefault="0074042C" w:rsidP="0074042C">
      <w:pPr>
        <w:pStyle w:val="Odstavecseseznamem"/>
        <w:numPr>
          <w:ilvl w:val="0"/>
          <w:numId w:val="6"/>
        </w:numPr>
        <w:autoSpaceDE w:val="0"/>
        <w:autoSpaceDN w:val="0"/>
        <w:adjustRightInd w:val="0"/>
        <w:rPr>
          <w:rFonts w:cs="ArialMT"/>
          <w:lang w:eastAsia="cs-CZ"/>
        </w:rPr>
      </w:pPr>
      <w:r w:rsidRPr="00783711">
        <w:rPr>
          <w:rFonts w:cs="ArialMT"/>
          <w:b/>
          <w:lang w:eastAsia="cs-CZ"/>
        </w:rPr>
        <w:t>VIN</w:t>
      </w:r>
      <w:r w:rsidRPr="004F66D5">
        <w:rPr>
          <w:rFonts w:cs="ArialMT"/>
          <w:lang w:eastAsia="cs-CZ"/>
        </w:rPr>
        <w:t xml:space="preserve"> – </w:t>
      </w:r>
      <w:proofErr w:type="spellStart"/>
      <w:r w:rsidR="00963887" w:rsidRPr="001C1120">
        <w:rPr>
          <w:rFonts w:cs="ArialMT"/>
          <w:lang w:eastAsia="cs-CZ"/>
        </w:rPr>
        <w:t>v</w:t>
      </w:r>
      <w:r w:rsidRPr="001C1120">
        <w:rPr>
          <w:rFonts w:cs="ArialMT"/>
          <w:lang w:eastAsia="cs-CZ"/>
        </w:rPr>
        <w:t>ehicle</w:t>
      </w:r>
      <w:proofErr w:type="spellEnd"/>
      <w:r w:rsidRPr="001C1120">
        <w:rPr>
          <w:rFonts w:cs="ArialMT"/>
          <w:lang w:eastAsia="cs-CZ"/>
        </w:rPr>
        <w:t xml:space="preserve"> </w:t>
      </w:r>
      <w:proofErr w:type="spellStart"/>
      <w:r w:rsidRPr="001C1120">
        <w:rPr>
          <w:rFonts w:cs="ArialMT"/>
          <w:lang w:eastAsia="cs-CZ"/>
        </w:rPr>
        <w:t>identification</w:t>
      </w:r>
      <w:proofErr w:type="spellEnd"/>
      <w:r w:rsidRPr="001C1120">
        <w:rPr>
          <w:rFonts w:cs="ArialMT"/>
          <w:lang w:eastAsia="cs-CZ"/>
        </w:rPr>
        <w:t xml:space="preserve"> </w:t>
      </w:r>
      <w:proofErr w:type="spellStart"/>
      <w:r w:rsidRPr="001C1120">
        <w:rPr>
          <w:rFonts w:cs="ArialMT"/>
          <w:lang w:eastAsia="cs-CZ"/>
        </w:rPr>
        <w:t>number</w:t>
      </w:r>
      <w:proofErr w:type="spellEnd"/>
      <w:r w:rsidRPr="004F66D5">
        <w:rPr>
          <w:rFonts w:cs="ArialMT"/>
          <w:lang w:eastAsia="cs-CZ"/>
        </w:rPr>
        <w:t xml:space="preserve"> (unikátní kód vozidla)</w:t>
      </w:r>
      <w:r w:rsidR="00963887">
        <w:rPr>
          <w:rFonts w:cs="ArialMT"/>
          <w:lang w:eastAsia="cs-CZ"/>
        </w:rPr>
        <w:t>:</w:t>
      </w:r>
      <w:r w:rsidRPr="004F66D5">
        <w:rPr>
          <w:rFonts w:cs="ArialMT"/>
          <w:lang w:eastAsia="cs-CZ"/>
        </w:rPr>
        <w:t xml:space="preserve"> Tovární značka: </w:t>
      </w:r>
      <w:r w:rsidRPr="004F66D5">
        <w:rPr>
          <w:rFonts w:cs="Arial-BoldMT"/>
          <w:b/>
          <w:bCs/>
          <w:lang w:eastAsia="cs-CZ"/>
        </w:rPr>
        <w:t xml:space="preserve">--- </w:t>
      </w:r>
      <w:r w:rsidR="00963887">
        <w:rPr>
          <w:rFonts w:cs="Arial-BoldMT"/>
          <w:b/>
          <w:bCs/>
          <w:lang w:eastAsia="cs-CZ"/>
        </w:rPr>
        <w:br/>
      </w:r>
      <w:r w:rsidRPr="004F66D5">
        <w:rPr>
          <w:rFonts w:cs="ArialMT"/>
          <w:lang w:eastAsia="cs-CZ"/>
        </w:rPr>
        <w:t xml:space="preserve">Výrobce: </w:t>
      </w:r>
      <w:r w:rsidRPr="004F66D5">
        <w:rPr>
          <w:rFonts w:cs="Arial-BoldMT"/>
          <w:b/>
          <w:bCs/>
          <w:lang w:eastAsia="cs-CZ"/>
        </w:rPr>
        <w:t xml:space="preserve">--- </w:t>
      </w:r>
      <w:r w:rsidRPr="004F66D5">
        <w:rPr>
          <w:rFonts w:cs="ArialMT"/>
          <w:lang w:eastAsia="cs-CZ"/>
        </w:rPr>
        <w:t xml:space="preserve">Druh vozidla: </w:t>
      </w:r>
      <w:r w:rsidRPr="004F66D5">
        <w:rPr>
          <w:rFonts w:cs="Arial-BoldMT"/>
          <w:b/>
          <w:bCs/>
          <w:lang w:eastAsia="cs-CZ"/>
        </w:rPr>
        <w:t xml:space="preserve">--- </w:t>
      </w:r>
      <w:r w:rsidRPr="004F66D5">
        <w:rPr>
          <w:rFonts w:cs="ArialMT"/>
          <w:lang w:eastAsia="cs-CZ"/>
        </w:rPr>
        <w:t xml:space="preserve">Tvar karoserie: </w:t>
      </w:r>
      <w:r w:rsidRPr="004F66D5">
        <w:rPr>
          <w:rFonts w:cs="Arial-BoldMT"/>
          <w:b/>
          <w:bCs/>
          <w:lang w:eastAsia="cs-CZ"/>
        </w:rPr>
        <w:t xml:space="preserve">--- </w:t>
      </w:r>
      <w:r w:rsidRPr="004F66D5">
        <w:rPr>
          <w:rFonts w:cs="ArialMT"/>
          <w:lang w:eastAsia="cs-CZ"/>
        </w:rPr>
        <w:t xml:space="preserve">Barva vozidla: </w:t>
      </w:r>
      <w:r w:rsidRPr="004F66D5">
        <w:rPr>
          <w:rFonts w:cs="Arial-BoldMT"/>
          <w:b/>
          <w:bCs/>
          <w:lang w:eastAsia="cs-CZ"/>
        </w:rPr>
        <w:t xml:space="preserve">--- </w:t>
      </w:r>
      <w:r w:rsidRPr="004F66D5">
        <w:rPr>
          <w:rFonts w:cs="ArialMT"/>
          <w:lang w:eastAsia="cs-CZ"/>
        </w:rPr>
        <w:t xml:space="preserve">Typ: </w:t>
      </w:r>
      <w:r w:rsidRPr="004F66D5">
        <w:rPr>
          <w:rFonts w:cs="Arial-BoldMT"/>
          <w:b/>
          <w:bCs/>
          <w:lang w:eastAsia="cs-CZ"/>
        </w:rPr>
        <w:t xml:space="preserve">--- </w:t>
      </w:r>
      <w:r w:rsidRPr="004F66D5">
        <w:rPr>
          <w:rFonts w:cs="ArialMT"/>
          <w:lang w:eastAsia="cs-CZ"/>
        </w:rPr>
        <w:t xml:space="preserve">Obchodní označení: </w:t>
      </w:r>
      <w:r w:rsidRPr="004F66D5">
        <w:rPr>
          <w:rFonts w:cs="Arial-BoldMT"/>
          <w:b/>
          <w:bCs/>
          <w:lang w:eastAsia="cs-CZ"/>
        </w:rPr>
        <w:t xml:space="preserve">--- </w:t>
      </w:r>
      <w:r w:rsidRPr="004F66D5">
        <w:rPr>
          <w:rFonts w:cs="ArialMT"/>
          <w:lang w:eastAsia="cs-CZ"/>
        </w:rPr>
        <w:t xml:space="preserve">Doplňková barva vozidla: </w:t>
      </w:r>
      <w:r w:rsidRPr="004F66D5">
        <w:rPr>
          <w:rFonts w:cs="Arial-BoldMT"/>
          <w:b/>
          <w:bCs/>
          <w:lang w:eastAsia="cs-CZ"/>
        </w:rPr>
        <w:t>---</w:t>
      </w:r>
      <w:r w:rsidR="00963887" w:rsidRPr="00A449D0">
        <w:rPr>
          <w:rFonts w:cs="Arial-BoldMT"/>
          <w:bCs/>
          <w:lang w:eastAsia="cs-CZ"/>
        </w:rPr>
        <w:t>.</w:t>
      </w:r>
      <w:r w:rsidRPr="004F66D5">
        <w:rPr>
          <w:rFonts w:cs="Arial-BoldMT"/>
          <w:b/>
          <w:bCs/>
          <w:lang w:eastAsia="cs-CZ"/>
        </w:rPr>
        <w:t xml:space="preserve"> </w:t>
      </w:r>
    </w:p>
    <w:p w14:paraId="6932750F" w14:textId="5E42F601" w:rsidR="0074042C" w:rsidRPr="004F66D5"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 xml:space="preserve">Podrobné informace o vozidle </w:t>
      </w:r>
      <w:r>
        <w:rPr>
          <w:rFonts w:cs="Arial-BoldMT"/>
          <w:bCs/>
          <w:lang w:eastAsia="cs-CZ"/>
        </w:rPr>
        <w:t>– zde</w:t>
      </w:r>
      <w:r w:rsidRPr="004F66D5">
        <w:rPr>
          <w:rFonts w:cs="Arial-BoldMT"/>
          <w:bCs/>
          <w:lang w:eastAsia="cs-CZ"/>
        </w:rPr>
        <w:t xml:space="preserve"> jsou uvedeny podrobné technické informace </w:t>
      </w:r>
      <w:r>
        <w:rPr>
          <w:rFonts w:cs="Arial-BoldMT"/>
          <w:bCs/>
          <w:lang w:eastAsia="cs-CZ"/>
        </w:rPr>
        <w:br/>
      </w:r>
      <w:r w:rsidRPr="004F66D5">
        <w:rPr>
          <w:rFonts w:cs="Arial-BoldMT"/>
          <w:bCs/>
          <w:lang w:eastAsia="cs-CZ"/>
        </w:rPr>
        <w:t>o vozidle v dále uvedeném členění</w:t>
      </w:r>
      <w:r w:rsidRPr="00CB2FC6">
        <w:rPr>
          <w:rFonts w:cs="Arial-BoldMT"/>
          <w:bCs/>
          <w:lang w:eastAsia="cs-CZ"/>
        </w:rPr>
        <w:t>:</w:t>
      </w:r>
      <w:r w:rsidRPr="00227654">
        <w:rPr>
          <w:rFonts w:cs="Arial-BoldMT"/>
          <w:bCs/>
          <w:lang w:eastAsia="cs-CZ"/>
        </w:rPr>
        <w:t xml:space="preserve"> </w:t>
      </w:r>
      <w:r w:rsidRPr="00CB2FC6">
        <w:rPr>
          <w:rFonts w:cs="ArialMT"/>
          <w:lang w:eastAsia="cs-CZ"/>
        </w:rPr>
        <w:t>1</w:t>
      </w:r>
      <w:r w:rsidRPr="004F66D5">
        <w:rPr>
          <w:rFonts w:cs="ArialMT"/>
          <w:lang w:eastAsia="cs-CZ"/>
        </w:rPr>
        <w:t xml:space="preserve">. </w:t>
      </w:r>
      <w:r w:rsidR="00963887">
        <w:rPr>
          <w:rFonts w:cs="ArialMT"/>
          <w:lang w:eastAsia="cs-CZ"/>
        </w:rPr>
        <w:t>o</w:t>
      </w:r>
      <w:r w:rsidRPr="004F66D5">
        <w:rPr>
          <w:rFonts w:cs="ArialMT"/>
          <w:lang w:eastAsia="cs-CZ"/>
        </w:rPr>
        <w:t>becné</w:t>
      </w:r>
      <w:r w:rsidR="00963887">
        <w:rPr>
          <w:rFonts w:cs="ArialMT"/>
          <w:lang w:eastAsia="cs-CZ"/>
        </w:rPr>
        <w:t>;</w:t>
      </w:r>
      <w:r w:rsidRPr="004F66D5">
        <w:rPr>
          <w:rFonts w:cs="ArialMT"/>
          <w:lang w:eastAsia="cs-CZ"/>
        </w:rPr>
        <w:t xml:space="preserve"> 2. </w:t>
      </w:r>
      <w:r w:rsidR="00963887">
        <w:rPr>
          <w:rFonts w:cs="ArialMT"/>
          <w:lang w:eastAsia="cs-CZ"/>
        </w:rPr>
        <w:t>m</w:t>
      </w:r>
      <w:r w:rsidRPr="004F66D5">
        <w:rPr>
          <w:rFonts w:cs="ArialMT"/>
          <w:lang w:eastAsia="cs-CZ"/>
        </w:rPr>
        <w:t>otor</w:t>
      </w:r>
      <w:r w:rsidR="00963887">
        <w:rPr>
          <w:rFonts w:cs="ArialMT"/>
          <w:lang w:eastAsia="cs-CZ"/>
        </w:rPr>
        <w:t>;</w:t>
      </w:r>
      <w:r w:rsidRPr="004F66D5">
        <w:rPr>
          <w:rFonts w:cs="ArialMT"/>
          <w:lang w:eastAsia="cs-CZ"/>
        </w:rPr>
        <w:t xml:space="preserve"> 3. </w:t>
      </w:r>
      <w:r w:rsidR="00963887">
        <w:rPr>
          <w:rFonts w:cs="ArialMT"/>
          <w:lang w:eastAsia="cs-CZ"/>
        </w:rPr>
        <w:t>k</w:t>
      </w:r>
      <w:r w:rsidRPr="004F66D5">
        <w:rPr>
          <w:rFonts w:cs="ArialMT"/>
          <w:lang w:eastAsia="cs-CZ"/>
        </w:rPr>
        <w:t>aros</w:t>
      </w:r>
      <w:r w:rsidR="00CB2FC6">
        <w:rPr>
          <w:rFonts w:cs="ArialMT"/>
          <w:lang w:eastAsia="cs-CZ"/>
        </w:rPr>
        <w:t>e</w:t>
      </w:r>
      <w:r w:rsidRPr="004F66D5">
        <w:rPr>
          <w:rFonts w:cs="ArialMT"/>
          <w:lang w:eastAsia="cs-CZ"/>
        </w:rPr>
        <w:t>rie</w:t>
      </w:r>
      <w:r w:rsidR="00CB2FC6">
        <w:rPr>
          <w:rFonts w:cs="ArialMT"/>
          <w:lang w:eastAsia="cs-CZ"/>
        </w:rPr>
        <w:t>;</w:t>
      </w:r>
      <w:r w:rsidRPr="004F66D5">
        <w:rPr>
          <w:rFonts w:cs="ArialMT"/>
          <w:lang w:eastAsia="cs-CZ"/>
        </w:rPr>
        <w:t xml:space="preserve"> 4. </w:t>
      </w:r>
      <w:r w:rsidR="00CB2FC6">
        <w:rPr>
          <w:rFonts w:cs="ArialMT"/>
          <w:lang w:eastAsia="cs-CZ"/>
        </w:rPr>
        <w:t>r</w:t>
      </w:r>
      <w:r w:rsidRPr="004F66D5">
        <w:rPr>
          <w:rFonts w:cs="ArialMT"/>
          <w:lang w:eastAsia="cs-CZ"/>
        </w:rPr>
        <w:t>ozměry, nápravy</w:t>
      </w:r>
      <w:r w:rsidR="00CB2FC6">
        <w:rPr>
          <w:rFonts w:cs="ArialMT"/>
          <w:lang w:eastAsia="cs-CZ"/>
        </w:rPr>
        <w:t>;</w:t>
      </w:r>
      <w:r w:rsidRPr="004F66D5">
        <w:rPr>
          <w:rFonts w:cs="ArialMT"/>
          <w:lang w:eastAsia="cs-CZ"/>
        </w:rPr>
        <w:t xml:space="preserve"> 5. </w:t>
      </w:r>
      <w:r w:rsidR="00CB2FC6">
        <w:rPr>
          <w:rFonts w:cs="ArialMT"/>
          <w:lang w:eastAsia="cs-CZ"/>
        </w:rPr>
        <w:t>h</w:t>
      </w:r>
      <w:r w:rsidRPr="004F66D5">
        <w:rPr>
          <w:rFonts w:cs="ArialMT"/>
          <w:lang w:eastAsia="cs-CZ"/>
        </w:rPr>
        <w:t>motnost</w:t>
      </w:r>
      <w:r w:rsidR="00CB2FC6">
        <w:rPr>
          <w:rFonts w:cs="ArialMT"/>
          <w:lang w:eastAsia="cs-CZ"/>
        </w:rPr>
        <w:t>;</w:t>
      </w:r>
      <w:r w:rsidRPr="004F66D5">
        <w:rPr>
          <w:rFonts w:cs="ArialMT"/>
          <w:lang w:eastAsia="cs-CZ"/>
        </w:rPr>
        <w:t xml:space="preserve"> 6. </w:t>
      </w:r>
      <w:r w:rsidR="00CB2FC6">
        <w:rPr>
          <w:rFonts w:cs="ArialMT"/>
          <w:lang w:eastAsia="cs-CZ"/>
        </w:rPr>
        <w:t>r</w:t>
      </w:r>
      <w:r w:rsidRPr="004F66D5">
        <w:rPr>
          <w:rFonts w:cs="ArialMT"/>
          <w:lang w:eastAsia="cs-CZ"/>
        </w:rPr>
        <w:t>ychlost, brzdy, hluk</w:t>
      </w:r>
      <w:r w:rsidR="00CB2FC6">
        <w:rPr>
          <w:rFonts w:cs="ArialMT"/>
          <w:lang w:eastAsia="cs-CZ"/>
        </w:rPr>
        <w:t>;</w:t>
      </w:r>
      <w:r w:rsidRPr="004F66D5">
        <w:rPr>
          <w:rFonts w:cs="ArialMT"/>
          <w:lang w:eastAsia="cs-CZ"/>
        </w:rPr>
        <w:t xml:space="preserve"> 7. </w:t>
      </w:r>
      <w:r w:rsidR="00CB2FC6">
        <w:rPr>
          <w:rFonts w:cs="ArialMT"/>
          <w:lang w:eastAsia="cs-CZ"/>
        </w:rPr>
        <w:t>d</w:t>
      </w:r>
      <w:r w:rsidRPr="004F66D5">
        <w:rPr>
          <w:rFonts w:cs="ArialMT"/>
          <w:lang w:eastAsia="cs-CZ"/>
        </w:rPr>
        <w:t>alší položky</w:t>
      </w:r>
      <w:r w:rsidR="00963887" w:rsidRPr="00A449D0">
        <w:rPr>
          <w:rFonts w:cs="Arial-BoldMT"/>
          <w:bCs/>
          <w:lang w:eastAsia="cs-CZ"/>
        </w:rPr>
        <w:t>.</w:t>
      </w:r>
      <w:r w:rsidRPr="004F66D5">
        <w:rPr>
          <w:rFonts w:cs="ArialMT"/>
          <w:lang w:eastAsia="cs-CZ"/>
        </w:rPr>
        <w:t xml:space="preserve"> </w:t>
      </w:r>
    </w:p>
    <w:p w14:paraId="4FC1A095" w14:textId="15BF2A0F" w:rsidR="0074042C" w:rsidRPr="00066A41"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 xml:space="preserve">Technické prohlídky </w:t>
      </w:r>
      <w:r w:rsidR="00963887">
        <w:rPr>
          <w:rFonts w:cs="ArialMT"/>
          <w:lang w:eastAsia="cs-CZ"/>
        </w:rPr>
        <w:t xml:space="preserve">– </w:t>
      </w:r>
      <w:r w:rsidRPr="004F66D5">
        <w:rPr>
          <w:rFonts w:cs="ArialMT"/>
          <w:lang w:eastAsia="cs-CZ"/>
        </w:rPr>
        <w:t xml:space="preserve">Druh: </w:t>
      </w:r>
      <w:r w:rsidRPr="004F66D5">
        <w:rPr>
          <w:rFonts w:cs="Arial-BoldMT"/>
          <w:b/>
          <w:bCs/>
          <w:lang w:eastAsia="cs-CZ"/>
        </w:rPr>
        <w:t xml:space="preserve">--- </w:t>
      </w:r>
      <w:r w:rsidRPr="004F66D5">
        <w:rPr>
          <w:rFonts w:cs="ArialMT"/>
          <w:lang w:eastAsia="cs-CZ"/>
        </w:rPr>
        <w:t xml:space="preserve">Datum prohlídky: </w:t>
      </w:r>
      <w:r w:rsidRPr="004F66D5">
        <w:rPr>
          <w:rFonts w:cs="Arial-BoldMT"/>
          <w:b/>
          <w:bCs/>
          <w:lang w:eastAsia="cs-CZ"/>
        </w:rPr>
        <w:t xml:space="preserve">--- </w:t>
      </w:r>
      <w:r w:rsidRPr="004F66D5">
        <w:rPr>
          <w:rFonts w:cs="ArialMT"/>
          <w:lang w:eastAsia="cs-CZ"/>
        </w:rPr>
        <w:t xml:space="preserve">Platná do: </w:t>
      </w:r>
      <w:r w:rsidRPr="004F66D5">
        <w:rPr>
          <w:rFonts w:cs="Arial-BoldMT"/>
          <w:b/>
          <w:bCs/>
          <w:lang w:eastAsia="cs-CZ"/>
        </w:rPr>
        <w:t xml:space="preserve">--- </w:t>
      </w:r>
      <w:r w:rsidRPr="004F66D5">
        <w:rPr>
          <w:rFonts w:cs="ArialMT"/>
          <w:lang w:eastAsia="cs-CZ"/>
        </w:rPr>
        <w:t xml:space="preserve">Stav vozidla: </w:t>
      </w:r>
      <w:r w:rsidRPr="004F66D5">
        <w:rPr>
          <w:rFonts w:cs="Arial-BoldMT"/>
          <w:b/>
          <w:bCs/>
          <w:lang w:eastAsia="cs-CZ"/>
        </w:rPr>
        <w:t>---</w:t>
      </w:r>
      <w:r w:rsidR="00963887" w:rsidRPr="00A449D0">
        <w:rPr>
          <w:rFonts w:cs="Arial-BoldMT"/>
          <w:bCs/>
          <w:lang w:eastAsia="cs-CZ"/>
        </w:rPr>
        <w:t>.</w:t>
      </w:r>
      <w:r w:rsidRPr="004F66D5">
        <w:rPr>
          <w:rFonts w:cs="Arial-BoldMT"/>
          <w:b/>
          <w:bCs/>
          <w:lang w:eastAsia="cs-CZ"/>
        </w:rPr>
        <w:t xml:space="preserve"> </w:t>
      </w:r>
    </w:p>
    <w:p w14:paraId="523A4FB1" w14:textId="4263C8A5" w:rsidR="0074042C" w:rsidRPr="00D8742B" w:rsidRDefault="0074042C" w:rsidP="0074042C">
      <w:pPr>
        <w:pStyle w:val="Odstavecseseznamem"/>
        <w:numPr>
          <w:ilvl w:val="0"/>
          <w:numId w:val="6"/>
        </w:numPr>
        <w:autoSpaceDE w:val="0"/>
        <w:autoSpaceDN w:val="0"/>
        <w:adjustRightInd w:val="0"/>
        <w:rPr>
          <w:rFonts w:cs="ArialMT"/>
          <w:lang w:eastAsia="cs-CZ"/>
        </w:rPr>
      </w:pPr>
      <w:r w:rsidRPr="004F66D5">
        <w:rPr>
          <w:rFonts w:cs="Arial-BoldMT"/>
          <w:b/>
          <w:bCs/>
          <w:lang w:eastAsia="cs-CZ"/>
        </w:rPr>
        <w:t>Doplňkový text</w:t>
      </w:r>
      <w:r w:rsidR="00963887" w:rsidRPr="00227654">
        <w:rPr>
          <w:rFonts w:cs="Arial-BoldMT"/>
          <w:b/>
          <w:bCs/>
          <w:lang w:eastAsia="cs-CZ"/>
        </w:rPr>
        <w:t>.</w:t>
      </w:r>
    </w:p>
    <w:p w14:paraId="221011CB" w14:textId="49E47DD2" w:rsidR="0074042C" w:rsidRPr="009D514E" w:rsidRDefault="0074042C" w:rsidP="0074042C">
      <w:pPr>
        <w:ind w:left="360"/>
        <w:rPr>
          <w:b/>
        </w:rPr>
      </w:pPr>
      <w:r w:rsidRPr="009D514E">
        <w:rPr>
          <w:sz w:val="20"/>
          <w:szCs w:val="20"/>
        </w:rPr>
        <w:t xml:space="preserve">Zdroj: </w:t>
      </w:r>
      <w:r>
        <w:rPr>
          <w:sz w:val="20"/>
          <w:szCs w:val="20"/>
        </w:rPr>
        <w:t>MD</w:t>
      </w:r>
      <w:r w:rsidR="00963887">
        <w:rPr>
          <w:sz w:val="20"/>
          <w:szCs w:val="20"/>
        </w:rPr>
        <w:t>;</w:t>
      </w:r>
      <w:r w:rsidRPr="009D514E">
        <w:rPr>
          <w:sz w:val="20"/>
          <w:szCs w:val="20"/>
        </w:rPr>
        <w:t xml:space="preserve"> vlastní zpracování NKÚ.</w:t>
      </w:r>
    </w:p>
    <w:p w14:paraId="5D876014" w14:textId="77777777" w:rsidR="0074042C" w:rsidRDefault="0074042C" w:rsidP="0074042C">
      <w:pPr>
        <w:spacing w:after="160" w:line="259" w:lineRule="auto"/>
        <w:jc w:val="left"/>
        <w:rPr>
          <w:rFonts w:cstheme="minorHAnsi"/>
          <w:sz w:val="20"/>
          <w:szCs w:val="20"/>
        </w:rPr>
      </w:pPr>
    </w:p>
    <w:p w14:paraId="4AC017A7" w14:textId="77777777" w:rsidR="0074042C" w:rsidRDefault="0074042C">
      <w:pPr>
        <w:spacing w:after="160" w:line="259" w:lineRule="auto"/>
        <w:jc w:val="left"/>
        <w:rPr>
          <w:b/>
          <w:iCs/>
          <w:szCs w:val="24"/>
        </w:rPr>
      </w:pPr>
      <w:r>
        <w:rPr>
          <w:b/>
          <w:i/>
          <w:szCs w:val="24"/>
        </w:rPr>
        <w:br w:type="page"/>
      </w:r>
    </w:p>
    <w:p w14:paraId="4BA38F7D" w14:textId="48C5F7C2" w:rsidR="001775CE" w:rsidRPr="001D2B21" w:rsidRDefault="001775CE" w:rsidP="001775CE">
      <w:pPr>
        <w:pStyle w:val="Titulek"/>
        <w:jc w:val="right"/>
        <w:rPr>
          <w:b/>
          <w:i w:val="0"/>
          <w:color w:val="auto"/>
          <w:sz w:val="24"/>
          <w:szCs w:val="24"/>
        </w:rPr>
      </w:pPr>
      <w:bookmarkStart w:id="32" w:name="_Ref94623554"/>
      <w:bookmarkEnd w:id="28"/>
      <w:r w:rsidRPr="001D2B21">
        <w:rPr>
          <w:b/>
          <w:i w:val="0"/>
          <w:color w:val="auto"/>
          <w:sz w:val="24"/>
          <w:szCs w:val="24"/>
        </w:rPr>
        <w:t xml:space="preserve">Příloha </w:t>
      </w:r>
      <w:r w:rsidRPr="001D2B21">
        <w:rPr>
          <w:b/>
          <w:i w:val="0"/>
          <w:color w:val="auto"/>
          <w:sz w:val="24"/>
          <w:szCs w:val="24"/>
        </w:rPr>
        <w:fldChar w:fldCharType="begin"/>
      </w:r>
      <w:r w:rsidRPr="001D2B21">
        <w:rPr>
          <w:b/>
          <w:i w:val="0"/>
          <w:color w:val="auto"/>
          <w:sz w:val="24"/>
          <w:szCs w:val="24"/>
        </w:rPr>
        <w:instrText xml:space="preserve"> SEQ Příloha \* ARABIC </w:instrText>
      </w:r>
      <w:r w:rsidRPr="001D2B21">
        <w:rPr>
          <w:b/>
          <w:i w:val="0"/>
          <w:color w:val="auto"/>
          <w:sz w:val="24"/>
          <w:szCs w:val="24"/>
        </w:rPr>
        <w:fldChar w:fldCharType="separate"/>
      </w:r>
      <w:r w:rsidR="00500A1C">
        <w:rPr>
          <w:b/>
          <w:i w:val="0"/>
          <w:noProof/>
          <w:color w:val="auto"/>
          <w:sz w:val="24"/>
          <w:szCs w:val="24"/>
        </w:rPr>
        <w:t>3</w:t>
      </w:r>
      <w:r w:rsidRPr="001D2B21">
        <w:rPr>
          <w:b/>
          <w:i w:val="0"/>
          <w:color w:val="auto"/>
          <w:sz w:val="24"/>
          <w:szCs w:val="24"/>
        </w:rPr>
        <w:fldChar w:fldCharType="end"/>
      </w:r>
      <w:bookmarkEnd w:id="32"/>
    </w:p>
    <w:p w14:paraId="3D48EF5A" w14:textId="088D7591" w:rsidR="001C1CED" w:rsidRPr="00D505FD" w:rsidRDefault="001C1CED" w:rsidP="001C1CED">
      <w:pPr>
        <w:pStyle w:val="Titulek"/>
        <w:keepNext/>
        <w:spacing w:after="0"/>
        <w:rPr>
          <w:rFonts w:cstheme="minorHAnsi"/>
          <w:b/>
          <w:i w:val="0"/>
          <w:color w:val="auto"/>
          <w:sz w:val="24"/>
          <w:szCs w:val="24"/>
        </w:rPr>
      </w:pPr>
      <w:r w:rsidRPr="00381AE9">
        <w:rPr>
          <w:rFonts w:cstheme="minorHAnsi"/>
          <w:b/>
          <w:i w:val="0"/>
          <w:color w:val="auto"/>
          <w:sz w:val="24"/>
          <w:szCs w:val="24"/>
        </w:rPr>
        <w:t xml:space="preserve">Sumář </w:t>
      </w:r>
      <w:r w:rsidR="0024284B">
        <w:rPr>
          <w:rFonts w:cstheme="minorHAnsi"/>
          <w:b/>
          <w:i w:val="0"/>
          <w:color w:val="auto"/>
          <w:sz w:val="24"/>
          <w:szCs w:val="24"/>
        </w:rPr>
        <w:t>chybných záznamů</w:t>
      </w:r>
      <w:r w:rsidRPr="00381AE9">
        <w:rPr>
          <w:rFonts w:cstheme="minorHAnsi"/>
          <w:b/>
          <w:i w:val="0"/>
          <w:color w:val="auto"/>
          <w:sz w:val="24"/>
          <w:szCs w:val="24"/>
        </w:rPr>
        <w:t xml:space="preserve"> </w:t>
      </w:r>
      <w:r w:rsidR="00CB2FC6">
        <w:rPr>
          <w:rFonts w:cstheme="minorHAnsi"/>
          <w:b/>
          <w:i w:val="0"/>
          <w:color w:val="auto"/>
          <w:sz w:val="24"/>
          <w:szCs w:val="24"/>
        </w:rPr>
        <w:t>z</w:t>
      </w:r>
      <w:r w:rsidRPr="00381AE9">
        <w:rPr>
          <w:rFonts w:cstheme="minorHAnsi"/>
          <w:b/>
          <w:i w:val="0"/>
          <w:color w:val="auto"/>
          <w:sz w:val="24"/>
          <w:szCs w:val="24"/>
        </w:rPr>
        <w:t xml:space="preserve"> RSV v požadovaném výstupu pro NKÚ</w:t>
      </w:r>
    </w:p>
    <w:tbl>
      <w:tblPr>
        <w:tblStyle w:val="Mkatabulky"/>
        <w:tblW w:w="91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80"/>
        <w:gridCol w:w="7343"/>
      </w:tblGrid>
      <w:tr w:rsidR="001C1CED" w:rsidRPr="00381AE9" w14:paraId="577941AB" w14:textId="77777777" w:rsidTr="00390FA0">
        <w:trPr>
          <w:trHeight w:val="341"/>
        </w:trPr>
        <w:tc>
          <w:tcPr>
            <w:tcW w:w="1780" w:type="dxa"/>
            <w:shd w:val="clear" w:color="auto" w:fill="E5F1FF"/>
            <w:noWrap/>
            <w:vAlign w:val="center"/>
            <w:hideMark/>
          </w:tcPr>
          <w:p w14:paraId="32132078" w14:textId="77777777" w:rsidR="001C1CED" w:rsidRPr="00E83AD4" w:rsidRDefault="001C1CED" w:rsidP="0049693D">
            <w:pPr>
              <w:keepNext/>
              <w:keepLines/>
              <w:spacing w:after="0"/>
              <w:jc w:val="center"/>
              <w:rPr>
                <w:rFonts w:asciiTheme="minorHAnsi" w:hAnsiTheme="minorHAnsi" w:cstheme="minorHAnsi"/>
                <w:b/>
                <w:bCs/>
                <w:sz w:val="20"/>
              </w:rPr>
            </w:pPr>
            <w:r w:rsidRPr="00E83AD4">
              <w:rPr>
                <w:rFonts w:asciiTheme="minorHAnsi" w:hAnsiTheme="minorHAnsi" w:cstheme="minorHAnsi"/>
                <w:b/>
                <w:bCs/>
                <w:sz w:val="20"/>
              </w:rPr>
              <w:t>Parametr (sloupec)</w:t>
            </w:r>
          </w:p>
        </w:tc>
        <w:tc>
          <w:tcPr>
            <w:tcW w:w="7343" w:type="dxa"/>
            <w:shd w:val="clear" w:color="auto" w:fill="E5F1FF"/>
            <w:noWrap/>
            <w:vAlign w:val="center"/>
            <w:hideMark/>
          </w:tcPr>
          <w:p w14:paraId="22D16E18" w14:textId="3FEE459A" w:rsidR="001C1CED" w:rsidRPr="00E83AD4" w:rsidRDefault="001C1CED" w:rsidP="0049693D">
            <w:pPr>
              <w:keepNext/>
              <w:keepLines/>
              <w:spacing w:after="0"/>
              <w:jc w:val="center"/>
              <w:rPr>
                <w:rFonts w:asciiTheme="minorHAnsi" w:hAnsiTheme="minorHAnsi" w:cstheme="minorHAnsi"/>
                <w:b/>
                <w:bCs/>
                <w:sz w:val="20"/>
              </w:rPr>
            </w:pPr>
            <w:r w:rsidRPr="00E83AD4">
              <w:rPr>
                <w:rFonts w:asciiTheme="minorHAnsi" w:hAnsiTheme="minorHAnsi" w:cstheme="minorHAnsi"/>
                <w:b/>
                <w:bCs/>
                <w:sz w:val="20"/>
              </w:rPr>
              <w:t xml:space="preserve">Popis </w:t>
            </w:r>
          </w:p>
        </w:tc>
      </w:tr>
      <w:tr w:rsidR="001C1CED" w:rsidRPr="00381AE9" w14:paraId="17626529" w14:textId="77777777" w:rsidTr="009E5E2D">
        <w:trPr>
          <w:trHeight w:val="663"/>
        </w:trPr>
        <w:tc>
          <w:tcPr>
            <w:tcW w:w="1780" w:type="dxa"/>
            <w:noWrap/>
            <w:vAlign w:val="center"/>
            <w:hideMark/>
          </w:tcPr>
          <w:p w14:paraId="61D92ABD"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ICprovozovatele</w:t>
            </w:r>
          </w:p>
        </w:tc>
        <w:tc>
          <w:tcPr>
            <w:tcW w:w="7343" w:type="dxa"/>
            <w:vAlign w:val="center"/>
            <w:hideMark/>
          </w:tcPr>
          <w:p w14:paraId="63498AE5" w14:textId="3B5A18CD" w:rsidR="001C1CED" w:rsidRPr="00E83AD4" w:rsidRDefault="00237108" w:rsidP="0049693D">
            <w:pPr>
              <w:keepNext/>
              <w:keepLines/>
              <w:spacing w:after="0"/>
              <w:rPr>
                <w:rFonts w:asciiTheme="minorHAnsi" w:hAnsiTheme="minorHAnsi" w:cstheme="minorHAnsi"/>
                <w:sz w:val="20"/>
              </w:rPr>
            </w:pPr>
            <w:r>
              <w:rPr>
                <w:rFonts w:asciiTheme="minorHAnsi" w:hAnsiTheme="minorHAnsi" w:cstheme="minorHAnsi"/>
                <w:sz w:val="20"/>
              </w:rPr>
              <w:t>Z</w:t>
            </w:r>
            <w:r w:rsidR="00AD6C22">
              <w:rPr>
                <w:rFonts w:asciiTheme="minorHAnsi" w:hAnsiTheme="minorHAnsi" w:cstheme="minorHAnsi"/>
                <w:sz w:val="20"/>
              </w:rPr>
              <w:t xml:space="preserve"> 2 264 126 záznamů </w:t>
            </w:r>
            <w:r w:rsidR="00C90D19">
              <w:rPr>
                <w:rFonts w:asciiTheme="minorHAnsi" w:hAnsiTheme="minorHAnsi" w:cstheme="minorHAnsi"/>
                <w:sz w:val="20"/>
              </w:rPr>
              <w:t xml:space="preserve">o vozidlech </w:t>
            </w:r>
            <w:r w:rsidR="008C7718">
              <w:rPr>
                <w:rFonts w:asciiTheme="minorHAnsi" w:hAnsiTheme="minorHAnsi" w:cstheme="minorHAnsi"/>
                <w:sz w:val="20"/>
              </w:rPr>
              <w:t xml:space="preserve">je </w:t>
            </w:r>
            <w:r w:rsidR="001C1CED" w:rsidRPr="00E83AD4">
              <w:rPr>
                <w:rFonts w:asciiTheme="minorHAnsi" w:hAnsiTheme="minorHAnsi" w:cstheme="minorHAnsi"/>
                <w:sz w:val="20"/>
              </w:rPr>
              <w:t>1</w:t>
            </w:r>
            <w:r w:rsidR="00CB2FC6">
              <w:rPr>
                <w:rFonts w:asciiTheme="minorHAnsi" w:hAnsiTheme="minorHAnsi" w:cstheme="minorHAnsi"/>
                <w:sz w:val="20"/>
              </w:rPr>
              <w:t> </w:t>
            </w:r>
            <w:r w:rsidR="001C1CED" w:rsidRPr="00E83AD4">
              <w:rPr>
                <w:rFonts w:asciiTheme="minorHAnsi" w:hAnsiTheme="minorHAnsi" w:cstheme="minorHAnsi"/>
                <w:sz w:val="20"/>
              </w:rPr>
              <w:t xml:space="preserve">640 záznamů s </w:t>
            </w:r>
            <w:r w:rsidR="0024284B">
              <w:rPr>
                <w:rFonts w:asciiTheme="minorHAnsi" w:hAnsiTheme="minorHAnsi" w:cstheme="minorHAnsi"/>
                <w:sz w:val="20"/>
              </w:rPr>
              <w:t>chybou</w:t>
            </w:r>
            <w:r w:rsidR="001C1CED" w:rsidRPr="00E83AD4">
              <w:rPr>
                <w:rFonts w:asciiTheme="minorHAnsi" w:hAnsiTheme="minorHAnsi" w:cstheme="minorHAnsi"/>
                <w:sz w:val="20"/>
              </w:rPr>
              <w:t xml:space="preserve"> (0,</w:t>
            </w:r>
            <w:r w:rsidR="00AD6C22">
              <w:rPr>
                <w:rFonts w:asciiTheme="minorHAnsi" w:hAnsiTheme="minorHAnsi" w:cstheme="minorHAnsi"/>
                <w:sz w:val="20"/>
              </w:rPr>
              <w:t xml:space="preserve">072 </w:t>
            </w:r>
            <w:r w:rsidR="001C1CED" w:rsidRPr="00E83AD4">
              <w:rPr>
                <w:rFonts w:asciiTheme="minorHAnsi" w:hAnsiTheme="minorHAnsi" w:cstheme="minorHAnsi"/>
                <w:sz w:val="20"/>
              </w:rPr>
              <w:t>%). V tom IČO</w:t>
            </w:r>
            <w:r w:rsidR="00CB2FC6">
              <w:rPr>
                <w:rFonts w:asciiTheme="minorHAnsi" w:hAnsiTheme="minorHAnsi" w:cstheme="minorHAnsi"/>
                <w:sz w:val="20"/>
              </w:rPr>
              <w:t xml:space="preserve"> </w:t>
            </w:r>
            <w:r w:rsidR="001C1CED" w:rsidRPr="00E83AD4">
              <w:rPr>
                <w:rFonts w:asciiTheme="minorHAnsi" w:hAnsiTheme="minorHAnsi" w:cstheme="minorHAnsi"/>
                <w:sz w:val="20"/>
              </w:rPr>
              <w:t>=</w:t>
            </w:r>
            <w:r w:rsidR="00CB2FC6">
              <w:rPr>
                <w:rFonts w:asciiTheme="minorHAnsi" w:hAnsiTheme="minorHAnsi" w:cstheme="minorHAnsi"/>
                <w:sz w:val="20"/>
              </w:rPr>
              <w:t xml:space="preserve"> </w:t>
            </w:r>
            <w:r w:rsidR="001C1CED" w:rsidRPr="00E83AD4">
              <w:rPr>
                <w:rFonts w:asciiTheme="minorHAnsi" w:hAnsiTheme="minorHAnsi" w:cstheme="minorHAnsi"/>
                <w:sz w:val="20"/>
              </w:rPr>
              <w:t>0 (1</w:t>
            </w:r>
            <w:r w:rsidR="00CB2FC6">
              <w:rPr>
                <w:rFonts w:asciiTheme="minorHAnsi" w:hAnsiTheme="minorHAnsi" w:cstheme="minorHAnsi"/>
                <w:sz w:val="20"/>
              </w:rPr>
              <w:t> </w:t>
            </w:r>
            <w:r w:rsidR="001C1CED" w:rsidRPr="00E83AD4">
              <w:rPr>
                <w:rFonts w:asciiTheme="minorHAnsi" w:hAnsiTheme="minorHAnsi" w:cstheme="minorHAnsi"/>
                <w:sz w:val="20"/>
              </w:rPr>
              <w:t>332</w:t>
            </w:r>
            <w:r w:rsidR="00CB2FC6">
              <w:rPr>
                <w:rFonts w:asciiTheme="minorHAnsi" w:hAnsiTheme="minorHAnsi" w:cstheme="minorHAnsi"/>
                <w:sz w:val="20"/>
              </w:rPr>
              <w:t>×</w:t>
            </w:r>
            <w:r w:rsidR="001C1CED" w:rsidRPr="00E83AD4">
              <w:rPr>
                <w:rFonts w:asciiTheme="minorHAnsi" w:hAnsiTheme="minorHAnsi" w:cstheme="minorHAnsi"/>
                <w:sz w:val="20"/>
              </w:rPr>
              <w:t>), IČO</w:t>
            </w:r>
            <w:r w:rsidR="00CB2FC6">
              <w:rPr>
                <w:rFonts w:asciiTheme="minorHAnsi" w:hAnsiTheme="minorHAnsi" w:cstheme="minorHAnsi"/>
                <w:sz w:val="20"/>
              </w:rPr>
              <w:t xml:space="preserve"> </w:t>
            </w:r>
            <w:r w:rsidR="001C1CED" w:rsidRPr="00E83AD4">
              <w:rPr>
                <w:rFonts w:asciiTheme="minorHAnsi" w:hAnsiTheme="minorHAnsi" w:cstheme="minorHAnsi"/>
                <w:sz w:val="20"/>
              </w:rPr>
              <w:t>=</w:t>
            </w:r>
            <w:r w:rsidR="00CB2FC6">
              <w:rPr>
                <w:rFonts w:asciiTheme="minorHAnsi" w:hAnsiTheme="minorHAnsi" w:cstheme="minorHAnsi"/>
                <w:sz w:val="20"/>
              </w:rPr>
              <w:t xml:space="preserve"> </w:t>
            </w:r>
            <w:r w:rsidR="001C1CED" w:rsidRPr="00E83AD4">
              <w:rPr>
                <w:rFonts w:asciiTheme="minorHAnsi" w:hAnsiTheme="minorHAnsi" w:cstheme="minorHAnsi"/>
                <w:sz w:val="20"/>
              </w:rPr>
              <w:t>1 (22</w:t>
            </w:r>
            <w:r w:rsidR="00CB2FC6">
              <w:rPr>
                <w:rFonts w:asciiTheme="minorHAnsi" w:hAnsiTheme="minorHAnsi" w:cstheme="minorHAnsi"/>
                <w:sz w:val="20"/>
              </w:rPr>
              <w:t>×</w:t>
            </w:r>
            <w:r w:rsidR="001C1CED" w:rsidRPr="00E83AD4">
              <w:rPr>
                <w:rFonts w:asciiTheme="minorHAnsi" w:hAnsiTheme="minorHAnsi" w:cstheme="minorHAnsi"/>
                <w:sz w:val="20"/>
              </w:rPr>
              <w:t>), IČO je více než 8místné číslo (286</w:t>
            </w:r>
            <w:r w:rsidR="00CB2FC6">
              <w:rPr>
                <w:rFonts w:asciiTheme="minorHAnsi" w:hAnsiTheme="minorHAnsi" w:cstheme="minorHAnsi"/>
                <w:sz w:val="20"/>
              </w:rPr>
              <w:t>×</w:t>
            </w:r>
            <w:r w:rsidR="001C1CED" w:rsidRPr="00E83AD4">
              <w:rPr>
                <w:rFonts w:asciiTheme="minorHAnsi" w:hAnsiTheme="minorHAnsi" w:cstheme="minorHAnsi"/>
                <w:sz w:val="20"/>
              </w:rPr>
              <w:t xml:space="preserve">). Nezapisování vlastníka jako provozovatele do TP. </w:t>
            </w:r>
          </w:p>
        </w:tc>
      </w:tr>
      <w:tr w:rsidR="001C1CED" w:rsidRPr="00381AE9" w14:paraId="1ADBDE0D" w14:textId="77777777" w:rsidTr="009E5E2D">
        <w:trPr>
          <w:trHeight w:val="331"/>
        </w:trPr>
        <w:tc>
          <w:tcPr>
            <w:tcW w:w="1780" w:type="dxa"/>
            <w:noWrap/>
            <w:vAlign w:val="center"/>
            <w:hideMark/>
          </w:tcPr>
          <w:p w14:paraId="34CF93F0"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VozidloDruh</w:t>
            </w:r>
          </w:p>
        </w:tc>
        <w:tc>
          <w:tcPr>
            <w:tcW w:w="7343" w:type="dxa"/>
            <w:vAlign w:val="center"/>
            <w:hideMark/>
          </w:tcPr>
          <w:p w14:paraId="1A6B20F4" w14:textId="647B9769" w:rsidR="001C1CED" w:rsidRPr="00E83AD4" w:rsidRDefault="001475BE" w:rsidP="0049693D">
            <w:pPr>
              <w:keepNext/>
              <w:keepLines/>
              <w:spacing w:after="0"/>
              <w:rPr>
                <w:rFonts w:asciiTheme="minorHAnsi" w:hAnsiTheme="minorHAnsi" w:cstheme="minorHAnsi"/>
                <w:sz w:val="20"/>
              </w:rPr>
            </w:pPr>
            <w:r w:rsidRPr="001475BE">
              <w:rPr>
                <w:rFonts w:asciiTheme="minorHAnsi" w:hAnsiTheme="minorHAnsi" w:cstheme="minorHAnsi"/>
                <w:sz w:val="20"/>
              </w:rPr>
              <w:t>Z 2 264 126 záznamů o vozidlech není tento parametr vyplněn u 20 107 záznamů (0,888</w:t>
            </w:r>
            <w:r>
              <w:rPr>
                <w:rFonts w:asciiTheme="minorHAnsi" w:hAnsiTheme="minorHAnsi" w:cstheme="minorHAnsi"/>
                <w:sz w:val="20"/>
              </w:rPr>
              <w:t> </w:t>
            </w:r>
            <w:r w:rsidRPr="001475BE">
              <w:rPr>
                <w:rFonts w:asciiTheme="minorHAnsi" w:hAnsiTheme="minorHAnsi" w:cstheme="minorHAnsi"/>
                <w:sz w:val="20"/>
              </w:rPr>
              <w:t>%).</w:t>
            </w:r>
            <w:r w:rsidR="001C1CED" w:rsidRPr="00E83AD4">
              <w:rPr>
                <w:rFonts w:asciiTheme="minorHAnsi" w:hAnsiTheme="minorHAnsi" w:cstheme="minorHAnsi"/>
                <w:sz w:val="20"/>
              </w:rPr>
              <w:t xml:space="preserve"> Pro správu daně marginální. V číselníku uvedeno 159 druhů vozidel. </w:t>
            </w:r>
          </w:p>
        </w:tc>
      </w:tr>
      <w:tr w:rsidR="001C1CED" w:rsidRPr="00381AE9" w14:paraId="0844BFC4" w14:textId="77777777" w:rsidTr="009E5E2D">
        <w:trPr>
          <w:trHeight w:val="766"/>
        </w:trPr>
        <w:tc>
          <w:tcPr>
            <w:tcW w:w="1780" w:type="dxa"/>
            <w:noWrap/>
            <w:vAlign w:val="center"/>
            <w:hideMark/>
          </w:tcPr>
          <w:p w14:paraId="7FE24F0B"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VozidloDruh2</w:t>
            </w:r>
          </w:p>
        </w:tc>
        <w:tc>
          <w:tcPr>
            <w:tcW w:w="7343" w:type="dxa"/>
            <w:vAlign w:val="center"/>
            <w:hideMark/>
          </w:tcPr>
          <w:p w14:paraId="27FF4D49" w14:textId="6CD31350" w:rsidR="001C1CED" w:rsidRPr="00E83AD4" w:rsidRDefault="001475BE" w:rsidP="0049693D">
            <w:pPr>
              <w:keepNext/>
              <w:keepLines/>
              <w:spacing w:after="0"/>
              <w:rPr>
                <w:rFonts w:asciiTheme="minorHAnsi" w:hAnsiTheme="minorHAnsi" w:cstheme="minorHAnsi"/>
                <w:sz w:val="20"/>
              </w:rPr>
            </w:pPr>
            <w:r w:rsidRPr="001475BE">
              <w:rPr>
                <w:rFonts w:asciiTheme="minorHAnsi" w:hAnsiTheme="minorHAnsi" w:cstheme="minorHAnsi"/>
                <w:sz w:val="20"/>
              </w:rPr>
              <w:t>Z 2 264 126 záznamů o vozidlech není tento parametr vyplněn u 250 794 záznamů a</w:t>
            </w:r>
            <w:r>
              <w:rPr>
                <w:rFonts w:asciiTheme="minorHAnsi" w:hAnsiTheme="minorHAnsi" w:cstheme="minorHAnsi"/>
                <w:sz w:val="20"/>
              </w:rPr>
              <w:t> </w:t>
            </w:r>
            <w:r w:rsidRPr="001475BE">
              <w:rPr>
                <w:rFonts w:asciiTheme="minorHAnsi" w:hAnsiTheme="minorHAnsi" w:cstheme="minorHAnsi"/>
                <w:sz w:val="20"/>
              </w:rPr>
              <w:t>v</w:t>
            </w:r>
            <w:r>
              <w:rPr>
                <w:rFonts w:asciiTheme="minorHAnsi" w:hAnsiTheme="minorHAnsi" w:cstheme="minorHAnsi"/>
                <w:sz w:val="20"/>
              </w:rPr>
              <w:t> </w:t>
            </w:r>
            <w:r w:rsidRPr="001475BE">
              <w:rPr>
                <w:rFonts w:asciiTheme="minorHAnsi" w:hAnsiTheme="minorHAnsi" w:cstheme="minorHAnsi"/>
                <w:sz w:val="20"/>
              </w:rPr>
              <w:t>188</w:t>
            </w:r>
            <w:r>
              <w:rPr>
                <w:rFonts w:asciiTheme="minorHAnsi" w:hAnsiTheme="minorHAnsi" w:cstheme="minorHAnsi"/>
                <w:sz w:val="20"/>
              </w:rPr>
              <w:t> </w:t>
            </w:r>
            <w:r w:rsidRPr="001475BE">
              <w:rPr>
                <w:rFonts w:asciiTheme="minorHAnsi" w:hAnsiTheme="minorHAnsi" w:cstheme="minorHAnsi"/>
                <w:sz w:val="20"/>
              </w:rPr>
              <w:t>407 případech je vyplněn znakem tečky (.).</w:t>
            </w:r>
            <w:r>
              <w:rPr>
                <w:rFonts w:asciiTheme="minorHAnsi" w:hAnsiTheme="minorHAnsi" w:cstheme="minorHAnsi"/>
                <w:sz w:val="20"/>
              </w:rPr>
              <w:t xml:space="preserve"> </w:t>
            </w:r>
            <w:r w:rsidR="001C1CED" w:rsidRPr="00E83AD4">
              <w:rPr>
                <w:rFonts w:asciiTheme="minorHAnsi" w:hAnsiTheme="minorHAnsi" w:cstheme="minorHAnsi"/>
                <w:sz w:val="20"/>
              </w:rPr>
              <w:t>Pro správu daně marginální. Obecně nepovinný údaj, povinně musí být pro sanitní a záchranářská vozidla. V číselníku 38 708 druhů.</w:t>
            </w:r>
            <w:r w:rsidR="001C1CED">
              <w:rPr>
                <w:rFonts w:asciiTheme="minorHAnsi" w:hAnsiTheme="minorHAnsi" w:cstheme="minorHAnsi"/>
                <w:sz w:val="20"/>
              </w:rPr>
              <w:t xml:space="preserve"> </w:t>
            </w:r>
          </w:p>
        </w:tc>
      </w:tr>
      <w:tr w:rsidR="001C1CED" w:rsidRPr="00381AE9" w14:paraId="6EA9E2A9" w14:textId="77777777" w:rsidTr="009E5E2D">
        <w:trPr>
          <w:trHeight w:val="545"/>
        </w:trPr>
        <w:tc>
          <w:tcPr>
            <w:tcW w:w="1780" w:type="dxa"/>
            <w:noWrap/>
            <w:vAlign w:val="center"/>
            <w:hideMark/>
          </w:tcPr>
          <w:p w14:paraId="507D784D"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VozidloKategorie</w:t>
            </w:r>
          </w:p>
        </w:tc>
        <w:tc>
          <w:tcPr>
            <w:tcW w:w="7343" w:type="dxa"/>
            <w:vAlign w:val="center"/>
            <w:hideMark/>
          </w:tcPr>
          <w:p w14:paraId="787D015A" w14:textId="6766BB08" w:rsidR="001C1CED" w:rsidRPr="00E83AD4" w:rsidRDefault="001475BE" w:rsidP="0049693D">
            <w:pPr>
              <w:keepNext/>
              <w:keepLines/>
              <w:spacing w:after="0"/>
              <w:rPr>
                <w:rFonts w:asciiTheme="minorHAnsi" w:hAnsiTheme="minorHAnsi" w:cstheme="minorHAnsi"/>
                <w:sz w:val="20"/>
              </w:rPr>
            </w:pPr>
            <w:r w:rsidRPr="001475BE">
              <w:rPr>
                <w:rFonts w:asciiTheme="minorHAnsi" w:hAnsiTheme="minorHAnsi" w:cstheme="minorHAnsi"/>
                <w:sz w:val="20"/>
              </w:rPr>
              <w:t>Z 2 264 126 záznamů o vozidlech není tento parametr vyplněn u 20 725 záznamů (0,915</w:t>
            </w:r>
            <w:r w:rsidR="00BC790B">
              <w:rPr>
                <w:rFonts w:asciiTheme="minorHAnsi" w:hAnsiTheme="minorHAnsi" w:cstheme="minorHAnsi"/>
                <w:sz w:val="20"/>
              </w:rPr>
              <w:t> </w:t>
            </w:r>
            <w:r w:rsidRPr="001475BE">
              <w:rPr>
                <w:rFonts w:asciiTheme="minorHAnsi" w:hAnsiTheme="minorHAnsi" w:cstheme="minorHAnsi"/>
                <w:sz w:val="20"/>
              </w:rPr>
              <w:t>%) a v 32 031 případech je vyplněn znakem tečky (1,415 %)</w:t>
            </w:r>
            <w:r>
              <w:rPr>
                <w:rFonts w:asciiTheme="minorHAnsi" w:hAnsiTheme="minorHAnsi" w:cstheme="minorHAnsi"/>
                <w:sz w:val="20"/>
              </w:rPr>
              <w:t xml:space="preserve">. </w:t>
            </w:r>
            <w:r w:rsidR="001C1CED" w:rsidRPr="00E83AD4">
              <w:rPr>
                <w:rFonts w:asciiTheme="minorHAnsi" w:hAnsiTheme="minorHAnsi" w:cstheme="minorHAnsi"/>
                <w:sz w:val="20"/>
              </w:rPr>
              <w:t xml:space="preserve">Pro správu daně marginální. </w:t>
            </w:r>
          </w:p>
        </w:tc>
      </w:tr>
      <w:tr w:rsidR="001C1CED" w:rsidRPr="00381AE9" w14:paraId="142FB4B1" w14:textId="77777777" w:rsidTr="009E5E2D">
        <w:trPr>
          <w:trHeight w:val="663"/>
        </w:trPr>
        <w:tc>
          <w:tcPr>
            <w:tcW w:w="1780" w:type="dxa"/>
            <w:noWrap/>
            <w:vAlign w:val="center"/>
            <w:hideMark/>
          </w:tcPr>
          <w:p w14:paraId="06696F19"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VozidloPalivo</w:t>
            </w:r>
          </w:p>
        </w:tc>
        <w:tc>
          <w:tcPr>
            <w:tcW w:w="7343" w:type="dxa"/>
            <w:vAlign w:val="center"/>
            <w:hideMark/>
          </w:tcPr>
          <w:p w14:paraId="15D7D5BF" w14:textId="1E7A1425" w:rsidR="001C1CED" w:rsidRPr="00E83AD4" w:rsidRDefault="001C1CED" w:rsidP="0049693D">
            <w:pPr>
              <w:keepNext/>
              <w:keepLines/>
              <w:spacing w:after="0"/>
              <w:rPr>
                <w:rFonts w:asciiTheme="minorHAnsi" w:hAnsiTheme="minorHAnsi" w:cstheme="minorHAnsi"/>
                <w:sz w:val="20"/>
              </w:rPr>
            </w:pPr>
            <w:r w:rsidRPr="00E83AD4">
              <w:rPr>
                <w:rFonts w:asciiTheme="minorHAnsi" w:hAnsiTheme="minorHAnsi" w:cstheme="minorHAnsi"/>
                <w:sz w:val="20"/>
              </w:rPr>
              <w:t xml:space="preserve">Podstatný a povinný údaj pro kontrolu výpočtu výše odvedené daně pro motorová vozidla do 12 t. Bez osvobození </w:t>
            </w:r>
            <w:r w:rsidR="00C86348">
              <w:rPr>
                <w:rFonts w:asciiTheme="minorHAnsi" w:hAnsiTheme="minorHAnsi" w:cstheme="minorHAnsi"/>
                <w:sz w:val="20"/>
              </w:rPr>
              <w:t>od</w:t>
            </w:r>
            <w:r w:rsidRPr="00E83AD4">
              <w:rPr>
                <w:rFonts w:asciiTheme="minorHAnsi" w:hAnsiTheme="minorHAnsi" w:cstheme="minorHAnsi"/>
                <w:sz w:val="20"/>
              </w:rPr>
              <w:t xml:space="preserve"> DSL 34 vozidel na LNG a dvě na vodík. </w:t>
            </w:r>
            <w:r w:rsidR="00BC790B" w:rsidRPr="00BC790B">
              <w:rPr>
                <w:rFonts w:asciiTheme="minorHAnsi" w:hAnsiTheme="minorHAnsi" w:cstheme="minorHAnsi"/>
                <w:sz w:val="20"/>
              </w:rPr>
              <w:t>Z 1 202 344 záznamů o osobních automobilech není tento parametr vyplněn u 1 934 záznamů (0,161</w:t>
            </w:r>
            <w:r w:rsidR="00BC790B">
              <w:rPr>
                <w:rFonts w:asciiTheme="minorHAnsi" w:hAnsiTheme="minorHAnsi" w:cstheme="minorHAnsi"/>
                <w:sz w:val="20"/>
              </w:rPr>
              <w:t> </w:t>
            </w:r>
            <w:r w:rsidR="00BC790B" w:rsidRPr="00BC790B">
              <w:rPr>
                <w:rFonts w:asciiTheme="minorHAnsi" w:hAnsiTheme="minorHAnsi" w:cstheme="minorHAnsi"/>
                <w:sz w:val="20"/>
              </w:rPr>
              <w:t>%).</w:t>
            </w:r>
          </w:p>
        </w:tc>
      </w:tr>
      <w:tr w:rsidR="001C1CED" w:rsidRPr="00381AE9" w14:paraId="3F0ED926" w14:textId="77777777" w:rsidTr="009E5E2D">
        <w:trPr>
          <w:trHeight w:val="331"/>
        </w:trPr>
        <w:tc>
          <w:tcPr>
            <w:tcW w:w="1780" w:type="dxa"/>
            <w:noWrap/>
            <w:vAlign w:val="center"/>
            <w:hideMark/>
          </w:tcPr>
          <w:p w14:paraId="0533958A"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EucarisCode1</w:t>
            </w:r>
          </w:p>
        </w:tc>
        <w:tc>
          <w:tcPr>
            <w:tcW w:w="7343" w:type="dxa"/>
            <w:vAlign w:val="center"/>
            <w:hideMark/>
          </w:tcPr>
          <w:p w14:paraId="26FC7B31" w14:textId="77777777" w:rsidR="001C1CED" w:rsidRPr="00E83AD4" w:rsidRDefault="001C1CED" w:rsidP="0049693D">
            <w:pPr>
              <w:keepNext/>
              <w:keepLines/>
              <w:spacing w:after="0"/>
              <w:rPr>
                <w:rFonts w:asciiTheme="minorHAnsi" w:hAnsiTheme="minorHAnsi" w:cstheme="minorHAnsi"/>
                <w:sz w:val="20"/>
              </w:rPr>
            </w:pPr>
            <w:r w:rsidRPr="00E83AD4">
              <w:rPr>
                <w:rFonts w:asciiTheme="minorHAnsi" w:hAnsiTheme="minorHAnsi" w:cstheme="minorHAnsi"/>
                <w:sz w:val="20"/>
              </w:rPr>
              <w:t xml:space="preserve">Doplňující údaj vyžádaný jako kontrolní pro zjištění vozidel na alternativní pohon. </w:t>
            </w:r>
          </w:p>
        </w:tc>
      </w:tr>
      <w:tr w:rsidR="001C1CED" w:rsidRPr="00381AE9" w14:paraId="3E546A87" w14:textId="77777777" w:rsidTr="009E5E2D">
        <w:trPr>
          <w:trHeight w:val="331"/>
        </w:trPr>
        <w:tc>
          <w:tcPr>
            <w:tcW w:w="1780" w:type="dxa"/>
            <w:noWrap/>
            <w:vAlign w:val="center"/>
            <w:hideMark/>
          </w:tcPr>
          <w:p w14:paraId="37AD522F"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EucarisCode2</w:t>
            </w:r>
          </w:p>
        </w:tc>
        <w:tc>
          <w:tcPr>
            <w:tcW w:w="7343" w:type="dxa"/>
            <w:vAlign w:val="center"/>
            <w:hideMark/>
          </w:tcPr>
          <w:p w14:paraId="0F36A494" w14:textId="77777777" w:rsidR="001C1CED" w:rsidRPr="00E83AD4" w:rsidRDefault="001C1CED" w:rsidP="0049693D">
            <w:pPr>
              <w:keepNext/>
              <w:keepLines/>
              <w:spacing w:after="0"/>
              <w:rPr>
                <w:rFonts w:asciiTheme="minorHAnsi" w:hAnsiTheme="minorHAnsi" w:cstheme="minorHAnsi"/>
                <w:sz w:val="20"/>
              </w:rPr>
            </w:pPr>
            <w:r w:rsidRPr="00E83AD4">
              <w:rPr>
                <w:rFonts w:asciiTheme="minorHAnsi" w:hAnsiTheme="minorHAnsi" w:cstheme="minorHAnsi"/>
                <w:sz w:val="20"/>
              </w:rPr>
              <w:t xml:space="preserve">Doplňující údaj vyžádaný jako kontrolní pro zjištění vozidel na alternativní pohon. </w:t>
            </w:r>
          </w:p>
        </w:tc>
      </w:tr>
      <w:tr w:rsidR="001C1CED" w:rsidRPr="00381AE9" w14:paraId="3BE528D1" w14:textId="77777777" w:rsidTr="009E5E2D">
        <w:trPr>
          <w:trHeight w:val="331"/>
        </w:trPr>
        <w:tc>
          <w:tcPr>
            <w:tcW w:w="1780" w:type="dxa"/>
            <w:noWrap/>
            <w:vAlign w:val="center"/>
            <w:hideMark/>
          </w:tcPr>
          <w:p w14:paraId="47878FB0"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EucarisCode3</w:t>
            </w:r>
          </w:p>
        </w:tc>
        <w:tc>
          <w:tcPr>
            <w:tcW w:w="7343" w:type="dxa"/>
            <w:vAlign w:val="center"/>
            <w:hideMark/>
          </w:tcPr>
          <w:p w14:paraId="36A03A31" w14:textId="77777777" w:rsidR="001C1CED" w:rsidRPr="00E83AD4" w:rsidRDefault="001C1CED" w:rsidP="0049693D">
            <w:pPr>
              <w:keepNext/>
              <w:keepLines/>
              <w:spacing w:after="0"/>
              <w:rPr>
                <w:rFonts w:asciiTheme="minorHAnsi" w:hAnsiTheme="minorHAnsi" w:cstheme="minorHAnsi"/>
                <w:sz w:val="20"/>
              </w:rPr>
            </w:pPr>
            <w:r w:rsidRPr="00E83AD4">
              <w:rPr>
                <w:rFonts w:asciiTheme="minorHAnsi" w:hAnsiTheme="minorHAnsi" w:cstheme="minorHAnsi"/>
                <w:sz w:val="20"/>
              </w:rPr>
              <w:t xml:space="preserve">Doplňující údaj vyžádaný jako kontrolní pro zjištění vozidel na alternativní pohon. </w:t>
            </w:r>
          </w:p>
        </w:tc>
      </w:tr>
      <w:tr w:rsidR="001C1CED" w:rsidRPr="00381AE9" w14:paraId="71F38536" w14:textId="77777777" w:rsidTr="009E5E2D">
        <w:trPr>
          <w:trHeight w:val="663"/>
        </w:trPr>
        <w:tc>
          <w:tcPr>
            <w:tcW w:w="1780" w:type="dxa"/>
            <w:noWrap/>
            <w:vAlign w:val="center"/>
            <w:hideMark/>
          </w:tcPr>
          <w:p w14:paraId="615BAA8C"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MotorZdvihObjem</w:t>
            </w:r>
          </w:p>
        </w:tc>
        <w:tc>
          <w:tcPr>
            <w:tcW w:w="7343" w:type="dxa"/>
            <w:vAlign w:val="center"/>
            <w:hideMark/>
          </w:tcPr>
          <w:p w14:paraId="14AAA7C9" w14:textId="79480434" w:rsidR="001C1CED" w:rsidRPr="00E83AD4" w:rsidRDefault="001C1CED" w:rsidP="0049693D">
            <w:pPr>
              <w:keepNext/>
              <w:keepLines/>
              <w:spacing w:after="0"/>
              <w:rPr>
                <w:rFonts w:asciiTheme="minorHAnsi" w:hAnsiTheme="minorHAnsi" w:cstheme="minorHAnsi"/>
                <w:sz w:val="20"/>
              </w:rPr>
            </w:pPr>
            <w:r w:rsidRPr="00E83AD4">
              <w:rPr>
                <w:rFonts w:asciiTheme="minorHAnsi" w:hAnsiTheme="minorHAnsi" w:cstheme="minorHAnsi"/>
                <w:sz w:val="20"/>
              </w:rPr>
              <w:t>Podstatný a povinný údaj pro kontrolu výpočtu výše odvedené daně pro osobní automobily se spalovacím motorem. Z</w:t>
            </w:r>
            <w:r w:rsidR="00142812">
              <w:rPr>
                <w:rFonts w:asciiTheme="minorHAnsi" w:hAnsiTheme="minorHAnsi" w:cstheme="minorHAnsi"/>
                <w:sz w:val="20"/>
              </w:rPr>
              <w:t xml:space="preserve"> </w:t>
            </w:r>
            <w:r w:rsidR="004B3613">
              <w:rPr>
                <w:rFonts w:asciiTheme="minorHAnsi" w:hAnsiTheme="minorHAnsi" w:cstheme="minorHAnsi"/>
                <w:sz w:val="20"/>
              </w:rPr>
              <w:t>1 202 344</w:t>
            </w:r>
            <w:r w:rsidR="004F7594">
              <w:rPr>
                <w:rFonts w:asciiTheme="minorHAnsi" w:hAnsiTheme="minorHAnsi" w:cstheme="minorHAnsi"/>
                <w:sz w:val="20"/>
              </w:rPr>
              <w:t xml:space="preserve"> záznamů o</w:t>
            </w:r>
            <w:r w:rsidRPr="00E83AD4">
              <w:rPr>
                <w:rFonts w:asciiTheme="minorHAnsi" w:hAnsiTheme="minorHAnsi" w:cstheme="minorHAnsi"/>
                <w:sz w:val="20"/>
              </w:rPr>
              <w:t xml:space="preserve"> osobních automobil</w:t>
            </w:r>
            <w:r w:rsidR="004F7594">
              <w:rPr>
                <w:rFonts w:asciiTheme="minorHAnsi" w:hAnsiTheme="minorHAnsi" w:cstheme="minorHAnsi"/>
                <w:sz w:val="20"/>
              </w:rPr>
              <w:t>ech</w:t>
            </w:r>
            <w:r w:rsidRPr="00E83AD4">
              <w:rPr>
                <w:rFonts w:asciiTheme="minorHAnsi" w:hAnsiTheme="minorHAnsi" w:cstheme="minorHAnsi"/>
                <w:sz w:val="20"/>
              </w:rPr>
              <w:t xml:space="preserve"> </w:t>
            </w:r>
            <w:r w:rsidR="006942CE">
              <w:rPr>
                <w:rFonts w:asciiTheme="minorHAnsi" w:hAnsiTheme="minorHAnsi" w:cstheme="minorHAnsi"/>
                <w:sz w:val="20"/>
              </w:rPr>
              <w:t>je</w:t>
            </w:r>
            <w:r w:rsidR="004B3613">
              <w:rPr>
                <w:rFonts w:asciiTheme="minorHAnsi" w:hAnsiTheme="minorHAnsi" w:cstheme="minorHAnsi"/>
                <w:sz w:val="20"/>
              </w:rPr>
              <w:t xml:space="preserve"> </w:t>
            </w:r>
            <w:r w:rsidRPr="00E83AD4">
              <w:rPr>
                <w:rFonts w:asciiTheme="minorHAnsi" w:hAnsiTheme="minorHAnsi" w:cstheme="minorHAnsi"/>
                <w:sz w:val="20"/>
              </w:rPr>
              <w:t xml:space="preserve">301 záznamů s </w:t>
            </w:r>
            <w:r w:rsidR="0024284B">
              <w:rPr>
                <w:rFonts w:asciiTheme="minorHAnsi" w:hAnsiTheme="minorHAnsi" w:cstheme="minorHAnsi"/>
                <w:sz w:val="20"/>
              </w:rPr>
              <w:t>chybou</w:t>
            </w:r>
            <w:r w:rsidRPr="00E83AD4">
              <w:rPr>
                <w:rFonts w:asciiTheme="minorHAnsi" w:hAnsiTheme="minorHAnsi" w:cstheme="minorHAnsi"/>
                <w:sz w:val="20"/>
              </w:rPr>
              <w:t xml:space="preserve"> (tj. 0,0</w:t>
            </w:r>
            <w:r w:rsidR="004B3613">
              <w:rPr>
                <w:rFonts w:asciiTheme="minorHAnsi" w:hAnsiTheme="minorHAnsi" w:cstheme="minorHAnsi"/>
                <w:sz w:val="20"/>
              </w:rPr>
              <w:t>25</w:t>
            </w:r>
            <w:r>
              <w:rPr>
                <w:rFonts w:asciiTheme="minorHAnsi" w:hAnsiTheme="minorHAnsi" w:cstheme="minorHAnsi"/>
                <w:sz w:val="20"/>
              </w:rPr>
              <w:t xml:space="preserve"> </w:t>
            </w:r>
            <w:r w:rsidRPr="00E83AD4">
              <w:rPr>
                <w:rFonts w:asciiTheme="minorHAnsi" w:hAnsiTheme="minorHAnsi" w:cstheme="minorHAnsi"/>
                <w:sz w:val="20"/>
              </w:rPr>
              <w:t>%)</w:t>
            </w:r>
            <w:r w:rsidR="00C86348">
              <w:rPr>
                <w:rFonts w:asciiTheme="minorHAnsi" w:hAnsiTheme="minorHAnsi" w:cstheme="minorHAnsi"/>
                <w:sz w:val="20"/>
              </w:rPr>
              <w:t>.</w:t>
            </w:r>
            <w:r>
              <w:rPr>
                <w:rFonts w:asciiTheme="minorHAnsi" w:hAnsiTheme="minorHAnsi" w:cstheme="minorHAnsi"/>
                <w:sz w:val="20"/>
              </w:rPr>
              <w:t xml:space="preserve"> </w:t>
            </w:r>
          </w:p>
        </w:tc>
      </w:tr>
      <w:tr w:rsidR="001C1CED" w:rsidRPr="00381AE9" w14:paraId="015E0BD7" w14:textId="77777777" w:rsidTr="009E5E2D">
        <w:trPr>
          <w:trHeight w:val="331"/>
        </w:trPr>
        <w:tc>
          <w:tcPr>
            <w:tcW w:w="1780" w:type="dxa"/>
            <w:noWrap/>
            <w:vAlign w:val="center"/>
            <w:hideMark/>
          </w:tcPr>
          <w:p w14:paraId="264A557D"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EmiseEHSES</w:t>
            </w:r>
          </w:p>
        </w:tc>
        <w:tc>
          <w:tcPr>
            <w:tcW w:w="7343" w:type="dxa"/>
            <w:vAlign w:val="center"/>
            <w:hideMark/>
          </w:tcPr>
          <w:p w14:paraId="0CBE7368" w14:textId="77777777" w:rsidR="001C1CED" w:rsidRPr="00E83AD4" w:rsidRDefault="001C1CED" w:rsidP="0049693D">
            <w:pPr>
              <w:keepNext/>
              <w:keepLines/>
              <w:spacing w:after="0"/>
              <w:rPr>
                <w:rFonts w:asciiTheme="minorHAnsi" w:hAnsiTheme="minorHAnsi" w:cstheme="minorHAnsi"/>
                <w:sz w:val="20"/>
              </w:rPr>
            </w:pPr>
            <w:r w:rsidRPr="00E83AD4">
              <w:rPr>
                <w:rFonts w:asciiTheme="minorHAnsi" w:hAnsiTheme="minorHAnsi" w:cstheme="minorHAnsi"/>
                <w:sz w:val="20"/>
              </w:rPr>
              <w:t xml:space="preserve">Doplňující údaj vyžádaný pro výpočet alternativní sazby daně. </w:t>
            </w:r>
          </w:p>
        </w:tc>
      </w:tr>
      <w:tr w:rsidR="001C1CED" w:rsidRPr="00381AE9" w14:paraId="1586AC6E" w14:textId="77777777" w:rsidTr="009E5E2D">
        <w:trPr>
          <w:trHeight w:val="331"/>
        </w:trPr>
        <w:tc>
          <w:tcPr>
            <w:tcW w:w="1780" w:type="dxa"/>
            <w:noWrap/>
            <w:vAlign w:val="center"/>
            <w:hideMark/>
          </w:tcPr>
          <w:p w14:paraId="0FF8ED48"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EmiseEHKOSN</w:t>
            </w:r>
          </w:p>
        </w:tc>
        <w:tc>
          <w:tcPr>
            <w:tcW w:w="7343" w:type="dxa"/>
            <w:vAlign w:val="center"/>
            <w:hideMark/>
          </w:tcPr>
          <w:p w14:paraId="5BB3A325" w14:textId="77777777" w:rsidR="001C1CED" w:rsidRPr="00E83AD4" w:rsidRDefault="001C1CED" w:rsidP="0049693D">
            <w:pPr>
              <w:keepNext/>
              <w:keepLines/>
              <w:spacing w:after="0"/>
              <w:rPr>
                <w:rFonts w:asciiTheme="minorHAnsi" w:hAnsiTheme="minorHAnsi" w:cstheme="minorHAnsi"/>
                <w:sz w:val="20"/>
              </w:rPr>
            </w:pPr>
            <w:r w:rsidRPr="00E83AD4">
              <w:rPr>
                <w:rFonts w:asciiTheme="minorHAnsi" w:hAnsiTheme="minorHAnsi" w:cstheme="minorHAnsi"/>
                <w:sz w:val="20"/>
              </w:rPr>
              <w:t xml:space="preserve">Doplňující údaj vyžádaný pro výpočet alternativní sazby daně. </w:t>
            </w:r>
          </w:p>
        </w:tc>
      </w:tr>
      <w:tr w:rsidR="001C1CED" w:rsidRPr="00381AE9" w14:paraId="591F41A6" w14:textId="77777777" w:rsidTr="009E5E2D">
        <w:trPr>
          <w:trHeight w:val="331"/>
        </w:trPr>
        <w:tc>
          <w:tcPr>
            <w:tcW w:w="1780" w:type="dxa"/>
            <w:noWrap/>
            <w:vAlign w:val="center"/>
            <w:hideMark/>
          </w:tcPr>
          <w:p w14:paraId="6A91BBFE"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EmisniNorma</w:t>
            </w:r>
          </w:p>
        </w:tc>
        <w:tc>
          <w:tcPr>
            <w:tcW w:w="7343" w:type="dxa"/>
            <w:vAlign w:val="center"/>
            <w:hideMark/>
          </w:tcPr>
          <w:p w14:paraId="73E5FCC7" w14:textId="66186F96" w:rsidR="001C1CED" w:rsidRPr="00E83AD4" w:rsidRDefault="001C1CED" w:rsidP="0049693D">
            <w:pPr>
              <w:keepNext/>
              <w:keepLines/>
              <w:spacing w:after="0"/>
              <w:rPr>
                <w:rFonts w:asciiTheme="minorHAnsi" w:hAnsiTheme="minorHAnsi" w:cstheme="minorHAnsi"/>
                <w:sz w:val="20"/>
              </w:rPr>
            </w:pPr>
            <w:r w:rsidRPr="00E83AD4">
              <w:rPr>
                <w:rFonts w:asciiTheme="minorHAnsi" w:hAnsiTheme="minorHAnsi" w:cstheme="minorHAnsi"/>
                <w:sz w:val="20"/>
              </w:rPr>
              <w:t>Doplňující údaj vyžádaný pro výpočet alternativní sazby daně. Povinný od 1.</w:t>
            </w:r>
            <w:r w:rsidR="00086D11">
              <w:rPr>
                <w:rFonts w:asciiTheme="minorHAnsi" w:hAnsiTheme="minorHAnsi" w:cstheme="minorHAnsi"/>
                <w:sz w:val="20"/>
              </w:rPr>
              <w:t xml:space="preserve"> </w:t>
            </w:r>
            <w:r w:rsidRPr="00E83AD4">
              <w:rPr>
                <w:rFonts w:asciiTheme="minorHAnsi" w:hAnsiTheme="minorHAnsi" w:cstheme="minorHAnsi"/>
                <w:sz w:val="20"/>
              </w:rPr>
              <w:t>1.</w:t>
            </w:r>
            <w:r w:rsidR="00086D11">
              <w:rPr>
                <w:rFonts w:asciiTheme="minorHAnsi" w:hAnsiTheme="minorHAnsi" w:cstheme="minorHAnsi"/>
                <w:sz w:val="20"/>
              </w:rPr>
              <w:t xml:space="preserve"> </w:t>
            </w:r>
            <w:r w:rsidRPr="00E83AD4">
              <w:rPr>
                <w:rFonts w:asciiTheme="minorHAnsi" w:hAnsiTheme="minorHAnsi" w:cstheme="minorHAnsi"/>
                <w:sz w:val="20"/>
              </w:rPr>
              <w:t xml:space="preserve">2015. </w:t>
            </w:r>
          </w:p>
        </w:tc>
      </w:tr>
      <w:tr w:rsidR="001C1CED" w:rsidRPr="00381AE9" w14:paraId="531281CC" w14:textId="77777777" w:rsidTr="009E5E2D">
        <w:trPr>
          <w:trHeight w:val="663"/>
        </w:trPr>
        <w:tc>
          <w:tcPr>
            <w:tcW w:w="1780" w:type="dxa"/>
            <w:noWrap/>
            <w:vAlign w:val="center"/>
            <w:hideMark/>
          </w:tcPr>
          <w:p w14:paraId="1F2651C0"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HmotnostiPov</w:t>
            </w:r>
          </w:p>
        </w:tc>
        <w:tc>
          <w:tcPr>
            <w:tcW w:w="7343" w:type="dxa"/>
            <w:vAlign w:val="center"/>
            <w:hideMark/>
          </w:tcPr>
          <w:p w14:paraId="1C1B016D" w14:textId="6C8EE8D6" w:rsidR="001C1CED" w:rsidRPr="00E83AD4" w:rsidRDefault="001C1CED" w:rsidP="0049693D">
            <w:pPr>
              <w:keepNext/>
              <w:keepLines/>
              <w:spacing w:after="0"/>
              <w:rPr>
                <w:rFonts w:asciiTheme="minorHAnsi" w:hAnsiTheme="minorHAnsi" w:cstheme="minorHAnsi"/>
                <w:sz w:val="20"/>
              </w:rPr>
            </w:pPr>
            <w:r w:rsidRPr="00E83AD4">
              <w:rPr>
                <w:rFonts w:asciiTheme="minorHAnsi" w:hAnsiTheme="minorHAnsi" w:cstheme="minorHAnsi"/>
                <w:sz w:val="20"/>
              </w:rPr>
              <w:t>Podstatný a povinný údaj pro kontrolu výpoč</w:t>
            </w:r>
            <w:r w:rsidR="00AF5A42">
              <w:rPr>
                <w:rFonts w:asciiTheme="minorHAnsi" w:hAnsiTheme="minorHAnsi" w:cstheme="minorHAnsi"/>
                <w:sz w:val="20"/>
              </w:rPr>
              <w:t>tu</w:t>
            </w:r>
            <w:r w:rsidRPr="00E83AD4">
              <w:rPr>
                <w:rFonts w:asciiTheme="minorHAnsi" w:hAnsiTheme="minorHAnsi" w:cstheme="minorHAnsi"/>
                <w:sz w:val="20"/>
              </w:rPr>
              <w:t xml:space="preserve"> výše odvedené daně pro nákladní automobily a přívěsy. Z</w:t>
            </w:r>
            <w:r w:rsidR="005F4972">
              <w:rPr>
                <w:rFonts w:asciiTheme="minorHAnsi" w:hAnsiTheme="minorHAnsi" w:cstheme="minorHAnsi"/>
                <w:sz w:val="20"/>
              </w:rPr>
              <w:t>e</w:t>
            </w:r>
            <w:r w:rsidRPr="00E83AD4">
              <w:rPr>
                <w:rFonts w:asciiTheme="minorHAnsi" w:hAnsiTheme="minorHAnsi" w:cstheme="minorHAnsi"/>
                <w:sz w:val="20"/>
              </w:rPr>
              <w:t xml:space="preserve"> 169 755 </w:t>
            </w:r>
            <w:r w:rsidR="005F4972">
              <w:rPr>
                <w:rFonts w:asciiTheme="minorHAnsi" w:hAnsiTheme="minorHAnsi" w:cstheme="minorHAnsi"/>
                <w:sz w:val="20"/>
              </w:rPr>
              <w:t xml:space="preserve">záznamů o </w:t>
            </w:r>
            <w:r w:rsidRPr="00E83AD4">
              <w:rPr>
                <w:rFonts w:asciiTheme="minorHAnsi" w:hAnsiTheme="minorHAnsi" w:cstheme="minorHAnsi"/>
                <w:sz w:val="20"/>
              </w:rPr>
              <w:t>přívěs</w:t>
            </w:r>
            <w:r w:rsidR="005F4972">
              <w:rPr>
                <w:rFonts w:asciiTheme="minorHAnsi" w:hAnsiTheme="minorHAnsi" w:cstheme="minorHAnsi"/>
                <w:sz w:val="20"/>
              </w:rPr>
              <w:t>ech</w:t>
            </w:r>
            <w:r w:rsidRPr="00E83AD4">
              <w:rPr>
                <w:rFonts w:asciiTheme="minorHAnsi" w:hAnsiTheme="minorHAnsi" w:cstheme="minorHAnsi"/>
                <w:sz w:val="20"/>
              </w:rPr>
              <w:t xml:space="preserve"> je nejvyšší povolená hmotnost 0</w:t>
            </w:r>
            <w:r w:rsidR="000E5F69">
              <w:rPr>
                <w:rFonts w:asciiTheme="minorHAnsi" w:hAnsiTheme="minorHAnsi" w:cstheme="minorHAnsi"/>
                <w:sz w:val="20"/>
              </w:rPr>
              <w:t> </w:t>
            </w:r>
            <w:r w:rsidRPr="00E83AD4">
              <w:rPr>
                <w:rFonts w:asciiTheme="minorHAnsi" w:hAnsiTheme="minorHAnsi" w:cstheme="minorHAnsi"/>
                <w:sz w:val="20"/>
              </w:rPr>
              <w:t>kg 381</w:t>
            </w:r>
            <w:r w:rsidR="00CB2FC6">
              <w:rPr>
                <w:rFonts w:asciiTheme="minorHAnsi" w:hAnsiTheme="minorHAnsi" w:cstheme="minorHAnsi"/>
                <w:sz w:val="20"/>
              </w:rPr>
              <w:t>×</w:t>
            </w:r>
            <w:r w:rsidRPr="00E83AD4">
              <w:rPr>
                <w:rFonts w:asciiTheme="minorHAnsi" w:hAnsiTheme="minorHAnsi" w:cstheme="minorHAnsi"/>
                <w:sz w:val="20"/>
              </w:rPr>
              <w:t>, 1</w:t>
            </w:r>
            <w:r w:rsidR="00C86348">
              <w:rPr>
                <w:rFonts w:asciiTheme="minorHAnsi" w:hAnsiTheme="minorHAnsi" w:cstheme="minorHAnsi"/>
                <w:sz w:val="20"/>
              </w:rPr>
              <w:t>–</w:t>
            </w:r>
            <w:r w:rsidRPr="00E83AD4">
              <w:rPr>
                <w:rFonts w:asciiTheme="minorHAnsi" w:hAnsiTheme="minorHAnsi" w:cstheme="minorHAnsi"/>
                <w:sz w:val="20"/>
              </w:rPr>
              <w:t>99 kg 17</w:t>
            </w:r>
            <w:r w:rsidR="00CB2FC6">
              <w:rPr>
                <w:rFonts w:asciiTheme="minorHAnsi" w:hAnsiTheme="minorHAnsi" w:cstheme="minorHAnsi"/>
                <w:sz w:val="20"/>
              </w:rPr>
              <w:t>×</w:t>
            </w:r>
            <w:r w:rsidRPr="00E83AD4">
              <w:rPr>
                <w:rFonts w:asciiTheme="minorHAnsi" w:hAnsiTheme="minorHAnsi" w:cstheme="minorHAnsi"/>
                <w:sz w:val="20"/>
              </w:rPr>
              <w:t xml:space="preserve"> a více než milion 31</w:t>
            </w:r>
            <w:r w:rsidR="00CB2FC6">
              <w:rPr>
                <w:rFonts w:asciiTheme="minorHAnsi" w:hAnsiTheme="minorHAnsi" w:cstheme="minorHAnsi"/>
                <w:sz w:val="20"/>
              </w:rPr>
              <w:t>×</w:t>
            </w:r>
            <w:r w:rsidRPr="00E83AD4">
              <w:rPr>
                <w:rFonts w:asciiTheme="minorHAnsi" w:hAnsiTheme="minorHAnsi" w:cstheme="minorHAnsi"/>
                <w:sz w:val="20"/>
              </w:rPr>
              <w:t xml:space="preserve">. </w:t>
            </w:r>
            <w:r w:rsidR="0024284B">
              <w:rPr>
                <w:rFonts w:asciiTheme="minorHAnsi" w:hAnsiTheme="minorHAnsi" w:cstheme="minorHAnsi"/>
                <w:sz w:val="20"/>
              </w:rPr>
              <w:t>Chyba</w:t>
            </w:r>
            <w:r w:rsidRPr="00E83AD4">
              <w:rPr>
                <w:rFonts w:asciiTheme="minorHAnsi" w:hAnsiTheme="minorHAnsi" w:cstheme="minorHAnsi"/>
                <w:sz w:val="20"/>
              </w:rPr>
              <w:t xml:space="preserve"> 0,</w:t>
            </w:r>
            <w:r w:rsidR="007B1CD1">
              <w:rPr>
                <w:rFonts w:asciiTheme="minorHAnsi" w:hAnsiTheme="minorHAnsi" w:cstheme="minorHAnsi"/>
                <w:sz w:val="20"/>
              </w:rPr>
              <w:t>25</w:t>
            </w:r>
            <w:r w:rsidR="000D71B1">
              <w:rPr>
                <w:rFonts w:asciiTheme="minorHAnsi" w:hAnsiTheme="minorHAnsi" w:cstheme="minorHAnsi"/>
                <w:sz w:val="20"/>
              </w:rPr>
              <w:t>3</w:t>
            </w:r>
            <w:r w:rsidR="007B1CD1" w:rsidRPr="00E83AD4">
              <w:rPr>
                <w:rFonts w:asciiTheme="minorHAnsi" w:hAnsiTheme="minorHAnsi" w:cstheme="minorHAnsi"/>
                <w:sz w:val="20"/>
              </w:rPr>
              <w:t xml:space="preserve"> </w:t>
            </w:r>
            <w:r w:rsidRPr="00E83AD4">
              <w:rPr>
                <w:rFonts w:asciiTheme="minorHAnsi" w:hAnsiTheme="minorHAnsi" w:cstheme="minorHAnsi"/>
                <w:sz w:val="20"/>
              </w:rPr>
              <w:t>%.</w:t>
            </w:r>
          </w:p>
        </w:tc>
      </w:tr>
      <w:tr w:rsidR="001C1CED" w:rsidRPr="00381AE9" w14:paraId="1F3CFCFF" w14:textId="77777777" w:rsidTr="009E5E2D">
        <w:trPr>
          <w:trHeight w:val="663"/>
        </w:trPr>
        <w:tc>
          <w:tcPr>
            <w:tcW w:w="1780" w:type="dxa"/>
            <w:noWrap/>
            <w:vAlign w:val="center"/>
            <w:hideMark/>
          </w:tcPr>
          <w:p w14:paraId="080A48BA"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HmotnostiPovN1</w:t>
            </w:r>
          </w:p>
        </w:tc>
        <w:tc>
          <w:tcPr>
            <w:tcW w:w="7343" w:type="dxa"/>
            <w:vAlign w:val="center"/>
            <w:hideMark/>
          </w:tcPr>
          <w:p w14:paraId="0D94C457" w14:textId="6F3A1359" w:rsidR="001C1CED" w:rsidRPr="00E83AD4" w:rsidRDefault="001C1CED" w:rsidP="0049693D">
            <w:pPr>
              <w:keepNext/>
              <w:keepLines/>
              <w:spacing w:after="0"/>
              <w:rPr>
                <w:rFonts w:asciiTheme="minorHAnsi" w:hAnsiTheme="minorHAnsi" w:cstheme="minorHAnsi"/>
                <w:sz w:val="20"/>
              </w:rPr>
            </w:pPr>
            <w:r w:rsidRPr="00E83AD4">
              <w:rPr>
                <w:rFonts w:asciiTheme="minorHAnsi" w:hAnsiTheme="minorHAnsi" w:cstheme="minorHAnsi"/>
                <w:sz w:val="20"/>
              </w:rPr>
              <w:t xml:space="preserve">Podstatný a povinný údaj pro kontrolu výše odvedené daně pro návěsy. </w:t>
            </w:r>
            <w:r w:rsidR="005A635B">
              <w:rPr>
                <w:rFonts w:asciiTheme="minorHAnsi" w:hAnsiTheme="minorHAnsi" w:cstheme="minorHAnsi"/>
                <w:sz w:val="20"/>
              </w:rPr>
              <w:t>Z</w:t>
            </w:r>
            <w:r w:rsidR="005A635B" w:rsidRPr="00E83AD4">
              <w:rPr>
                <w:rFonts w:asciiTheme="minorHAnsi" w:hAnsiTheme="minorHAnsi" w:cstheme="minorHAnsi"/>
                <w:sz w:val="20"/>
              </w:rPr>
              <w:t xml:space="preserve"> </w:t>
            </w:r>
            <w:r w:rsidRPr="00E83AD4">
              <w:rPr>
                <w:rFonts w:asciiTheme="minorHAnsi" w:hAnsiTheme="minorHAnsi" w:cstheme="minorHAnsi"/>
                <w:sz w:val="20"/>
              </w:rPr>
              <w:t xml:space="preserve">48 663 </w:t>
            </w:r>
            <w:r w:rsidR="007B1CD1">
              <w:rPr>
                <w:rFonts w:asciiTheme="minorHAnsi" w:hAnsiTheme="minorHAnsi" w:cstheme="minorHAnsi"/>
                <w:sz w:val="20"/>
              </w:rPr>
              <w:t>záznam</w:t>
            </w:r>
            <w:r w:rsidR="005A635B">
              <w:rPr>
                <w:rFonts w:asciiTheme="minorHAnsi" w:hAnsiTheme="minorHAnsi" w:cstheme="minorHAnsi"/>
                <w:sz w:val="20"/>
              </w:rPr>
              <w:t>ů</w:t>
            </w:r>
            <w:r w:rsidR="007B1CD1">
              <w:rPr>
                <w:rFonts w:asciiTheme="minorHAnsi" w:hAnsiTheme="minorHAnsi" w:cstheme="minorHAnsi"/>
                <w:sz w:val="20"/>
              </w:rPr>
              <w:t xml:space="preserve"> o </w:t>
            </w:r>
            <w:r w:rsidRPr="00E83AD4">
              <w:rPr>
                <w:rFonts w:asciiTheme="minorHAnsi" w:hAnsiTheme="minorHAnsi" w:cstheme="minorHAnsi"/>
                <w:sz w:val="20"/>
              </w:rPr>
              <w:t>návěs</w:t>
            </w:r>
            <w:r w:rsidR="007B1CD1">
              <w:rPr>
                <w:rFonts w:asciiTheme="minorHAnsi" w:hAnsiTheme="minorHAnsi" w:cstheme="minorHAnsi"/>
                <w:sz w:val="20"/>
              </w:rPr>
              <w:t>ech</w:t>
            </w:r>
            <w:r w:rsidRPr="00E83AD4">
              <w:rPr>
                <w:rFonts w:asciiTheme="minorHAnsi" w:hAnsiTheme="minorHAnsi" w:cstheme="minorHAnsi"/>
                <w:sz w:val="20"/>
              </w:rPr>
              <w:t xml:space="preserve"> nelze provést součet hmotnosti v</w:t>
            </w:r>
            <w:r w:rsidR="00390FA0">
              <w:rPr>
                <w:rFonts w:asciiTheme="minorHAnsi" w:hAnsiTheme="minorHAnsi" w:cstheme="minorHAnsi"/>
                <w:sz w:val="20"/>
              </w:rPr>
              <w:t xml:space="preserve"> </w:t>
            </w:r>
            <w:r w:rsidRPr="00E83AD4">
              <w:rPr>
                <w:rFonts w:asciiTheme="minorHAnsi" w:hAnsiTheme="minorHAnsi" w:cstheme="minorHAnsi"/>
                <w:sz w:val="20"/>
              </w:rPr>
              <w:t>7 703 případech (15,8</w:t>
            </w:r>
            <w:r w:rsidR="007B1CD1">
              <w:rPr>
                <w:rFonts w:asciiTheme="minorHAnsi" w:hAnsiTheme="minorHAnsi" w:cstheme="minorHAnsi"/>
                <w:sz w:val="20"/>
              </w:rPr>
              <w:t>29</w:t>
            </w:r>
            <w:r w:rsidRPr="00E83AD4">
              <w:rPr>
                <w:rFonts w:asciiTheme="minorHAnsi" w:hAnsiTheme="minorHAnsi" w:cstheme="minorHAnsi"/>
                <w:sz w:val="20"/>
              </w:rPr>
              <w:t xml:space="preserve"> %). Součet 0 </w:t>
            </w:r>
            <w:r w:rsidR="00C86348">
              <w:rPr>
                <w:rFonts w:asciiTheme="minorHAnsi" w:hAnsiTheme="minorHAnsi" w:cstheme="minorHAnsi"/>
                <w:sz w:val="20"/>
              </w:rPr>
              <w:t xml:space="preserve">byl zjištěn </w:t>
            </w:r>
            <w:r w:rsidRPr="00E83AD4">
              <w:rPr>
                <w:rFonts w:asciiTheme="minorHAnsi" w:hAnsiTheme="minorHAnsi" w:cstheme="minorHAnsi"/>
                <w:sz w:val="20"/>
              </w:rPr>
              <w:t>7</w:t>
            </w:r>
            <w:r>
              <w:rPr>
                <w:rFonts w:asciiTheme="minorHAnsi" w:hAnsiTheme="minorHAnsi" w:cstheme="minorHAnsi"/>
                <w:sz w:val="20"/>
              </w:rPr>
              <w:t xml:space="preserve"> </w:t>
            </w:r>
            <w:r w:rsidRPr="00E83AD4">
              <w:rPr>
                <w:rFonts w:asciiTheme="minorHAnsi" w:hAnsiTheme="minorHAnsi" w:cstheme="minorHAnsi"/>
                <w:sz w:val="20"/>
              </w:rPr>
              <w:t>013</w:t>
            </w:r>
            <w:r w:rsidR="00CB2FC6">
              <w:rPr>
                <w:rFonts w:asciiTheme="minorHAnsi" w:hAnsiTheme="minorHAnsi" w:cstheme="minorHAnsi"/>
                <w:sz w:val="20"/>
              </w:rPr>
              <w:t>×</w:t>
            </w:r>
            <w:r w:rsidRPr="00E83AD4">
              <w:rPr>
                <w:rFonts w:asciiTheme="minorHAnsi" w:hAnsiTheme="minorHAnsi" w:cstheme="minorHAnsi"/>
                <w:sz w:val="20"/>
              </w:rPr>
              <w:t>, chybný zápis (textový znak) 690</w:t>
            </w:r>
            <w:r w:rsidR="00CB2FC6">
              <w:rPr>
                <w:rFonts w:asciiTheme="minorHAnsi" w:hAnsiTheme="minorHAnsi" w:cstheme="minorHAnsi"/>
                <w:sz w:val="20"/>
              </w:rPr>
              <w:t>×</w:t>
            </w:r>
            <w:r w:rsidRPr="00E83AD4">
              <w:rPr>
                <w:rFonts w:asciiTheme="minorHAnsi" w:hAnsiTheme="minorHAnsi" w:cstheme="minorHAnsi"/>
                <w:sz w:val="20"/>
              </w:rPr>
              <w:t>.</w:t>
            </w:r>
          </w:p>
        </w:tc>
      </w:tr>
      <w:tr w:rsidR="001C1CED" w:rsidRPr="00381AE9" w14:paraId="4B6B2941" w14:textId="77777777" w:rsidTr="009E5E2D">
        <w:trPr>
          <w:trHeight w:val="204"/>
        </w:trPr>
        <w:tc>
          <w:tcPr>
            <w:tcW w:w="1780" w:type="dxa"/>
            <w:noWrap/>
            <w:vAlign w:val="center"/>
            <w:hideMark/>
          </w:tcPr>
          <w:p w14:paraId="01C28FBE"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HmotnostiPovN2</w:t>
            </w:r>
          </w:p>
        </w:tc>
        <w:tc>
          <w:tcPr>
            <w:tcW w:w="7343" w:type="dxa"/>
            <w:vAlign w:val="center"/>
            <w:hideMark/>
          </w:tcPr>
          <w:p w14:paraId="20111BFB" w14:textId="67F5AFB7" w:rsidR="001C1CED" w:rsidRPr="00E83AD4" w:rsidRDefault="00C86348" w:rsidP="0049693D">
            <w:pPr>
              <w:keepNext/>
              <w:keepLines/>
              <w:spacing w:after="0"/>
              <w:jc w:val="left"/>
              <w:rPr>
                <w:rFonts w:asciiTheme="minorHAnsi" w:hAnsiTheme="minorHAnsi" w:cstheme="minorHAnsi"/>
                <w:sz w:val="20"/>
              </w:rPr>
            </w:pPr>
            <w:r>
              <w:rPr>
                <w:rFonts w:asciiTheme="minorHAnsi" w:hAnsiTheme="minorHAnsi" w:cstheme="minorHAnsi"/>
                <w:sz w:val="20"/>
              </w:rPr>
              <w:t>D</w:t>
            </w:r>
            <w:r w:rsidR="001C1CED" w:rsidRPr="00E83AD4">
              <w:rPr>
                <w:rFonts w:asciiTheme="minorHAnsi" w:hAnsiTheme="minorHAnsi" w:cstheme="minorHAnsi"/>
                <w:sz w:val="20"/>
              </w:rPr>
              <w:t>tto</w:t>
            </w:r>
            <w:r>
              <w:rPr>
                <w:rFonts w:asciiTheme="minorHAnsi" w:hAnsiTheme="minorHAnsi" w:cstheme="minorHAnsi"/>
                <w:sz w:val="20"/>
              </w:rPr>
              <w:t>.</w:t>
            </w:r>
          </w:p>
        </w:tc>
      </w:tr>
      <w:tr w:rsidR="001C1CED" w:rsidRPr="00381AE9" w14:paraId="68E4F849" w14:textId="77777777" w:rsidTr="009E5E2D">
        <w:trPr>
          <w:trHeight w:val="304"/>
        </w:trPr>
        <w:tc>
          <w:tcPr>
            <w:tcW w:w="1780" w:type="dxa"/>
            <w:noWrap/>
            <w:vAlign w:val="center"/>
            <w:hideMark/>
          </w:tcPr>
          <w:p w14:paraId="691A6E83"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HmotnostiPovN3</w:t>
            </w:r>
          </w:p>
        </w:tc>
        <w:tc>
          <w:tcPr>
            <w:tcW w:w="7343" w:type="dxa"/>
            <w:vAlign w:val="center"/>
            <w:hideMark/>
          </w:tcPr>
          <w:p w14:paraId="360E97DE" w14:textId="5762E6BB" w:rsidR="001C1CED" w:rsidRPr="00E83AD4" w:rsidRDefault="00C86348" w:rsidP="0049693D">
            <w:pPr>
              <w:keepNext/>
              <w:keepLines/>
              <w:spacing w:after="0"/>
              <w:jc w:val="left"/>
              <w:rPr>
                <w:rFonts w:asciiTheme="minorHAnsi" w:hAnsiTheme="minorHAnsi" w:cstheme="minorHAnsi"/>
                <w:sz w:val="20"/>
              </w:rPr>
            </w:pPr>
            <w:r>
              <w:rPr>
                <w:rFonts w:asciiTheme="minorHAnsi" w:hAnsiTheme="minorHAnsi" w:cstheme="minorHAnsi"/>
                <w:sz w:val="20"/>
              </w:rPr>
              <w:t>D</w:t>
            </w:r>
            <w:r w:rsidR="001C1CED" w:rsidRPr="00E83AD4">
              <w:rPr>
                <w:rFonts w:asciiTheme="minorHAnsi" w:hAnsiTheme="minorHAnsi" w:cstheme="minorHAnsi"/>
                <w:sz w:val="20"/>
              </w:rPr>
              <w:t>tto</w:t>
            </w:r>
            <w:r>
              <w:rPr>
                <w:rFonts w:asciiTheme="minorHAnsi" w:hAnsiTheme="minorHAnsi" w:cstheme="minorHAnsi"/>
                <w:sz w:val="20"/>
              </w:rPr>
              <w:t>.</w:t>
            </w:r>
          </w:p>
        </w:tc>
      </w:tr>
      <w:tr w:rsidR="001C1CED" w:rsidRPr="00381AE9" w14:paraId="0ED1BFCD" w14:textId="77777777" w:rsidTr="009E5E2D">
        <w:trPr>
          <w:trHeight w:val="259"/>
        </w:trPr>
        <w:tc>
          <w:tcPr>
            <w:tcW w:w="1780" w:type="dxa"/>
            <w:noWrap/>
            <w:vAlign w:val="center"/>
            <w:hideMark/>
          </w:tcPr>
          <w:p w14:paraId="33160427"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HmotnostiPovN4</w:t>
            </w:r>
          </w:p>
        </w:tc>
        <w:tc>
          <w:tcPr>
            <w:tcW w:w="7343" w:type="dxa"/>
            <w:vAlign w:val="center"/>
            <w:hideMark/>
          </w:tcPr>
          <w:p w14:paraId="6EAA1AC4" w14:textId="083A7951" w:rsidR="001C1CED" w:rsidRPr="00E83AD4" w:rsidRDefault="00C86348" w:rsidP="0049693D">
            <w:pPr>
              <w:keepNext/>
              <w:keepLines/>
              <w:spacing w:after="0"/>
              <w:jc w:val="left"/>
              <w:rPr>
                <w:rFonts w:asciiTheme="minorHAnsi" w:hAnsiTheme="minorHAnsi" w:cstheme="minorHAnsi"/>
                <w:sz w:val="20"/>
              </w:rPr>
            </w:pPr>
            <w:r>
              <w:rPr>
                <w:rFonts w:asciiTheme="minorHAnsi" w:hAnsiTheme="minorHAnsi" w:cstheme="minorHAnsi"/>
                <w:sz w:val="20"/>
              </w:rPr>
              <w:t>D</w:t>
            </w:r>
            <w:r w:rsidR="001C1CED" w:rsidRPr="00E83AD4">
              <w:rPr>
                <w:rFonts w:asciiTheme="minorHAnsi" w:hAnsiTheme="minorHAnsi" w:cstheme="minorHAnsi"/>
                <w:sz w:val="20"/>
              </w:rPr>
              <w:t>tto</w:t>
            </w:r>
            <w:r>
              <w:rPr>
                <w:rFonts w:asciiTheme="minorHAnsi" w:hAnsiTheme="minorHAnsi" w:cstheme="minorHAnsi"/>
                <w:sz w:val="20"/>
              </w:rPr>
              <w:t>.</w:t>
            </w:r>
          </w:p>
        </w:tc>
      </w:tr>
      <w:tr w:rsidR="001C1CED" w:rsidRPr="00381AE9" w14:paraId="7D89F2FA" w14:textId="77777777" w:rsidTr="009E5E2D">
        <w:trPr>
          <w:trHeight w:val="733"/>
        </w:trPr>
        <w:tc>
          <w:tcPr>
            <w:tcW w:w="1780" w:type="dxa"/>
            <w:noWrap/>
            <w:vAlign w:val="center"/>
            <w:hideMark/>
          </w:tcPr>
          <w:p w14:paraId="1FB7D2D9"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NapravyPocet</w:t>
            </w:r>
          </w:p>
        </w:tc>
        <w:tc>
          <w:tcPr>
            <w:tcW w:w="7343" w:type="dxa"/>
            <w:vAlign w:val="center"/>
            <w:hideMark/>
          </w:tcPr>
          <w:p w14:paraId="6A208B39" w14:textId="57D263F1" w:rsidR="001C1CED" w:rsidRPr="00E83AD4" w:rsidRDefault="001C1CED" w:rsidP="0049693D">
            <w:pPr>
              <w:keepNext/>
              <w:keepLines/>
              <w:spacing w:after="0"/>
              <w:rPr>
                <w:rFonts w:asciiTheme="minorHAnsi" w:hAnsiTheme="minorHAnsi" w:cstheme="minorHAnsi"/>
                <w:sz w:val="20"/>
              </w:rPr>
            </w:pPr>
            <w:r w:rsidRPr="00E83AD4">
              <w:rPr>
                <w:rFonts w:asciiTheme="minorHAnsi" w:hAnsiTheme="minorHAnsi" w:cstheme="minorHAnsi"/>
                <w:sz w:val="20"/>
              </w:rPr>
              <w:t>Podstatný a povinný údaj pro kontrolu výše odvedené daně pro nákladní autom</w:t>
            </w:r>
            <w:r w:rsidR="006D5C0D">
              <w:rPr>
                <w:rFonts w:asciiTheme="minorHAnsi" w:hAnsiTheme="minorHAnsi" w:cstheme="minorHAnsi"/>
                <w:sz w:val="20"/>
              </w:rPr>
              <w:t>obily</w:t>
            </w:r>
            <w:r w:rsidRPr="00E83AD4">
              <w:rPr>
                <w:rFonts w:asciiTheme="minorHAnsi" w:hAnsiTheme="minorHAnsi" w:cstheme="minorHAnsi"/>
                <w:sz w:val="20"/>
              </w:rPr>
              <w:t>, přívěsy i návěsy. Z</w:t>
            </w:r>
            <w:r w:rsidR="005A635B">
              <w:rPr>
                <w:rFonts w:asciiTheme="minorHAnsi" w:hAnsiTheme="minorHAnsi" w:cstheme="minorHAnsi"/>
                <w:sz w:val="20"/>
              </w:rPr>
              <w:t>e</w:t>
            </w:r>
            <w:r w:rsidRPr="00E83AD4">
              <w:rPr>
                <w:rFonts w:asciiTheme="minorHAnsi" w:hAnsiTheme="minorHAnsi" w:cstheme="minorHAnsi"/>
                <w:sz w:val="20"/>
              </w:rPr>
              <w:t xml:space="preserve"> 457 237 </w:t>
            </w:r>
            <w:r w:rsidR="007B1CD1">
              <w:rPr>
                <w:rFonts w:asciiTheme="minorHAnsi" w:hAnsiTheme="minorHAnsi" w:cstheme="minorHAnsi"/>
                <w:sz w:val="20"/>
              </w:rPr>
              <w:t xml:space="preserve">záznamů o </w:t>
            </w:r>
            <w:r w:rsidRPr="00E83AD4">
              <w:rPr>
                <w:rFonts w:asciiTheme="minorHAnsi" w:hAnsiTheme="minorHAnsi" w:cstheme="minorHAnsi"/>
                <w:sz w:val="20"/>
              </w:rPr>
              <w:t>nákladních vozidl</w:t>
            </w:r>
            <w:r w:rsidR="007B1CD1">
              <w:rPr>
                <w:rFonts w:asciiTheme="minorHAnsi" w:hAnsiTheme="minorHAnsi" w:cstheme="minorHAnsi"/>
                <w:sz w:val="20"/>
              </w:rPr>
              <w:t>ech</w:t>
            </w:r>
            <w:r w:rsidRPr="00E83AD4">
              <w:rPr>
                <w:rFonts w:asciiTheme="minorHAnsi" w:hAnsiTheme="minorHAnsi" w:cstheme="minorHAnsi"/>
                <w:sz w:val="20"/>
              </w:rPr>
              <w:t xml:space="preserve"> je počet náprav m</w:t>
            </w:r>
            <w:r>
              <w:rPr>
                <w:rFonts w:asciiTheme="minorHAnsi" w:hAnsiTheme="minorHAnsi" w:cstheme="minorHAnsi"/>
                <w:sz w:val="20"/>
              </w:rPr>
              <w:t>é</w:t>
            </w:r>
            <w:r w:rsidRPr="00E83AD4">
              <w:rPr>
                <w:rFonts w:asciiTheme="minorHAnsi" w:hAnsiTheme="minorHAnsi" w:cstheme="minorHAnsi"/>
                <w:sz w:val="20"/>
              </w:rPr>
              <w:t>ně než dvě a více než 200 v 33 828 případech (7</w:t>
            </w:r>
            <w:r w:rsidR="002C4F6C">
              <w:rPr>
                <w:rFonts w:asciiTheme="minorHAnsi" w:hAnsiTheme="minorHAnsi" w:cstheme="minorHAnsi"/>
                <w:sz w:val="20"/>
              </w:rPr>
              <w:t>,</w:t>
            </w:r>
            <w:r w:rsidR="007B1CD1">
              <w:rPr>
                <w:rFonts w:asciiTheme="minorHAnsi" w:hAnsiTheme="minorHAnsi" w:cstheme="minorHAnsi"/>
                <w:sz w:val="20"/>
              </w:rPr>
              <w:t>398</w:t>
            </w:r>
            <w:r w:rsidRPr="00E83AD4">
              <w:rPr>
                <w:rFonts w:asciiTheme="minorHAnsi" w:hAnsiTheme="minorHAnsi" w:cstheme="minorHAnsi"/>
                <w:sz w:val="20"/>
              </w:rPr>
              <w:t xml:space="preserve"> %). Významná </w:t>
            </w:r>
            <w:r w:rsidR="0024284B">
              <w:rPr>
                <w:rFonts w:asciiTheme="minorHAnsi" w:hAnsiTheme="minorHAnsi" w:cstheme="minorHAnsi"/>
                <w:sz w:val="20"/>
              </w:rPr>
              <w:t>chyba</w:t>
            </w:r>
            <w:r w:rsidRPr="00E83AD4">
              <w:rPr>
                <w:rFonts w:asciiTheme="minorHAnsi" w:hAnsiTheme="minorHAnsi" w:cstheme="minorHAnsi"/>
                <w:sz w:val="20"/>
              </w:rPr>
              <w:t>.</w:t>
            </w:r>
          </w:p>
        </w:tc>
      </w:tr>
      <w:tr w:rsidR="001C1CED" w:rsidRPr="00381AE9" w14:paraId="4561B628" w14:textId="77777777" w:rsidTr="009E5E2D">
        <w:trPr>
          <w:trHeight w:val="331"/>
        </w:trPr>
        <w:tc>
          <w:tcPr>
            <w:tcW w:w="1780" w:type="dxa"/>
            <w:noWrap/>
            <w:vAlign w:val="center"/>
            <w:hideMark/>
          </w:tcPr>
          <w:p w14:paraId="303B68E4"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VozidloNapravy</w:t>
            </w:r>
          </w:p>
          <w:p w14:paraId="7233C745"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Druh</w:t>
            </w:r>
          </w:p>
        </w:tc>
        <w:tc>
          <w:tcPr>
            <w:tcW w:w="7343" w:type="dxa"/>
            <w:vAlign w:val="center"/>
            <w:hideMark/>
          </w:tcPr>
          <w:p w14:paraId="4770971B" w14:textId="77777777" w:rsidR="001C1CED" w:rsidRPr="00E83AD4" w:rsidRDefault="001C1CED" w:rsidP="0049693D">
            <w:pPr>
              <w:keepNext/>
              <w:keepLines/>
              <w:spacing w:after="0"/>
              <w:jc w:val="left"/>
              <w:rPr>
                <w:rFonts w:asciiTheme="minorHAnsi" w:hAnsiTheme="minorHAnsi" w:cstheme="minorHAnsi"/>
                <w:sz w:val="20"/>
              </w:rPr>
            </w:pPr>
            <w:r w:rsidRPr="00E83AD4">
              <w:rPr>
                <w:rFonts w:asciiTheme="minorHAnsi" w:hAnsiTheme="minorHAnsi" w:cstheme="minorHAnsi"/>
                <w:sz w:val="20"/>
              </w:rPr>
              <w:t>Kontrolní a doplňující údaj k počtu náprav.</w:t>
            </w:r>
          </w:p>
        </w:tc>
      </w:tr>
      <w:tr w:rsidR="001C1CED" w:rsidRPr="00381AE9" w14:paraId="52ADD274" w14:textId="77777777" w:rsidTr="00AE080D">
        <w:trPr>
          <w:trHeight w:val="672"/>
        </w:trPr>
        <w:tc>
          <w:tcPr>
            <w:tcW w:w="1780" w:type="dxa"/>
            <w:noWrap/>
            <w:vAlign w:val="center"/>
            <w:hideMark/>
          </w:tcPr>
          <w:p w14:paraId="50960415"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Zaevidovano</w:t>
            </w:r>
          </w:p>
        </w:tc>
        <w:tc>
          <w:tcPr>
            <w:tcW w:w="7343" w:type="dxa"/>
            <w:vAlign w:val="center"/>
            <w:hideMark/>
          </w:tcPr>
          <w:p w14:paraId="26277485" w14:textId="12D57772" w:rsidR="001C1CED" w:rsidRPr="00AE080D" w:rsidRDefault="003B03B7" w:rsidP="00AE080D">
            <w:pPr>
              <w:pStyle w:val="Textkomente"/>
              <w:rPr>
                <w:rFonts w:asciiTheme="minorHAnsi" w:hAnsiTheme="minorHAnsi" w:cstheme="minorHAnsi"/>
              </w:rPr>
            </w:pPr>
            <w:r w:rsidRPr="00AE080D">
              <w:rPr>
                <w:rFonts w:asciiTheme="minorHAnsi" w:hAnsiTheme="minorHAnsi" w:cstheme="minorHAnsi"/>
              </w:rPr>
              <w:t>Z 2 264 126 záznamů o vozidlech je 135 631 záznamů (5,990 %) zapsáno ke dni 1. 1. 1900.</w:t>
            </w:r>
            <w:r w:rsidR="00AE080D" w:rsidRPr="00AE080D">
              <w:rPr>
                <w:rFonts w:asciiTheme="minorHAnsi" w:hAnsiTheme="minorHAnsi" w:cstheme="minorHAnsi"/>
              </w:rPr>
              <w:t xml:space="preserve"> </w:t>
            </w:r>
            <w:r w:rsidR="001C1CED" w:rsidRPr="00AE080D">
              <w:rPr>
                <w:rFonts w:asciiTheme="minorHAnsi" w:hAnsiTheme="minorHAnsi" w:cstheme="minorHAnsi"/>
              </w:rPr>
              <w:t xml:space="preserve">Počet vozidel registrovaných k 1. </w:t>
            </w:r>
            <w:r w:rsidR="00C86348" w:rsidRPr="00AE080D">
              <w:rPr>
                <w:rFonts w:asciiTheme="minorHAnsi" w:hAnsiTheme="minorHAnsi" w:cstheme="minorHAnsi"/>
              </w:rPr>
              <w:t>lednu</w:t>
            </w:r>
            <w:r w:rsidR="001C1CED" w:rsidRPr="00AE080D">
              <w:rPr>
                <w:rFonts w:asciiTheme="minorHAnsi" w:hAnsiTheme="minorHAnsi" w:cstheme="minorHAnsi"/>
              </w:rPr>
              <w:t xml:space="preserve"> je vysoký i v následujících letech a znamená zejména neurčité datum registrace u starších vozidel. </w:t>
            </w:r>
          </w:p>
        </w:tc>
      </w:tr>
      <w:tr w:rsidR="001C1CED" w:rsidRPr="00381AE9" w14:paraId="6DCAA2FB" w14:textId="77777777" w:rsidTr="009E5E2D">
        <w:trPr>
          <w:trHeight w:val="331"/>
        </w:trPr>
        <w:tc>
          <w:tcPr>
            <w:tcW w:w="1780" w:type="dxa"/>
            <w:noWrap/>
            <w:vAlign w:val="center"/>
            <w:hideMark/>
          </w:tcPr>
          <w:p w14:paraId="716F988F"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ZaevidovanoCr</w:t>
            </w:r>
          </w:p>
        </w:tc>
        <w:tc>
          <w:tcPr>
            <w:tcW w:w="7343" w:type="dxa"/>
            <w:vAlign w:val="center"/>
            <w:hideMark/>
          </w:tcPr>
          <w:p w14:paraId="613C9FC8" w14:textId="77777777" w:rsidR="001C1CED" w:rsidRPr="00E83AD4" w:rsidRDefault="001C1CED" w:rsidP="0049693D">
            <w:pPr>
              <w:keepNext/>
              <w:keepLines/>
              <w:spacing w:after="0"/>
              <w:rPr>
                <w:rFonts w:asciiTheme="minorHAnsi" w:hAnsiTheme="minorHAnsi" w:cstheme="minorHAnsi"/>
                <w:sz w:val="20"/>
              </w:rPr>
            </w:pPr>
            <w:r w:rsidRPr="00E83AD4">
              <w:rPr>
                <w:rFonts w:asciiTheme="minorHAnsi" w:hAnsiTheme="minorHAnsi" w:cstheme="minorHAnsi"/>
                <w:sz w:val="20"/>
              </w:rPr>
              <w:t xml:space="preserve">Kontrolní údaj pro posouzení stáří vozidla pro slevu na dani. </w:t>
            </w:r>
          </w:p>
        </w:tc>
      </w:tr>
      <w:tr w:rsidR="001C1CED" w:rsidRPr="00381AE9" w14:paraId="3D488352" w14:textId="77777777" w:rsidTr="00AE117B">
        <w:trPr>
          <w:trHeight w:val="850"/>
        </w:trPr>
        <w:tc>
          <w:tcPr>
            <w:tcW w:w="1780" w:type="dxa"/>
            <w:noWrap/>
            <w:vAlign w:val="center"/>
            <w:hideMark/>
          </w:tcPr>
          <w:p w14:paraId="11DB6388" w14:textId="77777777" w:rsidR="001C1CED" w:rsidRPr="00467C74" w:rsidRDefault="001C1CED" w:rsidP="0049693D">
            <w:pPr>
              <w:keepNext/>
              <w:keepLines/>
              <w:spacing w:after="0"/>
              <w:jc w:val="left"/>
              <w:rPr>
                <w:rFonts w:asciiTheme="minorHAnsi" w:hAnsiTheme="minorHAnsi" w:cstheme="minorHAnsi"/>
                <w:b/>
                <w:sz w:val="20"/>
              </w:rPr>
            </w:pPr>
            <w:r w:rsidRPr="00467C74">
              <w:rPr>
                <w:rFonts w:asciiTheme="minorHAnsi" w:hAnsiTheme="minorHAnsi" w:cstheme="minorHAnsi"/>
                <w:b/>
                <w:sz w:val="20"/>
              </w:rPr>
              <w:t>Kraj</w:t>
            </w:r>
          </w:p>
        </w:tc>
        <w:tc>
          <w:tcPr>
            <w:tcW w:w="7343" w:type="dxa"/>
            <w:vAlign w:val="center"/>
            <w:hideMark/>
          </w:tcPr>
          <w:p w14:paraId="2886250F" w14:textId="69867E26" w:rsidR="001C1CED" w:rsidRPr="00E83AD4" w:rsidRDefault="001C1CED" w:rsidP="0049693D">
            <w:pPr>
              <w:keepNext/>
              <w:keepLines/>
              <w:spacing w:after="0"/>
              <w:rPr>
                <w:rFonts w:asciiTheme="minorHAnsi" w:hAnsiTheme="minorHAnsi" w:cstheme="minorHAnsi"/>
                <w:sz w:val="20"/>
              </w:rPr>
            </w:pPr>
            <w:r w:rsidRPr="00E83AD4">
              <w:rPr>
                <w:rFonts w:asciiTheme="minorHAnsi" w:hAnsiTheme="minorHAnsi" w:cstheme="minorHAnsi"/>
                <w:sz w:val="20"/>
              </w:rPr>
              <w:t>Povinná položka podle místa registrace vozidla.</w:t>
            </w:r>
            <w:r w:rsidR="001475BE" w:rsidRPr="00390FA0">
              <w:rPr>
                <w:rFonts w:asciiTheme="minorHAnsi" w:hAnsiTheme="minorHAnsi" w:cstheme="minorHAnsi"/>
                <w:sz w:val="20"/>
              </w:rPr>
              <w:t xml:space="preserve"> </w:t>
            </w:r>
            <w:r w:rsidR="001475BE" w:rsidRPr="001475BE">
              <w:rPr>
                <w:rFonts w:asciiTheme="minorHAnsi" w:hAnsiTheme="minorHAnsi" w:cstheme="minorHAnsi"/>
                <w:sz w:val="20"/>
              </w:rPr>
              <w:t>Z 2 264 126 záznamů o vozidlech není tento parametr vyplněn u 90 099 záznamů (3,979 %).</w:t>
            </w:r>
            <w:r w:rsidRPr="00E83AD4">
              <w:rPr>
                <w:rFonts w:asciiTheme="minorHAnsi" w:hAnsiTheme="minorHAnsi" w:cstheme="minorHAnsi"/>
                <w:sz w:val="20"/>
              </w:rPr>
              <w:t xml:space="preserve"> Zejména starší vozidla s neurčitým místem registrace. Marginální chyba pro správu DSL. </w:t>
            </w:r>
          </w:p>
        </w:tc>
      </w:tr>
    </w:tbl>
    <w:p w14:paraId="11834B26" w14:textId="44536187" w:rsidR="001C1CED" w:rsidRPr="00EE01D1" w:rsidRDefault="001C1CED" w:rsidP="00366C68">
      <w:pPr>
        <w:keepNext/>
        <w:keepLines/>
        <w:rPr>
          <w:b/>
        </w:rPr>
      </w:pPr>
      <w:r w:rsidRPr="006151F7">
        <w:rPr>
          <w:rFonts w:cstheme="minorHAnsi"/>
          <w:sz w:val="20"/>
          <w:szCs w:val="20"/>
        </w:rPr>
        <w:t xml:space="preserve">Zdroj: </w:t>
      </w:r>
      <w:r>
        <w:rPr>
          <w:rFonts w:cstheme="minorHAnsi"/>
          <w:sz w:val="20"/>
          <w:szCs w:val="20"/>
        </w:rPr>
        <w:t>MD, data k 10. 6. 2021</w:t>
      </w:r>
      <w:r w:rsidR="00CB2FC6">
        <w:rPr>
          <w:rFonts w:cstheme="minorHAnsi"/>
          <w:sz w:val="20"/>
          <w:szCs w:val="20"/>
        </w:rPr>
        <w:t>;</w:t>
      </w:r>
      <w:r w:rsidRPr="006151F7">
        <w:rPr>
          <w:rFonts w:cstheme="minorHAnsi"/>
          <w:sz w:val="20"/>
          <w:szCs w:val="20"/>
        </w:rPr>
        <w:t xml:space="preserve"> vlastní zpracování NKÚ</w:t>
      </w:r>
      <w:r>
        <w:rPr>
          <w:rFonts w:cstheme="minorHAnsi"/>
          <w:sz w:val="20"/>
          <w:szCs w:val="20"/>
        </w:rPr>
        <w:t>.</w:t>
      </w:r>
      <w:bookmarkEnd w:id="29"/>
      <w:bookmarkEnd w:id="30"/>
    </w:p>
    <w:sectPr w:rsidR="001C1CED" w:rsidRPr="00EE01D1" w:rsidSect="00282427">
      <w:footerReference w:type="default" r:id="rId20"/>
      <w:headerReference w:type="first" r:id="rId21"/>
      <w:footerReference w:type="first" r:id="rId2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2D3BF" w14:textId="77777777" w:rsidR="000E5F69" w:rsidRDefault="000E5F69" w:rsidP="00012AB1">
      <w:pPr>
        <w:spacing w:after="0"/>
      </w:pPr>
      <w:r>
        <w:separator/>
      </w:r>
    </w:p>
  </w:endnote>
  <w:endnote w:type="continuationSeparator" w:id="0">
    <w:p w14:paraId="0016ACA2" w14:textId="77777777" w:rsidR="000E5F69" w:rsidRDefault="000E5F69" w:rsidP="00012A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Sitka Small"/>
    <w:panose1 w:val="00000000000000000000"/>
    <w:charset w:val="00"/>
    <w:family w:val="auto"/>
    <w:notTrueType/>
    <w:pitch w:val="default"/>
    <w:sig w:usb0="00000007" w:usb1="00000000" w:usb2="00000000" w:usb3="00000000" w:csb0="00000003" w:csb1="00000000"/>
  </w:font>
  <w:font w:name="ArialMT">
    <w:altName w:val="MS Gothic"/>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583792"/>
      <w:docPartObj>
        <w:docPartGallery w:val="Page Numbers (Bottom of Page)"/>
        <w:docPartUnique/>
      </w:docPartObj>
    </w:sdtPr>
    <w:sdtEndPr/>
    <w:sdtContent>
      <w:p w14:paraId="6E420283" w14:textId="15C6D420" w:rsidR="000E5F69" w:rsidRDefault="000E5F69">
        <w:pPr>
          <w:pStyle w:val="Zpat"/>
          <w:jc w:val="center"/>
        </w:pPr>
        <w:r>
          <w:fldChar w:fldCharType="begin"/>
        </w:r>
        <w:r>
          <w:instrText>PAGE   \* MERGEFORMAT</w:instrText>
        </w:r>
        <w:r>
          <w:fldChar w:fldCharType="separate"/>
        </w:r>
        <w:r>
          <w:t>2</w:t>
        </w:r>
        <w:r>
          <w:fldChar w:fldCharType="end"/>
        </w:r>
      </w:p>
    </w:sdtContent>
  </w:sdt>
  <w:p w14:paraId="7A22AF1D" w14:textId="77777777" w:rsidR="000E5F69" w:rsidRDefault="000E5F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FFFF" w:themeColor="background1"/>
      </w:rPr>
      <w:id w:val="1507791002"/>
      <w:docPartObj>
        <w:docPartGallery w:val="Page Numbers (Bottom of Page)"/>
        <w:docPartUnique/>
      </w:docPartObj>
    </w:sdtPr>
    <w:sdtEndPr/>
    <w:sdtContent>
      <w:p w14:paraId="530F1397" w14:textId="3D146A01" w:rsidR="000E5F69" w:rsidRPr="00282427" w:rsidRDefault="000E5F69">
        <w:pPr>
          <w:pStyle w:val="Zpat"/>
          <w:jc w:val="center"/>
          <w:rPr>
            <w:color w:val="FFFFFF" w:themeColor="background1"/>
          </w:rPr>
        </w:pPr>
        <w:r w:rsidRPr="00282427">
          <w:rPr>
            <w:color w:val="FFFFFF" w:themeColor="background1"/>
          </w:rPr>
          <w:fldChar w:fldCharType="begin"/>
        </w:r>
        <w:r w:rsidRPr="00282427">
          <w:rPr>
            <w:color w:val="FFFFFF" w:themeColor="background1"/>
          </w:rPr>
          <w:instrText>PAGE   \* MERGEFORMAT</w:instrText>
        </w:r>
        <w:r w:rsidRPr="00282427">
          <w:rPr>
            <w:color w:val="FFFFFF" w:themeColor="background1"/>
          </w:rPr>
          <w:fldChar w:fldCharType="separate"/>
        </w:r>
        <w:r w:rsidRPr="00282427">
          <w:rPr>
            <w:noProof/>
            <w:color w:val="FFFFFF" w:themeColor="background1"/>
          </w:rPr>
          <w:t>17</w:t>
        </w:r>
        <w:r w:rsidRPr="00282427">
          <w:rPr>
            <w:color w:val="FFFFFF" w:themeColor="background1"/>
          </w:rPr>
          <w:fldChar w:fldCharType="end"/>
        </w:r>
      </w:p>
    </w:sdtContent>
  </w:sdt>
  <w:p w14:paraId="36F035BF" w14:textId="77777777" w:rsidR="000E5F69" w:rsidRDefault="000E5F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91BF" w14:textId="77777777" w:rsidR="000E5F69" w:rsidRDefault="000E5F69" w:rsidP="00012AB1">
      <w:pPr>
        <w:spacing w:after="0"/>
      </w:pPr>
      <w:r>
        <w:separator/>
      </w:r>
    </w:p>
  </w:footnote>
  <w:footnote w:type="continuationSeparator" w:id="0">
    <w:p w14:paraId="1EB137F8" w14:textId="77777777" w:rsidR="000E5F69" w:rsidRDefault="000E5F69" w:rsidP="00012AB1">
      <w:pPr>
        <w:spacing w:after="0"/>
      </w:pPr>
      <w:r>
        <w:continuationSeparator/>
      </w:r>
    </w:p>
  </w:footnote>
  <w:footnote w:id="1">
    <w:p w14:paraId="42E8D82C" w14:textId="3245E175" w:rsidR="000E5F69" w:rsidRPr="00EE3041" w:rsidRDefault="000E5F69" w:rsidP="00D61C3B">
      <w:pPr>
        <w:pStyle w:val="Textpoznpodarou"/>
        <w:ind w:left="284" w:hanging="284"/>
        <w:rPr>
          <w:lang w:val="cs-CZ"/>
        </w:rPr>
      </w:pPr>
      <w:r>
        <w:rPr>
          <w:rStyle w:val="Znakapoznpodarou"/>
        </w:rPr>
        <w:footnoteRef/>
      </w:r>
      <w:r>
        <w:t xml:space="preserve"> </w:t>
      </w:r>
      <w:r>
        <w:tab/>
      </w:r>
      <w:r>
        <w:rPr>
          <w:lang w:val="cs-CZ"/>
        </w:rPr>
        <w:t>Ustanovení § 2 zákona České národní rady č. 16/1993 Sb.</w:t>
      </w:r>
    </w:p>
  </w:footnote>
  <w:footnote w:id="2">
    <w:p w14:paraId="4EC77DEC" w14:textId="45BBB78D" w:rsidR="000E5F69" w:rsidRPr="00FD2F88" w:rsidRDefault="000E5F69" w:rsidP="00227654">
      <w:pPr>
        <w:pStyle w:val="Textpoznpodarou"/>
        <w:ind w:left="284" w:hanging="284"/>
        <w:rPr>
          <w:lang w:val="cs-CZ"/>
        </w:rPr>
      </w:pPr>
      <w:r>
        <w:rPr>
          <w:rStyle w:val="Znakapoznpodarou"/>
        </w:rPr>
        <w:footnoteRef/>
      </w:r>
      <w:r>
        <w:t xml:space="preserve"> </w:t>
      </w:r>
      <w:r>
        <w:tab/>
      </w:r>
      <w:r>
        <w:rPr>
          <w:lang w:val="cs-CZ"/>
        </w:rPr>
        <w:t>Od 1. 7. 2000 na základě zákona č. 104/2000 Sb., o Státním fondu dopravní infrastruktury.</w:t>
      </w:r>
    </w:p>
  </w:footnote>
  <w:footnote w:id="3">
    <w:p w14:paraId="41C80FD2" w14:textId="09ADCCED" w:rsidR="000E5F69" w:rsidRPr="00D61C3B" w:rsidRDefault="000E5F69" w:rsidP="00D61C3B">
      <w:pPr>
        <w:pStyle w:val="Textpoznpodarou"/>
        <w:ind w:left="284" w:hanging="284"/>
        <w:rPr>
          <w:lang w:val="cs-CZ"/>
        </w:rPr>
      </w:pPr>
      <w:r>
        <w:rPr>
          <w:rStyle w:val="Znakapoznpodarou"/>
        </w:rPr>
        <w:footnoteRef/>
      </w:r>
      <w:r>
        <w:t xml:space="preserve"> </w:t>
      </w:r>
      <w:r>
        <w:tab/>
      </w:r>
      <w:r>
        <w:rPr>
          <w:lang w:val="cs-CZ"/>
        </w:rPr>
        <w:t xml:space="preserve">Viz: </w:t>
      </w:r>
      <w:hyperlink r:id="rId1" w:history="1">
        <w:r w:rsidRPr="00500AEC">
          <w:rPr>
            <w:rStyle w:val="Hypertextovodkaz"/>
          </w:rPr>
          <w:t>https://www.financnisprava.cz/cs/dane/analyzy-a-statistiky/udaje-z-registru-danovych-subjektu/pocet-danovych-subjektu-dle-fu</w:t>
        </w:r>
      </w:hyperlink>
      <w:r w:rsidRPr="00D61C3B">
        <w:rPr>
          <w:lang w:val="cs-CZ"/>
        </w:rPr>
        <w:t>.</w:t>
      </w:r>
    </w:p>
  </w:footnote>
  <w:footnote w:id="4">
    <w:p w14:paraId="5BF9441C" w14:textId="01209271" w:rsidR="000E5F69" w:rsidRPr="00A5415B" w:rsidRDefault="000E5F69" w:rsidP="00227654">
      <w:pPr>
        <w:pStyle w:val="Textpoznpodarou"/>
        <w:ind w:left="284" w:hanging="284"/>
        <w:rPr>
          <w:lang w:val="cs-CZ"/>
        </w:rPr>
      </w:pPr>
      <w:r w:rsidRPr="00A5415B">
        <w:rPr>
          <w:rStyle w:val="Znakapoznpodarou"/>
        </w:rPr>
        <w:footnoteRef/>
      </w:r>
      <w:r w:rsidRPr="00A5415B">
        <w:t xml:space="preserve"> </w:t>
      </w:r>
      <w:r>
        <w:tab/>
      </w:r>
      <w:r w:rsidRPr="00A5415B">
        <w:t>Kontrolní akce č. 18/22</w:t>
      </w:r>
      <w:r w:rsidRPr="00A5415B">
        <w:rPr>
          <w:lang w:val="cs-CZ"/>
        </w:rPr>
        <w:t xml:space="preserve"> –</w:t>
      </w:r>
      <w:r>
        <w:rPr>
          <w:lang w:val="cs-CZ"/>
        </w:rPr>
        <w:t xml:space="preserve"> </w:t>
      </w:r>
      <w:r w:rsidRPr="00227654">
        <w:rPr>
          <w:i/>
          <w:lang w:val="cs-CZ"/>
        </w:rPr>
        <w:t>Podpora environmentální politiky v oblasti příjmů veřejných rozpočtů</w:t>
      </w:r>
      <w:r w:rsidRPr="00A5415B">
        <w:rPr>
          <w:lang w:val="cs-CZ"/>
        </w:rPr>
        <w:t xml:space="preserve">. </w:t>
      </w:r>
      <w:r w:rsidRPr="00A5415B">
        <w:t xml:space="preserve">Kontrolní závěr byl zveřejněn v částce 6/2019 </w:t>
      </w:r>
      <w:r w:rsidRPr="00227654">
        <w:rPr>
          <w:i/>
        </w:rPr>
        <w:t>Věstníku NKÚ</w:t>
      </w:r>
      <w:r w:rsidRPr="00A5415B">
        <w:rPr>
          <w:lang w:val="cs-CZ"/>
        </w:rPr>
        <w:t>.</w:t>
      </w:r>
    </w:p>
  </w:footnote>
  <w:footnote w:id="5">
    <w:p w14:paraId="4D4EEE6F" w14:textId="006DF8A3" w:rsidR="000E5F69" w:rsidRPr="00D61C3B" w:rsidRDefault="000E5F69" w:rsidP="00A5415B">
      <w:pPr>
        <w:pStyle w:val="Textpoznpodarou"/>
        <w:ind w:left="284" w:hanging="284"/>
        <w:rPr>
          <w:lang w:val="cs-CZ"/>
        </w:rPr>
      </w:pPr>
      <w:r>
        <w:rPr>
          <w:rStyle w:val="Znakapoznpodarou"/>
        </w:rPr>
        <w:footnoteRef/>
      </w:r>
      <w:r>
        <w:t xml:space="preserve"> </w:t>
      </w:r>
      <w:r>
        <w:rPr>
          <w:lang w:val="cs-CZ"/>
        </w:rPr>
        <w:tab/>
        <w:t>Viz příloha 1.</w:t>
      </w:r>
    </w:p>
  </w:footnote>
  <w:footnote w:id="6">
    <w:p w14:paraId="2A5883B5" w14:textId="1FB040BA" w:rsidR="000E5F69" w:rsidRPr="00A5415B" w:rsidRDefault="000E5F69" w:rsidP="00227654">
      <w:pPr>
        <w:pStyle w:val="Textpoznpodarou"/>
        <w:ind w:left="284" w:hanging="284"/>
        <w:rPr>
          <w:lang w:val="cs-CZ"/>
        </w:rPr>
      </w:pPr>
      <w:r w:rsidRPr="00A5415B">
        <w:rPr>
          <w:rStyle w:val="Znakapoznpodarou"/>
        </w:rPr>
        <w:footnoteRef/>
      </w:r>
      <w:r w:rsidRPr="00A5415B">
        <w:t xml:space="preserve"> </w:t>
      </w:r>
      <w:r>
        <w:tab/>
      </w:r>
      <w:r w:rsidRPr="00A5415B">
        <w:rPr>
          <w:lang w:val="cs-CZ"/>
        </w:rPr>
        <w:t>Zákon České národní rady č. 586/1992 Sb., o daních z příjmů.</w:t>
      </w:r>
    </w:p>
  </w:footnote>
  <w:footnote w:id="7">
    <w:p w14:paraId="4B0EB483" w14:textId="47AFD991" w:rsidR="000E5F69" w:rsidRPr="00A5415B" w:rsidRDefault="000E5F69" w:rsidP="00227654">
      <w:pPr>
        <w:pStyle w:val="Textpoznpodarou"/>
        <w:ind w:left="284" w:hanging="284"/>
        <w:rPr>
          <w:lang w:val="cs-CZ"/>
        </w:rPr>
      </w:pPr>
      <w:r w:rsidRPr="00A5415B">
        <w:rPr>
          <w:rStyle w:val="Znakapoznpodarou"/>
        </w:rPr>
        <w:footnoteRef/>
      </w:r>
      <w:r w:rsidRPr="00A5415B">
        <w:t xml:space="preserve"> </w:t>
      </w:r>
      <w:r>
        <w:tab/>
      </w:r>
      <w:r w:rsidRPr="00A5415B">
        <w:rPr>
          <w:lang w:val="cs-CZ"/>
        </w:rPr>
        <w:t xml:space="preserve">Jedná se o výběr z RSV – vozidla určená k podnikání. </w:t>
      </w:r>
    </w:p>
  </w:footnote>
  <w:footnote w:id="8">
    <w:p w14:paraId="0E2FE906" w14:textId="15E82BF5" w:rsidR="000E5F69" w:rsidRPr="00A5415B" w:rsidRDefault="000E5F69" w:rsidP="001D2B21">
      <w:pPr>
        <w:pStyle w:val="Textpoznpodarou"/>
        <w:ind w:left="284" w:hanging="284"/>
        <w:rPr>
          <w:lang w:val="cs-CZ"/>
        </w:rPr>
      </w:pPr>
      <w:r w:rsidRPr="00A5415B">
        <w:rPr>
          <w:rStyle w:val="Znakapoznpodarou"/>
        </w:rPr>
        <w:footnoteRef/>
      </w:r>
      <w:r w:rsidRPr="00A5415B">
        <w:rPr>
          <w:lang w:val="cs-CZ"/>
        </w:rPr>
        <w:t xml:space="preserve"> </w:t>
      </w:r>
      <w:r>
        <w:rPr>
          <w:lang w:val="cs-CZ"/>
        </w:rPr>
        <w:tab/>
      </w:r>
      <w:r w:rsidRPr="00A5415B">
        <w:rPr>
          <w:lang w:val="cs-CZ"/>
        </w:rPr>
        <w:t xml:space="preserve">Viz </w:t>
      </w:r>
      <w:r>
        <w:rPr>
          <w:lang w:val="cs-CZ"/>
        </w:rPr>
        <w:t>příloha 3</w:t>
      </w:r>
      <w:r w:rsidRPr="00A5415B">
        <w:rPr>
          <w:lang w:val="cs-CZ"/>
        </w:rPr>
        <w:t>.</w:t>
      </w:r>
    </w:p>
  </w:footnote>
  <w:footnote w:id="9">
    <w:p w14:paraId="5F0B4014" w14:textId="199319C9" w:rsidR="000E5F69" w:rsidRPr="00A5415B" w:rsidRDefault="000E5F69" w:rsidP="00227654">
      <w:pPr>
        <w:pStyle w:val="Textpoznpodarou"/>
        <w:ind w:left="284" w:hanging="284"/>
        <w:rPr>
          <w:lang w:val="cs-CZ"/>
        </w:rPr>
      </w:pPr>
      <w:r w:rsidRPr="00A5415B">
        <w:rPr>
          <w:rStyle w:val="Znakapoznpodarou"/>
        </w:rPr>
        <w:footnoteRef/>
      </w:r>
      <w:r w:rsidRPr="00A5415B">
        <w:t xml:space="preserve"> </w:t>
      </w:r>
      <w:r>
        <w:tab/>
      </w:r>
      <w:r w:rsidRPr="00A5415B">
        <w:rPr>
          <w:rFonts w:cstheme="minorHAnsi"/>
        </w:rPr>
        <w:t>Podle zákona č. 56/2001 Sb.</w:t>
      </w:r>
      <w:r w:rsidRPr="00A5415B">
        <w:rPr>
          <w:rFonts w:cstheme="minorHAnsi"/>
          <w:lang w:val="cs-CZ"/>
        </w:rPr>
        <w:t>,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w:t>
      </w:r>
    </w:p>
  </w:footnote>
  <w:footnote w:id="10">
    <w:p w14:paraId="56F07AEE" w14:textId="06EB05F7" w:rsidR="000E5F69" w:rsidRPr="00A5415B" w:rsidRDefault="000E5F69" w:rsidP="00227654">
      <w:pPr>
        <w:pStyle w:val="Textpoznpodarou"/>
        <w:ind w:left="284" w:hanging="284"/>
        <w:rPr>
          <w:lang w:val="cs-CZ"/>
        </w:rPr>
      </w:pPr>
      <w:r w:rsidRPr="00A5415B">
        <w:rPr>
          <w:rStyle w:val="Znakapoznpodarou"/>
        </w:rPr>
        <w:footnoteRef/>
      </w:r>
      <w:r w:rsidRPr="00A5415B">
        <w:t xml:space="preserve"> </w:t>
      </w:r>
      <w:r>
        <w:tab/>
      </w:r>
      <w:r w:rsidRPr="00A5415B">
        <w:rPr>
          <w:lang w:val="cs-CZ"/>
        </w:rPr>
        <w:t>Zákon České národní rady č. 586/1992 Sb.</w:t>
      </w:r>
    </w:p>
  </w:footnote>
  <w:footnote w:id="11">
    <w:p w14:paraId="36889531" w14:textId="44870814" w:rsidR="000E5F69" w:rsidRPr="00A41E52" w:rsidRDefault="000E5F69" w:rsidP="00227654">
      <w:pPr>
        <w:pStyle w:val="Textpoznpodarou"/>
        <w:ind w:left="284" w:hanging="284"/>
        <w:rPr>
          <w:rFonts w:asciiTheme="minorHAnsi" w:hAnsiTheme="minorHAnsi" w:cstheme="minorHAnsi"/>
          <w:lang w:val="cs-CZ"/>
        </w:rPr>
      </w:pPr>
      <w:r>
        <w:rPr>
          <w:rStyle w:val="Znakapoznpodarou"/>
        </w:rPr>
        <w:footnoteRef/>
      </w:r>
      <w:r>
        <w:t xml:space="preserve"> </w:t>
      </w:r>
      <w:r>
        <w:tab/>
      </w:r>
      <w:r w:rsidRPr="00A41E52">
        <w:rPr>
          <w:rFonts w:asciiTheme="minorHAnsi" w:hAnsiTheme="minorHAnsi" w:cstheme="minorHAnsi"/>
          <w:lang w:val="cs-CZ"/>
        </w:rPr>
        <w:t xml:space="preserve">Ustanovení § 1 odst. 2 </w:t>
      </w:r>
      <w:r>
        <w:rPr>
          <w:rFonts w:asciiTheme="minorHAnsi" w:hAnsiTheme="minorHAnsi" w:cstheme="minorHAnsi"/>
          <w:lang w:val="cs-CZ"/>
        </w:rPr>
        <w:t>zákona č. 280/2009 Sb</w:t>
      </w:r>
      <w:r w:rsidRPr="00A41E52">
        <w:rPr>
          <w:rFonts w:asciiTheme="minorHAnsi" w:hAnsiTheme="minorHAnsi" w:cstheme="minorHAnsi"/>
          <w:lang w:val="cs-CZ"/>
        </w:rPr>
        <w:t>.</w:t>
      </w:r>
    </w:p>
  </w:footnote>
  <w:footnote w:id="12">
    <w:p w14:paraId="697E5543" w14:textId="3AE37EDF" w:rsidR="000E5F69" w:rsidRPr="00A41E52" w:rsidRDefault="000E5F69" w:rsidP="00227654">
      <w:pPr>
        <w:pStyle w:val="Textpoznpodarou"/>
        <w:ind w:left="284" w:hanging="284"/>
        <w:rPr>
          <w:rFonts w:asciiTheme="minorHAnsi" w:hAnsiTheme="minorHAnsi" w:cstheme="minorHAnsi"/>
          <w:lang w:val="cs-CZ"/>
        </w:rPr>
      </w:pPr>
      <w:r w:rsidRPr="00A41E52">
        <w:rPr>
          <w:rStyle w:val="Znakapoznpodarou"/>
          <w:rFonts w:asciiTheme="minorHAnsi" w:hAnsiTheme="minorHAnsi" w:cstheme="minorHAnsi"/>
        </w:rPr>
        <w:footnoteRef/>
      </w:r>
      <w:r w:rsidRPr="00A41E52">
        <w:rPr>
          <w:rFonts w:asciiTheme="minorHAnsi" w:hAnsiTheme="minorHAnsi" w:cstheme="minorHAnsi"/>
        </w:rPr>
        <w:t xml:space="preserve"> </w:t>
      </w:r>
      <w:r>
        <w:rPr>
          <w:rFonts w:asciiTheme="minorHAnsi" w:hAnsiTheme="minorHAnsi" w:cstheme="minorHAnsi"/>
        </w:rPr>
        <w:tab/>
      </w:r>
      <w:r w:rsidRPr="00A41E52">
        <w:rPr>
          <w:rFonts w:asciiTheme="minorHAnsi" w:hAnsiTheme="minorHAnsi" w:cstheme="minorHAnsi"/>
          <w:lang w:val="cs-CZ"/>
        </w:rPr>
        <w:t>Ustanovení § 18 zákona č. 456/2011 Sb.</w:t>
      </w:r>
      <w:r>
        <w:rPr>
          <w:rFonts w:asciiTheme="minorHAnsi" w:hAnsiTheme="minorHAnsi" w:cstheme="minorHAnsi"/>
          <w:lang w:val="cs-CZ"/>
        </w:rPr>
        <w:t>, o Finanční správě České republiky.</w:t>
      </w:r>
    </w:p>
  </w:footnote>
  <w:footnote w:id="13">
    <w:p w14:paraId="774ACB0C" w14:textId="4DC01232" w:rsidR="000E5F69" w:rsidRPr="00A41E52" w:rsidRDefault="000E5F69" w:rsidP="00227654">
      <w:pPr>
        <w:pStyle w:val="Textpoznpodarou"/>
        <w:ind w:left="284" w:hanging="284"/>
        <w:rPr>
          <w:rFonts w:asciiTheme="minorHAnsi" w:hAnsiTheme="minorHAnsi" w:cstheme="minorHAnsi"/>
          <w:lang w:val="cs-CZ"/>
        </w:rPr>
      </w:pPr>
      <w:r w:rsidRPr="00A41E52">
        <w:rPr>
          <w:rStyle w:val="Znakapoznpodarou"/>
          <w:rFonts w:asciiTheme="minorHAnsi" w:hAnsiTheme="minorHAnsi" w:cstheme="minorHAnsi"/>
        </w:rPr>
        <w:footnoteRef/>
      </w:r>
      <w:r w:rsidRPr="00A41E52">
        <w:rPr>
          <w:rFonts w:asciiTheme="minorHAnsi" w:hAnsiTheme="minorHAnsi" w:cstheme="minorHAnsi"/>
        </w:rPr>
        <w:t xml:space="preserve"> </w:t>
      </w:r>
      <w:r>
        <w:rPr>
          <w:rFonts w:asciiTheme="minorHAnsi" w:hAnsiTheme="minorHAnsi" w:cstheme="minorHAnsi"/>
        </w:rPr>
        <w:tab/>
      </w:r>
      <w:r w:rsidRPr="00A41E52">
        <w:rPr>
          <w:rFonts w:asciiTheme="minorHAnsi" w:hAnsiTheme="minorHAnsi" w:cstheme="minorHAnsi"/>
          <w:lang w:val="cs-CZ"/>
        </w:rPr>
        <w:t>Ustanovení § 4 zákona č. 56/2001 Sb.</w:t>
      </w:r>
    </w:p>
  </w:footnote>
  <w:footnote w:id="14">
    <w:p w14:paraId="6E0473D3" w14:textId="54293CE6" w:rsidR="000E5F69" w:rsidRPr="00A41E52" w:rsidRDefault="000E5F69" w:rsidP="00227654">
      <w:pPr>
        <w:pStyle w:val="Textpoznpodarou"/>
        <w:ind w:left="284" w:hanging="284"/>
        <w:rPr>
          <w:rFonts w:asciiTheme="minorHAnsi" w:hAnsiTheme="minorHAnsi" w:cstheme="minorHAnsi"/>
          <w:lang w:val="cs-CZ"/>
        </w:rPr>
      </w:pPr>
      <w:r w:rsidRPr="00A41E52">
        <w:rPr>
          <w:rStyle w:val="Znakapoznpodarou"/>
          <w:rFonts w:asciiTheme="minorHAnsi" w:hAnsiTheme="minorHAnsi" w:cstheme="minorHAnsi"/>
        </w:rPr>
        <w:footnoteRef/>
      </w:r>
      <w:r w:rsidRPr="00A41E52">
        <w:rPr>
          <w:rFonts w:asciiTheme="minorHAnsi" w:hAnsiTheme="minorHAnsi" w:cstheme="minorHAnsi"/>
        </w:rPr>
        <w:t xml:space="preserve"> </w:t>
      </w:r>
      <w:r>
        <w:rPr>
          <w:rFonts w:asciiTheme="minorHAnsi" w:hAnsiTheme="minorHAnsi" w:cstheme="minorHAnsi"/>
        </w:rPr>
        <w:tab/>
      </w:r>
      <w:r w:rsidRPr="00A41E52">
        <w:rPr>
          <w:rFonts w:asciiTheme="minorHAnsi" w:hAnsiTheme="minorHAnsi" w:cstheme="minorHAnsi"/>
          <w:lang w:val="cs-CZ"/>
        </w:rPr>
        <w:t xml:space="preserve">Např. definice silničního vozidla a provozovatele, druhy vozidel, </w:t>
      </w:r>
      <w:r>
        <w:rPr>
          <w:rFonts w:asciiTheme="minorHAnsi" w:hAnsiTheme="minorHAnsi" w:cstheme="minorHAnsi"/>
          <w:lang w:val="cs-CZ"/>
        </w:rPr>
        <w:t>r</w:t>
      </w:r>
      <w:r w:rsidRPr="00A41E52">
        <w:rPr>
          <w:rFonts w:asciiTheme="minorHAnsi" w:hAnsiTheme="minorHAnsi" w:cstheme="minorHAnsi"/>
          <w:lang w:val="cs-CZ"/>
        </w:rPr>
        <w:t xml:space="preserve">egistr silničních vozidel. </w:t>
      </w:r>
    </w:p>
  </w:footnote>
  <w:footnote w:id="15">
    <w:p w14:paraId="1A41B7D9" w14:textId="4D12385F" w:rsidR="000E5F69" w:rsidRPr="00A41E52" w:rsidRDefault="000E5F69" w:rsidP="00227654">
      <w:pPr>
        <w:pStyle w:val="Textpoznpodarou"/>
        <w:ind w:left="284" w:hanging="284"/>
        <w:rPr>
          <w:rFonts w:asciiTheme="minorHAnsi" w:hAnsiTheme="minorHAnsi" w:cstheme="minorHAnsi"/>
          <w:lang w:val="cs-CZ"/>
        </w:rPr>
      </w:pPr>
      <w:r w:rsidRPr="00A41E52">
        <w:rPr>
          <w:rStyle w:val="Znakapoznpodarou"/>
          <w:rFonts w:asciiTheme="minorHAnsi" w:hAnsiTheme="minorHAnsi" w:cstheme="minorHAnsi"/>
        </w:rPr>
        <w:footnoteRef/>
      </w:r>
      <w:r w:rsidRPr="00A41E52">
        <w:rPr>
          <w:rFonts w:asciiTheme="minorHAnsi" w:hAnsiTheme="minorHAnsi" w:cstheme="minorHAnsi"/>
        </w:rPr>
        <w:t xml:space="preserve"> </w:t>
      </w:r>
      <w:r>
        <w:rPr>
          <w:rFonts w:asciiTheme="minorHAnsi" w:hAnsiTheme="minorHAnsi" w:cstheme="minorHAnsi"/>
        </w:rPr>
        <w:tab/>
      </w:r>
      <w:r w:rsidRPr="00A41E52">
        <w:rPr>
          <w:rFonts w:asciiTheme="minorHAnsi" w:hAnsiTheme="minorHAnsi" w:cstheme="minorHAnsi"/>
          <w:color w:val="000000"/>
        </w:rPr>
        <w:t>Zákon č. 56/2001 Sb.</w:t>
      </w:r>
      <w:r>
        <w:rPr>
          <w:rFonts w:asciiTheme="minorHAnsi" w:hAnsiTheme="minorHAnsi" w:cstheme="minorHAnsi"/>
          <w:color w:val="000000"/>
          <w:lang w:val="cs-CZ"/>
        </w:rPr>
        <w:t>,</w:t>
      </w:r>
      <w:r w:rsidRPr="00A41E52">
        <w:rPr>
          <w:rFonts w:asciiTheme="minorHAnsi" w:hAnsiTheme="minorHAnsi" w:cstheme="minorHAnsi"/>
          <w:color w:val="000000"/>
        </w:rPr>
        <w:t xml:space="preserve"> o podmínkách provozu vozidel na pozemních komunikacích a o změně zákona č.</w:t>
      </w:r>
      <w:r>
        <w:rPr>
          <w:rFonts w:asciiTheme="minorHAnsi" w:hAnsiTheme="minorHAnsi" w:cstheme="minorHAnsi"/>
          <w:color w:val="000000"/>
          <w:lang w:val="cs-CZ"/>
        </w:rPr>
        <w:t> </w:t>
      </w:r>
      <w:r w:rsidRPr="00A41E52">
        <w:rPr>
          <w:rFonts w:asciiTheme="minorHAnsi" w:hAnsiTheme="minorHAnsi" w:cstheme="minorHAnsi"/>
          <w:color w:val="000000"/>
        </w:rPr>
        <w:t>168/1999 Sb., o pojištění odpovědnosti za škodu způsobenou provozem vozidla a o změně některých souvisejících zákonů (zákon o pojištění odpovědnosti z provozu vozidla), ve znění zákona č. 307/1999 Sb.</w:t>
      </w:r>
    </w:p>
  </w:footnote>
  <w:footnote w:id="16">
    <w:p w14:paraId="6E511698" w14:textId="4F0965CF" w:rsidR="000E5F69" w:rsidRPr="00227654" w:rsidRDefault="000E5F69" w:rsidP="00227654">
      <w:pPr>
        <w:spacing w:after="0"/>
        <w:ind w:left="284" w:hanging="284"/>
        <w:rPr>
          <w:sz w:val="20"/>
          <w:szCs w:val="20"/>
        </w:rPr>
      </w:pPr>
      <w:r w:rsidRPr="00227654">
        <w:rPr>
          <w:rStyle w:val="Znakapoznpodarou"/>
          <w:sz w:val="20"/>
          <w:szCs w:val="20"/>
        </w:rPr>
        <w:footnoteRef/>
      </w:r>
      <w:r>
        <w:t xml:space="preserve"> </w:t>
      </w:r>
      <w:r>
        <w:tab/>
      </w:r>
      <w:r w:rsidRPr="00D845A8">
        <w:rPr>
          <w:sz w:val="20"/>
          <w:szCs w:val="20"/>
        </w:rPr>
        <w:t xml:space="preserve">Zákon č. 299/2020 Sb., kterým se mění některé daňové zákony v souvislosti s výskytem koronaviru </w:t>
      </w:r>
      <w:r>
        <w:rPr>
          <w:sz w:val="20"/>
          <w:szCs w:val="20"/>
        </w:rPr>
        <w:br/>
      </w:r>
      <w:r w:rsidRPr="00D845A8">
        <w:rPr>
          <w:sz w:val="20"/>
          <w:szCs w:val="20"/>
        </w:rPr>
        <w:t>SARS CoV-2 a zákon č. 159/2020 Sb., o kompenzačním bonusu v souvislosti s krizovými opatřeními v</w:t>
      </w:r>
      <w:r>
        <w:rPr>
          <w:sz w:val="20"/>
          <w:szCs w:val="20"/>
        </w:rPr>
        <w:t> </w:t>
      </w:r>
      <w:r w:rsidRPr="00D845A8">
        <w:rPr>
          <w:sz w:val="20"/>
          <w:szCs w:val="20"/>
        </w:rPr>
        <w:t>souvislosti s výskytem koronaviru SARS CoV-2.</w:t>
      </w:r>
    </w:p>
  </w:footnote>
  <w:footnote w:id="17">
    <w:p w14:paraId="706673B8" w14:textId="712979C3" w:rsidR="000E5F69" w:rsidRPr="00C45626" w:rsidRDefault="000E5F69" w:rsidP="00227654">
      <w:pPr>
        <w:pStyle w:val="Textpoznpodarou"/>
        <w:ind w:left="284" w:hanging="284"/>
        <w:rPr>
          <w:lang w:val="cs-CZ"/>
        </w:rPr>
      </w:pPr>
      <w:r w:rsidRPr="00C45626">
        <w:rPr>
          <w:rStyle w:val="Znakapoznpodarou"/>
        </w:rPr>
        <w:footnoteRef/>
      </w:r>
      <w:r w:rsidRPr="00C45626">
        <w:t xml:space="preserve"> </w:t>
      </w:r>
      <w:bookmarkStart w:id="11" w:name="_Hlk93061776"/>
      <w:r>
        <w:tab/>
      </w:r>
      <w:r w:rsidRPr="00E67144">
        <w:t>Kontrolní akce č. 18/22</w:t>
      </w:r>
      <w:r>
        <w:rPr>
          <w:lang w:val="cs-CZ"/>
        </w:rPr>
        <w:t xml:space="preserve"> </w:t>
      </w:r>
      <w:r w:rsidRPr="00A9736F">
        <w:rPr>
          <w:rFonts w:cs="Calibri"/>
          <w:bCs/>
          <w:lang w:eastAsia="cs-CZ"/>
        </w:rPr>
        <w:t>–</w:t>
      </w:r>
      <w:r>
        <w:rPr>
          <w:rFonts w:cs="Calibri"/>
          <w:bCs/>
          <w:lang w:val="cs-CZ" w:eastAsia="cs-CZ"/>
        </w:rPr>
        <w:t xml:space="preserve"> </w:t>
      </w:r>
      <w:r w:rsidRPr="00227654">
        <w:rPr>
          <w:i/>
          <w:lang w:val="cs-CZ"/>
        </w:rPr>
        <w:t>Podpora environmentální politiky v oblasti příjmů veřejných rozpočtů</w:t>
      </w:r>
      <w:r>
        <w:rPr>
          <w:lang w:val="cs-CZ"/>
        </w:rPr>
        <w:t xml:space="preserve">. </w:t>
      </w:r>
      <w:r w:rsidRPr="00E67144">
        <w:t xml:space="preserve">Kontrolní závěr byl zveřejněn v částce 6/2019 </w:t>
      </w:r>
      <w:r w:rsidRPr="00227654">
        <w:rPr>
          <w:i/>
        </w:rPr>
        <w:t>Věstníku NKÚ</w:t>
      </w:r>
      <w:r>
        <w:rPr>
          <w:lang w:val="cs-CZ"/>
        </w:rPr>
        <w:t>.</w:t>
      </w:r>
    </w:p>
    <w:bookmarkEnd w:id="11"/>
  </w:footnote>
  <w:footnote w:id="18">
    <w:p w14:paraId="305C30F7" w14:textId="3693931C" w:rsidR="000E5F69" w:rsidRPr="008869BE" w:rsidRDefault="000E5F69" w:rsidP="00227654">
      <w:pPr>
        <w:pStyle w:val="Textpoznpodarou"/>
        <w:ind w:left="284" w:hanging="284"/>
        <w:rPr>
          <w:lang w:val="cs-CZ"/>
        </w:rPr>
      </w:pPr>
      <w:r>
        <w:rPr>
          <w:rStyle w:val="Znakapoznpodarou"/>
        </w:rPr>
        <w:footnoteRef/>
      </w:r>
      <w:r>
        <w:t xml:space="preserve"> </w:t>
      </w:r>
      <w:r>
        <w:tab/>
      </w:r>
      <w:r>
        <w:rPr>
          <w:iCs/>
          <w:szCs w:val="24"/>
        </w:rPr>
        <w:t xml:space="preserve">Usnesení </w:t>
      </w:r>
      <w:r w:rsidRPr="007B383E">
        <w:rPr>
          <w:iCs/>
          <w:szCs w:val="24"/>
          <w:lang w:val="cs-CZ"/>
        </w:rPr>
        <w:t>kontrolního</w:t>
      </w:r>
      <w:r>
        <w:rPr>
          <w:iCs/>
          <w:szCs w:val="24"/>
        </w:rPr>
        <w:t xml:space="preserve"> výboru </w:t>
      </w:r>
      <w:r>
        <w:rPr>
          <w:iCs/>
          <w:szCs w:val="24"/>
          <w:lang w:val="cs-CZ"/>
        </w:rPr>
        <w:t xml:space="preserve">PSP ČR </w:t>
      </w:r>
      <w:r>
        <w:rPr>
          <w:iCs/>
          <w:szCs w:val="24"/>
        </w:rPr>
        <w:t xml:space="preserve">ze dne 7. 2. 2019 </w:t>
      </w:r>
      <w:r>
        <w:rPr>
          <w:iCs/>
          <w:szCs w:val="24"/>
          <w:lang w:val="cs-CZ"/>
        </w:rPr>
        <w:t xml:space="preserve">č. 75 </w:t>
      </w:r>
      <w:r>
        <w:rPr>
          <w:iCs/>
          <w:szCs w:val="24"/>
        </w:rPr>
        <w:t xml:space="preserve">ke kontrolnímu </w:t>
      </w:r>
      <w:r w:rsidRPr="00913143">
        <w:rPr>
          <w:iCs/>
          <w:szCs w:val="24"/>
        </w:rPr>
        <w:t>závěru Nejvyššího kontrolního úřadu z</w:t>
      </w:r>
      <w:r>
        <w:rPr>
          <w:iCs/>
          <w:szCs w:val="24"/>
        </w:rPr>
        <w:t> </w:t>
      </w:r>
      <w:r w:rsidRPr="00913143">
        <w:rPr>
          <w:iCs/>
          <w:szCs w:val="24"/>
        </w:rPr>
        <w:t>kontrolní akce NKÚ č. 15/15</w:t>
      </w:r>
      <w:r>
        <w:rPr>
          <w:iCs/>
          <w:szCs w:val="24"/>
        </w:rPr>
        <w:t xml:space="preserve"> </w:t>
      </w:r>
      <w:r>
        <w:rPr>
          <w:rFonts w:cstheme="minorHAnsi"/>
          <w:iCs/>
          <w:szCs w:val="24"/>
        </w:rPr>
        <w:t xml:space="preserve">– </w:t>
      </w:r>
      <w:r w:rsidRPr="00913143">
        <w:rPr>
          <w:iCs/>
          <w:szCs w:val="24"/>
        </w:rPr>
        <w:t>Zdaňování nemovitostí, převodu nemovitostí a majetku nabytého děděním a darováním</w:t>
      </w:r>
      <w:r>
        <w:rPr>
          <w:iCs/>
          <w:szCs w:val="24"/>
          <w:lang w:val="cs-CZ"/>
        </w:rPr>
        <w:t>.</w:t>
      </w:r>
    </w:p>
  </w:footnote>
  <w:footnote w:id="19">
    <w:p w14:paraId="77853598" w14:textId="015076F0" w:rsidR="000E5F69" w:rsidRPr="00FF0C27" w:rsidRDefault="000E5F69" w:rsidP="00227654">
      <w:pPr>
        <w:pStyle w:val="Textpoznpodarou"/>
        <w:ind w:left="284" w:hanging="284"/>
        <w:rPr>
          <w:lang w:val="cs-CZ"/>
        </w:rPr>
      </w:pPr>
      <w:r>
        <w:rPr>
          <w:rStyle w:val="Znakapoznpodarou"/>
        </w:rPr>
        <w:footnoteRef/>
      </w:r>
      <w:r>
        <w:t xml:space="preserve"> </w:t>
      </w:r>
      <w:r>
        <w:tab/>
      </w:r>
      <w:r>
        <w:rPr>
          <w:lang w:val="cs-CZ"/>
        </w:rPr>
        <w:t>Zákon České národní rady č. 586/1992 Sb.</w:t>
      </w:r>
    </w:p>
  </w:footnote>
  <w:footnote w:id="20">
    <w:p w14:paraId="29E01D02" w14:textId="076301C9" w:rsidR="000E5F69" w:rsidRPr="00533880" w:rsidRDefault="000E5F69" w:rsidP="00227654">
      <w:pPr>
        <w:pStyle w:val="Textpoznpodarou"/>
        <w:ind w:left="284" w:hanging="284"/>
        <w:rPr>
          <w:lang w:val="cs-CZ"/>
        </w:rPr>
      </w:pPr>
      <w:r>
        <w:rPr>
          <w:rStyle w:val="Znakapoznpodarou"/>
        </w:rPr>
        <w:footnoteRef/>
      </w:r>
      <w:r>
        <w:t xml:space="preserve"> </w:t>
      </w:r>
      <w:r>
        <w:tab/>
      </w:r>
      <w:r>
        <w:rPr>
          <w:lang w:val="cs-CZ"/>
        </w:rPr>
        <w:t xml:space="preserve">Ustanovení </w:t>
      </w:r>
      <w:r>
        <w:t xml:space="preserve">§ 17a zákona </w:t>
      </w:r>
      <w:r>
        <w:rPr>
          <w:lang w:val="cs-CZ"/>
        </w:rPr>
        <w:t xml:space="preserve">České národní rady </w:t>
      </w:r>
      <w:r>
        <w:t>č. 586/1992 Sb.: Veřejně prospěšný poplatník (1) Veřejně prospěšným poplatníkem je poplatník, který v souladu se svým zakladatelským právním jednáním, statutem, stanovami, zákonem nebo rozhodnutím orgánu veřejné moci jako svou hlavní činnost vykonává činnost, která není podnikáním. (2) Veřejně prospěšným poplatníkem není a) obchodní korporace, b) Česká televize, Český rozhlas a Česká tisková kancelář, c) profesní komora nebo poplatník založený za účelem ochrany a hájení podnikatelských zájmů svých členů, u nichž nejsou členské příspěvky osvobozeny od daně, s</w:t>
      </w:r>
      <w:r>
        <w:rPr>
          <w:lang w:val="cs-CZ"/>
        </w:rPr>
        <w:t xml:space="preserve"> </w:t>
      </w:r>
      <w:r>
        <w:t>výjimkou organizace zaměstnavatelů, d) zdravotní pojišťovna, e) společenství vlastníků jednotek a f) rodinná fundace, kterou se pro účely tohoto zákona rozumí nadace nebo nadační fond, 1. které podle svého zakladatelského jednání slouží k podpoře zakladatele nebo osob blízkých zakladateli, nebo 2. jejichž činnost směřuje k podpoře zakladatele nebo osob blízkých zakladateli.</w:t>
      </w:r>
    </w:p>
  </w:footnote>
  <w:footnote w:id="21">
    <w:p w14:paraId="27442AE3" w14:textId="142918AA" w:rsidR="000E5F69" w:rsidRPr="00E01508" w:rsidRDefault="000E5F69" w:rsidP="00E01508">
      <w:pPr>
        <w:pStyle w:val="Textpoznpodarou"/>
        <w:ind w:left="284" w:hanging="284"/>
        <w:rPr>
          <w:lang w:val="cs-CZ"/>
        </w:rPr>
      </w:pPr>
      <w:r>
        <w:rPr>
          <w:rStyle w:val="Znakapoznpodarou"/>
        </w:rPr>
        <w:footnoteRef/>
      </w:r>
      <w:r>
        <w:t xml:space="preserve"> </w:t>
      </w:r>
      <w:r>
        <w:rPr>
          <w:lang w:val="cs-CZ"/>
        </w:rPr>
        <w:tab/>
      </w:r>
      <w:r w:rsidRPr="00E01508">
        <w:rPr>
          <w:lang w:val="cs-CZ"/>
        </w:rPr>
        <w:t xml:space="preserve">Postup </w:t>
      </w:r>
      <w:r w:rsidRPr="009C242C">
        <w:t xml:space="preserve">k odstranění </w:t>
      </w:r>
      <w:r>
        <w:rPr>
          <w:lang w:val="cs-CZ"/>
        </w:rPr>
        <w:t>pochybností</w:t>
      </w:r>
      <w:r w:rsidRPr="009C242C">
        <w:t xml:space="preserve"> nebo daňová kontrola</w:t>
      </w:r>
      <w:r>
        <w:rPr>
          <w:lang w:val="cs-CZ"/>
        </w:rPr>
        <w:t>.</w:t>
      </w:r>
    </w:p>
  </w:footnote>
  <w:footnote w:id="22">
    <w:p w14:paraId="6CB430A2" w14:textId="441B56DE" w:rsidR="000E5F69" w:rsidRPr="00495FD1" w:rsidRDefault="000E5F69" w:rsidP="00E01508">
      <w:pPr>
        <w:pStyle w:val="Textpoznpodarou"/>
        <w:ind w:left="284" w:hanging="284"/>
        <w:rPr>
          <w:lang w:val="cs-CZ"/>
        </w:rPr>
      </w:pPr>
      <w:r>
        <w:rPr>
          <w:rStyle w:val="Znakapoznpodarou"/>
        </w:rPr>
        <w:footnoteRef/>
      </w:r>
      <w:r>
        <w:t xml:space="preserve"> </w:t>
      </w:r>
      <w:r>
        <w:tab/>
      </w:r>
      <w:r>
        <w:rPr>
          <w:color w:val="000000"/>
        </w:rPr>
        <w:t>Z</w:t>
      </w:r>
      <w:r w:rsidRPr="00EB3AA6">
        <w:rPr>
          <w:color w:val="000000"/>
        </w:rPr>
        <w:t>ákon č. 365/2000 Sb.</w:t>
      </w:r>
      <w:r>
        <w:rPr>
          <w:color w:val="000000"/>
          <w:lang w:val="cs-CZ"/>
        </w:rPr>
        <w:t>,</w:t>
      </w:r>
      <w:r w:rsidRPr="00EB3AA6">
        <w:rPr>
          <w:color w:val="000000"/>
        </w:rPr>
        <w:t xml:space="preserve"> o informačních systémech veřejné správy a o změně některých dalších zákonů</w:t>
      </w:r>
      <w:r>
        <w:rPr>
          <w:color w:val="000000"/>
          <w:lang w:val="cs-CZ"/>
        </w:rPr>
        <w:t>.</w:t>
      </w:r>
    </w:p>
  </w:footnote>
  <w:footnote w:id="23">
    <w:p w14:paraId="2CE21668" w14:textId="13C36B12" w:rsidR="000E5F69" w:rsidRPr="00582B7D" w:rsidRDefault="000E5F69" w:rsidP="00227654">
      <w:pPr>
        <w:pStyle w:val="Textpoznpodarou"/>
        <w:ind w:left="284" w:hanging="284"/>
        <w:rPr>
          <w:lang w:val="cs-CZ"/>
        </w:rPr>
      </w:pPr>
      <w:r>
        <w:rPr>
          <w:rStyle w:val="Znakapoznpodarou"/>
        </w:rPr>
        <w:footnoteRef/>
      </w:r>
      <w:r>
        <w:t xml:space="preserve"> </w:t>
      </w:r>
      <w:r>
        <w:tab/>
      </w:r>
      <w:r>
        <w:rPr>
          <w:lang w:val="cs-CZ"/>
        </w:rPr>
        <w:t xml:space="preserve">Dle </w:t>
      </w:r>
      <w:r w:rsidRPr="00582B7D">
        <w:t xml:space="preserve">§ 53 odst. 2 a § 56 zákona č. 280/2009 Sb. </w:t>
      </w:r>
      <w:r>
        <w:rPr>
          <w:lang w:val="cs-CZ"/>
        </w:rPr>
        <w:t>není správce daně povinen</w:t>
      </w:r>
      <w:r w:rsidRPr="00582B7D">
        <w:t xml:space="preserve"> zajišťovat nápravu v RSV</w:t>
      </w:r>
      <w:r w:rsidRPr="00582B7D">
        <w:rPr>
          <w:lang w:val="cs-CZ"/>
        </w:rPr>
        <w:t>.</w:t>
      </w:r>
    </w:p>
  </w:footnote>
  <w:footnote w:id="24">
    <w:p w14:paraId="78825411" w14:textId="3D125B28" w:rsidR="000E5F69" w:rsidRPr="00582B7D" w:rsidRDefault="000E5F69" w:rsidP="00227654">
      <w:pPr>
        <w:spacing w:after="0"/>
        <w:ind w:left="284" w:hanging="284"/>
        <w:rPr>
          <w:sz w:val="20"/>
          <w:szCs w:val="20"/>
        </w:rPr>
      </w:pPr>
      <w:r w:rsidRPr="00582B7D">
        <w:rPr>
          <w:rStyle w:val="Znakapoznpodarou"/>
          <w:sz w:val="20"/>
          <w:szCs w:val="20"/>
        </w:rPr>
        <w:footnoteRef/>
      </w:r>
      <w:r w:rsidRPr="00582B7D">
        <w:rPr>
          <w:sz w:val="20"/>
          <w:szCs w:val="20"/>
        </w:rPr>
        <w:t xml:space="preserve"> </w:t>
      </w:r>
      <w:r>
        <w:rPr>
          <w:sz w:val="20"/>
          <w:szCs w:val="20"/>
        </w:rPr>
        <w:tab/>
      </w:r>
      <w:r w:rsidRPr="00582B7D">
        <w:rPr>
          <w:sz w:val="20"/>
          <w:szCs w:val="20"/>
          <w:lang w:eastAsia="cs-CZ"/>
        </w:rPr>
        <w:t>V únoru roku 2021 byly náhledy do RSV rozšířeny o náhledy na konkrétní listiny založené v elektronické části spisu, tedy například o možnost náhledu do velkého technického průkazu.</w:t>
      </w:r>
    </w:p>
  </w:footnote>
  <w:footnote w:id="25">
    <w:p w14:paraId="2887D06C" w14:textId="043FD05F" w:rsidR="000E5F69" w:rsidRPr="00FA03B2" w:rsidRDefault="000E5F69" w:rsidP="00227654">
      <w:pPr>
        <w:pStyle w:val="Textpoznpodarou"/>
        <w:ind w:left="284" w:hanging="284"/>
      </w:pPr>
      <w:r>
        <w:rPr>
          <w:rStyle w:val="Znakapoznpodarou"/>
        </w:rPr>
        <w:footnoteRef/>
      </w:r>
      <w:r>
        <w:t xml:space="preserve"> </w:t>
      </w:r>
      <w:r>
        <w:tab/>
      </w:r>
      <w:r>
        <w:rPr>
          <w:lang w:val="cs-CZ"/>
        </w:rPr>
        <w:t>Jedná se o databázi vozidel, lodí a letadel.</w:t>
      </w:r>
    </w:p>
  </w:footnote>
  <w:footnote w:id="26">
    <w:p w14:paraId="4EBD685C" w14:textId="05695CD0" w:rsidR="000E5F69" w:rsidRDefault="000E5F69" w:rsidP="00227654">
      <w:pPr>
        <w:pStyle w:val="Textpoznpodarou"/>
        <w:ind w:left="284" w:hanging="284"/>
      </w:pPr>
      <w:r>
        <w:rPr>
          <w:rStyle w:val="Znakapoznpodarou"/>
        </w:rPr>
        <w:footnoteRef/>
      </w:r>
      <w:r>
        <w:t xml:space="preserve"> </w:t>
      </w:r>
      <w:r>
        <w:tab/>
        <w:t>I</w:t>
      </w:r>
      <w:r w:rsidRPr="00650A21">
        <w:t xml:space="preserve">nformace zasílané na základě výzvy dle § 148 zákona č. 280/2009 Sb. od společností Uber, Liftago </w:t>
      </w:r>
      <w:r>
        <w:br/>
      </w:r>
      <w:r w:rsidRPr="00650A21">
        <w:t xml:space="preserve">a Taxify (Bolt) a informace z </w:t>
      </w:r>
      <w:r w:rsidRPr="00227654">
        <w:rPr>
          <w:i/>
        </w:rPr>
        <w:t>Automatizovaného daňového informačního systému</w:t>
      </w:r>
      <w:r w:rsidRPr="00650A21">
        <w:t>.</w:t>
      </w:r>
    </w:p>
  </w:footnote>
  <w:footnote w:id="27">
    <w:p w14:paraId="5359686A" w14:textId="0A9E894B" w:rsidR="000E5F69" w:rsidRDefault="000E5F69" w:rsidP="00227654">
      <w:pPr>
        <w:pStyle w:val="Textpoznpodarou"/>
        <w:ind w:left="284" w:hanging="284"/>
      </w:pPr>
      <w:r>
        <w:rPr>
          <w:rStyle w:val="Znakapoznpodarou"/>
        </w:rPr>
        <w:footnoteRef/>
      </w:r>
      <w:r>
        <w:t xml:space="preserve"> </w:t>
      </w:r>
      <w:r>
        <w:tab/>
      </w:r>
      <w:r w:rsidRPr="00CA785D">
        <w:t>Počet daňových kontrol s nálezem vče</w:t>
      </w:r>
      <w:r>
        <w:t>tně případů dodatečné úhrady daně silniční</w:t>
      </w:r>
      <w:r w:rsidRPr="00CA785D">
        <w:t xml:space="preserve"> po jiném kontrolním úkonu</w:t>
      </w:r>
      <w:r>
        <w:t>.</w:t>
      </w:r>
    </w:p>
  </w:footnote>
  <w:footnote w:id="28">
    <w:p w14:paraId="28077FEE" w14:textId="054D1648" w:rsidR="000E5F69" w:rsidRDefault="000E5F69" w:rsidP="00227654">
      <w:pPr>
        <w:pStyle w:val="Textpoznpodarou"/>
        <w:ind w:left="284" w:hanging="284"/>
      </w:pPr>
      <w:r>
        <w:rPr>
          <w:rStyle w:val="Znakapoznpodarou"/>
        </w:rPr>
        <w:footnoteRef/>
      </w:r>
      <w:r>
        <w:t xml:space="preserve"> </w:t>
      </w:r>
      <w:r>
        <w:tab/>
      </w:r>
      <w:r w:rsidRPr="00CA785D">
        <w:t xml:space="preserve">Celkový finanční výsledek všech </w:t>
      </w:r>
      <w:r>
        <w:rPr>
          <w:lang w:val="cs-CZ"/>
        </w:rPr>
        <w:t>kontrolních úkonů</w:t>
      </w:r>
      <w:r w:rsidRPr="00CA785D">
        <w:t xml:space="preserve"> s nálezem za FÚ/</w:t>
      </w:r>
      <w:r>
        <w:t>S</w:t>
      </w:r>
      <w:r>
        <w:rPr>
          <w:lang w:val="cs-CZ"/>
        </w:rPr>
        <w:t>pecializovaný finanční úřad</w:t>
      </w:r>
      <w:r>
        <w:t>.</w:t>
      </w:r>
    </w:p>
  </w:footnote>
  <w:footnote w:id="29">
    <w:p w14:paraId="42C383A2" w14:textId="45D90082" w:rsidR="000E5F69" w:rsidRDefault="000E5F69" w:rsidP="00227654">
      <w:pPr>
        <w:pStyle w:val="Textpoznpodarou"/>
        <w:ind w:left="284" w:hanging="284"/>
      </w:pPr>
      <w:r>
        <w:rPr>
          <w:rStyle w:val="Znakapoznpodarou"/>
        </w:rPr>
        <w:footnoteRef/>
      </w:r>
      <w:r>
        <w:rPr>
          <w:lang w:val="cs-CZ"/>
        </w:rPr>
        <w:t xml:space="preserve"> </w:t>
      </w:r>
      <w:r>
        <w:rPr>
          <w:lang w:val="cs-CZ"/>
        </w:rPr>
        <w:tab/>
        <w:t>Sdělení GFŘ</w:t>
      </w:r>
      <w:r>
        <w:t>, že o</w:t>
      </w:r>
      <w:r w:rsidRPr="000A2879">
        <w:t>becný princip fungování těchto uskutečňovaných služeb přes elektronické platformy zahrnuje tři kategorie účastníků, a to elektronickou platformu, poskytovatele služeb a koncového uživatele. Elektronická platforma má za úkol propojit poskytovatele služeb s koncovými uživateli a usnadnit tak transakci (např. právě přepravu) mezi nimi. Poskytovatel služby obdrží za poskytnutí služby koncovému uživateli finanční odměnu, kterou mu standardně vyplácí elektronická platforma na bankovní účet.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6886" w14:textId="52844823" w:rsidR="000E5F69" w:rsidRDefault="000E5F69">
    <w:pPr>
      <w:pStyle w:val="Zhlav"/>
      <w:jc w:val="center"/>
    </w:pPr>
  </w:p>
  <w:p w14:paraId="150B8260" w14:textId="77777777" w:rsidR="000E5F69" w:rsidRDefault="000E5F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966"/>
    <w:multiLevelType w:val="hybridMultilevel"/>
    <w:tmpl w:val="31E2FA8A"/>
    <w:lvl w:ilvl="0" w:tplc="F0EADE6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A1281"/>
    <w:multiLevelType w:val="multilevel"/>
    <w:tmpl w:val="5CB4E92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347DA"/>
    <w:multiLevelType w:val="hybridMultilevel"/>
    <w:tmpl w:val="0FFC979C"/>
    <w:lvl w:ilvl="0" w:tplc="5C325F50">
      <w:start w:val="1"/>
      <w:numFmt w:val="bullet"/>
      <w:lvlText w:val="−"/>
      <w:lvlJc w:val="left"/>
      <w:pPr>
        <w:ind w:left="720" w:hanging="360"/>
      </w:pPr>
      <w:rPr>
        <w:rFonts w:ascii="Calibri" w:hAnsi="Calibri" w:hint="default"/>
      </w:rPr>
    </w:lvl>
    <w:lvl w:ilvl="1" w:tplc="0C72E52E" w:tentative="1">
      <w:start w:val="1"/>
      <w:numFmt w:val="bullet"/>
      <w:lvlText w:val="o"/>
      <w:lvlJc w:val="left"/>
      <w:pPr>
        <w:ind w:left="1440" w:hanging="360"/>
      </w:pPr>
      <w:rPr>
        <w:rFonts w:ascii="Courier New" w:hAnsi="Courier New" w:cs="Courier New" w:hint="default"/>
      </w:rPr>
    </w:lvl>
    <w:lvl w:ilvl="2" w:tplc="976C7A52" w:tentative="1">
      <w:start w:val="1"/>
      <w:numFmt w:val="bullet"/>
      <w:lvlText w:val=""/>
      <w:lvlJc w:val="left"/>
      <w:pPr>
        <w:ind w:left="2160" w:hanging="360"/>
      </w:pPr>
      <w:rPr>
        <w:rFonts w:ascii="Wingdings" w:hAnsi="Wingdings" w:hint="default"/>
      </w:rPr>
    </w:lvl>
    <w:lvl w:ilvl="3" w:tplc="3B74392C" w:tentative="1">
      <w:start w:val="1"/>
      <w:numFmt w:val="bullet"/>
      <w:lvlText w:val=""/>
      <w:lvlJc w:val="left"/>
      <w:pPr>
        <w:ind w:left="2880" w:hanging="360"/>
      </w:pPr>
      <w:rPr>
        <w:rFonts w:ascii="Symbol" w:hAnsi="Symbol" w:hint="default"/>
      </w:rPr>
    </w:lvl>
    <w:lvl w:ilvl="4" w:tplc="E05CB9EE" w:tentative="1">
      <w:start w:val="1"/>
      <w:numFmt w:val="bullet"/>
      <w:lvlText w:val="o"/>
      <w:lvlJc w:val="left"/>
      <w:pPr>
        <w:ind w:left="3600" w:hanging="360"/>
      </w:pPr>
      <w:rPr>
        <w:rFonts w:ascii="Courier New" w:hAnsi="Courier New" w:cs="Courier New" w:hint="default"/>
      </w:rPr>
    </w:lvl>
    <w:lvl w:ilvl="5" w:tplc="65CE0666" w:tentative="1">
      <w:start w:val="1"/>
      <w:numFmt w:val="bullet"/>
      <w:lvlText w:val=""/>
      <w:lvlJc w:val="left"/>
      <w:pPr>
        <w:ind w:left="4320" w:hanging="360"/>
      </w:pPr>
      <w:rPr>
        <w:rFonts w:ascii="Wingdings" w:hAnsi="Wingdings" w:hint="default"/>
      </w:rPr>
    </w:lvl>
    <w:lvl w:ilvl="6" w:tplc="BDA293A2" w:tentative="1">
      <w:start w:val="1"/>
      <w:numFmt w:val="bullet"/>
      <w:lvlText w:val=""/>
      <w:lvlJc w:val="left"/>
      <w:pPr>
        <w:ind w:left="5040" w:hanging="360"/>
      </w:pPr>
      <w:rPr>
        <w:rFonts w:ascii="Symbol" w:hAnsi="Symbol" w:hint="default"/>
      </w:rPr>
    </w:lvl>
    <w:lvl w:ilvl="7" w:tplc="58AAF10A" w:tentative="1">
      <w:start w:val="1"/>
      <w:numFmt w:val="bullet"/>
      <w:lvlText w:val="o"/>
      <w:lvlJc w:val="left"/>
      <w:pPr>
        <w:ind w:left="5760" w:hanging="360"/>
      </w:pPr>
      <w:rPr>
        <w:rFonts w:ascii="Courier New" w:hAnsi="Courier New" w:cs="Courier New" w:hint="default"/>
      </w:rPr>
    </w:lvl>
    <w:lvl w:ilvl="8" w:tplc="9E9A0820" w:tentative="1">
      <w:start w:val="1"/>
      <w:numFmt w:val="bullet"/>
      <w:lvlText w:val=""/>
      <w:lvlJc w:val="left"/>
      <w:pPr>
        <w:ind w:left="6480" w:hanging="360"/>
      </w:pPr>
      <w:rPr>
        <w:rFonts w:ascii="Wingdings" w:hAnsi="Wingdings" w:hint="default"/>
      </w:rPr>
    </w:lvl>
  </w:abstractNum>
  <w:abstractNum w:abstractNumId="3" w15:restartNumberingAfterBreak="0">
    <w:nsid w:val="08DF73AB"/>
    <w:multiLevelType w:val="hybridMultilevel"/>
    <w:tmpl w:val="9120E0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977CD3"/>
    <w:multiLevelType w:val="hybridMultilevel"/>
    <w:tmpl w:val="C59A59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D994AB9"/>
    <w:multiLevelType w:val="hybridMultilevel"/>
    <w:tmpl w:val="FE7EE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C94292"/>
    <w:multiLevelType w:val="hybridMultilevel"/>
    <w:tmpl w:val="3BC425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6935A4"/>
    <w:multiLevelType w:val="hybridMultilevel"/>
    <w:tmpl w:val="C4CA17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1D14D2"/>
    <w:multiLevelType w:val="hybridMultilevel"/>
    <w:tmpl w:val="D4181B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B9D1E60"/>
    <w:multiLevelType w:val="hybridMultilevel"/>
    <w:tmpl w:val="F13070AE"/>
    <w:lvl w:ilvl="0" w:tplc="38E89E74">
      <w:start w:val="1"/>
      <w:numFmt w:val="bullet"/>
      <w:lvlText w:val="•"/>
      <w:lvlJc w:val="left"/>
      <w:pPr>
        <w:tabs>
          <w:tab w:val="num" w:pos="1572"/>
        </w:tabs>
        <w:ind w:left="1572" w:hanging="360"/>
      </w:pPr>
      <w:rPr>
        <w:rFonts w:ascii="Times New Roman" w:hAnsi="Times New Roman" w:hint="default"/>
      </w:rPr>
    </w:lvl>
    <w:lvl w:ilvl="1" w:tplc="61F20216" w:tentative="1">
      <w:start w:val="1"/>
      <w:numFmt w:val="bullet"/>
      <w:lvlText w:val="•"/>
      <w:lvlJc w:val="left"/>
      <w:pPr>
        <w:tabs>
          <w:tab w:val="num" w:pos="2292"/>
        </w:tabs>
        <w:ind w:left="2292" w:hanging="360"/>
      </w:pPr>
      <w:rPr>
        <w:rFonts w:ascii="Times New Roman" w:hAnsi="Times New Roman" w:hint="default"/>
      </w:rPr>
    </w:lvl>
    <w:lvl w:ilvl="2" w:tplc="6420A24E" w:tentative="1">
      <w:start w:val="1"/>
      <w:numFmt w:val="bullet"/>
      <w:lvlText w:val="•"/>
      <w:lvlJc w:val="left"/>
      <w:pPr>
        <w:tabs>
          <w:tab w:val="num" w:pos="3012"/>
        </w:tabs>
        <w:ind w:left="3012" w:hanging="360"/>
      </w:pPr>
      <w:rPr>
        <w:rFonts w:ascii="Times New Roman" w:hAnsi="Times New Roman" w:hint="default"/>
      </w:rPr>
    </w:lvl>
    <w:lvl w:ilvl="3" w:tplc="2B162EB8" w:tentative="1">
      <w:start w:val="1"/>
      <w:numFmt w:val="bullet"/>
      <w:lvlText w:val="•"/>
      <w:lvlJc w:val="left"/>
      <w:pPr>
        <w:tabs>
          <w:tab w:val="num" w:pos="3732"/>
        </w:tabs>
        <w:ind w:left="3732" w:hanging="360"/>
      </w:pPr>
      <w:rPr>
        <w:rFonts w:ascii="Times New Roman" w:hAnsi="Times New Roman" w:hint="default"/>
      </w:rPr>
    </w:lvl>
    <w:lvl w:ilvl="4" w:tplc="967CAE98" w:tentative="1">
      <w:start w:val="1"/>
      <w:numFmt w:val="bullet"/>
      <w:lvlText w:val="•"/>
      <w:lvlJc w:val="left"/>
      <w:pPr>
        <w:tabs>
          <w:tab w:val="num" w:pos="4452"/>
        </w:tabs>
        <w:ind w:left="4452" w:hanging="360"/>
      </w:pPr>
      <w:rPr>
        <w:rFonts w:ascii="Times New Roman" w:hAnsi="Times New Roman" w:hint="default"/>
      </w:rPr>
    </w:lvl>
    <w:lvl w:ilvl="5" w:tplc="9F3EA45A" w:tentative="1">
      <w:start w:val="1"/>
      <w:numFmt w:val="bullet"/>
      <w:lvlText w:val="•"/>
      <w:lvlJc w:val="left"/>
      <w:pPr>
        <w:tabs>
          <w:tab w:val="num" w:pos="5172"/>
        </w:tabs>
        <w:ind w:left="5172" w:hanging="360"/>
      </w:pPr>
      <w:rPr>
        <w:rFonts w:ascii="Times New Roman" w:hAnsi="Times New Roman" w:hint="default"/>
      </w:rPr>
    </w:lvl>
    <w:lvl w:ilvl="6" w:tplc="83385DFC" w:tentative="1">
      <w:start w:val="1"/>
      <w:numFmt w:val="bullet"/>
      <w:lvlText w:val="•"/>
      <w:lvlJc w:val="left"/>
      <w:pPr>
        <w:tabs>
          <w:tab w:val="num" w:pos="5892"/>
        </w:tabs>
        <w:ind w:left="5892" w:hanging="360"/>
      </w:pPr>
      <w:rPr>
        <w:rFonts w:ascii="Times New Roman" w:hAnsi="Times New Roman" w:hint="default"/>
      </w:rPr>
    </w:lvl>
    <w:lvl w:ilvl="7" w:tplc="FD309EEA" w:tentative="1">
      <w:start w:val="1"/>
      <w:numFmt w:val="bullet"/>
      <w:lvlText w:val="•"/>
      <w:lvlJc w:val="left"/>
      <w:pPr>
        <w:tabs>
          <w:tab w:val="num" w:pos="6612"/>
        </w:tabs>
        <w:ind w:left="6612" w:hanging="360"/>
      </w:pPr>
      <w:rPr>
        <w:rFonts w:ascii="Times New Roman" w:hAnsi="Times New Roman" w:hint="default"/>
      </w:rPr>
    </w:lvl>
    <w:lvl w:ilvl="8" w:tplc="E4181AF2" w:tentative="1">
      <w:start w:val="1"/>
      <w:numFmt w:val="bullet"/>
      <w:lvlText w:val="•"/>
      <w:lvlJc w:val="left"/>
      <w:pPr>
        <w:tabs>
          <w:tab w:val="num" w:pos="7332"/>
        </w:tabs>
        <w:ind w:left="7332" w:hanging="360"/>
      </w:pPr>
      <w:rPr>
        <w:rFonts w:ascii="Times New Roman" w:hAnsi="Times New Roman" w:hint="default"/>
      </w:rPr>
    </w:lvl>
  </w:abstractNum>
  <w:abstractNum w:abstractNumId="10" w15:restartNumberingAfterBreak="0">
    <w:nsid w:val="1EB3629C"/>
    <w:multiLevelType w:val="hybridMultilevel"/>
    <w:tmpl w:val="B2CAA16C"/>
    <w:lvl w:ilvl="0" w:tplc="4984D926">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DF4CF5"/>
    <w:multiLevelType w:val="hybridMultilevel"/>
    <w:tmpl w:val="4AE25868"/>
    <w:lvl w:ilvl="0" w:tplc="155CC8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992A45"/>
    <w:multiLevelType w:val="hybridMultilevel"/>
    <w:tmpl w:val="E640CA8A"/>
    <w:lvl w:ilvl="0" w:tplc="54DCDA9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EE71C21"/>
    <w:multiLevelType w:val="hybridMultilevel"/>
    <w:tmpl w:val="AFA01942"/>
    <w:lvl w:ilvl="0" w:tplc="5C325F50">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2FB97F03"/>
    <w:multiLevelType w:val="hybridMultilevel"/>
    <w:tmpl w:val="7BAE43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DB5891"/>
    <w:multiLevelType w:val="hybridMultilevel"/>
    <w:tmpl w:val="0A1C2EF2"/>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6" w15:restartNumberingAfterBreak="0">
    <w:nsid w:val="3A230848"/>
    <w:multiLevelType w:val="hybridMultilevel"/>
    <w:tmpl w:val="97EA6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CB2182"/>
    <w:multiLevelType w:val="hybridMultilevel"/>
    <w:tmpl w:val="5FC8EDE6"/>
    <w:lvl w:ilvl="0" w:tplc="3C201B1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E4062D1"/>
    <w:multiLevelType w:val="hybridMultilevel"/>
    <w:tmpl w:val="454865E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0007FC5"/>
    <w:multiLevelType w:val="hybridMultilevel"/>
    <w:tmpl w:val="4AE25868"/>
    <w:lvl w:ilvl="0" w:tplc="155CC8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DC6DC0"/>
    <w:multiLevelType w:val="hybridMultilevel"/>
    <w:tmpl w:val="7CFE9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042BEA"/>
    <w:multiLevelType w:val="hybridMultilevel"/>
    <w:tmpl w:val="CF128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780AEF"/>
    <w:multiLevelType w:val="hybridMultilevel"/>
    <w:tmpl w:val="B2CAA16C"/>
    <w:lvl w:ilvl="0" w:tplc="4984D926">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363701"/>
    <w:multiLevelType w:val="hybridMultilevel"/>
    <w:tmpl w:val="D96CB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74025DF"/>
    <w:multiLevelType w:val="hybridMultilevel"/>
    <w:tmpl w:val="B2CAA16C"/>
    <w:lvl w:ilvl="0" w:tplc="4984D926">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976848"/>
    <w:multiLevelType w:val="hybridMultilevel"/>
    <w:tmpl w:val="4AE25868"/>
    <w:lvl w:ilvl="0" w:tplc="155CC85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9B49E1"/>
    <w:multiLevelType w:val="hybridMultilevel"/>
    <w:tmpl w:val="0EAE6A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41F44A2"/>
    <w:multiLevelType w:val="multilevel"/>
    <w:tmpl w:val="3A48301E"/>
    <w:lvl w:ilvl="0">
      <w:start w:val="3"/>
      <w:numFmt w:val="decimal"/>
      <w:lvlText w:val="%1."/>
      <w:lvlJc w:val="left"/>
      <w:pPr>
        <w:ind w:left="1068" w:hanging="360"/>
      </w:pPr>
      <w:rPr>
        <w:rFonts w:hint="default"/>
        <w:b/>
      </w:rPr>
    </w:lvl>
    <w:lvl w:ilvl="1">
      <w:start w:val="1"/>
      <w:numFmt w:val="decimal"/>
      <w:lvlText w:val="%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8" w15:restartNumberingAfterBreak="0">
    <w:nsid w:val="647F2969"/>
    <w:multiLevelType w:val="hybridMultilevel"/>
    <w:tmpl w:val="ADCE5A72"/>
    <w:lvl w:ilvl="0" w:tplc="5F6633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DE523C"/>
    <w:multiLevelType w:val="hybridMultilevel"/>
    <w:tmpl w:val="C8F4E8D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0" w15:restartNumberingAfterBreak="0">
    <w:nsid w:val="69D8471B"/>
    <w:multiLevelType w:val="hybridMultilevel"/>
    <w:tmpl w:val="22988F7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9E54150"/>
    <w:multiLevelType w:val="hybridMultilevel"/>
    <w:tmpl w:val="6CAC637C"/>
    <w:lvl w:ilvl="0" w:tplc="3F3E94B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F14467"/>
    <w:multiLevelType w:val="hybridMultilevel"/>
    <w:tmpl w:val="CD0CE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5E5DF9"/>
    <w:multiLevelType w:val="hybridMultilevel"/>
    <w:tmpl w:val="25128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AA4082"/>
    <w:multiLevelType w:val="hybridMultilevel"/>
    <w:tmpl w:val="5B5E9050"/>
    <w:lvl w:ilvl="0" w:tplc="261C807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4"/>
  </w:num>
  <w:num w:numId="3">
    <w:abstractNumId w:val="29"/>
  </w:num>
  <w:num w:numId="4">
    <w:abstractNumId w:val="8"/>
  </w:num>
  <w:num w:numId="5">
    <w:abstractNumId w:val="32"/>
  </w:num>
  <w:num w:numId="6">
    <w:abstractNumId w:val="6"/>
  </w:num>
  <w:num w:numId="7">
    <w:abstractNumId w:val="5"/>
  </w:num>
  <w:num w:numId="8">
    <w:abstractNumId w:val="20"/>
  </w:num>
  <w:num w:numId="9">
    <w:abstractNumId w:val="25"/>
  </w:num>
  <w:num w:numId="10">
    <w:abstractNumId w:val="18"/>
  </w:num>
  <w:num w:numId="11">
    <w:abstractNumId w:val="12"/>
  </w:num>
  <w:num w:numId="12">
    <w:abstractNumId w:val="34"/>
  </w:num>
  <w:num w:numId="13">
    <w:abstractNumId w:val="31"/>
  </w:num>
  <w:num w:numId="14">
    <w:abstractNumId w:val="23"/>
  </w:num>
  <w:num w:numId="15">
    <w:abstractNumId w:val="16"/>
  </w:num>
  <w:num w:numId="16">
    <w:abstractNumId w:val="3"/>
  </w:num>
  <w:num w:numId="17">
    <w:abstractNumId w:val="17"/>
  </w:num>
  <w:num w:numId="18">
    <w:abstractNumId w:val="26"/>
  </w:num>
  <w:num w:numId="19">
    <w:abstractNumId w:val="13"/>
  </w:num>
  <w:num w:numId="20">
    <w:abstractNumId w:val="1"/>
  </w:num>
  <w:num w:numId="21">
    <w:abstractNumId w:val="27"/>
  </w:num>
  <w:num w:numId="22">
    <w:abstractNumId w:val="0"/>
  </w:num>
  <w:num w:numId="23">
    <w:abstractNumId w:val="33"/>
  </w:num>
  <w:num w:numId="24">
    <w:abstractNumId w:val="21"/>
  </w:num>
  <w:num w:numId="25">
    <w:abstractNumId w:val="9"/>
  </w:num>
  <w:num w:numId="26">
    <w:abstractNumId w:val="7"/>
  </w:num>
  <w:num w:numId="27">
    <w:abstractNumId w:val="1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1"/>
  </w:num>
  <w:num w:numId="31">
    <w:abstractNumId w:val="10"/>
  </w:num>
  <w:num w:numId="32">
    <w:abstractNumId w:val="22"/>
  </w:num>
  <w:num w:numId="33">
    <w:abstractNumId w:val="28"/>
  </w:num>
  <w:num w:numId="34">
    <w:abstractNumId w:val="24"/>
  </w:num>
  <w:num w:numId="35">
    <w:abstractNumId w:val="30"/>
  </w:num>
  <w:num w:numId="3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oNotTrackMove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55"/>
    <w:rsid w:val="000003AE"/>
    <w:rsid w:val="00000D93"/>
    <w:rsid w:val="000014F0"/>
    <w:rsid w:val="00001D35"/>
    <w:rsid w:val="00001E7B"/>
    <w:rsid w:val="000022EE"/>
    <w:rsid w:val="00002B5C"/>
    <w:rsid w:val="000037D7"/>
    <w:rsid w:val="00003922"/>
    <w:rsid w:val="00005293"/>
    <w:rsid w:val="000052A6"/>
    <w:rsid w:val="00005BF4"/>
    <w:rsid w:val="0000727D"/>
    <w:rsid w:val="000107D5"/>
    <w:rsid w:val="00010989"/>
    <w:rsid w:val="00011546"/>
    <w:rsid w:val="0001210A"/>
    <w:rsid w:val="0001258E"/>
    <w:rsid w:val="00012AB1"/>
    <w:rsid w:val="000130DA"/>
    <w:rsid w:val="0001384C"/>
    <w:rsid w:val="000142F3"/>
    <w:rsid w:val="00014779"/>
    <w:rsid w:val="00014A36"/>
    <w:rsid w:val="00014ACA"/>
    <w:rsid w:val="00015101"/>
    <w:rsid w:val="0001520E"/>
    <w:rsid w:val="00015A43"/>
    <w:rsid w:val="00015E96"/>
    <w:rsid w:val="00016276"/>
    <w:rsid w:val="00017451"/>
    <w:rsid w:val="0001793D"/>
    <w:rsid w:val="00017F77"/>
    <w:rsid w:val="00020502"/>
    <w:rsid w:val="000207B7"/>
    <w:rsid w:val="00020C7A"/>
    <w:rsid w:val="00020D00"/>
    <w:rsid w:val="00020ED4"/>
    <w:rsid w:val="00021B5B"/>
    <w:rsid w:val="00022C93"/>
    <w:rsid w:val="0002358E"/>
    <w:rsid w:val="00023DFE"/>
    <w:rsid w:val="00024210"/>
    <w:rsid w:val="00025363"/>
    <w:rsid w:val="0002581D"/>
    <w:rsid w:val="000266FF"/>
    <w:rsid w:val="00026702"/>
    <w:rsid w:val="000267B3"/>
    <w:rsid w:val="00026F09"/>
    <w:rsid w:val="00027D4A"/>
    <w:rsid w:val="000305F4"/>
    <w:rsid w:val="00031093"/>
    <w:rsid w:val="000312AB"/>
    <w:rsid w:val="00031F52"/>
    <w:rsid w:val="00032789"/>
    <w:rsid w:val="00032DE7"/>
    <w:rsid w:val="00033F5E"/>
    <w:rsid w:val="00034B61"/>
    <w:rsid w:val="00035053"/>
    <w:rsid w:val="0003536F"/>
    <w:rsid w:val="00036734"/>
    <w:rsid w:val="00036C79"/>
    <w:rsid w:val="00037C73"/>
    <w:rsid w:val="00040588"/>
    <w:rsid w:val="000407D0"/>
    <w:rsid w:val="00040D7A"/>
    <w:rsid w:val="00040DDC"/>
    <w:rsid w:val="00040EE4"/>
    <w:rsid w:val="00041940"/>
    <w:rsid w:val="00041A45"/>
    <w:rsid w:val="00046277"/>
    <w:rsid w:val="000463F3"/>
    <w:rsid w:val="0004641E"/>
    <w:rsid w:val="00046873"/>
    <w:rsid w:val="00046D5F"/>
    <w:rsid w:val="0005058C"/>
    <w:rsid w:val="00050980"/>
    <w:rsid w:val="00050CFA"/>
    <w:rsid w:val="000513FF"/>
    <w:rsid w:val="00051F99"/>
    <w:rsid w:val="000526EF"/>
    <w:rsid w:val="0005287E"/>
    <w:rsid w:val="00053737"/>
    <w:rsid w:val="00053D11"/>
    <w:rsid w:val="00053D97"/>
    <w:rsid w:val="00053FCE"/>
    <w:rsid w:val="0005470C"/>
    <w:rsid w:val="00054806"/>
    <w:rsid w:val="00054BD4"/>
    <w:rsid w:val="00055268"/>
    <w:rsid w:val="00055D5D"/>
    <w:rsid w:val="000562BF"/>
    <w:rsid w:val="000566F0"/>
    <w:rsid w:val="00057327"/>
    <w:rsid w:val="0006009E"/>
    <w:rsid w:val="000601D5"/>
    <w:rsid w:val="0006090F"/>
    <w:rsid w:val="00060F8C"/>
    <w:rsid w:val="000612BA"/>
    <w:rsid w:val="0006175C"/>
    <w:rsid w:val="00061CDF"/>
    <w:rsid w:val="000623D7"/>
    <w:rsid w:val="0006256C"/>
    <w:rsid w:val="00062EF9"/>
    <w:rsid w:val="000646C9"/>
    <w:rsid w:val="00065029"/>
    <w:rsid w:val="00065D82"/>
    <w:rsid w:val="0006624F"/>
    <w:rsid w:val="000669AB"/>
    <w:rsid w:val="0006762D"/>
    <w:rsid w:val="000700AC"/>
    <w:rsid w:val="00070B18"/>
    <w:rsid w:val="000710B2"/>
    <w:rsid w:val="000724A0"/>
    <w:rsid w:val="000728F5"/>
    <w:rsid w:val="0007332F"/>
    <w:rsid w:val="00073BD0"/>
    <w:rsid w:val="00074857"/>
    <w:rsid w:val="0007544F"/>
    <w:rsid w:val="00075C70"/>
    <w:rsid w:val="00076DC8"/>
    <w:rsid w:val="00077867"/>
    <w:rsid w:val="00081378"/>
    <w:rsid w:val="00081681"/>
    <w:rsid w:val="0008183C"/>
    <w:rsid w:val="000819FE"/>
    <w:rsid w:val="00082589"/>
    <w:rsid w:val="00083649"/>
    <w:rsid w:val="0008396B"/>
    <w:rsid w:val="00083F5E"/>
    <w:rsid w:val="00083F97"/>
    <w:rsid w:val="00084202"/>
    <w:rsid w:val="00084BAC"/>
    <w:rsid w:val="00084DB3"/>
    <w:rsid w:val="00085A4A"/>
    <w:rsid w:val="00085A9E"/>
    <w:rsid w:val="00086A63"/>
    <w:rsid w:val="00086B45"/>
    <w:rsid w:val="00086C2E"/>
    <w:rsid w:val="00086D11"/>
    <w:rsid w:val="00086D31"/>
    <w:rsid w:val="00086F44"/>
    <w:rsid w:val="0008713C"/>
    <w:rsid w:val="000873E2"/>
    <w:rsid w:val="00087851"/>
    <w:rsid w:val="000879AA"/>
    <w:rsid w:val="00087EE5"/>
    <w:rsid w:val="000901CB"/>
    <w:rsid w:val="00090671"/>
    <w:rsid w:val="00091185"/>
    <w:rsid w:val="000919CF"/>
    <w:rsid w:val="00091AEE"/>
    <w:rsid w:val="00092102"/>
    <w:rsid w:val="00092B2F"/>
    <w:rsid w:val="0009371C"/>
    <w:rsid w:val="0009373F"/>
    <w:rsid w:val="00093DC6"/>
    <w:rsid w:val="00094340"/>
    <w:rsid w:val="00094638"/>
    <w:rsid w:val="00094A0E"/>
    <w:rsid w:val="00094B5A"/>
    <w:rsid w:val="00096883"/>
    <w:rsid w:val="00096D1A"/>
    <w:rsid w:val="00096E11"/>
    <w:rsid w:val="00096EDB"/>
    <w:rsid w:val="000970D1"/>
    <w:rsid w:val="000976FD"/>
    <w:rsid w:val="000A2B02"/>
    <w:rsid w:val="000A2DB6"/>
    <w:rsid w:val="000A30D5"/>
    <w:rsid w:val="000A33FA"/>
    <w:rsid w:val="000A3461"/>
    <w:rsid w:val="000A3D04"/>
    <w:rsid w:val="000A4172"/>
    <w:rsid w:val="000A4F31"/>
    <w:rsid w:val="000A582A"/>
    <w:rsid w:val="000A5FBB"/>
    <w:rsid w:val="000A605F"/>
    <w:rsid w:val="000A64F4"/>
    <w:rsid w:val="000A658A"/>
    <w:rsid w:val="000A6A64"/>
    <w:rsid w:val="000A6E20"/>
    <w:rsid w:val="000A6ECB"/>
    <w:rsid w:val="000A702E"/>
    <w:rsid w:val="000B0441"/>
    <w:rsid w:val="000B0474"/>
    <w:rsid w:val="000B1403"/>
    <w:rsid w:val="000B1763"/>
    <w:rsid w:val="000B1BC9"/>
    <w:rsid w:val="000B1D3E"/>
    <w:rsid w:val="000B2098"/>
    <w:rsid w:val="000B2210"/>
    <w:rsid w:val="000B2573"/>
    <w:rsid w:val="000B488F"/>
    <w:rsid w:val="000B4E77"/>
    <w:rsid w:val="000B5418"/>
    <w:rsid w:val="000B568B"/>
    <w:rsid w:val="000B5D27"/>
    <w:rsid w:val="000B5E82"/>
    <w:rsid w:val="000B689C"/>
    <w:rsid w:val="000B6A37"/>
    <w:rsid w:val="000B76D2"/>
    <w:rsid w:val="000B7FA7"/>
    <w:rsid w:val="000C0391"/>
    <w:rsid w:val="000C051B"/>
    <w:rsid w:val="000C05EC"/>
    <w:rsid w:val="000C06CB"/>
    <w:rsid w:val="000C0DA7"/>
    <w:rsid w:val="000C0F35"/>
    <w:rsid w:val="000C165A"/>
    <w:rsid w:val="000C3282"/>
    <w:rsid w:val="000C395C"/>
    <w:rsid w:val="000C40BA"/>
    <w:rsid w:val="000C4371"/>
    <w:rsid w:val="000C4936"/>
    <w:rsid w:val="000C6857"/>
    <w:rsid w:val="000C6B7F"/>
    <w:rsid w:val="000C6C3E"/>
    <w:rsid w:val="000D02E2"/>
    <w:rsid w:val="000D04AF"/>
    <w:rsid w:val="000D0A61"/>
    <w:rsid w:val="000D0C85"/>
    <w:rsid w:val="000D0D6D"/>
    <w:rsid w:val="000D1B18"/>
    <w:rsid w:val="000D2311"/>
    <w:rsid w:val="000D33C0"/>
    <w:rsid w:val="000D39D4"/>
    <w:rsid w:val="000D4854"/>
    <w:rsid w:val="000D48F2"/>
    <w:rsid w:val="000D541D"/>
    <w:rsid w:val="000D666D"/>
    <w:rsid w:val="000D6D37"/>
    <w:rsid w:val="000D703B"/>
    <w:rsid w:val="000D71B1"/>
    <w:rsid w:val="000D766C"/>
    <w:rsid w:val="000E1186"/>
    <w:rsid w:val="000E1C5B"/>
    <w:rsid w:val="000E2A9B"/>
    <w:rsid w:val="000E3839"/>
    <w:rsid w:val="000E3A7E"/>
    <w:rsid w:val="000E40DD"/>
    <w:rsid w:val="000E4379"/>
    <w:rsid w:val="000E4C95"/>
    <w:rsid w:val="000E4D97"/>
    <w:rsid w:val="000E5F69"/>
    <w:rsid w:val="000E6091"/>
    <w:rsid w:val="000E6990"/>
    <w:rsid w:val="000E6D35"/>
    <w:rsid w:val="000E6D4E"/>
    <w:rsid w:val="000E6EB0"/>
    <w:rsid w:val="000E7452"/>
    <w:rsid w:val="000F039D"/>
    <w:rsid w:val="000F20F5"/>
    <w:rsid w:val="000F2CAC"/>
    <w:rsid w:val="000F325B"/>
    <w:rsid w:val="000F41B6"/>
    <w:rsid w:val="000F43F3"/>
    <w:rsid w:val="000F4CE0"/>
    <w:rsid w:val="000F5A02"/>
    <w:rsid w:val="000F6E57"/>
    <w:rsid w:val="000F738E"/>
    <w:rsid w:val="0010024A"/>
    <w:rsid w:val="001007A2"/>
    <w:rsid w:val="00100836"/>
    <w:rsid w:val="00100971"/>
    <w:rsid w:val="00100EF0"/>
    <w:rsid w:val="00102436"/>
    <w:rsid w:val="001024E1"/>
    <w:rsid w:val="00102E80"/>
    <w:rsid w:val="001036E6"/>
    <w:rsid w:val="00103E0B"/>
    <w:rsid w:val="00104388"/>
    <w:rsid w:val="001047B5"/>
    <w:rsid w:val="00104D08"/>
    <w:rsid w:val="001054C4"/>
    <w:rsid w:val="0010589A"/>
    <w:rsid w:val="00105BFD"/>
    <w:rsid w:val="00105F34"/>
    <w:rsid w:val="00106117"/>
    <w:rsid w:val="0010633E"/>
    <w:rsid w:val="00106683"/>
    <w:rsid w:val="00106CDB"/>
    <w:rsid w:val="0010742A"/>
    <w:rsid w:val="00107586"/>
    <w:rsid w:val="0010766A"/>
    <w:rsid w:val="001127A4"/>
    <w:rsid w:val="00112D39"/>
    <w:rsid w:val="0011525A"/>
    <w:rsid w:val="0011535A"/>
    <w:rsid w:val="00115BB9"/>
    <w:rsid w:val="00116C8E"/>
    <w:rsid w:val="00117115"/>
    <w:rsid w:val="0012055C"/>
    <w:rsid w:val="00123259"/>
    <w:rsid w:val="00123389"/>
    <w:rsid w:val="0012344C"/>
    <w:rsid w:val="001234DB"/>
    <w:rsid w:val="001235A0"/>
    <w:rsid w:val="00124636"/>
    <w:rsid w:val="00124C40"/>
    <w:rsid w:val="0012574D"/>
    <w:rsid w:val="00125A37"/>
    <w:rsid w:val="001264C3"/>
    <w:rsid w:val="00127247"/>
    <w:rsid w:val="00127828"/>
    <w:rsid w:val="00127EEB"/>
    <w:rsid w:val="001306A7"/>
    <w:rsid w:val="00130AE8"/>
    <w:rsid w:val="00130DA4"/>
    <w:rsid w:val="001317ED"/>
    <w:rsid w:val="0013195A"/>
    <w:rsid w:val="00131B97"/>
    <w:rsid w:val="001322F7"/>
    <w:rsid w:val="001325D6"/>
    <w:rsid w:val="001345E1"/>
    <w:rsid w:val="00134D04"/>
    <w:rsid w:val="00135605"/>
    <w:rsid w:val="0014052E"/>
    <w:rsid w:val="00140E03"/>
    <w:rsid w:val="00141479"/>
    <w:rsid w:val="00142812"/>
    <w:rsid w:val="00142878"/>
    <w:rsid w:val="00142A64"/>
    <w:rsid w:val="00142DCD"/>
    <w:rsid w:val="00144256"/>
    <w:rsid w:val="0014438B"/>
    <w:rsid w:val="00144FC9"/>
    <w:rsid w:val="00146DC6"/>
    <w:rsid w:val="00147044"/>
    <w:rsid w:val="001475BE"/>
    <w:rsid w:val="001476C0"/>
    <w:rsid w:val="00147A50"/>
    <w:rsid w:val="00147F88"/>
    <w:rsid w:val="001522B8"/>
    <w:rsid w:val="00152BDF"/>
    <w:rsid w:val="00154405"/>
    <w:rsid w:val="00154791"/>
    <w:rsid w:val="001555B3"/>
    <w:rsid w:val="0015576A"/>
    <w:rsid w:val="00156D26"/>
    <w:rsid w:val="00157259"/>
    <w:rsid w:val="00157DED"/>
    <w:rsid w:val="00162209"/>
    <w:rsid w:val="001624E7"/>
    <w:rsid w:val="00162C8B"/>
    <w:rsid w:val="00163538"/>
    <w:rsid w:val="00163B5A"/>
    <w:rsid w:val="00164A82"/>
    <w:rsid w:val="00164C48"/>
    <w:rsid w:val="00164CCD"/>
    <w:rsid w:val="0016567C"/>
    <w:rsid w:val="001668E0"/>
    <w:rsid w:val="00166D2C"/>
    <w:rsid w:val="0017097B"/>
    <w:rsid w:val="001710D8"/>
    <w:rsid w:val="0017131A"/>
    <w:rsid w:val="00171806"/>
    <w:rsid w:val="00171CAB"/>
    <w:rsid w:val="00171DD0"/>
    <w:rsid w:val="0017229F"/>
    <w:rsid w:val="0017316B"/>
    <w:rsid w:val="001735CD"/>
    <w:rsid w:val="0017389B"/>
    <w:rsid w:val="00174872"/>
    <w:rsid w:val="0017641B"/>
    <w:rsid w:val="00176B7F"/>
    <w:rsid w:val="00176D3B"/>
    <w:rsid w:val="00176E8D"/>
    <w:rsid w:val="00177500"/>
    <w:rsid w:val="001775CE"/>
    <w:rsid w:val="001778CE"/>
    <w:rsid w:val="0018088D"/>
    <w:rsid w:val="00180B3E"/>
    <w:rsid w:val="00180B7F"/>
    <w:rsid w:val="00180D78"/>
    <w:rsid w:val="00181D0B"/>
    <w:rsid w:val="00181F0A"/>
    <w:rsid w:val="001826FA"/>
    <w:rsid w:val="00182CB9"/>
    <w:rsid w:val="001831E5"/>
    <w:rsid w:val="0018326D"/>
    <w:rsid w:val="0018362A"/>
    <w:rsid w:val="0018412D"/>
    <w:rsid w:val="00185583"/>
    <w:rsid w:val="0018623A"/>
    <w:rsid w:val="00186561"/>
    <w:rsid w:val="001866BD"/>
    <w:rsid w:val="00186A68"/>
    <w:rsid w:val="00186F69"/>
    <w:rsid w:val="00187944"/>
    <w:rsid w:val="00190486"/>
    <w:rsid w:val="00190A56"/>
    <w:rsid w:val="00190B10"/>
    <w:rsid w:val="00190D88"/>
    <w:rsid w:val="00191016"/>
    <w:rsid w:val="0019159C"/>
    <w:rsid w:val="00191E7D"/>
    <w:rsid w:val="00191EE7"/>
    <w:rsid w:val="00192053"/>
    <w:rsid w:val="00192C22"/>
    <w:rsid w:val="00193C98"/>
    <w:rsid w:val="00193FEF"/>
    <w:rsid w:val="001947A9"/>
    <w:rsid w:val="001949C6"/>
    <w:rsid w:val="00194AA9"/>
    <w:rsid w:val="00195842"/>
    <w:rsid w:val="00196655"/>
    <w:rsid w:val="001A03C5"/>
    <w:rsid w:val="001A05E7"/>
    <w:rsid w:val="001A10E8"/>
    <w:rsid w:val="001A1794"/>
    <w:rsid w:val="001A1918"/>
    <w:rsid w:val="001A2A9E"/>
    <w:rsid w:val="001A2FF1"/>
    <w:rsid w:val="001A54B6"/>
    <w:rsid w:val="001A5D9D"/>
    <w:rsid w:val="001A6E39"/>
    <w:rsid w:val="001A74BC"/>
    <w:rsid w:val="001A7A13"/>
    <w:rsid w:val="001B0775"/>
    <w:rsid w:val="001B087D"/>
    <w:rsid w:val="001B09A1"/>
    <w:rsid w:val="001B0DD7"/>
    <w:rsid w:val="001B2070"/>
    <w:rsid w:val="001B2300"/>
    <w:rsid w:val="001B25CD"/>
    <w:rsid w:val="001B3FE1"/>
    <w:rsid w:val="001B4272"/>
    <w:rsid w:val="001B47D7"/>
    <w:rsid w:val="001B591C"/>
    <w:rsid w:val="001B7080"/>
    <w:rsid w:val="001B740E"/>
    <w:rsid w:val="001B7779"/>
    <w:rsid w:val="001C0329"/>
    <w:rsid w:val="001C0737"/>
    <w:rsid w:val="001C07BC"/>
    <w:rsid w:val="001C1120"/>
    <w:rsid w:val="001C17BF"/>
    <w:rsid w:val="001C1969"/>
    <w:rsid w:val="001C1B20"/>
    <w:rsid w:val="001C1CED"/>
    <w:rsid w:val="001C21CC"/>
    <w:rsid w:val="001C3344"/>
    <w:rsid w:val="001C3365"/>
    <w:rsid w:val="001C37FC"/>
    <w:rsid w:val="001C4F12"/>
    <w:rsid w:val="001C5028"/>
    <w:rsid w:val="001C54C1"/>
    <w:rsid w:val="001C654F"/>
    <w:rsid w:val="001C6750"/>
    <w:rsid w:val="001C6A0A"/>
    <w:rsid w:val="001C7FDC"/>
    <w:rsid w:val="001D06CA"/>
    <w:rsid w:val="001D0728"/>
    <w:rsid w:val="001D0875"/>
    <w:rsid w:val="001D0A02"/>
    <w:rsid w:val="001D0E1C"/>
    <w:rsid w:val="001D1040"/>
    <w:rsid w:val="001D13A7"/>
    <w:rsid w:val="001D1899"/>
    <w:rsid w:val="001D1EBD"/>
    <w:rsid w:val="001D2B21"/>
    <w:rsid w:val="001D2B6E"/>
    <w:rsid w:val="001D2BE3"/>
    <w:rsid w:val="001D2D8B"/>
    <w:rsid w:val="001D304C"/>
    <w:rsid w:val="001D360C"/>
    <w:rsid w:val="001D39A2"/>
    <w:rsid w:val="001D3A69"/>
    <w:rsid w:val="001D3FA5"/>
    <w:rsid w:val="001D41AA"/>
    <w:rsid w:val="001D4A34"/>
    <w:rsid w:val="001D4DB6"/>
    <w:rsid w:val="001D58B4"/>
    <w:rsid w:val="001D5F13"/>
    <w:rsid w:val="001D777A"/>
    <w:rsid w:val="001D790A"/>
    <w:rsid w:val="001E00BA"/>
    <w:rsid w:val="001E06B3"/>
    <w:rsid w:val="001E07D7"/>
    <w:rsid w:val="001E1070"/>
    <w:rsid w:val="001E1174"/>
    <w:rsid w:val="001E13B2"/>
    <w:rsid w:val="001E206F"/>
    <w:rsid w:val="001E230E"/>
    <w:rsid w:val="001E328E"/>
    <w:rsid w:val="001E389D"/>
    <w:rsid w:val="001E391E"/>
    <w:rsid w:val="001E49A0"/>
    <w:rsid w:val="001E4CFB"/>
    <w:rsid w:val="001E50E4"/>
    <w:rsid w:val="001E5487"/>
    <w:rsid w:val="001E5547"/>
    <w:rsid w:val="001E5731"/>
    <w:rsid w:val="001E5A5D"/>
    <w:rsid w:val="001E5E0D"/>
    <w:rsid w:val="001E6BA0"/>
    <w:rsid w:val="001E7CCB"/>
    <w:rsid w:val="001F0654"/>
    <w:rsid w:val="001F0AC3"/>
    <w:rsid w:val="001F0B5B"/>
    <w:rsid w:val="001F0FBC"/>
    <w:rsid w:val="001F1411"/>
    <w:rsid w:val="001F17FB"/>
    <w:rsid w:val="001F1F6B"/>
    <w:rsid w:val="001F2A8D"/>
    <w:rsid w:val="001F2E50"/>
    <w:rsid w:val="001F3099"/>
    <w:rsid w:val="001F3230"/>
    <w:rsid w:val="001F44E7"/>
    <w:rsid w:val="001F48B2"/>
    <w:rsid w:val="001F4FE3"/>
    <w:rsid w:val="001F5C3F"/>
    <w:rsid w:val="001F6D23"/>
    <w:rsid w:val="001F713F"/>
    <w:rsid w:val="001F7EFD"/>
    <w:rsid w:val="00200BC4"/>
    <w:rsid w:val="002026FF"/>
    <w:rsid w:val="00202C50"/>
    <w:rsid w:val="00203009"/>
    <w:rsid w:val="002032F5"/>
    <w:rsid w:val="00203DB5"/>
    <w:rsid w:val="00204283"/>
    <w:rsid w:val="00205E47"/>
    <w:rsid w:val="00206287"/>
    <w:rsid w:val="00206818"/>
    <w:rsid w:val="002071B3"/>
    <w:rsid w:val="0020764B"/>
    <w:rsid w:val="00207C35"/>
    <w:rsid w:val="00207D88"/>
    <w:rsid w:val="002107EF"/>
    <w:rsid w:val="00210C2D"/>
    <w:rsid w:val="00210E8E"/>
    <w:rsid w:val="00211012"/>
    <w:rsid w:val="00211027"/>
    <w:rsid w:val="002140BA"/>
    <w:rsid w:val="002147EE"/>
    <w:rsid w:val="00214A4E"/>
    <w:rsid w:val="0021556B"/>
    <w:rsid w:val="00215766"/>
    <w:rsid w:val="00215AB4"/>
    <w:rsid w:val="00215AE2"/>
    <w:rsid w:val="00215B2B"/>
    <w:rsid w:val="00215FF1"/>
    <w:rsid w:val="0021690A"/>
    <w:rsid w:val="00216C14"/>
    <w:rsid w:val="00220025"/>
    <w:rsid w:val="00220473"/>
    <w:rsid w:val="002204E7"/>
    <w:rsid w:val="0022088C"/>
    <w:rsid w:val="00220987"/>
    <w:rsid w:val="00220D4C"/>
    <w:rsid w:val="0022122B"/>
    <w:rsid w:val="002217C8"/>
    <w:rsid w:val="00221AEB"/>
    <w:rsid w:val="00221F62"/>
    <w:rsid w:val="00222846"/>
    <w:rsid w:val="00224288"/>
    <w:rsid w:val="00224296"/>
    <w:rsid w:val="00224709"/>
    <w:rsid w:val="002250AF"/>
    <w:rsid w:val="002252A1"/>
    <w:rsid w:val="00225BAC"/>
    <w:rsid w:val="00225E12"/>
    <w:rsid w:val="00226213"/>
    <w:rsid w:val="00226465"/>
    <w:rsid w:val="002271DF"/>
    <w:rsid w:val="00227292"/>
    <w:rsid w:val="00227359"/>
    <w:rsid w:val="00227654"/>
    <w:rsid w:val="00227A3B"/>
    <w:rsid w:val="00227AF7"/>
    <w:rsid w:val="00227B33"/>
    <w:rsid w:val="00227F48"/>
    <w:rsid w:val="00230C40"/>
    <w:rsid w:val="00233090"/>
    <w:rsid w:val="00233736"/>
    <w:rsid w:val="00233DA4"/>
    <w:rsid w:val="002340AE"/>
    <w:rsid w:val="00234654"/>
    <w:rsid w:val="00235127"/>
    <w:rsid w:val="002357E9"/>
    <w:rsid w:val="00235856"/>
    <w:rsid w:val="00235CB6"/>
    <w:rsid w:val="00236759"/>
    <w:rsid w:val="00237108"/>
    <w:rsid w:val="00237AD7"/>
    <w:rsid w:val="00237CA6"/>
    <w:rsid w:val="00240AB7"/>
    <w:rsid w:val="00240C34"/>
    <w:rsid w:val="00241702"/>
    <w:rsid w:val="00241B37"/>
    <w:rsid w:val="0024284B"/>
    <w:rsid w:val="00242C3F"/>
    <w:rsid w:val="002430E8"/>
    <w:rsid w:val="0024359C"/>
    <w:rsid w:val="002449F9"/>
    <w:rsid w:val="00245C73"/>
    <w:rsid w:val="0024633C"/>
    <w:rsid w:val="002476EB"/>
    <w:rsid w:val="0024784E"/>
    <w:rsid w:val="00247912"/>
    <w:rsid w:val="0025097A"/>
    <w:rsid w:val="002509E4"/>
    <w:rsid w:val="00250EDB"/>
    <w:rsid w:val="0025108D"/>
    <w:rsid w:val="002559F5"/>
    <w:rsid w:val="0025669E"/>
    <w:rsid w:val="00256825"/>
    <w:rsid w:val="0025722C"/>
    <w:rsid w:val="0025750C"/>
    <w:rsid w:val="00257D07"/>
    <w:rsid w:val="00257D61"/>
    <w:rsid w:val="002603FF"/>
    <w:rsid w:val="0026097A"/>
    <w:rsid w:val="00260AAF"/>
    <w:rsid w:val="00260C50"/>
    <w:rsid w:val="00261D1D"/>
    <w:rsid w:val="00262571"/>
    <w:rsid w:val="0026275B"/>
    <w:rsid w:val="0026345C"/>
    <w:rsid w:val="00264742"/>
    <w:rsid w:val="00265395"/>
    <w:rsid w:val="0026574B"/>
    <w:rsid w:val="00266593"/>
    <w:rsid w:val="00266745"/>
    <w:rsid w:val="00266966"/>
    <w:rsid w:val="00267D79"/>
    <w:rsid w:val="0027111F"/>
    <w:rsid w:val="00271415"/>
    <w:rsid w:val="00271E6F"/>
    <w:rsid w:val="00273CEA"/>
    <w:rsid w:val="00273D49"/>
    <w:rsid w:val="00274A0F"/>
    <w:rsid w:val="00274AC3"/>
    <w:rsid w:val="00274B0C"/>
    <w:rsid w:val="00274BBE"/>
    <w:rsid w:val="00275613"/>
    <w:rsid w:val="00276842"/>
    <w:rsid w:val="002769A9"/>
    <w:rsid w:val="00276E3D"/>
    <w:rsid w:val="0028062D"/>
    <w:rsid w:val="0028146E"/>
    <w:rsid w:val="002814ED"/>
    <w:rsid w:val="00281D27"/>
    <w:rsid w:val="002823E1"/>
    <w:rsid w:val="00282427"/>
    <w:rsid w:val="0028256F"/>
    <w:rsid w:val="0028289D"/>
    <w:rsid w:val="00282E01"/>
    <w:rsid w:val="00283606"/>
    <w:rsid w:val="00283611"/>
    <w:rsid w:val="002843EB"/>
    <w:rsid w:val="00285456"/>
    <w:rsid w:val="0028574D"/>
    <w:rsid w:val="00285A9E"/>
    <w:rsid w:val="00285C17"/>
    <w:rsid w:val="00286490"/>
    <w:rsid w:val="00287A5E"/>
    <w:rsid w:val="00287C29"/>
    <w:rsid w:val="00287CAB"/>
    <w:rsid w:val="0029042F"/>
    <w:rsid w:val="002909B5"/>
    <w:rsid w:val="00290F8C"/>
    <w:rsid w:val="002915D6"/>
    <w:rsid w:val="00291746"/>
    <w:rsid w:val="00291967"/>
    <w:rsid w:val="00292143"/>
    <w:rsid w:val="0029235C"/>
    <w:rsid w:val="0029239E"/>
    <w:rsid w:val="0029259C"/>
    <w:rsid w:val="0029278F"/>
    <w:rsid w:val="002927E7"/>
    <w:rsid w:val="00292932"/>
    <w:rsid w:val="0029394A"/>
    <w:rsid w:val="0029451B"/>
    <w:rsid w:val="002949E6"/>
    <w:rsid w:val="00295B21"/>
    <w:rsid w:val="00296688"/>
    <w:rsid w:val="00296FB5"/>
    <w:rsid w:val="002A097B"/>
    <w:rsid w:val="002A0D10"/>
    <w:rsid w:val="002A1946"/>
    <w:rsid w:val="002A29B7"/>
    <w:rsid w:val="002A2CED"/>
    <w:rsid w:val="002A36A8"/>
    <w:rsid w:val="002A38C2"/>
    <w:rsid w:val="002A3916"/>
    <w:rsid w:val="002A449A"/>
    <w:rsid w:val="002A4607"/>
    <w:rsid w:val="002A50D2"/>
    <w:rsid w:val="002A57B5"/>
    <w:rsid w:val="002A631A"/>
    <w:rsid w:val="002A6343"/>
    <w:rsid w:val="002A6E9A"/>
    <w:rsid w:val="002A71F2"/>
    <w:rsid w:val="002B0D3F"/>
    <w:rsid w:val="002B1897"/>
    <w:rsid w:val="002B2A82"/>
    <w:rsid w:val="002B2C33"/>
    <w:rsid w:val="002B342E"/>
    <w:rsid w:val="002B3DF0"/>
    <w:rsid w:val="002B4131"/>
    <w:rsid w:val="002B4167"/>
    <w:rsid w:val="002B4299"/>
    <w:rsid w:val="002B4414"/>
    <w:rsid w:val="002B58FE"/>
    <w:rsid w:val="002B594D"/>
    <w:rsid w:val="002B6451"/>
    <w:rsid w:val="002B6485"/>
    <w:rsid w:val="002B674A"/>
    <w:rsid w:val="002B675C"/>
    <w:rsid w:val="002B6BBC"/>
    <w:rsid w:val="002B7306"/>
    <w:rsid w:val="002B74E4"/>
    <w:rsid w:val="002B76A3"/>
    <w:rsid w:val="002B76E3"/>
    <w:rsid w:val="002B7B09"/>
    <w:rsid w:val="002B7F76"/>
    <w:rsid w:val="002C0830"/>
    <w:rsid w:val="002C0A49"/>
    <w:rsid w:val="002C0D31"/>
    <w:rsid w:val="002C2AE3"/>
    <w:rsid w:val="002C2EDC"/>
    <w:rsid w:val="002C385B"/>
    <w:rsid w:val="002C389C"/>
    <w:rsid w:val="002C3B49"/>
    <w:rsid w:val="002C3EBC"/>
    <w:rsid w:val="002C4F6C"/>
    <w:rsid w:val="002C52EB"/>
    <w:rsid w:val="002C63EA"/>
    <w:rsid w:val="002D058A"/>
    <w:rsid w:val="002D074E"/>
    <w:rsid w:val="002D0A63"/>
    <w:rsid w:val="002D137D"/>
    <w:rsid w:val="002D13F6"/>
    <w:rsid w:val="002D14AF"/>
    <w:rsid w:val="002D1DF2"/>
    <w:rsid w:val="002D3255"/>
    <w:rsid w:val="002D3918"/>
    <w:rsid w:val="002D3A97"/>
    <w:rsid w:val="002D40BC"/>
    <w:rsid w:val="002D41E2"/>
    <w:rsid w:val="002D4D9C"/>
    <w:rsid w:val="002D5050"/>
    <w:rsid w:val="002D50D5"/>
    <w:rsid w:val="002D55B1"/>
    <w:rsid w:val="002D599B"/>
    <w:rsid w:val="002D59BB"/>
    <w:rsid w:val="002D5E46"/>
    <w:rsid w:val="002D5F71"/>
    <w:rsid w:val="002D7D90"/>
    <w:rsid w:val="002E0302"/>
    <w:rsid w:val="002E1322"/>
    <w:rsid w:val="002E1C33"/>
    <w:rsid w:val="002E2DE8"/>
    <w:rsid w:val="002E2E20"/>
    <w:rsid w:val="002E30A8"/>
    <w:rsid w:val="002E36D4"/>
    <w:rsid w:val="002E4A4E"/>
    <w:rsid w:val="002E4DD1"/>
    <w:rsid w:val="002E4F21"/>
    <w:rsid w:val="002E5004"/>
    <w:rsid w:val="002E58D2"/>
    <w:rsid w:val="002E5B16"/>
    <w:rsid w:val="002E7DD1"/>
    <w:rsid w:val="002F023D"/>
    <w:rsid w:val="002F1054"/>
    <w:rsid w:val="002F10A5"/>
    <w:rsid w:val="002F1BDE"/>
    <w:rsid w:val="002F2175"/>
    <w:rsid w:val="002F2641"/>
    <w:rsid w:val="002F267D"/>
    <w:rsid w:val="002F342E"/>
    <w:rsid w:val="002F3435"/>
    <w:rsid w:val="002F345B"/>
    <w:rsid w:val="002F422C"/>
    <w:rsid w:val="002F4A68"/>
    <w:rsid w:val="002F52C1"/>
    <w:rsid w:val="002F53D2"/>
    <w:rsid w:val="002F643F"/>
    <w:rsid w:val="002F6EFD"/>
    <w:rsid w:val="002F6F41"/>
    <w:rsid w:val="002F7319"/>
    <w:rsid w:val="002F79AD"/>
    <w:rsid w:val="002F7F7A"/>
    <w:rsid w:val="003006F3"/>
    <w:rsid w:val="0030097D"/>
    <w:rsid w:val="00301003"/>
    <w:rsid w:val="00301790"/>
    <w:rsid w:val="00301F9A"/>
    <w:rsid w:val="0030241E"/>
    <w:rsid w:val="00303310"/>
    <w:rsid w:val="0030331B"/>
    <w:rsid w:val="003041C2"/>
    <w:rsid w:val="00304660"/>
    <w:rsid w:val="00304CA9"/>
    <w:rsid w:val="00305441"/>
    <w:rsid w:val="00307A65"/>
    <w:rsid w:val="00310529"/>
    <w:rsid w:val="00310DCD"/>
    <w:rsid w:val="0031103D"/>
    <w:rsid w:val="00312055"/>
    <w:rsid w:val="0031271C"/>
    <w:rsid w:val="00312E5F"/>
    <w:rsid w:val="00313424"/>
    <w:rsid w:val="003136F1"/>
    <w:rsid w:val="00313B23"/>
    <w:rsid w:val="00313EC5"/>
    <w:rsid w:val="003144D4"/>
    <w:rsid w:val="00314BF5"/>
    <w:rsid w:val="0031507E"/>
    <w:rsid w:val="003151A6"/>
    <w:rsid w:val="003158E7"/>
    <w:rsid w:val="00315961"/>
    <w:rsid w:val="00315AA1"/>
    <w:rsid w:val="0031666E"/>
    <w:rsid w:val="00316D0B"/>
    <w:rsid w:val="00316F83"/>
    <w:rsid w:val="0031758D"/>
    <w:rsid w:val="00317948"/>
    <w:rsid w:val="00317999"/>
    <w:rsid w:val="003207DE"/>
    <w:rsid w:val="0032099E"/>
    <w:rsid w:val="00320D2F"/>
    <w:rsid w:val="003225A7"/>
    <w:rsid w:val="00322982"/>
    <w:rsid w:val="00322D22"/>
    <w:rsid w:val="00322E23"/>
    <w:rsid w:val="00326074"/>
    <w:rsid w:val="0032686D"/>
    <w:rsid w:val="00327F36"/>
    <w:rsid w:val="00331850"/>
    <w:rsid w:val="0033198A"/>
    <w:rsid w:val="0033230C"/>
    <w:rsid w:val="00332574"/>
    <w:rsid w:val="003333BF"/>
    <w:rsid w:val="003337FA"/>
    <w:rsid w:val="00333D08"/>
    <w:rsid w:val="00334579"/>
    <w:rsid w:val="00335E1B"/>
    <w:rsid w:val="0033670C"/>
    <w:rsid w:val="003371CA"/>
    <w:rsid w:val="00337357"/>
    <w:rsid w:val="0033738A"/>
    <w:rsid w:val="00340754"/>
    <w:rsid w:val="00340B2B"/>
    <w:rsid w:val="00341542"/>
    <w:rsid w:val="00341823"/>
    <w:rsid w:val="0034237B"/>
    <w:rsid w:val="003428B6"/>
    <w:rsid w:val="00342AC6"/>
    <w:rsid w:val="003442B4"/>
    <w:rsid w:val="00344B33"/>
    <w:rsid w:val="003450E0"/>
    <w:rsid w:val="00345BBF"/>
    <w:rsid w:val="00346112"/>
    <w:rsid w:val="00346A09"/>
    <w:rsid w:val="00347442"/>
    <w:rsid w:val="00347A89"/>
    <w:rsid w:val="00347F4F"/>
    <w:rsid w:val="00350229"/>
    <w:rsid w:val="003505A6"/>
    <w:rsid w:val="00350BE5"/>
    <w:rsid w:val="003511EF"/>
    <w:rsid w:val="003536AB"/>
    <w:rsid w:val="00353943"/>
    <w:rsid w:val="003539B7"/>
    <w:rsid w:val="00354EC1"/>
    <w:rsid w:val="00355206"/>
    <w:rsid w:val="003557FF"/>
    <w:rsid w:val="00355FFE"/>
    <w:rsid w:val="003564BA"/>
    <w:rsid w:val="00356F27"/>
    <w:rsid w:val="0035735C"/>
    <w:rsid w:val="00357757"/>
    <w:rsid w:val="00357930"/>
    <w:rsid w:val="0036001F"/>
    <w:rsid w:val="00360A80"/>
    <w:rsid w:val="003619F2"/>
    <w:rsid w:val="0036279D"/>
    <w:rsid w:val="003628B6"/>
    <w:rsid w:val="0036315C"/>
    <w:rsid w:val="0036352C"/>
    <w:rsid w:val="0036373C"/>
    <w:rsid w:val="00363C29"/>
    <w:rsid w:val="00363DB5"/>
    <w:rsid w:val="0036428E"/>
    <w:rsid w:val="003643C0"/>
    <w:rsid w:val="003648FE"/>
    <w:rsid w:val="00366C27"/>
    <w:rsid w:val="00366C68"/>
    <w:rsid w:val="00366FB1"/>
    <w:rsid w:val="00367576"/>
    <w:rsid w:val="00370065"/>
    <w:rsid w:val="00370490"/>
    <w:rsid w:val="003715F0"/>
    <w:rsid w:val="003718A3"/>
    <w:rsid w:val="00372071"/>
    <w:rsid w:val="0037251F"/>
    <w:rsid w:val="00372CB4"/>
    <w:rsid w:val="00373ACD"/>
    <w:rsid w:val="00374790"/>
    <w:rsid w:val="00374C47"/>
    <w:rsid w:val="00374FBB"/>
    <w:rsid w:val="003750CF"/>
    <w:rsid w:val="00375A45"/>
    <w:rsid w:val="00375F60"/>
    <w:rsid w:val="003766AA"/>
    <w:rsid w:val="003769EB"/>
    <w:rsid w:val="00376E03"/>
    <w:rsid w:val="00377180"/>
    <w:rsid w:val="00377DEF"/>
    <w:rsid w:val="00377F76"/>
    <w:rsid w:val="003818D2"/>
    <w:rsid w:val="00381FFD"/>
    <w:rsid w:val="00382030"/>
    <w:rsid w:val="0038320E"/>
    <w:rsid w:val="00384896"/>
    <w:rsid w:val="00384E10"/>
    <w:rsid w:val="00385111"/>
    <w:rsid w:val="0038562F"/>
    <w:rsid w:val="00385638"/>
    <w:rsid w:val="003858FC"/>
    <w:rsid w:val="00385D07"/>
    <w:rsid w:val="00386097"/>
    <w:rsid w:val="00386169"/>
    <w:rsid w:val="00386440"/>
    <w:rsid w:val="003865B3"/>
    <w:rsid w:val="0038671A"/>
    <w:rsid w:val="003868F6"/>
    <w:rsid w:val="00386C2E"/>
    <w:rsid w:val="00386C5C"/>
    <w:rsid w:val="00387B10"/>
    <w:rsid w:val="00390139"/>
    <w:rsid w:val="003905EB"/>
    <w:rsid w:val="00390FA0"/>
    <w:rsid w:val="00391089"/>
    <w:rsid w:val="00391B26"/>
    <w:rsid w:val="0039291D"/>
    <w:rsid w:val="00392CEC"/>
    <w:rsid w:val="003938E1"/>
    <w:rsid w:val="00393F88"/>
    <w:rsid w:val="00394197"/>
    <w:rsid w:val="00394239"/>
    <w:rsid w:val="0039448C"/>
    <w:rsid w:val="0039468F"/>
    <w:rsid w:val="00394697"/>
    <w:rsid w:val="003947A6"/>
    <w:rsid w:val="0039495C"/>
    <w:rsid w:val="00395261"/>
    <w:rsid w:val="00396008"/>
    <w:rsid w:val="0039749A"/>
    <w:rsid w:val="003A002E"/>
    <w:rsid w:val="003A03D6"/>
    <w:rsid w:val="003A0A8C"/>
    <w:rsid w:val="003A0D10"/>
    <w:rsid w:val="003A14AE"/>
    <w:rsid w:val="003A1A03"/>
    <w:rsid w:val="003A1B54"/>
    <w:rsid w:val="003A1F15"/>
    <w:rsid w:val="003A20C0"/>
    <w:rsid w:val="003A2C74"/>
    <w:rsid w:val="003A331C"/>
    <w:rsid w:val="003A3438"/>
    <w:rsid w:val="003A4777"/>
    <w:rsid w:val="003A4F19"/>
    <w:rsid w:val="003A4F90"/>
    <w:rsid w:val="003A52A5"/>
    <w:rsid w:val="003A6132"/>
    <w:rsid w:val="003A63B4"/>
    <w:rsid w:val="003A6C03"/>
    <w:rsid w:val="003A6EEF"/>
    <w:rsid w:val="003A7DB3"/>
    <w:rsid w:val="003B03B7"/>
    <w:rsid w:val="003B03E5"/>
    <w:rsid w:val="003B23E8"/>
    <w:rsid w:val="003B263F"/>
    <w:rsid w:val="003B275B"/>
    <w:rsid w:val="003B3693"/>
    <w:rsid w:val="003B4827"/>
    <w:rsid w:val="003B5BD6"/>
    <w:rsid w:val="003B68F9"/>
    <w:rsid w:val="003C0F0B"/>
    <w:rsid w:val="003C176B"/>
    <w:rsid w:val="003C1814"/>
    <w:rsid w:val="003C183D"/>
    <w:rsid w:val="003C2E03"/>
    <w:rsid w:val="003C2EB4"/>
    <w:rsid w:val="003C2F0A"/>
    <w:rsid w:val="003C3755"/>
    <w:rsid w:val="003C38D2"/>
    <w:rsid w:val="003C3B10"/>
    <w:rsid w:val="003C3F8F"/>
    <w:rsid w:val="003C480A"/>
    <w:rsid w:val="003C4C01"/>
    <w:rsid w:val="003C575F"/>
    <w:rsid w:val="003C669C"/>
    <w:rsid w:val="003C6AB4"/>
    <w:rsid w:val="003C735E"/>
    <w:rsid w:val="003C73FB"/>
    <w:rsid w:val="003C7775"/>
    <w:rsid w:val="003C7C77"/>
    <w:rsid w:val="003D0878"/>
    <w:rsid w:val="003D1331"/>
    <w:rsid w:val="003D150F"/>
    <w:rsid w:val="003D1FDB"/>
    <w:rsid w:val="003D20A8"/>
    <w:rsid w:val="003D217F"/>
    <w:rsid w:val="003D2219"/>
    <w:rsid w:val="003D31BC"/>
    <w:rsid w:val="003D3EAA"/>
    <w:rsid w:val="003D42F5"/>
    <w:rsid w:val="003D47FD"/>
    <w:rsid w:val="003D5345"/>
    <w:rsid w:val="003D5A11"/>
    <w:rsid w:val="003D64A9"/>
    <w:rsid w:val="003D66A1"/>
    <w:rsid w:val="003D6732"/>
    <w:rsid w:val="003D77D9"/>
    <w:rsid w:val="003D7CD9"/>
    <w:rsid w:val="003E0657"/>
    <w:rsid w:val="003E0796"/>
    <w:rsid w:val="003E2D24"/>
    <w:rsid w:val="003E4230"/>
    <w:rsid w:val="003E4B35"/>
    <w:rsid w:val="003E4B8A"/>
    <w:rsid w:val="003E4D1F"/>
    <w:rsid w:val="003E6C85"/>
    <w:rsid w:val="003E74F0"/>
    <w:rsid w:val="003E7601"/>
    <w:rsid w:val="003E79AD"/>
    <w:rsid w:val="003F0514"/>
    <w:rsid w:val="003F11FD"/>
    <w:rsid w:val="003F143B"/>
    <w:rsid w:val="003F1910"/>
    <w:rsid w:val="003F195B"/>
    <w:rsid w:val="003F2362"/>
    <w:rsid w:val="003F2596"/>
    <w:rsid w:val="003F3E7B"/>
    <w:rsid w:val="003F477A"/>
    <w:rsid w:val="003F4EF4"/>
    <w:rsid w:val="003F5504"/>
    <w:rsid w:val="003F5D11"/>
    <w:rsid w:val="003F5ED8"/>
    <w:rsid w:val="003F6242"/>
    <w:rsid w:val="003F62B5"/>
    <w:rsid w:val="003F63D8"/>
    <w:rsid w:val="003F6AA8"/>
    <w:rsid w:val="003F7FA0"/>
    <w:rsid w:val="0040065A"/>
    <w:rsid w:val="00400665"/>
    <w:rsid w:val="004010CB"/>
    <w:rsid w:val="00401CC2"/>
    <w:rsid w:val="0040204B"/>
    <w:rsid w:val="00403C05"/>
    <w:rsid w:val="004044F4"/>
    <w:rsid w:val="00404533"/>
    <w:rsid w:val="004050C0"/>
    <w:rsid w:val="00405784"/>
    <w:rsid w:val="00406E46"/>
    <w:rsid w:val="00406F93"/>
    <w:rsid w:val="00407BE1"/>
    <w:rsid w:val="00407D03"/>
    <w:rsid w:val="004109B8"/>
    <w:rsid w:val="004109BC"/>
    <w:rsid w:val="00410AA8"/>
    <w:rsid w:val="0041109B"/>
    <w:rsid w:val="004116E3"/>
    <w:rsid w:val="004118F7"/>
    <w:rsid w:val="0041220E"/>
    <w:rsid w:val="004127ED"/>
    <w:rsid w:val="00412F62"/>
    <w:rsid w:val="00413761"/>
    <w:rsid w:val="004137E5"/>
    <w:rsid w:val="00413D52"/>
    <w:rsid w:val="00414133"/>
    <w:rsid w:val="00414AE9"/>
    <w:rsid w:val="004150F7"/>
    <w:rsid w:val="004157CD"/>
    <w:rsid w:val="0041584F"/>
    <w:rsid w:val="0041611E"/>
    <w:rsid w:val="00417973"/>
    <w:rsid w:val="00417A4C"/>
    <w:rsid w:val="00417A5D"/>
    <w:rsid w:val="00417FBA"/>
    <w:rsid w:val="00420126"/>
    <w:rsid w:val="0042078B"/>
    <w:rsid w:val="00420DE2"/>
    <w:rsid w:val="00420EE0"/>
    <w:rsid w:val="004221AF"/>
    <w:rsid w:val="00425701"/>
    <w:rsid w:val="00426D1C"/>
    <w:rsid w:val="00426D84"/>
    <w:rsid w:val="00427192"/>
    <w:rsid w:val="004314F7"/>
    <w:rsid w:val="0043218A"/>
    <w:rsid w:val="0043222F"/>
    <w:rsid w:val="004324F4"/>
    <w:rsid w:val="0043286F"/>
    <w:rsid w:val="00433DA1"/>
    <w:rsid w:val="00434224"/>
    <w:rsid w:val="004346F0"/>
    <w:rsid w:val="00434704"/>
    <w:rsid w:val="00435726"/>
    <w:rsid w:val="004366F5"/>
    <w:rsid w:val="00437422"/>
    <w:rsid w:val="0044001A"/>
    <w:rsid w:val="00441346"/>
    <w:rsid w:val="00441780"/>
    <w:rsid w:val="00441844"/>
    <w:rsid w:val="00441BEA"/>
    <w:rsid w:val="0044254B"/>
    <w:rsid w:val="004425E1"/>
    <w:rsid w:val="0044353F"/>
    <w:rsid w:val="0044382A"/>
    <w:rsid w:val="004439BF"/>
    <w:rsid w:val="00444BCF"/>
    <w:rsid w:val="00444FEC"/>
    <w:rsid w:val="00445119"/>
    <w:rsid w:val="004452A3"/>
    <w:rsid w:val="00446871"/>
    <w:rsid w:val="004469C6"/>
    <w:rsid w:val="004508E6"/>
    <w:rsid w:val="00451663"/>
    <w:rsid w:val="004518FB"/>
    <w:rsid w:val="0045216B"/>
    <w:rsid w:val="00452363"/>
    <w:rsid w:val="00453E76"/>
    <w:rsid w:val="00454285"/>
    <w:rsid w:val="004544F2"/>
    <w:rsid w:val="00454D9B"/>
    <w:rsid w:val="00455306"/>
    <w:rsid w:val="00455B29"/>
    <w:rsid w:val="0045671E"/>
    <w:rsid w:val="0045692E"/>
    <w:rsid w:val="00456AC3"/>
    <w:rsid w:val="00456B58"/>
    <w:rsid w:val="00457A02"/>
    <w:rsid w:val="00457CDA"/>
    <w:rsid w:val="0046062A"/>
    <w:rsid w:val="00461D2E"/>
    <w:rsid w:val="00462B26"/>
    <w:rsid w:val="00462BFF"/>
    <w:rsid w:val="004634B2"/>
    <w:rsid w:val="00464035"/>
    <w:rsid w:val="00464F9B"/>
    <w:rsid w:val="00464FA3"/>
    <w:rsid w:val="00465E07"/>
    <w:rsid w:val="00466639"/>
    <w:rsid w:val="00466EAD"/>
    <w:rsid w:val="00467506"/>
    <w:rsid w:val="004675FE"/>
    <w:rsid w:val="00467620"/>
    <w:rsid w:val="00467B14"/>
    <w:rsid w:val="00467C74"/>
    <w:rsid w:val="004717D1"/>
    <w:rsid w:val="004717FA"/>
    <w:rsid w:val="00471A23"/>
    <w:rsid w:val="00472092"/>
    <w:rsid w:val="00473137"/>
    <w:rsid w:val="004731ED"/>
    <w:rsid w:val="004737C1"/>
    <w:rsid w:val="004742CA"/>
    <w:rsid w:val="0047532E"/>
    <w:rsid w:val="00475405"/>
    <w:rsid w:val="00475608"/>
    <w:rsid w:val="00475F20"/>
    <w:rsid w:val="00476D00"/>
    <w:rsid w:val="00477304"/>
    <w:rsid w:val="004776CC"/>
    <w:rsid w:val="00477993"/>
    <w:rsid w:val="00483894"/>
    <w:rsid w:val="00483932"/>
    <w:rsid w:val="00483C2D"/>
    <w:rsid w:val="00483C78"/>
    <w:rsid w:val="00483D92"/>
    <w:rsid w:val="00484224"/>
    <w:rsid w:val="0048454D"/>
    <w:rsid w:val="0048466A"/>
    <w:rsid w:val="004846B3"/>
    <w:rsid w:val="00485011"/>
    <w:rsid w:val="00485659"/>
    <w:rsid w:val="00486AAB"/>
    <w:rsid w:val="004875AF"/>
    <w:rsid w:val="0048771A"/>
    <w:rsid w:val="004879A3"/>
    <w:rsid w:val="0049040B"/>
    <w:rsid w:val="00491931"/>
    <w:rsid w:val="00491E56"/>
    <w:rsid w:val="00491E6E"/>
    <w:rsid w:val="00492074"/>
    <w:rsid w:val="0049258C"/>
    <w:rsid w:val="00492DE7"/>
    <w:rsid w:val="004947F3"/>
    <w:rsid w:val="004948A5"/>
    <w:rsid w:val="00495E1E"/>
    <w:rsid w:val="00495FD1"/>
    <w:rsid w:val="004960FD"/>
    <w:rsid w:val="0049670F"/>
    <w:rsid w:val="0049693D"/>
    <w:rsid w:val="004969E6"/>
    <w:rsid w:val="00496BCC"/>
    <w:rsid w:val="00496F52"/>
    <w:rsid w:val="004975CC"/>
    <w:rsid w:val="00497CA6"/>
    <w:rsid w:val="004A09ED"/>
    <w:rsid w:val="004A14B4"/>
    <w:rsid w:val="004A1624"/>
    <w:rsid w:val="004A1E1D"/>
    <w:rsid w:val="004A3278"/>
    <w:rsid w:val="004A38C8"/>
    <w:rsid w:val="004A5273"/>
    <w:rsid w:val="004A5EF4"/>
    <w:rsid w:val="004B084B"/>
    <w:rsid w:val="004B0F59"/>
    <w:rsid w:val="004B1C75"/>
    <w:rsid w:val="004B1D88"/>
    <w:rsid w:val="004B1F5C"/>
    <w:rsid w:val="004B3613"/>
    <w:rsid w:val="004B3D1E"/>
    <w:rsid w:val="004B40D8"/>
    <w:rsid w:val="004B4340"/>
    <w:rsid w:val="004B4C85"/>
    <w:rsid w:val="004B5001"/>
    <w:rsid w:val="004B50EC"/>
    <w:rsid w:val="004B5449"/>
    <w:rsid w:val="004B6749"/>
    <w:rsid w:val="004B6DF0"/>
    <w:rsid w:val="004B7615"/>
    <w:rsid w:val="004B7771"/>
    <w:rsid w:val="004B7F3D"/>
    <w:rsid w:val="004C0684"/>
    <w:rsid w:val="004C0A3B"/>
    <w:rsid w:val="004C0DB7"/>
    <w:rsid w:val="004C13EB"/>
    <w:rsid w:val="004C18C4"/>
    <w:rsid w:val="004C210B"/>
    <w:rsid w:val="004C2352"/>
    <w:rsid w:val="004C3167"/>
    <w:rsid w:val="004C341A"/>
    <w:rsid w:val="004C5F04"/>
    <w:rsid w:val="004C6C6B"/>
    <w:rsid w:val="004C7D0A"/>
    <w:rsid w:val="004D0981"/>
    <w:rsid w:val="004D1D90"/>
    <w:rsid w:val="004D1FA5"/>
    <w:rsid w:val="004D2974"/>
    <w:rsid w:val="004D3A1D"/>
    <w:rsid w:val="004D3AEF"/>
    <w:rsid w:val="004D46B1"/>
    <w:rsid w:val="004D5F0E"/>
    <w:rsid w:val="004D710F"/>
    <w:rsid w:val="004D7518"/>
    <w:rsid w:val="004D7B98"/>
    <w:rsid w:val="004E055B"/>
    <w:rsid w:val="004E0AE3"/>
    <w:rsid w:val="004E0C7B"/>
    <w:rsid w:val="004E1125"/>
    <w:rsid w:val="004E1ACC"/>
    <w:rsid w:val="004E1F17"/>
    <w:rsid w:val="004E2F64"/>
    <w:rsid w:val="004E2FD0"/>
    <w:rsid w:val="004E3900"/>
    <w:rsid w:val="004E3A8E"/>
    <w:rsid w:val="004E3D8F"/>
    <w:rsid w:val="004E4052"/>
    <w:rsid w:val="004E4303"/>
    <w:rsid w:val="004E4922"/>
    <w:rsid w:val="004E5312"/>
    <w:rsid w:val="004E5DD6"/>
    <w:rsid w:val="004E5E3F"/>
    <w:rsid w:val="004E6231"/>
    <w:rsid w:val="004F04D1"/>
    <w:rsid w:val="004F0524"/>
    <w:rsid w:val="004F085E"/>
    <w:rsid w:val="004F09D0"/>
    <w:rsid w:val="004F0A1D"/>
    <w:rsid w:val="004F0D44"/>
    <w:rsid w:val="004F2441"/>
    <w:rsid w:val="004F32AB"/>
    <w:rsid w:val="004F4614"/>
    <w:rsid w:val="004F46EC"/>
    <w:rsid w:val="004F49A7"/>
    <w:rsid w:val="004F4ABC"/>
    <w:rsid w:val="004F4B90"/>
    <w:rsid w:val="004F4E94"/>
    <w:rsid w:val="004F5165"/>
    <w:rsid w:val="004F52DF"/>
    <w:rsid w:val="004F5908"/>
    <w:rsid w:val="004F625C"/>
    <w:rsid w:val="004F6F41"/>
    <w:rsid w:val="004F7457"/>
    <w:rsid w:val="004F7594"/>
    <w:rsid w:val="004F78BD"/>
    <w:rsid w:val="004F7FB5"/>
    <w:rsid w:val="00500004"/>
    <w:rsid w:val="005004B1"/>
    <w:rsid w:val="00500A1C"/>
    <w:rsid w:val="00500AEC"/>
    <w:rsid w:val="00500C7A"/>
    <w:rsid w:val="00501332"/>
    <w:rsid w:val="00501C6E"/>
    <w:rsid w:val="0050251F"/>
    <w:rsid w:val="00503DAB"/>
    <w:rsid w:val="00503E5B"/>
    <w:rsid w:val="0050460D"/>
    <w:rsid w:val="00505955"/>
    <w:rsid w:val="0050600C"/>
    <w:rsid w:val="00506F83"/>
    <w:rsid w:val="00507C28"/>
    <w:rsid w:val="00507FA7"/>
    <w:rsid w:val="00510A30"/>
    <w:rsid w:val="00512736"/>
    <w:rsid w:val="00512A36"/>
    <w:rsid w:val="00512BCE"/>
    <w:rsid w:val="0051360E"/>
    <w:rsid w:val="00513963"/>
    <w:rsid w:val="00513BD2"/>
    <w:rsid w:val="00514181"/>
    <w:rsid w:val="00514DB8"/>
    <w:rsid w:val="00515056"/>
    <w:rsid w:val="005153D6"/>
    <w:rsid w:val="00515F2C"/>
    <w:rsid w:val="00517C7D"/>
    <w:rsid w:val="005217EB"/>
    <w:rsid w:val="005218DE"/>
    <w:rsid w:val="00521C6F"/>
    <w:rsid w:val="00521F8A"/>
    <w:rsid w:val="00522772"/>
    <w:rsid w:val="005230C1"/>
    <w:rsid w:val="0052338E"/>
    <w:rsid w:val="00523738"/>
    <w:rsid w:val="0052383C"/>
    <w:rsid w:val="00523A10"/>
    <w:rsid w:val="00524362"/>
    <w:rsid w:val="005248DF"/>
    <w:rsid w:val="00524915"/>
    <w:rsid w:val="00525F1C"/>
    <w:rsid w:val="005262E1"/>
    <w:rsid w:val="005265B2"/>
    <w:rsid w:val="0052678A"/>
    <w:rsid w:val="0052680F"/>
    <w:rsid w:val="0053162D"/>
    <w:rsid w:val="00531DE0"/>
    <w:rsid w:val="005325A5"/>
    <w:rsid w:val="00532D9D"/>
    <w:rsid w:val="0053340F"/>
    <w:rsid w:val="00533880"/>
    <w:rsid w:val="00533E50"/>
    <w:rsid w:val="00533FA3"/>
    <w:rsid w:val="00534770"/>
    <w:rsid w:val="005354BE"/>
    <w:rsid w:val="00535988"/>
    <w:rsid w:val="00535A21"/>
    <w:rsid w:val="00535B67"/>
    <w:rsid w:val="00536170"/>
    <w:rsid w:val="005361AB"/>
    <w:rsid w:val="0053632C"/>
    <w:rsid w:val="0053680A"/>
    <w:rsid w:val="005368BB"/>
    <w:rsid w:val="00537784"/>
    <w:rsid w:val="005407B9"/>
    <w:rsid w:val="00540B95"/>
    <w:rsid w:val="00541AC3"/>
    <w:rsid w:val="00541C0F"/>
    <w:rsid w:val="00542AD0"/>
    <w:rsid w:val="00542DD1"/>
    <w:rsid w:val="0054314D"/>
    <w:rsid w:val="00543982"/>
    <w:rsid w:val="00543C41"/>
    <w:rsid w:val="00543CBA"/>
    <w:rsid w:val="005442A6"/>
    <w:rsid w:val="00544EE4"/>
    <w:rsid w:val="00545063"/>
    <w:rsid w:val="005463F0"/>
    <w:rsid w:val="00546431"/>
    <w:rsid w:val="0054719C"/>
    <w:rsid w:val="0054763F"/>
    <w:rsid w:val="00550284"/>
    <w:rsid w:val="005502EB"/>
    <w:rsid w:val="00550447"/>
    <w:rsid w:val="00550780"/>
    <w:rsid w:val="00551254"/>
    <w:rsid w:val="00551AF0"/>
    <w:rsid w:val="00553308"/>
    <w:rsid w:val="0055381F"/>
    <w:rsid w:val="00553C76"/>
    <w:rsid w:val="00553F7E"/>
    <w:rsid w:val="0055454B"/>
    <w:rsid w:val="00554618"/>
    <w:rsid w:val="005546FD"/>
    <w:rsid w:val="00555346"/>
    <w:rsid w:val="0055548F"/>
    <w:rsid w:val="005556C5"/>
    <w:rsid w:val="005562A9"/>
    <w:rsid w:val="005565D1"/>
    <w:rsid w:val="005567B2"/>
    <w:rsid w:val="00557187"/>
    <w:rsid w:val="00557B9F"/>
    <w:rsid w:val="00557BAC"/>
    <w:rsid w:val="00557BED"/>
    <w:rsid w:val="0056066B"/>
    <w:rsid w:val="00562F87"/>
    <w:rsid w:val="00563229"/>
    <w:rsid w:val="00563628"/>
    <w:rsid w:val="005642E0"/>
    <w:rsid w:val="00564D0E"/>
    <w:rsid w:val="0056694C"/>
    <w:rsid w:val="00567F10"/>
    <w:rsid w:val="00570217"/>
    <w:rsid w:val="005706A3"/>
    <w:rsid w:val="005710AF"/>
    <w:rsid w:val="005713CE"/>
    <w:rsid w:val="005719AC"/>
    <w:rsid w:val="00571A0B"/>
    <w:rsid w:val="00571F1B"/>
    <w:rsid w:val="005725A6"/>
    <w:rsid w:val="005730B8"/>
    <w:rsid w:val="005735CE"/>
    <w:rsid w:val="005740AA"/>
    <w:rsid w:val="0057580B"/>
    <w:rsid w:val="005770E6"/>
    <w:rsid w:val="005777DA"/>
    <w:rsid w:val="00577D8A"/>
    <w:rsid w:val="00580246"/>
    <w:rsid w:val="00581938"/>
    <w:rsid w:val="00581D6C"/>
    <w:rsid w:val="005828BB"/>
    <w:rsid w:val="00582AF8"/>
    <w:rsid w:val="00582B7D"/>
    <w:rsid w:val="005831D2"/>
    <w:rsid w:val="0058439F"/>
    <w:rsid w:val="00584E4F"/>
    <w:rsid w:val="00585795"/>
    <w:rsid w:val="00585A3F"/>
    <w:rsid w:val="00586873"/>
    <w:rsid w:val="00586D83"/>
    <w:rsid w:val="00586FEE"/>
    <w:rsid w:val="00587F70"/>
    <w:rsid w:val="0059054C"/>
    <w:rsid w:val="005915EC"/>
    <w:rsid w:val="00591F09"/>
    <w:rsid w:val="00592F4F"/>
    <w:rsid w:val="00593DE5"/>
    <w:rsid w:val="00593E09"/>
    <w:rsid w:val="0059402E"/>
    <w:rsid w:val="005940C3"/>
    <w:rsid w:val="0059463D"/>
    <w:rsid w:val="00594779"/>
    <w:rsid w:val="0059483B"/>
    <w:rsid w:val="00595A6D"/>
    <w:rsid w:val="00595CC7"/>
    <w:rsid w:val="0059603B"/>
    <w:rsid w:val="00597102"/>
    <w:rsid w:val="00597171"/>
    <w:rsid w:val="00597280"/>
    <w:rsid w:val="005A056A"/>
    <w:rsid w:val="005A1B2A"/>
    <w:rsid w:val="005A1DE9"/>
    <w:rsid w:val="005A20A9"/>
    <w:rsid w:val="005A321F"/>
    <w:rsid w:val="005A34A5"/>
    <w:rsid w:val="005A46B4"/>
    <w:rsid w:val="005A496E"/>
    <w:rsid w:val="005A4ADA"/>
    <w:rsid w:val="005A4B02"/>
    <w:rsid w:val="005A4B35"/>
    <w:rsid w:val="005A5061"/>
    <w:rsid w:val="005A5704"/>
    <w:rsid w:val="005A5BB3"/>
    <w:rsid w:val="005A61AE"/>
    <w:rsid w:val="005A635B"/>
    <w:rsid w:val="005A749A"/>
    <w:rsid w:val="005A76BD"/>
    <w:rsid w:val="005A7D41"/>
    <w:rsid w:val="005A7D7A"/>
    <w:rsid w:val="005B03B9"/>
    <w:rsid w:val="005B06AF"/>
    <w:rsid w:val="005B0FAA"/>
    <w:rsid w:val="005B13E3"/>
    <w:rsid w:val="005B1A1C"/>
    <w:rsid w:val="005B1E37"/>
    <w:rsid w:val="005B2FFE"/>
    <w:rsid w:val="005B32BD"/>
    <w:rsid w:val="005B37E7"/>
    <w:rsid w:val="005B3C48"/>
    <w:rsid w:val="005B4A3C"/>
    <w:rsid w:val="005B508C"/>
    <w:rsid w:val="005B52B1"/>
    <w:rsid w:val="005B5C89"/>
    <w:rsid w:val="005B5F12"/>
    <w:rsid w:val="005B68CF"/>
    <w:rsid w:val="005B69A0"/>
    <w:rsid w:val="005B6E4A"/>
    <w:rsid w:val="005B76F0"/>
    <w:rsid w:val="005B7A09"/>
    <w:rsid w:val="005C2422"/>
    <w:rsid w:val="005C2AF8"/>
    <w:rsid w:val="005C3118"/>
    <w:rsid w:val="005C4105"/>
    <w:rsid w:val="005C4699"/>
    <w:rsid w:val="005C54D1"/>
    <w:rsid w:val="005C5694"/>
    <w:rsid w:val="005C5DAD"/>
    <w:rsid w:val="005C659D"/>
    <w:rsid w:val="005C6602"/>
    <w:rsid w:val="005C6A4B"/>
    <w:rsid w:val="005C6CB0"/>
    <w:rsid w:val="005C7193"/>
    <w:rsid w:val="005C7894"/>
    <w:rsid w:val="005D0CD6"/>
    <w:rsid w:val="005D21E1"/>
    <w:rsid w:val="005D25F5"/>
    <w:rsid w:val="005D27B3"/>
    <w:rsid w:val="005D2C57"/>
    <w:rsid w:val="005D3088"/>
    <w:rsid w:val="005D3756"/>
    <w:rsid w:val="005D3EB7"/>
    <w:rsid w:val="005D45C3"/>
    <w:rsid w:val="005D4915"/>
    <w:rsid w:val="005D4958"/>
    <w:rsid w:val="005D50A7"/>
    <w:rsid w:val="005D56FE"/>
    <w:rsid w:val="005D57E4"/>
    <w:rsid w:val="005D5A70"/>
    <w:rsid w:val="005D6AEF"/>
    <w:rsid w:val="005D6DDE"/>
    <w:rsid w:val="005D74BB"/>
    <w:rsid w:val="005D782B"/>
    <w:rsid w:val="005D7F9E"/>
    <w:rsid w:val="005E05AF"/>
    <w:rsid w:val="005E09E4"/>
    <w:rsid w:val="005E0ACC"/>
    <w:rsid w:val="005E19DA"/>
    <w:rsid w:val="005E1D54"/>
    <w:rsid w:val="005E2958"/>
    <w:rsid w:val="005E3747"/>
    <w:rsid w:val="005E402E"/>
    <w:rsid w:val="005E4048"/>
    <w:rsid w:val="005E408B"/>
    <w:rsid w:val="005E429F"/>
    <w:rsid w:val="005E5004"/>
    <w:rsid w:val="005E5006"/>
    <w:rsid w:val="005E5916"/>
    <w:rsid w:val="005E5DA6"/>
    <w:rsid w:val="005E6926"/>
    <w:rsid w:val="005E6E56"/>
    <w:rsid w:val="005E6FA0"/>
    <w:rsid w:val="005E7D47"/>
    <w:rsid w:val="005F068A"/>
    <w:rsid w:val="005F1810"/>
    <w:rsid w:val="005F1FEC"/>
    <w:rsid w:val="005F200F"/>
    <w:rsid w:val="005F2CE4"/>
    <w:rsid w:val="005F2E1B"/>
    <w:rsid w:val="005F3693"/>
    <w:rsid w:val="005F3883"/>
    <w:rsid w:val="005F3C7B"/>
    <w:rsid w:val="005F4972"/>
    <w:rsid w:val="005F5C14"/>
    <w:rsid w:val="005F5C65"/>
    <w:rsid w:val="005F60F9"/>
    <w:rsid w:val="005F6E5D"/>
    <w:rsid w:val="005F7B77"/>
    <w:rsid w:val="005F7DB7"/>
    <w:rsid w:val="00600037"/>
    <w:rsid w:val="00600803"/>
    <w:rsid w:val="0060262E"/>
    <w:rsid w:val="00602F4F"/>
    <w:rsid w:val="00603214"/>
    <w:rsid w:val="00603B10"/>
    <w:rsid w:val="00604454"/>
    <w:rsid w:val="00605C8F"/>
    <w:rsid w:val="00606390"/>
    <w:rsid w:val="00606DDC"/>
    <w:rsid w:val="006076A9"/>
    <w:rsid w:val="00607C74"/>
    <w:rsid w:val="00610FDF"/>
    <w:rsid w:val="0061177D"/>
    <w:rsid w:val="00611D52"/>
    <w:rsid w:val="00612075"/>
    <w:rsid w:val="00612A0D"/>
    <w:rsid w:val="006134AC"/>
    <w:rsid w:val="006136ED"/>
    <w:rsid w:val="00614719"/>
    <w:rsid w:val="00614B63"/>
    <w:rsid w:val="006151F7"/>
    <w:rsid w:val="006159C4"/>
    <w:rsid w:val="00615D19"/>
    <w:rsid w:val="00616301"/>
    <w:rsid w:val="00616A57"/>
    <w:rsid w:val="00617038"/>
    <w:rsid w:val="00617611"/>
    <w:rsid w:val="00617729"/>
    <w:rsid w:val="00620EB5"/>
    <w:rsid w:val="00621BC7"/>
    <w:rsid w:val="00622254"/>
    <w:rsid w:val="0062269C"/>
    <w:rsid w:val="00622B16"/>
    <w:rsid w:val="00622EDB"/>
    <w:rsid w:val="00622F0D"/>
    <w:rsid w:val="00624D10"/>
    <w:rsid w:val="0062550A"/>
    <w:rsid w:val="00625603"/>
    <w:rsid w:val="00626B40"/>
    <w:rsid w:val="006272C4"/>
    <w:rsid w:val="00627665"/>
    <w:rsid w:val="00630E4A"/>
    <w:rsid w:val="00631C12"/>
    <w:rsid w:val="00632AC2"/>
    <w:rsid w:val="00634185"/>
    <w:rsid w:val="0063554E"/>
    <w:rsid w:val="006361D8"/>
    <w:rsid w:val="00636784"/>
    <w:rsid w:val="00636CF6"/>
    <w:rsid w:val="00636E2A"/>
    <w:rsid w:val="0063737A"/>
    <w:rsid w:val="006378B0"/>
    <w:rsid w:val="00640691"/>
    <w:rsid w:val="00641999"/>
    <w:rsid w:val="00641F83"/>
    <w:rsid w:val="006432F0"/>
    <w:rsid w:val="006433A6"/>
    <w:rsid w:val="006438BC"/>
    <w:rsid w:val="006439D1"/>
    <w:rsid w:val="00643BFC"/>
    <w:rsid w:val="0064662C"/>
    <w:rsid w:val="00646860"/>
    <w:rsid w:val="00646DAE"/>
    <w:rsid w:val="00647445"/>
    <w:rsid w:val="0065002E"/>
    <w:rsid w:val="00650124"/>
    <w:rsid w:val="00650970"/>
    <w:rsid w:val="00650C82"/>
    <w:rsid w:val="00651F80"/>
    <w:rsid w:val="00653DDC"/>
    <w:rsid w:val="00654316"/>
    <w:rsid w:val="00654A5B"/>
    <w:rsid w:val="006555C2"/>
    <w:rsid w:val="00655B53"/>
    <w:rsid w:val="006567FE"/>
    <w:rsid w:val="0065741B"/>
    <w:rsid w:val="006575C8"/>
    <w:rsid w:val="00657777"/>
    <w:rsid w:val="006578B7"/>
    <w:rsid w:val="00657BD7"/>
    <w:rsid w:val="006602B8"/>
    <w:rsid w:val="00662408"/>
    <w:rsid w:val="0066242B"/>
    <w:rsid w:val="00662648"/>
    <w:rsid w:val="006628CE"/>
    <w:rsid w:val="006629CF"/>
    <w:rsid w:val="00663820"/>
    <w:rsid w:val="006638B3"/>
    <w:rsid w:val="00663C23"/>
    <w:rsid w:val="00664A71"/>
    <w:rsid w:val="00665A84"/>
    <w:rsid w:val="006665E7"/>
    <w:rsid w:val="00667217"/>
    <w:rsid w:val="00667737"/>
    <w:rsid w:val="0066781C"/>
    <w:rsid w:val="00670240"/>
    <w:rsid w:val="00670CF8"/>
    <w:rsid w:val="00672B1E"/>
    <w:rsid w:val="00672FBE"/>
    <w:rsid w:val="006731A0"/>
    <w:rsid w:val="00673331"/>
    <w:rsid w:val="00674278"/>
    <w:rsid w:val="00675647"/>
    <w:rsid w:val="00676997"/>
    <w:rsid w:val="00676AA1"/>
    <w:rsid w:val="006771F9"/>
    <w:rsid w:val="0067743F"/>
    <w:rsid w:val="00681495"/>
    <w:rsid w:val="006832BB"/>
    <w:rsid w:val="00683EA3"/>
    <w:rsid w:val="006841E9"/>
    <w:rsid w:val="00686DDD"/>
    <w:rsid w:val="00687595"/>
    <w:rsid w:val="006921F0"/>
    <w:rsid w:val="00692438"/>
    <w:rsid w:val="0069348B"/>
    <w:rsid w:val="006940C2"/>
    <w:rsid w:val="006942CE"/>
    <w:rsid w:val="006944A7"/>
    <w:rsid w:val="00694774"/>
    <w:rsid w:val="0069478E"/>
    <w:rsid w:val="00694892"/>
    <w:rsid w:val="0069496D"/>
    <w:rsid w:val="00694BE9"/>
    <w:rsid w:val="00695E03"/>
    <w:rsid w:val="00695F3E"/>
    <w:rsid w:val="00696B33"/>
    <w:rsid w:val="006A0473"/>
    <w:rsid w:val="006A0EA1"/>
    <w:rsid w:val="006A1E76"/>
    <w:rsid w:val="006A4193"/>
    <w:rsid w:val="006A44E0"/>
    <w:rsid w:val="006A46CD"/>
    <w:rsid w:val="006A5164"/>
    <w:rsid w:val="006A5328"/>
    <w:rsid w:val="006A7086"/>
    <w:rsid w:val="006A7169"/>
    <w:rsid w:val="006A7236"/>
    <w:rsid w:val="006A7470"/>
    <w:rsid w:val="006A7C01"/>
    <w:rsid w:val="006B00C1"/>
    <w:rsid w:val="006B0326"/>
    <w:rsid w:val="006B12B6"/>
    <w:rsid w:val="006B17F1"/>
    <w:rsid w:val="006B2EF2"/>
    <w:rsid w:val="006B3671"/>
    <w:rsid w:val="006B41F1"/>
    <w:rsid w:val="006B427D"/>
    <w:rsid w:val="006B6BB9"/>
    <w:rsid w:val="006B7245"/>
    <w:rsid w:val="006C04F8"/>
    <w:rsid w:val="006C1A16"/>
    <w:rsid w:val="006C1F0C"/>
    <w:rsid w:val="006C2233"/>
    <w:rsid w:val="006C2474"/>
    <w:rsid w:val="006C2570"/>
    <w:rsid w:val="006C2783"/>
    <w:rsid w:val="006C2E83"/>
    <w:rsid w:val="006C3EDB"/>
    <w:rsid w:val="006C4016"/>
    <w:rsid w:val="006C41EF"/>
    <w:rsid w:val="006C42A3"/>
    <w:rsid w:val="006C4AA7"/>
    <w:rsid w:val="006C5095"/>
    <w:rsid w:val="006C6315"/>
    <w:rsid w:val="006C682E"/>
    <w:rsid w:val="006C68A0"/>
    <w:rsid w:val="006C6BEA"/>
    <w:rsid w:val="006C6BFC"/>
    <w:rsid w:val="006C7157"/>
    <w:rsid w:val="006C71C2"/>
    <w:rsid w:val="006C725C"/>
    <w:rsid w:val="006C7702"/>
    <w:rsid w:val="006C771D"/>
    <w:rsid w:val="006C7C0B"/>
    <w:rsid w:val="006C7DB0"/>
    <w:rsid w:val="006C7F9E"/>
    <w:rsid w:val="006D02D3"/>
    <w:rsid w:val="006D0455"/>
    <w:rsid w:val="006D3244"/>
    <w:rsid w:val="006D3375"/>
    <w:rsid w:val="006D34C9"/>
    <w:rsid w:val="006D385A"/>
    <w:rsid w:val="006D4019"/>
    <w:rsid w:val="006D4B4A"/>
    <w:rsid w:val="006D4F50"/>
    <w:rsid w:val="006D542D"/>
    <w:rsid w:val="006D5BCC"/>
    <w:rsid w:val="006D5C0D"/>
    <w:rsid w:val="006D6086"/>
    <w:rsid w:val="006D7034"/>
    <w:rsid w:val="006D7459"/>
    <w:rsid w:val="006D756D"/>
    <w:rsid w:val="006E0534"/>
    <w:rsid w:val="006E1725"/>
    <w:rsid w:val="006E1791"/>
    <w:rsid w:val="006E1D5D"/>
    <w:rsid w:val="006E1E66"/>
    <w:rsid w:val="006E3A28"/>
    <w:rsid w:val="006E42A7"/>
    <w:rsid w:val="006E45ED"/>
    <w:rsid w:val="006E4622"/>
    <w:rsid w:val="006E465B"/>
    <w:rsid w:val="006E62F1"/>
    <w:rsid w:val="006E64E2"/>
    <w:rsid w:val="006E6CC5"/>
    <w:rsid w:val="006E75B2"/>
    <w:rsid w:val="006F16C6"/>
    <w:rsid w:val="006F1999"/>
    <w:rsid w:val="006F19C6"/>
    <w:rsid w:val="006F1C0F"/>
    <w:rsid w:val="006F2CB5"/>
    <w:rsid w:val="006F3D22"/>
    <w:rsid w:val="006F46E2"/>
    <w:rsid w:val="006F5C9E"/>
    <w:rsid w:val="006F5D7A"/>
    <w:rsid w:val="006F672B"/>
    <w:rsid w:val="006F6850"/>
    <w:rsid w:val="006F71CB"/>
    <w:rsid w:val="006F7655"/>
    <w:rsid w:val="006F7963"/>
    <w:rsid w:val="006F7D58"/>
    <w:rsid w:val="006F7DE8"/>
    <w:rsid w:val="006F7E25"/>
    <w:rsid w:val="006F7E61"/>
    <w:rsid w:val="007009F3"/>
    <w:rsid w:val="0070109A"/>
    <w:rsid w:val="0070135F"/>
    <w:rsid w:val="00701950"/>
    <w:rsid w:val="00701F11"/>
    <w:rsid w:val="0070232C"/>
    <w:rsid w:val="00702490"/>
    <w:rsid w:val="007039D0"/>
    <w:rsid w:val="00703A35"/>
    <w:rsid w:val="00703A4F"/>
    <w:rsid w:val="00704111"/>
    <w:rsid w:val="00705CC8"/>
    <w:rsid w:val="0070641C"/>
    <w:rsid w:val="00706DDD"/>
    <w:rsid w:val="00707353"/>
    <w:rsid w:val="00707FA1"/>
    <w:rsid w:val="0071017C"/>
    <w:rsid w:val="00710A6D"/>
    <w:rsid w:val="00710CCD"/>
    <w:rsid w:val="00710FC0"/>
    <w:rsid w:val="007118ED"/>
    <w:rsid w:val="007123FC"/>
    <w:rsid w:val="00713ACB"/>
    <w:rsid w:val="0071573E"/>
    <w:rsid w:val="00716831"/>
    <w:rsid w:val="00716981"/>
    <w:rsid w:val="00716991"/>
    <w:rsid w:val="0072086D"/>
    <w:rsid w:val="007216EC"/>
    <w:rsid w:val="007222C6"/>
    <w:rsid w:val="007223D9"/>
    <w:rsid w:val="00722AF6"/>
    <w:rsid w:val="00723844"/>
    <w:rsid w:val="00723BF8"/>
    <w:rsid w:val="00723D10"/>
    <w:rsid w:val="00723FB4"/>
    <w:rsid w:val="00724431"/>
    <w:rsid w:val="007247C6"/>
    <w:rsid w:val="007251A0"/>
    <w:rsid w:val="007259B5"/>
    <w:rsid w:val="00726233"/>
    <w:rsid w:val="00726BE5"/>
    <w:rsid w:val="00726D76"/>
    <w:rsid w:val="00726DC5"/>
    <w:rsid w:val="00726E03"/>
    <w:rsid w:val="00727607"/>
    <w:rsid w:val="00727F77"/>
    <w:rsid w:val="00730695"/>
    <w:rsid w:val="00730CC7"/>
    <w:rsid w:val="00731186"/>
    <w:rsid w:val="00731842"/>
    <w:rsid w:val="00731F7A"/>
    <w:rsid w:val="007325E0"/>
    <w:rsid w:val="00732C20"/>
    <w:rsid w:val="007332B7"/>
    <w:rsid w:val="00733A3A"/>
    <w:rsid w:val="00733E61"/>
    <w:rsid w:val="00733F9A"/>
    <w:rsid w:val="0073503F"/>
    <w:rsid w:val="00736AA0"/>
    <w:rsid w:val="00736B15"/>
    <w:rsid w:val="0074042C"/>
    <w:rsid w:val="00740A32"/>
    <w:rsid w:val="00741758"/>
    <w:rsid w:val="007426DF"/>
    <w:rsid w:val="00742D09"/>
    <w:rsid w:val="0074376F"/>
    <w:rsid w:val="007439AF"/>
    <w:rsid w:val="00743C7D"/>
    <w:rsid w:val="00743F47"/>
    <w:rsid w:val="0074498C"/>
    <w:rsid w:val="00744BD6"/>
    <w:rsid w:val="007455FB"/>
    <w:rsid w:val="00745B7E"/>
    <w:rsid w:val="00745EA5"/>
    <w:rsid w:val="00745F43"/>
    <w:rsid w:val="007460EB"/>
    <w:rsid w:val="00750C37"/>
    <w:rsid w:val="00750CE2"/>
    <w:rsid w:val="00751A7F"/>
    <w:rsid w:val="00753A93"/>
    <w:rsid w:val="00754B14"/>
    <w:rsid w:val="00755B6E"/>
    <w:rsid w:val="00755B7F"/>
    <w:rsid w:val="007569F4"/>
    <w:rsid w:val="007579E4"/>
    <w:rsid w:val="00757DE2"/>
    <w:rsid w:val="0076005D"/>
    <w:rsid w:val="007603BF"/>
    <w:rsid w:val="00760B66"/>
    <w:rsid w:val="007622F5"/>
    <w:rsid w:val="007636B1"/>
    <w:rsid w:val="00764867"/>
    <w:rsid w:val="00764FCB"/>
    <w:rsid w:val="00765936"/>
    <w:rsid w:val="00766A5B"/>
    <w:rsid w:val="0077106A"/>
    <w:rsid w:val="00771371"/>
    <w:rsid w:val="007725BD"/>
    <w:rsid w:val="00772C1A"/>
    <w:rsid w:val="007737C7"/>
    <w:rsid w:val="00774060"/>
    <w:rsid w:val="00774BCB"/>
    <w:rsid w:val="00775D1E"/>
    <w:rsid w:val="00776CC7"/>
    <w:rsid w:val="00776FBE"/>
    <w:rsid w:val="00777566"/>
    <w:rsid w:val="007779BB"/>
    <w:rsid w:val="00780328"/>
    <w:rsid w:val="007803E1"/>
    <w:rsid w:val="00780FEF"/>
    <w:rsid w:val="00781B5C"/>
    <w:rsid w:val="00781E49"/>
    <w:rsid w:val="0078269F"/>
    <w:rsid w:val="00783FF4"/>
    <w:rsid w:val="00784583"/>
    <w:rsid w:val="007847A0"/>
    <w:rsid w:val="007852D4"/>
    <w:rsid w:val="007853DB"/>
    <w:rsid w:val="00785502"/>
    <w:rsid w:val="00785533"/>
    <w:rsid w:val="00785DB6"/>
    <w:rsid w:val="00785FF4"/>
    <w:rsid w:val="00786322"/>
    <w:rsid w:val="00787C0F"/>
    <w:rsid w:val="007902BA"/>
    <w:rsid w:val="00790B73"/>
    <w:rsid w:val="00790F5C"/>
    <w:rsid w:val="0079108B"/>
    <w:rsid w:val="007911FC"/>
    <w:rsid w:val="007915D3"/>
    <w:rsid w:val="00791E1F"/>
    <w:rsid w:val="00792D2C"/>
    <w:rsid w:val="00793816"/>
    <w:rsid w:val="00793AA9"/>
    <w:rsid w:val="00793DFF"/>
    <w:rsid w:val="00794378"/>
    <w:rsid w:val="0079458B"/>
    <w:rsid w:val="0079481C"/>
    <w:rsid w:val="0079493A"/>
    <w:rsid w:val="00794A0D"/>
    <w:rsid w:val="00794F23"/>
    <w:rsid w:val="00794FD6"/>
    <w:rsid w:val="0079557B"/>
    <w:rsid w:val="00795895"/>
    <w:rsid w:val="00795FA7"/>
    <w:rsid w:val="0079692B"/>
    <w:rsid w:val="0079754F"/>
    <w:rsid w:val="00797DA5"/>
    <w:rsid w:val="00797DEF"/>
    <w:rsid w:val="00797F05"/>
    <w:rsid w:val="007A0549"/>
    <w:rsid w:val="007A08CB"/>
    <w:rsid w:val="007A0FD8"/>
    <w:rsid w:val="007A17FA"/>
    <w:rsid w:val="007A3352"/>
    <w:rsid w:val="007A3570"/>
    <w:rsid w:val="007A3A58"/>
    <w:rsid w:val="007A3D9C"/>
    <w:rsid w:val="007A410A"/>
    <w:rsid w:val="007A4311"/>
    <w:rsid w:val="007A470B"/>
    <w:rsid w:val="007A4994"/>
    <w:rsid w:val="007A5781"/>
    <w:rsid w:val="007A5899"/>
    <w:rsid w:val="007A5E24"/>
    <w:rsid w:val="007A5FA6"/>
    <w:rsid w:val="007A65E8"/>
    <w:rsid w:val="007A712A"/>
    <w:rsid w:val="007A74F4"/>
    <w:rsid w:val="007A7C82"/>
    <w:rsid w:val="007A7FB8"/>
    <w:rsid w:val="007B0E6A"/>
    <w:rsid w:val="007B1292"/>
    <w:rsid w:val="007B17F6"/>
    <w:rsid w:val="007B1AEA"/>
    <w:rsid w:val="007B1CD1"/>
    <w:rsid w:val="007B3563"/>
    <w:rsid w:val="007B383E"/>
    <w:rsid w:val="007B3A28"/>
    <w:rsid w:val="007B470E"/>
    <w:rsid w:val="007B47C4"/>
    <w:rsid w:val="007B4F98"/>
    <w:rsid w:val="007B520D"/>
    <w:rsid w:val="007B5418"/>
    <w:rsid w:val="007B554E"/>
    <w:rsid w:val="007B55FE"/>
    <w:rsid w:val="007B6C27"/>
    <w:rsid w:val="007B6C44"/>
    <w:rsid w:val="007B773D"/>
    <w:rsid w:val="007B7814"/>
    <w:rsid w:val="007B79A4"/>
    <w:rsid w:val="007B7E81"/>
    <w:rsid w:val="007C035B"/>
    <w:rsid w:val="007C0E3C"/>
    <w:rsid w:val="007C1822"/>
    <w:rsid w:val="007C1DAB"/>
    <w:rsid w:val="007C206F"/>
    <w:rsid w:val="007C2A76"/>
    <w:rsid w:val="007C2CC9"/>
    <w:rsid w:val="007C5041"/>
    <w:rsid w:val="007C51CF"/>
    <w:rsid w:val="007C567F"/>
    <w:rsid w:val="007C5995"/>
    <w:rsid w:val="007C61F8"/>
    <w:rsid w:val="007C68AE"/>
    <w:rsid w:val="007C74CB"/>
    <w:rsid w:val="007C754D"/>
    <w:rsid w:val="007C7562"/>
    <w:rsid w:val="007C7B35"/>
    <w:rsid w:val="007D0EA4"/>
    <w:rsid w:val="007D1626"/>
    <w:rsid w:val="007D1C29"/>
    <w:rsid w:val="007D2226"/>
    <w:rsid w:val="007D25B4"/>
    <w:rsid w:val="007D2713"/>
    <w:rsid w:val="007D2F73"/>
    <w:rsid w:val="007D5077"/>
    <w:rsid w:val="007D525C"/>
    <w:rsid w:val="007D5AA8"/>
    <w:rsid w:val="007D61E2"/>
    <w:rsid w:val="007D6A87"/>
    <w:rsid w:val="007D6FB8"/>
    <w:rsid w:val="007D741C"/>
    <w:rsid w:val="007E1587"/>
    <w:rsid w:val="007E277B"/>
    <w:rsid w:val="007E2E86"/>
    <w:rsid w:val="007E318B"/>
    <w:rsid w:val="007E3761"/>
    <w:rsid w:val="007E51AB"/>
    <w:rsid w:val="007E5351"/>
    <w:rsid w:val="007E6A4C"/>
    <w:rsid w:val="007E6B7F"/>
    <w:rsid w:val="007E77E9"/>
    <w:rsid w:val="007E7C5A"/>
    <w:rsid w:val="007E7EFB"/>
    <w:rsid w:val="007F2221"/>
    <w:rsid w:val="007F2241"/>
    <w:rsid w:val="007F2D7F"/>
    <w:rsid w:val="007F3660"/>
    <w:rsid w:val="007F3821"/>
    <w:rsid w:val="007F3F65"/>
    <w:rsid w:val="007F5FC0"/>
    <w:rsid w:val="007F65FA"/>
    <w:rsid w:val="007F7290"/>
    <w:rsid w:val="007F7653"/>
    <w:rsid w:val="007F790B"/>
    <w:rsid w:val="0080047B"/>
    <w:rsid w:val="008009D7"/>
    <w:rsid w:val="0080149C"/>
    <w:rsid w:val="00801A7E"/>
    <w:rsid w:val="0080242F"/>
    <w:rsid w:val="008040CF"/>
    <w:rsid w:val="0080571F"/>
    <w:rsid w:val="008066B6"/>
    <w:rsid w:val="00806C83"/>
    <w:rsid w:val="008074A6"/>
    <w:rsid w:val="00811319"/>
    <w:rsid w:val="008121E7"/>
    <w:rsid w:val="008127BD"/>
    <w:rsid w:val="008129C6"/>
    <w:rsid w:val="00812D10"/>
    <w:rsid w:val="00812F1A"/>
    <w:rsid w:val="00813BE8"/>
    <w:rsid w:val="00813CB4"/>
    <w:rsid w:val="00814417"/>
    <w:rsid w:val="00814909"/>
    <w:rsid w:val="00815406"/>
    <w:rsid w:val="00815F6B"/>
    <w:rsid w:val="008162D7"/>
    <w:rsid w:val="008173CE"/>
    <w:rsid w:val="0081790E"/>
    <w:rsid w:val="00817914"/>
    <w:rsid w:val="00817E0D"/>
    <w:rsid w:val="00817E27"/>
    <w:rsid w:val="00820652"/>
    <w:rsid w:val="00821792"/>
    <w:rsid w:val="008219BF"/>
    <w:rsid w:val="00821A1D"/>
    <w:rsid w:val="00821E35"/>
    <w:rsid w:val="00821FC2"/>
    <w:rsid w:val="00822FE7"/>
    <w:rsid w:val="00822FFE"/>
    <w:rsid w:val="008233EB"/>
    <w:rsid w:val="00823DAA"/>
    <w:rsid w:val="00824145"/>
    <w:rsid w:val="008246DF"/>
    <w:rsid w:val="008246ED"/>
    <w:rsid w:val="00825ADC"/>
    <w:rsid w:val="00825B99"/>
    <w:rsid w:val="00825BBF"/>
    <w:rsid w:val="008263D0"/>
    <w:rsid w:val="0082670C"/>
    <w:rsid w:val="0082766A"/>
    <w:rsid w:val="0083098A"/>
    <w:rsid w:val="00831151"/>
    <w:rsid w:val="008317E8"/>
    <w:rsid w:val="008319A1"/>
    <w:rsid w:val="00832AFD"/>
    <w:rsid w:val="0083313C"/>
    <w:rsid w:val="00834207"/>
    <w:rsid w:val="00834944"/>
    <w:rsid w:val="00834CCA"/>
    <w:rsid w:val="0083538D"/>
    <w:rsid w:val="0083554D"/>
    <w:rsid w:val="0083587E"/>
    <w:rsid w:val="00835AA1"/>
    <w:rsid w:val="00835DB1"/>
    <w:rsid w:val="0083605A"/>
    <w:rsid w:val="0083661E"/>
    <w:rsid w:val="00836654"/>
    <w:rsid w:val="008371FF"/>
    <w:rsid w:val="00840264"/>
    <w:rsid w:val="008403DC"/>
    <w:rsid w:val="0084050A"/>
    <w:rsid w:val="0084095E"/>
    <w:rsid w:val="008409E1"/>
    <w:rsid w:val="00840BB9"/>
    <w:rsid w:val="00840D07"/>
    <w:rsid w:val="00841036"/>
    <w:rsid w:val="00841122"/>
    <w:rsid w:val="00841315"/>
    <w:rsid w:val="008417C6"/>
    <w:rsid w:val="00841C30"/>
    <w:rsid w:val="008422DD"/>
    <w:rsid w:val="00842357"/>
    <w:rsid w:val="00842579"/>
    <w:rsid w:val="00842BA2"/>
    <w:rsid w:val="00842D19"/>
    <w:rsid w:val="00842F2C"/>
    <w:rsid w:val="008434DD"/>
    <w:rsid w:val="00843CA8"/>
    <w:rsid w:val="00844080"/>
    <w:rsid w:val="00845BB7"/>
    <w:rsid w:val="00845EE6"/>
    <w:rsid w:val="0084634A"/>
    <w:rsid w:val="0084738B"/>
    <w:rsid w:val="00847693"/>
    <w:rsid w:val="00850AE9"/>
    <w:rsid w:val="00850C9F"/>
    <w:rsid w:val="008520C0"/>
    <w:rsid w:val="00852C44"/>
    <w:rsid w:val="00853766"/>
    <w:rsid w:val="00853AB1"/>
    <w:rsid w:val="00853BB2"/>
    <w:rsid w:val="0085453C"/>
    <w:rsid w:val="00854756"/>
    <w:rsid w:val="0085643B"/>
    <w:rsid w:val="00856756"/>
    <w:rsid w:val="0085736B"/>
    <w:rsid w:val="008577CF"/>
    <w:rsid w:val="00860114"/>
    <w:rsid w:val="00860524"/>
    <w:rsid w:val="00860FA8"/>
    <w:rsid w:val="008610F9"/>
    <w:rsid w:val="00861964"/>
    <w:rsid w:val="0086203E"/>
    <w:rsid w:val="00862519"/>
    <w:rsid w:val="008625CC"/>
    <w:rsid w:val="00862854"/>
    <w:rsid w:val="0086328A"/>
    <w:rsid w:val="00864208"/>
    <w:rsid w:val="008646BF"/>
    <w:rsid w:val="00864CF1"/>
    <w:rsid w:val="008650F5"/>
    <w:rsid w:val="0086520A"/>
    <w:rsid w:val="008653A3"/>
    <w:rsid w:val="00866566"/>
    <w:rsid w:val="00866B3E"/>
    <w:rsid w:val="00870254"/>
    <w:rsid w:val="008706C5"/>
    <w:rsid w:val="00871127"/>
    <w:rsid w:val="00871C9A"/>
    <w:rsid w:val="00871CEF"/>
    <w:rsid w:val="00871D44"/>
    <w:rsid w:val="00871EAE"/>
    <w:rsid w:val="00871F09"/>
    <w:rsid w:val="00872086"/>
    <w:rsid w:val="00872230"/>
    <w:rsid w:val="00872474"/>
    <w:rsid w:val="00872674"/>
    <w:rsid w:val="00873073"/>
    <w:rsid w:val="00873127"/>
    <w:rsid w:val="00873549"/>
    <w:rsid w:val="008747D0"/>
    <w:rsid w:val="00874AF6"/>
    <w:rsid w:val="008751BA"/>
    <w:rsid w:val="00875CA8"/>
    <w:rsid w:val="00876CB1"/>
    <w:rsid w:val="00877359"/>
    <w:rsid w:val="00877A5D"/>
    <w:rsid w:val="00877A78"/>
    <w:rsid w:val="00880611"/>
    <w:rsid w:val="00880951"/>
    <w:rsid w:val="00880999"/>
    <w:rsid w:val="008812BC"/>
    <w:rsid w:val="00881A3C"/>
    <w:rsid w:val="00881A3D"/>
    <w:rsid w:val="00881CCA"/>
    <w:rsid w:val="0088219C"/>
    <w:rsid w:val="00883028"/>
    <w:rsid w:val="00885259"/>
    <w:rsid w:val="008852DF"/>
    <w:rsid w:val="008858E4"/>
    <w:rsid w:val="00885EFB"/>
    <w:rsid w:val="008869BE"/>
    <w:rsid w:val="00887303"/>
    <w:rsid w:val="0088787B"/>
    <w:rsid w:val="008878A3"/>
    <w:rsid w:val="00887E09"/>
    <w:rsid w:val="00890158"/>
    <w:rsid w:val="00890792"/>
    <w:rsid w:val="008909FA"/>
    <w:rsid w:val="00890BC5"/>
    <w:rsid w:val="00890D40"/>
    <w:rsid w:val="008916E1"/>
    <w:rsid w:val="00891D2A"/>
    <w:rsid w:val="0089336F"/>
    <w:rsid w:val="00893C13"/>
    <w:rsid w:val="00894363"/>
    <w:rsid w:val="008949A8"/>
    <w:rsid w:val="008954D8"/>
    <w:rsid w:val="00895E74"/>
    <w:rsid w:val="00896154"/>
    <w:rsid w:val="00896CCD"/>
    <w:rsid w:val="00896E52"/>
    <w:rsid w:val="008974FB"/>
    <w:rsid w:val="0089767C"/>
    <w:rsid w:val="008978D7"/>
    <w:rsid w:val="00897E38"/>
    <w:rsid w:val="008A0B5D"/>
    <w:rsid w:val="008A1B6A"/>
    <w:rsid w:val="008A1E37"/>
    <w:rsid w:val="008A22BA"/>
    <w:rsid w:val="008A2AF5"/>
    <w:rsid w:val="008A3FCC"/>
    <w:rsid w:val="008A47D5"/>
    <w:rsid w:val="008A4A80"/>
    <w:rsid w:val="008A546E"/>
    <w:rsid w:val="008A5895"/>
    <w:rsid w:val="008A63EA"/>
    <w:rsid w:val="008B01F8"/>
    <w:rsid w:val="008B0489"/>
    <w:rsid w:val="008B0653"/>
    <w:rsid w:val="008B0ADD"/>
    <w:rsid w:val="008B1176"/>
    <w:rsid w:val="008B15F0"/>
    <w:rsid w:val="008B366D"/>
    <w:rsid w:val="008B3A99"/>
    <w:rsid w:val="008B4B35"/>
    <w:rsid w:val="008B4D4E"/>
    <w:rsid w:val="008B527B"/>
    <w:rsid w:val="008B5294"/>
    <w:rsid w:val="008B53B7"/>
    <w:rsid w:val="008B5708"/>
    <w:rsid w:val="008B5799"/>
    <w:rsid w:val="008B57D4"/>
    <w:rsid w:val="008B5BAA"/>
    <w:rsid w:val="008B72DC"/>
    <w:rsid w:val="008B762A"/>
    <w:rsid w:val="008B7B4F"/>
    <w:rsid w:val="008C00CF"/>
    <w:rsid w:val="008C0136"/>
    <w:rsid w:val="008C044F"/>
    <w:rsid w:val="008C06F2"/>
    <w:rsid w:val="008C10EB"/>
    <w:rsid w:val="008C1809"/>
    <w:rsid w:val="008C1AF3"/>
    <w:rsid w:val="008C1C1C"/>
    <w:rsid w:val="008C3290"/>
    <w:rsid w:val="008C3368"/>
    <w:rsid w:val="008C3537"/>
    <w:rsid w:val="008C50E4"/>
    <w:rsid w:val="008C50FE"/>
    <w:rsid w:val="008C6469"/>
    <w:rsid w:val="008C69CE"/>
    <w:rsid w:val="008C73BC"/>
    <w:rsid w:val="008C7718"/>
    <w:rsid w:val="008C7947"/>
    <w:rsid w:val="008C7CC7"/>
    <w:rsid w:val="008D06C8"/>
    <w:rsid w:val="008D09C6"/>
    <w:rsid w:val="008D1372"/>
    <w:rsid w:val="008D1E11"/>
    <w:rsid w:val="008D23F0"/>
    <w:rsid w:val="008D2AAC"/>
    <w:rsid w:val="008D5489"/>
    <w:rsid w:val="008D605B"/>
    <w:rsid w:val="008D6200"/>
    <w:rsid w:val="008D7534"/>
    <w:rsid w:val="008E00AA"/>
    <w:rsid w:val="008E1306"/>
    <w:rsid w:val="008E2549"/>
    <w:rsid w:val="008E2CA3"/>
    <w:rsid w:val="008E2EBD"/>
    <w:rsid w:val="008E3061"/>
    <w:rsid w:val="008E3A8E"/>
    <w:rsid w:val="008E3B7C"/>
    <w:rsid w:val="008E4989"/>
    <w:rsid w:val="008E4B5C"/>
    <w:rsid w:val="008E5A42"/>
    <w:rsid w:val="008E5D35"/>
    <w:rsid w:val="008E6121"/>
    <w:rsid w:val="008E61BF"/>
    <w:rsid w:val="008E629C"/>
    <w:rsid w:val="008E63F6"/>
    <w:rsid w:val="008E6FE1"/>
    <w:rsid w:val="008F061A"/>
    <w:rsid w:val="008F08A7"/>
    <w:rsid w:val="008F1386"/>
    <w:rsid w:val="008F156A"/>
    <w:rsid w:val="008F2281"/>
    <w:rsid w:val="008F2736"/>
    <w:rsid w:val="008F2748"/>
    <w:rsid w:val="008F3689"/>
    <w:rsid w:val="008F39B8"/>
    <w:rsid w:val="008F39EC"/>
    <w:rsid w:val="008F4064"/>
    <w:rsid w:val="008F4D42"/>
    <w:rsid w:val="008F52BA"/>
    <w:rsid w:val="008F5561"/>
    <w:rsid w:val="008F5975"/>
    <w:rsid w:val="008F5E49"/>
    <w:rsid w:val="008F6AD2"/>
    <w:rsid w:val="008F7D3C"/>
    <w:rsid w:val="00900188"/>
    <w:rsid w:val="00900291"/>
    <w:rsid w:val="00900DD4"/>
    <w:rsid w:val="00900FCE"/>
    <w:rsid w:val="00901745"/>
    <w:rsid w:val="00903535"/>
    <w:rsid w:val="009039ED"/>
    <w:rsid w:val="00904628"/>
    <w:rsid w:val="00904F32"/>
    <w:rsid w:val="009050C2"/>
    <w:rsid w:val="00905302"/>
    <w:rsid w:val="00905C18"/>
    <w:rsid w:val="00905F93"/>
    <w:rsid w:val="00906D0B"/>
    <w:rsid w:val="0090708A"/>
    <w:rsid w:val="00907758"/>
    <w:rsid w:val="00907D04"/>
    <w:rsid w:val="00907F01"/>
    <w:rsid w:val="00910D93"/>
    <w:rsid w:val="009123BC"/>
    <w:rsid w:val="00912917"/>
    <w:rsid w:val="0091342E"/>
    <w:rsid w:val="0091392B"/>
    <w:rsid w:val="00913FCD"/>
    <w:rsid w:val="0091414F"/>
    <w:rsid w:val="00914B99"/>
    <w:rsid w:val="00914F2A"/>
    <w:rsid w:val="0091587D"/>
    <w:rsid w:val="00915D1E"/>
    <w:rsid w:val="00917231"/>
    <w:rsid w:val="00917616"/>
    <w:rsid w:val="00920793"/>
    <w:rsid w:val="00922DE5"/>
    <w:rsid w:val="00923248"/>
    <w:rsid w:val="009237FD"/>
    <w:rsid w:val="009241BD"/>
    <w:rsid w:val="00924DF3"/>
    <w:rsid w:val="0092508F"/>
    <w:rsid w:val="00925D97"/>
    <w:rsid w:val="00926545"/>
    <w:rsid w:val="00926BFF"/>
    <w:rsid w:val="00927B67"/>
    <w:rsid w:val="00927C9F"/>
    <w:rsid w:val="00931BA9"/>
    <w:rsid w:val="00931E76"/>
    <w:rsid w:val="00931EBC"/>
    <w:rsid w:val="009327B5"/>
    <w:rsid w:val="0093319B"/>
    <w:rsid w:val="0093334D"/>
    <w:rsid w:val="0093341C"/>
    <w:rsid w:val="0093376F"/>
    <w:rsid w:val="00933AA9"/>
    <w:rsid w:val="00933CAF"/>
    <w:rsid w:val="00934945"/>
    <w:rsid w:val="009350B5"/>
    <w:rsid w:val="009353FC"/>
    <w:rsid w:val="00936C64"/>
    <w:rsid w:val="00937D8C"/>
    <w:rsid w:val="00940ABF"/>
    <w:rsid w:val="0094276F"/>
    <w:rsid w:val="009437A2"/>
    <w:rsid w:val="0094466F"/>
    <w:rsid w:val="00944BE2"/>
    <w:rsid w:val="00944C27"/>
    <w:rsid w:val="00945354"/>
    <w:rsid w:val="0094581A"/>
    <w:rsid w:val="009467BA"/>
    <w:rsid w:val="00946A62"/>
    <w:rsid w:val="0094728C"/>
    <w:rsid w:val="00947E9F"/>
    <w:rsid w:val="009515AA"/>
    <w:rsid w:val="00951F37"/>
    <w:rsid w:val="009535E0"/>
    <w:rsid w:val="009536A1"/>
    <w:rsid w:val="009540A2"/>
    <w:rsid w:val="0095428A"/>
    <w:rsid w:val="009552A0"/>
    <w:rsid w:val="00956A63"/>
    <w:rsid w:val="00957212"/>
    <w:rsid w:val="009572D5"/>
    <w:rsid w:val="009576B7"/>
    <w:rsid w:val="009576CF"/>
    <w:rsid w:val="009602F5"/>
    <w:rsid w:val="009606A8"/>
    <w:rsid w:val="00960797"/>
    <w:rsid w:val="0096085B"/>
    <w:rsid w:val="009611EB"/>
    <w:rsid w:val="0096128C"/>
    <w:rsid w:val="009613E1"/>
    <w:rsid w:val="00961F9F"/>
    <w:rsid w:val="00961FE2"/>
    <w:rsid w:val="00962588"/>
    <w:rsid w:val="00962F3D"/>
    <w:rsid w:val="0096352D"/>
    <w:rsid w:val="00963887"/>
    <w:rsid w:val="00963C53"/>
    <w:rsid w:val="00963E79"/>
    <w:rsid w:val="009646AA"/>
    <w:rsid w:val="00964A54"/>
    <w:rsid w:val="00964B98"/>
    <w:rsid w:val="0096510F"/>
    <w:rsid w:val="00965310"/>
    <w:rsid w:val="00965A52"/>
    <w:rsid w:val="009670CA"/>
    <w:rsid w:val="00967CD7"/>
    <w:rsid w:val="00967D3E"/>
    <w:rsid w:val="00967DF4"/>
    <w:rsid w:val="00970891"/>
    <w:rsid w:val="009716C6"/>
    <w:rsid w:val="00971E7B"/>
    <w:rsid w:val="009729B9"/>
    <w:rsid w:val="0097310A"/>
    <w:rsid w:val="009735F6"/>
    <w:rsid w:val="00973660"/>
    <w:rsid w:val="00973A43"/>
    <w:rsid w:val="00973DBE"/>
    <w:rsid w:val="00973FD4"/>
    <w:rsid w:val="00974704"/>
    <w:rsid w:val="009747A2"/>
    <w:rsid w:val="00974D4B"/>
    <w:rsid w:val="00974F00"/>
    <w:rsid w:val="0097577F"/>
    <w:rsid w:val="00976201"/>
    <w:rsid w:val="0097621D"/>
    <w:rsid w:val="009765D9"/>
    <w:rsid w:val="00976C5D"/>
    <w:rsid w:val="0097703D"/>
    <w:rsid w:val="00977045"/>
    <w:rsid w:val="009771BF"/>
    <w:rsid w:val="0097728F"/>
    <w:rsid w:val="009777E9"/>
    <w:rsid w:val="00977820"/>
    <w:rsid w:val="00977E90"/>
    <w:rsid w:val="00980000"/>
    <w:rsid w:val="0098071D"/>
    <w:rsid w:val="009817D1"/>
    <w:rsid w:val="009826ED"/>
    <w:rsid w:val="009830A5"/>
    <w:rsid w:val="00984278"/>
    <w:rsid w:val="009847EC"/>
    <w:rsid w:val="00985008"/>
    <w:rsid w:val="0098582E"/>
    <w:rsid w:val="00985AE6"/>
    <w:rsid w:val="00986714"/>
    <w:rsid w:val="0098770B"/>
    <w:rsid w:val="009906AC"/>
    <w:rsid w:val="009906EB"/>
    <w:rsid w:val="00990FB2"/>
    <w:rsid w:val="009914A1"/>
    <w:rsid w:val="0099197A"/>
    <w:rsid w:val="00992109"/>
    <w:rsid w:val="00992C76"/>
    <w:rsid w:val="00993F2B"/>
    <w:rsid w:val="0099491E"/>
    <w:rsid w:val="0099537E"/>
    <w:rsid w:val="00995B23"/>
    <w:rsid w:val="00996039"/>
    <w:rsid w:val="00997AE7"/>
    <w:rsid w:val="009A05D4"/>
    <w:rsid w:val="009A08DC"/>
    <w:rsid w:val="009A0A99"/>
    <w:rsid w:val="009A201A"/>
    <w:rsid w:val="009A2395"/>
    <w:rsid w:val="009A2BED"/>
    <w:rsid w:val="009A2C29"/>
    <w:rsid w:val="009A3741"/>
    <w:rsid w:val="009A3936"/>
    <w:rsid w:val="009A41D6"/>
    <w:rsid w:val="009A4954"/>
    <w:rsid w:val="009A4BDA"/>
    <w:rsid w:val="009A5F48"/>
    <w:rsid w:val="009A6379"/>
    <w:rsid w:val="009A7042"/>
    <w:rsid w:val="009A757F"/>
    <w:rsid w:val="009A7DE4"/>
    <w:rsid w:val="009B1B7A"/>
    <w:rsid w:val="009B3006"/>
    <w:rsid w:val="009B3279"/>
    <w:rsid w:val="009B379F"/>
    <w:rsid w:val="009B49AD"/>
    <w:rsid w:val="009B4D4B"/>
    <w:rsid w:val="009B5454"/>
    <w:rsid w:val="009B6F49"/>
    <w:rsid w:val="009C0007"/>
    <w:rsid w:val="009C0101"/>
    <w:rsid w:val="009C0447"/>
    <w:rsid w:val="009C08EF"/>
    <w:rsid w:val="009C0DAD"/>
    <w:rsid w:val="009C12EE"/>
    <w:rsid w:val="009C1603"/>
    <w:rsid w:val="009C1713"/>
    <w:rsid w:val="009C19FA"/>
    <w:rsid w:val="009C206B"/>
    <w:rsid w:val="009C2331"/>
    <w:rsid w:val="009C242C"/>
    <w:rsid w:val="009C289A"/>
    <w:rsid w:val="009C2EF7"/>
    <w:rsid w:val="009C2F6D"/>
    <w:rsid w:val="009C3E98"/>
    <w:rsid w:val="009C4077"/>
    <w:rsid w:val="009C470E"/>
    <w:rsid w:val="009C6BA5"/>
    <w:rsid w:val="009C7414"/>
    <w:rsid w:val="009D0262"/>
    <w:rsid w:val="009D03B0"/>
    <w:rsid w:val="009D148A"/>
    <w:rsid w:val="009D1D59"/>
    <w:rsid w:val="009D24F5"/>
    <w:rsid w:val="009D2E28"/>
    <w:rsid w:val="009D514E"/>
    <w:rsid w:val="009D55DE"/>
    <w:rsid w:val="009D5859"/>
    <w:rsid w:val="009D5E9B"/>
    <w:rsid w:val="009D6041"/>
    <w:rsid w:val="009D70B8"/>
    <w:rsid w:val="009D789D"/>
    <w:rsid w:val="009E081B"/>
    <w:rsid w:val="009E1733"/>
    <w:rsid w:val="009E1A01"/>
    <w:rsid w:val="009E1EDC"/>
    <w:rsid w:val="009E1F65"/>
    <w:rsid w:val="009E3374"/>
    <w:rsid w:val="009E4615"/>
    <w:rsid w:val="009E4D33"/>
    <w:rsid w:val="009E531A"/>
    <w:rsid w:val="009E5B2C"/>
    <w:rsid w:val="009E5E2D"/>
    <w:rsid w:val="009E628B"/>
    <w:rsid w:val="009E6343"/>
    <w:rsid w:val="009E685C"/>
    <w:rsid w:val="009E6C2C"/>
    <w:rsid w:val="009E7004"/>
    <w:rsid w:val="009E710A"/>
    <w:rsid w:val="009F0625"/>
    <w:rsid w:val="009F0C39"/>
    <w:rsid w:val="009F1651"/>
    <w:rsid w:val="009F25FA"/>
    <w:rsid w:val="009F2E00"/>
    <w:rsid w:val="009F2E9F"/>
    <w:rsid w:val="009F2EC1"/>
    <w:rsid w:val="009F3D54"/>
    <w:rsid w:val="009F541B"/>
    <w:rsid w:val="009F54B3"/>
    <w:rsid w:val="009F5631"/>
    <w:rsid w:val="009F5CAF"/>
    <w:rsid w:val="009F614A"/>
    <w:rsid w:val="009F691B"/>
    <w:rsid w:val="009F6DAA"/>
    <w:rsid w:val="009F7EFD"/>
    <w:rsid w:val="00A01861"/>
    <w:rsid w:val="00A01BB5"/>
    <w:rsid w:val="00A02380"/>
    <w:rsid w:val="00A02425"/>
    <w:rsid w:val="00A02536"/>
    <w:rsid w:val="00A02E44"/>
    <w:rsid w:val="00A02FAB"/>
    <w:rsid w:val="00A035B4"/>
    <w:rsid w:val="00A0550B"/>
    <w:rsid w:val="00A05ADB"/>
    <w:rsid w:val="00A05C5A"/>
    <w:rsid w:val="00A071DD"/>
    <w:rsid w:val="00A07230"/>
    <w:rsid w:val="00A07D53"/>
    <w:rsid w:val="00A07EA3"/>
    <w:rsid w:val="00A07F21"/>
    <w:rsid w:val="00A1004C"/>
    <w:rsid w:val="00A10335"/>
    <w:rsid w:val="00A10457"/>
    <w:rsid w:val="00A10C58"/>
    <w:rsid w:val="00A10F43"/>
    <w:rsid w:val="00A11818"/>
    <w:rsid w:val="00A127B3"/>
    <w:rsid w:val="00A12A87"/>
    <w:rsid w:val="00A1327F"/>
    <w:rsid w:val="00A13674"/>
    <w:rsid w:val="00A136B3"/>
    <w:rsid w:val="00A13A1B"/>
    <w:rsid w:val="00A141E5"/>
    <w:rsid w:val="00A1421B"/>
    <w:rsid w:val="00A14D20"/>
    <w:rsid w:val="00A1524B"/>
    <w:rsid w:val="00A15448"/>
    <w:rsid w:val="00A1590D"/>
    <w:rsid w:val="00A1775A"/>
    <w:rsid w:val="00A21B89"/>
    <w:rsid w:val="00A22198"/>
    <w:rsid w:val="00A23948"/>
    <w:rsid w:val="00A26767"/>
    <w:rsid w:val="00A2680A"/>
    <w:rsid w:val="00A271E3"/>
    <w:rsid w:val="00A2768D"/>
    <w:rsid w:val="00A276A2"/>
    <w:rsid w:val="00A301C8"/>
    <w:rsid w:val="00A30864"/>
    <w:rsid w:val="00A30F7E"/>
    <w:rsid w:val="00A31DD0"/>
    <w:rsid w:val="00A3228F"/>
    <w:rsid w:val="00A32378"/>
    <w:rsid w:val="00A326D6"/>
    <w:rsid w:val="00A32C3F"/>
    <w:rsid w:val="00A33644"/>
    <w:rsid w:val="00A33897"/>
    <w:rsid w:val="00A33A8E"/>
    <w:rsid w:val="00A3400F"/>
    <w:rsid w:val="00A3501E"/>
    <w:rsid w:val="00A354ED"/>
    <w:rsid w:val="00A35E4F"/>
    <w:rsid w:val="00A35FA5"/>
    <w:rsid w:val="00A368D2"/>
    <w:rsid w:val="00A36B21"/>
    <w:rsid w:val="00A401DE"/>
    <w:rsid w:val="00A40D28"/>
    <w:rsid w:val="00A40F9B"/>
    <w:rsid w:val="00A41B14"/>
    <w:rsid w:val="00A41B6A"/>
    <w:rsid w:val="00A41E52"/>
    <w:rsid w:val="00A42536"/>
    <w:rsid w:val="00A42D03"/>
    <w:rsid w:val="00A43B0E"/>
    <w:rsid w:val="00A43D64"/>
    <w:rsid w:val="00A43FF1"/>
    <w:rsid w:val="00A446D3"/>
    <w:rsid w:val="00A4498D"/>
    <w:rsid w:val="00A44DF9"/>
    <w:rsid w:val="00A44FDD"/>
    <w:rsid w:val="00A4546F"/>
    <w:rsid w:val="00A4561E"/>
    <w:rsid w:val="00A46905"/>
    <w:rsid w:val="00A46C57"/>
    <w:rsid w:val="00A475A3"/>
    <w:rsid w:val="00A47823"/>
    <w:rsid w:val="00A47DDE"/>
    <w:rsid w:val="00A47E84"/>
    <w:rsid w:val="00A50240"/>
    <w:rsid w:val="00A50683"/>
    <w:rsid w:val="00A507B8"/>
    <w:rsid w:val="00A50DC2"/>
    <w:rsid w:val="00A50FDE"/>
    <w:rsid w:val="00A51125"/>
    <w:rsid w:val="00A5139F"/>
    <w:rsid w:val="00A51732"/>
    <w:rsid w:val="00A52885"/>
    <w:rsid w:val="00A5295C"/>
    <w:rsid w:val="00A5306E"/>
    <w:rsid w:val="00A5415B"/>
    <w:rsid w:val="00A54B1E"/>
    <w:rsid w:val="00A55603"/>
    <w:rsid w:val="00A558A0"/>
    <w:rsid w:val="00A55BAA"/>
    <w:rsid w:val="00A55FFE"/>
    <w:rsid w:val="00A560D4"/>
    <w:rsid w:val="00A56234"/>
    <w:rsid w:val="00A564A7"/>
    <w:rsid w:val="00A5654E"/>
    <w:rsid w:val="00A56AAA"/>
    <w:rsid w:val="00A56C65"/>
    <w:rsid w:val="00A57191"/>
    <w:rsid w:val="00A60A7F"/>
    <w:rsid w:val="00A612B3"/>
    <w:rsid w:val="00A62EF2"/>
    <w:rsid w:val="00A63801"/>
    <w:rsid w:val="00A63D6C"/>
    <w:rsid w:val="00A64C59"/>
    <w:rsid w:val="00A665AD"/>
    <w:rsid w:val="00A669BF"/>
    <w:rsid w:val="00A672F4"/>
    <w:rsid w:val="00A67D32"/>
    <w:rsid w:val="00A67D63"/>
    <w:rsid w:val="00A67EF5"/>
    <w:rsid w:val="00A7058B"/>
    <w:rsid w:val="00A71A4B"/>
    <w:rsid w:val="00A71B35"/>
    <w:rsid w:val="00A7283D"/>
    <w:rsid w:val="00A72AEE"/>
    <w:rsid w:val="00A73B7F"/>
    <w:rsid w:val="00A75298"/>
    <w:rsid w:val="00A753A7"/>
    <w:rsid w:val="00A75F70"/>
    <w:rsid w:val="00A76A90"/>
    <w:rsid w:val="00A76BFF"/>
    <w:rsid w:val="00A76D86"/>
    <w:rsid w:val="00A774D5"/>
    <w:rsid w:val="00A778AB"/>
    <w:rsid w:val="00A77D69"/>
    <w:rsid w:val="00A77FC0"/>
    <w:rsid w:val="00A8096C"/>
    <w:rsid w:val="00A80A78"/>
    <w:rsid w:val="00A81D61"/>
    <w:rsid w:val="00A81ECF"/>
    <w:rsid w:val="00A821FE"/>
    <w:rsid w:val="00A82984"/>
    <w:rsid w:val="00A82C2B"/>
    <w:rsid w:val="00A82D9C"/>
    <w:rsid w:val="00A83832"/>
    <w:rsid w:val="00A84C05"/>
    <w:rsid w:val="00A86FE7"/>
    <w:rsid w:val="00A87D84"/>
    <w:rsid w:val="00A9109B"/>
    <w:rsid w:val="00A9167C"/>
    <w:rsid w:val="00A918BA"/>
    <w:rsid w:val="00A92449"/>
    <w:rsid w:val="00A925B7"/>
    <w:rsid w:val="00A93279"/>
    <w:rsid w:val="00A93373"/>
    <w:rsid w:val="00A93460"/>
    <w:rsid w:val="00A960FA"/>
    <w:rsid w:val="00A9736F"/>
    <w:rsid w:val="00AA0E4A"/>
    <w:rsid w:val="00AA17DC"/>
    <w:rsid w:val="00AA258D"/>
    <w:rsid w:val="00AA36ED"/>
    <w:rsid w:val="00AA3762"/>
    <w:rsid w:val="00AA37B2"/>
    <w:rsid w:val="00AA3B31"/>
    <w:rsid w:val="00AA3F1D"/>
    <w:rsid w:val="00AA567E"/>
    <w:rsid w:val="00AA69EF"/>
    <w:rsid w:val="00AA79BF"/>
    <w:rsid w:val="00AB0619"/>
    <w:rsid w:val="00AB15BB"/>
    <w:rsid w:val="00AB18D2"/>
    <w:rsid w:val="00AB2886"/>
    <w:rsid w:val="00AB4206"/>
    <w:rsid w:val="00AB4C23"/>
    <w:rsid w:val="00AB520E"/>
    <w:rsid w:val="00AB5500"/>
    <w:rsid w:val="00AB6DC0"/>
    <w:rsid w:val="00AB795A"/>
    <w:rsid w:val="00AB7B10"/>
    <w:rsid w:val="00AB7F22"/>
    <w:rsid w:val="00AC0577"/>
    <w:rsid w:val="00AC0F1B"/>
    <w:rsid w:val="00AC333F"/>
    <w:rsid w:val="00AC455E"/>
    <w:rsid w:val="00AC5417"/>
    <w:rsid w:val="00AC5934"/>
    <w:rsid w:val="00AC5DB1"/>
    <w:rsid w:val="00AC6B7D"/>
    <w:rsid w:val="00AC6D47"/>
    <w:rsid w:val="00AC7175"/>
    <w:rsid w:val="00AD016B"/>
    <w:rsid w:val="00AD0CEA"/>
    <w:rsid w:val="00AD17C8"/>
    <w:rsid w:val="00AD197B"/>
    <w:rsid w:val="00AD358D"/>
    <w:rsid w:val="00AD3F22"/>
    <w:rsid w:val="00AD4644"/>
    <w:rsid w:val="00AD4881"/>
    <w:rsid w:val="00AD4901"/>
    <w:rsid w:val="00AD49DC"/>
    <w:rsid w:val="00AD5570"/>
    <w:rsid w:val="00AD58E8"/>
    <w:rsid w:val="00AD5B11"/>
    <w:rsid w:val="00AD5C50"/>
    <w:rsid w:val="00AD60BA"/>
    <w:rsid w:val="00AD62E6"/>
    <w:rsid w:val="00AD6C22"/>
    <w:rsid w:val="00AD6E7D"/>
    <w:rsid w:val="00AD7B3E"/>
    <w:rsid w:val="00AE01CF"/>
    <w:rsid w:val="00AE080D"/>
    <w:rsid w:val="00AE0DA6"/>
    <w:rsid w:val="00AE0EE1"/>
    <w:rsid w:val="00AE117B"/>
    <w:rsid w:val="00AE1883"/>
    <w:rsid w:val="00AE1A22"/>
    <w:rsid w:val="00AE29E7"/>
    <w:rsid w:val="00AE2D47"/>
    <w:rsid w:val="00AE390B"/>
    <w:rsid w:val="00AE4C20"/>
    <w:rsid w:val="00AE5E02"/>
    <w:rsid w:val="00AE697A"/>
    <w:rsid w:val="00AF0854"/>
    <w:rsid w:val="00AF2589"/>
    <w:rsid w:val="00AF2C66"/>
    <w:rsid w:val="00AF3549"/>
    <w:rsid w:val="00AF3D7D"/>
    <w:rsid w:val="00AF4897"/>
    <w:rsid w:val="00AF4AFC"/>
    <w:rsid w:val="00AF55A8"/>
    <w:rsid w:val="00AF5770"/>
    <w:rsid w:val="00AF5A42"/>
    <w:rsid w:val="00AF5A56"/>
    <w:rsid w:val="00AF5CAC"/>
    <w:rsid w:val="00AF5EB9"/>
    <w:rsid w:val="00AF60A5"/>
    <w:rsid w:val="00AF612D"/>
    <w:rsid w:val="00AF68F0"/>
    <w:rsid w:val="00AF6FB7"/>
    <w:rsid w:val="00B00495"/>
    <w:rsid w:val="00B00903"/>
    <w:rsid w:val="00B00D01"/>
    <w:rsid w:val="00B010D9"/>
    <w:rsid w:val="00B015FA"/>
    <w:rsid w:val="00B019C5"/>
    <w:rsid w:val="00B01F8A"/>
    <w:rsid w:val="00B02B5E"/>
    <w:rsid w:val="00B03681"/>
    <w:rsid w:val="00B0480B"/>
    <w:rsid w:val="00B04B7C"/>
    <w:rsid w:val="00B05BB6"/>
    <w:rsid w:val="00B05CD2"/>
    <w:rsid w:val="00B063DA"/>
    <w:rsid w:val="00B06403"/>
    <w:rsid w:val="00B07339"/>
    <w:rsid w:val="00B106AC"/>
    <w:rsid w:val="00B10FA4"/>
    <w:rsid w:val="00B11DA5"/>
    <w:rsid w:val="00B122B7"/>
    <w:rsid w:val="00B12E5D"/>
    <w:rsid w:val="00B14195"/>
    <w:rsid w:val="00B1491C"/>
    <w:rsid w:val="00B152CB"/>
    <w:rsid w:val="00B1551D"/>
    <w:rsid w:val="00B15C62"/>
    <w:rsid w:val="00B16E6C"/>
    <w:rsid w:val="00B1769D"/>
    <w:rsid w:val="00B17CCC"/>
    <w:rsid w:val="00B201E8"/>
    <w:rsid w:val="00B20533"/>
    <w:rsid w:val="00B21058"/>
    <w:rsid w:val="00B216FF"/>
    <w:rsid w:val="00B21A6D"/>
    <w:rsid w:val="00B22400"/>
    <w:rsid w:val="00B23A8F"/>
    <w:rsid w:val="00B24C44"/>
    <w:rsid w:val="00B25DCB"/>
    <w:rsid w:val="00B25FB0"/>
    <w:rsid w:val="00B26138"/>
    <w:rsid w:val="00B26BDB"/>
    <w:rsid w:val="00B27EB2"/>
    <w:rsid w:val="00B30273"/>
    <w:rsid w:val="00B306EF"/>
    <w:rsid w:val="00B30D25"/>
    <w:rsid w:val="00B316BC"/>
    <w:rsid w:val="00B324F0"/>
    <w:rsid w:val="00B32799"/>
    <w:rsid w:val="00B32D33"/>
    <w:rsid w:val="00B338AB"/>
    <w:rsid w:val="00B33B2F"/>
    <w:rsid w:val="00B33B61"/>
    <w:rsid w:val="00B33DA6"/>
    <w:rsid w:val="00B3591A"/>
    <w:rsid w:val="00B35DBC"/>
    <w:rsid w:val="00B365B8"/>
    <w:rsid w:val="00B36C1D"/>
    <w:rsid w:val="00B37265"/>
    <w:rsid w:val="00B37332"/>
    <w:rsid w:val="00B40702"/>
    <w:rsid w:val="00B409F9"/>
    <w:rsid w:val="00B40B45"/>
    <w:rsid w:val="00B4128B"/>
    <w:rsid w:val="00B4162E"/>
    <w:rsid w:val="00B41857"/>
    <w:rsid w:val="00B41A3A"/>
    <w:rsid w:val="00B428B8"/>
    <w:rsid w:val="00B42AA7"/>
    <w:rsid w:val="00B42DEB"/>
    <w:rsid w:val="00B43AE0"/>
    <w:rsid w:val="00B43AED"/>
    <w:rsid w:val="00B43CF0"/>
    <w:rsid w:val="00B446C1"/>
    <w:rsid w:val="00B44ABD"/>
    <w:rsid w:val="00B458FC"/>
    <w:rsid w:val="00B4590B"/>
    <w:rsid w:val="00B46504"/>
    <w:rsid w:val="00B46818"/>
    <w:rsid w:val="00B47007"/>
    <w:rsid w:val="00B47E19"/>
    <w:rsid w:val="00B5007D"/>
    <w:rsid w:val="00B51A87"/>
    <w:rsid w:val="00B5215C"/>
    <w:rsid w:val="00B52DCC"/>
    <w:rsid w:val="00B52E93"/>
    <w:rsid w:val="00B5389F"/>
    <w:rsid w:val="00B5425E"/>
    <w:rsid w:val="00B5444F"/>
    <w:rsid w:val="00B54E2A"/>
    <w:rsid w:val="00B55460"/>
    <w:rsid w:val="00B5546C"/>
    <w:rsid w:val="00B56710"/>
    <w:rsid w:val="00B579D9"/>
    <w:rsid w:val="00B60497"/>
    <w:rsid w:val="00B6067B"/>
    <w:rsid w:val="00B60860"/>
    <w:rsid w:val="00B60DEC"/>
    <w:rsid w:val="00B62DB9"/>
    <w:rsid w:val="00B62F08"/>
    <w:rsid w:val="00B6371A"/>
    <w:rsid w:val="00B63B4C"/>
    <w:rsid w:val="00B642B4"/>
    <w:rsid w:val="00B64E18"/>
    <w:rsid w:val="00B65D35"/>
    <w:rsid w:val="00B672D4"/>
    <w:rsid w:val="00B67BAF"/>
    <w:rsid w:val="00B67F78"/>
    <w:rsid w:val="00B70357"/>
    <w:rsid w:val="00B70696"/>
    <w:rsid w:val="00B70893"/>
    <w:rsid w:val="00B7095A"/>
    <w:rsid w:val="00B70C8F"/>
    <w:rsid w:val="00B721BC"/>
    <w:rsid w:val="00B72316"/>
    <w:rsid w:val="00B729D1"/>
    <w:rsid w:val="00B7362C"/>
    <w:rsid w:val="00B738CF"/>
    <w:rsid w:val="00B75162"/>
    <w:rsid w:val="00B7556C"/>
    <w:rsid w:val="00B75BD9"/>
    <w:rsid w:val="00B75F4F"/>
    <w:rsid w:val="00B76679"/>
    <w:rsid w:val="00B767B0"/>
    <w:rsid w:val="00B76AAA"/>
    <w:rsid w:val="00B76D9B"/>
    <w:rsid w:val="00B81130"/>
    <w:rsid w:val="00B81A1D"/>
    <w:rsid w:val="00B81E29"/>
    <w:rsid w:val="00B832E4"/>
    <w:rsid w:val="00B83BAB"/>
    <w:rsid w:val="00B851F4"/>
    <w:rsid w:val="00B85692"/>
    <w:rsid w:val="00B856F0"/>
    <w:rsid w:val="00B8574D"/>
    <w:rsid w:val="00B86B5D"/>
    <w:rsid w:val="00B86E4E"/>
    <w:rsid w:val="00B871E6"/>
    <w:rsid w:val="00B8776B"/>
    <w:rsid w:val="00B87AB0"/>
    <w:rsid w:val="00B90987"/>
    <w:rsid w:val="00B9132E"/>
    <w:rsid w:val="00B9177D"/>
    <w:rsid w:val="00B91B5F"/>
    <w:rsid w:val="00B91B87"/>
    <w:rsid w:val="00B9305C"/>
    <w:rsid w:val="00B931F9"/>
    <w:rsid w:val="00B93E95"/>
    <w:rsid w:val="00B9440A"/>
    <w:rsid w:val="00B945E7"/>
    <w:rsid w:val="00B946BE"/>
    <w:rsid w:val="00B949E4"/>
    <w:rsid w:val="00B94AD7"/>
    <w:rsid w:val="00B94BF6"/>
    <w:rsid w:val="00B9569F"/>
    <w:rsid w:val="00B95BF0"/>
    <w:rsid w:val="00B95DD2"/>
    <w:rsid w:val="00B960F8"/>
    <w:rsid w:val="00B96249"/>
    <w:rsid w:val="00B968A4"/>
    <w:rsid w:val="00B96C55"/>
    <w:rsid w:val="00B975AF"/>
    <w:rsid w:val="00B97E9F"/>
    <w:rsid w:val="00BA0081"/>
    <w:rsid w:val="00BA0E3B"/>
    <w:rsid w:val="00BA187C"/>
    <w:rsid w:val="00BA2FEF"/>
    <w:rsid w:val="00BA32BA"/>
    <w:rsid w:val="00BA3BE6"/>
    <w:rsid w:val="00BA4BC9"/>
    <w:rsid w:val="00BA552D"/>
    <w:rsid w:val="00BA5F51"/>
    <w:rsid w:val="00BA6606"/>
    <w:rsid w:val="00BA6B52"/>
    <w:rsid w:val="00BA6DD0"/>
    <w:rsid w:val="00BA6FF9"/>
    <w:rsid w:val="00BA72A1"/>
    <w:rsid w:val="00BA73FE"/>
    <w:rsid w:val="00BA74AA"/>
    <w:rsid w:val="00BB09B8"/>
    <w:rsid w:val="00BB0B31"/>
    <w:rsid w:val="00BB0CB3"/>
    <w:rsid w:val="00BB153F"/>
    <w:rsid w:val="00BB3396"/>
    <w:rsid w:val="00BB34EC"/>
    <w:rsid w:val="00BB37C2"/>
    <w:rsid w:val="00BB3C52"/>
    <w:rsid w:val="00BB48B7"/>
    <w:rsid w:val="00BB69DC"/>
    <w:rsid w:val="00BB715C"/>
    <w:rsid w:val="00BB7566"/>
    <w:rsid w:val="00BC1B27"/>
    <w:rsid w:val="00BC2050"/>
    <w:rsid w:val="00BC21B7"/>
    <w:rsid w:val="00BC298A"/>
    <w:rsid w:val="00BC2DEC"/>
    <w:rsid w:val="00BC3083"/>
    <w:rsid w:val="00BC460C"/>
    <w:rsid w:val="00BC4686"/>
    <w:rsid w:val="00BC474B"/>
    <w:rsid w:val="00BC576D"/>
    <w:rsid w:val="00BC57CB"/>
    <w:rsid w:val="00BC5B64"/>
    <w:rsid w:val="00BC790B"/>
    <w:rsid w:val="00BC7AA3"/>
    <w:rsid w:val="00BC7C23"/>
    <w:rsid w:val="00BD0C6F"/>
    <w:rsid w:val="00BD1470"/>
    <w:rsid w:val="00BD2CA6"/>
    <w:rsid w:val="00BD2CCA"/>
    <w:rsid w:val="00BD35C6"/>
    <w:rsid w:val="00BD4079"/>
    <w:rsid w:val="00BD468F"/>
    <w:rsid w:val="00BD4A25"/>
    <w:rsid w:val="00BD5930"/>
    <w:rsid w:val="00BD6580"/>
    <w:rsid w:val="00BD6687"/>
    <w:rsid w:val="00BE0127"/>
    <w:rsid w:val="00BE0139"/>
    <w:rsid w:val="00BE06A4"/>
    <w:rsid w:val="00BE073E"/>
    <w:rsid w:val="00BE0BA9"/>
    <w:rsid w:val="00BE0ED4"/>
    <w:rsid w:val="00BE24D0"/>
    <w:rsid w:val="00BE2517"/>
    <w:rsid w:val="00BE37BE"/>
    <w:rsid w:val="00BE3AD3"/>
    <w:rsid w:val="00BE42BA"/>
    <w:rsid w:val="00BE44AF"/>
    <w:rsid w:val="00BE451F"/>
    <w:rsid w:val="00BE4B64"/>
    <w:rsid w:val="00BE4FD9"/>
    <w:rsid w:val="00BE5001"/>
    <w:rsid w:val="00BE6A12"/>
    <w:rsid w:val="00BE6FE7"/>
    <w:rsid w:val="00BE7C3C"/>
    <w:rsid w:val="00BF0552"/>
    <w:rsid w:val="00BF15F2"/>
    <w:rsid w:val="00BF1C05"/>
    <w:rsid w:val="00BF20F6"/>
    <w:rsid w:val="00BF2304"/>
    <w:rsid w:val="00BF231D"/>
    <w:rsid w:val="00BF2712"/>
    <w:rsid w:val="00BF2A1C"/>
    <w:rsid w:val="00BF32F3"/>
    <w:rsid w:val="00BF372F"/>
    <w:rsid w:val="00BF4135"/>
    <w:rsid w:val="00BF44EA"/>
    <w:rsid w:val="00BF49A9"/>
    <w:rsid w:val="00BF4CB6"/>
    <w:rsid w:val="00BF5870"/>
    <w:rsid w:val="00BF6785"/>
    <w:rsid w:val="00BF6865"/>
    <w:rsid w:val="00BF77E7"/>
    <w:rsid w:val="00BF7A8F"/>
    <w:rsid w:val="00BF7F6B"/>
    <w:rsid w:val="00C0129C"/>
    <w:rsid w:val="00C032BD"/>
    <w:rsid w:val="00C03B54"/>
    <w:rsid w:val="00C03E08"/>
    <w:rsid w:val="00C0476E"/>
    <w:rsid w:val="00C04891"/>
    <w:rsid w:val="00C048EC"/>
    <w:rsid w:val="00C04B4F"/>
    <w:rsid w:val="00C06BB3"/>
    <w:rsid w:val="00C07156"/>
    <w:rsid w:val="00C072E9"/>
    <w:rsid w:val="00C07E2D"/>
    <w:rsid w:val="00C102D8"/>
    <w:rsid w:val="00C10B97"/>
    <w:rsid w:val="00C10C10"/>
    <w:rsid w:val="00C10C80"/>
    <w:rsid w:val="00C112F4"/>
    <w:rsid w:val="00C11407"/>
    <w:rsid w:val="00C11834"/>
    <w:rsid w:val="00C11EBB"/>
    <w:rsid w:val="00C12922"/>
    <w:rsid w:val="00C12999"/>
    <w:rsid w:val="00C12D77"/>
    <w:rsid w:val="00C1351C"/>
    <w:rsid w:val="00C136B1"/>
    <w:rsid w:val="00C13F15"/>
    <w:rsid w:val="00C14AFE"/>
    <w:rsid w:val="00C154E5"/>
    <w:rsid w:val="00C155D7"/>
    <w:rsid w:val="00C16710"/>
    <w:rsid w:val="00C16D69"/>
    <w:rsid w:val="00C17087"/>
    <w:rsid w:val="00C17632"/>
    <w:rsid w:val="00C17AE9"/>
    <w:rsid w:val="00C201AB"/>
    <w:rsid w:val="00C210A6"/>
    <w:rsid w:val="00C223BB"/>
    <w:rsid w:val="00C22436"/>
    <w:rsid w:val="00C2283C"/>
    <w:rsid w:val="00C230CA"/>
    <w:rsid w:val="00C255B7"/>
    <w:rsid w:val="00C25619"/>
    <w:rsid w:val="00C25959"/>
    <w:rsid w:val="00C25C30"/>
    <w:rsid w:val="00C26EC4"/>
    <w:rsid w:val="00C27279"/>
    <w:rsid w:val="00C27347"/>
    <w:rsid w:val="00C27CC6"/>
    <w:rsid w:val="00C30694"/>
    <w:rsid w:val="00C311A9"/>
    <w:rsid w:val="00C326BB"/>
    <w:rsid w:val="00C32A73"/>
    <w:rsid w:val="00C336AD"/>
    <w:rsid w:val="00C340FC"/>
    <w:rsid w:val="00C34865"/>
    <w:rsid w:val="00C354CD"/>
    <w:rsid w:val="00C35539"/>
    <w:rsid w:val="00C3560A"/>
    <w:rsid w:val="00C37BFF"/>
    <w:rsid w:val="00C4013A"/>
    <w:rsid w:val="00C42CE5"/>
    <w:rsid w:val="00C42D29"/>
    <w:rsid w:val="00C42D4D"/>
    <w:rsid w:val="00C43015"/>
    <w:rsid w:val="00C4355A"/>
    <w:rsid w:val="00C4357B"/>
    <w:rsid w:val="00C438C0"/>
    <w:rsid w:val="00C45626"/>
    <w:rsid w:val="00C459F2"/>
    <w:rsid w:val="00C4635A"/>
    <w:rsid w:val="00C46CCF"/>
    <w:rsid w:val="00C46F3E"/>
    <w:rsid w:val="00C471C6"/>
    <w:rsid w:val="00C50248"/>
    <w:rsid w:val="00C516A9"/>
    <w:rsid w:val="00C51A55"/>
    <w:rsid w:val="00C52895"/>
    <w:rsid w:val="00C52F24"/>
    <w:rsid w:val="00C53C98"/>
    <w:rsid w:val="00C54121"/>
    <w:rsid w:val="00C54247"/>
    <w:rsid w:val="00C5438C"/>
    <w:rsid w:val="00C5484D"/>
    <w:rsid w:val="00C54BD5"/>
    <w:rsid w:val="00C54FB7"/>
    <w:rsid w:val="00C553BD"/>
    <w:rsid w:val="00C55727"/>
    <w:rsid w:val="00C560C1"/>
    <w:rsid w:val="00C6001D"/>
    <w:rsid w:val="00C60F26"/>
    <w:rsid w:val="00C62B73"/>
    <w:rsid w:val="00C63C76"/>
    <w:rsid w:val="00C64DA3"/>
    <w:rsid w:val="00C65007"/>
    <w:rsid w:val="00C65AD2"/>
    <w:rsid w:val="00C65C1C"/>
    <w:rsid w:val="00C65D16"/>
    <w:rsid w:val="00C66BF6"/>
    <w:rsid w:val="00C67BD3"/>
    <w:rsid w:val="00C70924"/>
    <w:rsid w:val="00C7104B"/>
    <w:rsid w:val="00C72828"/>
    <w:rsid w:val="00C72EEB"/>
    <w:rsid w:val="00C7330B"/>
    <w:rsid w:val="00C73911"/>
    <w:rsid w:val="00C75002"/>
    <w:rsid w:val="00C7521F"/>
    <w:rsid w:val="00C77DC7"/>
    <w:rsid w:val="00C80633"/>
    <w:rsid w:val="00C806CD"/>
    <w:rsid w:val="00C80B13"/>
    <w:rsid w:val="00C8101A"/>
    <w:rsid w:val="00C81C37"/>
    <w:rsid w:val="00C81D23"/>
    <w:rsid w:val="00C82017"/>
    <w:rsid w:val="00C82A4F"/>
    <w:rsid w:val="00C82E02"/>
    <w:rsid w:val="00C831B6"/>
    <w:rsid w:val="00C832C3"/>
    <w:rsid w:val="00C83DD9"/>
    <w:rsid w:val="00C84312"/>
    <w:rsid w:val="00C84F0B"/>
    <w:rsid w:val="00C85DA0"/>
    <w:rsid w:val="00C86348"/>
    <w:rsid w:val="00C8679B"/>
    <w:rsid w:val="00C86D32"/>
    <w:rsid w:val="00C86DEA"/>
    <w:rsid w:val="00C87300"/>
    <w:rsid w:val="00C900D4"/>
    <w:rsid w:val="00C9029C"/>
    <w:rsid w:val="00C904C2"/>
    <w:rsid w:val="00C90D19"/>
    <w:rsid w:val="00C91DDC"/>
    <w:rsid w:val="00C920A8"/>
    <w:rsid w:val="00C9258A"/>
    <w:rsid w:val="00C92FF8"/>
    <w:rsid w:val="00C93377"/>
    <w:rsid w:val="00C947B9"/>
    <w:rsid w:val="00C9483A"/>
    <w:rsid w:val="00C94FAB"/>
    <w:rsid w:val="00C95084"/>
    <w:rsid w:val="00C950DB"/>
    <w:rsid w:val="00C95BBB"/>
    <w:rsid w:val="00C95D29"/>
    <w:rsid w:val="00C95E2A"/>
    <w:rsid w:val="00C968A0"/>
    <w:rsid w:val="00C97820"/>
    <w:rsid w:val="00C97C48"/>
    <w:rsid w:val="00C97F42"/>
    <w:rsid w:val="00CA00B1"/>
    <w:rsid w:val="00CA038C"/>
    <w:rsid w:val="00CA061F"/>
    <w:rsid w:val="00CA0D16"/>
    <w:rsid w:val="00CA13F7"/>
    <w:rsid w:val="00CA1961"/>
    <w:rsid w:val="00CA1DEE"/>
    <w:rsid w:val="00CA1DFE"/>
    <w:rsid w:val="00CA1FB7"/>
    <w:rsid w:val="00CA2255"/>
    <w:rsid w:val="00CA245C"/>
    <w:rsid w:val="00CA2959"/>
    <w:rsid w:val="00CA303C"/>
    <w:rsid w:val="00CA413A"/>
    <w:rsid w:val="00CA4C8D"/>
    <w:rsid w:val="00CA545E"/>
    <w:rsid w:val="00CA5B95"/>
    <w:rsid w:val="00CA6C10"/>
    <w:rsid w:val="00CA754B"/>
    <w:rsid w:val="00CA7992"/>
    <w:rsid w:val="00CB027A"/>
    <w:rsid w:val="00CB0795"/>
    <w:rsid w:val="00CB0BB8"/>
    <w:rsid w:val="00CB11AD"/>
    <w:rsid w:val="00CB172A"/>
    <w:rsid w:val="00CB2091"/>
    <w:rsid w:val="00CB2FC6"/>
    <w:rsid w:val="00CB334F"/>
    <w:rsid w:val="00CB37E8"/>
    <w:rsid w:val="00CB39CF"/>
    <w:rsid w:val="00CB5223"/>
    <w:rsid w:val="00CB55F6"/>
    <w:rsid w:val="00CB5A8A"/>
    <w:rsid w:val="00CB5BAD"/>
    <w:rsid w:val="00CB7076"/>
    <w:rsid w:val="00CB72D2"/>
    <w:rsid w:val="00CB7B93"/>
    <w:rsid w:val="00CC0F18"/>
    <w:rsid w:val="00CC1733"/>
    <w:rsid w:val="00CC2232"/>
    <w:rsid w:val="00CC2A8D"/>
    <w:rsid w:val="00CC2F96"/>
    <w:rsid w:val="00CC3867"/>
    <w:rsid w:val="00CC4071"/>
    <w:rsid w:val="00CC4595"/>
    <w:rsid w:val="00CC45F5"/>
    <w:rsid w:val="00CC478C"/>
    <w:rsid w:val="00CC5437"/>
    <w:rsid w:val="00CC5812"/>
    <w:rsid w:val="00CC5AC3"/>
    <w:rsid w:val="00CC66F3"/>
    <w:rsid w:val="00CC7377"/>
    <w:rsid w:val="00CC75A2"/>
    <w:rsid w:val="00CC77DB"/>
    <w:rsid w:val="00CD0810"/>
    <w:rsid w:val="00CD0AD3"/>
    <w:rsid w:val="00CD0CFB"/>
    <w:rsid w:val="00CD168A"/>
    <w:rsid w:val="00CD1CCA"/>
    <w:rsid w:val="00CD3C72"/>
    <w:rsid w:val="00CD4684"/>
    <w:rsid w:val="00CD5104"/>
    <w:rsid w:val="00CD5B58"/>
    <w:rsid w:val="00CD5F90"/>
    <w:rsid w:val="00CD62F9"/>
    <w:rsid w:val="00CD663E"/>
    <w:rsid w:val="00CD678F"/>
    <w:rsid w:val="00CD7880"/>
    <w:rsid w:val="00CE0553"/>
    <w:rsid w:val="00CE0ED7"/>
    <w:rsid w:val="00CE1310"/>
    <w:rsid w:val="00CE2360"/>
    <w:rsid w:val="00CE3A57"/>
    <w:rsid w:val="00CE3EB8"/>
    <w:rsid w:val="00CE4376"/>
    <w:rsid w:val="00CE4AD8"/>
    <w:rsid w:val="00CE5701"/>
    <w:rsid w:val="00CE5AF7"/>
    <w:rsid w:val="00CE60EC"/>
    <w:rsid w:val="00CE66D6"/>
    <w:rsid w:val="00CE78A6"/>
    <w:rsid w:val="00CE7A6E"/>
    <w:rsid w:val="00CE7ABC"/>
    <w:rsid w:val="00CF0009"/>
    <w:rsid w:val="00CF06F1"/>
    <w:rsid w:val="00CF1625"/>
    <w:rsid w:val="00CF184B"/>
    <w:rsid w:val="00CF220F"/>
    <w:rsid w:val="00CF28BA"/>
    <w:rsid w:val="00CF2E82"/>
    <w:rsid w:val="00CF2F7F"/>
    <w:rsid w:val="00CF33DC"/>
    <w:rsid w:val="00CF36CA"/>
    <w:rsid w:val="00CF3EF7"/>
    <w:rsid w:val="00CF4CF1"/>
    <w:rsid w:val="00CF51C6"/>
    <w:rsid w:val="00CF58B7"/>
    <w:rsid w:val="00CF640B"/>
    <w:rsid w:val="00CF64B4"/>
    <w:rsid w:val="00CF7092"/>
    <w:rsid w:val="00CF7300"/>
    <w:rsid w:val="00CF7512"/>
    <w:rsid w:val="00CF778C"/>
    <w:rsid w:val="00CF7A46"/>
    <w:rsid w:val="00D009DE"/>
    <w:rsid w:val="00D01F0F"/>
    <w:rsid w:val="00D0226A"/>
    <w:rsid w:val="00D024C7"/>
    <w:rsid w:val="00D0342C"/>
    <w:rsid w:val="00D03AAA"/>
    <w:rsid w:val="00D04506"/>
    <w:rsid w:val="00D0475E"/>
    <w:rsid w:val="00D04ABD"/>
    <w:rsid w:val="00D054AB"/>
    <w:rsid w:val="00D06348"/>
    <w:rsid w:val="00D0641A"/>
    <w:rsid w:val="00D06702"/>
    <w:rsid w:val="00D075E7"/>
    <w:rsid w:val="00D10875"/>
    <w:rsid w:val="00D114A4"/>
    <w:rsid w:val="00D1219D"/>
    <w:rsid w:val="00D12298"/>
    <w:rsid w:val="00D129B0"/>
    <w:rsid w:val="00D12FE5"/>
    <w:rsid w:val="00D1446D"/>
    <w:rsid w:val="00D146A0"/>
    <w:rsid w:val="00D1623C"/>
    <w:rsid w:val="00D16B53"/>
    <w:rsid w:val="00D170F0"/>
    <w:rsid w:val="00D21A37"/>
    <w:rsid w:val="00D22A60"/>
    <w:rsid w:val="00D24C80"/>
    <w:rsid w:val="00D24CEB"/>
    <w:rsid w:val="00D24FCA"/>
    <w:rsid w:val="00D2526D"/>
    <w:rsid w:val="00D25904"/>
    <w:rsid w:val="00D25EFE"/>
    <w:rsid w:val="00D25F77"/>
    <w:rsid w:val="00D26093"/>
    <w:rsid w:val="00D269AE"/>
    <w:rsid w:val="00D26B49"/>
    <w:rsid w:val="00D30917"/>
    <w:rsid w:val="00D31740"/>
    <w:rsid w:val="00D31FF4"/>
    <w:rsid w:val="00D3252B"/>
    <w:rsid w:val="00D32A5B"/>
    <w:rsid w:val="00D32F2B"/>
    <w:rsid w:val="00D33ED0"/>
    <w:rsid w:val="00D3406C"/>
    <w:rsid w:val="00D3436A"/>
    <w:rsid w:val="00D34FD9"/>
    <w:rsid w:val="00D35204"/>
    <w:rsid w:val="00D3566A"/>
    <w:rsid w:val="00D35C61"/>
    <w:rsid w:val="00D368B0"/>
    <w:rsid w:val="00D36F88"/>
    <w:rsid w:val="00D37166"/>
    <w:rsid w:val="00D37616"/>
    <w:rsid w:val="00D40502"/>
    <w:rsid w:val="00D415C0"/>
    <w:rsid w:val="00D41C03"/>
    <w:rsid w:val="00D42DD1"/>
    <w:rsid w:val="00D42EE0"/>
    <w:rsid w:val="00D435AF"/>
    <w:rsid w:val="00D436A0"/>
    <w:rsid w:val="00D43EBC"/>
    <w:rsid w:val="00D44247"/>
    <w:rsid w:val="00D44BAA"/>
    <w:rsid w:val="00D44FD5"/>
    <w:rsid w:val="00D459E9"/>
    <w:rsid w:val="00D45B4C"/>
    <w:rsid w:val="00D45EC0"/>
    <w:rsid w:val="00D46D41"/>
    <w:rsid w:val="00D501B2"/>
    <w:rsid w:val="00D501EF"/>
    <w:rsid w:val="00D50342"/>
    <w:rsid w:val="00D505FD"/>
    <w:rsid w:val="00D51196"/>
    <w:rsid w:val="00D51B0C"/>
    <w:rsid w:val="00D51B52"/>
    <w:rsid w:val="00D52348"/>
    <w:rsid w:val="00D52407"/>
    <w:rsid w:val="00D524EA"/>
    <w:rsid w:val="00D533F6"/>
    <w:rsid w:val="00D53583"/>
    <w:rsid w:val="00D53629"/>
    <w:rsid w:val="00D54534"/>
    <w:rsid w:val="00D54C31"/>
    <w:rsid w:val="00D553BE"/>
    <w:rsid w:val="00D55460"/>
    <w:rsid w:val="00D55E5A"/>
    <w:rsid w:val="00D56078"/>
    <w:rsid w:val="00D5648B"/>
    <w:rsid w:val="00D564B8"/>
    <w:rsid w:val="00D601C4"/>
    <w:rsid w:val="00D6041D"/>
    <w:rsid w:val="00D61C3B"/>
    <w:rsid w:val="00D61CE0"/>
    <w:rsid w:val="00D61F6F"/>
    <w:rsid w:val="00D627E4"/>
    <w:rsid w:val="00D6382D"/>
    <w:rsid w:val="00D63BB7"/>
    <w:rsid w:val="00D6435B"/>
    <w:rsid w:val="00D6503F"/>
    <w:rsid w:val="00D65308"/>
    <w:rsid w:val="00D65498"/>
    <w:rsid w:val="00D65B89"/>
    <w:rsid w:val="00D66185"/>
    <w:rsid w:val="00D6622D"/>
    <w:rsid w:val="00D66A30"/>
    <w:rsid w:val="00D66B06"/>
    <w:rsid w:val="00D670ED"/>
    <w:rsid w:val="00D67109"/>
    <w:rsid w:val="00D67881"/>
    <w:rsid w:val="00D67B66"/>
    <w:rsid w:val="00D67D08"/>
    <w:rsid w:val="00D67DB2"/>
    <w:rsid w:val="00D712B3"/>
    <w:rsid w:val="00D71F51"/>
    <w:rsid w:val="00D73212"/>
    <w:rsid w:val="00D73615"/>
    <w:rsid w:val="00D73AB2"/>
    <w:rsid w:val="00D73B92"/>
    <w:rsid w:val="00D752C5"/>
    <w:rsid w:val="00D75BBD"/>
    <w:rsid w:val="00D76372"/>
    <w:rsid w:val="00D76F12"/>
    <w:rsid w:val="00D777B7"/>
    <w:rsid w:val="00D7782A"/>
    <w:rsid w:val="00D7799F"/>
    <w:rsid w:val="00D77D01"/>
    <w:rsid w:val="00D77D06"/>
    <w:rsid w:val="00D80116"/>
    <w:rsid w:val="00D80943"/>
    <w:rsid w:val="00D80F69"/>
    <w:rsid w:val="00D81343"/>
    <w:rsid w:val="00D81A81"/>
    <w:rsid w:val="00D81C8B"/>
    <w:rsid w:val="00D81F5F"/>
    <w:rsid w:val="00D82220"/>
    <w:rsid w:val="00D8315C"/>
    <w:rsid w:val="00D831AE"/>
    <w:rsid w:val="00D843D6"/>
    <w:rsid w:val="00D845A8"/>
    <w:rsid w:val="00D84678"/>
    <w:rsid w:val="00D855E8"/>
    <w:rsid w:val="00D859C0"/>
    <w:rsid w:val="00D85DDE"/>
    <w:rsid w:val="00D869C8"/>
    <w:rsid w:val="00D86AB7"/>
    <w:rsid w:val="00D86CE2"/>
    <w:rsid w:val="00D87C95"/>
    <w:rsid w:val="00D90C81"/>
    <w:rsid w:val="00D91C09"/>
    <w:rsid w:val="00D92970"/>
    <w:rsid w:val="00D933CA"/>
    <w:rsid w:val="00D935B2"/>
    <w:rsid w:val="00D9507F"/>
    <w:rsid w:val="00D95B18"/>
    <w:rsid w:val="00D9661B"/>
    <w:rsid w:val="00D969D3"/>
    <w:rsid w:val="00D96BEF"/>
    <w:rsid w:val="00D970D8"/>
    <w:rsid w:val="00DA0114"/>
    <w:rsid w:val="00DA0408"/>
    <w:rsid w:val="00DA17E3"/>
    <w:rsid w:val="00DA1CA5"/>
    <w:rsid w:val="00DA1F66"/>
    <w:rsid w:val="00DA209F"/>
    <w:rsid w:val="00DA2CF3"/>
    <w:rsid w:val="00DA2F5D"/>
    <w:rsid w:val="00DA3412"/>
    <w:rsid w:val="00DA395E"/>
    <w:rsid w:val="00DA4ABC"/>
    <w:rsid w:val="00DA4C17"/>
    <w:rsid w:val="00DA4CFB"/>
    <w:rsid w:val="00DA5400"/>
    <w:rsid w:val="00DA5AD8"/>
    <w:rsid w:val="00DA710C"/>
    <w:rsid w:val="00DA781A"/>
    <w:rsid w:val="00DB05B5"/>
    <w:rsid w:val="00DB06AC"/>
    <w:rsid w:val="00DB262B"/>
    <w:rsid w:val="00DB2C9B"/>
    <w:rsid w:val="00DB2D05"/>
    <w:rsid w:val="00DB326E"/>
    <w:rsid w:val="00DB41F4"/>
    <w:rsid w:val="00DB44F9"/>
    <w:rsid w:val="00DB5EDF"/>
    <w:rsid w:val="00DB75B9"/>
    <w:rsid w:val="00DB7F9D"/>
    <w:rsid w:val="00DC0069"/>
    <w:rsid w:val="00DC0804"/>
    <w:rsid w:val="00DC374A"/>
    <w:rsid w:val="00DC4EA5"/>
    <w:rsid w:val="00DC5580"/>
    <w:rsid w:val="00DC5F97"/>
    <w:rsid w:val="00DC60E0"/>
    <w:rsid w:val="00DC7604"/>
    <w:rsid w:val="00DD0209"/>
    <w:rsid w:val="00DD113A"/>
    <w:rsid w:val="00DD1960"/>
    <w:rsid w:val="00DD1D7C"/>
    <w:rsid w:val="00DD1E99"/>
    <w:rsid w:val="00DD2F49"/>
    <w:rsid w:val="00DD3004"/>
    <w:rsid w:val="00DD32C4"/>
    <w:rsid w:val="00DD34B0"/>
    <w:rsid w:val="00DD3797"/>
    <w:rsid w:val="00DD42F8"/>
    <w:rsid w:val="00DD4419"/>
    <w:rsid w:val="00DD4714"/>
    <w:rsid w:val="00DD55C8"/>
    <w:rsid w:val="00DD55DA"/>
    <w:rsid w:val="00DD5CFD"/>
    <w:rsid w:val="00DD5D21"/>
    <w:rsid w:val="00DD6551"/>
    <w:rsid w:val="00DD6B28"/>
    <w:rsid w:val="00DD6DCE"/>
    <w:rsid w:val="00DE0BB9"/>
    <w:rsid w:val="00DE1CC1"/>
    <w:rsid w:val="00DE1E2F"/>
    <w:rsid w:val="00DE2094"/>
    <w:rsid w:val="00DE3545"/>
    <w:rsid w:val="00DE3808"/>
    <w:rsid w:val="00DE41BA"/>
    <w:rsid w:val="00DE45B6"/>
    <w:rsid w:val="00DE485F"/>
    <w:rsid w:val="00DE4C45"/>
    <w:rsid w:val="00DE4F8A"/>
    <w:rsid w:val="00DE51C3"/>
    <w:rsid w:val="00DE53C4"/>
    <w:rsid w:val="00DE55EF"/>
    <w:rsid w:val="00DE6CD6"/>
    <w:rsid w:val="00DE6F37"/>
    <w:rsid w:val="00DE7233"/>
    <w:rsid w:val="00DF07C1"/>
    <w:rsid w:val="00DF10F6"/>
    <w:rsid w:val="00DF1E9B"/>
    <w:rsid w:val="00DF24A6"/>
    <w:rsid w:val="00DF2F6A"/>
    <w:rsid w:val="00DF4E2E"/>
    <w:rsid w:val="00DF57F3"/>
    <w:rsid w:val="00DF6311"/>
    <w:rsid w:val="00DF77EC"/>
    <w:rsid w:val="00E00160"/>
    <w:rsid w:val="00E0060E"/>
    <w:rsid w:val="00E00A78"/>
    <w:rsid w:val="00E00C9F"/>
    <w:rsid w:val="00E01508"/>
    <w:rsid w:val="00E0171A"/>
    <w:rsid w:val="00E02ADB"/>
    <w:rsid w:val="00E03ADA"/>
    <w:rsid w:val="00E04B9E"/>
    <w:rsid w:val="00E0580B"/>
    <w:rsid w:val="00E05E7C"/>
    <w:rsid w:val="00E06940"/>
    <w:rsid w:val="00E06DBE"/>
    <w:rsid w:val="00E07614"/>
    <w:rsid w:val="00E077E0"/>
    <w:rsid w:val="00E10193"/>
    <w:rsid w:val="00E10462"/>
    <w:rsid w:val="00E105C5"/>
    <w:rsid w:val="00E10686"/>
    <w:rsid w:val="00E108A4"/>
    <w:rsid w:val="00E10DC1"/>
    <w:rsid w:val="00E1131A"/>
    <w:rsid w:val="00E1162A"/>
    <w:rsid w:val="00E122D1"/>
    <w:rsid w:val="00E123A3"/>
    <w:rsid w:val="00E1266C"/>
    <w:rsid w:val="00E14CFF"/>
    <w:rsid w:val="00E14D01"/>
    <w:rsid w:val="00E14F97"/>
    <w:rsid w:val="00E15779"/>
    <w:rsid w:val="00E16CB7"/>
    <w:rsid w:val="00E17054"/>
    <w:rsid w:val="00E17164"/>
    <w:rsid w:val="00E17218"/>
    <w:rsid w:val="00E2050F"/>
    <w:rsid w:val="00E2078D"/>
    <w:rsid w:val="00E20CB3"/>
    <w:rsid w:val="00E211A7"/>
    <w:rsid w:val="00E211D6"/>
    <w:rsid w:val="00E215A3"/>
    <w:rsid w:val="00E21DE4"/>
    <w:rsid w:val="00E22C22"/>
    <w:rsid w:val="00E23088"/>
    <w:rsid w:val="00E23A0D"/>
    <w:rsid w:val="00E24736"/>
    <w:rsid w:val="00E252AF"/>
    <w:rsid w:val="00E25510"/>
    <w:rsid w:val="00E25AEF"/>
    <w:rsid w:val="00E25F60"/>
    <w:rsid w:val="00E25FE0"/>
    <w:rsid w:val="00E26DC2"/>
    <w:rsid w:val="00E27852"/>
    <w:rsid w:val="00E27EAC"/>
    <w:rsid w:val="00E27FBA"/>
    <w:rsid w:val="00E30345"/>
    <w:rsid w:val="00E30B7B"/>
    <w:rsid w:val="00E312C4"/>
    <w:rsid w:val="00E31493"/>
    <w:rsid w:val="00E3172E"/>
    <w:rsid w:val="00E31AB1"/>
    <w:rsid w:val="00E32B75"/>
    <w:rsid w:val="00E33577"/>
    <w:rsid w:val="00E336CF"/>
    <w:rsid w:val="00E33EF5"/>
    <w:rsid w:val="00E346C3"/>
    <w:rsid w:val="00E34C66"/>
    <w:rsid w:val="00E3502F"/>
    <w:rsid w:val="00E35651"/>
    <w:rsid w:val="00E35B12"/>
    <w:rsid w:val="00E3623C"/>
    <w:rsid w:val="00E36D20"/>
    <w:rsid w:val="00E37395"/>
    <w:rsid w:val="00E37EB9"/>
    <w:rsid w:val="00E40755"/>
    <w:rsid w:val="00E40B76"/>
    <w:rsid w:val="00E40C44"/>
    <w:rsid w:val="00E41FA3"/>
    <w:rsid w:val="00E422DA"/>
    <w:rsid w:val="00E42EA4"/>
    <w:rsid w:val="00E434F4"/>
    <w:rsid w:val="00E43F83"/>
    <w:rsid w:val="00E440B4"/>
    <w:rsid w:val="00E44360"/>
    <w:rsid w:val="00E44C1F"/>
    <w:rsid w:val="00E451DB"/>
    <w:rsid w:val="00E456C8"/>
    <w:rsid w:val="00E45E6A"/>
    <w:rsid w:val="00E478DB"/>
    <w:rsid w:val="00E50C3E"/>
    <w:rsid w:val="00E50F14"/>
    <w:rsid w:val="00E5199B"/>
    <w:rsid w:val="00E519AD"/>
    <w:rsid w:val="00E51BE8"/>
    <w:rsid w:val="00E5269A"/>
    <w:rsid w:val="00E52B67"/>
    <w:rsid w:val="00E52C82"/>
    <w:rsid w:val="00E52CF2"/>
    <w:rsid w:val="00E52D7F"/>
    <w:rsid w:val="00E53A8E"/>
    <w:rsid w:val="00E53F54"/>
    <w:rsid w:val="00E545D8"/>
    <w:rsid w:val="00E54E98"/>
    <w:rsid w:val="00E553D3"/>
    <w:rsid w:val="00E57255"/>
    <w:rsid w:val="00E5733B"/>
    <w:rsid w:val="00E57832"/>
    <w:rsid w:val="00E57C0D"/>
    <w:rsid w:val="00E6101E"/>
    <w:rsid w:val="00E61130"/>
    <w:rsid w:val="00E6321F"/>
    <w:rsid w:val="00E6354B"/>
    <w:rsid w:val="00E63BE2"/>
    <w:rsid w:val="00E6414A"/>
    <w:rsid w:val="00E645FF"/>
    <w:rsid w:val="00E6473E"/>
    <w:rsid w:val="00E64885"/>
    <w:rsid w:val="00E64BB6"/>
    <w:rsid w:val="00E64E87"/>
    <w:rsid w:val="00E65030"/>
    <w:rsid w:val="00E650F3"/>
    <w:rsid w:val="00E6535B"/>
    <w:rsid w:val="00E653C9"/>
    <w:rsid w:val="00E65BC0"/>
    <w:rsid w:val="00E6603A"/>
    <w:rsid w:val="00E6616C"/>
    <w:rsid w:val="00E67144"/>
    <w:rsid w:val="00E67708"/>
    <w:rsid w:val="00E67D35"/>
    <w:rsid w:val="00E70C65"/>
    <w:rsid w:val="00E75538"/>
    <w:rsid w:val="00E7566D"/>
    <w:rsid w:val="00E75C01"/>
    <w:rsid w:val="00E76988"/>
    <w:rsid w:val="00E76FAC"/>
    <w:rsid w:val="00E775A8"/>
    <w:rsid w:val="00E77751"/>
    <w:rsid w:val="00E80A0E"/>
    <w:rsid w:val="00E81FA4"/>
    <w:rsid w:val="00E82404"/>
    <w:rsid w:val="00E82C79"/>
    <w:rsid w:val="00E83AD4"/>
    <w:rsid w:val="00E83E20"/>
    <w:rsid w:val="00E84056"/>
    <w:rsid w:val="00E842B6"/>
    <w:rsid w:val="00E843FD"/>
    <w:rsid w:val="00E84627"/>
    <w:rsid w:val="00E8481E"/>
    <w:rsid w:val="00E85B6B"/>
    <w:rsid w:val="00E85EFA"/>
    <w:rsid w:val="00E862A5"/>
    <w:rsid w:val="00E86AD9"/>
    <w:rsid w:val="00E8724D"/>
    <w:rsid w:val="00E879C3"/>
    <w:rsid w:val="00E916E6"/>
    <w:rsid w:val="00E91B6E"/>
    <w:rsid w:val="00E91BEE"/>
    <w:rsid w:val="00E921E6"/>
    <w:rsid w:val="00E923B6"/>
    <w:rsid w:val="00E92B41"/>
    <w:rsid w:val="00E92C2E"/>
    <w:rsid w:val="00E9381E"/>
    <w:rsid w:val="00E945FC"/>
    <w:rsid w:val="00E94F3B"/>
    <w:rsid w:val="00E95294"/>
    <w:rsid w:val="00E95DC0"/>
    <w:rsid w:val="00E967AE"/>
    <w:rsid w:val="00E96805"/>
    <w:rsid w:val="00E96A79"/>
    <w:rsid w:val="00EA1855"/>
    <w:rsid w:val="00EA1BB8"/>
    <w:rsid w:val="00EA23EF"/>
    <w:rsid w:val="00EA2757"/>
    <w:rsid w:val="00EA31D7"/>
    <w:rsid w:val="00EA3765"/>
    <w:rsid w:val="00EA4F5D"/>
    <w:rsid w:val="00EA61C5"/>
    <w:rsid w:val="00EA68C1"/>
    <w:rsid w:val="00EA72E1"/>
    <w:rsid w:val="00EA77F6"/>
    <w:rsid w:val="00EA7919"/>
    <w:rsid w:val="00EA7E55"/>
    <w:rsid w:val="00EA7E8B"/>
    <w:rsid w:val="00EB000A"/>
    <w:rsid w:val="00EB0039"/>
    <w:rsid w:val="00EB06FC"/>
    <w:rsid w:val="00EB0B47"/>
    <w:rsid w:val="00EB0D54"/>
    <w:rsid w:val="00EB186C"/>
    <w:rsid w:val="00EB38B6"/>
    <w:rsid w:val="00EB3A78"/>
    <w:rsid w:val="00EB40D8"/>
    <w:rsid w:val="00EB479C"/>
    <w:rsid w:val="00EB5563"/>
    <w:rsid w:val="00EB5923"/>
    <w:rsid w:val="00EB5EB0"/>
    <w:rsid w:val="00EB61B2"/>
    <w:rsid w:val="00EB67FE"/>
    <w:rsid w:val="00EB6CE8"/>
    <w:rsid w:val="00EB74FE"/>
    <w:rsid w:val="00EB7946"/>
    <w:rsid w:val="00EB7DA4"/>
    <w:rsid w:val="00EB7DC4"/>
    <w:rsid w:val="00EC0164"/>
    <w:rsid w:val="00EC0A26"/>
    <w:rsid w:val="00EC0A29"/>
    <w:rsid w:val="00EC29A0"/>
    <w:rsid w:val="00EC2D88"/>
    <w:rsid w:val="00EC2E2A"/>
    <w:rsid w:val="00EC3E9A"/>
    <w:rsid w:val="00EC4045"/>
    <w:rsid w:val="00EC4098"/>
    <w:rsid w:val="00EC40AE"/>
    <w:rsid w:val="00EC41A1"/>
    <w:rsid w:val="00EC41F8"/>
    <w:rsid w:val="00EC4F22"/>
    <w:rsid w:val="00EC5A48"/>
    <w:rsid w:val="00EC5C3B"/>
    <w:rsid w:val="00EC647F"/>
    <w:rsid w:val="00EC6596"/>
    <w:rsid w:val="00EC6AB1"/>
    <w:rsid w:val="00EC75FF"/>
    <w:rsid w:val="00EC778C"/>
    <w:rsid w:val="00EC77AD"/>
    <w:rsid w:val="00ED05EE"/>
    <w:rsid w:val="00ED0E32"/>
    <w:rsid w:val="00ED0EC8"/>
    <w:rsid w:val="00ED0EF9"/>
    <w:rsid w:val="00ED1B8B"/>
    <w:rsid w:val="00ED256C"/>
    <w:rsid w:val="00ED2B22"/>
    <w:rsid w:val="00ED2E7F"/>
    <w:rsid w:val="00ED2F8F"/>
    <w:rsid w:val="00ED2FD2"/>
    <w:rsid w:val="00ED32A1"/>
    <w:rsid w:val="00ED379C"/>
    <w:rsid w:val="00ED3E99"/>
    <w:rsid w:val="00ED48FA"/>
    <w:rsid w:val="00ED5B56"/>
    <w:rsid w:val="00ED5D74"/>
    <w:rsid w:val="00ED6696"/>
    <w:rsid w:val="00EE01D1"/>
    <w:rsid w:val="00EE2ACB"/>
    <w:rsid w:val="00EE3041"/>
    <w:rsid w:val="00EE367B"/>
    <w:rsid w:val="00EE4D9D"/>
    <w:rsid w:val="00EE5DA3"/>
    <w:rsid w:val="00EE65EC"/>
    <w:rsid w:val="00EE681C"/>
    <w:rsid w:val="00EE6EF2"/>
    <w:rsid w:val="00EE70A5"/>
    <w:rsid w:val="00EE770C"/>
    <w:rsid w:val="00EE77AC"/>
    <w:rsid w:val="00EE7D46"/>
    <w:rsid w:val="00EF0A55"/>
    <w:rsid w:val="00EF104E"/>
    <w:rsid w:val="00EF1270"/>
    <w:rsid w:val="00EF22A3"/>
    <w:rsid w:val="00EF25F7"/>
    <w:rsid w:val="00EF35B3"/>
    <w:rsid w:val="00EF42BB"/>
    <w:rsid w:val="00EF46FC"/>
    <w:rsid w:val="00EF4884"/>
    <w:rsid w:val="00EF50D2"/>
    <w:rsid w:val="00EF6178"/>
    <w:rsid w:val="00EF64D4"/>
    <w:rsid w:val="00EF6AEB"/>
    <w:rsid w:val="00EF73FB"/>
    <w:rsid w:val="00F00462"/>
    <w:rsid w:val="00F016E0"/>
    <w:rsid w:val="00F01A02"/>
    <w:rsid w:val="00F01E5C"/>
    <w:rsid w:val="00F02804"/>
    <w:rsid w:val="00F031AE"/>
    <w:rsid w:val="00F03EAA"/>
    <w:rsid w:val="00F04094"/>
    <w:rsid w:val="00F044AE"/>
    <w:rsid w:val="00F04753"/>
    <w:rsid w:val="00F0641F"/>
    <w:rsid w:val="00F06708"/>
    <w:rsid w:val="00F06F73"/>
    <w:rsid w:val="00F07374"/>
    <w:rsid w:val="00F07E44"/>
    <w:rsid w:val="00F10198"/>
    <w:rsid w:val="00F10278"/>
    <w:rsid w:val="00F10767"/>
    <w:rsid w:val="00F10D5E"/>
    <w:rsid w:val="00F11517"/>
    <w:rsid w:val="00F11A76"/>
    <w:rsid w:val="00F12BB7"/>
    <w:rsid w:val="00F13EF2"/>
    <w:rsid w:val="00F140D1"/>
    <w:rsid w:val="00F151A1"/>
    <w:rsid w:val="00F151B2"/>
    <w:rsid w:val="00F15F33"/>
    <w:rsid w:val="00F16309"/>
    <w:rsid w:val="00F168EF"/>
    <w:rsid w:val="00F17859"/>
    <w:rsid w:val="00F20FE7"/>
    <w:rsid w:val="00F21C3D"/>
    <w:rsid w:val="00F22338"/>
    <w:rsid w:val="00F229DA"/>
    <w:rsid w:val="00F229EF"/>
    <w:rsid w:val="00F23169"/>
    <w:rsid w:val="00F238D9"/>
    <w:rsid w:val="00F2543C"/>
    <w:rsid w:val="00F26377"/>
    <w:rsid w:val="00F26C06"/>
    <w:rsid w:val="00F26D1C"/>
    <w:rsid w:val="00F27665"/>
    <w:rsid w:val="00F27996"/>
    <w:rsid w:val="00F30455"/>
    <w:rsid w:val="00F30BFB"/>
    <w:rsid w:val="00F30C3C"/>
    <w:rsid w:val="00F32015"/>
    <w:rsid w:val="00F32471"/>
    <w:rsid w:val="00F33780"/>
    <w:rsid w:val="00F3378F"/>
    <w:rsid w:val="00F34C2C"/>
    <w:rsid w:val="00F352E6"/>
    <w:rsid w:val="00F356E7"/>
    <w:rsid w:val="00F35802"/>
    <w:rsid w:val="00F35966"/>
    <w:rsid w:val="00F3612A"/>
    <w:rsid w:val="00F364A0"/>
    <w:rsid w:val="00F36A73"/>
    <w:rsid w:val="00F36C79"/>
    <w:rsid w:val="00F3702A"/>
    <w:rsid w:val="00F372A9"/>
    <w:rsid w:val="00F373CC"/>
    <w:rsid w:val="00F373F3"/>
    <w:rsid w:val="00F42236"/>
    <w:rsid w:val="00F4232E"/>
    <w:rsid w:val="00F42935"/>
    <w:rsid w:val="00F429A6"/>
    <w:rsid w:val="00F4331B"/>
    <w:rsid w:val="00F4385C"/>
    <w:rsid w:val="00F43F9C"/>
    <w:rsid w:val="00F442ED"/>
    <w:rsid w:val="00F44476"/>
    <w:rsid w:val="00F44824"/>
    <w:rsid w:val="00F448AA"/>
    <w:rsid w:val="00F44DC8"/>
    <w:rsid w:val="00F456EA"/>
    <w:rsid w:val="00F46510"/>
    <w:rsid w:val="00F46E2E"/>
    <w:rsid w:val="00F477D6"/>
    <w:rsid w:val="00F50A73"/>
    <w:rsid w:val="00F50F2E"/>
    <w:rsid w:val="00F5130C"/>
    <w:rsid w:val="00F5138F"/>
    <w:rsid w:val="00F5163E"/>
    <w:rsid w:val="00F51685"/>
    <w:rsid w:val="00F51D6F"/>
    <w:rsid w:val="00F521D0"/>
    <w:rsid w:val="00F521D9"/>
    <w:rsid w:val="00F5300F"/>
    <w:rsid w:val="00F534BA"/>
    <w:rsid w:val="00F53FE7"/>
    <w:rsid w:val="00F55131"/>
    <w:rsid w:val="00F5558D"/>
    <w:rsid w:val="00F576C2"/>
    <w:rsid w:val="00F5781E"/>
    <w:rsid w:val="00F60A3E"/>
    <w:rsid w:val="00F60AA4"/>
    <w:rsid w:val="00F6151F"/>
    <w:rsid w:val="00F62CD3"/>
    <w:rsid w:val="00F63448"/>
    <w:rsid w:val="00F634DA"/>
    <w:rsid w:val="00F667B8"/>
    <w:rsid w:val="00F66A2E"/>
    <w:rsid w:val="00F66AEB"/>
    <w:rsid w:val="00F70B0C"/>
    <w:rsid w:val="00F7210A"/>
    <w:rsid w:val="00F72AE0"/>
    <w:rsid w:val="00F72D9B"/>
    <w:rsid w:val="00F735A7"/>
    <w:rsid w:val="00F74900"/>
    <w:rsid w:val="00F75337"/>
    <w:rsid w:val="00F7538F"/>
    <w:rsid w:val="00F75B47"/>
    <w:rsid w:val="00F76741"/>
    <w:rsid w:val="00F76B2D"/>
    <w:rsid w:val="00F76FE8"/>
    <w:rsid w:val="00F77262"/>
    <w:rsid w:val="00F778AE"/>
    <w:rsid w:val="00F77D93"/>
    <w:rsid w:val="00F77DC1"/>
    <w:rsid w:val="00F802AF"/>
    <w:rsid w:val="00F80816"/>
    <w:rsid w:val="00F821F6"/>
    <w:rsid w:val="00F82EFB"/>
    <w:rsid w:val="00F83B8D"/>
    <w:rsid w:val="00F84374"/>
    <w:rsid w:val="00F84677"/>
    <w:rsid w:val="00F849F9"/>
    <w:rsid w:val="00F85D25"/>
    <w:rsid w:val="00F86382"/>
    <w:rsid w:val="00F86F3D"/>
    <w:rsid w:val="00F86F4A"/>
    <w:rsid w:val="00F90737"/>
    <w:rsid w:val="00F91350"/>
    <w:rsid w:val="00F91A9F"/>
    <w:rsid w:val="00F92600"/>
    <w:rsid w:val="00F92802"/>
    <w:rsid w:val="00F92941"/>
    <w:rsid w:val="00F934DD"/>
    <w:rsid w:val="00F936DA"/>
    <w:rsid w:val="00F9482A"/>
    <w:rsid w:val="00F94B83"/>
    <w:rsid w:val="00F954BB"/>
    <w:rsid w:val="00F95C05"/>
    <w:rsid w:val="00F964C4"/>
    <w:rsid w:val="00F966E1"/>
    <w:rsid w:val="00F96AA0"/>
    <w:rsid w:val="00F9713F"/>
    <w:rsid w:val="00FA0249"/>
    <w:rsid w:val="00FA03B2"/>
    <w:rsid w:val="00FA0860"/>
    <w:rsid w:val="00FA1980"/>
    <w:rsid w:val="00FA3311"/>
    <w:rsid w:val="00FA3536"/>
    <w:rsid w:val="00FA4D58"/>
    <w:rsid w:val="00FA4FB2"/>
    <w:rsid w:val="00FA559B"/>
    <w:rsid w:val="00FA63F6"/>
    <w:rsid w:val="00FA6561"/>
    <w:rsid w:val="00FA6D85"/>
    <w:rsid w:val="00FB05D1"/>
    <w:rsid w:val="00FB0950"/>
    <w:rsid w:val="00FB0E93"/>
    <w:rsid w:val="00FB0E9D"/>
    <w:rsid w:val="00FB1223"/>
    <w:rsid w:val="00FB1ABE"/>
    <w:rsid w:val="00FB1B02"/>
    <w:rsid w:val="00FB1B9B"/>
    <w:rsid w:val="00FB1F6C"/>
    <w:rsid w:val="00FB2079"/>
    <w:rsid w:val="00FB2210"/>
    <w:rsid w:val="00FB2A54"/>
    <w:rsid w:val="00FB2EF1"/>
    <w:rsid w:val="00FB30AC"/>
    <w:rsid w:val="00FB3624"/>
    <w:rsid w:val="00FB39EC"/>
    <w:rsid w:val="00FB46D1"/>
    <w:rsid w:val="00FB4AC3"/>
    <w:rsid w:val="00FB4C01"/>
    <w:rsid w:val="00FB4DD0"/>
    <w:rsid w:val="00FB4F98"/>
    <w:rsid w:val="00FB5046"/>
    <w:rsid w:val="00FB54F2"/>
    <w:rsid w:val="00FB5FD4"/>
    <w:rsid w:val="00FB622F"/>
    <w:rsid w:val="00FB70E3"/>
    <w:rsid w:val="00FB71D1"/>
    <w:rsid w:val="00FB7B61"/>
    <w:rsid w:val="00FC0094"/>
    <w:rsid w:val="00FC0504"/>
    <w:rsid w:val="00FC0677"/>
    <w:rsid w:val="00FC12ED"/>
    <w:rsid w:val="00FC1C0A"/>
    <w:rsid w:val="00FC1F1A"/>
    <w:rsid w:val="00FC2148"/>
    <w:rsid w:val="00FC3ABF"/>
    <w:rsid w:val="00FC3B10"/>
    <w:rsid w:val="00FC3DC7"/>
    <w:rsid w:val="00FC3E93"/>
    <w:rsid w:val="00FC5953"/>
    <w:rsid w:val="00FC7C8C"/>
    <w:rsid w:val="00FD0029"/>
    <w:rsid w:val="00FD037D"/>
    <w:rsid w:val="00FD153C"/>
    <w:rsid w:val="00FD1649"/>
    <w:rsid w:val="00FD1B7A"/>
    <w:rsid w:val="00FD233E"/>
    <w:rsid w:val="00FD2DA1"/>
    <w:rsid w:val="00FD2F85"/>
    <w:rsid w:val="00FD2F88"/>
    <w:rsid w:val="00FD2FA9"/>
    <w:rsid w:val="00FD3A91"/>
    <w:rsid w:val="00FD3B05"/>
    <w:rsid w:val="00FD4983"/>
    <w:rsid w:val="00FD5CF1"/>
    <w:rsid w:val="00FD6306"/>
    <w:rsid w:val="00FD7068"/>
    <w:rsid w:val="00FD74BB"/>
    <w:rsid w:val="00FD7516"/>
    <w:rsid w:val="00FE00BF"/>
    <w:rsid w:val="00FE0BAD"/>
    <w:rsid w:val="00FE119C"/>
    <w:rsid w:val="00FE14B7"/>
    <w:rsid w:val="00FE1615"/>
    <w:rsid w:val="00FE161D"/>
    <w:rsid w:val="00FE184B"/>
    <w:rsid w:val="00FE1FC3"/>
    <w:rsid w:val="00FE25FB"/>
    <w:rsid w:val="00FE2744"/>
    <w:rsid w:val="00FE28C0"/>
    <w:rsid w:val="00FE38DC"/>
    <w:rsid w:val="00FE3D2C"/>
    <w:rsid w:val="00FE4121"/>
    <w:rsid w:val="00FE4207"/>
    <w:rsid w:val="00FE4897"/>
    <w:rsid w:val="00FE4CA8"/>
    <w:rsid w:val="00FE5576"/>
    <w:rsid w:val="00FE597B"/>
    <w:rsid w:val="00FE6B81"/>
    <w:rsid w:val="00FE7AB6"/>
    <w:rsid w:val="00FE7DA7"/>
    <w:rsid w:val="00FF0144"/>
    <w:rsid w:val="00FF0B6B"/>
    <w:rsid w:val="00FF0C27"/>
    <w:rsid w:val="00FF14B5"/>
    <w:rsid w:val="00FF1CDE"/>
    <w:rsid w:val="00FF1ED4"/>
    <w:rsid w:val="00FF3330"/>
    <w:rsid w:val="00FF351A"/>
    <w:rsid w:val="00FF5293"/>
    <w:rsid w:val="00FF54D6"/>
    <w:rsid w:val="00FF5CFE"/>
    <w:rsid w:val="00FF7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1027D5"/>
  <w15:chartTrackingRefBased/>
  <w15:docId w15:val="{6098FE86-3C6D-4935-A22B-C47954D0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3537"/>
    <w:pPr>
      <w:spacing w:after="120" w:line="240" w:lineRule="auto"/>
      <w:jc w:val="both"/>
    </w:pPr>
    <w:rPr>
      <w:sz w:val="24"/>
    </w:rPr>
  </w:style>
  <w:style w:type="paragraph" w:styleId="Nadpis1">
    <w:name w:val="heading 1"/>
    <w:basedOn w:val="Normln"/>
    <w:next w:val="Normln"/>
    <w:link w:val="Nadpis1Char"/>
    <w:qFormat/>
    <w:rsid w:val="002D3255"/>
    <w:pPr>
      <w:keepNext/>
      <w:keepLines/>
      <w:suppressAutoHyphens/>
      <w:overflowPunct w:val="0"/>
      <w:autoSpaceDE w:val="0"/>
      <w:autoSpaceDN w:val="0"/>
      <w:adjustRightInd w:val="0"/>
      <w:spacing w:before="240"/>
      <w:textAlignment w:val="baseline"/>
      <w:outlineLvl w:val="0"/>
    </w:pPr>
    <w:rPr>
      <w:rFonts w:eastAsia="Times New Roman" w:cs="Times New Roman"/>
      <w:b/>
      <w:kern w:val="36"/>
      <w:sz w:val="28"/>
      <w:szCs w:val="20"/>
      <w:lang w:eastAsia="cs-CZ"/>
    </w:rPr>
  </w:style>
  <w:style w:type="paragraph" w:styleId="Nadpis2">
    <w:name w:val="heading 2"/>
    <w:basedOn w:val="Normln"/>
    <w:next w:val="Normln"/>
    <w:link w:val="Nadpis2Char"/>
    <w:uiPriority w:val="9"/>
    <w:semiHidden/>
    <w:unhideWhenUsed/>
    <w:qFormat/>
    <w:rsid w:val="00C557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D3255"/>
    <w:rPr>
      <w:rFonts w:eastAsia="Times New Roman" w:cs="Times New Roman"/>
      <w:b/>
      <w:kern w:val="36"/>
      <w:sz w:val="28"/>
      <w:szCs w:val="20"/>
      <w:lang w:eastAsia="cs-CZ"/>
    </w:rPr>
  </w:style>
  <w:style w:type="paragraph" w:customStyle="1" w:styleId="TextKP">
    <w:name w:val="Text KP"/>
    <w:basedOn w:val="Normln"/>
    <w:link w:val="TextKPChar"/>
    <w:qFormat/>
    <w:rsid w:val="00EF46FC"/>
    <w:pPr>
      <w:spacing w:before="120" w:after="0"/>
    </w:pPr>
    <w:rPr>
      <w:rFonts w:eastAsia="Times New Roman" w:cstheme="minorHAnsi"/>
      <w:szCs w:val="24"/>
    </w:rPr>
  </w:style>
  <w:style w:type="character" w:customStyle="1" w:styleId="TextKPChar">
    <w:name w:val="Text KP Char"/>
    <w:basedOn w:val="Standardnpsmoodstavce"/>
    <w:link w:val="TextKP"/>
    <w:rsid w:val="00EF46FC"/>
    <w:rPr>
      <w:rFonts w:eastAsia="Times New Roman" w:cstheme="minorHAnsi"/>
      <w:sz w:val="24"/>
      <w:szCs w:val="24"/>
    </w:rPr>
  </w:style>
  <w:style w:type="paragraph" w:styleId="Textpoznpodarou">
    <w:name w:val="footnote text"/>
    <w:aliases w:val="Boston 10,Font: Geneva 9,Footnote,Footnote Text Char,Footnote Text Char Char,Fußnotentextf,Geneva 9,Podrozdzia3,Podrozdział,Schriftart: 10 pt,Schriftart: 8 pt,Schriftart: 9 pt,Text poznámky pod čiarou 007,f,pozn. pod čarou"/>
    <w:basedOn w:val="Normln"/>
    <w:link w:val="TextpoznpodarouChar"/>
    <w:uiPriority w:val="99"/>
    <w:unhideWhenUsed/>
    <w:qFormat/>
    <w:rsid w:val="00012AB1"/>
    <w:pPr>
      <w:spacing w:after="0"/>
    </w:pPr>
    <w:rPr>
      <w:rFonts w:ascii="Calibri" w:eastAsia="Times New Roman" w:hAnsi="Calibri" w:cs="Times New Roman"/>
      <w:sz w:val="20"/>
      <w:szCs w:val="20"/>
      <w:lang w:val="x-none"/>
    </w:rPr>
  </w:style>
  <w:style w:type="character" w:customStyle="1" w:styleId="TextpoznpodarouChar">
    <w:name w:val="Text pozn. pod čarou Char"/>
    <w:aliases w:val="Boston 10 Char,Font: Geneva 9 Char,Footnote Char,Footnote Text Char Char1,Footnote Text Char Char Char,Fußnotentextf Char,Geneva 9 Char,Podrozdzia3 Char,Podrozdział Char,Schriftart: 10 pt Char,Schriftart: 8 pt Char,f Char"/>
    <w:basedOn w:val="Standardnpsmoodstavce"/>
    <w:link w:val="Textpoznpodarou"/>
    <w:uiPriority w:val="99"/>
    <w:rsid w:val="00012AB1"/>
    <w:rPr>
      <w:rFonts w:ascii="Calibri" w:eastAsia="Times New Roman" w:hAnsi="Calibri" w:cs="Times New Roman"/>
      <w:sz w:val="20"/>
      <w:szCs w:val="20"/>
      <w:lang w:val="x-none"/>
    </w:rPr>
  </w:style>
  <w:style w:type="character" w:styleId="Znakapoznpodarou">
    <w:name w:val="footnote reference"/>
    <w:aliases w:val="12 b.,Appel note de bas de p,Appel note de bas de page,BVI fnr,Char Car Car Car Car,Footnote Reference Superscript,Footnote symbol,Légende,PGI Fußnote Ziffer,PGI Fußnote Ziffer + Times New Roman,Voetnootverwijzing,Zúžené o ..."/>
    <w:unhideWhenUsed/>
    <w:rsid w:val="00012AB1"/>
    <w:rPr>
      <w:vertAlign w:val="superscript"/>
    </w:rPr>
  </w:style>
  <w:style w:type="paragraph" w:styleId="Zhlav">
    <w:name w:val="header"/>
    <w:basedOn w:val="Normln"/>
    <w:link w:val="ZhlavChar"/>
    <w:uiPriority w:val="99"/>
    <w:unhideWhenUsed/>
    <w:rsid w:val="009A05D4"/>
    <w:pPr>
      <w:tabs>
        <w:tab w:val="center" w:pos="4536"/>
        <w:tab w:val="right" w:pos="9072"/>
      </w:tabs>
      <w:spacing w:after="0"/>
    </w:pPr>
  </w:style>
  <w:style w:type="character" w:customStyle="1" w:styleId="ZhlavChar">
    <w:name w:val="Záhlaví Char"/>
    <w:basedOn w:val="Standardnpsmoodstavce"/>
    <w:link w:val="Zhlav"/>
    <w:uiPriority w:val="99"/>
    <w:rsid w:val="009A05D4"/>
    <w:rPr>
      <w:sz w:val="24"/>
    </w:rPr>
  </w:style>
  <w:style w:type="paragraph" w:styleId="Zpat">
    <w:name w:val="footer"/>
    <w:basedOn w:val="Normln"/>
    <w:link w:val="ZpatChar"/>
    <w:uiPriority w:val="99"/>
    <w:unhideWhenUsed/>
    <w:rsid w:val="009A05D4"/>
    <w:pPr>
      <w:tabs>
        <w:tab w:val="center" w:pos="4536"/>
        <w:tab w:val="right" w:pos="9072"/>
      </w:tabs>
      <w:spacing w:after="0"/>
    </w:pPr>
  </w:style>
  <w:style w:type="character" w:customStyle="1" w:styleId="ZpatChar">
    <w:name w:val="Zápatí Char"/>
    <w:basedOn w:val="Standardnpsmoodstavce"/>
    <w:link w:val="Zpat"/>
    <w:uiPriority w:val="99"/>
    <w:rsid w:val="009A05D4"/>
    <w:rPr>
      <w:sz w:val="24"/>
    </w:rPr>
  </w:style>
  <w:style w:type="paragraph" w:styleId="Odstavecseseznamem">
    <w:name w:val="List Paragraph"/>
    <w:aliases w:val="A-Odrážky1,Barevný seznam – zvýraznění 11,List Paragraph (Czech Tourism),List Paragraph1,List Paragraph_0,Nad,Nad1,Nad2,Nadpis pro KZ,Odstavec_muj,Odstavec_muj1,Odstavec_muj2,Odstavec_muj3,Odstavec_muj4,_Odstavec se seznamem,odrážky"/>
    <w:basedOn w:val="Normln"/>
    <w:link w:val="OdstavecseseznamemChar"/>
    <w:uiPriority w:val="34"/>
    <w:qFormat/>
    <w:rsid w:val="0086203E"/>
    <w:pPr>
      <w:ind w:left="720"/>
      <w:contextualSpacing/>
    </w:pPr>
  </w:style>
  <w:style w:type="paragraph" w:customStyle="1" w:styleId="Text">
    <w:name w:val="Text"/>
    <w:basedOn w:val="Normln"/>
    <w:link w:val="TextChar"/>
    <w:qFormat/>
    <w:rsid w:val="00F00462"/>
    <w:pPr>
      <w:spacing w:before="120" w:after="0"/>
    </w:pPr>
    <w:rPr>
      <w:rFonts w:cstheme="minorHAnsi"/>
      <w:szCs w:val="24"/>
    </w:rPr>
  </w:style>
  <w:style w:type="character" w:customStyle="1" w:styleId="TextChar">
    <w:name w:val="Text Char"/>
    <w:basedOn w:val="Standardnpsmoodstavce"/>
    <w:link w:val="Text"/>
    <w:rsid w:val="00F00462"/>
    <w:rPr>
      <w:rFonts w:cstheme="minorHAnsi"/>
      <w:sz w:val="24"/>
      <w:szCs w:val="24"/>
    </w:rPr>
  </w:style>
  <w:style w:type="paragraph" w:styleId="Zkladntext">
    <w:name w:val="Body Text"/>
    <w:basedOn w:val="Normln"/>
    <w:link w:val="ZkladntextChar"/>
    <w:semiHidden/>
    <w:rsid w:val="00651F80"/>
    <w:pPr>
      <w:tabs>
        <w:tab w:val="left" w:pos="4680"/>
        <w:tab w:val="left" w:pos="7740"/>
      </w:tabs>
      <w:spacing w:after="0"/>
      <w:jc w:val="left"/>
    </w:pPr>
    <w:rPr>
      <w:rFonts w:ascii="Arial" w:eastAsia="Times New Roman" w:hAnsi="Arial" w:cs="Arial"/>
      <w:color w:val="004595"/>
      <w:sz w:val="20"/>
      <w:szCs w:val="24"/>
    </w:rPr>
  </w:style>
  <w:style w:type="character" w:customStyle="1" w:styleId="ZkladntextChar">
    <w:name w:val="Základní text Char"/>
    <w:basedOn w:val="Standardnpsmoodstavce"/>
    <w:link w:val="Zkladntext"/>
    <w:semiHidden/>
    <w:rsid w:val="00651F80"/>
    <w:rPr>
      <w:rFonts w:ascii="Arial" w:eastAsia="Times New Roman" w:hAnsi="Arial" w:cs="Arial"/>
      <w:color w:val="004595"/>
      <w:sz w:val="20"/>
      <w:szCs w:val="24"/>
    </w:rPr>
  </w:style>
  <w:style w:type="paragraph" w:styleId="Textbubliny">
    <w:name w:val="Balloon Text"/>
    <w:basedOn w:val="Normln"/>
    <w:link w:val="TextbublinyChar"/>
    <w:uiPriority w:val="99"/>
    <w:semiHidden/>
    <w:unhideWhenUsed/>
    <w:rsid w:val="0071699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6991"/>
    <w:rPr>
      <w:rFonts w:ascii="Segoe UI" w:hAnsi="Segoe UI" w:cs="Segoe UI"/>
      <w:sz w:val="18"/>
      <w:szCs w:val="18"/>
    </w:rPr>
  </w:style>
  <w:style w:type="character" w:styleId="Odkaznakoment">
    <w:name w:val="annotation reference"/>
    <w:basedOn w:val="Standardnpsmoodstavce"/>
    <w:uiPriority w:val="99"/>
    <w:semiHidden/>
    <w:unhideWhenUsed/>
    <w:rsid w:val="00785502"/>
    <w:rPr>
      <w:sz w:val="16"/>
      <w:szCs w:val="16"/>
    </w:rPr>
  </w:style>
  <w:style w:type="paragraph" w:styleId="Textkomente">
    <w:name w:val="annotation text"/>
    <w:basedOn w:val="Normln"/>
    <w:link w:val="TextkomenteChar"/>
    <w:uiPriority w:val="99"/>
    <w:unhideWhenUsed/>
    <w:rsid w:val="00785502"/>
    <w:rPr>
      <w:sz w:val="20"/>
      <w:szCs w:val="20"/>
    </w:rPr>
  </w:style>
  <w:style w:type="character" w:customStyle="1" w:styleId="TextkomenteChar">
    <w:name w:val="Text komentáře Char"/>
    <w:basedOn w:val="Standardnpsmoodstavce"/>
    <w:link w:val="Textkomente"/>
    <w:uiPriority w:val="99"/>
    <w:rsid w:val="00785502"/>
    <w:rPr>
      <w:sz w:val="20"/>
      <w:szCs w:val="20"/>
    </w:rPr>
  </w:style>
  <w:style w:type="paragraph" w:styleId="Pedmtkomente">
    <w:name w:val="annotation subject"/>
    <w:basedOn w:val="Textkomente"/>
    <w:next w:val="Textkomente"/>
    <w:link w:val="PedmtkomenteChar"/>
    <w:uiPriority w:val="99"/>
    <w:semiHidden/>
    <w:unhideWhenUsed/>
    <w:rsid w:val="00785502"/>
    <w:rPr>
      <w:b/>
      <w:bCs/>
    </w:rPr>
  </w:style>
  <w:style w:type="character" w:customStyle="1" w:styleId="PedmtkomenteChar">
    <w:name w:val="Předmět komentáře Char"/>
    <w:basedOn w:val="TextkomenteChar"/>
    <w:link w:val="Pedmtkomente"/>
    <w:uiPriority w:val="99"/>
    <w:semiHidden/>
    <w:rsid w:val="00785502"/>
    <w:rPr>
      <w:b/>
      <w:bCs/>
      <w:sz w:val="20"/>
      <w:szCs w:val="20"/>
    </w:rPr>
  </w:style>
  <w:style w:type="character" w:styleId="Hypertextovodkaz">
    <w:name w:val="Hyperlink"/>
    <w:basedOn w:val="Standardnpsmoodstavce"/>
    <w:uiPriority w:val="99"/>
    <w:rsid w:val="004116E3"/>
    <w:rPr>
      <w:color w:val="0000FF"/>
      <w:u w:val="single"/>
    </w:rPr>
  </w:style>
  <w:style w:type="character" w:styleId="Sledovanodkaz">
    <w:name w:val="FollowedHyperlink"/>
    <w:basedOn w:val="Standardnpsmoodstavce"/>
    <w:uiPriority w:val="99"/>
    <w:semiHidden/>
    <w:unhideWhenUsed/>
    <w:rsid w:val="004116E3"/>
    <w:rPr>
      <w:color w:val="954F72" w:themeColor="followedHyperlink"/>
      <w:u w:val="single"/>
    </w:rPr>
  </w:style>
  <w:style w:type="character" w:customStyle="1" w:styleId="OdstavecseseznamemChar">
    <w:name w:val="Odstavec se seznamem Char"/>
    <w:aliases w:val="A-Odrážky1 Char,Barevný seznam – zvýraznění 11 Char,List Paragraph (Czech Tourism) Char,List Paragraph1 Char,List Paragraph_0 Char,Nad Char,Nad1 Char,Nad2 Char,Nadpis pro KZ Char,Odstavec_muj Char,Odstavec_muj1 Char"/>
    <w:link w:val="Odstavecseseznamem"/>
    <w:uiPriority w:val="34"/>
    <w:qFormat/>
    <w:locked/>
    <w:rsid w:val="00D6382D"/>
    <w:rPr>
      <w:sz w:val="24"/>
    </w:rPr>
  </w:style>
  <w:style w:type="character" w:styleId="Siln">
    <w:name w:val="Strong"/>
    <w:basedOn w:val="Standardnpsmoodstavce"/>
    <w:uiPriority w:val="22"/>
    <w:qFormat/>
    <w:rsid w:val="00F238D9"/>
    <w:rPr>
      <w:b/>
      <w:bCs/>
    </w:rPr>
  </w:style>
  <w:style w:type="table" w:styleId="Mkatabulky">
    <w:name w:val="Table Grid"/>
    <w:basedOn w:val="Normlntabulka"/>
    <w:uiPriority w:val="39"/>
    <w:rsid w:val="00F238D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315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7D2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79AD"/>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AB795A"/>
    <w:pPr>
      <w:spacing w:after="0" w:line="240" w:lineRule="auto"/>
    </w:pPr>
    <w:rPr>
      <w:rFonts w:eastAsiaTheme="minorEastAsia"/>
      <w:lang w:eastAsia="cs-CZ"/>
    </w:rPr>
    <w:tblPr>
      <w:tblCellMar>
        <w:top w:w="0" w:type="dxa"/>
        <w:left w:w="0" w:type="dxa"/>
        <w:bottom w:w="0" w:type="dxa"/>
        <w:right w:w="0" w:type="dxa"/>
      </w:tblCellMar>
    </w:tblPr>
  </w:style>
  <w:style w:type="paragraph" w:styleId="Titulek">
    <w:name w:val="caption"/>
    <w:basedOn w:val="Normln"/>
    <w:next w:val="Normln"/>
    <w:uiPriority w:val="35"/>
    <w:unhideWhenUsed/>
    <w:qFormat/>
    <w:rsid w:val="00BB0B31"/>
    <w:pPr>
      <w:spacing w:after="200"/>
    </w:pPr>
    <w:rPr>
      <w:i/>
      <w:iCs/>
      <w:color w:val="44546A" w:themeColor="text2"/>
      <w:sz w:val="18"/>
      <w:szCs w:val="18"/>
    </w:rPr>
  </w:style>
  <w:style w:type="character" w:styleId="Nevyeenzmnka">
    <w:name w:val="Unresolved Mention"/>
    <w:basedOn w:val="Standardnpsmoodstavce"/>
    <w:uiPriority w:val="99"/>
    <w:semiHidden/>
    <w:unhideWhenUsed/>
    <w:rsid w:val="00F92802"/>
    <w:rPr>
      <w:color w:val="605E5C"/>
      <w:shd w:val="clear" w:color="auto" w:fill="E1DFDD"/>
    </w:rPr>
  </w:style>
  <w:style w:type="paragraph" w:styleId="Normlnweb">
    <w:name w:val="Normal (Web)"/>
    <w:basedOn w:val="Normln"/>
    <w:uiPriority w:val="99"/>
    <w:unhideWhenUsed/>
    <w:rsid w:val="00C91DDC"/>
    <w:pPr>
      <w:spacing w:before="100" w:beforeAutospacing="1" w:after="100" w:afterAutospacing="1"/>
      <w:jc w:val="left"/>
    </w:pPr>
    <w:rPr>
      <w:rFonts w:ascii="Times New Roman" w:eastAsia="Times New Roman" w:hAnsi="Times New Roman" w:cs="Times New Roman"/>
      <w:szCs w:val="24"/>
      <w:lang w:eastAsia="cs-CZ"/>
    </w:rPr>
  </w:style>
  <w:style w:type="character" w:customStyle="1" w:styleId="Nadpis2Char">
    <w:name w:val="Nadpis 2 Char"/>
    <w:basedOn w:val="Standardnpsmoodstavce"/>
    <w:link w:val="Nadpis2"/>
    <w:uiPriority w:val="9"/>
    <w:semiHidden/>
    <w:rsid w:val="00C55727"/>
    <w:rPr>
      <w:rFonts w:asciiTheme="majorHAnsi" w:eastAsiaTheme="majorEastAsia" w:hAnsiTheme="majorHAnsi" w:cstheme="majorBidi"/>
      <w:color w:val="2E74B5" w:themeColor="accent1" w:themeShade="BF"/>
      <w:sz w:val="26"/>
      <w:szCs w:val="26"/>
    </w:rPr>
  </w:style>
  <w:style w:type="paragraph" w:styleId="Revize">
    <w:name w:val="Revision"/>
    <w:hidden/>
    <w:uiPriority w:val="99"/>
    <w:semiHidden/>
    <w:rsid w:val="00E80A0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1343">
      <w:bodyDiv w:val="1"/>
      <w:marLeft w:val="0"/>
      <w:marRight w:val="0"/>
      <w:marTop w:val="0"/>
      <w:marBottom w:val="0"/>
      <w:divBdr>
        <w:top w:val="none" w:sz="0" w:space="0" w:color="auto"/>
        <w:left w:val="none" w:sz="0" w:space="0" w:color="auto"/>
        <w:bottom w:val="none" w:sz="0" w:space="0" w:color="auto"/>
        <w:right w:val="none" w:sz="0" w:space="0" w:color="auto"/>
      </w:divBdr>
    </w:div>
    <w:div w:id="57558655">
      <w:bodyDiv w:val="1"/>
      <w:marLeft w:val="0"/>
      <w:marRight w:val="0"/>
      <w:marTop w:val="0"/>
      <w:marBottom w:val="0"/>
      <w:divBdr>
        <w:top w:val="none" w:sz="0" w:space="0" w:color="auto"/>
        <w:left w:val="none" w:sz="0" w:space="0" w:color="auto"/>
        <w:bottom w:val="none" w:sz="0" w:space="0" w:color="auto"/>
        <w:right w:val="none" w:sz="0" w:space="0" w:color="auto"/>
      </w:divBdr>
    </w:div>
    <w:div w:id="148912305">
      <w:bodyDiv w:val="1"/>
      <w:marLeft w:val="0"/>
      <w:marRight w:val="0"/>
      <w:marTop w:val="0"/>
      <w:marBottom w:val="0"/>
      <w:divBdr>
        <w:top w:val="none" w:sz="0" w:space="0" w:color="auto"/>
        <w:left w:val="none" w:sz="0" w:space="0" w:color="auto"/>
        <w:bottom w:val="none" w:sz="0" w:space="0" w:color="auto"/>
        <w:right w:val="none" w:sz="0" w:space="0" w:color="auto"/>
      </w:divBdr>
    </w:div>
    <w:div w:id="169372928">
      <w:bodyDiv w:val="1"/>
      <w:marLeft w:val="0"/>
      <w:marRight w:val="0"/>
      <w:marTop w:val="0"/>
      <w:marBottom w:val="0"/>
      <w:divBdr>
        <w:top w:val="none" w:sz="0" w:space="0" w:color="auto"/>
        <w:left w:val="none" w:sz="0" w:space="0" w:color="auto"/>
        <w:bottom w:val="none" w:sz="0" w:space="0" w:color="auto"/>
        <w:right w:val="none" w:sz="0" w:space="0" w:color="auto"/>
      </w:divBdr>
    </w:div>
    <w:div w:id="198400744">
      <w:bodyDiv w:val="1"/>
      <w:marLeft w:val="0"/>
      <w:marRight w:val="0"/>
      <w:marTop w:val="0"/>
      <w:marBottom w:val="0"/>
      <w:divBdr>
        <w:top w:val="none" w:sz="0" w:space="0" w:color="auto"/>
        <w:left w:val="none" w:sz="0" w:space="0" w:color="auto"/>
        <w:bottom w:val="none" w:sz="0" w:space="0" w:color="auto"/>
        <w:right w:val="none" w:sz="0" w:space="0" w:color="auto"/>
      </w:divBdr>
      <w:divsChild>
        <w:div w:id="1421364196">
          <w:marLeft w:val="547"/>
          <w:marRight w:val="0"/>
          <w:marTop w:val="0"/>
          <w:marBottom w:val="0"/>
          <w:divBdr>
            <w:top w:val="none" w:sz="0" w:space="0" w:color="auto"/>
            <w:left w:val="none" w:sz="0" w:space="0" w:color="auto"/>
            <w:bottom w:val="none" w:sz="0" w:space="0" w:color="auto"/>
            <w:right w:val="none" w:sz="0" w:space="0" w:color="auto"/>
          </w:divBdr>
        </w:div>
        <w:div w:id="1609391820">
          <w:marLeft w:val="547"/>
          <w:marRight w:val="0"/>
          <w:marTop w:val="0"/>
          <w:marBottom w:val="0"/>
          <w:divBdr>
            <w:top w:val="none" w:sz="0" w:space="0" w:color="auto"/>
            <w:left w:val="none" w:sz="0" w:space="0" w:color="auto"/>
            <w:bottom w:val="none" w:sz="0" w:space="0" w:color="auto"/>
            <w:right w:val="none" w:sz="0" w:space="0" w:color="auto"/>
          </w:divBdr>
        </w:div>
        <w:div w:id="156582382">
          <w:marLeft w:val="547"/>
          <w:marRight w:val="0"/>
          <w:marTop w:val="0"/>
          <w:marBottom w:val="0"/>
          <w:divBdr>
            <w:top w:val="none" w:sz="0" w:space="0" w:color="auto"/>
            <w:left w:val="none" w:sz="0" w:space="0" w:color="auto"/>
            <w:bottom w:val="none" w:sz="0" w:space="0" w:color="auto"/>
            <w:right w:val="none" w:sz="0" w:space="0" w:color="auto"/>
          </w:divBdr>
        </w:div>
        <w:div w:id="1546987893">
          <w:marLeft w:val="547"/>
          <w:marRight w:val="0"/>
          <w:marTop w:val="0"/>
          <w:marBottom w:val="0"/>
          <w:divBdr>
            <w:top w:val="none" w:sz="0" w:space="0" w:color="auto"/>
            <w:left w:val="none" w:sz="0" w:space="0" w:color="auto"/>
            <w:bottom w:val="none" w:sz="0" w:space="0" w:color="auto"/>
            <w:right w:val="none" w:sz="0" w:space="0" w:color="auto"/>
          </w:divBdr>
        </w:div>
      </w:divsChild>
    </w:div>
    <w:div w:id="237986878">
      <w:bodyDiv w:val="1"/>
      <w:marLeft w:val="0"/>
      <w:marRight w:val="0"/>
      <w:marTop w:val="0"/>
      <w:marBottom w:val="0"/>
      <w:divBdr>
        <w:top w:val="none" w:sz="0" w:space="0" w:color="auto"/>
        <w:left w:val="none" w:sz="0" w:space="0" w:color="auto"/>
        <w:bottom w:val="none" w:sz="0" w:space="0" w:color="auto"/>
        <w:right w:val="none" w:sz="0" w:space="0" w:color="auto"/>
      </w:divBdr>
    </w:div>
    <w:div w:id="275990244">
      <w:bodyDiv w:val="1"/>
      <w:marLeft w:val="0"/>
      <w:marRight w:val="0"/>
      <w:marTop w:val="0"/>
      <w:marBottom w:val="0"/>
      <w:divBdr>
        <w:top w:val="none" w:sz="0" w:space="0" w:color="auto"/>
        <w:left w:val="none" w:sz="0" w:space="0" w:color="auto"/>
        <w:bottom w:val="none" w:sz="0" w:space="0" w:color="auto"/>
        <w:right w:val="none" w:sz="0" w:space="0" w:color="auto"/>
      </w:divBdr>
    </w:div>
    <w:div w:id="296492944">
      <w:bodyDiv w:val="1"/>
      <w:marLeft w:val="0"/>
      <w:marRight w:val="0"/>
      <w:marTop w:val="0"/>
      <w:marBottom w:val="0"/>
      <w:divBdr>
        <w:top w:val="none" w:sz="0" w:space="0" w:color="auto"/>
        <w:left w:val="none" w:sz="0" w:space="0" w:color="auto"/>
        <w:bottom w:val="none" w:sz="0" w:space="0" w:color="auto"/>
        <w:right w:val="none" w:sz="0" w:space="0" w:color="auto"/>
      </w:divBdr>
    </w:div>
    <w:div w:id="309792661">
      <w:bodyDiv w:val="1"/>
      <w:marLeft w:val="0"/>
      <w:marRight w:val="0"/>
      <w:marTop w:val="0"/>
      <w:marBottom w:val="0"/>
      <w:divBdr>
        <w:top w:val="none" w:sz="0" w:space="0" w:color="auto"/>
        <w:left w:val="none" w:sz="0" w:space="0" w:color="auto"/>
        <w:bottom w:val="none" w:sz="0" w:space="0" w:color="auto"/>
        <w:right w:val="none" w:sz="0" w:space="0" w:color="auto"/>
      </w:divBdr>
    </w:div>
    <w:div w:id="341247421">
      <w:bodyDiv w:val="1"/>
      <w:marLeft w:val="0"/>
      <w:marRight w:val="0"/>
      <w:marTop w:val="0"/>
      <w:marBottom w:val="0"/>
      <w:divBdr>
        <w:top w:val="none" w:sz="0" w:space="0" w:color="auto"/>
        <w:left w:val="none" w:sz="0" w:space="0" w:color="auto"/>
        <w:bottom w:val="none" w:sz="0" w:space="0" w:color="auto"/>
        <w:right w:val="none" w:sz="0" w:space="0" w:color="auto"/>
      </w:divBdr>
    </w:div>
    <w:div w:id="343942473">
      <w:bodyDiv w:val="1"/>
      <w:marLeft w:val="0"/>
      <w:marRight w:val="0"/>
      <w:marTop w:val="0"/>
      <w:marBottom w:val="0"/>
      <w:divBdr>
        <w:top w:val="none" w:sz="0" w:space="0" w:color="auto"/>
        <w:left w:val="none" w:sz="0" w:space="0" w:color="auto"/>
        <w:bottom w:val="none" w:sz="0" w:space="0" w:color="auto"/>
        <w:right w:val="none" w:sz="0" w:space="0" w:color="auto"/>
      </w:divBdr>
    </w:div>
    <w:div w:id="366028457">
      <w:bodyDiv w:val="1"/>
      <w:marLeft w:val="0"/>
      <w:marRight w:val="0"/>
      <w:marTop w:val="0"/>
      <w:marBottom w:val="0"/>
      <w:divBdr>
        <w:top w:val="none" w:sz="0" w:space="0" w:color="auto"/>
        <w:left w:val="none" w:sz="0" w:space="0" w:color="auto"/>
        <w:bottom w:val="none" w:sz="0" w:space="0" w:color="auto"/>
        <w:right w:val="none" w:sz="0" w:space="0" w:color="auto"/>
      </w:divBdr>
    </w:div>
    <w:div w:id="370110064">
      <w:bodyDiv w:val="1"/>
      <w:marLeft w:val="0"/>
      <w:marRight w:val="0"/>
      <w:marTop w:val="0"/>
      <w:marBottom w:val="0"/>
      <w:divBdr>
        <w:top w:val="none" w:sz="0" w:space="0" w:color="auto"/>
        <w:left w:val="none" w:sz="0" w:space="0" w:color="auto"/>
        <w:bottom w:val="none" w:sz="0" w:space="0" w:color="auto"/>
        <w:right w:val="none" w:sz="0" w:space="0" w:color="auto"/>
      </w:divBdr>
    </w:div>
    <w:div w:id="429742217">
      <w:bodyDiv w:val="1"/>
      <w:marLeft w:val="0"/>
      <w:marRight w:val="0"/>
      <w:marTop w:val="0"/>
      <w:marBottom w:val="0"/>
      <w:divBdr>
        <w:top w:val="none" w:sz="0" w:space="0" w:color="auto"/>
        <w:left w:val="none" w:sz="0" w:space="0" w:color="auto"/>
        <w:bottom w:val="none" w:sz="0" w:space="0" w:color="auto"/>
        <w:right w:val="none" w:sz="0" w:space="0" w:color="auto"/>
      </w:divBdr>
    </w:div>
    <w:div w:id="438376172">
      <w:bodyDiv w:val="1"/>
      <w:marLeft w:val="0"/>
      <w:marRight w:val="0"/>
      <w:marTop w:val="0"/>
      <w:marBottom w:val="0"/>
      <w:divBdr>
        <w:top w:val="none" w:sz="0" w:space="0" w:color="auto"/>
        <w:left w:val="none" w:sz="0" w:space="0" w:color="auto"/>
        <w:bottom w:val="none" w:sz="0" w:space="0" w:color="auto"/>
        <w:right w:val="none" w:sz="0" w:space="0" w:color="auto"/>
      </w:divBdr>
    </w:div>
    <w:div w:id="448284389">
      <w:bodyDiv w:val="1"/>
      <w:marLeft w:val="0"/>
      <w:marRight w:val="0"/>
      <w:marTop w:val="0"/>
      <w:marBottom w:val="0"/>
      <w:divBdr>
        <w:top w:val="none" w:sz="0" w:space="0" w:color="auto"/>
        <w:left w:val="none" w:sz="0" w:space="0" w:color="auto"/>
        <w:bottom w:val="none" w:sz="0" w:space="0" w:color="auto"/>
        <w:right w:val="none" w:sz="0" w:space="0" w:color="auto"/>
      </w:divBdr>
    </w:div>
    <w:div w:id="453863534">
      <w:bodyDiv w:val="1"/>
      <w:marLeft w:val="0"/>
      <w:marRight w:val="0"/>
      <w:marTop w:val="0"/>
      <w:marBottom w:val="0"/>
      <w:divBdr>
        <w:top w:val="none" w:sz="0" w:space="0" w:color="auto"/>
        <w:left w:val="none" w:sz="0" w:space="0" w:color="auto"/>
        <w:bottom w:val="none" w:sz="0" w:space="0" w:color="auto"/>
        <w:right w:val="none" w:sz="0" w:space="0" w:color="auto"/>
      </w:divBdr>
    </w:div>
    <w:div w:id="493033818">
      <w:bodyDiv w:val="1"/>
      <w:marLeft w:val="0"/>
      <w:marRight w:val="0"/>
      <w:marTop w:val="0"/>
      <w:marBottom w:val="0"/>
      <w:divBdr>
        <w:top w:val="none" w:sz="0" w:space="0" w:color="auto"/>
        <w:left w:val="none" w:sz="0" w:space="0" w:color="auto"/>
        <w:bottom w:val="none" w:sz="0" w:space="0" w:color="auto"/>
        <w:right w:val="none" w:sz="0" w:space="0" w:color="auto"/>
      </w:divBdr>
    </w:div>
    <w:div w:id="512302001">
      <w:bodyDiv w:val="1"/>
      <w:marLeft w:val="0"/>
      <w:marRight w:val="0"/>
      <w:marTop w:val="0"/>
      <w:marBottom w:val="0"/>
      <w:divBdr>
        <w:top w:val="none" w:sz="0" w:space="0" w:color="auto"/>
        <w:left w:val="none" w:sz="0" w:space="0" w:color="auto"/>
        <w:bottom w:val="none" w:sz="0" w:space="0" w:color="auto"/>
        <w:right w:val="none" w:sz="0" w:space="0" w:color="auto"/>
      </w:divBdr>
    </w:div>
    <w:div w:id="521356095">
      <w:bodyDiv w:val="1"/>
      <w:marLeft w:val="0"/>
      <w:marRight w:val="0"/>
      <w:marTop w:val="0"/>
      <w:marBottom w:val="0"/>
      <w:divBdr>
        <w:top w:val="none" w:sz="0" w:space="0" w:color="auto"/>
        <w:left w:val="none" w:sz="0" w:space="0" w:color="auto"/>
        <w:bottom w:val="none" w:sz="0" w:space="0" w:color="auto"/>
        <w:right w:val="none" w:sz="0" w:space="0" w:color="auto"/>
      </w:divBdr>
    </w:div>
    <w:div w:id="530724625">
      <w:bodyDiv w:val="1"/>
      <w:marLeft w:val="0"/>
      <w:marRight w:val="0"/>
      <w:marTop w:val="0"/>
      <w:marBottom w:val="0"/>
      <w:divBdr>
        <w:top w:val="none" w:sz="0" w:space="0" w:color="auto"/>
        <w:left w:val="none" w:sz="0" w:space="0" w:color="auto"/>
        <w:bottom w:val="none" w:sz="0" w:space="0" w:color="auto"/>
        <w:right w:val="none" w:sz="0" w:space="0" w:color="auto"/>
      </w:divBdr>
    </w:div>
    <w:div w:id="673144223">
      <w:bodyDiv w:val="1"/>
      <w:marLeft w:val="0"/>
      <w:marRight w:val="0"/>
      <w:marTop w:val="0"/>
      <w:marBottom w:val="0"/>
      <w:divBdr>
        <w:top w:val="none" w:sz="0" w:space="0" w:color="auto"/>
        <w:left w:val="none" w:sz="0" w:space="0" w:color="auto"/>
        <w:bottom w:val="none" w:sz="0" w:space="0" w:color="auto"/>
        <w:right w:val="none" w:sz="0" w:space="0" w:color="auto"/>
      </w:divBdr>
    </w:div>
    <w:div w:id="713307459">
      <w:bodyDiv w:val="1"/>
      <w:marLeft w:val="0"/>
      <w:marRight w:val="0"/>
      <w:marTop w:val="0"/>
      <w:marBottom w:val="0"/>
      <w:divBdr>
        <w:top w:val="none" w:sz="0" w:space="0" w:color="auto"/>
        <w:left w:val="none" w:sz="0" w:space="0" w:color="auto"/>
        <w:bottom w:val="none" w:sz="0" w:space="0" w:color="auto"/>
        <w:right w:val="none" w:sz="0" w:space="0" w:color="auto"/>
      </w:divBdr>
    </w:div>
    <w:div w:id="744498897">
      <w:bodyDiv w:val="1"/>
      <w:marLeft w:val="0"/>
      <w:marRight w:val="0"/>
      <w:marTop w:val="0"/>
      <w:marBottom w:val="0"/>
      <w:divBdr>
        <w:top w:val="none" w:sz="0" w:space="0" w:color="auto"/>
        <w:left w:val="none" w:sz="0" w:space="0" w:color="auto"/>
        <w:bottom w:val="none" w:sz="0" w:space="0" w:color="auto"/>
        <w:right w:val="none" w:sz="0" w:space="0" w:color="auto"/>
      </w:divBdr>
    </w:div>
    <w:div w:id="754739593">
      <w:bodyDiv w:val="1"/>
      <w:marLeft w:val="0"/>
      <w:marRight w:val="0"/>
      <w:marTop w:val="0"/>
      <w:marBottom w:val="0"/>
      <w:divBdr>
        <w:top w:val="none" w:sz="0" w:space="0" w:color="auto"/>
        <w:left w:val="none" w:sz="0" w:space="0" w:color="auto"/>
        <w:bottom w:val="none" w:sz="0" w:space="0" w:color="auto"/>
        <w:right w:val="none" w:sz="0" w:space="0" w:color="auto"/>
      </w:divBdr>
    </w:div>
    <w:div w:id="772095946">
      <w:bodyDiv w:val="1"/>
      <w:marLeft w:val="0"/>
      <w:marRight w:val="0"/>
      <w:marTop w:val="0"/>
      <w:marBottom w:val="0"/>
      <w:divBdr>
        <w:top w:val="none" w:sz="0" w:space="0" w:color="auto"/>
        <w:left w:val="none" w:sz="0" w:space="0" w:color="auto"/>
        <w:bottom w:val="none" w:sz="0" w:space="0" w:color="auto"/>
        <w:right w:val="none" w:sz="0" w:space="0" w:color="auto"/>
      </w:divBdr>
    </w:div>
    <w:div w:id="800806438">
      <w:bodyDiv w:val="1"/>
      <w:marLeft w:val="0"/>
      <w:marRight w:val="0"/>
      <w:marTop w:val="0"/>
      <w:marBottom w:val="0"/>
      <w:divBdr>
        <w:top w:val="none" w:sz="0" w:space="0" w:color="auto"/>
        <w:left w:val="none" w:sz="0" w:space="0" w:color="auto"/>
        <w:bottom w:val="none" w:sz="0" w:space="0" w:color="auto"/>
        <w:right w:val="none" w:sz="0" w:space="0" w:color="auto"/>
      </w:divBdr>
      <w:divsChild>
        <w:div w:id="1664511302">
          <w:marLeft w:val="547"/>
          <w:marRight w:val="0"/>
          <w:marTop w:val="115"/>
          <w:marBottom w:val="0"/>
          <w:divBdr>
            <w:top w:val="none" w:sz="0" w:space="0" w:color="auto"/>
            <w:left w:val="none" w:sz="0" w:space="0" w:color="auto"/>
            <w:bottom w:val="none" w:sz="0" w:space="0" w:color="auto"/>
            <w:right w:val="none" w:sz="0" w:space="0" w:color="auto"/>
          </w:divBdr>
        </w:div>
      </w:divsChild>
    </w:div>
    <w:div w:id="802693868">
      <w:bodyDiv w:val="1"/>
      <w:marLeft w:val="0"/>
      <w:marRight w:val="0"/>
      <w:marTop w:val="0"/>
      <w:marBottom w:val="0"/>
      <w:divBdr>
        <w:top w:val="none" w:sz="0" w:space="0" w:color="auto"/>
        <w:left w:val="none" w:sz="0" w:space="0" w:color="auto"/>
        <w:bottom w:val="none" w:sz="0" w:space="0" w:color="auto"/>
        <w:right w:val="none" w:sz="0" w:space="0" w:color="auto"/>
      </w:divBdr>
    </w:div>
    <w:div w:id="836769263">
      <w:bodyDiv w:val="1"/>
      <w:marLeft w:val="0"/>
      <w:marRight w:val="0"/>
      <w:marTop w:val="0"/>
      <w:marBottom w:val="0"/>
      <w:divBdr>
        <w:top w:val="none" w:sz="0" w:space="0" w:color="auto"/>
        <w:left w:val="none" w:sz="0" w:space="0" w:color="auto"/>
        <w:bottom w:val="none" w:sz="0" w:space="0" w:color="auto"/>
        <w:right w:val="none" w:sz="0" w:space="0" w:color="auto"/>
      </w:divBdr>
    </w:div>
    <w:div w:id="902910508">
      <w:bodyDiv w:val="1"/>
      <w:marLeft w:val="0"/>
      <w:marRight w:val="0"/>
      <w:marTop w:val="0"/>
      <w:marBottom w:val="0"/>
      <w:divBdr>
        <w:top w:val="none" w:sz="0" w:space="0" w:color="auto"/>
        <w:left w:val="none" w:sz="0" w:space="0" w:color="auto"/>
        <w:bottom w:val="none" w:sz="0" w:space="0" w:color="auto"/>
        <w:right w:val="none" w:sz="0" w:space="0" w:color="auto"/>
      </w:divBdr>
    </w:div>
    <w:div w:id="909270230">
      <w:bodyDiv w:val="1"/>
      <w:marLeft w:val="0"/>
      <w:marRight w:val="0"/>
      <w:marTop w:val="0"/>
      <w:marBottom w:val="0"/>
      <w:divBdr>
        <w:top w:val="none" w:sz="0" w:space="0" w:color="auto"/>
        <w:left w:val="none" w:sz="0" w:space="0" w:color="auto"/>
        <w:bottom w:val="none" w:sz="0" w:space="0" w:color="auto"/>
        <w:right w:val="none" w:sz="0" w:space="0" w:color="auto"/>
      </w:divBdr>
    </w:div>
    <w:div w:id="937105481">
      <w:bodyDiv w:val="1"/>
      <w:marLeft w:val="0"/>
      <w:marRight w:val="0"/>
      <w:marTop w:val="0"/>
      <w:marBottom w:val="0"/>
      <w:divBdr>
        <w:top w:val="none" w:sz="0" w:space="0" w:color="auto"/>
        <w:left w:val="none" w:sz="0" w:space="0" w:color="auto"/>
        <w:bottom w:val="none" w:sz="0" w:space="0" w:color="auto"/>
        <w:right w:val="none" w:sz="0" w:space="0" w:color="auto"/>
      </w:divBdr>
    </w:div>
    <w:div w:id="976256613">
      <w:bodyDiv w:val="1"/>
      <w:marLeft w:val="0"/>
      <w:marRight w:val="0"/>
      <w:marTop w:val="0"/>
      <w:marBottom w:val="0"/>
      <w:divBdr>
        <w:top w:val="none" w:sz="0" w:space="0" w:color="auto"/>
        <w:left w:val="none" w:sz="0" w:space="0" w:color="auto"/>
        <w:bottom w:val="none" w:sz="0" w:space="0" w:color="auto"/>
        <w:right w:val="none" w:sz="0" w:space="0" w:color="auto"/>
      </w:divBdr>
    </w:div>
    <w:div w:id="982124502">
      <w:bodyDiv w:val="1"/>
      <w:marLeft w:val="0"/>
      <w:marRight w:val="0"/>
      <w:marTop w:val="0"/>
      <w:marBottom w:val="0"/>
      <w:divBdr>
        <w:top w:val="none" w:sz="0" w:space="0" w:color="auto"/>
        <w:left w:val="none" w:sz="0" w:space="0" w:color="auto"/>
        <w:bottom w:val="none" w:sz="0" w:space="0" w:color="auto"/>
        <w:right w:val="none" w:sz="0" w:space="0" w:color="auto"/>
      </w:divBdr>
    </w:div>
    <w:div w:id="1038162674">
      <w:bodyDiv w:val="1"/>
      <w:marLeft w:val="0"/>
      <w:marRight w:val="0"/>
      <w:marTop w:val="0"/>
      <w:marBottom w:val="0"/>
      <w:divBdr>
        <w:top w:val="none" w:sz="0" w:space="0" w:color="auto"/>
        <w:left w:val="none" w:sz="0" w:space="0" w:color="auto"/>
        <w:bottom w:val="none" w:sz="0" w:space="0" w:color="auto"/>
        <w:right w:val="none" w:sz="0" w:space="0" w:color="auto"/>
      </w:divBdr>
    </w:div>
    <w:div w:id="1124273783">
      <w:bodyDiv w:val="1"/>
      <w:marLeft w:val="0"/>
      <w:marRight w:val="0"/>
      <w:marTop w:val="0"/>
      <w:marBottom w:val="0"/>
      <w:divBdr>
        <w:top w:val="none" w:sz="0" w:space="0" w:color="auto"/>
        <w:left w:val="none" w:sz="0" w:space="0" w:color="auto"/>
        <w:bottom w:val="none" w:sz="0" w:space="0" w:color="auto"/>
        <w:right w:val="none" w:sz="0" w:space="0" w:color="auto"/>
      </w:divBdr>
    </w:div>
    <w:div w:id="1126923065">
      <w:bodyDiv w:val="1"/>
      <w:marLeft w:val="0"/>
      <w:marRight w:val="0"/>
      <w:marTop w:val="0"/>
      <w:marBottom w:val="0"/>
      <w:divBdr>
        <w:top w:val="none" w:sz="0" w:space="0" w:color="auto"/>
        <w:left w:val="none" w:sz="0" w:space="0" w:color="auto"/>
        <w:bottom w:val="none" w:sz="0" w:space="0" w:color="auto"/>
        <w:right w:val="none" w:sz="0" w:space="0" w:color="auto"/>
      </w:divBdr>
    </w:div>
    <w:div w:id="1128939003">
      <w:bodyDiv w:val="1"/>
      <w:marLeft w:val="0"/>
      <w:marRight w:val="0"/>
      <w:marTop w:val="0"/>
      <w:marBottom w:val="0"/>
      <w:divBdr>
        <w:top w:val="none" w:sz="0" w:space="0" w:color="auto"/>
        <w:left w:val="none" w:sz="0" w:space="0" w:color="auto"/>
        <w:bottom w:val="none" w:sz="0" w:space="0" w:color="auto"/>
        <w:right w:val="none" w:sz="0" w:space="0" w:color="auto"/>
      </w:divBdr>
      <w:divsChild>
        <w:div w:id="1738280175">
          <w:marLeft w:val="0"/>
          <w:marRight w:val="0"/>
          <w:marTop w:val="0"/>
          <w:marBottom w:val="0"/>
          <w:divBdr>
            <w:top w:val="none" w:sz="0" w:space="0" w:color="auto"/>
            <w:left w:val="none" w:sz="0" w:space="0" w:color="auto"/>
            <w:bottom w:val="none" w:sz="0" w:space="0" w:color="auto"/>
            <w:right w:val="none" w:sz="0" w:space="0" w:color="auto"/>
          </w:divBdr>
        </w:div>
      </w:divsChild>
    </w:div>
    <w:div w:id="1167475088">
      <w:bodyDiv w:val="1"/>
      <w:marLeft w:val="0"/>
      <w:marRight w:val="0"/>
      <w:marTop w:val="0"/>
      <w:marBottom w:val="0"/>
      <w:divBdr>
        <w:top w:val="none" w:sz="0" w:space="0" w:color="auto"/>
        <w:left w:val="none" w:sz="0" w:space="0" w:color="auto"/>
        <w:bottom w:val="none" w:sz="0" w:space="0" w:color="auto"/>
        <w:right w:val="none" w:sz="0" w:space="0" w:color="auto"/>
      </w:divBdr>
    </w:div>
    <w:div w:id="1196119160">
      <w:bodyDiv w:val="1"/>
      <w:marLeft w:val="0"/>
      <w:marRight w:val="0"/>
      <w:marTop w:val="0"/>
      <w:marBottom w:val="0"/>
      <w:divBdr>
        <w:top w:val="none" w:sz="0" w:space="0" w:color="auto"/>
        <w:left w:val="none" w:sz="0" w:space="0" w:color="auto"/>
        <w:bottom w:val="none" w:sz="0" w:space="0" w:color="auto"/>
        <w:right w:val="none" w:sz="0" w:space="0" w:color="auto"/>
      </w:divBdr>
    </w:div>
    <w:div w:id="1266229021">
      <w:bodyDiv w:val="1"/>
      <w:marLeft w:val="0"/>
      <w:marRight w:val="0"/>
      <w:marTop w:val="0"/>
      <w:marBottom w:val="0"/>
      <w:divBdr>
        <w:top w:val="none" w:sz="0" w:space="0" w:color="auto"/>
        <w:left w:val="none" w:sz="0" w:space="0" w:color="auto"/>
        <w:bottom w:val="none" w:sz="0" w:space="0" w:color="auto"/>
        <w:right w:val="none" w:sz="0" w:space="0" w:color="auto"/>
      </w:divBdr>
    </w:div>
    <w:div w:id="1288120401">
      <w:bodyDiv w:val="1"/>
      <w:marLeft w:val="0"/>
      <w:marRight w:val="0"/>
      <w:marTop w:val="0"/>
      <w:marBottom w:val="0"/>
      <w:divBdr>
        <w:top w:val="none" w:sz="0" w:space="0" w:color="auto"/>
        <w:left w:val="none" w:sz="0" w:space="0" w:color="auto"/>
        <w:bottom w:val="none" w:sz="0" w:space="0" w:color="auto"/>
        <w:right w:val="none" w:sz="0" w:space="0" w:color="auto"/>
      </w:divBdr>
    </w:div>
    <w:div w:id="1346708688">
      <w:bodyDiv w:val="1"/>
      <w:marLeft w:val="0"/>
      <w:marRight w:val="0"/>
      <w:marTop w:val="0"/>
      <w:marBottom w:val="0"/>
      <w:divBdr>
        <w:top w:val="none" w:sz="0" w:space="0" w:color="auto"/>
        <w:left w:val="none" w:sz="0" w:space="0" w:color="auto"/>
        <w:bottom w:val="none" w:sz="0" w:space="0" w:color="auto"/>
        <w:right w:val="none" w:sz="0" w:space="0" w:color="auto"/>
      </w:divBdr>
      <w:divsChild>
        <w:div w:id="1278684182">
          <w:marLeft w:val="547"/>
          <w:marRight w:val="0"/>
          <w:marTop w:val="106"/>
          <w:marBottom w:val="0"/>
          <w:divBdr>
            <w:top w:val="none" w:sz="0" w:space="0" w:color="auto"/>
            <w:left w:val="none" w:sz="0" w:space="0" w:color="auto"/>
            <w:bottom w:val="none" w:sz="0" w:space="0" w:color="auto"/>
            <w:right w:val="none" w:sz="0" w:space="0" w:color="auto"/>
          </w:divBdr>
        </w:div>
      </w:divsChild>
    </w:div>
    <w:div w:id="1381662356">
      <w:bodyDiv w:val="1"/>
      <w:marLeft w:val="0"/>
      <w:marRight w:val="0"/>
      <w:marTop w:val="0"/>
      <w:marBottom w:val="0"/>
      <w:divBdr>
        <w:top w:val="none" w:sz="0" w:space="0" w:color="auto"/>
        <w:left w:val="none" w:sz="0" w:space="0" w:color="auto"/>
        <w:bottom w:val="none" w:sz="0" w:space="0" w:color="auto"/>
        <w:right w:val="none" w:sz="0" w:space="0" w:color="auto"/>
      </w:divBdr>
    </w:div>
    <w:div w:id="13855227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38870804">
      <w:bodyDiv w:val="1"/>
      <w:marLeft w:val="0"/>
      <w:marRight w:val="0"/>
      <w:marTop w:val="0"/>
      <w:marBottom w:val="0"/>
      <w:divBdr>
        <w:top w:val="none" w:sz="0" w:space="0" w:color="auto"/>
        <w:left w:val="none" w:sz="0" w:space="0" w:color="auto"/>
        <w:bottom w:val="none" w:sz="0" w:space="0" w:color="auto"/>
        <w:right w:val="none" w:sz="0" w:space="0" w:color="auto"/>
      </w:divBdr>
      <w:divsChild>
        <w:div w:id="105388462">
          <w:marLeft w:val="0"/>
          <w:marRight w:val="0"/>
          <w:marTop w:val="0"/>
          <w:marBottom w:val="0"/>
          <w:divBdr>
            <w:top w:val="none" w:sz="0" w:space="0" w:color="auto"/>
            <w:left w:val="none" w:sz="0" w:space="0" w:color="auto"/>
            <w:bottom w:val="none" w:sz="0" w:space="0" w:color="auto"/>
            <w:right w:val="none" w:sz="0" w:space="0" w:color="auto"/>
          </w:divBdr>
        </w:div>
        <w:div w:id="1046641448">
          <w:marLeft w:val="0"/>
          <w:marRight w:val="0"/>
          <w:marTop w:val="0"/>
          <w:marBottom w:val="0"/>
          <w:divBdr>
            <w:top w:val="none" w:sz="0" w:space="0" w:color="auto"/>
            <w:left w:val="none" w:sz="0" w:space="0" w:color="auto"/>
            <w:bottom w:val="none" w:sz="0" w:space="0" w:color="auto"/>
            <w:right w:val="none" w:sz="0" w:space="0" w:color="auto"/>
          </w:divBdr>
        </w:div>
      </w:divsChild>
    </w:div>
    <w:div w:id="1439133865">
      <w:bodyDiv w:val="1"/>
      <w:marLeft w:val="0"/>
      <w:marRight w:val="0"/>
      <w:marTop w:val="0"/>
      <w:marBottom w:val="0"/>
      <w:divBdr>
        <w:top w:val="none" w:sz="0" w:space="0" w:color="auto"/>
        <w:left w:val="none" w:sz="0" w:space="0" w:color="auto"/>
        <w:bottom w:val="none" w:sz="0" w:space="0" w:color="auto"/>
        <w:right w:val="none" w:sz="0" w:space="0" w:color="auto"/>
      </w:divBdr>
    </w:div>
    <w:div w:id="1460994069">
      <w:bodyDiv w:val="1"/>
      <w:marLeft w:val="0"/>
      <w:marRight w:val="0"/>
      <w:marTop w:val="0"/>
      <w:marBottom w:val="0"/>
      <w:divBdr>
        <w:top w:val="none" w:sz="0" w:space="0" w:color="auto"/>
        <w:left w:val="none" w:sz="0" w:space="0" w:color="auto"/>
        <w:bottom w:val="none" w:sz="0" w:space="0" w:color="auto"/>
        <w:right w:val="none" w:sz="0" w:space="0" w:color="auto"/>
      </w:divBdr>
    </w:div>
    <w:div w:id="1518424423">
      <w:bodyDiv w:val="1"/>
      <w:marLeft w:val="0"/>
      <w:marRight w:val="0"/>
      <w:marTop w:val="0"/>
      <w:marBottom w:val="0"/>
      <w:divBdr>
        <w:top w:val="none" w:sz="0" w:space="0" w:color="auto"/>
        <w:left w:val="none" w:sz="0" w:space="0" w:color="auto"/>
        <w:bottom w:val="none" w:sz="0" w:space="0" w:color="auto"/>
        <w:right w:val="none" w:sz="0" w:space="0" w:color="auto"/>
      </w:divBdr>
    </w:div>
    <w:div w:id="1519586547">
      <w:bodyDiv w:val="1"/>
      <w:marLeft w:val="0"/>
      <w:marRight w:val="0"/>
      <w:marTop w:val="0"/>
      <w:marBottom w:val="0"/>
      <w:divBdr>
        <w:top w:val="none" w:sz="0" w:space="0" w:color="auto"/>
        <w:left w:val="none" w:sz="0" w:space="0" w:color="auto"/>
        <w:bottom w:val="none" w:sz="0" w:space="0" w:color="auto"/>
        <w:right w:val="none" w:sz="0" w:space="0" w:color="auto"/>
      </w:divBdr>
    </w:div>
    <w:div w:id="1543246383">
      <w:bodyDiv w:val="1"/>
      <w:marLeft w:val="0"/>
      <w:marRight w:val="0"/>
      <w:marTop w:val="0"/>
      <w:marBottom w:val="0"/>
      <w:divBdr>
        <w:top w:val="none" w:sz="0" w:space="0" w:color="auto"/>
        <w:left w:val="none" w:sz="0" w:space="0" w:color="auto"/>
        <w:bottom w:val="none" w:sz="0" w:space="0" w:color="auto"/>
        <w:right w:val="none" w:sz="0" w:space="0" w:color="auto"/>
      </w:divBdr>
    </w:div>
    <w:div w:id="1544946932">
      <w:bodyDiv w:val="1"/>
      <w:marLeft w:val="0"/>
      <w:marRight w:val="0"/>
      <w:marTop w:val="0"/>
      <w:marBottom w:val="0"/>
      <w:divBdr>
        <w:top w:val="none" w:sz="0" w:space="0" w:color="auto"/>
        <w:left w:val="none" w:sz="0" w:space="0" w:color="auto"/>
        <w:bottom w:val="none" w:sz="0" w:space="0" w:color="auto"/>
        <w:right w:val="none" w:sz="0" w:space="0" w:color="auto"/>
      </w:divBdr>
    </w:div>
    <w:div w:id="1585148016">
      <w:bodyDiv w:val="1"/>
      <w:marLeft w:val="0"/>
      <w:marRight w:val="0"/>
      <w:marTop w:val="0"/>
      <w:marBottom w:val="0"/>
      <w:divBdr>
        <w:top w:val="none" w:sz="0" w:space="0" w:color="auto"/>
        <w:left w:val="none" w:sz="0" w:space="0" w:color="auto"/>
        <w:bottom w:val="none" w:sz="0" w:space="0" w:color="auto"/>
        <w:right w:val="none" w:sz="0" w:space="0" w:color="auto"/>
      </w:divBdr>
    </w:div>
    <w:div w:id="1590696776">
      <w:bodyDiv w:val="1"/>
      <w:marLeft w:val="0"/>
      <w:marRight w:val="0"/>
      <w:marTop w:val="0"/>
      <w:marBottom w:val="0"/>
      <w:divBdr>
        <w:top w:val="none" w:sz="0" w:space="0" w:color="auto"/>
        <w:left w:val="none" w:sz="0" w:space="0" w:color="auto"/>
        <w:bottom w:val="none" w:sz="0" w:space="0" w:color="auto"/>
        <w:right w:val="none" w:sz="0" w:space="0" w:color="auto"/>
      </w:divBdr>
      <w:divsChild>
        <w:div w:id="654140250">
          <w:marLeft w:val="547"/>
          <w:marRight w:val="0"/>
          <w:marTop w:val="0"/>
          <w:marBottom w:val="0"/>
          <w:divBdr>
            <w:top w:val="none" w:sz="0" w:space="0" w:color="auto"/>
            <w:left w:val="none" w:sz="0" w:space="0" w:color="auto"/>
            <w:bottom w:val="none" w:sz="0" w:space="0" w:color="auto"/>
            <w:right w:val="none" w:sz="0" w:space="0" w:color="auto"/>
          </w:divBdr>
        </w:div>
        <w:div w:id="244849634">
          <w:marLeft w:val="547"/>
          <w:marRight w:val="0"/>
          <w:marTop w:val="0"/>
          <w:marBottom w:val="0"/>
          <w:divBdr>
            <w:top w:val="none" w:sz="0" w:space="0" w:color="auto"/>
            <w:left w:val="none" w:sz="0" w:space="0" w:color="auto"/>
            <w:bottom w:val="none" w:sz="0" w:space="0" w:color="auto"/>
            <w:right w:val="none" w:sz="0" w:space="0" w:color="auto"/>
          </w:divBdr>
        </w:div>
        <w:div w:id="556866362">
          <w:marLeft w:val="547"/>
          <w:marRight w:val="0"/>
          <w:marTop w:val="0"/>
          <w:marBottom w:val="0"/>
          <w:divBdr>
            <w:top w:val="none" w:sz="0" w:space="0" w:color="auto"/>
            <w:left w:val="none" w:sz="0" w:space="0" w:color="auto"/>
            <w:bottom w:val="none" w:sz="0" w:space="0" w:color="auto"/>
            <w:right w:val="none" w:sz="0" w:space="0" w:color="auto"/>
          </w:divBdr>
        </w:div>
        <w:div w:id="748581708">
          <w:marLeft w:val="547"/>
          <w:marRight w:val="0"/>
          <w:marTop w:val="0"/>
          <w:marBottom w:val="0"/>
          <w:divBdr>
            <w:top w:val="none" w:sz="0" w:space="0" w:color="auto"/>
            <w:left w:val="none" w:sz="0" w:space="0" w:color="auto"/>
            <w:bottom w:val="none" w:sz="0" w:space="0" w:color="auto"/>
            <w:right w:val="none" w:sz="0" w:space="0" w:color="auto"/>
          </w:divBdr>
        </w:div>
        <w:div w:id="1373458046">
          <w:marLeft w:val="547"/>
          <w:marRight w:val="0"/>
          <w:marTop w:val="0"/>
          <w:marBottom w:val="0"/>
          <w:divBdr>
            <w:top w:val="none" w:sz="0" w:space="0" w:color="auto"/>
            <w:left w:val="none" w:sz="0" w:space="0" w:color="auto"/>
            <w:bottom w:val="none" w:sz="0" w:space="0" w:color="auto"/>
            <w:right w:val="none" w:sz="0" w:space="0" w:color="auto"/>
          </w:divBdr>
        </w:div>
      </w:divsChild>
    </w:div>
    <w:div w:id="1661692268">
      <w:bodyDiv w:val="1"/>
      <w:marLeft w:val="0"/>
      <w:marRight w:val="0"/>
      <w:marTop w:val="0"/>
      <w:marBottom w:val="0"/>
      <w:divBdr>
        <w:top w:val="none" w:sz="0" w:space="0" w:color="auto"/>
        <w:left w:val="none" w:sz="0" w:space="0" w:color="auto"/>
        <w:bottom w:val="none" w:sz="0" w:space="0" w:color="auto"/>
        <w:right w:val="none" w:sz="0" w:space="0" w:color="auto"/>
      </w:divBdr>
    </w:div>
    <w:div w:id="1682513814">
      <w:bodyDiv w:val="1"/>
      <w:marLeft w:val="0"/>
      <w:marRight w:val="0"/>
      <w:marTop w:val="0"/>
      <w:marBottom w:val="0"/>
      <w:divBdr>
        <w:top w:val="none" w:sz="0" w:space="0" w:color="auto"/>
        <w:left w:val="none" w:sz="0" w:space="0" w:color="auto"/>
        <w:bottom w:val="none" w:sz="0" w:space="0" w:color="auto"/>
        <w:right w:val="none" w:sz="0" w:space="0" w:color="auto"/>
      </w:divBdr>
    </w:div>
    <w:div w:id="1728799874">
      <w:bodyDiv w:val="1"/>
      <w:marLeft w:val="0"/>
      <w:marRight w:val="0"/>
      <w:marTop w:val="0"/>
      <w:marBottom w:val="0"/>
      <w:divBdr>
        <w:top w:val="none" w:sz="0" w:space="0" w:color="auto"/>
        <w:left w:val="none" w:sz="0" w:space="0" w:color="auto"/>
        <w:bottom w:val="none" w:sz="0" w:space="0" w:color="auto"/>
        <w:right w:val="none" w:sz="0" w:space="0" w:color="auto"/>
      </w:divBdr>
    </w:div>
    <w:div w:id="1793670464">
      <w:bodyDiv w:val="1"/>
      <w:marLeft w:val="0"/>
      <w:marRight w:val="0"/>
      <w:marTop w:val="0"/>
      <w:marBottom w:val="0"/>
      <w:divBdr>
        <w:top w:val="none" w:sz="0" w:space="0" w:color="auto"/>
        <w:left w:val="none" w:sz="0" w:space="0" w:color="auto"/>
        <w:bottom w:val="none" w:sz="0" w:space="0" w:color="auto"/>
        <w:right w:val="none" w:sz="0" w:space="0" w:color="auto"/>
      </w:divBdr>
      <w:divsChild>
        <w:div w:id="561336522">
          <w:marLeft w:val="0"/>
          <w:marRight w:val="0"/>
          <w:marTop w:val="0"/>
          <w:marBottom w:val="0"/>
          <w:divBdr>
            <w:top w:val="none" w:sz="0" w:space="0" w:color="auto"/>
            <w:left w:val="none" w:sz="0" w:space="0" w:color="auto"/>
            <w:bottom w:val="none" w:sz="0" w:space="0" w:color="auto"/>
            <w:right w:val="none" w:sz="0" w:space="0" w:color="auto"/>
          </w:divBdr>
        </w:div>
      </w:divsChild>
    </w:div>
    <w:div w:id="1822426380">
      <w:bodyDiv w:val="1"/>
      <w:marLeft w:val="0"/>
      <w:marRight w:val="0"/>
      <w:marTop w:val="0"/>
      <w:marBottom w:val="0"/>
      <w:divBdr>
        <w:top w:val="none" w:sz="0" w:space="0" w:color="auto"/>
        <w:left w:val="none" w:sz="0" w:space="0" w:color="auto"/>
        <w:bottom w:val="none" w:sz="0" w:space="0" w:color="auto"/>
        <w:right w:val="none" w:sz="0" w:space="0" w:color="auto"/>
      </w:divBdr>
    </w:div>
    <w:div w:id="1859074897">
      <w:bodyDiv w:val="1"/>
      <w:marLeft w:val="0"/>
      <w:marRight w:val="0"/>
      <w:marTop w:val="0"/>
      <w:marBottom w:val="0"/>
      <w:divBdr>
        <w:top w:val="none" w:sz="0" w:space="0" w:color="auto"/>
        <w:left w:val="none" w:sz="0" w:space="0" w:color="auto"/>
        <w:bottom w:val="none" w:sz="0" w:space="0" w:color="auto"/>
        <w:right w:val="none" w:sz="0" w:space="0" w:color="auto"/>
      </w:divBdr>
    </w:div>
    <w:div w:id="1905869878">
      <w:bodyDiv w:val="1"/>
      <w:marLeft w:val="0"/>
      <w:marRight w:val="0"/>
      <w:marTop w:val="0"/>
      <w:marBottom w:val="0"/>
      <w:divBdr>
        <w:top w:val="none" w:sz="0" w:space="0" w:color="auto"/>
        <w:left w:val="none" w:sz="0" w:space="0" w:color="auto"/>
        <w:bottom w:val="none" w:sz="0" w:space="0" w:color="auto"/>
        <w:right w:val="none" w:sz="0" w:space="0" w:color="auto"/>
      </w:divBdr>
    </w:div>
    <w:div w:id="1928226423">
      <w:bodyDiv w:val="1"/>
      <w:marLeft w:val="0"/>
      <w:marRight w:val="0"/>
      <w:marTop w:val="0"/>
      <w:marBottom w:val="0"/>
      <w:divBdr>
        <w:top w:val="none" w:sz="0" w:space="0" w:color="auto"/>
        <w:left w:val="none" w:sz="0" w:space="0" w:color="auto"/>
        <w:bottom w:val="none" w:sz="0" w:space="0" w:color="auto"/>
        <w:right w:val="none" w:sz="0" w:space="0" w:color="auto"/>
      </w:divBdr>
    </w:div>
    <w:div w:id="1931085773">
      <w:bodyDiv w:val="1"/>
      <w:marLeft w:val="0"/>
      <w:marRight w:val="0"/>
      <w:marTop w:val="0"/>
      <w:marBottom w:val="0"/>
      <w:divBdr>
        <w:top w:val="none" w:sz="0" w:space="0" w:color="auto"/>
        <w:left w:val="none" w:sz="0" w:space="0" w:color="auto"/>
        <w:bottom w:val="none" w:sz="0" w:space="0" w:color="auto"/>
        <w:right w:val="none" w:sz="0" w:space="0" w:color="auto"/>
      </w:divBdr>
    </w:div>
    <w:div w:id="1940720241">
      <w:bodyDiv w:val="1"/>
      <w:marLeft w:val="0"/>
      <w:marRight w:val="0"/>
      <w:marTop w:val="0"/>
      <w:marBottom w:val="0"/>
      <w:divBdr>
        <w:top w:val="none" w:sz="0" w:space="0" w:color="auto"/>
        <w:left w:val="none" w:sz="0" w:space="0" w:color="auto"/>
        <w:bottom w:val="none" w:sz="0" w:space="0" w:color="auto"/>
        <w:right w:val="none" w:sz="0" w:space="0" w:color="auto"/>
      </w:divBdr>
    </w:div>
    <w:div w:id="2066684041">
      <w:bodyDiv w:val="1"/>
      <w:marLeft w:val="0"/>
      <w:marRight w:val="0"/>
      <w:marTop w:val="0"/>
      <w:marBottom w:val="0"/>
      <w:divBdr>
        <w:top w:val="none" w:sz="0" w:space="0" w:color="auto"/>
        <w:left w:val="none" w:sz="0" w:space="0" w:color="auto"/>
        <w:bottom w:val="none" w:sz="0" w:space="0" w:color="auto"/>
        <w:right w:val="none" w:sz="0" w:space="0" w:color="auto"/>
      </w:divBdr>
    </w:div>
    <w:div w:id="2106883461">
      <w:bodyDiv w:val="1"/>
      <w:marLeft w:val="0"/>
      <w:marRight w:val="0"/>
      <w:marTop w:val="0"/>
      <w:marBottom w:val="0"/>
      <w:divBdr>
        <w:top w:val="none" w:sz="0" w:space="0" w:color="auto"/>
        <w:left w:val="none" w:sz="0" w:space="0" w:color="auto"/>
        <w:bottom w:val="none" w:sz="0" w:space="0" w:color="auto"/>
        <w:right w:val="none" w:sz="0" w:space="0" w:color="auto"/>
      </w:divBdr>
    </w:div>
    <w:div w:id="214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hart" Target="charts/chart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sprava.cz/cs/dane/analyzy-a-statistiky/udaje-z-registru-danovych-subjektu/pocet-danovych-subjektu-dle-f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1\NAVRATILOVA\Plocha\KA%2021_34%20Spr&#225;va%20silni&#269;n&#237;%20dan&#283;\11%20-%20Podklad%20pro%20KZ\KZ%20kl&#237;&#269;ov&#225;%20fak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1\NAVRATILOVA\Plocha\Graf%202%20z&#225;znamy%20o%20vozidlech.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List1!$A$7</c:f>
              <c:strCache>
                <c:ptCount val="1"/>
                <c:pt idx="0">
                  <c:v>Nákladovost daně silniční</c:v>
                </c:pt>
              </c:strCache>
            </c:strRef>
          </c:tx>
          <c:spPr>
            <a:ln w="28575" cap="rnd">
              <a:solidFill>
                <a:srgbClr val="BD2A33"/>
              </a:solidFill>
              <a:round/>
            </a:ln>
            <a:effectLst/>
          </c:spPr>
          <c:marker>
            <c:symbol val="none"/>
          </c:marker>
          <c:dLbls>
            <c:dLbl>
              <c:idx val="0"/>
              <c:layout>
                <c:manualLayout>
                  <c:x val="2.7777777777777779E-3"/>
                  <c:y val="6.1919504643962849E-2"/>
                </c:manualLayout>
              </c:layout>
              <c:tx>
                <c:rich>
                  <a:bodyPr/>
                  <a:lstStyle/>
                  <a:p>
                    <a:fld id="{23690790-E3E5-42FB-8632-DCBAAF6A8AAB}" type="VALUE">
                      <a:rPr lang="en-US" baseline="0"/>
                      <a:pPr/>
                      <a:t>[HODNOTA]</a:t>
                    </a:fld>
                    <a:endParaRPr lang="cs-CZ"/>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10A-464B-A41B-7F115FC46343}"/>
                </c:ext>
              </c:extLst>
            </c:dLbl>
            <c:dLbl>
              <c:idx val="1"/>
              <c:layout>
                <c:manualLayout>
                  <c:x val="2.7777777777777779E-3"/>
                  <c:y val="5.7496682883679748E-2"/>
                </c:manualLayout>
              </c:layout>
              <c:tx>
                <c:rich>
                  <a:bodyPr/>
                  <a:lstStyle/>
                  <a:p>
                    <a:fld id="{49060344-D8C3-468E-8A87-6E8DA3845DD9}" type="VALUE">
                      <a:rPr lang="en-US" baseline="0"/>
                      <a:pPr/>
                      <a:t>[HODNOTA]</a:t>
                    </a:fld>
                    <a:endParaRPr lang="cs-CZ"/>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10A-464B-A41B-7F115FC46343}"/>
                </c:ext>
              </c:extLst>
            </c:dLbl>
            <c:dLbl>
              <c:idx val="2"/>
              <c:layout>
                <c:manualLayout>
                  <c:x val="-2.7777777777778798E-3"/>
                  <c:y val="3.5382574082264508E-2"/>
                </c:manualLayout>
              </c:layout>
              <c:tx>
                <c:rich>
                  <a:bodyPr/>
                  <a:lstStyle/>
                  <a:p>
                    <a:r>
                      <a:rPr lang="en-US" baseline="0"/>
                      <a:t> </a:t>
                    </a:r>
                    <a:fld id="{C9381092-EB39-4E3E-9F3B-F340D98DCEF7}" type="VALUE">
                      <a:rPr lang="en-US" baseline="0"/>
                      <a:pPr/>
                      <a:t>[HODNOTA]</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10A-464B-A41B-7F115FC46343}"/>
                </c:ext>
              </c:extLst>
            </c:dLbl>
            <c:spPr>
              <a:solidFill>
                <a:sysClr val="window" lastClr="FFFFFF"/>
              </a:solidFill>
              <a:ln w="3175">
                <a:solidFill>
                  <a:sysClr val="window" lastClr="FFFFFF">
                    <a:lumMod val="8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List1!$B$1:$D$1</c:f>
              <c:numCache>
                <c:formatCode>General</c:formatCode>
                <c:ptCount val="3"/>
                <c:pt idx="0">
                  <c:v>2018</c:v>
                </c:pt>
                <c:pt idx="1">
                  <c:v>2019</c:v>
                </c:pt>
                <c:pt idx="2">
                  <c:v>2020</c:v>
                </c:pt>
              </c:numCache>
            </c:numRef>
          </c:cat>
          <c:val>
            <c:numRef>
              <c:f>List1!$B$7:$D$7</c:f>
              <c:numCache>
                <c:formatCode>#\ ##0.00\ "Kč"</c:formatCode>
                <c:ptCount val="3"/>
                <c:pt idx="0">
                  <c:v>6.28</c:v>
                </c:pt>
                <c:pt idx="1">
                  <c:v>6.37</c:v>
                </c:pt>
                <c:pt idx="2">
                  <c:v>7.71</c:v>
                </c:pt>
              </c:numCache>
            </c:numRef>
          </c:val>
          <c:smooth val="0"/>
          <c:extLst>
            <c:ext xmlns:c16="http://schemas.microsoft.com/office/drawing/2014/chart" uri="{C3380CC4-5D6E-409C-BE32-E72D297353CC}">
              <c16:uniqueId val="{00000003-710A-464B-A41B-7F115FC46343}"/>
            </c:ext>
          </c:extLst>
        </c:ser>
        <c:ser>
          <c:idx val="1"/>
          <c:order val="1"/>
          <c:tx>
            <c:strRef>
              <c:f>List1!$A$8</c:f>
              <c:strCache>
                <c:ptCount val="1"/>
                <c:pt idx="0">
                  <c:v>Nákladovost daní vybíraných Finanční správou ČR</c:v>
                </c:pt>
              </c:strCache>
            </c:strRef>
          </c:tx>
          <c:spPr>
            <a:ln w="28575" cap="rnd">
              <a:solidFill>
                <a:srgbClr val="004595"/>
              </a:solidFill>
              <a:round/>
            </a:ln>
            <a:effectLst/>
          </c:spPr>
          <c:marker>
            <c:symbol val="none"/>
          </c:marker>
          <c:dLbls>
            <c:dLbl>
              <c:idx val="0"/>
              <c:layout>
                <c:manualLayout>
                  <c:x val="5.5555555555555558E-3"/>
                  <c:y val="-7.0765148164528974E-2"/>
                </c:manualLayout>
              </c:layout>
              <c:tx>
                <c:rich>
                  <a:bodyPr/>
                  <a:lstStyle/>
                  <a:p>
                    <a:r>
                      <a:rPr lang="en-US" baseline="0"/>
                      <a:t> </a:t>
                    </a:r>
                    <a:fld id="{FCE00E09-5238-43B3-8F46-C41B889BC442}" type="VALUE">
                      <a:rPr lang="en-US" baseline="0"/>
                      <a:pPr/>
                      <a:t>[HODNOTA]</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710A-464B-A41B-7F115FC46343}"/>
                </c:ext>
              </c:extLst>
            </c:dLbl>
            <c:dLbl>
              <c:idx val="1"/>
              <c:layout>
                <c:manualLayout>
                  <c:x val="2.7777777777777779E-3"/>
                  <c:y val="-5.307386112339673E-2"/>
                </c:manualLayout>
              </c:layout>
              <c:tx>
                <c:rich>
                  <a:bodyPr/>
                  <a:lstStyle/>
                  <a:p>
                    <a:fld id="{3521F6E3-8490-427B-BA3C-3CB4B819E295}" type="VALUE">
                      <a:rPr lang="en-US" baseline="0"/>
                      <a:pPr/>
                      <a:t>[HODNOTA]</a:t>
                    </a:fld>
                    <a:endParaRPr lang="cs-CZ"/>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10A-464B-A41B-7F115FC46343}"/>
                </c:ext>
              </c:extLst>
            </c:dLbl>
            <c:dLbl>
              <c:idx val="2"/>
              <c:layout>
                <c:manualLayout>
                  <c:x val="-2.7777777777778798E-3"/>
                  <c:y val="-5.7496682883679789E-2"/>
                </c:manualLayout>
              </c:layout>
              <c:tx>
                <c:rich>
                  <a:bodyPr/>
                  <a:lstStyle/>
                  <a:p>
                    <a:fld id="{FE48E8B3-B0AD-4A98-9E95-704B7F211D26}" type="VALUE">
                      <a:rPr lang="en-US" baseline="0"/>
                      <a:pPr/>
                      <a:t>[HODNOTA]</a:t>
                    </a:fld>
                    <a:endParaRPr lang="cs-CZ"/>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710A-464B-A41B-7F115FC46343}"/>
                </c:ext>
              </c:extLst>
            </c:dLbl>
            <c:spPr>
              <a:solidFill>
                <a:sysClr val="window" lastClr="FFFFFF"/>
              </a:solidFill>
              <a:ln w="3175">
                <a:solidFill>
                  <a:sysClr val="window" lastClr="FFFFFF">
                    <a:lumMod val="8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List1!$B$1:$D$1</c:f>
              <c:numCache>
                <c:formatCode>General</c:formatCode>
                <c:ptCount val="3"/>
                <c:pt idx="0">
                  <c:v>2018</c:v>
                </c:pt>
                <c:pt idx="1">
                  <c:v>2019</c:v>
                </c:pt>
                <c:pt idx="2">
                  <c:v>2020</c:v>
                </c:pt>
              </c:numCache>
            </c:numRef>
          </c:cat>
          <c:val>
            <c:numRef>
              <c:f>List1!$B$8:$D$8</c:f>
              <c:numCache>
                <c:formatCode>#\ ##0.00\ "Kč"</c:formatCode>
                <c:ptCount val="3"/>
                <c:pt idx="0">
                  <c:v>1.42</c:v>
                </c:pt>
                <c:pt idx="1">
                  <c:v>1.39</c:v>
                </c:pt>
                <c:pt idx="2">
                  <c:v>1.59</c:v>
                </c:pt>
              </c:numCache>
            </c:numRef>
          </c:val>
          <c:smooth val="0"/>
          <c:extLst>
            <c:ext xmlns:c16="http://schemas.microsoft.com/office/drawing/2014/chart" uri="{C3380CC4-5D6E-409C-BE32-E72D297353CC}">
              <c16:uniqueId val="{00000007-710A-464B-A41B-7F115FC46343}"/>
            </c:ext>
          </c:extLst>
        </c:ser>
        <c:dLbls>
          <c:showLegendKey val="0"/>
          <c:showVal val="0"/>
          <c:showCatName val="0"/>
          <c:showSerName val="0"/>
          <c:showPercent val="0"/>
          <c:showBubbleSize val="0"/>
        </c:dLbls>
        <c:smooth val="0"/>
        <c:axId val="921769680"/>
        <c:axId val="918675296"/>
      </c:lineChart>
      <c:catAx>
        <c:axId val="921769680"/>
        <c:scaling>
          <c:orientation val="minMax"/>
        </c:scaling>
        <c:delete val="0"/>
        <c:axPos val="b"/>
        <c:numFmt formatCode="General" sourceLinked="1"/>
        <c:majorTickMark val="none"/>
        <c:minorTickMark val="none"/>
        <c:tickLblPos val="nextTo"/>
        <c:spPr>
          <a:noFill/>
          <a:ln w="3175" cap="flat" cmpd="sng" algn="ctr">
            <a:solidFill>
              <a:schemeClr val="bg1">
                <a:lumMod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8675296"/>
        <c:crosses val="autoZero"/>
        <c:auto val="1"/>
        <c:lblAlgn val="ctr"/>
        <c:lblOffset val="100"/>
        <c:noMultiLvlLbl val="0"/>
      </c:catAx>
      <c:valAx>
        <c:axId val="918675296"/>
        <c:scaling>
          <c:orientation val="minMax"/>
          <c:max val="9"/>
          <c:min val="0"/>
        </c:scaling>
        <c:delete val="0"/>
        <c:axPos val="l"/>
        <c:majorGridlines>
          <c:spPr>
            <a:ln w="9525" cap="flat" cmpd="sng" algn="ctr">
              <a:noFill/>
              <a:round/>
            </a:ln>
            <a:effectLst/>
          </c:spPr>
        </c:majorGridlines>
        <c:numFmt formatCode="#\ ##0.00\ &quot;Kč&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21769680"/>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308195630475767E-2"/>
          <c:y val="6.1504053676265026E-2"/>
          <c:w val="0.97116557613396937"/>
          <c:h val="0.63861572858948179"/>
        </c:manualLayout>
      </c:layout>
      <c:lineChart>
        <c:grouping val="standard"/>
        <c:varyColors val="0"/>
        <c:ser>
          <c:idx val="0"/>
          <c:order val="0"/>
          <c:tx>
            <c:strRef>
              <c:f>'Tab č. 2'!$B$23</c:f>
              <c:strCache>
                <c:ptCount val="1"/>
                <c:pt idx="0">
                  <c:v>Výše vyměřené DSL</c:v>
                </c:pt>
              </c:strCache>
            </c:strRef>
          </c:tx>
          <c:spPr>
            <a:ln w="25400" cap="rnd">
              <a:solidFill>
                <a:srgbClr val="004595"/>
              </a:solidFill>
              <a:round/>
            </a:ln>
            <a:effectLst/>
          </c:spPr>
          <c:marker>
            <c:symbol val="none"/>
          </c:marker>
          <c:dLbls>
            <c:dLbl>
              <c:idx val="3"/>
              <c:layout>
                <c:manualLayout>
                  <c:x val="-7.0004374453193449E-2"/>
                  <c:y val="-6.22185768445610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92-4ADE-B18C-32C5B6FF2D06}"/>
                </c:ext>
              </c:extLst>
            </c:dLbl>
            <c:dLbl>
              <c:idx val="4"/>
              <c:layout>
                <c:manualLayout>
                  <c:x val="-5.3337707786526682E-2"/>
                  <c:y val="5.81517935258092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92-4ADE-B18C-32C5B6FF2D0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'Tab č. 2'!$C$22:$G$22</c:f>
              <c:numCache>
                <c:formatCode>General</c:formatCode>
                <c:ptCount val="5"/>
                <c:pt idx="0">
                  <c:v>2016</c:v>
                </c:pt>
                <c:pt idx="1">
                  <c:v>2017</c:v>
                </c:pt>
                <c:pt idx="2">
                  <c:v>2018</c:v>
                </c:pt>
                <c:pt idx="3">
                  <c:v>2019</c:v>
                </c:pt>
                <c:pt idx="4">
                  <c:v>2020</c:v>
                </c:pt>
              </c:numCache>
            </c:numRef>
          </c:cat>
          <c:val>
            <c:numRef>
              <c:f>'Tab č. 2'!$C$23:$G$23</c:f>
              <c:numCache>
                <c:formatCode>#\ ##0.0</c:formatCode>
                <c:ptCount val="5"/>
                <c:pt idx="0">
                  <c:v>5683.4264048200002</c:v>
                </c:pt>
                <c:pt idx="1">
                  <c:v>6070.3654958700008</c:v>
                </c:pt>
                <c:pt idx="2">
                  <c:v>6080.2841115299998</c:v>
                </c:pt>
                <c:pt idx="3">
                  <c:v>6625.7736342200005</c:v>
                </c:pt>
                <c:pt idx="4">
                  <c:v>5375.9603509199997</c:v>
                </c:pt>
              </c:numCache>
            </c:numRef>
          </c:val>
          <c:smooth val="0"/>
          <c:extLst>
            <c:ext xmlns:c16="http://schemas.microsoft.com/office/drawing/2014/chart" uri="{C3380CC4-5D6E-409C-BE32-E72D297353CC}">
              <c16:uniqueId val="{00000002-8A92-4ADE-B18C-32C5B6FF2D06}"/>
            </c:ext>
          </c:extLst>
        </c:ser>
        <c:ser>
          <c:idx val="1"/>
          <c:order val="1"/>
          <c:tx>
            <c:strRef>
              <c:f>'Tab č. 2'!$B$24</c:f>
              <c:strCache>
                <c:ptCount val="1"/>
                <c:pt idx="0">
                  <c:v>Inkaso DSL</c:v>
                </c:pt>
              </c:strCache>
            </c:strRef>
          </c:tx>
          <c:spPr>
            <a:ln w="25400" cap="rnd">
              <a:solidFill>
                <a:srgbClr val="BD2A33"/>
              </a:solidFill>
              <a:round/>
            </a:ln>
            <a:effectLst/>
          </c:spPr>
          <c:marker>
            <c:symbol val="none"/>
          </c:marker>
          <c:dLbls>
            <c:dLbl>
              <c:idx val="3"/>
              <c:layout>
                <c:manualLayout>
                  <c:x val="-7.0004374453193449E-2"/>
                  <c:y val="8.53667249927092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92-4ADE-B18C-32C5B6FF2D06}"/>
                </c:ext>
              </c:extLst>
            </c:dLbl>
            <c:dLbl>
              <c:idx val="4"/>
              <c:layout>
                <c:manualLayout>
                  <c:x val="-5.092142313546423E-2"/>
                  <c:y val="-8.78513262898966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A92-4ADE-B18C-32C5B6FF2D0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'Tab č. 2'!$C$22:$G$22</c:f>
              <c:numCache>
                <c:formatCode>General</c:formatCode>
                <c:ptCount val="5"/>
                <c:pt idx="0">
                  <c:v>2016</c:v>
                </c:pt>
                <c:pt idx="1">
                  <c:v>2017</c:v>
                </c:pt>
                <c:pt idx="2">
                  <c:v>2018</c:v>
                </c:pt>
                <c:pt idx="3">
                  <c:v>2019</c:v>
                </c:pt>
                <c:pt idx="4">
                  <c:v>2020</c:v>
                </c:pt>
              </c:numCache>
            </c:numRef>
          </c:cat>
          <c:val>
            <c:numRef>
              <c:f>'Tab č. 2'!$C$24:$G$24</c:f>
              <c:numCache>
                <c:formatCode>#\ ##0.0</c:formatCode>
                <c:ptCount val="5"/>
                <c:pt idx="0">
                  <c:v>5970.2011120199995</c:v>
                </c:pt>
                <c:pt idx="1">
                  <c:v>6190.7970361999996</c:v>
                </c:pt>
                <c:pt idx="2">
                  <c:v>6276.1867014400004</c:v>
                </c:pt>
                <c:pt idx="3">
                  <c:v>6483.8105156000001</c:v>
                </c:pt>
                <c:pt idx="4">
                  <c:v>5959.0397473900011</c:v>
                </c:pt>
              </c:numCache>
            </c:numRef>
          </c:val>
          <c:smooth val="0"/>
          <c:extLst>
            <c:ext xmlns:c16="http://schemas.microsoft.com/office/drawing/2014/chart" uri="{C3380CC4-5D6E-409C-BE32-E72D297353CC}">
              <c16:uniqueId val="{00000005-8A92-4ADE-B18C-32C5B6FF2D06}"/>
            </c:ext>
          </c:extLst>
        </c:ser>
        <c:dLbls>
          <c:showLegendKey val="0"/>
          <c:showVal val="0"/>
          <c:showCatName val="0"/>
          <c:showSerName val="0"/>
          <c:showPercent val="0"/>
          <c:showBubbleSize val="0"/>
        </c:dLbls>
        <c:smooth val="0"/>
        <c:axId val="1639636960"/>
        <c:axId val="1848883680"/>
      </c:lineChart>
      <c:catAx>
        <c:axId val="163963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1848883680"/>
        <c:crosses val="autoZero"/>
        <c:auto val="1"/>
        <c:lblAlgn val="ctr"/>
        <c:lblOffset val="100"/>
        <c:noMultiLvlLbl val="0"/>
      </c:catAx>
      <c:valAx>
        <c:axId val="1848883680"/>
        <c:scaling>
          <c:orientation val="minMax"/>
          <c:min val="5000"/>
        </c:scaling>
        <c:delete val="0"/>
        <c:axPos val="l"/>
        <c:numFmt formatCode="#\ ##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39636960"/>
        <c:crosses val="autoZero"/>
        <c:crossBetween val="between"/>
      </c:valAx>
      <c:spPr>
        <a:noFill/>
        <a:ln>
          <a:noFill/>
        </a:ln>
        <a:effectLst/>
      </c:spPr>
    </c:plotArea>
    <c:legend>
      <c:legendPos val="b"/>
      <c:layout>
        <c:manualLayout>
          <c:xMode val="edge"/>
          <c:yMode val="edge"/>
          <c:x val="0.28462824812973569"/>
          <c:y val="0.90564652999588369"/>
          <c:w val="0.42187119867197481"/>
          <c:h val="7.75796371833168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4595"/>
            </a:solidFill>
            <a:ln w="19050">
              <a:solidFill>
                <a:schemeClr val="lt1"/>
              </a:solid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List1!$B$3:$H$3</c:f>
              <c:strCache>
                <c:ptCount val="7"/>
                <c:pt idx="0">
                  <c:v>Osobní vozidla</c:v>
                </c:pt>
                <c:pt idx="1">
                  <c:v>Autobusy</c:v>
                </c:pt>
                <c:pt idx="2">
                  <c:v>Přívěsy</c:v>
                </c:pt>
                <c:pt idx="3">
                  <c:v>Návěsy</c:v>
                </c:pt>
                <c:pt idx="4">
                  <c:v>Nákladní + tahače</c:v>
                </c:pt>
                <c:pt idx="5">
                  <c:v>Motocykly</c:v>
                </c:pt>
                <c:pt idx="6">
                  <c:v>Speciální a ostatní</c:v>
                </c:pt>
              </c:strCache>
            </c:strRef>
          </c:cat>
          <c:val>
            <c:numRef>
              <c:f>List1!$B$4:$H$4</c:f>
              <c:numCache>
                <c:formatCode>#,##0</c:formatCode>
                <c:ptCount val="7"/>
                <c:pt idx="0">
                  <c:v>1202344</c:v>
                </c:pt>
                <c:pt idx="1">
                  <c:v>17367</c:v>
                </c:pt>
                <c:pt idx="2">
                  <c:v>169755</c:v>
                </c:pt>
                <c:pt idx="3">
                  <c:v>48663</c:v>
                </c:pt>
                <c:pt idx="4">
                  <c:v>457237</c:v>
                </c:pt>
                <c:pt idx="5">
                  <c:v>66947</c:v>
                </c:pt>
                <c:pt idx="6">
                  <c:v>301813</c:v>
                </c:pt>
              </c:numCache>
            </c:numRef>
          </c:val>
          <c:extLst>
            <c:ext xmlns:c16="http://schemas.microsoft.com/office/drawing/2014/chart" uri="{C3380CC4-5D6E-409C-BE32-E72D297353CC}">
              <c16:uniqueId val="{00000000-1C78-4C31-9B1C-24D1D0897A47}"/>
            </c:ext>
          </c:extLst>
        </c:ser>
        <c:dLbls>
          <c:showLegendKey val="0"/>
          <c:showVal val="0"/>
          <c:showCatName val="0"/>
          <c:showSerName val="0"/>
          <c:showPercent val="0"/>
          <c:showBubbleSize val="0"/>
        </c:dLbls>
        <c:gapWidth val="150"/>
        <c:axId val="2031990927"/>
        <c:axId val="2091397359"/>
      </c:barChart>
      <c:catAx>
        <c:axId val="2031990927"/>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2091397359"/>
        <c:crosses val="autoZero"/>
        <c:auto val="1"/>
        <c:lblAlgn val="ctr"/>
        <c:lblOffset val="100"/>
        <c:noMultiLvlLbl val="0"/>
      </c:catAx>
      <c:valAx>
        <c:axId val="2091397359"/>
        <c:scaling>
          <c:orientation val="minMax"/>
        </c:scaling>
        <c:delete val="1"/>
        <c:axPos val="b"/>
        <c:majorGridlines>
          <c:spPr>
            <a:ln w="9525" cap="flat" cmpd="sng" algn="ctr">
              <a:solidFill>
                <a:schemeClr val="bg1"/>
              </a:solidFill>
              <a:round/>
            </a:ln>
            <a:effectLst/>
          </c:spPr>
        </c:majorGridlines>
        <c:numFmt formatCode="#,##0" sourceLinked="1"/>
        <c:majorTickMark val="out"/>
        <c:minorTickMark val="none"/>
        <c:tickLblPos val="nextTo"/>
        <c:crossAx val="20319909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5C9951-860E-49AD-A7EA-BE2E682A3E52}"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cs-CZ"/>
        </a:p>
      </dgm:t>
    </dgm:pt>
    <dgm:pt modelId="{5A397308-36F4-4625-BF42-FDFAE6E88BF1}">
      <dgm:prSet phldrT="[Text]" custT="1"/>
      <dgm:spPr>
        <a:solidFill>
          <a:srgbClr val="BD2A33"/>
        </a:solidFill>
      </dgm:spPr>
      <dgm:t>
        <a:bodyPr/>
        <a:lstStyle/>
        <a:p>
          <a:r>
            <a:rPr lang="cs-CZ" sz="3600" b="1"/>
            <a:t>-</a:t>
          </a:r>
        </a:p>
      </dgm:t>
    </dgm:pt>
    <dgm:pt modelId="{9FF97191-7A20-4A97-82D4-C73391E2BF8D}" type="parTrans" cxnId="{CCAAE3B9-18AE-4893-98B6-8D6391D91445}">
      <dgm:prSet/>
      <dgm:spPr/>
      <dgm:t>
        <a:bodyPr/>
        <a:lstStyle/>
        <a:p>
          <a:endParaRPr lang="cs-CZ"/>
        </a:p>
      </dgm:t>
    </dgm:pt>
    <dgm:pt modelId="{B3749D9E-34E2-4857-BF18-3B5B39043DAE}" type="sibTrans" cxnId="{CCAAE3B9-18AE-4893-98B6-8D6391D91445}">
      <dgm:prSet/>
      <dgm:spPr/>
      <dgm:t>
        <a:bodyPr/>
        <a:lstStyle/>
        <a:p>
          <a:endParaRPr lang="cs-CZ"/>
        </a:p>
      </dgm:t>
    </dgm:pt>
    <dgm:pt modelId="{5958350E-8AC3-4767-9DB7-5CD3C6CEC47C}">
      <dgm:prSet phldrT="[Text]" custT="1"/>
      <dgm:spPr>
        <a:solidFill>
          <a:srgbClr val="7F7F7F"/>
        </a:solidFill>
        <a:ln>
          <a:noFill/>
        </a:ln>
      </dgm:spPr>
      <dgm:t>
        <a:bodyPr/>
        <a:lstStyle/>
        <a:p>
          <a:pPr algn="l"/>
          <a:r>
            <a:rPr lang="cs-CZ" sz="900" b="1">
              <a:solidFill>
                <a:schemeClr val="bg1"/>
              </a:solidFill>
            </a:rPr>
            <a:t>Nákladovost daně silniční </a:t>
          </a:r>
          <a:br>
            <a:rPr lang="cs-CZ" sz="900" b="1">
              <a:solidFill>
                <a:schemeClr val="bg1"/>
              </a:solidFill>
            </a:rPr>
          </a:br>
          <a:r>
            <a:rPr lang="cs-CZ" sz="900" b="1">
              <a:solidFill>
                <a:schemeClr val="bg1"/>
              </a:solidFill>
            </a:rPr>
            <a:t>je ovlivněna:</a:t>
          </a:r>
        </a:p>
        <a:p>
          <a:pPr algn="l"/>
          <a:r>
            <a:rPr lang="cs-CZ" sz="900">
              <a:solidFill>
                <a:schemeClr val="bg1"/>
              </a:solidFill>
            </a:rPr>
            <a:t>-      výší příjmů z daně</a:t>
          </a:r>
        </a:p>
        <a:p>
          <a:pPr algn="just"/>
          <a:r>
            <a:rPr lang="cs-CZ" sz="900">
              <a:solidFill>
                <a:schemeClr val="bg1"/>
              </a:solidFill>
            </a:rPr>
            <a:t>-  administrativní náročností správy daně silniční – výdaje </a:t>
          </a:r>
          <a:br>
            <a:rPr lang="cs-CZ" sz="900">
              <a:solidFill>
                <a:schemeClr val="bg1"/>
              </a:solidFill>
            </a:rPr>
          </a:br>
          <a:r>
            <a:rPr lang="cs-CZ" sz="900">
              <a:solidFill>
                <a:schemeClr val="bg1"/>
              </a:solidFill>
            </a:rPr>
            <a:t>na správu daně</a:t>
          </a:r>
        </a:p>
      </dgm:t>
    </dgm:pt>
    <dgm:pt modelId="{90C71F7A-15D8-4F12-B360-80A53F31F18A}" type="parTrans" cxnId="{46533D9A-09FA-4941-9278-82B27F82861F}">
      <dgm:prSet/>
      <dgm:spPr/>
      <dgm:t>
        <a:bodyPr/>
        <a:lstStyle/>
        <a:p>
          <a:endParaRPr lang="cs-CZ"/>
        </a:p>
      </dgm:t>
    </dgm:pt>
    <dgm:pt modelId="{7ED1861D-D5FC-46C6-B8D0-B61414516415}" type="sibTrans" cxnId="{46533D9A-09FA-4941-9278-82B27F82861F}">
      <dgm:prSet/>
      <dgm:spPr/>
      <dgm:t>
        <a:bodyPr/>
        <a:lstStyle/>
        <a:p>
          <a:endParaRPr lang="cs-CZ"/>
        </a:p>
      </dgm:t>
    </dgm:pt>
    <dgm:pt modelId="{817C0BB4-728B-41EA-B20C-1699D0A28601}" type="pres">
      <dgm:prSet presAssocID="{9B5C9951-860E-49AD-A7EA-BE2E682A3E52}" presName="list" presStyleCnt="0">
        <dgm:presLayoutVars>
          <dgm:dir/>
          <dgm:animLvl val="lvl"/>
        </dgm:presLayoutVars>
      </dgm:prSet>
      <dgm:spPr/>
    </dgm:pt>
    <dgm:pt modelId="{B7C4D6BE-5D0B-48F9-8001-034E65B5244B}" type="pres">
      <dgm:prSet presAssocID="{5A397308-36F4-4625-BF42-FDFAE6E88BF1}" presName="posSpace" presStyleCnt="0"/>
      <dgm:spPr/>
    </dgm:pt>
    <dgm:pt modelId="{AF2F8653-EFDC-4857-AAD4-EA21AA1A5C77}" type="pres">
      <dgm:prSet presAssocID="{5A397308-36F4-4625-BF42-FDFAE6E88BF1}" presName="vertFlow" presStyleCnt="0"/>
      <dgm:spPr/>
    </dgm:pt>
    <dgm:pt modelId="{3BA98252-8F77-4336-8044-9B940F5695CA}" type="pres">
      <dgm:prSet presAssocID="{5A397308-36F4-4625-BF42-FDFAE6E88BF1}" presName="topSpace" presStyleCnt="0"/>
      <dgm:spPr/>
    </dgm:pt>
    <dgm:pt modelId="{92EE1067-FA96-4763-86DF-613A680ED17A}" type="pres">
      <dgm:prSet presAssocID="{5A397308-36F4-4625-BF42-FDFAE6E88BF1}" presName="firstComp" presStyleCnt="0"/>
      <dgm:spPr/>
    </dgm:pt>
    <dgm:pt modelId="{DA075758-739B-4A86-B623-DFFFFEE7085F}" type="pres">
      <dgm:prSet presAssocID="{5A397308-36F4-4625-BF42-FDFAE6E88BF1}" presName="firstChild" presStyleLbl="bgAccFollowNode1" presStyleIdx="0" presStyleCnt="1" custScaleX="149825" custScaleY="283949" custLinFactNeighborX="14405" custLinFactNeighborY="58"/>
      <dgm:spPr/>
    </dgm:pt>
    <dgm:pt modelId="{BA138FF5-5D9B-4701-AF07-192E0D8C8855}" type="pres">
      <dgm:prSet presAssocID="{5A397308-36F4-4625-BF42-FDFAE6E88BF1}" presName="firstChildTx" presStyleLbl="bgAccFollowNode1" presStyleIdx="0" presStyleCnt="1">
        <dgm:presLayoutVars>
          <dgm:bulletEnabled val="1"/>
        </dgm:presLayoutVars>
      </dgm:prSet>
      <dgm:spPr/>
    </dgm:pt>
    <dgm:pt modelId="{B9E4CDE5-593B-4F41-90E4-DC092F367C56}" type="pres">
      <dgm:prSet presAssocID="{5A397308-36F4-4625-BF42-FDFAE6E88BF1}" presName="negSpace" presStyleCnt="0"/>
      <dgm:spPr/>
    </dgm:pt>
    <dgm:pt modelId="{BDEFF7EB-16FB-4935-A781-48666D317EF0}" type="pres">
      <dgm:prSet presAssocID="{5A397308-36F4-4625-BF42-FDFAE6E88BF1}" presName="circle" presStyleLbl="node1" presStyleIdx="0" presStyleCnt="1" custScaleX="55915" custScaleY="56355" custLinFactNeighborX="-51074" custLinFactNeighborY="34792"/>
      <dgm:spPr/>
    </dgm:pt>
  </dgm:ptLst>
  <dgm:cxnLst>
    <dgm:cxn modelId="{649BFC12-1CE2-45F6-852E-2141F1A817C8}" type="presOf" srcId="{5958350E-8AC3-4767-9DB7-5CD3C6CEC47C}" destId="{BA138FF5-5D9B-4701-AF07-192E0D8C8855}" srcOrd="1" destOrd="0" presId="urn:microsoft.com/office/officeart/2005/8/layout/hList9"/>
    <dgm:cxn modelId="{8281F086-FFBF-4412-860F-9A25405E5ECC}" type="presOf" srcId="{5A397308-36F4-4625-BF42-FDFAE6E88BF1}" destId="{BDEFF7EB-16FB-4935-A781-48666D317EF0}" srcOrd="0" destOrd="0" presId="urn:microsoft.com/office/officeart/2005/8/layout/hList9"/>
    <dgm:cxn modelId="{46533D9A-09FA-4941-9278-82B27F82861F}" srcId="{5A397308-36F4-4625-BF42-FDFAE6E88BF1}" destId="{5958350E-8AC3-4767-9DB7-5CD3C6CEC47C}" srcOrd="0" destOrd="0" parTransId="{90C71F7A-15D8-4F12-B360-80A53F31F18A}" sibTransId="{7ED1861D-D5FC-46C6-B8D0-B61414516415}"/>
    <dgm:cxn modelId="{A9888DB4-787C-4B44-B88D-1014E6FFBB86}" type="presOf" srcId="{9B5C9951-860E-49AD-A7EA-BE2E682A3E52}" destId="{817C0BB4-728B-41EA-B20C-1699D0A28601}" srcOrd="0" destOrd="0" presId="urn:microsoft.com/office/officeart/2005/8/layout/hList9"/>
    <dgm:cxn modelId="{CCAAE3B9-18AE-4893-98B6-8D6391D91445}" srcId="{9B5C9951-860E-49AD-A7EA-BE2E682A3E52}" destId="{5A397308-36F4-4625-BF42-FDFAE6E88BF1}" srcOrd="0" destOrd="0" parTransId="{9FF97191-7A20-4A97-82D4-C73391E2BF8D}" sibTransId="{B3749D9E-34E2-4857-BF18-3B5B39043DAE}"/>
    <dgm:cxn modelId="{542752F5-0260-4721-AB78-DB876EDC75CA}" type="presOf" srcId="{5958350E-8AC3-4767-9DB7-5CD3C6CEC47C}" destId="{DA075758-739B-4A86-B623-DFFFFEE7085F}" srcOrd="0" destOrd="0" presId="urn:microsoft.com/office/officeart/2005/8/layout/hList9"/>
    <dgm:cxn modelId="{D3302923-F2EB-4590-9BC3-08CC6464719F}" type="presParOf" srcId="{817C0BB4-728B-41EA-B20C-1699D0A28601}" destId="{B7C4D6BE-5D0B-48F9-8001-034E65B5244B}" srcOrd="0" destOrd="0" presId="urn:microsoft.com/office/officeart/2005/8/layout/hList9"/>
    <dgm:cxn modelId="{EA569394-6B79-4DFA-885F-C599F5A88229}" type="presParOf" srcId="{817C0BB4-728B-41EA-B20C-1699D0A28601}" destId="{AF2F8653-EFDC-4857-AAD4-EA21AA1A5C77}" srcOrd="1" destOrd="0" presId="urn:microsoft.com/office/officeart/2005/8/layout/hList9"/>
    <dgm:cxn modelId="{2204FA49-9F55-4996-BBBB-A8745F31714C}" type="presParOf" srcId="{AF2F8653-EFDC-4857-AAD4-EA21AA1A5C77}" destId="{3BA98252-8F77-4336-8044-9B940F5695CA}" srcOrd="0" destOrd="0" presId="urn:microsoft.com/office/officeart/2005/8/layout/hList9"/>
    <dgm:cxn modelId="{A0F8C225-8237-4BAD-A760-C4886E4F1B3E}" type="presParOf" srcId="{AF2F8653-EFDC-4857-AAD4-EA21AA1A5C77}" destId="{92EE1067-FA96-4763-86DF-613A680ED17A}" srcOrd="1" destOrd="0" presId="urn:microsoft.com/office/officeart/2005/8/layout/hList9"/>
    <dgm:cxn modelId="{0B2FC940-DE08-42B4-9B0E-E10924D21C26}" type="presParOf" srcId="{92EE1067-FA96-4763-86DF-613A680ED17A}" destId="{DA075758-739B-4A86-B623-DFFFFEE7085F}" srcOrd="0" destOrd="0" presId="urn:microsoft.com/office/officeart/2005/8/layout/hList9"/>
    <dgm:cxn modelId="{E34572F3-183A-4333-934E-CF25AC2D5634}" type="presParOf" srcId="{92EE1067-FA96-4763-86DF-613A680ED17A}" destId="{BA138FF5-5D9B-4701-AF07-192E0D8C8855}" srcOrd="1" destOrd="0" presId="urn:microsoft.com/office/officeart/2005/8/layout/hList9"/>
    <dgm:cxn modelId="{8B4B77DF-C964-4B87-8CE4-443A957FD862}" type="presParOf" srcId="{817C0BB4-728B-41EA-B20C-1699D0A28601}" destId="{B9E4CDE5-593B-4F41-90E4-DC092F367C56}" srcOrd="2" destOrd="0" presId="urn:microsoft.com/office/officeart/2005/8/layout/hList9"/>
    <dgm:cxn modelId="{1863E2FB-2FD3-45F8-8288-8306ECDADC5C}" type="presParOf" srcId="{817C0BB4-728B-41EA-B20C-1699D0A28601}" destId="{BDEFF7EB-16FB-4935-A781-48666D317EF0}" srcOrd="3" destOrd="0" presId="urn:microsoft.com/office/officeart/2005/8/layout/hList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075758-739B-4A86-B623-DFFFFEE7085F}">
      <dsp:nvSpPr>
        <dsp:cNvPr id="0" name=""/>
        <dsp:cNvSpPr/>
      </dsp:nvSpPr>
      <dsp:spPr>
        <a:xfrm>
          <a:off x="398530" y="215998"/>
          <a:ext cx="1813015" cy="1529674"/>
        </a:xfrm>
        <a:prstGeom prst="rect">
          <a:avLst/>
        </a:prstGeom>
        <a:solidFill>
          <a:srgbClr val="7F7F7F"/>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64008" rIns="64008" bIns="64008" numCol="1" spcCol="1270" anchor="ctr" anchorCtr="0">
          <a:noAutofit/>
        </a:bodyPr>
        <a:lstStyle/>
        <a:p>
          <a:pPr marL="0" lvl="0" indent="0" algn="l" defTabSz="400050">
            <a:lnSpc>
              <a:spcPct val="90000"/>
            </a:lnSpc>
            <a:spcBef>
              <a:spcPct val="0"/>
            </a:spcBef>
            <a:spcAft>
              <a:spcPct val="35000"/>
            </a:spcAft>
            <a:buNone/>
          </a:pPr>
          <a:r>
            <a:rPr lang="cs-CZ" sz="900" b="1" kern="1200">
              <a:solidFill>
                <a:schemeClr val="bg1"/>
              </a:solidFill>
            </a:rPr>
            <a:t>Nákladovost daně silniční </a:t>
          </a:r>
          <a:br>
            <a:rPr lang="cs-CZ" sz="900" b="1" kern="1200">
              <a:solidFill>
                <a:schemeClr val="bg1"/>
              </a:solidFill>
            </a:rPr>
          </a:br>
          <a:r>
            <a:rPr lang="cs-CZ" sz="900" b="1" kern="1200">
              <a:solidFill>
                <a:schemeClr val="bg1"/>
              </a:solidFill>
            </a:rPr>
            <a:t>je ovlivněna:</a:t>
          </a:r>
        </a:p>
        <a:p>
          <a:pPr marL="0" lvl="0" indent="0" algn="l" defTabSz="400050">
            <a:lnSpc>
              <a:spcPct val="90000"/>
            </a:lnSpc>
            <a:spcBef>
              <a:spcPct val="0"/>
            </a:spcBef>
            <a:spcAft>
              <a:spcPct val="35000"/>
            </a:spcAft>
            <a:buNone/>
          </a:pPr>
          <a:r>
            <a:rPr lang="cs-CZ" sz="900" kern="1200">
              <a:solidFill>
                <a:schemeClr val="bg1"/>
              </a:solidFill>
            </a:rPr>
            <a:t>-      výší příjmů z daně</a:t>
          </a:r>
        </a:p>
        <a:p>
          <a:pPr marL="0" lvl="0" indent="0" algn="just" defTabSz="400050">
            <a:lnSpc>
              <a:spcPct val="90000"/>
            </a:lnSpc>
            <a:spcBef>
              <a:spcPct val="0"/>
            </a:spcBef>
            <a:spcAft>
              <a:spcPct val="35000"/>
            </a:spcAft>
            <a:buNone/>
          </a:pPr>
          <a:r>
            <a:rPr lang="cs-CZ" sz="900" kern="1200">
              <a:solidFill>
                <a:schemeClr val="bg1"/>
              </a:solidFill>
            </a:rPr>
            <a:t>-  administrativní náročností správy daně silniční – výdaje </a:t>
          </a:r>
          <a:br>
            <a:rPr lang="cs-CZ" sz="900" kern="1200">
              <a:solidFill>
                <a:schemeClr val="bg1"/>
              </a:solidFill>
            </a:rPr>
          </a:br>
          <a:r>
            <a:rPr lang="cs-CZ" sz="900" kern="1200">
              <a:solidFill>
                <a:schemeClr val="bg1"/>
              </a:solidFill>
            </a:rPr>
            <a:t>na správu daně</a:t>
          </a:r>
        </a:p>
      </dsp:txBody>
      <dsp:txXfrm>
        <a:off x="688613" y="215998"/>
        <a:ext cx="1522932" cy="1529674"/>
      </dsp:txXfrm>
    </dsp:sp>
    <dsp:sp modelId="{BDEFF7EB-16FB-4935-A781-48666D317EF0}">
      <dsp:nvSpPr>
        <dsp:cNvPr id="0" name=""/>
        <dsp:cNvSpPr/>
      </dsp:nvSpPr>
      <dsp:spPr>
        <a:xfrm>
          <a:off x="340608" y="187646"/>
          <a:ext cx="301071" cy="303440"/>
        </a:xfrm>
        <a:prstGeom prst="ellipse">
          <a:avLst/>
        </a:prstGeom>
        <a:solidFill>
          <a:srgbClr val="BD2A3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r>
            <a:rPr lang="cs-CZ" sz="3600" b="1" kern="1200"/>
            <a:t>-</a:t>
          </a:r>
        </a:p>
      </dsp:txBody>
      <dsp:txXfrm>
        <a:off x="384699" y="232084"/>
        <a:ext cx="212889" cy="214564"/>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1DA9B-B71F-4862-9805-8C32F94BA30A}">
  <ds:schemaRefs>
    <ds:schemaRef ds:uri="http://schemas.microsoft.com/sharepoint/v3/contenttype/forms"/>
  </ds:schemaRefs>
</ds:datastoreItem>
</file>

<file path=customXml/itemProps2.xml><?xml version="1.0" encoding="utf-8"?>
<ds:datastoreItem xmlns:ds="http://schemas.openxmlformats.org/officeDocument/2006/customXml" ds:itemID="{7C78A326-BAAD-4369-AB99-6F10C77DE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87246-5CCF-422A-B35A-97271751EDB4}">
  <ds:schemaRefs>
    <ds:schemaRef ds:uri="http://schemas.microsoft.com/sharepoint/v3"/>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C8D574C-6ECD-426A-B726-7F16548E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5471</Words>
  <Characters>32283</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Kontrolní závěr z kontrolní akce NKÚ č. 21/34 - Peněžní prostředky státu z daně silniční a správa této daně</vt:lpstr>
    </vt:vector>
  </TitlesOfParts>
  <Company>NKU</Company>
  <LinksUpToDate>false</LinksUpToDate>
  <CharactersWithSpaces>37679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21/34 - Peněžní prostředky státu z daně silniční a správa této daně</dc:title>
  <dc:subject>Kontrolní závěr z kontrolní akce NKÚ č. 21/34 - Peněžní prostředky státu z daně silniční a správa této daně</dc:subject>
  <dc:creator>Nejvyšší kontrolní úřad</dc:creator>
  <cp:keywords>kontrolní závěr; silniční daň; daně; silnice</cp:keywords>
  <dc:description/>
  <cp:lastModifiedBy>KOKRDA Daniel</cp:lastModifiedBy>
  <cp:revision>4</cp:revision>
  <cp:lastPrinted>2022-02-15T07:07:00Z</cp:lastPrinted>
  <dcterms:created xsi:type="dcterms:W3CDTF">2022-02-15T07:01:00Z</dcterms:created>
  <dcterms:modified xsi:type="dcterms:W3CDTF">2022-02-15T07:08:00Z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