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78D15" w14:textId="77777777" w:rsidR="00291417" w:rsidRPr="00291417" w:rsidRDefault="00291417" w:rsidP="00291417">
      <w:pPr>
        <w:spacing w:after="0"/>
        <w:jc w:val="center"/>
      </w:pPr>
      <w:r w:rsidRPr="00291417">
        <w:rPr>
          <w:noProof/>
          <w:lang w:eastAsia="cs-CZ"/>
        </w:rPr>
        <w:drawing>
          <wp:anchor distT="0" distB="0" distL="114300" distR="114300" simplePos="0" relativeHeight="251673600" behindDoc="0" locked="0" layoutInCell="1" allowOverlap="1" wp14:anchorId="14BBD27E" wp14:editId="0486EA1E">
            <wp:simplePos x="0" y="0"/>
            <wp:positionH relativeFrom="margin">
              <wp:align>center</wp:align>
            </wp:positionH>
            <wp:positionV relativeFrom="paragraph">
              <wp:posOffset>31750</wp:posOffset>
            </wp:positionV>
            <wp:extent cx="792480" cy="559435"/>
            <wp:effectExtent l="0" t="0" r="762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3104"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92480" cy="559435"/>
                    </a:xfrm>
                    <a:prstGeom prst="rect">
                      <a:avLst/>
                    </a:prstGeom>
                    <a:noFill/>
                  </pic:spPr>
                </pic:pic>
              </a:graphicData>
            </a:graphic>
            <wp14:sizeRelV relativeFrom="margin">
              <wp14:pctHeight>0</wp14:pctHeight>
            </wp14:sizeRelV>
          </wp:anchor>
        </w:drawing>
      </w:r>
    </w:p>
    <w:p w14:paraId="29DC13D4" w14:textId="77777777" w:rsidR="00291417" w:rsidRPr="00291417" w:rsidRDefault="00291417" w:rsidP="00291417">
      <w:pPr>
        <w:spacing w:after="0"/>
        <w:jc w:val="center"/>
      </w:pPr>
    </w:p>
    <w:p w14:paraId="7AF18481" w14:textId="77777777" w:rsidR="00291417" w:rsidRPr="00291417" w:rsidRDefault="00291417" w:rsidP="00291417">
      <w:pPr>
        <w:spacing w:after="0"/>
        <w:jc w:val="center"/>
      </w:pPr>
    </w:p>
    <w:p w14:paraId="1E753690" w14:textId="77777777" w:rsidR="00291417" w:rsidRPr="00291417" w:rsidRDefault="00291417" w:rsidP="00291417">
      <w:pPr>
        <w:spacing w:after="0"/>
        <w:jc w:val="center"/>
        <w:rPr>
          <w:rFonts w:asciiTheme="minorHAnsi" w:eastAsiaTheme="minorHAnsi" w:hAnsiTheme="minorHAnsi" w:cstheme="minorHAnsi"/>
          <w:b/>
          <w:sz w:val="28"/>
          <w:szCs w:val="28"/>
        </w:rPr>
      </w:pPr>
      <w:bookmarkStart w:id="0" w:name="_GoBack"/>
      <w:r w:rsidRPr="00291417">
        <w:rPr>
          <w:rFonts w:asciiTheme="minorHAnsi" w:eastAsiaTheme="minorHAnsi" w:hAnsiTheme="minorHAnsi" w:cstheme="minorHAnsi"/>
          <w:b/>
          <w:sz w:val="28"/>
          <w:szCs w:val="28"/>
        </w:rPr>
        <w:t>Kontrolní závěr z kontrolní akce</w:t>
      </w:r>
    </w:p>
    <w:p w14:paraId="11BAE2CB" w14:textId="77777777" w:rsidR="00031FF6" w:rsidRDefault="00031FF6" w:rsidP="00031FF6">
      <w:pPr>
        <w:spacing w:after="0"/>
        <w:jc w:val="center"/>
      </w:pPr>
    </w:p>
    <w:p w14:paraId="499B4D3A" w14:textId="77777777" w:rsidR="00EC3A0D" w:rsidRPr="00EC3A0D" w:rsidRDefault="0000654C" w:rsidP="00031FF6">
      <w:pPr>
        <w:spacing w:after="0"/>
        <w:jc w:val="center"/>
        <w:rPr>
          <w:rFonts w:asciiTheme="minorHAnsi" w:eastAsiaTheme="minorHAnsi" w:hAnsiTheme="minorHAnsi" w:cstheme="minorHAnsi"/>
          <w:b/>
          <w:sz w:val="28"/>
          <w:szCs w:val="28"/>
        </w:rPr>
      </w:pPr>
      <w:r>
        <w:rPr>
          <w:rFonts w:asciiTheme="minorHAnsi" w:eastAsiaTheme="minorHAnsi" w:hAnsiTheme="minorHAnsi" w:cstheme="minorHAnsi"/>
          <w:b/>
          <w:sz w:val="28"/>
          <w:szCs w:val="28"/>
        </w:rPr>
        <w:t>20</w:t>
      </w:r>
      <w:r w:rsidR="00A640AE" w:rsidRPr="00EC3A0D">
        <w:rPr>
          <w:rFonts w:asciiTheme="minorHAnsi" w:eastAsiaTheme="minorHAnsi" w:hAnsiTheme="minorHAnsi" w:cstheme="minorHAnsi"/>
          <w:b/>
          <w:sz w:val="28"/>
          <w:szCs w:val="28"/>
        </w:rPr>
        <w:t>/</w:t>
      </w:r>
      <w:r>
        <w:rPr>
          <w:rFonts w:asciiTheme="minorHAnsi" w:eastAsiaTheme="minorHAnsi" w:hAnsiTheme="minorHAnsi" w:cstheme="minorHAnsi"/>
          <w:b/>
          <w:sz w:val="28"/>
          <w:szCs w:val="28"/>
        </w:rPr>
        <w:t>34</w:t>
      </w:r>
    </w:p>
    <w:p w14:paraId="65EE8ED9" w14:textId="77777777" w:rsidR="00031FF6" w:rsidRDefault="00031FF6" w:rsidP="00031FF6">
      <w:pPr>
        <w:spacing w:after="0"/>
        <w:jc w:val="center"/>
      </w:pPr>
    </w:p>
    <w:p w14:paraId="0BEB0070" w14:textId="2C85C4A2" w:rsidR="00937A73" w:rsidRPr="00937A73" w:rsidRDefault="0000654C" w:rsidP="00DB6C92">
      <w:pPr>
        <w:spacing w:after="0"/>
        <w:jc w:val="center"/>
        <w:rPr>
          <w:rFonts w:asciiTheme="minorHAnsi" w:eastAsiaTheme="minorHAnsi" w:hAnsiTheme="minorHAnsi" w:cstheme="minorHAnsi"/>
          <w:b/>
          <w:sz w:val="28"/>
          <w:szCs w:val="28"/>
        </w:rPr>
      </w:pPr>
      <w:r w:rsidRPr="0000654C">
        <w:rPr>
          <w:rFonts w:asciiTheme="minorHAnsi" w:eastAsiaTheme="minorHAnsi" w:hAnsiTheme="minorHAnsi" w:cstheme="minorHAnsi"/>
          <w:b/>
          <w:sz w:val="28"/>
          <w:szCs w:val="28"/>
        </w:rPr>
        <w:t>Závěrečný účet kapitoly státního rozpočtu Ministerstvo průmyslu a obchodu za rok 2020, účetní závěrka Ministerstva průmyslu a obchodu za rok 2020 a</w:t>
      </w:r>
      <w:r w:rsidR="007F5510">
        <w:rPr>
          <w:rFonts w:asciiTheme="minorHAnsi" w:eastAsiaTheme="minorHAnsi" w:hAnsiTheme="minorHAnsi" w:cstheme="minorHAnsi"/>
          <w:b/>
          <w:sz w:val="28"/>
          <w:szCs w:val="28"/>
        </w:rPr>
        <w:t> </w:t>
      </w:r>
      <w:r w:rsidRPr="0000654C">
        <w:rPr>
          <w:rFonts w:asciiTheme="minorHAnsi" w:eastAsiaTheme="minorHAnsi" w:hAnsiTheme="minorHAnsi" w:cstheme="minorHAnsi"/>
          <w:b/>
          <w:sz w:val="28"/>
          <w:szCs w:val="28"/>
        </w:rPr>
        <w:t>údaje předkládané Ministerstvem průmyslu a obchodu pro hodnocení plnění státního rozpočtu za rok 2020</w:t>
      </w:r>
    </w:p>
    <w:bookmarkEnd w:id="0"/>
    <w:p w14:paraId="517C87DA" w14:textId="77777777" w:rsidR="00937A73" w:rsidRDefault="00937A73" w:rsidP="00031FF6">
      <w:pPr>
        <w:spacing w:after="0"/>
        <w:jc w:val="both"/>
      </w:pPr>
    </w:p>
    <w:p w14:paraId="317494C2" w14:textId="77777777" w:rsidR="00E86085" w:rsidRDefault="00E86085" w:rsidP="00031FF6">
      <w:pPr>
        <w:spacing w:after="0"/>
        <w:jc w:val="both"/>
      </w:pPr>
    </w:p>
    <w:p w14:paraId="607B92CB" w14:textId="77777777" w:rsidR="00EC3A0D" w:rsidRPr="0000654C" w:rsidRDefault="00DB6C92" w:rsidP="00031FF6">
      <w:pPr>
        <w:spacing w:after="0"/>
        <w:jc w:val="both"/>
        <w:rPr>
          <w:rFonts w:asciiTheme="minorHAnsi" w:eastAsiaTheme="minorHAnsi" w:hAnsiTheme="minorHAnsi" w:cstheme="minorHAnsi"/>
        </w:rPr>
      </w:pPr>
      <w:r w:rsidRPr="0000654C">
        <w:rPr>
          <w:rFonts w:asciiTheme="minorHAnsi" w:eastAsiaTheme="minorHAnsi" w:hAnsiTheme="minorHAnsi" w:cstheme="minorHAnsi"/>
        </w:rPr>
        <w:t>Kontrolní akce</w:t>
      </w:r>
      <w:r w:rsidR="000377B3">
        <w:rPr>
          <w:rFonts w:asciiTheme="minorHAnsi" w:eastAsiaTheme="minorHAnsi" w:hAnsiTheme="minorHAnsi" w:cstheme="minorHAnsi"/>
        </w:rPr>
        <w:t xml:space="preserve"> (</w:t>
      </w:r>
      <w:r w:rsidR="000377B3" w:rsidRPr="00415645">
        <w:rPr>
          <w:rFonts w:asciiTheme="minorHAnsi" w:eastAsiaTheme="minorHAnsi" w:hAnsiTheme="minorHAnsi" w:cstheme="minorHAnsi"/>
        </w:rPr>
        <w:t>dále také „KA“</w:t>
      </w:r>
      <w:r w:rsidR="000377B3" w:rsidRPr="00E25364">
        <w:rPr>
          <w:rFonts w:asciiTheme="minorHAnsi" w:eastAsiaTheme="minorHAnsi" w:hAnsiTheme="minorHAnsi" w:cstheme="minorHAnsi"/>
        </w:rPr>
        <w:t>)</w:t>
      </w:r>
      <w:r w:rsidRPr="0000654C">
        <w:rPr>
          <w:rFonts w:asciiTheme="minorHAnsi" w:eastAsiaTheme="minorHAnsi" w:hAnsiTheme="minorHAnsi" w:cstheme="minorHAnsi"/>
        </w:rPr>
        <w:t xml:space="preserve"> byla zařazena do plánu kontrolní činnosti Nejvyššího kontrolního úřadu (</w:t>
      </w:r>
      <w:r w:rsidRPr="00415645">
        <w:rPr>
          <w:rFonts w:asciiTheme="minorHAnsi" w:eastAsiaTheme="minorHAnsi" w:hAnsiTheme="minorHAnsi" w:cstheme="minorHAnsi"/>
        </w:rPr>
        <w:t>dále jen „NKÚ“</w:t>
      </w:r>
      <w:r w:rsidRPr="00E25364">
        <w:rPr>
          <w:rFonts w:asciiTheme="minorHAnsi" w:eastAsiaTheme="minorHAnsi" w:hAnsiTheme="minorHAnsi" w:cstheme="minorHAnsi"/>
        </w:rPr>
        <w:t>)</w:t>
      </w:r>
      <w:r w:rsidRPr="0000654C">
        <w:rPr>
          <w:rFonts w:asciiTheme="minorHAnsi" w:eastAsiaTheme="minorHAnsi" w:hAnsiTheme="minorHAnsi" w:cstheme="minorHAnsi"/>
        </w:rPr>
        <w:t xml:space="preserve"> na rok </w:t>
      </w:r>
      <w:r w:rsidR="0000654C" w:rsidRPr="0000654C">
        <w:rPr>
          <w:rFonts w:asciiTheme="minorHAnsi" w:eastAsiaTheme="minorHAnsi" w:hAnsiTheme="minorHAnsi" w:cstheme="minorHAnsi"/>
        </w:rPr>
        <w:t>2020 pod číslem 20/34</w:t>
      </w:r>
      <w:r w:rsidR="00E775AA">
        <w:rPr>
          <w:rFonts w:asciiTheme="minorHAnsi" w:eastAsiaTheme="minorHAnsi" w:hAnsiTheme="minorHAnsi" w:cstheme="minorHAnsi"/>
        </w:rPr>
        <w:t>. Kontrolní akci řídila a </w:t>
      </w:r>
      <w:r w:rsidRPr="0000654C">
        <w:rPr>
          <w:rFonts w:asciiTheme="minorHAnsi" w:eastAsiaTheme="minorHAnsi" w:hAnsiTheme="minorHAnsi" w:cstheme="minorHAnsi"/>
        </w:rPr>
        <w:t xml:space="preserve">kontrolní závěr vypracovala členka NKÚ Ing. Jaromíra </w:t>
      </w:r>
      <w:proofErr w:type="spellStart"/>
      <w:r w:rsidRPr="0000654C">
        <w:rPr>
          <w:rFonts w:asciiTheme="minorHAnsi" w:eastAsiaTheme="minorHAnsi" w:hAnsiTheme="minorHAnsi" w:cstheme="minorHAnsi"/>
        </w:rPr>
        <w:t>Steidlová</w:t>
      </w:r>
      <w:proofErr w:type="spellEnd"/>
      <w:r w:rsidRPr="0000654C">
        <w:rPr>
          <w:rFonts w:asciiTheme="minorHAnsi" w:eastAsiaTheme="minorHAnsi" w:hAnsiTheme="minorHAnsi" w:cstheme="minorHAnsi"/>
        </w:rPr>
        <w:t>.</w:t>
      </w:r>
    </w:p>
    <w:p w14:paraId="7FBB580C" w14:textId="77777777" w:rsidR="00031FF6" w:rsidRPr="0000654C" w:rsidRDefault="00031FF6" w:rsidP="00031FF6">
      <w:pPr>
        <w:spacing w:after="0"/>
        <w:jc w:val="both"/>
        <w:rPr>
          <w:rFonts w:asciiTheme="minorHAnsi" w:eastAsiaTheme="minorHAnsi" w:hAnsiTheme="minorHAnsi" w:cstheme="minorHAnsi"/>
          <w:highlight w:val="yellow"/>
        </w:rPr>
      </w:pPr>
    </w:p>
    <w:p w14:paraId="512DD08D" w14:textId="77777777" w:rsidR="00CC0706" w:rsidRPr="0000654C" w:rsidRDefault="00DB6C92" w:rsidP="00CC0706">
      <w:pPr>
        <w:spacing w:after="0"/>
        <w:jc w:val="both"/>
        <w:rPr>
          <w:rFonts w:asciiTheme="minorHAnsi" w:eastAsiaTheme="minorHAnsi" w:hAnsiTheme="minorHAnsi" w:cstheme="minorHAnsi"/>
          <w:bCs/>
          <w:highlight w:val="yellow"/>
        </w:rPr>
      </w:pPr>
      <w:r w:rsidRPr="0000654C">
        <w:rPr>
          <w:rFonts w:asciiTheme="minorHAnsi" w:eastAsiaTheme="minorHAnsi" w:hAnsiTheme="minorHAnsi" w:cstheme="minorHAnsi"/>
        </w:rPr>
        <w:t xml:space="preserve">Cílem kontroly bylo prověřit, zda </w:t>
      </w:r>
      <w:r w:rsidR="0000654C" w:rsidRPr="0000654C">
        <w:rPr>
          <w:rFonts w:asciiTheme="minorHAnsi" w:eastAsiaTheme="minorHAnsi" w:hAnsiTheme="minorHAnsi" w:cstheme="minorHAnsi"/>
        </w:rPr>
        <w:t>Ministerstvo průmyslu a obchodu při sestavení závěrečného účtu a při vedení účetnictví a sestavení účetní závěrky a předkládání údajů pro hodnocení plnění státního rozpočtu za rok 2020 postupovalo v souladu s příslušnými právními předpisy.</w:t>
      </w:r>
    </w:p>
    <w:p w14:paraId="65A6855D" w14:textId="77777777" w:rsidR="00031FF6" w:rsidRPr="0000654C" w:rsidRDefault="00031FF6" w:rsidP="00031FF6">
      <w:pPr>
        <w:spacing w:after="0"/>
        <w:jc w:val="both"/>
        <w:rPr>
          <w:rFonts w:asciiTheme="minorHAnsi" w:eastAsiaTheme="minorHAnsi" w:hAnsiTheme="minorHAnsi" w:cstheme="minorHAnsi"/>
          <w:bCs/>
          <w:highlight w:val="yellow"/>
        </w:rPr>
      </w:pPr>
    </w:p>
    <w:p w14:paraId="40574050" w14:textId="77777777" w:rsidR="00EC3A0D" w:rsidRPr="0000654C" w:rsidRDefault="00A640AE" w:rsidP="00031FF6">
      <w:pPr>
        <w:spacing w:after="0"/>
        <w:jc w:val="both"/>
        <w:rPr>
          <w:rFonts w:asciiTheme="minorHAnsi" w:eastAsiaTheme="minorHAnsi" w:hAnsiTheme="minorHAnsi" w:cstheme="minorHAnsi"/>
        </w:rPr>
      </w:pPr>
      <w:r w:rsidRPr="0000654C">
        <w:rPr>
          <w:rFonts w:asciiTheme="minorHAnsi" w:eastAsiaTheme="minorHAnsi" w:hAnsiTheme="minorHAnsi" w:cstheme="minorHAnsi"/>
          <w:b/>
        </w:rPr>
        <w:t>Kontrolovaná osoba:</w:t>
      </w:r>
    </w:p>
    <w:p w14:paraId="6E4B1CBE" w14:textId="77777777" w:rsidR="00EC3A0D" w:rsidRPr="0000654C" w:rsidRDefault="00DB6C92" w:rsidP="00031FF6">
      <w:pPr>
        <w:spacing w:after="0"/>
        <w:jc w:val="both"/>
        <w:rPr>
          <w:rFonts w:asciiTheme="minorHAnsi" w:eastAsiaTheme="minorHAnsi" w:hAnsiTheme="minorHAnsi" w:cstheme="minorHAnsi"/>
        </w:rPr>
      </w:pPr>
      <w:r w:rsidRPr="0000654C">
        <w:rPr>
          <w:rFonts w:asciiTheme="minorHAnsi" w:eastAsiaTheme="minorHAnsi" w:hAnsiTheme="minorHAnsi" w:cstheme="minorHAnsi"/>
        </w:rPr>
        <w:t>Ministerstvo pr</w:t>
      </w:r>
      <w:r w:rsidR="0000654C" w:rsidRPr="0000654C">
        <w:rPr>
          <w:rFonts w:asciiTheme="minorHAnsi" w:eastAsiaTheme="minorHAnsi" w:hAnsiTheme="minorHAnsi" w:cstheme="minorHAnsi"/>
        </w:rPr>
        <w:t xml:space="preserve">ůmyslu a </w:t>
      </w:r>
      <w:r w:rsidR="0000654C" w:rsidRPr="00E25364">
        <w:rPr>
          <w:rFonts w:asciiTheme="minorHAnsi" w:eastAsiaTheme="minorHAnsi" w:hAnsiTheme="minorHAnsi" w:cstheme="minorHAnsi"/>
        </w:rPr>
        <w:t>obchodu</w:t>
      </w:r>
      <w:r w:rsidRPr="00E25364">
        <w:rPr>
          <w:rFonts w:asciiTheme="minorHAnsi" w:eastAsiaTheme="minorHAnsi" w:hAnsiTheme="minorHAnsi" w:cstheme="minorHAnsi"/>
        </w:rPr>
        <w:t xml:space="preserve"> (</w:t>
      </w:r>
      <w:r w:rsidRPr="00415645">
        <w:rPr>
          <w:rFonts w:asciiTheme="minorHAnsi" w:eastAsiaTheme="minorHAnsi" w:hAnsiTheme="minorHAnsi" w:cstheme="minorHAnsi"/>
        </w:rPr>
        <w:t>dále také „M</w:t>
      </w:r>
      <w:r w:rsidR="0000654C" w:rsidRPr="00415645">
        <w:rPr>
          <w:rFonts w:asciiTheme="minorHAnsi" w:eastAsiaTheme="minorHAnsi" w:hAnsiTheme="minorHAnsi" w:cstheme="minorHAnsi"/>
        </w:rPr>
        <w:t>PO</w:t>
      </w:r>
      <w:r w:rsidRPr="00415645">
        <w:rPr>
          <w:rFonts w:asciiTheme="minorHAnsi" w:eastAsiaTheme="minorHAnsi" w:hAnsiTheme="minorHAnsi" w:cstheme="minorHAnsi"/>
        </w:rPr>
        <w:t>“</w:t>
      </w:r>
      <w:r w:rsidRPr="00E25364">
        <w:rPr>
          <w:rFonts w:asciiTheme="minorHAnsi" w:eastAsiaTheme="minorHAnsi" w:hAnsiTheme="minorHAnsi" w:cstheme="minorHAnsi"/>
        </w:rPr>
        <w:t>).</w:t>
      </w:r>
    </w:p>
    <w:p w14:paraId="529AA380" w14:textId="77777777" w:rsidR="00031FF6" w:rsidRPr="0000654C" w:rsidRDefault="00031FF6" w:rsidP="00031FF6">
      <w:pPr>
        <w:spacing w:after="0"/>
        <w:jc w:val="both"/>
        <w:rPr>
          <w:rFonts w:asciiTheme="minorHAnsi" w:eastAsiaTheme="minorHAnsi" w:hAnsiTheme="minorHAnsi" w:cstheme="minorHAnsi"/>
          <w:highlight w:val="yellow"/>
        </w:rPr>
      </w:pPr>
    </w:p>
    <w:p w14:paraId="117F56B8" w14:textId="77777777" w:rsidR="00EC3A0D" w:rsidRPr="0000654C" w:rsidRDefault="00A640AE" w:rsidP="00031FF6">
      <w:pPr>
        <w:spacing w:after="0"/>
        <w:jc w:val="both"/>
        <w:rPr>
          <w:rFonts w:asciiTheme="minorHAnsi" w:eastAsiaTheme="minorHAnsi" w:hAnsiTheme="minorHAnsi" w:cstheme="minorHAnsi"/>
        </w:rPr>
      </w:pPr>
      <w:r w:rsidRPr="0000654C">
        <w:rPr>
          <w:rFonts w:asciiTheme="minorHAnsi" w:eastAsiaTheme="minorHAnsi" w:hAnsiTheme="minorHAnsi" w:cstheme="minorHAnsi"/>
        </w:rPr>
        <w:t xml:space="preserve">Kontrolováno bylo období roku </w:t>
      </w:r>
      <w:r w:rsidR="0000654C" w:rsidRPr="0000654C">
        <w:rPr>
          <w:rFonts w:asciiTheme="minorHAnsi" w:eastAsiaTheme="minorHAnsi" w:hAnsiTheme="minorHAnsi" w:cstheme="minorHAnsi"/>
        </w:rPr>
        <w:t>2020</w:t>
      </w:r>
      <w:r w:rsidR="004E3929" w:rsidRPr="0000654C">
        <w:rPr>
          <w:rFonts w:asciiTheme="minorHAnsi" w:eastAsiaTheme="minorHAnsi" w:hAnsiTheme="minorHAnsi" w:cstheme="minorHAnsi"/>
        </w:rPr>
        <w:t xml:space="preserve"> včetně</w:t>
      </w:r>
      <w:r w:rsidRPr="0000654C">
        <w:rPr>
          <w:rFonts w:asciiTheme="minorHAnsi" w:eastAsiaTheme="minorHAnsi" w:hAnsiTheme="minorHAnsi" w:cstheme="minorHAnsi"/>
        </w:rPr>
        <w:t xml:space="preserve"> související</w:t>
      </w:r>
      <w:r w:rsidR="004E3929" w:rsidRPr="0000654C">
        <w:rPr>
          <w:rFonts w:asciiTheme="minorHAnsi" w:eastAsiaTheme="minorHAnsi" w:hAnsiTheme="minorHAnsi" w:cstheme="minorHAnsi"/>
        </w:rPr>
        <w:t>ch</w:t>
      </w:r>
      <w:r w:rsidRPr="0000654C">
        <w:rPr>
          <w:rFonts w:asciiTheme="minorHAnsi" w:eastAsiaTheme="minorHAnsi" w:hAnsiTheme="minorHAnsi" w:cstheme="minorHAnsi"/>
        </w:rPr>
        <w:t xml:space="preserve"> skutečnost</w:t>
      </w:r>
      <w:r w:rsidR="004E3929" w:rsidRPr="0000654C">
        <w:rPr>
          <w:rFonts w:asciiTheme="minorHAnsi" w:eastAsiaTheme="minorHAnsi" w:hAnsiTheme="minorHAnsi" w:cstheme="minorHAnsi"/>
        </w:rPr>
        <w:t>í</w:t>
      </w:r>
      <w:r w:rsidRPr="0000654C">
        <w:rPr>
          <w:rFonts w:asciiTheme="minorHAnsi" w:eastAsiaTheme="minorHAnsi" w:hAnsiTheme="minorHAnsi" w:cstheme="minorHAnsi"/>
        </w:rPr>
        <w:t xml:space="preserve"> </w:t>
      </w:r>
      <w:r w:rsidRPr="0000654C">
        <w:rPr>
          <w:rFonts w:asciiTheme="minorHAnsi" w:eastAsiaTheme="minorHAnsi" w:hAnsiTheme="minorHAnsi" w:cstheme="minorHAnsi"/>
          <w:spacing w:val="-2"/>
        </w:rPr>
        <w:t>z let předchozích a roku následujícího</w:t>
      </w:r>
      <w:r w:rsidRPr="0000654C">
        <w:rPr>
          <w:rFonts w:asciiTheme="minorHAnsi" w:eastAsiaTheme="minorHAnsi" w:hAnsiTheme="minorHAnsi" w:cstheme="minorHAnsi"/>
        </w:rPr>
        <w:t>.</w:t>
      </w:r>
    </w:p>
    <w:p w14:paraId="5D2E95ED" w14:textId="77777777" w:rsidR="00031FF6" w:rsidRPr="0000654C" w:rsidRDefault="00031FF6" w:rsidP="00031FF6">
      <w:pPr>
        <w:spacing w:after="0"/>
        <w:jc w:val="both"/>
        <w:rPr>
          <w:rFonts w:asciiTheme="minorHAnsi" w:eastAsiaTheme="minorHAnsi" w:hAnsiTheme="minorHAnsi" w:cstheme="minorHAnsi"/>
          <w:highlight w:val="yellow"/>
        </w:rPr>
      </w:pPr>
    </w:p>
    <w:p w14:paraId="5F3A9111" w14:textId="550416CA" w:rsidR="00EC3A0D" w:rsidRPr="0000654C" w:rsidRDefault="00A640AE" w:rsidP="00031FF6">
      <w:pPr>
        <w:spacing w:after="0"/>
        <w:jc w:val="both"/>
        <w:rPr>
          <w:rFonts w:asciiTheme="minorHAnsi" w:eastAsiaTheme="minorHAnsi" w:hAnsiTheme="minorHAnsi" w:cstheme="minorHAnsi"/>
        </w:rPr>
      </w:pPr>
      <w:r w:rsidRPr="0000654C">
        <w:rPr>
          <w:rFonts w:asciiTheme="minorHAnsi" w:eastAsiaTheme="minorHAnsi" w:hAnsiTheme="minorHAnsi" w:cstheme="minorHAnsi"/>
        </w:rPr>
        <w:t xml:space="preserve">Kontrola byla prováděna u kontrolované osoby v době od </w:t>
      </w:r>
      <w:r w:rsidR="00CC0706" w:rsidRPr="0000654C">
        <w:rPr>
          <w:rFonts w:asciiTheme="minorHAnsi" w:eastAsiaTheme="minorHAnsi" w:hAnsiTheme="minorHAnsi" w:cstheme="minorHAnsi"/>
        </w:rPr>
        <w:t>září</w:t>
      </w:r>
      <w:r w:rsidR="005F2754" w:rsidRPr="0000654C">
        <w:rPr>
          <w:rFonts w:asciiTheme="minorHAnsi" w:eastAsiaTheme="minorHAnsi" w:hAnsiTheme="minorHAnsi" w:cstheme="minorHAnsi"/>
        </w:rPr>
        <w:t xml:space="preserve"> </w:t>
      </w:r>
      <w:r w:rsidR="0000654C" w:rsidRPr="0000654C">
        <w:rPr>
          <w:rFonts w:asciiTheme="minorHAnsi" w:eastAsiaTheme="minorHAnsi" w:hAnsiTheme="minorHAnsi" w:cstheme="minorHAnsi"/>
        </w:rPr>
        <w:t>2020</w:t>
      </w:r>
      <w:r w:rsidR="00DB6C92" w:rsidRPr="0000654C">
        <w:rPr>
          <w:rFonts w:asciiTheme="minorHAnsi" w:eastAsiaTheme="minorHAnsi" w:hAnsiTheme="minorHAnsi" w:cstheme="minorHAnsi"/>
        </w:rPr>
        <w:t xml:space="preserve"> do </w:t>
      </w:r>
      <w:r w:rsidR="0000654C">
        <w:rPr>
          <w:rFonts w:asciiTheme="minorHAnsi" w:eastAsiaTheme="minorHAnsi" w:hAnsiTheme="minorHAnsi" w:cstheme="minorHAnsi"/>
        </w:rPr>
        <w:t>června</w:t>
      </w:r>
      <w:r w:rsidR="00DB6C92" w:rsidRPr="0000654C">
        <w:rPr>
          <w:rFonts w:asciiTheme="minorHAnsi" w:eastAsiaTheme="minorHAnsi" w:hAnsiTheme="minorHAnsi" w:cstheme="minorHAnsi"/>
        </w:rPr>
        <w:t xml:space="preserve"> 202</w:t>
      </w:r>
      <w:r w:rsidR="00C362F7">
        <w:rPr>
          <w:rFonts w:asciiTheme="minorHAnsi" w:eastAsiaTheme="minorHAnsi" w:hAnsiTheme="minorHAnsi" w:cstheme="minorHAnsi"/>
        </w:rPr>
        <w:t>1.</w:t>
      </w:r>
    </w:p>
    <w:p w14:paraId="64DC2F90" w14:textId="77777777" w:rsidR="00EC3A0D" w:rsidRPr="0000654C" w:rsidRDefault="00EC3A0D" w:rsidP="00031FF6">
      <w:pPr>
        <w:spacing w:after="0"/>
        <w:jc w:val="both"/>
        <w:rPr>
          <w:rFonts w:asciiTheme="minorHAnsi" w:eastAsiaTheme="minorHAnsi" w:hAnsiTheme="minorHAnsi" w:cstheme="minorHAnsi"/>
          <w:highlight w:val="yellow"/>
        </w:rPr>
      </w:pPr>
    </w:p>
    <w:p w14:paraId="6E1980D9" w14:textId="77777777" w:rsidR="00031FF6" w:rsidRPr="0000654C" w:rsidRDefault="00031FF6" w:rsidP="00031FF6">
      <w:pPr>
        <w:spacing w:after="0"/>
        <w:jc w:val="both"/>
        <w:rPr>
          <w:rFonts w:asciiTheme="minorHAnsi" w:eastAsiaTheme="minorHAnsi" w:hAnsiTheme="minorHAnsi" w:cstheme="minorHAnsi"/>
          <w:highlight w:val="yellow"/>
        </w:rPr>
      </w:pPr>
    </w:p>
    <w:p w14:paraId="6371075B" w14:textId="7EEF5EE3" w:rsidR="00EC3A0D" w:rsidRPr="0000654C" w:rsidRDefault="00A640AE" w:rsidP="00EC3A0D">
      <w:pPr>
        <w:spacing w:line="259" w:lineRule="auto"/>
        <w:jc w:val="both"/>
        <w:rPr>
          <w:rFonts w:asciiTheme="minorHAnsi" w:eastAsiaTheme="minorHAnsi" w:hAnsiTheme="minorHAnsi" w:cstheme="minorHAnsi"/>
          <w:highlight w:val="yellow"/>
        </w:rPr>
      </w:pPr>
      <w:r w:rsidRPr="0000654C">
        <w:rPr>
          <w:rFonts w:asciiTheme="minorHAnsi" w:eastAsiaTheme="minorHAnsi" w:hAnsiTheme="minorHAnsi" w:cstheme="minorHAnsi"/>
          <w:b/>
          <w:bCs/>
          <w:i/>
          <w:iCs/>
          <w:spacing w:val="60"/>
        </w:rPr>
        <w:t>Kolegium</w:t>
      </w:r>
      <w:r w:rsidRPr="0000654C">
        <w:rPr>
          <w:rFonts w:asciiTheme="minorHAnsi" w:eastAsiaTheme="minorHAnsi" w:hAnsiTheme="minorHAnsi" w:cstheme="minorHAnsi"/>
          <w:b/>
          <w:bCs/>
          <w:i/>
          <w:iCs/>
        </w:rPr>
        <w:t xml:space="preserve">   </w:t>
      </w:r>
      <w:r w:rsidRPr="0000654C">
        <w:rPr>
          <w:rFonts w:asciiTheme="minorHAnsi" w:eastAsiaTheme="minorHAnsi" w:hAnsiTheme="minorHAnsi" w:cstheme="minorHAnsi"/>
          <w:b/>
          <w:bCs/>
          <w:i/>
          <w:iCs/>
          <w:spacing w:val="60"/>
        </w:rPr>
        <w:t>NKÚ</w:t>
      </w:r>
      <w:r w:rsidRPr="0000654C">
        <w:rPr>
          <w:rFonts w:asciiTheme="minorHAnsi" w:eastAsiaTheme="minorHAnsi" w:hAnsiTheme="minorHAnsi" w:cstheme="minorHAnsi"/>
        </w:rPr>
        <w:t xml:space="preserve">   na svém</w:t>
      </w:r>
      <w:r w:rsidR="00CC0706" w:rsidRPr="0000654C">
        <w:rPr>
          <w:rFonts w:asciiTheme="minorHAnsi" w:eastAsiaTheme="minorHAnsi" w:hAnsiTheme="minorHAnsi" w:cstheme="minorHAnsi"/>
        </w:rPr>
        <w:t xml:space="preserve"> </w:t>
      </w:r>
      <w:r w:rsidR="001A4F28">
        <w:rPr>
          <w:rFonts w:asciiTheme="minorHAnsi" w:eastAsiaTheme="minorHAnsi" w:hAnsiTheme="minorHAnsi" w:cstheme="minorHAnsi"/>
        </w:rPr>
        <w:t>XIV.</w:t>
      </w:r>
      <w:r w:rsidR="00074B90">
        <w:rPr>
          <w:rFonts w:asciiTheme="minorHAnsi" w:eastAsiaTheme="minorHAnsi" w:hAnsiTheme="minorHAnsi" w:cstheme="minorHAnsi"/>
        </w:rPr>
        <w:t xml:space="preserve"> </w:t>
      </w:r>
      <w:r w:rsidRPr="0000654C">
        <w:rPr>
          <w:rFonts w:asciiTheme="minorHAnsi" w:eastAsiaTheme="minorHAnsi" w:hAnsiTheme="minorHAnsi" w:cstheme="minorHAnsi"/>
        </w:rPr>
        <w:t>jednání, které se konalo dne</w:t>
      </w:r>
      <w:r w:rsidR="00243613" w:rsidRPr="0000654C">
        <w:rPr>
          <w:rFonts w:asciiTheme="minorHAnsi" w:eastAsiaTheme="minorHAnsi" w:hAnsiTheme="minorHAnsi" w:cstheme="minorHAnsi"/>
        </w:rPr>
        <w:t xml:space="preserve"> </w:t>
      </w:r>
      <w:r w:rsidR="00976C43">
        <w:rPr>
          <w:rFonts w:asciiTheme="minorHAnsi" w:eastAsiaTheme="minorHAnsi" w:hAnsiTheme="minorHAnsi" w:cstheme="minorHAnsi"/>
        </w:rPr>
        <w:t>30. srpna 2021,</w:t>
      </w:r>
    </w:p>
    <w:p w14:paraId="02341816" w14:textId="20BC5980" w:rsidR="00EC3A0D" w:rsidRPr="0000654C" w:rsidRDefault="00A640AE" w:rsidP="00EC3A0D">
      <w:pPr>
        <w:spacing w:line="259" w:lineRule="auto"/>
        <w:jc w:val="both"/>
        <w:rPr>
          <w:rFonts w:asciiTheme="minorHAnsi" w:eastAsiaTheme="minorHAnsi" w:hAnsiTheme="minorHAnsi" w:cstheme="minorHAnsi"/>
          <w:highlight w:val="yellow"/>
        </w:rPr>
      </w:pPr>
      <w:r w:rsidRPr="0000654C">
        <w:rPr>
          <w:rFonts w:asciiTheme="minorHAnsi" w:eastAsiaTheme="minorHAnsi" w:hAnsiTheme="minorHAnsi" w:cstheme="minorHAnsi"/>
          <w:b/>
          <w:bCs/>
          <w:i/>
          <w:iCs/>
          <w:spacing w:val="60"/>
        </w:rPr>
        <w:t>schválilo</w:t>
      </w:r>
      <w:r w:rsidRPr="0000654C">
        <w:rPr>
          <w:rFonts w:asciiTheme="minorHAnsi" w:eastAsiaTheme="minorHAnsi" w:hAnsiTheme="minorHAnsi" w:cstheme="minorHAnsi"/>
        </w:rPr>
        <w:t xml:space="preserve">   usnesením č</w:t>
      </w:r>
      <w:r w:rsidRPr="00976C43">
        <w:rPr>
          <w:rFonts w:asciiTheme="minorHAnsi" w:eastAsiaTheme="minorHAnsi" w:hAnsiTheme="minorHAnsi" w:cstheme="minorHAnsi"/>
        </w:rPr>
        <w:t>.</w:t>
      </w:r>
      <w:r w:rsidR="00976C43">
        <w:rPr>
          <w:rFonts w:asciiTheme="minorHAnsi" w:eastAsiaTheme="minorHAnsi" w:hAnsiTheme="minorHAnsi" w:cstheme="minorHAnsi"/>
        </w:rPr>
        <w:t xml:space="preserve"> </w:t>
      </w:r>
      <w:r w:rsidR="0065771F">
        <w:rPr>
          <w:rFonts w:asciiTheme="minorHAnsi" w:eastAsiaTheme="minorHAnsi" w:hAnsiTheme="minorHAnsi" w:cstheme="minorHAnsi"/>
        </w:rPr>
        <w:t>9</w:t>
      </w:r>
      <w:r w:rsidR="00976C43">
        <w:rPr>
          <w:rFonts w:asciiTheme="minorHAnsi" w:eastAsiaTheme="minorHAnsi" w:hAnsiTheme="minorHAnsi" w:cstheme="minorHAnsi"/>
        </w:rPr>
        <w:t>/XIV/</w:t>
      </w:r>
      <w:r w:rsidR="00976C43" w:rsidRPr="00976C43">
        <w:rPr>
          <w:rFonts w:asciiTheme="minorHAnsi" w:eastAsiaTheme="minorHAnsi" w:hAnsiTheme="minorHAnsi" w:cstheme="minorHAnsi"/>
        </w:rPr>
        <w:t xml:space="preserve"> </w:t>
      </w:r>
      <w:r w:rsidRPr="00976C43">
        <w:rPr>
          <w:rFonts w:asciiTheme="minorHAnsi" w:eastAsiaTheme="minorHAnsi" w:hAnsiTheme="minorHAnsi" w:cstheme="minorHAnsi"/>
        </w:rPr>
        <w:t>20</w:t>
      </w:r>
      <w:r w:rsidR="00DB6C92" w:rsidRPr="00976C43">
        <w:rPr>
          <w:rFonts w:asciiTheme="minorHAnsi" w:eastAsiaTheme="minorHAnsi" w:hAnsiTheme="minorHAnsi" w:cstheme="minorHAnsi"/>
        </w:rPr>
        <w:t>2</w:t>
      </w:r>
      <w:r w:rsidR="0000654C" w:rsidRPr="00976C43">
        <w:rPr>
          <w:rFonts w:asciiTheme="minorHAnsi" w:eastAsiaTheme="minorHAnsi" w:hAnsiTheme="minorHAnsi" w:cstheme="minorHAnsi"/>
        </w:rPr>
        <w:t>1</w:t>
      </w:r>
    </w:p>
    <w:p w14:paraId="238CB84B" w14:textId="77777777" w:rsidR="00586C85" w:rsidRDefault="00A640AE" w:rsidP="00586C85">
      <w:pPr>
        <w:spacing w:after="160" w:line="259" w:lineRule="auto"/>
        <w:rPr>
          <w:rFonts w:asciiTheme="minorHAnsi" w:eastAsiaTheme="minorHAnsi" w:hAnsiTheme="minorHAnsi" w:cstheme="minorHAnsi"/>
        </w:rPr>
      </w:pPr>
      <w:r w:rsidRPr="0000654C">
        <w:rPr>
          <w:rFonts w:asciiTheme="minorHAnsi" w:eastAsiaTheme="minorHAnsi" w:hAnsiTheme="minorHAnsi" w:cstheme="minorHAnsi"/>
          <w:b/>
          <w:bCs/>
          <w:i/>
          <w:iCs/>
          <w:spacing w:val="60"/>
        </w:rPr>
        <w:t>kontrolní</w:t>
      </w:r>
      <w:r w:rsidRPr="0000654C">
        <w:rPr>
          <w:rFonts w:asciiTheme="minorHAnsi" w:eastAsiaTheme="minorHAnsi" w:hAnsiTheme="minorHAnsi" w:cstheme="minorHAnsi"/>
          <w:b/>
          <w:bCs/>
          <w:i/>
          <w:iCs/>
        </w:rPr>
        <w:t xml:space="preserve">   </w:t>
      </w:r>
      <w:r w:rsidRPr="0000654C">
        <w:rPr>
          <w:rFonts w:asciiTheme="minorHAnsi" w:eastAsiaTheme="minorHAnsi" w:hAnsiTheme="minorHAnsi" w:cstheme="minorHAnsi"/>
          <w:b/>
          <w:bCs/>
          <w:i/>
          <w:iCs/>
          <w:spacing w:val="60"/>
        </w:rPr>
        <w:t>závěr</w:t>
      </w:r>
      <w:r w:rsidRPr="0000654C">
        <w:rPr>
          <w:rFonts w:asciiTheme="minorHAnsi" w:eastAsiaTheme="minorHAnsi" w:hAnsiTheme="minorHAnsi" w:cstheme="minorHAnsi"/>
        </w:rPr>
        <w:t xml:space="preserve">   v tomto znění:</w:t>
      </w:r>
    </w:p>
    <w:p w14:paraId="6886E6D8" w14:textId="77777777" w:rsidR="00586C85" w:rsidRDefault="00586C85" w:rsidP="00586C85">
      <w:pPr>
        <w:spacing w:after="160" w:line="259" w:lineRule="auto"/>
        <w:rPr>
          <w:rFonts w:asciiTheme="minorHAnsi" w:eastAsiaTheme="minorHAnsi" w:hAnsiTheme="minorHAnsi" w:cstheme="minorHAnsi"/>
        </w:rPr>
      </w:pPr>
    </w:p>
    <w:p w14:paraId="21717482" w14:textId="77777777" w:rsidR="001529C4" w:rsidRDefault="001529C4">
      <w:pPr>
        <w:spacing w:after="160" w:line="259" w:lineRule="auto"/>
        <w:rPr>
          <w:rStyle w:val="A4"/>
          <w:rFonts w:eastAsiaTheme="majorEastAsia"/>
          <w:b/>
          <w:color w:val="auto"/>
          <w:sz w:val="40"/>
          <w:szCs w:val="40"/>
        </w:rPr>
      </w:pPr>
      <w:r>
        <w:rPr>
          <w:rStyle w:val="A4"/>
          <w:rFonts w:eastAsiaTheme="majorEastAsia"/>
          <w:b/>
          <w:color w:val="auto"/>
          <w:sz w:val="40"/>
          <w:szCs w:val="40"/>
        </w:rPr>
        <w:br w:type="page"/>
      </w:r>
    </w:p>
    <w:p w14:paraId="59D6FD64" w14:textId="3A5D1EC0" w:rsidR="00CA5B95" w:rsidRPr="000405AC" w:rsidRDefault="00597612" w:rsidP="00D73C22">
      <w:pPr>
        <w:jc w:val="center"/>
        <w:rPr>
          <w:rStyle w:val="A4"/>
          <w:rFonts w:eastAsiaTheme="majorEastAsia"/>
          <w:b/>
          <w:color w:val="auto"/>
          <w:sz w:val="40"/>
          <w:szCs w:val="40"/>
        </w:rPr>
      </w:pPr>
      <w:r w:rsidRPr="000405AC">
        <w:rPr>
          <w:rStyle w:val="A4"/>
          <w:rFonts w:eastAsiaTheme="majorEastAsia"/>
          <w:b/>
          <w:color w:val="auto"/>
          <w:sz w:val="40"/>
          <w:szCs w:val="40"/>
        </w:rPr>
        <w:lastRenderedPageBreak/>
        <w:t>Skládání účtů</w:t>
      </w:r>
      <w:r w:rsidR="00AA34F9" w:rsidRPr="000405AC">
        <w:rPr>
          <w:rStyle w:val="A4"/>
          <w:rFonts w:eastAsiaTheme="majorEastAsia"/>
          <w:b/>
          <w:color w:val="auto"/>
          <w:sz w:val="40"/>
          <w:szCs w:val="40"/>
        </w:rPr>
        <w:t xml:space="preserve"> </w:t>
      </w:r>
      <w:r w:rsidRPr="000405AC">
        <w:rPr>
          <w:rStyle w:val="A4"/>
          <w:rFonts w:eastAsiaTheme="majorEastAsia"/>
          <w:b/>
          <w:color w:val="auto"/>
          <w:sz w:val="40"/>
          <w:szCs w:val="40"/>
        </w:rPr>
        <w:t xml:space="preserve">z hospodaření </w:t>
      </w:r>
      <w:r w:rsidR="00AA34F9" w:rsidRPr="000405AC">
        <w:rPr>
          <w:rStyle w:val="A4"/>
          <w:rFonts w:eastAsiaTheme="majorEastAsia"/>
          <w:b/>
          <w:color w:val="auto"/>
          <w:sz w:val="40"/>
          <w:szCs w:val="40"/>
        </w:rPr>
        <w:t>s majetkem státu</w:t>
      </w:r>
      <w:r w:rsidR="003A2FA5" w:rsidRPr="000405AC">
        <w:rPr>
          <w:rStyle w:val="Znakapoznpodarou"/>
          <w:rFonts w:eastAsiaTheme="majorEastAsia"/>
          <w:b/>
          <w:sz w:val="40"/>
          <w:szCs w:val="40"/>
        </w:rPr>
        <w:footnoteReference w:id="2"/>
      </w:r>
    </w:p>
    <w:p w14:paraId="27C3DAD1" w14:textId="77777777" w:rsidR="003E71FF" w:rsidRPr="000405AC" w:rsidRDefault="006115F5" w:rsidP="00D73C22">
      <w:pPr>
        <w:jc w:val="center"/>
        <w:rPr>
          <w:rStyle w:val="A4"/>
          <w:rFonts w:eastAsiaTheme="majorEastAsia"/>
          <w:b/>
          <w:color w:val="auto"/>
          <w:sz w:val="40"/>
          <w:szCs w:val="40"/>
        </w:rPr>
      </w:pPr>
      <w:r w:rsidRPr="000405AC">
        <w:rPr>
          <w:rStyle w:val="A4"/>
          <w:rFonts w:eastAsiaTheme="majorEastAsia"/>
          <w:b/>
          <w:color w:val="auto"/>
          <w:sz w:val="40"/>
          <w:szCs w:val="40"/>
        </w:rPr>
        <w:t>MPO</w:t>
      </w:r>
      <w:r w:rsidR="0055132B" w:rsidRPr="000405AC">
        <w:rPr>
          <w:rStyle w:val="A4"/>
          <w:rFonts w:eastAsiaTheme="majorEastAsia"/>
          <w:b/>
          <w:color w:val="auto"/>
          <w:sz w:val="40"/>
          <w:szCs w:val="40"/>
        </w:rPr>
        <w:t xml:space="preserve"> </w:t>
      </w:r>
      <w:r w:rsidR="00AA34F9" w:rsidRPr="000405AC">
        <w:rPr>
          <w:rStyle w:val="A4"/>
          <w:rFonts w:eastAsiaTheme="majorEastAsia"/>
          <w:b/>
          <w:color w:val="auto"/>
          <w:sz w:val="40"/>
          <w:szCs w:val="40"/>
        </w:rPr>
        <w:t xml:space="preserve">za rok </w:t>
      </w:r>
      <w:r w:rsidRPr="000405AC">
        <w:rPr>
          <w:rStyle w:val="A4"/>
          <w:rFonts w:eastAsiaTheme="majorEastAsia"/>
          <w:b/>
          <w:color w:val="auto"/>
          <w:sz w:val="40"/>
          <w:szCs w:val="40"/>
        </w:rPr>
        <w:t>2020</w:t>
      </w:r>
    </w:p>
    <w:p w14:paraId="1FAE5693" w14:textId="77777777" w:rsidR="003F327E" w:rsidRPr="00D73C22" w:rsidRDefault="003F327E" w:rsidP="000405AC">
      <w:pPr>
        <w:spacing w:after="0"/>
        <w:jc w:val="center"/>
        <w:rPr>
          <w:rStyle w:val="A4"/>
          <w:rFonts w:eastAsiaTheme="majorEastAsia"/>
          <w:b/>
          <w:color w:val="auto"/>
          <w:sz w:val="24"/>
          <w:szCs w:val="40"/>
        </w:rPr>
      </w:pPr>
    </w:p>
    <w:tbl>
      <w:tblPr>
        <w:tblStyle w:val="Mkatabulky"/>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70" w:type="dxa"/>
          <w:bottom w:w="113" w:type="dxa"/>
          <w:right w:w="170" w:type="dxa"/>
        </w:tblCellMar>
        <w:tblLook w:val="04A0" w:firstRow="1" w:lastRow="0" w:firstColumn="1" w:lastColumn="0" w:noHBand="0" w:noVBand="1"/>
      </w:tblPr>
      <w:tblGrid>
        <w:gridCol w:w="4253"/>
        <w:gridCol w:w="4678"/>
      </w:tblGrid>
      <w:tr w:rsidR="001D0B2E" w:rsidRPr="00847833" w14:paraId="05CA0656" w14:textId="77777777" w:rsidTr="00847833">
        <w:trPr>
          <w:trHeight w:val="1363"/>
        </w:trPr>
        <w:tc>
          <w:tcPr>
            <w:tcW w:w="4253" w:type="dxa"/>
            <w:vAlign w:val="center"/>
          </w:tcPr>
          <w:p w14:paraId="7E3C0649" w14:textId="77777777" w:rsidR="001D0B2E" w:rsidRPr="00D73C22" w:rsidRDefault="001D0B2E" w:rsidP="009E46A4">
            <w:pPr>
              <w:spacing w:after="0"/>
              <w:jc w:val="center"/>
              <w:rPr>
                <w:rFonts w:cs="Calibri"/>
                <w:b/>
                <w:bCs/>
                <w:sz w:val="40"/>
              </w:rPr>
            </w:pPr>
            <w:r w:rsidRPr="00D73C22">
              <w:rPr>
                <w:rFonts w:cs="Calibri"/>
                <w:b/>
                <w:bCs/>
                <w:color w:val="FF0000"/>
                <w:sz w:val="40"/>
              </w:rPr>
              <w:t>1 900 mil. Kč</w:t>
            </w:r>
          </w:p>
          <w:p w14:paraId="5FCA2A42" w14:textId="3C686D45" w:rsidR="001D0B2E" w:rsidRPr="00847833" w:rsidRDefault="001D0B2E" w:rsidP="009E46A4">
            <w:pPr>
              <w:spacing w:after="0"/>
              <w:jc w:val="center"/>
              <w:rPr>
                <w:rStyle w:val="A5"/>
                <w:rFonts w:cs="Calibri"/>
                <w:sz w:val="24"/>
                <w:szCs w:val="24"/>
              </w:rPr>
            </w:pPr>
            <w:r w:rsidRPr="00847833">
              <w:rPr>
                <w:rFonts w:cs="Calibri"/>
                <w:b/>
              </w:rPr>
              <w:t>nesprávnosti</w:t>
            </w:r>
            <w:r w:rsidRPr="00847833">
              <w:rPr>
                <w:rStyle w:val="Znakapoznpodarou"/>
                <w:rFonts w:cs="Calibri"/>
                <w:b/>
              </w:rPr>
              <w:footnoteReference w:id="3"/>
            </w:r>
            <w:r w:rsidRPr="00847833">
              <w:rPr>
                <w:rFonts w:cs="Calibri"/>
                <w:b/>
              </w:rPr>
              <w:t xml:space="preserve"> </w:t>
            </w:r>
            <w:r w:rsidR="00D73C22">
              <w:rPr>
                <w:rFonts w:cs="Calibri"/>
                <w:b/>
              </w:rPr>
              <w:br/>
            </w:r>
            <w:r w:rsidRPr="00847833">
              <w:rPr>
                <w:rFonts w:cs="Calibri"/>
                <w:b/>
              </w:rPr>
              <w:t>v účetní závěrce k 31.</w:t>
            </w:r>
            <w:r w:rsidR="00847833">
              <w:rPr>
                <w:rFonts w:cs="Calibri"/>
                <w:b/>
              </w:rPr>
              <w:t> </w:t>
            </w:r>
            <w:r w:rsidRPr="00847833">
              <w:rPr>
                <w:rFonts w:cs="Calibri"/>
                <w:b/>
              </w:rPr>
              <w:t>prosinci 2020 sestavené 1. března 2021</w:t>
            </w:r>
          </w:p>
        </w:tc>
        <w:tc>
          <w:tcPr>
            <w:tcW w:w="4678" w:type="dxa"/>
            <w:vAlign w:val="center"/>
          </w:tcPr>
          <w:p w14:paraId="69C41D09" w14:textId="77777777" w:rsidR="001D0B2E" w:rsidRPr="00D73C22" w:rsidRDefault="001D0B2E" w:rsidP="009E46A4">
            <w:pPr>
              <w:spacing w:after="0"/>
              <w:jc w:val="center"/>
              <w:rPr>
                <w:rFonts w:cs="Calibri"/>
                <w:b/>
                <w:bCs/>
                <w:sz w:val="40"/>
              </w:rPr>
            </w:pPr>
            <w:r w:rsidRPr="00D73C22">
              <w:rPr>
                <w:rFonts w:cs="Calibri"/>
                <w:b/>
                <w:bCs/>
                <w:sz w:val="40"/>
              </w:rPr>
              <w:t>14,8 mil. Kč</w:t>
            </w:r>
          </w:p>
          <w:p w14:paraId="239AD42A" w14:textId="0D34D320" w:rsidR="001D0B2E" w:rsidRPr="00847833" w:rsidRDefault="001D0B2E" w:rsidP="009E46A4">
            <w:pPr>
              <w:spacing w:after="0"/>
              <w:jc w:val="center"/>
              <w:rPr>
                <w:rStyle w:val="A5"/>
                <w:rFonts w:cs="Calibri"/>
                <w:sz w:val="24"/>
                <w:szCs w:val="24"/>
              </w:rPr>
            </w:pPr>
            <w:r w:rsidRPr="00847833">
              <w:rPr>
                <w:rFonts w:cs="Calibri"/>
                <w:b/>
              </w:rPr>
              <w:t>nesprávnosti</w:t>
            </w:r>
            <w:r w:rsidRPr="00847833">
              <w:rPr>
                <w:rStyle w:val="Znakapoznpodarou"/>
                <w:rFonts w:cs="Calibri"/>
                <w:b/>
              </w:rPr>
              <w:footnoteReference w:id="4"/>
            </w:r>
            <w:r w:rsidRPr="00847833">
              <w:rPr>
                <w:rFonts w:cs="Calibri"/>
                <w:b/>
              </w:rPr>
              <w:t xml:space="preserve"> </w:t>
            </w:r>
            <w:r w:rsidR="00D73C22">
              <w:rPr>
                <w:rFonts w:cs="Calibri"/>
                <w:b/>
              </w:rPr>
              <w:br/>
            </w:r>
            <w:r w:rsidRPr="00847833">
              <w:rPr>
                <w:rFonts w:cs="Calibri"/>
                <w:b/>
              </w:rPr>
              <w:t>v účetní závěrce k 31.</w:t>
            </w:r>
            <w:r w:rsidR="00D73C22">
              <w:rPr>
                <w:rFonts w:cs="Calibri"/>
                <w:b/>
              </w:rPr>
              <w:t> </w:t>
            </w:r>
            <w:r w:rsidRPr="00847833">
              <w:rPr>
                <w:rFonts w:cs="Calibri"/>
                <w:b/>
              </w:rPr>
              <w:t>prosinci 2020 sestavené 13. května 2021</w:t>
            </w:r>
          </w:p>
        </w:tc>
      </w:tr>
      <w:tr w:rsidR="001D0B2E" w:rsidRPr="00847833" w14:paraId="3E5718A3" w14:textId="77777777" w:rsidTr="00847833">
        <w:trPr>
          <w:trHeight w:val="1363"/>
        </w:trPr>
        <w:tc>
          <w:tcPr>
            <w:tcW w:w="4253" w:type="dxa"/>
            <w:vAlign w:val="center"/>
          </w:tcPr>
          <w:p w14:paraId="3261B1C3" w14:textId="77777777" w:rsidR="001D0B2E" w:rsidRPr="00D73C22" w:rsidRDefault="001D0B2E" w:rsidP="009E46A4">
            <w:pPr>
              <w:spacing w:after="0"/>
              <w:jc w:val="center"/>
              <w:rPr>
                <w:rStyle w:val="A5"/>
                <w:rFonts w:cs="Calibri"/>
                <w:color w:val="FF0000"/>
                <w:sz w:val="36"/>
                <w:szCs w:val="24"/>
              </w:rPr>
            </w:pPr>
            <w:r w:rsidRPr="00D73C22">
              <w:rPr>
                <w:rStyle w:val="A5"/>
                <w:rFonts w:cs="Calibri"/>
                <w:color w:val="FF0000"/>
                <w:sz w:val="36"/>
                <w:szCs w:val="24"/>
              </w:rPr>
              <w:t>100 %</w:t>
            </w:r>
          </w:p>
          <w:p w14:paraId="68ED593C" w14:textId="77777777" w:rsidR="001D0B2E" w:rsidRPr="00847833" w:rsidRDefault="0046500E" w:rsidP="00AE46A1">
            <w:pPr>
              <w:spacing w:after="0"/>
              <w:jc w:val="center"/>
              <w:rPr>
                <w:rStyle w:val="A1"/>
                <w:rFonts w:cs="Calibri"/>
                <w:color w:val="auto"/>
                <w:sz w:val="24"/>
                <w:szCs w:val="24"/>
                <w:highlight w:val="green"/>
              </w:rPr>
            </w:pPr>
            <w:r w:rsidRPr="00847833">
              <w:rPr>
                <w:rFonts w:cs="Calibri"/>
                <w:b/>
              </w:rPr>
              <w:t>výdajových operací souvisejících s vlastní činností MPO</w:t>
            </w:r>
            <w:r w:rsidR="00AE46A1" w:rsidRPr="00847833">
              <w:rPr>
                <w:rFonts w:cs="Calibri"/>
                <w:b/>
              </w:rPr>
              <w:t xml:space="preserve">, </w:t>
            </w:r>
            <w:r w:rsidRPr="00847833">
              <w:rPr>
                <w:rFonts w:cs="Calibri"/>
                <w:b/>
              </w:rPr>
              <w:t>vybraných ke kontrole, nebyl</w:t>
            </w:r>
            <w:r w:rsidR="00AE46A1" w:rsidRPr="00847833">
              <w:rPr>
                <w:rFonts w:cs="Calibri"/>
                <w:b/>
              </w:rPr>
              <w:t>o</w:t>
            </w:r>
            <w:r w:rsidRPr="00847833">
              <w:rPr>
                <w:rFonts w:cs="Calibri"/>
                <w:b/>
              </w:rPr>
              <w:t xml:space="preserve"> v rámci řídicí kontroly po vzniku závazku prověřován</w:t>
            </w:r>
            <w:r w:rsidR="00AE46A1" w:rsidRPr="00847833">
              <w:rPr>
                <w:rFonts w:cs="Calibri"/>
                <w:b/>
              </w:rPr>
              <w:t>o</w:t>
            </w:r>
            <w:r w:rsidRPr="00847833">
              <w:rPr>
                <w:rFonts w:cs="Calibri"/>
                <w:b/>
              </w:rPr>
              <w:t xml:space="preserve"> MPO v souladu se zákonem</w:t>
            </w:r>
          </w:p>
        </w:tc>
        <w:tc>
          <w:tcPr>
            <w:tcW w:w="4678" w:type="dxa"/>
          </w:tcPr>
          <w:p w14:paraId="74853300" w14:textId="49E3028D" w:rsidR="001D0B2E" w:rsidRPr="00D73C22" w:rsidRDefault="00A05257" w:rsidP="00852210">
            <w:pPr>
              <w:spacing w:after="0"/>
              <w:jc w:val="center"/>
              <w:rPr>
                <w:rStyle w:val="A5"/>
                <w:rFonts w:cs="Calibri"/>
                <w:color w:val="auto"/>
                <w:szCs w:val="24"/>
              </w:rPr>
            </w:pPr>
            <w:r w:rsidRPr="00D73C22">
              <w:rPr>
                <w:rStyle w:val="A5"/>
                <w:rFonts w:cs="Calibri"/>
                <w:color w:val="auto"/>
                <w:szCs w:val="24"/>
              </w:rPr>
              <w:t xml:space="preserve">17 000 </w:t>
            </w:r>
            <w:r w:rsidR="001D0B2E" w:rsidRPr="00D73C22">
              <w:rPr>
                <w:rStyle w:val="A5"/>
                <w:rFonts w:cs="Calibri"/>
                <w:color w:val="auto"/>
                <w:szCs w:val="24"/>
              </w:rPr>
              <w:t>m</w:t>
            </w:r>
            <w:r w:rsidRPr="00D73C22">
              <w:rPr>
                <w:rStyle w:val="A5"/>
                <w:rFonts w:cs="Calibri"/>
                <w:color w:val="auto"/>
                <w:szCs w:val="24"/>
              </w:rPr>
              <w:t>il</w:t>
            </w:r>
            <w:r w:rsidR="001D0B2E" w:rsidRPr="00D73C22">
              <w:rPr>
                <w:rStyle w:val="A5"/>
                <w:rFonts w:cs="Calibri"/>
                <w:color w:val="auto"/>
                <w:szCs w:val="24"/>
              </w:rPr>
              <w:t>. Kč</w:t>
            </w:r>
          </w:p>
          <w:p w14:paraId="35028FE5" w14:textId="0941CD40" w:rsidR="001D0B2E" w:rsidRPr="00847833" w:rsidRDefault="000405AC" w:rsidP="00666495">
            <w:pPr>
              <w:spacing w:after="0"/>
              <w:jc w:val="center"/>
              <w:rPr>
                <w:rStyle w:val="A1"/>
                <w:rFonts w:cs="Calibri"/>
                <w:color w:val="auto"/>
                <w:sz w:val="24"/>
                <w:szCs w:val="24"/>
                <w:highlight w:val="yellow"/>
              </w:rPr>
            </w:pPr>
            <w:r w:rsidRPr="00847833">
              <w:rPr>
                <w:rFonts w:cs="Calibri"/>
                <w:b/>
              </w:rPr>
              <w:t xml:space="preserve">představujících </w:t>
            </w:r>
            <w:r w:rsidR="001D0B2E" w:rsidRPr="00847833">
              <w:rPr>
                <w:rFonts w:cs="Calibri"/>
                <w:b/>
              </w:rPr>
              <w:t>finanční nástroje E</w:t>
            </w:r>
            <w:r w:rsidR="00666495" w:rsidRPr="00847833">
              <w:rPr>
                <w:rFonts w:cs="Calibri"/>
                <w:b/>
              </w:rPr>
              <w:t>vropské unie</w:t>
            </w:r>
            <w:r w:rsidR="00584334">
              <w:rPr>
                <w:rFonts w:cs="Calibri"/>
                <w:b/>
              </w:rPr>
              <w:t>,</w:t>
            </w:r>
            <w:r w:rsidR="001D0B2E" w:rsidRPr="00847833">
              <w:rPr>
                <w:rFonts w:cs="Calibri"/>
                <w:b/>
              </w:rPr>
              <w:t xml:space="preserve"> tj.</w:t>
            </w:r>
            <w:r w:rsidR="00847833" w:rsidRPr="00847833">
              <w:rPr>
                <w:rFonts w:cs="Calibri"/>
                <w:b/>
              </w:rPr>
              <w:t> </w:t>
            </w:r>
            <w:r w:rsidR="001D0B2E" w:rsidRPr="00847833">
              <w:rPr>
                <w:rFonts w:cs="Calibri"/>
                <w:b/>
              </w:rPr>
              <w:t xml:space="preserve">peněžní prostředky </w:t>
            </w:r>
            <w:r w:rsidR="001D48C1" w:rsidRPr="00847833">
              <w:rPr>
                <w:rFonts w:cs="Calibri"/>
                <w:b/>
              </w:rPr>
              <w:t>vedené mimo účty podřízené státní pokladně</w:t>
            </w:r>
            <w:r w:rsidR="00584334">
              <w:rPr>
                <w:rFonts w:cs="Calibri"/>
                <w:b/>
              </w:rPr>
              <w:t>,</w:t>
            </w:r>
            <w:r w:rsidR="001D48C1" w:rsidRPr="00847833">
              <w:rPr>
                <w:rFonts w:cs="Calibri"/>
                <w:b/>
              </w:rPr>
              <w:t xml:space="preserve"> </w:t>
            </w:r>
            <w:r w:rsidR="00586C85" w:rsidRPr="00847833">
              <w:rPr>
                <w:rFonts w:cs="Calibri"/>
                <w:b/>
              </w:rPr>
              <w:t>a</w:t>
            </w:r>
            <w:r w:rsidR="00584334">
              <w:rPr>
                <w:rFonts w:cs="Calibri"/>
                <w:b/>
              </w:rPr>
              <w:t> </w:t>
            </w:r>
            <w:r w:rsidR="000605EE" w:rsidRPr="00847833">
              <w:rPr>
                <w:rFonts w:cs="Calibri"/>
                <w:b/>
              </w:rPr>
              <w:t>pohledávky</w:t>
            </w:r>
            <w:r w:rsidR="00586C85" w:rsidRPr="00847833">
              <w:rPr>
                <w:rFonts w:cs="Calibri"/>
                <w:b/>
              </w:rPr>
              <w:t xml:space="preserve"> z poskytnutých úvěrů </w:t>
            </w:r>
            <w:r w:rsidR="00C12473" w:rsidRPr="00847833">
              <w:rPr>
                <w:rFonts w:cs="Calibri"/>
                <w:b/>
              </w:rPr>
              <w:t xml:space="preserve">vykazované u MPO jako </w:t>
            </w:r>
            <w:r w:rsidRPr="00847833">
              <w:rPr>
                <w:rFonts w:cs="Calibri"/>
                <w:b/>
              </w:rPr>
              <w:t>dlouhodobý finanční majetek</w:t>
            </w:r>
          </w:p>
        </w:tc>
      </w:tr>
      <w:tr w:rsidR="001D0B2E" w:rsidRPr="00847833" w14:paraId="670D6BE7" w14:textId="77777777" w:rsidTr="00847833">
        <w:trPr>
          <w:trHeight w:val="1363"/>
        </w:trPr>
        <w:tc>
          <w:tcPr>
            <w:tcW w:w="4253" w:type="dxa"/>
            <w:vAlign w:val="center"/>
          </w:tcPr>
          <w:p w14:paraId="2E58F3E4" w14:textId="77777777" w:rsidR="001D0B2E" w:rsidRPr="00D73C22" w:rsidRDefault="001D0B2E" w:rsidP="009E46A4">
            <w:pPr>
              <w:spacing w:after="0"/>
              <w:jc w:val="center"/>
              <w:rPr>
                <w:rStyle w:val="A5"/>
                <w:rFonts w:cs="Calibri"/>
                <w:color w:val="FF0000"/>
                <w:szCs w:val="24"/>
              </w:rPr>
            </w:pPr>
            <w:r w:rsidRPr="00D73C22">
              <w:rPr>
                <w:rStyle w:val="A5"/>
                <w:rFonts w:cs="Calibri"/>
                <w:color w:val="FF0000"/>
                <w:szCs w:val="24"/>
              </w:rPr>
              <w:t>39,3 mil. Kč</w:t>
            </w:r>
          </w:p>
          <w:p w14:paraId="25914107" w14:textId="77777777" w:rsidR="001D0B2E" w:rsidRPr="00847833" w:rsidRDefault="001D0B2E" w:rsidP="009E46A4">
            <w:pPr>
              <w:spacing w:after="0"/>
              <w:jc w:val="center"/>
              <w:rPr>
                <w:rStyle w:val="A5"/>
                <w:rFonts w:cs="Calibri"/>
                <w:color w:val="FF0000"/>
                <w:sz w:val="24"/>
                <w:szCs w:val="24"/>
              </w:rPr>
            </w:pPr>
            <w:r w:rsidRPr="00D73C22">
              <w:rPr>
                <w:rFonts w:cs="Calibri"/>
                <w:b/>
                <w:color w:val="000000" w:themeColor="text1"/>
              </w:rPr>
              <w:t>souhrnná výše splátek vyplývajících z nicotných dohod MPO s</w:t>
            </w:r>
            <w:r w:rsidR="003A523F" w:rsidRPr="00D73C22">
              <w:rPr>
                <w:rFonts w:cs="Calibri"/>
                <w:b/>
                <w:color w:val="000000" w:themeColor="text1"/>
              </w:rPr>
              <w:t> </w:t>
            </w:r>
            <w:r w:rsidRPr="00D73C22">
              <w:rPr>
                <w:rFonts w:cs="Calibri"/>
                <w:b/>
                <w:color w:val="000000" w:themeColor="text1"/>
              </w:rPr>
              <w:t>dlužníky</w:t>
            </w:r>
          </w:p>
        </w:tc>
        <w:tc>
          <w:tcPr>
            <w:tcW w:w="4678" w:type="dxa"/>
            <w:vAlign w:val="center"/>
          </w:tcPr>
          <w:p w14:paraId="3A4C78A9" w14:textId="77777777" w:rsidR="001B3E7F" w:rsidRPr="00D73C22" w:rsidRDefault="001B3E7F" w:rsidP="001B3E7F">
            <w:pPr>
              <w:spacing w:after="0"/>
              <w:jc w:val="center"/>
              <w:rPr>
                <w:rStyle w:val="A5"/>
                <w:rFonts w:cs="Calibri"/>
                <w:color w:val="auto"/>
                <w:szCs w:val="24"/>
              </w:rPr>
            </w:pPr>
            <w:r w:rsidRPr="00D73C22">
              <w:rPr>
                <w:rStyle w:val="A5"/>
                <w:rFonts w:cs="Calibri"/>
                <w:color w:val="auto"/>
                <w:szCs w:val="24"/>
              </w:rPr>
              <w:t>3 610 mil. Kč</w:t>
            </w:r>
          </w:p>
          <w:p w14:paraId="22BDD126" w14:textId="4A488020" w:rsidR="001D0B2E" w:rsidRPr="00847833" w:rsidRDefault="001B3E7F" w:rsidP="003C668A">
            <w:pPr>
              <w:spacing w:after="0"/>
              <w:jc w:val="center"/>
              <w:rPr>
                <w:rStyle w:val="A5"/>
                <w:rFonts w:cs="Calibri"/>
                <w:color w:val="0070C0"/>
                <w:sz w:val="24"/>
                <w:szCs w:val="24"/>
              </w:rPr>
            </w:pPr>
            <w:r w:rsidRPr="00847833">
              <w:rPr>
                <w:rFonts w:cs="Calibri"/>
                <w:b/>
              </w:rPr>
              <w:t>odpis pohledávky za</w:t>
            </w:r>
            <w:r w:rsidR="00A05257" w:rsidRPr="00847833">
              <w:rPr>
                <w:rFonts w:cs="Calibri"/>
                <w:b/>
              </w:rPr>
              <w:t xml:space="preserve"> Národním fondem na prostředky Evropské unie</w:t>
            </w:r>
          </w:p>
        </w:tc>
      </w:tr>
    </w:tbl>
    <w:p w14:paraId="08F1799A" w14:textId="77777777" w:rsidR="00B16BE9" w:rsidRPr="00D73C22" w:rsidRDefault="00B16BE9" w:rsidP="001D0B2E">
      <w:pPr>
        <w:jc w:val="center"/>
        <w:rPr>
          <w:rStyle w:val="A1"/>
          <w:b/>
          <w:sz w:val="24"/>
          <w:szCs w:val="32"/>
        </w:rPr>
      </w:pPr>
    </w:p>
    <w:p w14:paraId="32D2C603" w14:textId="3E942B0C" w:rsidR="00153EAA" w:rsidRDefault="00153EAA" w:rsidP="00D73C22">
      <w:pPr>
        <w:jc w:val="center"/>
        <w:rPr>
          <w:rStyle w:val="A1"/>
          <w:b/>
          <w:sz w:val="32"/>
          <w:szCs w:val="32"/>
        </w:rPr>
      </w:pPr>
      <w:r w:rsidRPr="004D3CAA">
        <w:rPr>
          <w:rStyle w:val="A1"/>
          <w:b/>
          <w:sz w:val="32"/>
          <w:szCs w:val="32"/>
        </w:rPr>
        <w:t xml:space="preserve">Spolehlivost </w:t>
      </w:r>
      <w:r w:rsidR="005D2441">
        <w:rPr>
          <w:rStyle w:val="A1"/>
          <w:b/>
          <w:sz w:val="32"/>
          <w:szCs w:val="32"/>
        </w:rPr>
        <w:t>účetní závěrky</w:t>
      </w:r>
      <w:r w:rsidR="003F327E">
        <w:rPr>
          <w:rStyle w:val="A1"/>
          <w:b/>
          <w:sz w:val="32"/>
          <w:szCs w:val="32"/>
        </w:rPr>
        <w:t xml:space="preserve"> k 31. prosinci 2020</w:t>
      </w:r>
      <w:r w:rsidR="005D2441">
        <w:rPr>
          <w:rStyle w:val="A1"/>
          <w:b/>
          <w:sz w:val="32"/>
          <w:szCs w:val="32"/>
        </w:rPr>
        <w:t xml:space="preserve"> </w:t>
      </w:r>
      <w:r w:rsidR="00D73C22">
        <w:rPr>
          <w:rStyle w:val="A1"/>
          <w:b/>
          <w:sz w:val="32"/>
          <w:szCs w:val="32"/>
        </w:rPr>
        <w:br/>
      </w:r>
      <w:r w:rsidR="005D2441">
        <w:rPr>
          <w:rStyle w:val="A1"/>
          <w:b/>
          <w:sz w:val="32"/>
          <w:szCs w:val="32"/>
        </w:rPr>
        <w:t>sestavené 13. květn</w:t>
      </w:r>
      <w:r w:rsidR="00AA28DF">
        <w:rPr>
          <w:rStyle w:val="A1"/>
          <w:b/>
          <w:sz w:val="32"/>
          <w:szCs w:val="32"/>
        </w:rPr>
        <w:t>a</w:t>
      </w:r>
      <w:r w:rsidR="005D2441">
        <w:rPr>
          <w:rStyle w:val="A1"/>
          <w:b/>
          <w:sz w:val="32"/>
          <w:szCs w:val="32"/>
        </w:rPr>
        <w:t xml:space="preserve"> 2021 </w:t>
      </w:r>
      <w:r w:rsidRPr="004D3CAA">
        <w:rPr>
          <w:rStyle w:val="A1"/>
          <w:b/>
          <w:sz w:val="32"/>
          <w:szCs w:val="32"/>
        </w:rPr>
        <w:t>p</w:t>
      </w:r>
      <w:r>
        <w:rPr>
          <w:rStyle w:val="A1"/>
          <w:b/>
          <w:sz w:val="32"/>
          <w:szCs w:val="32"/>
        </w:rPr>
        <w:t>o provedení</w:t>
      </w:r>
      <w:r w:rsidR="003E71FF">
        <w:rPr>
          <w:rStyle w:val="A1"/>
          <w:b/>
          <w:sz w:val="32"/>
          <w:szCs w:val="32"/>
        </w:rPr>
        <w:t xml:space="preserve"> účetních oprav</w:t>
      </w:r>
    </w:p>
    <w:p w14:paraId="5B033C5A" w14:textId="77777777" w:rsidR="005B1FC6" w:rsidRPr="00D73C22" w:rsidRDefault="005B1FC6" w:rsidP="00D73C22">
      <w:pPr>
        <w:jc w:val="center"/>
        <w:rPr>
          <w:rStyle w:val="A1"/>
          <w:sz w:val="24"/>
          <w:szCs w:val="32"/>
        </w:rPr>
      </w:pPr>
    </w:p>
    <w:p w14:paraId="262F2BAD" w14:textId="77777777" w:rsidR="009652C2" w:rsidRPr="00D73C22" w:rsidRDefault="003E71FF" w:rsidP="00B964BE">
      <w:pPr>
        <w:spacing w:after="160" w:line="259" w:lineRule="auto"/>
        <w:jc w:val="both"/>
        <w:rPr>
          <w:rFonts w:ascii="Calibri Light" w:hAnsi="Calibri Light" w:cs="Calibri Light"/>
          <w:color w:val="000000" w:themeColor="text1"/>
        </w:rPr>
      </w:pPr>
      <w:r>
        <w:rPr>
          <w:rFonts w:ascii="Calibri Light" w:hAnsi="Calibri Light" w:cs="Calibri Light"/>
          <w:noProof/>
          <w:color w:val="FF0000"/>
          <w:lang w:eastAsia="cs-CZ"/>
        </w:rPr>
        <w:drawing>
          <wp:anchor distT="0" distB="0" distL="114300" distR="114300" simplePos="0" relativeHeight="251678720" behindDoc="1" locked="0" layoutInCell="1" allowOverlap="1" wp14:anchorId="46D0392B" wp14:editId="3D2E1045">
            <wp:simplePos x="0" y="0"/>
            <wp:positionH relativeFrom="column">
              <wp:posOffset>3369310</wp:posOffset>
            </wp:positionH>
            <wp:positionV relativeFrom="paragraph">
              <wp:posOffset>531385</wp:posOffset>
            </wp:positionV>
            <wp:extent cx="1208405" cy="246380"/>
            <wp:effectExtent l="0" t="0" r="0" b="1270"/>
            <wp:wrapTight wrapText="bothSides">
              <wp:wrapPolygon edited="0">
                <wp:start x="0" y="0"/>
                <wp:lineTo x="0" y="20041"/>
                <wp:lineTo x="21112" y="20041"/>
                <wp:lineTo x="21112"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a.png"/>
                    <pic:cNvPicPr/>
                  </pic:nvPicPr>
                  <pic:blipFill rotWithShape="1">
                    <a:blip r:embed="rId12" cstate="print">
                      <a:extLst>
                        <a:ext uri="{28A0092B-C50C-407E-A947-70E740481C1C}">
                          <a14:useLocalDpi xmlns:a14="http://schemas.microsoft.com/office/drawing/2010/main" val="0"/>
                        </a:ext>
                      </a:extLst>
                    </a:blip>
                    <a:srcRect t="29738" b="53535"/>
                    <a:stretch/>
                  </pic:blipFill>
                  <pic:spPr bwMode="auto">
                    <a:xfrm>
                      <a:off x="0" y="0"/>
                      <a:ext cx="1208405" cy="246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52C2">
        <w:rPr>
          <w:rFonts w:ascii="Calibri Light" w:hAnsi="Calibri Light" w:cs="Calibri Light"/>
          <w:noProof/>
          <w:color w:val="FF0000"/>
          <w:lang w:eastAsia="cs-CZ"/>
        </w:rPr>
        <w:drawing>
          <wp:inline distT="0" distB="0" distL="0" distR="0" wp14:anchorId="2B330541" wp14:editId="5F5D4E73">
            <wp:extent cx="2705100" cy="149288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y kruhové II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5100" cy="1492885"/>
                    </a:xfrm>
                    <a:prstGeom prst="rect">
                      <a:avLst/>
                    </a:prstGeom>
                  </pic:spPr>
                </pic:pic>
              </a:graphicData>
            </a:graphic>
          </wp:inline>
        </w:drawing>
      </w:r>
    </w:p>
    <w:p w14:paraId="7AAB63A9" w14:textId="77777777" w:rsidR="00B964BE" w:rsidRDefault="00B964BE">
      <w:pPr>
        <w:spacing w:after="160" w:line="259" w:lineRule="auto"/>
        <w:rPr>
          <w:rFonts w:asciiTheme="minorHAnsi" w:eastAsiaTheme="minorHAnsi" w:hAnsiTheme="minorHAnsi" w:cstheme="minorHAnsi"/>
          <w:b/>
          <w:sz w:val="28"/>
          <w:szCs w:val="28"/>
        </w:rPr>
      </w:pPr>
      <w:r>
        <w:br w:type="page"/>
      </w:r>
    </w:p>
    <w:p w14:paraId="1C1B461B" w14:textId="77777777" w:rsidR="0033466E" w:rsidRPr="00DB6C92" w:rsidRDefault="00A640AE" w:rsidP="00183D64">
      <w:pPr>
        <w:pStyle w:val="Nadpis1"/>
        <w:spacing w:after="0" w:line="240" w:lineRule="auto"/>
      </w:pPr>
      <w:r w:rsidRPr="00DB6C92">
        <w:lastRenderedPageBreak/>
        <w:t>I. Shrnutí a vyhodnocení</w:t>
      </w:r>
    </w:p>
    <w:p w14:paraId="5D5D2916" w14:textId="77777777" w:rsidR="00183D64" w:rsidRPr="007A29CA" w:rsidRDefault="00183D64" w:rsidP="00183D64">
      <w:pPr>
        <w:spacing w:after="0"/>
        <w:jc w:val="both"/>
      </w:pPr>
    </w:p>
    <w:p w14:paraId="59FE226F" w14:textId="1EA47B50" w:rsidR="00410E09" w:rsidRPr="0000654C" w:rsidRDefault="00410E09" w:rsidP="00410E09">
      <w:pPr>
        <w:spacing w:after="0"/>
        <w:jc w:val="both"/>
        <w:rPr>
          <w:rFonts w:asciiTheme="minorHAnsi" w:eastAsiaTheme="minorHAnsi" w:hAnsiTheme="minorHAnsi" w:cstheme="minorHAnsi"/>
          <w:bCs/>
          <w:highlight w:val="yellow"/>
        </w:rPr>
      </w:pPr>
      <w:r w:rsidRPr="0000654C">
        <w:rPr>
          <w:rFonts w:asciiTheme="minorHAnsi" w:eastAsiaTheme="minorHAnsi" w:hAnsiTheme="minorHAnsi" w:cstheme="minorHAnsi"/>
        </w:rPr>
        <w:t>Cílem kontroly bylo prověřit, zda Ministerstvo průmyslu a obchodu při sestavení závěrečného účtu a při vedení účetnictví a sestavení účetní závěrky a předkládání údajů pro hodnocení plnění státního rozpočtu za rok 2020 postupovalo v souladu s příslušnými právními předpisy.</w:t>
      </w:r>
    </w:p>
    <w:p w14:paraId="057BD651" w14:textId="77777777" w:rsidR="00410E09" w:rsidRDefault="00410E09" w:rsidP="007A7522">
      <w:pPr>
        <w:spacing w:after="0"/>
        <w:jc w:val="both"/>
        <w:rPr>
          <w:rFonts w:eastAsiaTheme="minorHAnsi" w:cs="Calibri"/>
        </w:rPr>
      </w:pPr>
    </w:p>
    <w:p w14:paraId="7AD99AAB" w14:textId="2CDDA1B4" w:rsidR="00410E09" w:rsidRDefault="00410E09" w:rsidP="001B7E65">
      <w:pPr>
        <w:spacing w:after="0"/>
        <w:jc w:val="both"/>
        <w:rPr>
          <w:rFonts w:eastAsiaTheme="minorHAnsi" w:cs="Calibri"/>
        </w:rPr>
      </w:pPr>
      <w:r>
        <w:rPr>
          <w:rFonts w:eastAsiaTheme="minorHAnsi" w:cs="Calibri"/>
        </w:rPr>
        <w:t>NKÚ</w:t>
      </w:r>
      <w:r w:rsidR="00C60ABB">
        <w:rPr>
          <w:rFonts w:eastAsiaTheme="minorHAnsi" w:cs="Calibri"/>
        </w:rPr>
        <w:t xml:space="preserve"> proto</w:t>
      </w:r>
      <w:r>
        <w:rPr>
          <w:rFonts w:eastAsiaTheme="minorHAnsi" w:cs="Calibri"/>
        </w:rPr>
        <w:t xml:space="preserve"> při kontrole </w:t>
      </w:r>
      <w:r w:rsidR="00A640AE" w:rsidRPr="00842B22">
        <w:rPr>
          <w:rFonts w:eastAsiaTheme="minorHAnsi" w:cs="Calibri"/>
        </w:rPr>
        <w:t xml:space="preserve">prověřil </w:t>
      </w:r>
      <w:r>
        <w:rPr>
          <w:rFonts w:eastAsiaTheme="minorHAnsi" w:cs="Calibri"/>
        </w:rPr>
        <w:t>správnost</w:t>
      </w:r>
      <w:r w:rsidR="00131ED0">
        <w:rPr>
          <w:rFonts w:eastAsiaTheme="minorHAnsi" w:cs="Calibri"/>
        </w:rPr>
        <w:t xml:space="preserve">, </w:t>
      </w:r>
      <w:r>
        <w:rPr>
          <w:rFonts w:eastAsiaTheme="minorHAnsi" w:cs="Calibri"/>
        </w:rPr>
        <w:t>úplnost</w:t>
      </w:r>
      <w:r w:rsidR="00131ED0">
        <w:rPr>
          <w:rFonts w:eastAsiaTheme="minorHAnsi" w:cs="Calibri"/>
        </w:rPr>
        <w:t xml:space="preserve"> a srozumitelnost</w:t>
      </w:r>
      <w:r>
        <w:rPr>
          <w:rFonts w:eastAsiaTheme="minorHAnsi" w:cs="Calibri"/>
        </w:rPr>
        <w:t xml:space="preserve"> vedení účetnictví, </w:t>
      </w:r>
      <w:r w:rsidR="00A640AE" w:rsidRPr="00842B22">
        <w:rPr>
          <w:rFonts w:eastAsiaTheme="minorHAnsi" w:cs="Calibri"/>
        </w:rPr>
        <w:t xml:space="preserve">průkaznost účetního zpracování, spolehlivost finančních informací na výstupu z účetní jednotky </w:t>
      </w:r>
      <w:r w:rsidR="00842B22" w:rsidRPr="00842B22">
        <w:rPr>
          <w:rFonts w:eastAsiaTheme="minorHAnsi" w:cs="Calibri"/>
        </w:rPr>
        <w:t>MPO</w:t>
      </w:r>
      <w:r w:rsidR="0055132B" w:rsidRPr="00842B22">
        <w:rPr>
          <w:rFonts w:eastAsiaTheme="minorHAnsi" w:cs="Calibri"/>
        </w:rPr>
        <w:t xml:space="preserve"> za rok 20</w:t>
      </w:r>
      <w:r w:rsidR="00842B22" w:rsidRPr="00842B22">
        <w:rPr>
          <w:rFonts w:eastAsiaTheme="minorHAnsi" w:cs="Calibri"/>
        </w:rPr>
        <w:t>20</w:t>
      </w:r>
      <w:r w:rsidR="0055132B" w:rsidRPr="00842B22">
        <w:rPr>
          <w:rFonts w:eastAsiaTheme="minorHAnsi" w:cs="Calibri"/>
        </w:rPr>
        <w:t xml:space="preserve"> </w:t>
      </w:r>
      <w:r w:rsidR="00A640AE" w:rsidRPr="00842B22">
        <w:rPr>
          <w:rFonts w:eastAsiaTheme="minorHAnsi" w:cs="Calibri"/>
        </w:rPr>
        <w:t xml:space="preserve">a dodržování vybraných </w:t>
      </w:r>
      <w:r w:rsidR="00EC339E" w:rsidRPr="00842B22">
        <w:rPr>
          <w:rFonts w:eastAsiaTheme="minorHAnsi" w:cs="Calibri"/>
        </w:rPr>
        <w:t>požadavků právních předpisů při</w:t>
      </w:r>
      <w:r w:rsidR="006E6758" w:rsidRPr="00842B22">
        <w:rPr>
          <w:rFonts w:eastAsiaTheme="minorHAnsi" w:cs="Calibri"/>
        </w:rPr>
        <w:t xml:space="preserve"> </w:t>
      </w:r>
      <w:r w:rsidR="00A640AE" w:rsidRPr="00842B22">
        <w:rPr>
          <w:rFonts w:eastAsiaTheme="minorHAnsi" w:cs="Calibri"/>
        </w:rPr>
        <w:t xml:space="preserve">hospodaření s majetkem státu. </w:t>
      </w:r>
      <w:r w:rsidR="003C668A">
        <w:rPr>
          <w:rFonts w:eastAsiaTheme="minorHAnsi" w:cs="Calibri"/>
        </w:rPr>
        <w:t>Dodržování právních předpisů v těchto oblastech</w:t>
      </w:r>
      <w:r w:rsidR="00A640AE" w:rsidRPr="00842B22">
        <w:rPr>
          <w:rFonts w:eastAsiaTheme="minorHAnsi" w:cs="Calibri"/>
        </w:rPr>
        <w:t xml:space="preserve"> je základem řádného finančního řízení v souladu se zákonem č. 320/2001 Sb.</w:t>
      </w:r>
      <w:r w:rsidR="002C62D6">
        <w:rPr>
          <w:rStyle w:val="Znakapoznpodarou"/>
          <w:rFonts w:eastAsiaTheme="minorHAnsi" w:cs="Calibri"/>
        </w:rPr>
        <w:footnoteReference w:id="5"/>
      </w:r>
    </w:p>
    <w:p w14:paraId="090F89A3" w14:textId="77777777" w:rsidR="00131ED0" w:rsidRDefault="00131ED0" w:rsidP="001B7E65">
      <w:pPr>
        <w:spacing w:after="0"/>
        <w:jc w:val="both"/>
        <w:rPr>
          <w:rFonts w:eastAsiaTheme="minorHAnsi" w:cs="Calibri"/>
        </w:rPr>
      </w:pPr>
    </w:p>
    <w:p w14:paraId="451D9B98" w14:textId="3C8C015F" w:rsidR="001B3E7F" w:rsidRPr="00FC0815" w:rsidRDefault="00FC0815" w:rsidP="00FC0815">
      <w:pPr>
        <w:keepNext/>
        <w:jc w:val="both"/>
        <w:rPr>
          <w:rFonts w:eastAsiaTheme="minorHAnsi" w:cs="Calibri"/>
          <w:b/>
        </w:rPr>
      </w:pPr>
      <w:r>
        <w:rPr>
          <w:rFonts w:eastAsiaTheme="minorHAnsi" w:cs="Calibri"/>
          <w:b/>
        </w:rPr>
        <w:t xml:space="preserve">1. </w:t>
      </w:r>
      <w:r w:rsidR="005D65A9" w:rsidRPr="00FC0815">
        <w:rPr>
          <w:rFonts w:eastAsiaTheme="minorHAnsi" w:cs="Calibri"/>
          <w:b/>
        </w:rPr>
        <w:t>Vedení účetnictví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1FF"/>
        <w:tblLook w:val="04A0" w:firstRow="1" w:lastRow="0" w:firstColumn="1" w:lastColumn="0" w:noHBand="0" w:noVBand="1"/>
      </w:tblPr>
      <w:tblGrid>
        <w:gridCol w:w="9060"/>
      </w:tblGrid>
      <w:tr w:rsidR="00CC22D4" w14:paraId="0834E2DD" w14:textId="77777777" w:rsidTr="005E63AE">
        <w:tc>
          <w:tcPr>
            <w:tcW w:w="9060" w:type="dxa"/>
            <w:shd w:val="clear" w:color="auto" w:fill="E5F1FF"/>
          </w:tcPr>
          <w:p w14:paraId="1BE70198" w14:textId="77777777" w:rsidR="00CC22D4" w:rsidRDefault="00CC22D4" w:rsidP="005E63AE">
            <w:pPr>
              <w:jc w:val="both"/>
              <w:rPr>
                <w:rFonts w:eastAsiaTheme="minorHAnsi" w:cs="Calibri"/>
                <w:b/>
              </w:rPr>
            </w:pPr>
            <w:r w:rsidRPr="005E63AE">
              <w:rPr>
                <w:rFonts w:eastAsiaTheme="minorHAnsi" w:cs="Calibri"/>
                <w:b/>
              </w:rPr>
              <w:t>V oblasti vedení účetnictví bylo zjištěno, že účetnictví MPO za rok 2020 není úplné, neboť MPO v průběhu roku neúčtovalo o transferech poskytnutých formou zálohy k následnému vyúčtování jako o svém aktivu.</w:t>
            </w:r>
          </w:p>
        </w:tc>
      </w:tr>
    </w:tbl>
    <w:p w14:paraId="6FEFE610" w14:textId="77777777" w:rsidR="001B3E7F" w:rsidRPr="008B175D" w:rsidRDefault="001B3E7F" w:rsidP="005D65A9">
      <w:pPr>
        <w:spacing w:after="0"/>
        <w:jc w:val="both"/>
        <w:rPr>
          <w:rFonts w:eastAsiaTheme="minorHAnsi" w:cs="Calibri"/>
          <w:b/>
        </w:rPr>
      </w:pPr>
    </w:p>
    <w:p w14:paraId="6159F357" w14:textId="0C6D4137" w:rsidR="00AF653E" w:rsidRPr="005D65A9" w:rsidRDefault="00213B1D" w:rsidP="005D65A9">
      <w:pPr>
        <w:spacing w:after="0"/>
        <w:jc w:val="both"/>
        <w:rPr>
          <w:rFonts w:asciiTheme="minorHAnsi" w:hAnsiTheme="minorHAnsi" w:cstheme="minorHAnsi"/>
          <w:b/>
          <w:spacing w:val="-2"/>
        </w:rPr>
      </w:pPr>
      <w:r w:rsidRPr="001B3E7F">
        <w:rPr>
          <w:rFonts w:eastAsiaTheme="minorHAnsi" w:cs="Calibri"/>
          <w:b/>
        </w:rPr>
        <w:t xml:space="preserve">MPO </w:t>
      </w:r>
      <w:r w:rsidR="00E70ED0" w:rsidRPr="001B3E7F">
        <w:rPr>
          <w:rFonts w:eastAsiaTheme="minorHAnsi" w:cs="Calibri"/>
          <w:b/>
        </w:rPr>
        <w:t>stanov</w:t>
      </w:r>
      <w:r w:rsidRPr="001B3E7F">
        <w:rPr>
          <w:rFonts w:eastAsiaTheme="minorHAnsi" w:cs="Calibri"/>
          <w:b/>
        </w:rPr>
        <w:t>i</w:t>
      </w:r>
      <w:r w:rsidR="000605EE">
        <w:rPr>
          <w:rFonts w:eastAsiaTheme="minorHAnsi" w:cs="Calibri"/>
          <w:b/>
        </w:rPr>
        <w:t>lo</w:t>
      </w:r>
      <w:r w:rsidR="00690DAF" w:rsidRPr="001B3E7F">
        <w:rPr>
          <w:rFonts w:eastAsiaTheme="minorHAnsi" w:cs="Calibri"/>
          <w:b/>
        </w:rPr>
        <w:t xml:space="preserve"> pro tyto účetní případy</w:t>
      </w:r>
      <w:r w:rsidR="00E70ED0" w:rsidRPr="001B3E7F">
        <w:rPr>
          <w:rFonts w:eastAsiaTheme="minorHAnsi" w:cs="Calibri"/>
          <w:b/>
        </w:rPr>
        <w:t xml:space="preserve"> </w:t>
      </w:r>
      <w:r w:rsidR="00690DAF" w:rsidRPr="001B3E7F">
        <w:rPr>
          <w:rFonts w:eastAsiaTheme="minorHAnsi" w:cs="Calibri"/>
          <w:b/>
        </w:rPr>
        <w:t xml:space="preserve">vnitřním předpisem významnost, pro kterou byla využita </w:t>
      </w:r>
      <w:r w:rsidR="00690DAF" w:rsidRPr="005E63AE">
        <w:rPr>
          <w:rFonts w:eastAsiaTheme="minorHAnsi" w:cs="Calibri"/>
          <w:b/>
        </w:rPr>
        <w:t>aplikace minulé zkušenosti v této oblasti</w:t>
      </w:r>
      <w:r w:rsidR="00892B50" w:rsidRPr="005E63AE">
        <w:rPr>
          <w:rFonts w:eastAsiaTheme="minorHAnsi" w:cs="Calibri"/>
          <w:b/>
        </w:rPr>
        <w:t xml:space="preserve">, že tyto transfery byly vyúčtovány bez vratky peněžních prostředků nebo s vratkou maximálně do 2 % </w:t>
      </w:r>
      <w:r w:rsidR="00DA2698" w:rsidRPr="005E63AE">
        <w:rPr>
          <w:rFonts w:eastAsiaTheme="minorHAnsi" w:cs="Calibri"/>
          <w:b/>
        </w:rPr>
        <w:t xml:space="preserve">z celkového objemu </w:t>
      </w:r>
      <w:r w:rsidR="00892B50" w:rsidRPr="005E63AE">
        <w:rPr>
          <w:rFonts w:eastAsiaTheme="minorHAnsi" w:cs="Calibri"/>
          <w:b/>
        </w:rPr>
        <w:t>poskytnut</w:t>
      </w:r>
      <w:r w:rsidR="00DA2698" w:rsidRPr="005E63AE">
        <w:rPr>
          <w:rFonts w:eastAsiaTheme="minorHAnsi" w:cs="Calibri"/>
          <w:b/>
        </w:rPr>
        <w:t>ých</w:t>
      </w:r>
      <w:r w:rsidR="00892B50" w:rsidRPr="005E63AE">
        <w:rPr>
          <w:rFonts w:eastAsiaTheme="minorHAnsi" w:cs="Calibri"/>
          <w:b/>
        </w:rPr>
        <w:t xml:space="preserve"> transfer</w:t>
      </w:r>
      <w:r w:rsidR="00DA2698" w:rsidRPr="005E63AE">
        <w:rPr>
          <w:rFonts w:eastAsiaTheme="minorHAnsi" w:cs="Calibri"/>
          <w:b/>
        </w:rPr>
        <w:t>ů</w:t>
      </w:r>
      <w:r w:rsidR="00690DAF" w:rsidRPr="005E63AE">
        <w:rPr>
          <w:rFonts w:eastAsiaTheme="minorHAnsi" w:cs="Calibri"/>
          <w:b/>
        </w:rPr>
        <w:t>.</w:t>
      </w:r>
      <w:r w:rsidR="00690DAF" w:rsidRPr="001B3E7F">
        <w:rPr>
          <w:rFonts w:eastAsiaTheme="minorHAnsi" w:cs="Calibri"/>
          <w:b/>
        </w:rPr>
        <w:t xml:space="preserve"> </w:t>
      </w:r>
      <w:r w:rsidR="00892B50" w:rsidRPr="001B3E7F">
        <w:rPr>
          <w:rFonts w:eastAsiaTheme="minorHAnsi" w:cs="Calibri"/>
          <w:b/>
        </w:rPr>
        <w:t>Tat</w:t>
      </w:r>
      <w:r w:rsidR="00690DAF" w:rsidRPr="001B3E7F">
        <w:rPr>
          <w:rFonts w:eastAsiaTheme="minorHAnsi" w:cs="Calibri"/>
          <w:b/>
        </w:rPr>
        <w:t>o</w:t>
      </w:r>
      <w:r w:rsidR="00690DAF" w:rsidRPr="005D65A9">
        <w:rPr>
          <w:rFonts w:eastAsiaTheme="minorHAnsi" w:cs="Calibri"/>
          <w:b/>
        </w:rPr>
        <w:t xml:space="preserve"> zkušenost z minulých účetních období měla být</w:t>
      </w:r>
      <w:r w:rsidR="00892B50" w:rsidRPr="005D65A9">
        <w:rPr>
          <w:rFonts w:eastAsiaTheme="minorHAnsi" w:cs="Calibri"/>
          <w:b/>
        </w:rPr>
        <w:t xml:space="preserve"> dle MPO</w:t>
      </w:r>
      <w:r w:rsidR="00690DAF" w:rsidRPr="005D65A9">
        <w:rPr>
          <w:rFonts w:eastAsiaTheme="minorHAnsi" w:cs="Calibri"/>
          <w:b/>
        </w:rPr>
        <w:t xml:space="preserve"> př</w:t>
      </w:r>
      <w:r w:rsidR="00892B50" w:rsidRPr="005D65A9">
        <w:rPr>
          <w:rFonts w:eastAsiaTheme="minorHAnsi" w:cs="Calibri"/>
          <w:b/>
        </w:rPr>
        <w:t>en</w:t>
      </w:r>
      <w:r w:rsidR="00E775AA">
        <w:rPr>
          <w:rFonts w:eastAsiaTheme="minorHAnsi" w:cs="Calibri"/>
          <w:b/>
        </w:rPr>
        <w:t>ositelná i do aktuálního roku a </w:t>
      </w:r>
      <w:r w:rsidR="00892B50" w:rsidRPr="005D65A9">
        <w:rPr>
          <w:rFonts w:eastAsiaTheme="minorHAnsi" w:cs="Calibri"/>
          <w:b/>
        </w:rPr>
        <w:t>aplikovaná již při poskytování transferu.</w:t>
      </w:r>
      <w:r w:rsidR="005E102C" w:rsidRPr="005D65A9">
        <w:rPr>
          <w:rFonts w:eastAsiaTheme="minorHAnsi" w:cs="Calibri"/>
          <w:b/>
        </w:rPr>
        <w:t xml:space="preserve"> </w:t>
      </w:r>
      <w:r w:rsidR="00892B50" w:rsidRPr="005D65A9">
        <w:rPr>
          <w:rFonts w:eastAsiaTheme="minorHAnsi" w:cs="Calibri"/>
          <w:b/>
        </w:rPr>
        <w:t>MPO v roce 2020 proto účtovalo poskytování takových peněžních prostředků určených k finančnímu vypořádání</w:t>
      </w:r>
      <w:r w:rsidR="00962E94" w:rsidRPr="005D65A9">
        <w:rPr>
          <w:rFonts w:eastAsiaTheme="minorHAnsi" w:cs="Calibri"/>
          <w:b/>
        </w:rPr>
        <w:t xml:space="preserve"> </w:t>
      </w:r>
      <w:r w:rsidR="00555FF3" w:rsidRPr="005D65A9">
        <w:rPr>
          <w:rFonts w:eastAsiaTheme="minorHAnsi" w:cs="Calibri"/>
          <w:b/>
        </w:rPr>
        <w:t xml:space="preserve">přímo </w:t>
      </w:r>
      <w:r w:rsidR="00962E94" w:rsidRPr="005D65A9">
        <w:rPr>
          <w:rFonts w:eastAsiaTheme="minorHAnsi" w:cs="Calibri"/>
          <w:b/>
        </w:rPr>
        <w:t>do nákladů</w:t>
      </w:r>
      <w:r w:rsidR="00892B50" w:rsidRPr="005D65A9">
        <w:rPr>
          <w:rFonts w:eastAsiaTheme="minorHAnsi" w:cs="Calibri"/>
          <w:b/>
        </w:rPr>
        <w:t>. Dl</w:t>
      </w:r>
      <w:r w:rsidR="00690DAF" w:rsidRPr="005D65A9">
        <w:rPr>
          <w:rFonts w:eastAsiaTheme="minorHAnsi" w:cs="Calibri"/>
          <w:b/>
        </w:rPr>
        <w:t>e názoru MPO</w:t>
      </w:r>
      <w:r w:rsidR="005E102C" w:rsidRPr="005D65A9">
        <w:rPr>
          <w:rFonts w:eastAsiaTheme="minorHAnsi" w:cs="Calibri"/>
          <w:b/>
        </w:rPr>
        <w:t xml:space="preserve"> postup podle </w:t>
      </w:r>
      <w:r w:rsidR="001918C8" w:rsidRPr="001918C8">
        <w:rPr>
          <w:rFonts w:eastAsiaTheme="minorHAnsi" w:cs="Calibri"/>
          <w:b/>
        </w:rPr>
        <w:t>česk</w:t>
      </w:r>
      <w:r w:rsidR="001918C8">
        <w:rPr>
          <w:rFonts w:eastAsiaTheme="minorHAnsi" w:cs="Calibri"/>
          <w:b/>
        </w:rPr>
        <w:t>ého</w:t>
      </w:r>
      <w:r w:rsidR="001918C8" w:rsidRPr="001918C8">
        <w:rPr>
          <w:rFonts w:eastAsiaTheme="minorHAnsi" w:cs="Calibri"/>
          <w:b/>
        </w:rPr>
        <w:t xml:space="preserve"> účetní</w:t>
      </w:r>
      <w:r w:rsidR="001918C8">
        <w:rPr>
          <w:rFonts w:eastAsiaTheme="minorHAnsi" w:cs="Calibri"/>
          <w:b/>
        </w:rPr>
        <w:t>ho</w:t>
      </w:r>
      <w:r w:rsidR="001918C8" w:rsidRPr="001918C8">
        <w:rPr>
          <w:rFonts w:eastAsiaTheme="minorHAnsi" w:cs="Calibri"/>
          <w:b/>
        </w:rPr>
        <w:t xml:space="preserve"> standard</w:t>
      </w:r>
      <w:r w:rsidR="001918C8">
        <w:rPr>
          <w:rFonts w:eastAsiaTheme="minorHAnsi" w:cs="Calibri"/>
          <w:b/>
        </w:rPr>
        <w:t>u</w:t>
      </w:r>
      <w:r w:rsidR="001918C8" w:rsidRPr="001918C8">
        <w:rPr>
          <w:rFonts w:eastAsiaTheme="minorHAnsi" w:cs="Calibri"/>
          <w:b/>
        </w:rPr>
        <w:t xml:space="preserve"> pro některé vybrané účetní jednotky</w:t>
      </w:r>
      <w:r w:rsidR="001918C8">
        <w:rPr>
          <w:rFonts w:eastAsiaTheme="minorHAnsi" w:cs="Calibri"/>
          <w:b/>
        </w:rPr>
        <w:t xml:space="preserve"> (dále „</w:t>
      </w:r>
      <w:r w:rsidR="005E102C" w:rsidRPr="005D65A9">
        <w:rPr>
          <w:rFonts w:eastAsiaTheme="minorHAnsi" w:cs="Calibri"/>
          <w:b/>
        </w:rPr>
        <w:t>ČÚS</w:t>
      </w:r>
      <w:r w:rsidR="001918C8">
        <w:rPr>
          <w:rFonts w:eastAsiaTheme="minorHAnsi" w:cs="Calibri"/>
          <w:b/>
        </w:rPr>
        <w:t>“)</w:t>
      </w:r>
      <w:r w:rsidR="005E102C" w:rsidRPr="005D65A9">
        <w:rPr>
          <w:rFonts w:eastAsiaTheme="minorHAnsi" w:cs="Calibri"/>
          <w:b/>
        </w:rPr>
        <w:t xml:space="preserve"> </w:t>
      </w:r>
      <w:r w:rsidR="00DA2698">
        <w:rPr>
          <w:rFonts w:eastAsiaTheme="minorHAnsi" w:cs="Calibri"/>
          <w:b/>
        </w:rPr>
        <w:t xml:space="preserve">č. </w:t>
      </w:r>
      <w:r w:rsidR="005E102C" w:rsidRPr="005D65A9">
        <w:rPr>
          <w:rFonts w:eastAsiaTheme="minorHAnsi" w:cs="Calibri"/>
          <w:b/>
        </w:rPr>
        <w:t>703</w:t>
      </w:r>
      <w:r w:rsidR="003755DF">
        <w:rPr>
          <w:rFonts w:eastAsiaTheme="minorHAnsi" w:cs="Calibri"/>
          <w:b/>
        </w:rPr>
        <w:t> </w:t>
      </w:r>
      <w:r w:rsidR="00DA2698" w:rsidRPr="00DA2698">
        <w:rPr>
          <w:rFonts w:eastAsiaTheme="minorHAnsi" w:cs="Calibri"/>
          <w:b/>
        </w:rPr>
        <w:t>–</w:t>
      </w:r>
      <w:r w:rsidR="003755DF">
        <w:rPr>
          <w:rFonts w:eastAsiaTheme="minorHAnsi" w:cs="Calibri"/>
          <w:b/>
        </w:rPr>
        <w:t> </w:t>
      </w:r>
      <w:r w:rsidR="005E102C" w:rsidRPr="005D65A9">
        <w:rPr>
          <w:rFonts w:eastAsiaTheme="minorHAnsi" w:cs="Calibri"/>
          <w:b/>
          <w:i/>
        </w:rPr>
        <w:t>Transfer</w:t>
      </w:r>
      <w:r w:rsidR="005E102C" w:rsidRPr="005D65A9">
        <w:rPr>
          <w:rFonts w:eastAsiaTheme="minorHAnsi" w:cs="Calibri"/>
          <w:b/>
        </w:rPr>
        <w:t xml:space="preserve">y vede </w:t>
      </w:r>
      <w:r w:rsidR="00BE5FDD" w:rsidRPr="005D65A9">
        <w:rPr>
          <w:rFonts w:eastAsiaTheme="minorHAnsi" w:cs="Calibri"/>
          <w:b/>
        </w:rPr>
        <w:t>mj.</w:t>
      </w:r>
      <w:r w:rsidR="005E102C" w:rsidRPr="005D65A9">
        <w:rPr>
          <w:rFonts w:eastAsiaTheme="minorHAnsi" w:cs="Calibri"/>
          <w:b/>
        </w:rPr>
        <w:t xml:space="preserve"> k nadhodnocování aktiv o zálohy na transfery</w:t>
      </w:r>
      <w:r w:rsidR="00F14139" w:rsidRPr="005D65A9">
        <w:rPr>
          <w:rFonts w:eastAsiaTheme="minorHAnsi" w:cs="Calibri"/>
          <w:b/>
        </w:rPr>
        <w:t>.</w:t>
      </w:r>
      <w:r w:rsidR="00E70ED0" w:rsidRPr="005D65A9">
        <w:rPr>
          <w:rFonts w:asciiTheme="minorHAnsi" w:hAnsiTheme="minorHAnsi" w:cstheme="minorHAnsi"/>
          <w:b/>
          <w:spacing w:val="-2"/>
        </w:rPr>
        <w:t xml:space="preserve"> </w:t>
      </w:r>
      <w:r w:rsidR="00892B50" w:rsidRPr="005D65A9">
        <w:rPr>
          <w:rFonts w:asciiTheme="minorHAnsi" w:hAnsiTheme="minorHAnsi" w:cstheme="minorHAnsi"/>
          <w:b/>
          <w:spacing w:val="-2"/>
        </w:rPr>
        <w:t>Kontrolou byly u</w:t>
      </w:r>
      <w:r w:rsidR="005E102C" w:rsidRPr="005D65A9">
        <w:rPr>
          <w:rFonts w:asciiTheme="minorHAnsi" w:hAnsiTheme="minorHAnsi" w:cstheme="minorHAnsi"/>
          <w:b/>
          <w:spacing w:val="-2"/>
        </w:rPr>
        <w:t xml:space="preserve"> MPO </w:t>
      </w:r>
      <w:r w:rsidR="00690DAF" w:rsidRPr="005D65A9">
        <w:rPr>
          <w:rFonts w:asciiTheme="minorHAnsi" w:hAnsiTheme="minorHAnsi" w:cstheme="minorHAnsi"/>
          <w:b/>
          <w:spacing w:val="-2"/>
        </w:rPr>
        <w:t xml:space="preserve">identifikovány </w:t>
      </w:r>
      <w:r w:rsidR="00892B50" w:rsidRPr="005D65A9">
        <w:rPr>
          <w:rFonts w:asciiTheme="minorHAnsi" w:hAnsiTheme="minorHAnsi" w:cstheme="minorHAnsi"/>
          <w:b/>
          <w:spacing w:val="-2"/>
        </w:rPr>
        <w:t>tyto</w:t>
      </w:r>
      <w:r w:rsidR="00690DAF" w:rsidRPr="005D65A9">
        <w:rPr>
          <w:rFonts w:asciiTheme="minorHAnsi" w:hAnsiTheme="minorHAnsi" w:cstheme="minorHAnsi"/>
          <w:b/>
          <w:spacing w:val="-2"/>
        </w:rPr>
        <w:t xml:space="preserve"> účetní případy ve významné výši</w:t>
      </w:r>
      <w:r w:rsidR="00D05072">
        <w:rPr>
          <w:rFonts w:asciiTheme="minorHAnsi" w:hAnsiTheme="minorHAnsi" w:cstheme="minorHAnsi"/>
          <w:b/>
          <w:spacing w:val="-2"/>
        </w:rPr>
        <w:t xml:space="preserve">, </w:t>
      </w:r>
      <w:r w:rsidR="005E102C" w:rsidRPr="005D65A9">
        <w:rPr>
          <w:rFonts w:asciiTheme="minorHAnsi" w:hAnsiTheme="minorHAnsi" w:cstheme="minorHAnsi"/>
          <w:b/>
          <w:spacing w:val="-2"/>
        </w:rPr>
        <w:t>jen na</w:t>
      </w:r>
      <w:r w:rsidR="00E70ED0" w:rsidRPr="005D65A9">
        <w:rPr>
          <w:rFonts w:asciiTheme="minorHAnsi" w:hAnsiTheme="minorHAnsi" w:cstheme="minorHAnsi"/>
          <w:b/>
          <w:spacing w:val="-2"/>
        </w:rPr>
        <w:t xml:space="preserve"> vzorku </w:t>
      </w:r>
      <w:r w:rsidR="005E102C" w:rsidRPr="005D65A9">
        <w:rPr>
          <w:rFonts w:asciiTheme="minorHAnsi" w:hAnsiTheme="minorHAnsi" w:cstheme="minorHAnsi"/>
          <w:b/>
          <w:spacing w:val="-2"/>
        </w:rPr>
        <w:t xml:space="preserve">účetních </w:t>
      </w:r>
      <w:r w:rsidR="00892B50" w:rsidRPr="005D65A9">
        <w:rPr>
          <w:rFonts w:asciiTheme="minorHAnsi" w:hAnsiTheme="minorHAnsi" w:cstheme="minorHAnsi"/>
          <w:b/>
          <w:spacing w:val="-2"/>
        </w:rPr>
        <w:t>operací</w:t>
      </w:r>
      <w:r w:rsidR="005E102C" w:rsidRPr="005D65A9">
        <w:rPr>
          <w:rFonts w:asciiTheme="minorHAnsi" w:hAnsiTheme="minorHAnsi" w:cstheme="minorHAnsi"/>
          <w:b/>
          <w:spacing w:val="-2"/>
        </w:rPr>
        <w:t xml:space="preserve"> </w:t>
      </w:r>
      <w:r w:rsidR="00D05072">
        <w:rPr>
          <w:rFonts w:asciiTheme="minorHAnsi" w:hAnsiTheme="minorHAnsi" w:cstheme="minorHAnsi"/>
          <w:b/>
          <w:spacing w:val="-2"/>
        </w:rPr>
        <w:t>se jednalo</w:t>
      </w:r>
      <w:r w:rsidR="00A26CDA">
        <w:rPr>
          <w:rFonts w:asciiTheme="minorHAnsi" w:hAnsiTheme="minorHAnsi" w:cstheme="minorHAnsi"/>
          <w:b/>
          <w:spacing w:val="-2"/>
        </w:rPr>
        <w:t xml:space="preserve"> v průběhu roku</w:t>
      </w:r>
      <w:r w:rsidR="00D05072">
        <w:rPr>
          <w:rFonts w:asciiTheme="minorHAnsi" w:hAnsiTheme="minorHAnsi" w:cstheme="minorHAnsi"/>
          <w:b/>
          <w:spacing w:val="-2"/>
        </w:rPr>
        <w:t xml:space="preserve"> o</w:t>
      </w:r>
      <w:r w:rsidR="003755DF">
        <w:rPr>
          <w:rFonts w:asciiTheme="minorHAnsi" w:hAnsiTheme="minorHAnsi" w:cstheme="minorHAnsi"/>
          <w:b/>
          <w:spacing w:val="-2"/>
        </w:rPr>
        <w:t> </w:t>
      </w:r>
      <w:r w:rsidR="00E70ED0" w:rsidRPr="005D65A9">
        <w:rPr>
          <w:rFonts w:asciiTheme="minorHAnsi" w:hAnsiTheme="minorHAnsi" w:cstheme="minorHAnsi"/>
          <w:b/>
          <w:spacing w:val="-2"/>
        </w:rPr>
        <w:t>27 mld.</w:t>
      </w:r>
      <w:r w:rsidR="005E102C" w:rsidRPr="005D65A9">
        <w:rPr>
          <w:rFonts w:asciiTheme="minorHAnsi" w:hAnsiTheme="minorHAnsi" w:cstheme="minorHAnsi"/>
          <w:b/>
          <w:spacing w:val="-2"/>
        </w:rPr>
        <w:t xml:space="preserve"> Kč.</w:t>
      </w:r>
      <w:r w:rsidR="00E70ED0" w:rsidRPr="005D65A9">
        <w:rPr>
          <w:rFonts w:asciiTheme="minorHAnsi" w:hAnsiTheme="minorHAnsi" w:cstheme="minorHAnsi"/>
          <w:b/>
          <w:spacing w:val="-2"/>
        </w:rPr>
        <w:t xml:space="preserve"> </w:t>
      </w:r>
    </w:p>
    <w:p w14:paraId="52D93070" w14:textId="77777777" w:rsidR="00AF653E" w:rsidRDefault="00AF653E" w:rsidP="001B7E65">
      <w:pPr>
        <w:spacing w:after="0"/>
        <w:jc w:val="both"/>
        <w:rPr>
          <w:rFonts w:asciiTheme="minorHAnsi" w:hAnsiTheme="minorHAnsi" w:cstheme="minorHAnsi"/>
          <w:b/>
          <w:spacing w:val="-2"/>
        </w:rPr>
      </w:pPr>
    </w:p>
    <w:p w14:paraId="71241EBD" w14:textId="507E3128" w:rsidR="00EA35AC" w:rsidRPr="00FF42F7" w:rsidRDefault="00E70ED0" w:rsidP="001B7E65">
      <w:pPr>
        <w:spacing w:after="0"/>
        <w:jc w:val="both"/>
        <w:rPr>
          <w:rFonts w:eastAsiaTheme="minorHAnsi" w:cs="Calibri"/>
        </w:rPr>
      </w:pPr>
      <w:r>
        <w:rPr>
          <w:rFonts w:asciiTheme="minorHAnsi" w:hAnsiTheme="minorHAnsi" w:cstheme="minorHAnsi"/>
          <w:b/>
          <w:spacing w:val="-2"/>
        </w:rPr>
        <w:t>N</w:t>
      </w:r>
      <w:r w:rsidR="00962E94">
        <w:rPr>
          <w:rFonts w:eastAsiaTheme="minorHAnsi" w:cs="Calibri"/>
          <w:b/>
        </w:rPr>
        <w:t>KÚ považuje tuto praxi</w:t>
      </w:r>
      <w:r w:rsidR="00F11124">
        <w:rPr>
          <w:rFonts w:eastAsiaTheme="minorHAnsi" w:cs="Calibri"/>
          <w:b/>
        </w:rPr>
        <w:t xml:space="preserve"> za neodpovídající </w:t>
      </w:r>
      <w:r w:rsidR="00962E94">
        <w:rPr>
          <w:rFonts w:eastAsiaTheme="minorHAnsi" w:cs="Calibri"/>
          <w:b/>
        </w:rPr>
        <w:t>platn</w:t>
      </w:r>
      <w:r w:rsidR="00F11124">
        <w:rPr>
          <w:rFonts w:eastAsiaTheme="minorHAnsi" w:cs="Calibri"/>
          <w:b/>
        </w:rPr>
        <w:t>é</w:t>
      </w:r>
      <w:r w:rsidR="00962E94">
        <w:rPr>
          <w:rFonts w:eastAsiaTheme="minorHAnsi" w:cs="Calibri"/>
          <w:b/>
        </w:rPr>
        <w:t xml:space="preserve"> účetní regulac</w:t>
      </w:r>
      <w:r w:rsidR="00E871AA">
        <w:rPr>
          <w:rFonts w:eastAsiaTheme="minorHAnsi" w:cs="Calibri"/>
          <w:b/>
        </w:rPr>
        <w:t>i</w:t>
      </w:r>
      <w:r w:rsidR="00962E94">
        <w:rPr>
          <w:rFonts w:eastAsiaTheme="minorHAnsi" w:cs="Calibri"/>
          <w:b/>
        </w:rPr>
        <w:t xml:space="preserve"> </w:t>
      </w:r>
      <w:r w:rsidR="00E871AA">
        <w:rPr>
          <w:rFonts w:eastAsiaTheme="minorHAnsi" w:cs="Calibri"/>
          <w:b/>
        </w:rPr>
        <w:t xml:space="preserve">a za nežádoucí </w:t>
      </w:r>
      <w:r w:rsidR="00962E94">
        <w:rPr>
          <w:rFonts w:eastAsiaTheme="minorHAnsi" w:cs="Calibri"/>
          <w:b/>
        </w:rPr>
        <w:t xml:space="preserve">z pohledu užitku takové informace. </w:t>
      </w:r>
      <w:r w:rsidR="00A428C1">
        <w:rPr>
          <w:rFonts w:eastAsiaTheme="minorHAnsi" w:cs="Calibri"/>
          <w:b/>
        </w:rPr>
        <w:t xml:space="preserve">Účetnictví obecně je založeno na zobrazení právní </w:t>
      </w:r>
      <w:r w:rsidR="00FF42F7">
        <w:rPr>
          <w:rFonts w:eastAsiaTheme="minorHAnsi" w:cs="Calibri"/>
          <w:b/>
        </w:rPr>
        <w:t>skutečnosti</w:t>
      </w:r>
      <w:r w:rsidR="00A428C1">
        <w:rPr>
          <w:rFonts w:eastAsiaTheme="minorHAnsi" w:cs="Calibri"/>
          <w:b/>
        </w:rPr>
        <w:t xml:space="preserve"> k okamžiku uskutečnění účetního případu. </w:t>
      </w:r>
      <w:r w:rsidR="00A428C1" w:rsidRPr="005E63AE">
        <w:rPr>
          <w:rFonts w:eastAsiaTheme="minorHAnsi" w:cs="Calibri"/>
          <w:b/>
        </w:rPr>
        <w:t>Přístup MPO je oproti tomu založen na účtování o očekávaném budoucím výsledku</w:t>
      </w:r>
      <w:r w:rsidR="00D3201F">
        <w:rPr>
          <w:rFonts w:eastAsiaTheme="minorHAnsi" w:cs="Calibri"/>
          <w:b/>
        </w:rPr>
        <w:t>, tj. o právní skutečnosti, která ještě nenastala</w:t>
      </w:r>
      <w:r w:rsidR="00FF42F7" w:rsidRPr="005E63AE">
        <w:rPr>
          <w:rFonts w:eastAsiaTheme="minorHAnsi" w:cs="Calibri"/>
          <w:b/>
        </w:rPr>
        <w:t>.</w:t>
      </w:r>
      <w:r w:rsidR="00347316" w:rsidRPr="001B3E7F">
        <w:rPr>
          <w:rFonts w:eastAsiaTheme="minorHAnsi" w:cs="Calibri"/>
          <w:b/>
        </w:rPr>
        <w:t xml:space="preserve"> </w:t>
      </w:r>
      <w:r w:rsidR="00347316" w:rsidRPr="005E63AE">
        <w:rPr>
          <w:rFonts w:eastAsiaTheme="minorHAnsi" w:cs="Calibri"/>
          <w:b/>
        </w:rPr>
        <w:t xml:space="preserve">Používání </w:t>
      </w:r>
      <w:r w:rsidR="000D36D6" w:rsidRPr="005E63AE">
        <w:rPr>
          <w:rFonts w:eastAsiaTheme="minorHAnsi" w:cs="Calibri"/>
          <w:b/>
        </w:rPr>
        <w:t>zkušenosti minulých let</w:t>
      </w:r>
      <w:r w:rsidR="00A428C1" w:rsidRPr="005E63AE">
        <w:rPr>
          <w:rFonts w:eastAsiaTheme="minorHAnsi" w:cs="Calibri"/>
          <w:b/>
        </w:rPr>
        <w:t xml:space="preserve"> </w:t>
      </w:r>
      <w:r w:rsidR="000777CF" w:rsidRPr="005E63AE">
        <w:rPr>
          <w:rFonts w:eastAsiaTheme="minorHAnsi" w:cs="Calibri"/>
          <w:b/>
        </w:rPr>
        <w:t>u</w:t>
      </w:r>
      <w:r w:rsidR="00347316" w:rsidRPr="005E63AE">
        <w:rPr>
          <w:rFonts w:eastAsiaTheme="minorHAnsi" w:cs="Calibri"/>
          <w:b/>
        </w:rPr>
        <w:t xml:space="preserve"> účetních případů</w:t>
      </w:r>
      <w:r w:rsidR="00FB371E" w:rsidRPr="005E63AE">
        <w:rPr>
          <w:rFonts w:eastAsiaTheme="minorHAnsi" w:cs="Calibri"/>
          <w:b/>
        </w:rPr>
        <w:t xml:space="preserve"> týkajících se </w:t>
      </w:r>
      <w:r w:rsidR="000777CF" w:rsidRPr="005E63AE">
        <w:rPr>
          <w:rFonts w:eastAsiaTheme="minorHAnsi" w:cs="Calibri"/>
          <w:b/>
        </w:rPr>
        <w:t xml:space="preserve">účtování záloh z poskytnutých </w:t>
      </w:r>
      <w:r w:rsidR="00FB371E" w:rsidRPr="005E63AE">
        <w:rPr>
          <w:rFonts w:eastAsiaTheme="minorHAnsi" w:cs="Calibri"/>
          <w:b/>
        </w:rPr>
        <w:t xml:space="preserve">transferů </w:t>
      </w:r>
      <w:r w:rsidR="00347316" w:rsidRPr="005E63AE">
        <w:rPr>
          <w:rFonts w:eastAsiaTheme="minorHAnsi" w:cs="Calibri"/>
          <w:b/>
        </w:rPr>
        <w:t>není v souladu s platnou účetní regulací.</w:t>
      </w:r>
      <w:r w:rsidR="00347316" w:rsidRPr="001B3E7F">
        <w:rPr>
          <w:rFonts w:eastAsiaTheme="minorHAnsi" w:cs="Calibri"/>
          <w:b/>
        </w:rPr>
        <w:t xml:space="preserve"> </w:t>
      </w:r>
      <w:r w:rsidR="00A428C1" w:rsidRPr="00FF42F7">
        <w:rPr>
          <w:rFonts w:eastAsiaTheme="minorHAnsi" w:cs="Calibri"/>
        </w:rPr>
        <w:t>Účetní knihy při takovém přístupu</w:t>
      </w:r>
      <w:r w:rsidR="00DF564A">
        <w:rPr>
          <w:rFonts w:eastAsiaTheme="minorHAnsi" w:cs="Calibri"/>
        </w:rPr>
        <w:t xml:space="preserve"> MPO</w:t>
      </w:r>
      <w:r w:rsidR="00A428C1" w:rsidRPr="00FF42F7">
        <w:rPr>
          <w:rFonts w:eastAsiaTheme="minorHAnsi" w:cs="Calibri"/>
        </w:rPr>
        <w:t xml:space="preserve"> neposkytují potřebný přehled o</w:t>
      </w:r>
      <w:r w:rsidR="00B15F89">
        <w:rPr>
          <w:rFonts w:eastAsiaTheme="minorHAnsi" w:cs="Calibri"/>
        </w:rPr>
        <w:t> </w:t>
      </w:r>
      <w:r w:rsidR="00A428C1" w:rsidRPr="00FF42F7">
        <w:rPr>
          <w:rFonts w:eastAsiaTheme="minorHAnsi" w:cs="Calibri"/>
        </w:rPr>
        <w:t xml:space="preserve">ekonomickém dění v účetní jednotce a </w:t>
      </w:r>
      <w:r w:rsidR="00F60FDE" w:rsidRPr="00FF42F7">
        <w:rPr>
          <w:rFonts w:eastAsiaTheme="minorHAnsi" w:cs="Calibri"/>
        </w:rPr>
        <w:t>v informační základně účetní jednotky chybí aktiva státu, se kterými j</w:t>
      </w:r>
      <w:r w:rsidR="009514A6">
        <w:rPr>
          <w:rFonts w:eastAsiaTheme="minorHAnsi" w:cs="Calibri"/>
        </w:rPr>
        <w:t>e organizační složka státu</w:t>
      </w:r>
      <w:r w:rsidR="007D1797">
        <w:rPr>
          <w:rFonts w:eastAsiaTheme="minorHAnsi" w:cs="Calibri"/>
        </w:rPr>
        <w:t xml:space="preserve"> (dále „OSS“)</w:t>
      </w:r>
      <w:r w:rsidR="00F60FDE" w:rsidRPr="00FF42F7">
        <w:rPr>
          <w:rFonts w:eastAsiaTheme="minorHAnsi" w:cs="Calibri"/>
        </w:rPr>
        <w:t xml:space="preserve"> povinn</w:t>
      </w:r>
      <w:r w:rsidR="009514A6">
        <w:rPr>
          <w:rFonts w:eastAsiaTheme="minorHAnsi" w:cs="Calibri"/>
        </w:rPr>
        <w:t>á</w:t>
      </w:r>
      <w:r w:rsidR="00F60FDE" w:rsidRPr="00FF42F7">
        <w:rPr>
          <w:rFonts w:eastAsiaTheme="minorHAnsi" w:cs="Calibri"/>
        </w:rPr>
        <w:t xml:space="preserve"> hospodařit mj. v souladu se zákonem č. 219/2000 Sb.</w:t>
      </w:r>
      <w:r w:rsidR="00143AB8">
        <w:rPr>
          <w:rStyle w:val="Znakapoznpodarou"/>
          <w:rFonts w:eastAsiaTheme="minorHAnsi" w:cs="Calibri"/>
        </w:rPr>
        <w:footnoteReference w:id="6"/>
      </w:r>
      <w:r w:rsidR="00213B1D">
        <w:rPr>
          <w:rFonts w:eastAsiaTheme="minorHAnsi" w:cs="Calibri"/>
        </w:rPr>
        <w:t xml:space="preserve"> a mít je až do okamžiku jejich vyúčtování pod svojí kontrolou</w:t>
      </w:r>
      <w:r w:rsidR="00F60FDE" w:rsidRPr="00FF42F7">
        <w:rPr>
          <w:rFonts w:eastAsiaTheme="minorHAnsi" w:cs="Calibri"/>
        </w:rPr>
        <w:t xml:space="preserve">. </w:t>
      </w:r>
    </w:p>
    <w:p w14:paraId="11BC21A3" w14:textId="77777777" w:rsidR="00AF653E" w:rsidRPr="00FF42F7" w:rsidRDefault="00AF653E" w:rsidP="001B7E65">
      <w:pPr>
        <w:spacing w:after="0"/>
        <w:jc w:val="both"/>
        <w:rPr>
          <w:rFonts w:eastAsiaTheme="minorHAnsi" w:cs="Calibri"/>
        </w:rPr>
      </w:pPr>
    </w:p>
    <w:p w14:paraId="7963301F" w14:textId="5A531361" w:rsidR="00E81674" w:rsidRPr="005E63AE" w:rsidRDefault="00952498" w:rsidP="00E81674">
      <w:pPr>
        <w:spacing w:after="0"/>
        <w:jc w:val="both"/>
        <w:rPr>
          <w:rFonts w:asciiTheme="minorHAnsi" w:hAnsiTheme="minorHAnsi" w:cstheme="minorHAnsi"/>
          <w:spacing w:val="-2"/>
        </w:rPr>
      </w:pPr>
      <w:r>
        <w:rPr>
          <w:rFonts w:asciiTheme="minorHAnsi" w:hAnsiTheme="minorHAnsi" w:cstheme="minorHAnsi"/>
          <w:spacing w:val="-2"/>
        </w:rPr>
        <w:t>N</w:t>
      </w:r>
      <w:r w:rsidR="00E70ED0" w:rsidRPr="00213B1D">
        <w:rPr>
          <w:rFonts w:asciiTheme="minorHAnsi" w:hAnsiTheme="minorHAnsi" w:cstheme="minorHAnsi"/>
          <w:spacing w:val="-2"/>
        </w:rPr>
        <w:t>eúplnost účtování</w:t>
      </w:r>
      <w:r w:rsidR="00A428C1" w:rsidRPr="00213B1D">
        <w:rPr>
          <w:rFonts w:asciiTheme="minorHAnsi" w:hAnsiTheme="minorHAnsi" w:cstheme="minorHAnsi"/>
          <w:spacing w:val="-2"/>
        </w:rPr>
        <w:t xml:space="preserve"> v průběhu roku 2020</w:t>
      </w:r>
      <w:r w:rsidR="00E70ED0" w:rsidRPr="00213B1D">
        <w:rPr>
          <w:rFonts w:asciiTheme="minorHAnsi" w:hAnsiTheme="minorHAnsi" w:cstheme="minorHAnsi"/>
          <w:spacing w:val="-2"/>
        </w:rPr>
        <w:t xml:space="preserve"> </w:t>
      </w:r>
      <w:r w:rsidR="009B7D2B">
        <w:rPr>
          <w:rFonts w:asciiTheme="minorHAnsi" w:hAnsiTheme="minorHAnsi" w:cstheme="minorHAnsi"/>
          <w:spacing w:val="-2"/>
        </w:rPr>
        <w:t>má</w:t>
      </w:r>
      <w:r w:rsidR="009B7D2B" w:rsidRPr="00213B1D">
        <w:rPr>
          <w:rFonts w:asciiTheme="minorHAnsi" w:hAnsiTheme="minorHAnsi" w:cstheme="minorHAnsi"/>
          <w:spacing w:val="-2"/>
        </w:rPr>
        <w:t xml:space="preserve"> </w:t>
      </w:r>
      <w:r w:rsidR="00E70ED0" w:rsidRPr="00213B1D">
        <w:rPr>
          <w:rFonts w:asciiTheme="minorHAnsi" w:hAnsiTheme="minorHAnsi" w:cstheme="minorHAnsi"/>
          <w:spacing w:val="-2"/>
        </w:rPr>
        <w:t>významný vliv na údaje mezitímní</w:t>
      </w:r>
      <w:r w:rsidR="000777CF">
        <w:rPr>
          <w:rFonts w:asciiTheme="minorHAnsi" w:hAnsiTheme="minorHAnsi" w:cstheme="minorHAnsi"/>
          <w:spacing w:val="-2"/>
        </w:rPr>
        <w:t>ch</w:t>
      </w:r>
      <w:r w:rsidR="00E70ED0" w:rsidRPr="00213B1D">
        <w:rPr>
          <w:rFonts w:asciiTheme="minorHAnsi" w:hAnsiTheme="minorHAnsi" w:cstheme="minorHAnsi"/>
          <w:spacing w:val="-2"/>
        </w:rPr>
        <w:t xml:space="preserve"> účetní</w:t>
      </w:r>
      <w:r w:rsidR="000777CF">
        <w:rPr>
          <w:rFonts w:asciiTheme="minorHAnsi" w:hAnsiTheme="minorHAnsi" w:cstheme="minorHAnsi"/>
          <w:spacing w:val="-2"/>
        </w:rPr>
        <w:t>ch</w:t>
      </w:r>
      <w:r w:rsidR="00E70ED0" w:rsidRPr="00213B1D">
        <w:rPr>
          <w:rFonts w:asciiTheme="minorHAnsi" w:hAnsiTheme="minorHAnsi" w:cstheme="minorHAnsi"/>
          <w:spacing w:val="-2"/>
        </w:rPr>
        <w:t xml:space="preserve"> závěr</w:t>
      </w:r>
      <w:r w:rsidR="000777CF">
        <w:rPr>
          <w:rFonts w:asciiTheme="minorHAnsi" w:hAnsiTheme="minorHAnsi" w:cstheme="minorHAnsi"/>
          <w:spacing w:val="-2"/>
        </w:rPr>
        <w:t>e</w:t>
      </w:r>
      <w:r w:rsidR="00E70ED0" w:rsidRPr="00213B1D">
        <w:rPr>
          <w:rFonts w:asciiTheme="minorHAnsi" w:hAnsiTheme="minorHAnsi" w:cstheme="minorHAnsi"/>
          <w:spacing w:val="-2"/>
        </w:rPr>
        <w:t xml:space="preserve">k a </w:t>
      </w:r>
      <w:r w:rsidR="009514A6">
        <w:rPr>
          <w:rFonts w:asciiTheme="minorHAnsi" w:hAnsiTheme="minorHAnsi" w:cstheme="minorHAnsi"/>
          <w:spacing w:val="-2"/>
        </w:rPr>
        <w:t xml:space="preserve">údaje </w:t>
      </w:r>
      <w:r w:rsidR="00E70ED0" w:rsidRPr="00213B1D">
        <w:rPr>
          <w:rFonts w:asciiTheme="minorHAnsi" w:hAnsiTheme="minorHAnsi" w:cstheme="minorHAnsi"/>
          <w:spacing w:val="-2"/>
        </w:rPr>
        <w:t>pomocn</w:t>
      </w:r>
      <w:r w:rsidR="00F60FDE" w:rsidRPr="00213B1D">
        <w:rPr>
          <w:rFonts w:asciiTheme="minorHAnsi" w:hAnsiTheme="minorHAnsi" w:cstheme="minorHAnsi"/>
          <w:spacing w:val="-2"/>
        </w:rPr>
        <w:t>ých</w:t>
      </w:r>
      <w:r w:rsidR="00E70ED0" w:rsidRPr="00213B1D">
        <w:rPr>
          <w:rFonts w:asciiTheme="minorHAnsi" w:hAnsiTheme="minorHAnsi" w:cstheme="minorHAnsi"/>
          <w:spacing w:val="-2"/>
        </w:rPr>
        <w:t xml:space="preserve"> analytick</w:t>
      </w:r>
      <w:r w:rsidR="00F60FDE" w:rsidRPr="00213B1D">
        <w:rPr>
          <w:rFonts w:asciiTheme="minorHAnsi" w:hAnsiTheme="minorHAnsi" w:cstheme="minorHAnsi"/>
          <w:spacing w:val="-2"/>
        </w:rPr>
        <w:t>ých</w:t>
      </w:r>
      <w:r w:rsidR="00E70ED0" w:rsidRPr="00213B1D">
        <w:rPr>
          <w:rFonts w:asciiTheme="minorHAnsi" w:hAnsiTheme="minorHAnsi" w:cstheme="minorHAnsi"/>
          <w:spacing w:val="-2"/>
        </w:rPr>
        <w:t xml:space="preserve"> přehled</w:t>
      </w:r>
      <w:r w:rsidR="00F60FDE" w:rsidRPr="00213B1D">
        <w:rPr>
          <w:rFonts w:asciiTheme="minorHAnsi" w:hAnsiTheme="minorHAnsi" w:cstheme="minorHAnsi"/>
          <w:spacing w:val="-2"/>
        </w:rPr>
        <w:t>ů</w:t>
      </w:r>
      <w:r w:rsidR="00E70ED0" w:rsidRPr="00213B1D">
        <w:rPr>
          <w:rFonts w:asciiTheme="minorHAnsi" w:hAnsiTheme="minorHAnsi" w:cstheme="minorHAnsi"/>
          <w:spacing w:val="-2"/>
        </w:rPr>
        <w:t xml:space="preserve"> sestav</w:t>
      </w:r>
      <w:r w:rsidR="00AF653E" w:rsidRPr="00213B1D">
        <w:rPr>
          <w:rFonts w:asciiTheme="minorHAnsi" w:hAnsiTheme="minorHAnsi" w:cstheme="minorHAnsi"/>
          <w:spacing w:val="-2"/>
        </w:rPr>
        <w:t>ovan</w:t>
      </w:r>
      <w:r w:rsidR="00F60FDE" w:rsidRPr="00213B1D">
        <w:rPr>
          <w:rFonts w:asciiTheme="minorHAnsi" w:hAnsiTheme="minorHAnsi" w:cstheme="minorHAnsi"/>
          <w:spacing w:val="-2"/>
        </w:rPr>
        <w:t>ých</w:t>
      </w:r>
      <w:r w:rsidR="00AF653E" w:rsidRPr="00213B1D">
        <w:rPr>
          <w:rFonts w:asciiTheme="minorHAnsi" w:hAnsiTheme="minorHAnsi" w:cstheme="minorHAnsi"/>
          <w:spacing w:val="-2"/>
        </w:rPr>
        <w:t xml:space="preserve"> na základě </w:t>
      </w:r>
      <w:r w:rsidR="00E70ED0" w:rsidRPr="00213B1D">
        <w:rPr>
          <w:rFonts w:asciiTheme="minorHAnsi" w:hAnsiTheme="minorHAnsi" w:cstheme="minorHAnsi"/>
          <w:spacing w:val="-2"/>
        </w:rPr>
        <w:t>účetnictví</w:t>
      </w:r>
      <w:r w:rsidR="00AF653E" w:rsidRPr="00213B1D">
        <w:rPr>
          <w:rFonts w:asciiTheme="minorHAnsi" w:hAnsiTheme="minorHAnsi" w:cstheme="minorHAnsi"/>
          <w:spacing w:val="-2"/>
        </w:rPr>
        <w:t xml:space="preserve"> </w:t>
      </w:r>
      <w:r w:rsidR="00A428C1" w:rsidRPr="00213B1D">
        <w:rPr>
          <w:rFonts w:asciiTheme="minorHAnsi" w:hAnsiTheme="minorHAnsi" w:cstheme="minorHAnsi"/>
          <w:spacing w:val="-2"/>
        </w:rPr>
        <w:t xml:space="preserve">MPO </w:t>
      </w:r>
      <w:r w:rsidR="00AF653E" w:rsidRPr="00213B1D">
        <w:rPr>
          <w:rFonts w:asciiTheme="minorHAnsi" w:hAnsiTheme="minorHAnsi" w:cstheme="minorHAnsi"/>
          <w:spacing w:val="-2"/>
        </w:rPr>
        <w:lastRenderedPageBreak/>
        <w:t>a</w:t>
      </w:r>
      <w:r w:rsidR="003755DF">
        <w:rPr>
          <w:rFonts w:asciiTheme="minorHAnsi" w:hAnsiTheme="minorHAnsi" w:cstheme="minorHAnsi"/>
          <w:spacing w:val="-2"/>
        </w:rPr>
        <w:t> </w:t>
      </w:r>
      <w:r w:rsidR="00AF653E" w:rsidRPr="00213B1D">
        <w:rPr>
          <w:rFonts w:asciiTheme="minorHAnsi" w:hAnsiTheme="minorHAnsi" w:cstheme="minorHAnsi"/>
          <w:spacing w:val="-2"/>
        </w:rPr>
        <w:t>předkládan</w:t>
      </w:r>
      <w:r w:rsidR="00F60FDE" w:rsidRPr="00213B1D">
        <w:rPr>
          <w:rFonts w:asciiTheme="minorHAnsi" w:hAnsiTheme="minorHAnsi" w:cstheme="minorHAnsi"/>
          <w:spacing w:val="-2"/>
        </w:rPr>
        <w:t>ých</w:t>
      </w:r>
      <w:r w:rsidR="00AF653E" w:rsidRPr="00213B1D">
        <w:rPr>
          <w:rFonts w:asciiTheme="minorHAnsi" w:hAnsiTheme="minorHAnsi" w:cstheme="minorHAnsi"/>
          <w:spacing w:val="-2"/>
        </w:rPr>
        <w:t xml:space="preserve"> </w:t>
      </w:r>
      <w:r w:rsidR="00E70ED0" w:rsidRPr="00213B1D">
        <w:rPr>
          <w:rFonts w:asciiTheme="minorHAnsi" w:hAnsiTheme="minorHAnsi" w:cstheme="minorHAnsi"/>
          <w:spacing w:val="-2"/>
        </w:rPr>
        <w:t>Ministerstvu financí (dále</w:t>
      </w:r>
      <w:r w:rsidR="009514A6">
        <w:rPr>
          <w:rFonts w:asciiTheme="minorHAnsi" w:hAnsiTheme="minorHAnsi" w:cstheme="minorHAnsi"/>
          <w:spacing w:val="-2"/>
        </w:rPr>
        <w:t xml:space="preserve"> také</w:t>
      </w:r>
      <w:r w:rsidR="00E70ED0" w:rsidRPr="00213B1D">
        <w:rPr>
          <w:rFonts w:asciiTheme="minorHAnsi" w:hAnsiTheme="minorHAnsi" w:cstheme="minorHAnsi"/>
          <w:spacing w:val="-2"/>
        </w:rPr>
        <w:t xml:space="preserve"> „MF“)</w:t>
      </w:r>
      <w:r w:rsidR="00A428C1" w:rsidRPr="00213B1D">
        <w:rPr>
          <w:rFonts w:asciiTheme="minorHAnsi" w:hAnsiTheme="minorHAnsi" w:cstheme="minorHAnsi"/>
          <w:spacing w:val="-2"/>
        </w:rPr>
        <w:t xml:space="preserve"> </w:t>
      </w:r>
      <w:r w:rsidR="00E70ED0" w:rsidRPr="00213B1D">
        <w:rPr>
          <w:rFonts w:asciiTheme="minorHAnsi" w:hAnsiTheme="minorHAnsi" w:cstheme="minorHAnsi"/>
          <w:spacing w:val="-2"/>
        </w:rPr>
        <w:t>čtvrtletně prostřednictvím</w:t>
      </w:r>
      <w:r w:rsidR="00E70ED0" w:rsidRPr="00E70ED0">
        <w:rPr>
          <w:rFonts w:asciiTheme="minorHAnsi" w:hAnsiTheme="minorHAnsi" w:cstheme="minorHAnsi"/>
          <w:spacing w:val="-2"/>
        </w:rPr>
        <w:t xml:space="preserve"> </w:t>
      </w:r>
      <w:r w:rsidR="009514A6" w:rsidRPr="005B0DF4">
        <w:rPr>
          <w:rFonts w:asciiTheme="minorHAnsi" w:hAnsiTheme="minorHAnsi" w:cstheme="minorHAnsi"/>
          <w:i/>
          <w:spacing w:val="-2"/>
        </w:rPr>
        <w:t>Centrálního systému účetních informací státu</w:t>
      </w:r>
      <w:r w:rsidR="00641899">
        <w:rPr>
          <w:rStyle w:val="Znakapoznpodarou"/>
          <w:rFonts w:asciiTheme="minorHAnsi" w:hAnsiTheme="minorHAnsi" w:cstheme="minorHAnsi"/>
          <w:spacing w:val="-2"/>
        </w:rPr>
        <w:footnoteReference w:id="7"/>
      </w:r>
      <w:r w:rsidR="009514A6" w:rsidRPr="009514A6">
        <w:rPr>
          <w:rFonts w:asciiTheme="minorHAnsi" w:hAnsiTheme="minorHAnsi" w:cstheme="minorHAnsi"/>
          <w:spacing w:val="-2"/>
        </w:rPr>
        <w:t xml:space="preserve"> (dále „CSÚIS</w:t>
      </w:r>
      <w:r w:rsidR="009514A6">
        <w:rPr>
          <w:rFonts w:asciiTheme="minorHAnsi" w:hAnsiTheme="minorHAnsi" w:cstheme="minorHAnsi"/>
          <w:spacing w:val="-2"/>
        </w:rPr>
        <w:t xml:space="preserve">“) </w:t>
      </w:r>
      <w:r w:rsidR="00AF653E">
        <w:rPr>
          <w:rFonts w:asciiTheme="minorHAnsi" w:hAnsiTheme="minorHAnsi" w:cstheme="minorHAnsi"/>
          <w:spacing w:val="-2"/>
        </w:rPr>
        <w:t>v</w:t>
      </w:r>
      <w:r w:rsidR="009B7D2B">
        <w:rPr>
          <w:rFonts w:asciiTheme="minorHAnsi" w:hAnsiTheme="minorHAnsi" w:cstheme="minorHAnsi"/>
          <w:spacing w:val="-2"/>
        </w:rPr>
        <w:t> </w:t>
      </w:r>
      <w:r w:rsidR="00AF653E">
        <w:rPr>
          <w:rFonts w:asciiTheme="minorHAnsi" w:hAnsiTheme="minorHAnsi" w:cstheme="minorHAnsi"/>
          <w:spacing w:val="-2"/>
        </w:rPr>
        <w:t>souladu s</w:t>
      </w:r>
      <w:r w:rsidR="00FC0815">
        <w:rPr>
          <w:rFonts w:asciiTheme="minorHAnsi" w:hAnsiTheme="minorHAnsi" w:cstheme="minorHAnsi"/>
          <w:spacing w:val="-2"/>
        </w:rPr>
        <w:t> </w:t>
      </w:r>
      <w:r w:rsidR="008E3FC2">
        <w:rPr>
          <w:rFonts w:asciiTheme="minorHAnsi" w:hAnsiTheme="minorHAnsi" w:cstheme="minorHAnsi"/>
          <w:spacing w:val="-2"/>
        </w:rPr>
        <w:t>platnými</w:t>
      </w:r>
      <w:r w:rsidR="00FC0815">
        <w:rPr>
          <w:rFonts w:asciiTheme="minorHAnsi" w:hAnsiTheme="minorHAnsi" w:cstheme="minorHAnsi"/>
          <w:spacing w:val="-2"/>
        </w:rPr>
        <w:t xml:space="preserve"> </w:t>
      </w:r>
      <w:r w:rsidR="00AF653E">
        <w:rPr>
          <w:rFonts w:asciiTheme="minorHAnsi" w:hAnsiTheme="minorHAnsi" w:cstheme="minorHAnsi"/>
          <w:spacing w:val="-2"/>
        </w:rPr>
        <w:t>právními předpisy</w:t>
      </w:r>
      <w:r w:rsidR="00AF653E">
        <w:rPr>
          <w:rStyle w:val="Znakapoznpodarou"/>
          <w:rFonts w:asciiTheme="minorHAnsi" w:hAnsiTheme="minorHAnsi" w:cstheme="minorHAnsi"/>
          <w:spacing w:val="-2"/>
        </w:rPr>
        <w:footnoteReference w:id="8"/>
      </w:r>
      <w:r w:rsidR="00E70ED0" w:rsidRPr="00E70ED0">
        <w:rPr>
          <w:rFonts w:asciiTheme="minorHAnsi" w:hAnsiTheme="minorHAnsi" w:cstheme="minorHAnsi"/>
          <w:spacing w:val="-2"/>
        </w:rPr>
        <w:t>.</w:t>
      </w:r>
      <w:r w:rsidR="005B0DF4">
        <w:rPr>
          <w:rFonts w:asciiTheme="minorHAnsi" w:hAnsiTheme="minorHAnsi" w:cstheme="minorHAnsi"/>
          <w:spacing w:val="-2"/>
        </w:rPr>
        <w:br/>
        <w:t xml:space="preserve">Není-li účtováno průběžně, </w:t>
      </w:r>
      <w:r w:rsidR="009B7D2B">
        <w:rPr>
          <w:rFonts w:asciiTheme="minorHAnsi" w:hAnsiTheme="minorHAnsi" w:cstheme="minorHAnsi"/>
          <w:spacing w:val="-2"/>
        </w:rPr>
        <w:t>vede</w:t>
      </w:r>
      <w:r w:rsidR="004670E4">
        <w:rPr>
          <w:rFonts w:asciiTheme="minorHAnsi" w:hAnsiTheme="minorHAnsi" w:cstheme="minorHAnsi"/>
          <w:spacing w:val="-2"/>
        </w:rPr>
        <w:t xml:space="preserve"> to</w:t>
      </w:r>
      <w:r w:rsidR="009B7D2B">
        <w:rPr>
          <w:rFonts w:asciiTheme="minorHAnsi" w:hAnsiTheme="minorHAnsi" w:cstheme="minorHAnsi"/>
          <w:spacing w:val="-2"/>
        </w:rPr>
        <w:t xml:space="preserve"> k tomu, že tyto </w:t>
      </w:r>
      <w:r w:rsidR="00A428C1">
        <w:rPr>
          <w:rFonts w:asciiTheme="minorHAnsi" w:hAnsiTheme="minorHAnsi" w:cstheme="minorHAnsi"/>
          <w:spacing w:val="-2"/>
        </w:rPr>
        <w:t>výkazy podáva</w:t>
      </w:r>
      <w:r w:rsidR="009B7D2B">
        <w:rPr>
          <w:rFonts w:asciiTheme="minorHAnsi" w:hAnsiTheme="minorHAnsi" w:cstheme="minorHAnsi"/>
          <w:spacing w:val="-2"/>
        </w:rPr>
        <w:t>jí</w:t>
      </w:r>
      <w:r w:rsidR="00F60FDE">
        <w:rPr>
          <w:rFonts w:asciiTheme="minorHAnsi" w:hAnsiTheme="minorHAnsi" w:cstheme="minorHAnsi"/>
          <w:spacing w:val="-2"/>
        </w:rPr>
        <w:t xml:space="preserve"> </w:t>
      </w:r>
      <w:r w:rsidR="00A428C1">
        <w:rPr>
          <w:rFonts w:asciiTheme="minorHAnsi" w:hAnsiTheme="minorHAnsi" w:cstheme="minorHAnsi"/>
          <w:spacing w:val="-2"/>
        </w:rPr>
        <w:t>informace v rozporu se skutečností</w:t>
      </w:r>
      <w:r w:rsidR="00B15F89">
        <w:rPr>
          <w:rFonts w:asciiTheme="minorHAnsi" w:hAnsiTheme="minorHAnsi" w:cstheme="minorHAnsi"/>
          <w:spacing w:val="-2"/>
        </w:rPr>
        <w:t>,</w:t>
      </w:r>
      <w:r w:rsidR="00347316">
        <w:rPr>
          <w:rFonts w:asciiTheme="minorHAnsi" w:hAnsiTheme="minorHAnsi" w:cstheme="minorHAnsi"/>
          <w:spacing w:val="-2"/>
        </w:rPr>
        <w:t xml:space="preserve"> tzn.</w:t>
      </w:r>
      <w:r w:rsidR="00213B1D">
        <w:rPr>
          <w:rFonts w:asciiTheme="minorHAnsi" w:hAnsiTheme="minorHAnsi" w:cstheme="minorHAnsi"/>
          <w:spacing w:val="-2"/>
        </w:rPr>
        <w:t xml:space="preserve"> jako by poskytnuté peněžní prostředky byly k</w:t>
      </w:r>
      <w:r w:rsidR="00A018BD">
        <w:rPr>
          <w:rFonts w:asciiTheme="minorHAnsi" w:hAnsiTheme="minorHAnsi" w:cstheme="minorHAnsi"/>
          <w:spacing w:val="-2"/>
        </w:rPr>
        <w:t> </w:t>
      </w:r>
      <w:r w:rsidR="00213B1D">
        <w:rPr>
          <w:rFonts w:asciiTheme="minorHAnsi" w:hAnsiTheme="minorHAnsi" w:cstheme="minorHAnsi"/>
          <w:spacing w:val="-2"/>
        </w:rPr>
        <w:t>datu</w:t>
      </w:r>
      <w:r w:rsidR="00A018BD">
        <w:rPr>
          <w:rFonts w:asciiTheme="minorHAnsi" w:hAnsiTheme="minorHAnsi" w:cstheme="minorHAnsi"/>
          <w:spacing w:val="-2"/>
        </w:rPr>
        <w:t xml:space="preserve"> předložení výkazů</w:t>
      </w:r>
      <w:r w:rsidR="00213B1D">
        <w:rPr>
          <w:rFonts w:asciiTheme="minorHAnsi" w:hAnsiTheme="minorHAnsi" w:cstheme="minorHAnsi"/>
          <w:spacing w:val="-2"/>
        </w:rPr>
        <w:t xml:space="preserve"> již vyúčtovány</w:t>
      </w:r>
      <w:r w:rsidR="00213B1D" w:rsidRPr="00DD6EE1">
        <w:rPr>
          <w:rFonts w:asciiTheme="minorHAnsi" w:hAnsiTheme="minorHAnsi" w:cstheme="minorHAnsi"/>
          <w:spacing w:val="-2"/>
        </w:rPr>
        <w:t xml:space="preserve">. </w:t>
      </w:r>
      <w:r w:rsidR="00213B1D" w:rsidRPr="00213B1D">
        <w:rPr>
          <w:rFonts w:asciiTheme="minorHAnsi" w:hAnsiTheme="minorHAnsi" w:cstheme="minorHAnsi"/>
          <w:b/>
          <w:spacing w:val="-2"/>
        </w:rPr>
        <w:t>V důsledku takového přístupu</w:t>
      </w:r>
      <w:r w:rsidR="00213B1D">
        <w:rPr>
          <w:rFonts w:asciiTheme="minorHAnsi" w:hAnsiTheme="minorHAnsi" w:cstheme="minorHAnsi"/>
          <w:b/>
          <w:spacing w:val="-2"/>
        </w:rPr>
        <w:t xml:space="preserve"> obecně</w:t>
      </w:r>
      <w:r w:rsidR="00213B1D" w:rsidRPr="00213B1D">
        <w:rPr>
          <w:rFonts w:asciiTheme="minorHAnsi" w:hAnsiTheme="minorHAnsi" w:cstheme="minorHAnsi"/>
          <w:b/>
          <w:spacing w:val="-2"/>
        </w:rPr>
        <w:t xml:space="preserve"> by v</w:t>
      </w:r>
      <w:r w:rsidR="00612775">
        <w:rPr>
          <w:rFonts w:asciiTheme="minorHAnsi" w:hAnsiTheme="minorHAnsi" w:cstheme="minorHAnsi"/>
          <w:b/>
          <w:spacing w:val="-2"/>
        </w:rPr>
        <w:t> </w:t>
      </w:r>
      <w:r w:rsidR="009514A6">
        <w:rPr>
          <w:rFonts w:asciiTheme="minorHAnsi" w:hAnsiTheme="minorHAnsi" w:cstheme="minorHAnsi"/>
          <w:b/>
          <w:spacing w:val="-2"/>
        </w:rPr>
        <w:t>C</w:t>
      </w:r>
      <w:r w:rsidR="00213B1D" w:rsidRPr="00213B1D">
        <w:rPr>
          <w:rFonts w:asciiTheme="minorHAnsi" w:hAnsiTheme="minorHAnsi" w:cstheme="minorHAnsi"/>
          <w:b/>
          <w:spacing w:val="-2"/>
        </w:rPr>
        <w:t>SÚIS</w:t>
      </w:r>
      <w:r w:rsidR="00612775">
        <w:rPr>
          <w:rFonts w:asciiTheme="minorHAnsi" w:hAnsiTheme="minorHAnsi" w:cstheme="minorHAnsi"/>
          <w:b/>
          <w:spacing w:val="-2"/>
        </w:rPr>
        <w:t>,</w:t>
      </w:r>
      <w:r w:rsidR="00213B1D">
        <w:rPr>
          <w:rFonts w:asciiTheme="minorHAnsi" w:hAnsiTheme="minorHAnsi" w:cstheme="minorHAnsi"/>
          <w:b/>
          <w:spacing w:val="-2"/>
        </w:rPr>
        <w:t xml:space="preserve"> a tím i na portálu MONITOR</w:t>
      </w:r>
      <w:r w:rsidR="00213B1D">
        <w:rPr>
          <w:rStyle w:val="Znakapoznpodarou"/>
          <w:rFonts w:asciiTheme="minorHAnsi" w:hAnsiTheme="minorHAnsi" w:cstheme="minorHAnsi"/>
          <w:b/>
          <w:spacing w:val="-2"/>
        </w:rPr>
        <w:footnoteReference w:id="9"/>
      </w:r>
      <w:r w:rsidR="00612775">
        <w:rPr>
          <w:rFonts w:asciiTheme="minorHAnsi" w:hAnsiTheme="minorHAnsi" w:cstheme="minorHAnsi"/>
          <w:b/>
          <w:spacing w:val="-2"/>
        </w:rPr>
        <w:t>,</w:t>
      </w:r>
      <w:r w:rsidR="00213B1D" w:rsidRPr="00213B1D">
        <w:rPr>
          <w:rFonts w:asciiTheme="minorHAnsi" w:hAnsiTheme="minorHAnsi" w:cstheme="minorHAnsi"/>
          <w:b/>
          <w:spacing w:val="-2"/>
        </w:rPr>
        <w:t xml:space="preserve"> nebyla kompletní informační základna o hospodaření státu</w:t>
      </w:r>
      <w:r w:rsidR="00213B1D">
        <w:rPr>
          <w:rFonts w:asciiTheme="minorHAnsi" w:hAnsiTheme="minorHAnsi" w:cstheme="minorHAnsi"/>
          <w:b/>
          <w:spacing w:val="-2"/>
        </w:rPr>
        <w:t>, přičemž</w:t>
      </w:r>
      <w:r w:rsidR="00213B1D" w:rsidRPr="00213B1D">
        <w:rPr>
          <w:rFonts w:asciiTheme="minorHAnsi" w:hAnsiTheme="minorHAnsi" w:cstheme="minorHAnsi"/>
          <w:b/>
          <w:spacing w:val="-2"/>
        </w:rPr>
        <w:t xml:space="preserve"> její nekompletnost by nebylo možné na </w:t>
      </w:r>
      <w:r w:rsidR="00213B1D">
        <w:rPr>
          <w:rFonts w:asciiTheme="minorHAnsi" w:hAnsiTheme="minorHAnsi" w:cstheme="minorHAnsi"/>
          <w:b/>
          <w:spacing w:val="-2"/>
        </w:rPr>
        <w:t xml:space="preserve">této </w:t>
      </w:r>
      <w:r w:rsidR="00213B1D" w:rsidRPr="00213B1D">
        <w:rPr>
          <w:rFonts w:asciiTheme="minorHAnsi" w:hAnsiTheme="minorHAnsi" w:cstheme="minorHAnsi"/>
          <w:b/>
          <w:spacing w:val="-2"/>
        </w:rPr>
        <w:t>úrovni ani odhadovat, protože by existovala</w:t>
      </w:r>
      <w:r w:rsidR="00213B1D">
        <w:rPr>
          <w:rFonts w:asciiTheme="minorHAnsi" w:hAnsiTheme="minorHAnsi" w:cstheme="minorHAnsi"/>
          <w:b/>
          <w:spacing w:val="-2"/>
        </w:rPr>
        <w:t xml:space="preserve"> v důsledku individuálních subjektivních rozhodnutí jednotlivých organizačních slože</w:t>
      </w:r>
      <w:r w:rsidR="009514A6">
        <w:rPr>
          <w:rFonts w:asciiTheme="minorHAnsi" w:hAnsiTheme="minorHAnsi" w:cstheme="minorHAnsi"/>
          <w:b/>
          <w:spacing w:val="-2"/>
        </w:rPr>
        <w:t xml:space="preserve">k státu jako jeho dílčích částí </w:t>
      </w:r>
      <w:r w:rsidR="009514A6" w:rsidRPr="009514A6">
        <w:rPr>
          <w:rFonts w:asciiTheme="minorHAnsi" w:hAnsiTheme="minorHAnsi" w:cstheme="minorHAnsi"/>
          <w:spacing w:val="-2"/>
        </w:rPr>
        <w:t>(viz část IV.</w:t>
      </w:r>
      <w:r w:rsidR="00515A03">
        <w:rPr>
          <w:rFonts w:asciiTheme="minorHAnsi" w:hAnsiTheme="minorHAnsi" w:cstheme="minorHAnsi"/>
          <w:spacing w:val="-2"/>
        </w:rPr>
        <w:t>1.</w:t>
      </w:r>
      <w:r w:rsidR="00232971">
        <w:rPr>
          <w:rFonts w:asciiTheme="minorHAnsi" w:hAnsiTheme="minorHAnsi" w:cstheme="minorHAnsi"/>
          <w:spacing w:val="-2"/>
        </w:rPr>
        <w:t>1</w:t>
      </w:r>
      <w:r w:rsidR="009514A6" w:rsidRPr="009514A6">
        <w:rPr>
          <w:rFonts w:asciiTheme="minorHAnsi" w:hAnsiTheme="minorHAnsi" w:cstheme="minorHAnsi"/>
          <w:spacing w:val="-2"/>
        </w:rPr>
        <w:t xml:space="preserve"> </w:t>
      </w:r>
      <w:r w:rsidR="005D0540">
        <w:rPr>
          <w:rFonts w:asciiTheme="minorHAnsi" w:hAnsiTheme="minorHAnsi" w:cstheme="minorHAnsi"/>
          <w:spacing w:val="-2"/>
        </w:rPr>
        <w:t xml:space="preserve">tohoto </w:t>
      </w:r>
      <w:r w:rsidR="009514A6" w:rsidRPr="009514A6">
        <w:rPr>
          <w:rFonts w:asciiTheme="minorHAnsi" w:hAnsiTheme="minorHAnsi" w:cstheme="minorHAnsi"/>
          <w:spacing w:val="-2"/>
        </w:rPr>
        <w:t>kontrolního závěru).</w:t>
      </w:r>
      <w:r w:rsidR="00E81674">
        <w:rPr>
          <w:rFonts w:asciiTheme="minorHAnsi" w:hAnsiTheme="minorHAnsi" w:cstheme="minorHAnsi"/>
          <w:spacing w:val="-2"/>
        </w:rPr>
        <w:t xml:space="preserve"> </w:t>
      </w:r>
      <w:r w:rsidR="00E81674">
        <w:rPr>
          <w:rFonts w:asciiTheme="minorHAnsi" w:hAnsiTheme="minorHAnsi" w:cstheme="minorHAnsi"/>
          <w:b/>
          <w:spacing w:val="-2"/>
        </w:rPr>
        <w:t>Významný vliv na údaje účetní závěrky k 31. prosinci 2020 tato skutečnost neměla</w:t>
      </w:r>
      <w:r w:rsidR="004F758B">
        <w:rPr>
          <w:rFonts w:asciiTheme="minorHAnsi" w:hAnsiTheme="minorHAnsi" w:cstheme="minorHAnsi"/>
          <w:b/>
          <w:spacing w:val="-2"/>
        </w:rPr>
        <w:t xml:space="preserve">, neboť většina poskytnutých </w:t>
      </w:r>
      <w:r w:rsidR="00363F69">
        <w:rPr>
          <w:rFonts w:asciiTheme="minorHAnsi" w:hAnsiTheme="minorHAnsi" w:cstheme="minorHAnsi"/>
          <w:b/>
          <w:spacing w:val="-2"/>
        </w:rPr>
        <w:t>prostředků byla v daném roce příjemcem spotřebována</w:t>
      </w:r>
      <w:r w:rsidR="00BB1C88">
        <w:rPr>
          <w:rFonts w:asciiTheme="minorHAnsi" w:hAnsiTheme="minorHAnsi" w:cstheme="minorHAnsi"/>
          <w:b/>
          <w:spacing w:val="-2"/>
        </w:rPr>
        <w:t xml:space="preserve"> a vyúčtována</w:t>
      </w:r>
      <w:r w:rsidR="00E81674">
        <w:rPr>
          <w:rFonts w:asciiTheme="minorHAnsi" w:hAnsiTheme="minorHAnsi" w:cstheme="minorHAnsi"/>
          <w:b/>
          <w:spacing w:val="-2"/>
        </w:rPr>
        <w:t>.</w:t>
      </w:r>
    </w:p>
    <w:p w14:paraId="6D3A0128" w14:textId="77777777" w:rsidR="00E81674" w:rsidRDefault="00E81674" w:rsidP="00E81674">
      <w:pPr>
        <w:spacing w:after="0"/>
        <w:jc w:val="both"/>
        <w:rPr>
          <w:rFonts w:asciiTheme="minorHAnsi" w:hAnsiTheme="minorHAnsi" w:cstheme="minorHAnsi"/>
          <w:b/>
          <w:spacing w:val="-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1FF"/>
        <w:tblLook w:val="04A0" w:firstRow="1" w:lastRow="0" w:firstColumn="1" w:lastColumn="0" w:noHBand="0" w:noVBand="1"/>
      </w:tblPr>
      <w:tblGrid>
        <w:gridCol w:w="9060"/>
      </w:tblGrid>
      <w:tr w:rsidR="007D6050" w14:paraId="14872A04" w14:textId="77777777" w:rsidTr="005E63AE">
        <w:tc>
          <w:tcPr>
            <w:tcW w:w="9060" w:type="dxa"/>
            <w:shd w:val="clear" w:color="auto" w:fill="E5F1FF"/>
          </w:tcPr>
          <w:p w14:paraId="654B4AF3" w14:textId="4D1BC8CE" w:rsidR="007D6050" w:rsidRDefault="007D6050" w:rsidP="005E63AE">
            <w:pPr>
              <w:jc w:val="both"/>
              <w:rPr>
                <w:rFonts w:asciiTheme="minorHAnsi" w:hAnsiTheme="minorHAnsi" w:cstheme="minorHAnsi"/>
                <w:b/>
                <w:spacing w:val="-2"/>
              </w:rPr>
            </w:pPr>
            <w:r w:rsidRPr="005E63AE">
              <w:rPr>
                <w:rFonts w:eastAsiaTheme="minorHAnsi" w:cs="Calibri"/>
                <w:b/>
              </w:rPr>
              <w:t>Kontrolou bylo dále zjištěno, že účetnictví MPO za rok 2020 je neprůkazné, a to v důsledku neprovedení inventarizace v roce 2020 v souladu se zákonem č. 563/1991 Sb.</w:t>
            </w:r>
            <w:r w:rsidRPr="005E63AE">
              <w:rPr>
                <w:rFonts w:eastAsiaTheme="minorHAnsi" w:cs="Calibri"/>
              </w:rPr>
              <w:t xml:space="preserve"> (viz část IV.</w:t>
            </w:r>
            <w:r w:rsidR="00FD005D">
              <w:rPr>
                <w:rFonts w:eastAsiaTheme="minorHAnsi" w:cs="Calibri"/>
              </w:rPr>
              <w:t>5.</w:t>
            </w:r>
            <w:r w:rsidRPr="005E63AE">
              <w:rPr>
                <w:rFonts w:eastAsiaTheme="minorHAnsi" w:cs="Calibri"/>
              </w:rPr>
              <w:t xml:space="preserve">1 </w:t>
            </w:r>
            <w:r w:rsidR="005D0540">
              <w:rPr>
                <w:rFonts w:eastAsiaTheme="minorHAnsi" w:cs="Calibri"/>
              </w:rPr>
              <w:t xml:space="preserve">tohoto </w:t>
            </w:r>
            <w:r w:rsidRPr="005E63AE">
              <w:rPr>
                <w:rFonts w:eastAsiaTheme="minorHAnsi" w:cs="Calibri"/>
              </w:rPr>
              <w:t>kontrolního závěru).</w:t>
            </w:r>
          </w:p>
        </w:tc>
      </w:tr>
    </w:tbl>
    <w:p w14:paraId="3E6C3E61" w14:textId="77777777" w:rsidR="005D65A9" w:rsidRDefault="005D65A9" w:rsidP="001B7E65">
      <w:pPr>
        <w:spacing w:after="0"/>
        <w:jc w:val="both"/>
        <w:rPr>
          <w:rFonts w:eastAsiaTheme="minorHAnsi" w:cs="Calibri"/>
          <w:b/>
        </w:rPr>
      </w:pPr>
    </w:p>
    <w:p w14:paraId="59A1DDE9" w14:textId="0D105D8A" w:rsidR="00131ED0" w:rsidRPr="00FC0815" w:rsidRDefault="00FC0815" w:rsidP="00FC0815">
      <w:pPr>
        <w:keepNext/>
        <w:jc w:val="both"/>
        <w:rPr>
          <w:rFonts w:eastAsiaTheme="minorHAnsi" w:cs="Calibri"/>
          <w:b/>
        </w:rPr>
      </w:pPr>
      <w:r>
        <w:rPr>
          <w:rFonts w:eastAsiaTheme="minorHAnsi" w:cs="Calibri"/>
          <w:b/>
        </w:rPr>
        <w:t xml:space="preserve">2. </w:t>
      </w:r>
      <w:r w:rsidR="005D65A9" w:rsidRPr="00FC0815">
        <w:rPr>
          <w:rFonts w:eastAsiaTheme="minorHAnsi" w:cs="Calibri"/>
          <w:b/>
        </w:rPr>
        <w:t>Účetní závěrka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1FF"/>
        <w:tblLook w:val="04A0" w:firstRow="1" w:lastRow="0" w:firstColumn="1" w:lastColumn="0" w:noHBand="0" w:noVBand="1"/>
      </w:tblPr>
      <w:tblGrid>
        <w:gridCol w:w="9060"/>
      </w:tblGrid>
      <w:tr w:rsidR="007D6050" w14:paraId="59F8AFDE" w14:textId="77777777" w:rsidTr="005E63AE">
        <w:tc>
          <w:tcPr>
            <w:tcW w:w="9060" w:type="dxa"/>
            <w:shd w:val="clear" w:color="auto" w:fill="E5F1FF"/>
          </w:tcPr>
          <w:p w14:paraId="31CB2935" w14:textId="77777777" w:rsidR="007D6050" w:rsidRDefault="007D6050" w:rsidP="005E63AE">
            <w:pPr>
              <w:jc w:val="both"/>
              <w:rPr>
                <w:rFonts w:eastAsiaTheme="minorHAnsi" w:cs="Calibri"/>
                <w:b/>
                <w:highlight w:val="yellow"/>
              </w:rPr>
            </w:pPr>
            <w:r w:rsidRPr="005E63AE">
              <w:rPr>
                <w:rFonts w:eastAsiaTheme="minorHAnsi" w:cs="Calibri"/>
                <w:b/>
              </w:rPr>
              <w:t>Účetní závěrka MPO k 31. prosinci 2020 sestavená 13. května 2021 (dále také „ÚZ“) podává podle názoru NKÚ věrný a poctivý obraz předmětu účetnictví a finanční situace účetní jednotky, a to dle účetních předpisů pro některé vybrané účetní jednotky</w:t>
            </w:r>
            <w:r w:rsidRPr="005E63AE">
              <w:rPr>
                <w:rStyle w:val="Znakapoznpodarou"/>
                <w:rFonts w:eastAsiaTheme="minorHAnsi" w:cs="Calibri"/>
                <w:b/>
              </w:rPr>
              <w:footnoteReference w:id="10"/>
            </w:r>
            <w:r w:rsidRPr="005E63AE">
              <w:rPr>
                <w:rFonts w:eastAsiaTheme="minorHAnsi" w:cs="Calibri"/>
                <w:b/>
              </w:rPr>
              <w:t>.</w:t>
            </w:r>
          </w:p>
        </w:tc>
      </w:tr>
    </w:tbl>
    <w:p w14:paraId="347FBAC8" w14:textId="77777777" w:rsidR="007D6050" w:rsidRDefault="007D6050" w:rsidP="006A79AB">
      <w:pPr>
        <w:spacing w:after="0"/>
        <w:jc w:val="both"/>
        <w:rPr>
          <w:rFonts w:eastAsiaTheme="minorHAnsi" w:cs="Calibri"/>
          <w:b/>
          <w:highlight w:val="yellow"/>
        </w:rPr>
      </w:pPr>
    </w:p>
    <w:p w14:paraId="5E53342F" w14:textId="3DF375E1" w:rsidR="006A79AB" w:rsidRPr="00C87024" w:rsidRDefault="001F0AC0" w:rsidP="006A79AB">
      <w:pPr>
        <w:spacing w:after="0"/>
        <w:jc w:val="both"/>
        <w:rPr>
          <w:rFonts w:asciiTheme="minorHAnsi" w:hAnsiTheme="minorHAnsi" w:cstheme="minorHAnsi"/>
          <w:spacing w:val="-2"/>
        </w:rPr>
      </w:pPr>
      <w:r>
        <w:rPr>
          <w:rFonts w:eastAsiaTheme="minorHAnsi" w:cs="Calibri"/>
          <w:b/>
        </w:rPr>
        <w:t xml:space="preserve">NKÚ současně upozorňuje na skutečnost, že případy související s </w:t>
      </w:r>
      <w:r w:rsidR="00CB1B65">
        <w:rPr>
          <w:rFonts w:eastAsiaTheme="minorHAnsi" w:cs="Calibri"/>
          <w:b/>
        </w:rPr>
        <w:t>vykázáním</w:t>
      </w:r>
      <w:r>
        <w:rPr>
          <w:rFonts w:eastAsiaTheme="minorHAnsi" w:cs="Calibri"/>
          <w:b/>
        </w:rPr>
        <w:t xml:space="preserve"> tzv. finančních nástrojů</w:t>
      </w:r>
      <w:r w:rsidR="009514A6">
        <w:rPr>
          <w:rStyle w:val="Znakapoznpodarou"/>
          <w:rFonts w:eastAsiaTheme="minorHAnsi" w:cs="Calibri"/>
          <w:b/>
        </w:rPr>
        <w:footnoteReference w:id="11"/>
      </w:r>
      <w:r>
        <w:rPr>
          <w:rFonts w:eastAsiaTheme="minorHAnsi" w:cs="Calibri"/>
          <w:b/>
        </w:rPr>
        <w:t xml:space="preserve"> nemají v</w:t>
      </w:r>
      <w:r w:rsidR="005D0540">
        <w:rPr>
          <w:rFonts w:eastAsiaTheme="minorHAnsi" w:cs="Calibri"/>
          <w:b/>
        </w:rPr>
        <w:t> </w:t>
      </w:r>
      <w:r>
        <w:rPr>
          <w:rFonts w:eastAsiaTheme="minorHAnsi" w:cs="Calibri"/>
          <w:b/>
        </w:rPr>
        <w:t>platné</w:t>
      </w:r>
      <w:r w:rsidR="005D0540">
        <w:rPr>
          <w:rFonts w:eastAsiaTheme="minorHAnsi" w:cs="Calibri"/>
          <w:b/>
        </w:rPr>
        <w:t xml:space="preserve"> </w:t>
      </w:r>
      <w:r>
        <w:rPr>
          <w:rFonts w:eastAsiaTheme="minorHAnsi" w:cs="Calibri"/>
          <w:b/>
        </w:rPr>
        <w:t>účetní regulaci svoji jednoznačnou úpravu a MPO je vykazuje na účtu</w:t>
      </w:r>
      <w:r w:rsidR="00012D33">
        <w:rPr>
          <w:rFonts w:eastAsiaTheme="minorHAnsi" w:cs="Calibri"/>
          <w:b/>
        </w:rPr>
        <w:t xml:space="preserve"> </w:t>
      </w:r>
      <w:r>
        <w:rPr>
          <w:rFonts w:eastAsiaTheme="minorHAnsi" w:cs="Calibri"/>
          <w:b/>
        </w:rPr>
        <w:t xml:space="preserve">069 </w:t>
      </w:r>
      <w:r w:rsidR="00153A11" w:rsidRPr="00DA2698">
        <w:rPr>
          <w:rFonts w:eastAsiaTheme="minorHAnsi" w:cs="Calibri"/>
          <w:b/>
        </w:rPr>
        <w:t>–</w:t>
      </w:r>
      <w:r w:rsidRPr="001F0AC0">
        <w:rPr>
          <w:rFonts w:eastAsiaTheme="minorHAnsi" w:cs="Calibri"/>
          <w:b/>
          <w:i/>
        </w:rPr>
        <w:t xml:space="preserve"> Ostatní dlouhodobý finanční majetek. </w:t>
      </w:r>
      <w:r w:rsidR="00CB1B65" w:rsidRPr="005E63AE">
        <w:rPr>
          <w:rFonts w:eastAsiaTheme="minorHAnsi" w:cs="Calibri"/>
        </w:rPr>
        <w:t>V tomto konkrétním případě p</w:t>
      </w:r>
      <w:r w:rsidR="00C87024" w:rsidRPr="005E63AE">
        <w:rPr>
          <w:rFonts w:cstheme="minorHAnsi"/>
          <w:lang w:eastAsia="cs-CZ"/>
        </w:rPr>
        <w:t>ovažuje NKÚ</w:t>
      </w:r>
      <w:r w:rsidR="00CB1B65" w:rsidRPr="005E63AE">
        <w:rPr>
          <w:rFonts w:cstheme="minorHAnsi"/>
          <w:lang w:eastAsia="cs-CZ"/>
        </w:rPr>
        <w:t xml:space="preserve"> </w:t>
      </w:r>
      <w:r w:rsidR="003E2EAB" w:rsidRPr="005E63AE">
        <w:rPr>
          <w:rFonts w:cstheme="minorHAnsi"/>
          <w:lang w:eastAsia="cs-CZ"/>
        </w:rPr>
        <w:t xml:space="preserve">jejich </w:t>
      </w:r>
      <w:r w:rsidR="00CB1B65" w:rsidRPr="005E63AE">
        <w:rPr>
          <w:rFonts w:cstheme="minorHAnsi"/>
          <w:lang w:eastAsia="cs-CZ"/>
        </w:rPr>
        <w:t>vykazování</w:t>
      </w:r>
      <w:r w:rsidR="00C87024" w:rsidRPr="005E63AE">
        <w:rPr>
          <w:rFonts w:cstheme="minorHAnsi"/>
          <w:lang w:eastAsia="cs-CZ"/>
        </w:rPr>
        <w:t xml:space="preserve"> </w:t>
      </w:r>
      <w:r w:rsidR="001E691E" w:rsidRPr="005E63AE">
        <w:rPr>
          <w:rFonts w:cstheme="minorHAnsi"/>
          <w:lang w:eastAsia="cs-CZ"/>
        </w:rPr>
        <w:t xml:space="preserve">v souladu </w:t>
      </w:r>
      <w:r w:rsidR="00C87024" w:rsidRPr="005E63AE">
        <w:rPr>
          <w:rFonts w:cstheme="minorHAnsi"/>
          <w:lang w:eastAsia="cs-CZ"/>
        </w:rPr>
        <w:t xml:space="preserve">s předpisy </w:t>
      </w:r>
      <w:r w:rsidR="005D0540">
        <w:rPr>
          <w:rFonts w:cstheme="minorHAnsi"/>
          <w:lang w:eastAsia="cs-CZ"/>
        </w:rPr>
        <w:t xml:space="preserve">pro </w:t>
      </w:r>
      <w:r w:rsidR="00C87024" w:rsidRPr="005E63AE">
        <w:rPr>
          <w:rFonts w:cstheme="minorHAnsi"/>
          <w:lang w:eastAsia="cs-CZ"/>
        </w:rPr>
        <w:t>vedení účetnictví</w:t>
      </w:r>
      <w:r w:rsidR="00CB1B65" w:rsidRPr="005E63AE">
        <w:rPr>
          <w:rFonts w:cstheme="minorHAnsi"/>
          <w:lang w:eastAsia="cs-CZ"/>
        </w:rPr>
        <w:t>, nicméně o</w:t>
      </w:r>
      <w:r w:rsidR="00C87024" w:rsidRPr="005E63AE">
        <w:rPr>
          <w:rFonts w:cstheme="minorHAnsi"/>
          <w:lang w:eastAsia="cs-CZ"/>
        </w:rPr>
        <w:t xml:space="preserve">becně </w:t>
      </w:r>
      <w:r w:rsidR="00CB1B65" w:rsidRPr="005E63AE">
        <w:rPr>
          <w:rFonts w:cstheme="minorHAnsi"/>
          <w:lang w:eastAsia="cs-CZ"/>
        </w:rPr>
        <w:t>nelze v</w:t>
      </w:r>
      <w:r w:rsidR="00C87024" w:rsidRPr="005E63AE">
        <w:rPr>
          <w:rFonts w:cstheme="minorHAnsi"/>
          <w:lang w:eastAsia="cs-CZ"/>
        </w:rPr>
        <w:t>yloučit i</w:t>
      </w:r>
      <w:r w:rsidR="00B32FA7">
        <w:rPr>
          <w:rFonts w:cstheme="minorHAnsi"/>
          <w:lang w:eastAsia="cs-CZ"/>
        </w:rPr>
        <w:t> </w:t>
      </w:r>
      <w:r w:rsidR="00C87024" w:rsidRPr="005E63AE">
        <w:rPr>
          <w:rFonts w:cstheme="minorHAnsi"/>
          <w:lang w:eastAsia="cs-CZ"/>
        </w:rPr>
        <w:t xml:space="preserve">možnost </w:t>
      </w:r>
      <w:r w:rsidR="00CB1B65" w:rsidRPr="005E63AE">
        <w:rPr>
          <w:rFonts w:cstheme="minorHAnsi"/>
          <w:lang w:eastAsia="cs-CZ"/>
        </w:rPr>
        <w:t xml:space="preserve">jiného </w:t>
      </w:r>
      <w:r w:rsidR="00C87024" w:rsidRPr="005E63AE">
        <w:rPr>
          <w:rFonts w:cstheme="minorHAnsi"/>
          <w:lang w:eastAsia="cs-CZ"/>
        </w:rPr>
        <w:t>vykázání</w:t>
      </w:r>
      <w:r w:rsidR="00EF6FC0" w:rsidRPr="005E63AE">
        <w:rPr>
          <w:rFonts w:cstheme="minorHAnsi"/>
          <w:lang w:eastAsia="cs-CZ"/>
        </w:rPr>
        <w:t xml:space="preserve">. V </w:t>
      </w:r>
      <w:r w:rsidR="00CB1B65" w:rsidRPr="005E63AE">
        <w:rPr>
          <w:rFonts w:cstheme="minorHAnsi"/>
          <w:lang w:eastAsia="cs-CZ"/>
        </w:rPr>
        <w:t>každém jiném</w:t>
      </w:r>
      <w:r w:rsidR="00EF6FC0" w:rsidRPr="005E63AE">
        <w:rPr>
          <w:rFonts w:cstheme="minorHAnsi"/>
          <w:lang w:eastAsia="cs-CZ"/>
        </w:rPr>
        <w:t xml:space="preserve"> konkrétním</w:t>
      </w:r>
      <w:r w:rsidR="00CB1B65" w:rsidRPr="005E63AE">
        <w:rPr>
          <w:rFonts w:cstheme="minorHAnsi"/>
          <w:lang w:eastAsia="cs-CZ"/>
        </w:rPr>
        <w:t xml:space="preserve"> případě </w:t>
      </w:r>
      <w:r w:rsidR="00C87024" w:rsidRPr="005E63AE">
        <w:rPr>
          <w:rFonts w:cstheme="minorHAnsi"/>
          <w:lang w:eastAsia="cs-CZ"/>
        </w:rPr>
        <w:t>bude</w:t>
      </w:r>
      <w:r w:rsidR="002B1245" w:rsidRPr="005E63AE">
        <w:rPr>
          <w:rFonts w:cstheme="minorHAnsi"/>
          <w:lang w:eastAsia="cs-CZ"/>
        </w:rPr>
        <w:t xml:space="preserve"> </w:t>
      </w:r>
      <w:r w:rsidR="00EF6FC0" w:rsidRPr="005E63AE">
        <w:rPr>
          <w:rFonts w:cstheme="minorHAnsi"/>
          <w:lang w:eastAsia="cs-CZ"/>
        </w:rPr>
        <w:t>vždy z</w:t>
      </w:r>
      <w:r w:rsidR="00C87024" w:rsidRPr="005E63AE">
        <w:rPr>
          <w:rFonts w:cstheme="minorHAnsi"/>
          <w:lang w:eastAsia="cs-CZ"/>
        </w:rPr>
        <w:t xml:space="preserve">áležet na prokázání </w:t>
      </w:r>
      <w:r w:rsidR="002B1245" w:rsidRPr="005E63AE">
        <w:rPr>
          <w:rFonts w:cstheme="minorHAnsi"/>
          <w:lang w:eastAsia="cs-CZ"/>
        </w:rPr>
        <w:t xml:space="preserve">s tím souvisejících </w:t>
      </w:r>
      <w:r w:rsidR="00C87024" w:rsidRPr="005E63AE">
        <w:rPr>
          <w:rFonts w:cstheme="minorHAnsi"/>
          <w:lang w:eastAsia="cs-CZ"/>
        </w:rPr>
        <w:t>konkrétních skutečností</w:t>
      </w:r>
      <w:r w:rsidR="00C87024" w:rsidRPr="00577F86">
        <w:rPr>
          <w:rFonts w:cstheme="minorHAnsi"/>
          <w:b/>
          <w:lang w:eastAsia="cs-CZ"/>
        </w:rPr>
        <w:t>.</w:t>
      </w:r>
    </w:p>
    <w:p w14:paraId="3905D281" w14:textId="77777777" w:rsidR="001F0AC0" w:rsidRPr="001F0AC0" w:rsidRDefault="001F0AC0" w:rsidP="001F0AC0">
      <w:pPr>
        <w:spacing w:after="0"/>
        <w:jc w:val="both"/>
        <w:rPr>
          <w:rFonts w:eastAsiaTheme="minorHAnsi" w:cs="Calibri"/>
          <w:b/>
        </w:rPr>
      </w:pPr>
    </w:p>
    <w:p w14:paraId="2F697A21" w14:textId="08311EB0" w:rsidR="00131ED0" w:rsidRDefault="00320174" w:rsidP="001B7E65">
      <w:pPr>
        <w:spacing w:after="0"/>
        <w:jc w:val="both"/>
        <w:rPr>
          <w:rFonts w:eastAsiaTheme="minorHAnsi" w:cs="Calibri"/>
          <w:b/>
        </w:rPr>
      </w:pPr>
      <w:r>
        <w:rPr>
          <w:rFonts w:eastAsiaTheme="minorHAnsi" w:cs="Calibri"/>
          <w:b/>
        </w:rPr>
        <w:t>Informace</w:t>
      </w:r>
      <w:r w:rsidR="00711D8F">
        <w:rPr>
          <w:rFonts w:eastAsiaTheme="minorHAnsi" w:cs="Calibri"/>
          <w:b/>
        </w:rPr>
        <w:t xml:space="preserve"> v </w:t>
      </w:r>
      <w:r w:rsidR="009514A6">
        <w:rPr>
          <w:rFonts w:eastAsiaTheme="minorHAnsi" w:cs="Calibri"/>
          <w:b/>
        </w:rPr>
        <w:t>této</w:t>
      </w:r>
      <w:r w:rsidR="00711D8F">
        <w:rPr>
          <w:rFonts w:eastAsiaTheme="minorHAnsi" w:cs="Calibri"/>
          <w:b/>
        </w:rPr>
        <w:t xml:space="preserve"> účetní závěrce</w:t>
      </w:r>
      <w:r w:rsidR="003E2EAB">
        <w:rPr>
          <w:rFonts w:eastAsiaTheme="minorHAnsi" w:cs="Calibri"/>
          <w:b/>
        </w:rPr>
        <w:t xml:space="preserve"> MPO</w:t>
      </w:r>
      <w:r>
        <w:rPr>
          <w:rFonts w:eastAsiaTheme="minorHAnsi" w:cs="Calibri"/>
          <w:b/>
        </w:rPr>
        <w:t xml:space="preserve"> </w:t>
      </w:r>
      <w:r w:rsidRPr="008B175D">
        <w:rPr>
          <w:rFonts w:eastAsiaTheme="minorHAnsi" w:cs="Calibri"/>
          <w:b/>
        </w:rPr>
        <w:t xml:space="preserve">jsou </w:t>
      </w:r>
      <w:r w:rsidRPr="005E63AE">
        <w:rPr>
          <w:rFonts w:eastAsiaTheme="minorHAnsi" w:cs="Calibri"/>
          <w:b/>
        </w:rPr>
        <w:t>spolehlivé</w:t>
      </w:r>
      <w:r w:rsidR="00131ED0" w:rsidRPr="005E63AE">
        <w:rPr>
          <w:rFonts w:eastAsiaTheme="minorHAnsi" w:cs="Calibri"/>
          <w:b/>
        </w:rPr>
        <w:t xml:space="preserve"> </w:t>
      </w:r>
      <w:r w:rsidR="00555FF3" w:rsidRPr="005E63AE">
        <w:rPr>
          <w:rFonts w:eastAsiaTheme="minorHAnsi" w:cs="Calibri"/>
          <w:b/>
        </w:rPr>
        <w:t xml:space="preserve">pouze </w:t>
      </w:r>
      <w:r w:rsidR="00131ED0" w:rsidRPr="005E63AE">
        <w:rPr>
          <w:rFonts w:eastAsiaTheme="minorHAnsi" w:cs="Calibri"/>
          <w:b/>
        </w:rPr>
        <w:t>v</w:t>
      </w:r>
      <w:r w:rsidRPr="005E63AE">
        <w:rPr>
          <w:rFonts w:eastAsiaTheme="minorHAnsi" w:cs="Calibri"/>
          <w:b/>
        </w:rPr>
        <w:t> </w:t>
      </w:r>
      <w:r w:rsidR="00131ED0" w:rsidRPr="005E63AE">
        <w:rPr>
          <w:rFonts w:eastAsiaTheme="minorHAnsi" w:cs="Calibri"/>
          <w:b/>
        </w:rPr>
        <w:t>důsledku</w:t>
      </w:r>
      <w:r w:rsidRPr="005E63AE">
        <w:rPr>
          <w:rFonts w:eastAsiaTheme="minorHAnsi" w:cs="Calibri"/>
          <w:b/>
        </w:rPr>
        <w:t xml:space="preserve"> oprav</w:t>
      </w:r>
      <w:r w:rsidR="00131ED0" w:rsidRPr="005E63AE">
        <w:rPr>
          <w:rFonts w:eastAsiaTheme="minorHAnsi" w:cs="Calibri"/>
          <w:b/>
        </w:rPr>
        <w:t xml:space="preserve"> </w:t>
      </w:r>
      <w:r w:rsidRPr="005E63AE">
        <w:rPr>
          <w:rFonts w:eastAsiaTheme="minorHAnsi" w:cs="Calibri"/>
          <w:b/>
        </w:rPr>
        <w:t xml:space="preserve">realizovaných </w:t>
      </w:r>
      <w:r w:rsidR="00711D8F" w:rsidRPr="005E63AE">
        <w:rPr>
          <w:rFonts w:eastAsiaTheme="minorHAnsi" w:cs="Calibri"/>
          <w:b/>
        </w:rPr>
        <w:t xml:space="preserve">MPO </w:t>
      </w:r>
      <w:r w:rsidRPr="005E63AE">
        <w:rPr>
          <w:rFonts w:eastAsiaTheme="minorHAnsi" w:cs="Calibri"/>
          <w:b/>
        </w:rPr>
        <w:t>v průběhu celé kontroly</w:t>
      </w:r>
      <w:r w:rsidR="005D0540">
        <w:rPr>
          <w:rFonts w:eastAsiaTheme="minorHAnsi" w:cs="Calibri"/>
          <w:b/>
        </w:rPr>
        <w:t>,</w:t>
      </w:r>
      <w:r w:rsidRPr="005E63AE">
        <w:rPr>
          <w:rFonts w:eastAsiaTheme="minorHAnsi" w:cs="Calibri"/>
          <w:b/>
        </w:rPr>
        <w:t xml:space="preserve"> tzn. </w:t>
      </w:r>
      <w:r w:rsidR="00131ED0" w:rsidRPr="005E63AE">
        <w:rPr>
          <w:rFonts w:eastAsiaTheme="minorHAnsi" w:cs="Calibri"/>
          <w:b/>
        </w:rPr>
        <w:t>jak před datem sestavení účetní závěrky 1</w:t>
      </w:r>
      <w:r w:rsidR="00F14139" w:rsidRPr="005E63AE">
        <w:rPr>
          <w:rFonts w:eastAsiaTheme="minorHAnsi" w:cs="Calibri"/>
          <w:b/>
        </w:rPr>
        <w:t>. března 2021</w:t>
      </w:r>
      <w:r w:rsidR="00131ED0" w:rsidRPr="005E63AE">
        <w:rPr>
          <w:rFonts w:eastAsiaTheme="minorHAnsi" w:cs="Calibri"/>
          <w:b/>
        </w:rPr>
        <w:t xml:space="preserve"> (</w:t>
      </w:r>
      <w:r w:rsidR="004A124C" w:rsidRPr="005E63AE">
        <w:rPr>
          <w:rFonts w:eastAsiaTheme="minorHAnsi" w:cs="Calibri"/>
          <w:b/>
        </w:rPr>
        <w:t xml:space="preserve">hodnota provedených opravných účetních zápisů činila </w:t>
      </w:r>
      <w:r w:rsidR="00122AE0" w:rsidRPr="005E63AE">
        <w:rPr>
          <w:rFonts w:eastAsiaTheme="minorHAnsi" w:cs="Calibri"/>
          <w:b/>
        </w:rPr>
        <w:t>45,1</w:t>
      </w:r>
      <w:r w:rsidR="00153A11" w:rsidRPr="005E63AE">
        <w:rPr>
          <w:rFonts w:eastAsiaTheme="minorHAnsi" w:cs="Calibri"/>
          <w:b/>
        </w:rPr>
        <w:t xml:space="preserve"> </w:t>
      </w:r>
      <w:r w:rsidR="00131ED0" w:rsidRPr="005E63AE">
        <w:rPr>
          <w:rFonts w:eastAsiaTheme="minorHAnsi" w:cs="Calibri"/>
          <w:b/>
        </w:rPr>
        <w:t>mld.</w:t>
      </w:r>
      <w:r w:rsidR="00122AE0" w:rsidRPr="005E63AE">
        <w:rPr>
          <w:rFonts w:eastAsiaTheme="minorHAnsi" w:cs="Calibri"/>
          <w:b/>
        </w:rPr>
        <w:t xml:space="preserve"> </w:t>
      </w:r>
      <w:r w:rsidR="004A124C" w:rsidRPr="005E63AE">
        <w:rPr>
          <w:rFonts w:eastAsiaTheme="minorHAnsi" w:cs="Calibri"/>
          <w:b/>
        </w:rPr>
        <w:t>Kč</w:t>
      </w:r>
      <w:r w:rsidR="00131ED0" w:rsidRPr="005E63AE">
        <w:rPr>
          <w:rFonts w:eastAsiaTheme="minorHAnsi" w:cs="Calibri"/>
          <w:b/>
        </w:rPr>
        <w:t>), tak po tomto datu</w:t>
      </w:r>
      <w:r w:rsidR="00711D8F" w:rsidRPr="005E63AE">
        <w:rPr>
          <w:rFonts w:eastAsiaTheme="minorHAnsi" w:cs="Calibri"/>
          <w:b/>
        </w:rPr>
        <w:t xml:space="preserve"> </w:t>
      </w:r>
      <w:r w:rsidR="009514A6" w:rsidRPr="005E63AE">
        <w:rPr>
          <w:rFonts w:eastAsiaTheme="minorHAnsi" w:cs="Calibri"/>
          <w:b/>
        </w:rPr>
        <w:t>(</w:t>
      </w:r>
      <w:r w:rsidR="004A124C" w:rsidRPr="005E63AE">
        <w:rPr>
          <w:rFonts w:eastAsiaTheme="minorHAnsi" w:cs="Calibri"/>
          <w:b/>
        </w:rPr>
        <w:t>hodnota opravených nesprávností na položkách účetní závěrky činila</w:t>
      </w:r>
      <w:r w:rsidR="009514A6" w:rsidRPr="005E63AE">
        <w:rPr>
          <w:rFonts w:eastAsiaTheme="minorHAnsi" w:cs="Calibri"/>
          <w:b/>
        </w:rPr>
        <w:t xml:space="preserve"> 1,</w:t>
      </w:r>
      <w:r w:rsidR="00153A11" w:rsidRPr="005E63AE">
        <w:rPr>
          <w:rFonts w:eastAsiaTheme="minorHAnsi" w:cs="Calibri"/>
          <w:b/>
        </w:rPr>
        <w:t>9</w:t>
      </w:r>
      <w:r w:rsidR="009514A6" w:rsidRPr="005E63AE">
        <w:rPr>
          <w:rFonts w:eastAsiaTheme="minorHAnsi" w:cs="Calibri"/>
          <w:b/>
        </w:rPr>
        <w:t xml:space="preserve"> mld.</w:t>
      </w:r>
      <w:r w:rsidR="004A124C" w:rsidRPr="005E63AE">
        <w:rPr>
          <w:rFonts w:eastAsiaTheme="minorHAnsi" w:cs="Calibri"/>
          <w:b/>
        </w:rPr>
        <w:t xml:space="preserve"> Kč</w:t>
      </w:r>
      <w:r w:rsidR="009514A6" w:rsidRPr="005E63AE">
        <w:rPr>
          <w:rFonts w:eastAsiaTheme="minorHAnsi" w:cs="Calibri"/>
          <w:b/>
        </w:rPr>
        <w:t>)</w:t>
      </w:r>
      <w:r w:rsidR="004A124C" w:rsidRPr="005E63AE">
        <w:rPr>
          <w:rFonts w:eastAsiaTheme="minorHAnsi" w:cs="Calibri"/>
          <w:b/>
        </w:rPr>
        <w:t>,</w:t>
      </w:r>
      <w:r w:rsidR="009514A6" w:rsidRPr="005E63AE">
        <w:rPr>
          <w:rFonts w:eastAsiaTheme="minorHAnsi" w:cs="Calibri"/>
          <w:b/>
        </w:rPr>
        <w:t xml:space="preserve"> a to až </w:t>
      </w:r>
      <w:r w:rsidR="00F14139" w:rsidRPr="005E63AE">
        <w:rPr>
          <w:rFonts w:eastAsiaTheme="minorHAnsi" w:cs="Calibri"/>
          <w:b/>
        </w:rPr>
        <w:t xml:space="preserve">do </w:t>
      </w:r>
      <w:r w:rsidRPr="005E63AE">
        <w:rPr>
          <w:rFonts w:eastAsiaTheme="minorHAnsi" w:cs="Calibri"/>
          <w:b/>
        </w:rPr>
        <w:t xml:space="preserve">doby sestavení </w:t>
      </w:r>
      <w:r w:rsidR="00555FF3" w:rsidRPr="005E63AE">
        <w:rPr>
          <w:rFonts w:eastAsiaTheme="minorHAnsi" w:cs="Calibri"/>
          <w:b/>
        </w:rPr>
        <w:t xml:space="preserve">nové </w:t>
      </w:r>
      <w:r w:rsidRPr="005E63AE">
        <w:rPr>
          <w:rFonts w:eastAsiaTheme="minorHAnsi" w:cs="Calibri"/>
          <w:b/>
        </w:rPr>
        <w:t xml:space="preserve">účetní závěrky </w:t>
      </w:r>
      <w:r w:rsidR="00F14139" w:rsidRPr="005E63AE">
        <w:rPr>
          <w:rFonts w:eastAsiaTheme="minorHAnsi" w:cs="Calibri"/>
          <w:b/>
        </w:rPr>
        <w:t>13. května 2021</w:t>
      </w:r>
      <w:r w:rsidR="009514A6" w:rsidRPr="005E63AE">
        <w:rPr>
          <w:rFonts w:eastAsiaTheme="minorHAnsi" w:cs="Calibri"/>
          <w:b/>
        </w:rPr>
        <w:t>.</w:t>
      </w:r>
      <w:r w:rsidR="008B72E2" w:rsidRPr="005E63AE">
        <w:rPr>
          <w:rStyle w:val="Znakapoznpodarou"/>
          <w:rFonts w:eastAsiaTheme="minorHAnsi" w:cs="Calibri"/>
          <w:b/>
        </w:rPr>
        <w:footnoteReference w:id="12"/>
      </w:r>
      <w:r w:rsidR="00131ED0" w:rsidRPr="005E63AE">
        <w:rPr>
          <w:rFonts w:eastAsiaTheme="minorHAnsi" w:cs="Calibri"/>
          <w:b/>
        </w:rPr>
        <w:t xml:space="preserve"> </w:t>
      </w:r>
      <w:r w:rsidR="00131ED0" w:rsidRPr="008B175D">
        <w:rPr>
          <w:rFonts w:eastAsiaTheme="minorHAnsi" w:cs="Calibri"/>
          <w:b/>
        </w:rPr>
        <w:t>Jednotlivé</w:t>
      </w:r>
      <w:r w:rsidR="00131ED0" w:rsidRPr="00555FF3">
        <w:rPr>
          <w:rFonts w:eastAsiaTheme="minorHAnsi" w:cs="Calibri"/>
          <w:b/>
        </w:rPr>
        <w:t xml:space="preserve"> provedené účetní </w:t>
      </w:r>
      <w:r w:rsidR="00131ED0" w:rsidRPr="00555FF3">
        <w:rPr>
          <w:rFonts w:eastAsiaTheme="minorHAnsi" w:cs="Calibri"/>
          <w:b/>
        </w:rPr>
        <w:lastRenderedPageBreak/>
        <w:t xml:space="preserve">opravy </w:t>
      </w:r>
      <w:r w:rsidR="00F14139" w:rsidRPr="00555FF3">
        <w:rPr>
          <w:rFonts w:eastAsiaTheme="minorHAnsi" w:cs="Calibri"/>
          <w:b/>
        </w:rPr>
        <w:t xml:space="preserve">musí MPO </w:t>
      </w:r>
      <w:r w:rsidR="00131ED0" w:rsidRPr="00555FF3">
        <w:rPr>
          <w:rFonts w:eastAsiaTheme="minorHAnsi" w:cs="Calibri"/>
          <w:b/>
        </w:rPr>
        <w:t xml:space="preserve">promítnout </w:t>
      </w:r>
      <w:r w:rsidR="00682243" w:rsidRPr="00555FF3">
        <w:rPr>
          <w:rFonts w:eastAsiaTheme="minorHAnsi" w:cs="Calibri"/>
          <w:b/>
        </w:rPr>
        <w:t xml:space="preserve">i </w:t>
      </w:r>
      <w:r w:rsidR="00131ED0" w:rsidRPr="00555FF3">
        <w:rPr>
          <w:rFonts w:eastAsiaTheme="minorHAnsi" w:cs="Calibri"/>
          <w:b/>
        </w:rPr>
        <w:t>do</w:t>
      </w:r>
      <w:r w:rsidR="00F14139" w:rsidRPr="00555FF3">
        <w:rPr>
          <w:rFonts w:eastAsiaTheme="minorHAnsi" w:cs="Calibri"/>
          <w:b/>
        </w:rPr>
        <w:t xml:space="preserve"> úprav </w:t>
      </w:r>
      <w:r w:rsidR="008F3AF1">
        <w:rPr>
          <w:rFonts w:eastAsiaTheme="minorHAnsi" w:cs="Calibri"/>
          <w:b/>
        </w:rPr>
        <w:t xml:space="preserve">svých </w:t>
      </w:r>
      <w:r w:rsidR="00A017A3">
        <w:rPr>
          <w:rFonts w:eastAsiaTheme="minorHAnsi" w:cs="Calibri"/>
          <w:b/>
        </w:rPr>
        <w:t xml:space="preserve">nastavených </w:t>
      </w:r>
      <w:r w:rsidR="008F3AF1">
        <w:rPr>
          <w:rFonts w:eastAsiaTheme="minorHAnsi" w:cs="Calibri"/>
          <w:b/>
        </w:rPr>
        <w:t xml:space="preserve">účetních postupů </w:t>
      </w:r>
      <w:r w:rsidR="00586C85">
        <w:rPr>
          <w:rFonts w:eastAsiaTheme="minorHAnsi" w:cs="Calibri"/>
          <w:b/>
        </w:rPr>
        <w:t>v rámci</w:t>
      </w:r>
      <w:r w:rsidR="009514A6">
        <w:rPr>
          <w:rFonts w:eastAsiaTheme="minorHAnsi" w:cs="Calibri"/>
          <w:b/>
        </w:rPr>
        <w:t xml:space="preserve"> </w:t>
      </w:r>
      <w:r w:rsidR="00F14139" w:rsidRPr="00555FF3">
        <w:rPr>
          <w:rFonts w:eastAsiaTheme="minorHAnsi" w:cs="Calibri"/>
          <w:b/>
        </w:rPr>
        <w:t>vnitřního kontrolního systému</w:t>
      </w:r>
      <w:r w:rsidR="00F14139">
        <w:rPr>
          <w:rFonts w:eastAsiaTheme="minorHAnsi" w:cs="Calibri"/>
          <w:b/>
        </w:rPr>
        <w:t xml:space="preserve"> (dále „VKS“)</w:t>
      </w:r>
      <w:r w:rsidR="00131ED0">
        <w:rPr>
          <w:rFonts w:eastAsiaTheme="minorHAnsi" w:cs="Calibri"/>
          <w:b/>
        </w:rPr>
        <w:t xml:space="preserve"> v těch případech, kdy</w:t>
      </w:r>
      <w:r w:rsidR="00682243">
        <w:rPr>
          <w:rFonts w:eastAsiaTheme="minorHAnsi" w:cs="Calibri"/>
          <w:b/>
        </w:rPr>
        <w:t xml:space="preserve"> se jednalo</w:t>
      </w:r>
      <w:r w:rsidR="00131ED0">
        <w:rPr>
          <w:rFonts w:eastAsiaTheme="minorHAnsi" w:cs="Calibri"/>
          <w:b/>
        </w:rPr>
        <w:t xml:space="preserve"> o systémové nesprávnosti (viz část IV. </w:t>
      </w:r>
      <w:r w:rsidR="005D0540">
        <w:rPr>
          <w:rFonts w:eastAsiaTheme="minorHAnsi" w:cs="Calibri"/>
          <w:b/>
        </w:rPr>
        <w:t xml:space="preserve">tohoto </w:t>
      </w:r>
      <w:r w:rsidR="00F14139">
        <w:rPr>
          <w:rFonts w:eastAsiaTheme="minorHAnsi" w:cs="Calibri"/>
          <w:b/>
        </w:rPr>
        <w:t>kontrolního závěru</w:t>
      </w:r>
      <w:r w:rsidR="00131ED0">
        <w:rPr>
          <w:rFonts w:eastAsiaTheme="minorHAnsi" w:cs="Calibri"/>
          <w:b/>
        </w:rPr>
        <w:t>)</w:t>
      </w:r>
      <w:r w:rsidR="00682243">
        <w:rPr>
          <w:rFonts w:eastAsiaTheme="minorHAnsi" w:cs="Calibri"/>
          <w:b/>
        </w:rPr>
        <w:t>.</w:t>
      </w:r>
    </w:p>
    <w:p w14:paraId="7C7F009A" w14:textId="77777777" w:rsidR="00711D8F" w:rsidRDefault="00711D8F" w:rsidP="001B7E65">
      <w:pPr>
        <w:spacing w:after="0"/>
        <w:jc w:val="both"/>
        <w:rPr>
          <w:rFonts w:eastAsiaTheme="minorHAnsi" w:cs="Calibri"/>
          <w:b/>
        </w:rPr>
      </w:pPr>
    </w:p>
    <w:p w14:paraId="68555199" w14:textId="5D112D0E" w:rsidR="008329A2" w:rsidRPr="00FC0815" w:rsidRDefault="00FC0815" w:rsidP="00FC0815">
      <w:pPr>
        <w:keepNext/>
        <w:jc w:val="both"/>
        <w:rPr>
          <w:rFonts w:eastAsiaTheme="minorHAnsi" w:cs="Calibri"/>
          <w:b/>
        </w:rPr>
      </w:pPr>
      <w:r>
        <w:rPr>
          <w:rFonts w:eastAsiaTheme="minorHAnsi" w:cs="Calibri"/>
          <w:b/>
        </w:rPr>
        <w:t xml:space="preserve">3. </w:t>
      </w:r>
      <w:r w:rsidR="00AE46A1" w:rsidRPr="00FC0815">
        <w:rPr>
          <w:rFonts w:eastAsiaTheme="minorHAnsi" w:cs="Calibri"/>
          <w:b/>
        </w:rPr>
        <w:t>Údaje předkládané MPO pro hodnocení plnění státního rozpočtu</w:t>
      </w:r>
      <w:r w:rsidR="008329A2" w:rsidRPr="00FC0815">
        <w:rPr>
          <w:rFonts w:eastAsiaTheme="minorHAnsi" w:cs="Calibri"/>
          <w:b/>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1FF"/>
        <w:tblLook w:val="04A0" w:firstRow="1" w:lastRow="0" w:firstColumn="1" w:lastColumn="0" w:noHBand="0" w:noVBand="1"/>
      </w:tblPr>
      <w:tblGrid>
        <w:gridCol w:w="9060"/>
      </w:tblGrid>
      <w:tr w:rsidR="007D6050" w14:paraId="1FBD2A66" w14:textId="77777777" w:rsidTr="005E63AE">
        <w:tc>
          <w:tcPr>
            <w:tcW w:w="9060" w:type="dxa"/>
            <w:shd w:val="clear" w:color="auto" w:fill="E5F1FF"/>
          </w:tcPr>
          <w:p w14:paraId="2C2843C8" w14:textId="77777777" w:rsidR="007D6050" w:rsidRDefault="007D6050" w:rsidP="005E63AE">
            <w:pPr>
              <w:jc w:val="both"/>
              <w:rPr>
                <w:rFonts w:eastAsiaTheme="minorHAnsi" w:cs="Calibri"/>
                <w:b/>
                <w:highlight w:val="yellow"/>
              </w:rPr>
            </w:pPr>
            <w:r w:rsidRPr="005E63AE">
              <w:rPr>
                <w:rFonts w:eastAsiaTheme="minorHAnsi" w:cs="Calibri"/>
                <w:b/>
              </w:rPr>
              <w:t>V údajích pro hodnocení plnění státního rozpočtu za rok 2020</w:t>
            </w:r>
            <w:r w:rsidRPr="005E63AE">
              <w:rPr>
                <w:rStyle w:val="Znakapoznpodarou"/>
                <w:rFonts w:eastAsiaTheme="minorHAnsi" w:cs="Calibri"/>
                <w:b/>
              </w:rPr>
              <w:footnoteReference w:id="13"/>
            </w:r>
            <w:r w:rsidRPr="005E63AE">
              <w:rPr>
                <w:rFonts w:eastAsiaTheme="minorHAnsi" w:cs="Calibri"/>
                <w:b/>
              </w:rPr>
              <w:t xml:space="preserve"> nebyly u MPO zjištěny významné nesprávnosti.</w:t>
            </w:r>
          </w:p>
        </w:tc>
      </w:tr>
    </w:tbl>
    <w:p w14:paraId="37103D42" w14:textId="77777777" w:rsidR="007D6050" w:rsidRDefault="007D6050" w:rsidP="00BD15B5">
      <w:pPr>
        <w:spacing w:after="0"/>
        <w:jc w:val="both"/>
        <w:rPr>
          <w:rFonts w:eastAsiaTheme="minorHAnsi" w:cs="Calibri"/>
          <w:b/>
          <w:highlight w:val="yellow"/>
        </w:rPr>
      </w:pPr>
    </w:p>
    <w:p w14:paraId="4C5F60CF" w14:textId="44C0C438" w:rsidR="00BD15B5" w:rsidRDefault="00BD15B5" w:rsidP="00BD15B5">
      <w:pPr>
        <w:spacing w:after="0"/>
        <w:jc w:val="both"/>
        <w:rPr>
          <w:rFonts w:cs="Calibri"/>
          <w:b/>
        </w:rPr>
      </w:pPr>
      <w:r w:rsidRPr="00BD15B5">
        <w:rPr>
          <w:rFonts w:eastAsia="Calibri"/>
          <w:b/>
          <w:szCs w:val="22"/>
        </w:rPr>
        <w:t>NKÚ však</w:t>
      </w:r>
      <w:r>
        <w:rPr>
          <w:rFonts w:eastAsia="Calibri"/>
          <w:b/>
          <w:szCs w:val="22"/>
        </w:rPr>
        <w:t xml:space="preserve"> v souvislosti s </w:t>
      </w:r>
      <w:r w:rsidR="00EB2E17">
        <w:rPr>
          <w:rFonts w:eastAsia="Calibri"/>
          <w:b/>
          <w:szCs w:val="22"/>
        </w:rPr>
        <w:t>odvětvovým</w:t>
      </w:r>
      <w:r>
        <w:rPr>
          <w:rFonts w:eastAsia="Calibri"/>
          <w:b/>
          <w:szCs w:val="22"/>
        </w:rPr>
        <w:t xml:space="preserve"> tříděním stanoveným </w:t>
      </w:r>
      <w:r w:rsidRPr="00BD15B5">
        <w:rPr>
          <w:rFonts w:eastAsia="Calibri"/>
          <w:b/>
          <w:szCs w:val="22"/>
        </w:rPr>
        <w:t>ve vyhlášce č. 323/2002 Sb.</w:t>
      </w:r>
      <w:r w:rsidR="00F75A4B">
        <w:rPr>
          <w:rStyle w:val="Znakapoznpodarou"/>
          <w:rFonts w:eastAsia="Calibri"/>
          <w:b/>
          <w:szCs w:val="22"/>
        </w:rPr>
        <w:footnoteReference w:id="14"/>
      </w:r>
      <w:r>
        <w:rPr>
          <w:rFonts w:eastAsia="Calibri"/>
          <w:b/>
          <w:szCs w:val="22"/>
        </w:rPr>
        <w:t xml:space="preserve"> </w:t>
      </w:r>
      <w:r w:rsidR="005948EA">
        <w:rPr>
          <w:rFonts w:eastAsia="Calibri"/>
          <w:b/>
          <w:szCs w:val="22"/>
        </w:rPr>
        <w:t xml:space="preserve">doporučuje </w:t>
      </w:r>
      <w:r w:rsidR="00012D33">
        <w:rPr>
          <w:rFonts w:eastAsia="Calibri"/>
          <w:b/>
          <w:szCs w:val="22"/>
        </w:rPr>
        <w:t>tvůrci tohoto právního předpisu</w:t>
      </w:r>
      <w:r w:rsidR="001F6C0A">
        <w:rPr>
          <w:rFonts w:eastAsia="Calibri"/>
          <w:b/>
          <w:szCs w:val="22"/>
        </w:rPr>
        <w:t xml:space="preserve"> (MF)</w:t>
      </w:r>
      <w:r w:rsidR="00012D33">
        <w:rPr>
          <w:rFonts w:eastAsia="Calibri"/>
          <w:b/>
          <w:szCs w:val="22"/>
        </w:rPr>
        <w:t xml:space="preserve"> </w:t>
      </w:r>
      <w:r w:rsidR="005948EA">
        <w:rPr>
          <w:rFonts w:eastAsia="Calibri"/>
          <w:b/>
          <w:szCs w:val="22"/>
        </w:rPr>
        <w:t>eliminovat</w:t>
      </w:r>
      <w:r w:rsidR="00EB2E17">
        <w:rPr>
          <w:rFonts w:eastAsia="Calibri"/>
          <w:b/>
          <w:szCs w:val="22"/>
        </w:rPr>
        <w:t xml:space="preserve"> ta</w:t>
      </w:r>
      <w:r>
        <w:rPr>
          <w:rFonts w:eastAsia="Calibri"/>
          <w:b/>
          <w:szCs w:val="22"/>
        </w:rPr>
        <w:t xml:space="preserve"> třídění</w:t>
      </w:r>
      <w:r w:rsidR="00EB2E17">
        <w:rPr>
          <w:rFonts w:eastAsia="Calibri"/>
          <w:b/>
          <w:szCs w:val="22"/>
        </w:rPr>
        <w:t xml:space="preserve"> (paragraf</w:t>
      </w:r>
      <w:r w:rsidR="00512897">
        <w:rPr>
          <w:rFonts w:eastAsia="Calibri"/>
          <w:b/>
          <w:szCs w:val="22"/>
        </w:rPr>
        <w:t>y</w:t>
      </w:r>
      <w:r w:rsidR="00EB2E17">
        <w:rPr>
          <w:rFonts w:eastAsia="Calibri"/>
          <w:b/>
          <w:szCs w:val="22"/>
        </w:rPr>
        <w:t xml:space="preserve"> rozpočtové skladby)</w:t>
      </w:r>
      <w:r>
        <w:rPr>
          <w:rFonts w:eastAsia="Calibri"/>
          <w:b/>
          <w:szCs w:val="22"/>
        </w:rPr>
        <w:t>,</w:t>
      </w:r>
      <w:r w:rsidRPr="00BD15B5">
        <w:rPr>
          <w:rFonts w:eastAsia="Calibri"/>
          <w:b/>
          <w:szCs w:val="22"/>
        </w:rPr>
        <w:t xml:space="preserve"> kter</w:t>
      </w:r>
      <w:r>
        <w:rPr>
          <w:rFonts w:eastAsia="Calibri"/>
          <w:b/>
          <w:szCs w:val="22"/>
        </w:rPr>
        <w:t>á</w:t>
      </w:r>
      <w:r w:rsidRPr="00BD15B5">
        <w:rPr>
          <w:rFonts w:eastAsia="Calibri"/>
          <w:b/>
          <w:szCs w:val="22"/>
        </w:rPr>
        <w:t xml:space="preserve"> svým názvem vyjadřují účel vynaložení výdaje namísto odvětví, do kterého</w:t>
      </w:r>
      <w:r w:rsidR="00004E99">
        <w:rPr>
          <w:rFonts w:eastAsia="Calibri"/>
          <w:b/>
          <w:szCs w:val="22"/>
        </w:rPr>
        <w:t xml:space="preserve"> byly </w:t>
      </w:r>
      <w:r w:rsidRPr="00BD15B5">
        <w:rPr>
          <w:rFonts w:eastAsia="Calibri"/>
          <w:b/>
          <w:szCs w:val="22"/>
        </w:rPr>
        <w:t>výdaje vynalož</w:t>
      </w:r>
      <w:r w:rsidR="00004E99">
        <w:rPr>
          <w:rFonts w:eastAsia="Calibri"/>
          <w:b/>
          <w:szCs w:val="22"/>
        </w:rPr>
        <w:t>eny</w:t>
      </w:r>
      <w:r w:rsidRPr="00BD15B5">
        <w:rPr>
          <w:rFonts w:eastAsia="Calibri"/>
          <w:b/>
          <w:szCs w:val="22"/>
        </w:rPr>
        <w:t>. Touto úpravou právní</w:t>
      </w:r>
      <w:r w:rsidR="006A79AB">
        <w:rPr>
          <w:rFonts w:eastAsia="Calibri"/>
          <w:b/>
          <w:szCs w:val="22"/>
        </w:rPr>
        <w:t>ho</w:t>
      </w:r>
      <w:r w:rsidRPr="00BD15B5">
        <w:rPr>
          <w:rFonts w:eastAsia="Calibri"/>
          <w:b/>
          <w:szCs w:val="22"/>
        </w:rPr>
        <w:t xml:space="preserve"> předpisu by </w:t>
      </w:r>
      <w:r>
        <w:rPr>
          <w:rFonts w:eastAsia="Calibri"/>
          <w:b/>
          <w:szCs w:val="22"/>
        </w:rPr>
        <w:t>bylo možné</w:t>
      </w:r>
      <w:r w:rsidRPr="00BD15B5">
        <w:rPr>
          <w:rFonts w:eastAsia="Calibri"/>
          <w:b/>
          <w:szCs w:val="22"/>
        </w:rPr>
        <w:t xml:space="preserve"> předejít nesprávnostem popsaným </w:t>
      </w:r>
      <w:r w:rsidRPr="00BD15B5">
        <w:rPr>
          <w:rFonts w:cs="Calibri"/>
          <w:b/>
        </w:rPr>
        <w:t>v části IV.</w:t>
      </w:r>
      <w:r w:rsidR="00232971">
        <w:rPr>
          <w:rFonts w:cs="Calibri"/>
          <w:b/>
        </w:rPr>
        <w:t>3</w:t>
      </w:r>
      <w:r>
        <w:rPr>
          <w:rFonts w:cs="Calibri"/>
          <w:b/>
        </w:rPr>
        <w:t xml:space="preserve"> </w:t>
      </w:r>
      <w:r w:rsidR="00BF395C">
        <w:rPr>
          <w:rFonts w:cs="Calibri"/>
          <w:b/>
        </w:rPr>
        <w:t xml:space="preserve">tohoto </w:t>
      </w:r>
      <w:r w:rsidRPr="00BD15B5">
        <w:rPr>
          <w:rFonts w:cs="Calibri"/>
          <w:b/>
        </w:rPr>
        <w:t>kontrolního závěru.</w:t>
      </w:r>
    </w:p>
    <w:p w14:paraId="4B5C03FC" w14:textId="77777777" w:rsidR="003F59E1" w:rsidRPr="00BD15B5" w:rsidRDefault="003F59E1" w:rsidP="00BD15B5">
      <w:pPr>
        <w:spacing w:after="0"/>
        <w:jc w:val="both"/>
        <w:rPr>
          <w:rFonts w:cs="Calibri"/>
          <w:b/>
        </w:rPr>
      </w:pPr>
    </w:p>
    <w:p w14:paraId="7EF7477F" w14:textId="426CCB32" w:rsidR="008329A2" w:rsidRPr="00FC0815" w:rsidRDefault="00FC0815" w:rsidP="00FC0815">
      <w:pPr>
        <w:keepNext/>
        <w:jc w:val="both"/>
        <w:rPr>
          <w:rFonts w:eastAsiaTheme="minorHAnsi" w:cs="Calibri"/>
          <w:b/>
        </w:rPr>
      </w:pPr>
      <w:r>
        <w:rPr>
          <w:rFonts w:eastAsiaTheme="minorHAnsi" w:cs="Calibri"/>
          <w:b/>
        </w:rPr>
        <w:t xml:space="preserve">4. </w:t>
      </w:r>
      <w:r w:rsidR="008329A2" w:rsidRPr="00FC0815">
        <w:rPr>
          <w:rFonts w:eastAsiaTheme="minorHAnsi" w:cs="Calibri"/>
          <w:b/>
        </w:rPr>
        <w:t>Závěrečný účet kapitoly státního rozpočtu 322</w:t>
      </w:r>
      <w:r w:rsidR="00BF395C">
        <w:rPr>
          <w:rFonts w:eastAsiaTheme="minorHAnsi" w:cs="Calibri"/>
          <w:b/>
        </w:rPr>
        <w:t xml:space="preserve"> –</w:t>
      </w:r>
      <w:r w:rsidR="008329A2" w:rsidRPr="00FC0815">
        <w:rPr>
          <w:rFonts w:eastAsiaTheme="minorHAnsi" w:cs="Calibri"/>
          <w:b/>
        </w:rPr>
        <w:t xml:space="preserve"> </w:t>
      </w:r>
      <w:r w:rsidR="008329A2" w:rsidRPr="004670E4">
        <w:rPr>
          <w:rFonts w:eastAsiaTheme="minorHAnsi" w:cs="Calibri"/>
          <w:b/>
          <w:i/>
        </w:rPr>
        <w:t>Ministerstvo průmyslu a obchodu</w:t>
      </w:r>
      <w:r w:rsidR="0037310D" w:rsidRPr="00FC0815">
        <w:rPr>
          <w:rFonts w:eastAsiaTheme="minorHAnsi" w:cs="Calibri"/>
          <w:b/>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1FF"/>
        <w:tblLook w:val="04A0" w:firstRow="1" w:lastRow="0" w:firstColumn="1" w:lastColumn="0" w:noHBand="0" w:noVBand="1"/>
      </w:tblPr>
      <w:tblGrid>
        <w:gridCol w:w="9060"/>
      </w:tblGrid>
      <w:tr w:rsidR="007D6050" w:rsidRPr="007D6050" w14:paraId="7186E1F2" w14:textId="77777777" w:rsidTr="005E63AE">
        <w:tc>
          <w:tcPr>
            <w:tcW w:w="9060" w:type="dxa"/>
            <w:shd w:val="clear" w:color="auto" w:fill="E5F1FF"/>
          </w:tcPr>
          <w:p w14:paraId="6F7EE0E7" w14:textId="36903F78" w:rsidR="007D6050" w:rsidRPr="005E63AE" w:rsidRDefault="007D6050" w:rsidP="005E63AE">
            <w:pPr>
              <w:jc w:val="both"/>
              <w:rPr>
                <w:rFonts w:eastAsiaTheme="minorHAnsi" w:cs="Calibri"/>
                <w:b/>
              </w:rPr>
            </w:pPr>
            <w:r w:rsidRPr="005E63AE">
              <w:rPr>
                <w:rFonts w:eastAsiaTheme="minorHAnsi" w:cs="Calibri"/>
                <w:b/>
              </w:rPr>
              <w:t>V závěrečném účtu kapitoly státního rozpočtu 322</w:t>
            </w:r>
            <w:r w:rsidR="00BF395C">
              <w:rPr>
                <w:rFonts w:eastAsiaTheme="minorHAnsi" w:cs="Calibri"/>
                <w:b/>
              </w:rPr>
              <w:t xml:space="preserve"> –</w:t>
            </w:r>
            <w:r w:rsidRPr="005E63AE">
              <w:rPr>
                <w:rFonts w:eastAsiaTheme="minorHAnsi" w:cs="Calibri"/>
                <w:b/>
              </w:rPr>
              <w:t xml:space="preserve"> </w:t>
            </w:r>
            <w:r w:rsidRPr="004670E4">
              <w:rPr>
                <w:rFonts w:eastAsiaTheme="minorHAnsi" w:cs="Calibri"/>
                <w:b/>
                <w:i/>
              </w:rPr>
              <w:t>Ministerstvo průmyslu a obchodu</w:t>
            </w:r>
            <w:r w:rsidRPr="005E63AE">
              <w:rPr>
                <w:rFonts w:eastAsiaTheme="minorHAnsi" w:cs="Calibri"/>
                <w:b/>
              </w:rPr>
              <w:t xml:space="preserve"> za rok 2020</w:t>
            </w:r>
            <w:r w:rsidRPr="005E63AE">
              <w:rPr>
                <w:rStyle w:val="Znakapoznpodarou"/>
                <w:rFonts w:eastAsiaTheme="minorHAnsi" w:cs="Calibri"/>
                <w:b/>
              </w:rPr>
              <w:footnoteReference w:id="15"/>
            </w:r>
            <w:r w:rsidRPr="005E63AE">
              <w:rPr>
                <w:rFonts w:eastAsiaTheme="minorHAnsi" w:cs="Calibri"/>
                <w:b/>
              </w:rPr>
              <w:t xml:space="preserve"> (dále také „ZÚ 2020“) nebyly zjištěny významné nesprávnosti s dopadem na jeho celkovou vypovídací schopnost, a to při prověření na soulad s platnými právními předpisy.</w:t>
            </w:r>
          </w:p>
        </w:tc>
      </w:tr>
    </w:tbl>
    <w:p w14:paraId="5F274F45" w14:textId="77777777" w:rsidR="008B175D" w:rsidRDefault="008B175D" w:rsidP="001B7E65">
      <w:pPr>
        <w:spacing w:after="0"/>
        <w:jc w:val="both"/>
        <w:rPr>
          <w:rFonts w:eastAsiaTheme="minorHAnsi" w:cs="Calibri"/>
          <w:b/>
        </w:rPr>
      </w:pPr>
    </w:p>
    <w:p w14:paraId="13BD4367" w14:textId="7562EB0A" w:rsidR="00DB203F" w:rsidRDefault="00863F1A" w:rsidP="00DB203F">
      <w:pPr>
        <w:spacing w:after="0"/>
        <w:jc w:val="both"/>
        <w:rPr>
          <w:rFonts w:eastAsiaTheme="minorHAnsi" w:cs="Calibri"/>
          <w:b/>
        </w:rPr>
      </w:pPr>
      <w:r>
        <w:rPr>
          <w:rFonts w:eastAsiaTheme="minorHAnsi" w:cs="Calibri"/>
          <w:b/>
        </w:rPr>
        <w:t>Dlouhodob</w:t>
      </w:r>
      <w:r w:rsidR="006B581B">
        <w:rPr>
          <w:rFonts w:eastAsiaTheme="minorHAnsi" w:cs="Calibri"/>
          <w:b/>
        </w:rPr>
        <w:t>ým</w:t>
      </w:r>
      <w:r>
        <w:rPr>
          <w:rFonts w:eastAsiaTheme="minorHAnsi" w:cs="Calibri"/>
          <w:b/>
        </w:rPr>
        <w:t xml:space="preserve"> nedostatkem těchto právních předpisů</w:t>
      </w:r>
      <w:r w:rsidR="00DB203F">
        <w:rPr>
          <w:rFonts w:eastAsiaTheme="minorHAnsi" w:cs="Calibri"/>
          <w:b/>
        </w:rPr>
        <w:t>, které jsou v gesci Ministerstva financí,</w:t>
      </w:r>
      <w:r>
        <w:rPr>
          <w:rFonts w:eastAsiaTheme="minorHAnsi" w:cs="Calibri"/>
          <w:b/>
        </w:rPr>
        <w:t xml:space="preserve"> je </w:t>
      </w:r>
      <w:r w:rsidR="00486073">
        <w:rPr>
          <w:rFonts w:eastAsiaTheme="minorHAnsi" w:cs="Calibri"/>
          <w:b/>
        </w:rPr>
        <w:t xml:space="preserve">ale </w:t>
      </w:r>
      <w:r>
        <w:rPr>
          <w:rFonts w:eastAsiaTheme="minorHAnsi" w:cs="Calibri"/>
          <w:b/>
        </w:rPr>
        <w:t>dle NKÚ nezveřejňování informací o hospodaření s majetkem a peněžními prostředky správců kapitol</w:t>
      </w:r>
      <w:r w:rsidR="00F60FDE">
        <w:rPr>
          <w:rFonts w:eastAsiaTheme="minorHAnsi" w:cs="Calibri"/>
          <w:b/>
        </w:rPr>
        <w:t xml:space="preserve"> státního rozpočtu</w:t>
      </w:r>
      <w:r>
        <w:rPr>
          <w:rFonts w:eastAsiaTheme="minorHAnsi" w:cs="Calibri"/>
          <w:b/>
        </w:rPr>
        <w:t>, které v daném roce nejsou spojeny s peněžním tokem</w:t>
      </w:r>
      <w:r w:rsidR="00BF395C">
        <w:rPr>
          <w:rFonts w:eastAsiaTheme="minorHAnsi" w:cs="Calibri"/>
          <w:b/>
        </w:rPr>
        <w:t>,</w:t>
      </w:r>
      <w:r w:rsidR="006B581B">
        <w:rPr>
          <w:rFonts w:eastAsiaTheme="minorHAnsi" w:cs="Calibri"/>
          <w:b/>
        </w:rPr>
        <w:t xml:space="preserve"> tzn. </w:t>
      </w:r>
      <w:r w:rsidR="00486073">
        <w:rPr>
          <w:rFonts w:eastAsiaTheme="minorHAnsi" w:cs="Calibri"/>
          <w:b/>
        </w:rPr>
        <w:t xml:space="preserve">nezveřejňování </w:t>
      </w:r>
      <w:r w:rsidR="006B581B">
        <w:rPr>
          <w:rFonts w:eastAsiaTheme="minorHAnsi" w:cs="Calibri"/>
          <w:b/>
        </w:rPr>
        <w:t>údaj</w:t>
      </w:r>
      <w:r w:rsidR="00486073">
        <w:rPr>
          <w:rFonts w:eastAsiaTheme="minorHAnsi" w:cs="Calibri"/>
          <w:b/>
        </w:rPr>
        <w:t>ů</w:t>
      </w:r>
      <w:r w:rsidR="006B581B">
        <w:rPr>
          <w:rFonts w:eastAsiaTheme="minorHAnsi" w:cs="Calibri"/>
          <w:b/>
        </w:rPr>
        <w:t xml:space="preserve"> z účetnictví</w:t>
      </w:r>
      <w:r>
        <w:rPr>
          <w:rFonts w:eastAsiaTheme="minorHAnsi" w:cs="Calibri"/>
          <w:b/>
        </w:rPr>
        <w:t>.</w:t>
      </w:r>
      <w:r w:rsidR="00DB203F">
        <w:rPr>
          <w:rFonts w:eastAsiaTheme="minorHAnsi" w:cs="Calibri"/>
          <w:b/>
        </w:rPr>
        <w:t xml:space="preserve"> Na tuto skutečnost NKÚ dlouhodobě upozorňuje ve svých kontrolních závěrech</w:t>
      </w:r>
      <w:r w:rsidR="00DB203F">
        <w:rPr>
          <w:rStyle w:val="Znakapoznpodarou"/>
          <w:rFonts w:eastAsiaTheme="minorHAnsi" w:cs="Calibri"/>
          <w:b/>
        </w:rPr>
        <w:footnoteReference w:id="16"/>
      </w:r>
      <w:r w:rsidR="00DB203F">
        <w:rPr>
          <w:rFonts w:eastAsiaTheme="minorHAnsi" w:cs="Calibri"/>
          <w:b/>
        </w:rPr>
        <w:t xml:space="preserve">. </w:t>
      </w:r>
    </w:p>
    <w:p w14:paraId="5ECF7E76" w14:textId="77777777" w:rsidR="00DB203F" w:rsidRDefault="00DB203F" w:rsidP="00DB203F">
      <w:pPr>
        <w:spacing w:after="0"/>
        <w:jc w:val="both"/>
        <w:rPr>
          <w:rFonts w:eastAsiaTheme="minorHAnsi" w:cs="Calibri"/>
          <w:b/>
        </w:rPr>
      </w:pPr>
    </w:p>
    <w:p w14:paraId="0218E7BB" w14:textId="5556F1C3" w:rsidR="00995770" w:rsidRDefault="00BA0967" w:rsidP="001B7E65">
      <w:pPr>
        <w:spacing w:after="0"/>
        <w:jc w:val="both"/>
        <w:rPr>
          <w:rFonts w:eastAsiaTheme="minorHAnsi" w:cs="Calibri"/>
          <w:b/>
        </w:rPr>
      </w:pPr>
      <w:r>
        <w:rPr>
          <w:rFonts w:eastAsiaTheme="minorHAnsi" w:cs="Calibri"/>
          <w:b/>
        </w:rPr>
        <w:t>V případě závěrečného účtu MPO za rok 2020 tak není povinně zveřejněna např. informace o tom, že pohledávka za Národním fondem</w:t>
      </w:r>
      <w:r w:rsidR="00A05257">
        <w:rPr>
          <w:rFonts w:eastAsiaTheme="minorHAnsi" w:cs="Calibri"/>
          <w:b/>
        </w:rPr>
        <w:t xml:space="preserve"> na prostředky Evropské unie</w:t>
      </w:r>
      <w:r>
        <w:rPr>
          <w:rFonts w:eastAsiaTheme="minorHAnsi" w:cs="Calibri"/>
          <w:b/>
        </w:rPr>
        <w:t xml:space="preserve"> ve výši 3,61</w:t>
      </w:r>
      <w:r w:rsidR="00895718">
        <w:rPr>
          <w:rFonts w:eastAsiaTheme="minorHAnsi" w:cs="Calibri"/>
          <w:b/>
        </w:rPr>
        <w:t> </w:t>
      </w:r>
      <w:r>
        <w:rPr>
          <w:rFonts w:eastAsiaTheme="minorHAnsi" w:cs="Calibri"/>
          <w:b/>
        </w:rPr>
        <w:t>mld.</w:t>
      </w:r>
      <w:r w:rsidR="00895718">
        <w:rPr>
          <w:rFonts w:eastAsiaTheme="minorHAnsi" w:cs="Calibri"/>
          <w:b/>
        </w:rPr>
        <w:t> </w:t>
      </w:r>
      <w:r>
        <w:rPr>
          <w:rFonts w:eastAsiaTheme="minorHAnsi" w:cs="Calibri"/>
          <w:b/>
        </w:rPr>
        <w:t xml:space="preserve">Kč </w:t>
      </w:r>
      <w:r>
        <w:rPr>
          <w:rFonts w:eastAsiaTheme="minorHAnsi" w:cs="Calibri"/>
          <w:b/>
        </w:rPr>
        <w:lastRenderedPageBreak/>
        <w:t>byla v roce 2020 v účetnictví odepsána</w:t>
      </w:r>
      <w:r w:rsidR="0045393E">
        <w:rPr>
          <w:rStyle w:val="Znakapoznpodarou"/>
          <w:rFonts w:eastAsiaTheme="minorHAnsi" w:cs="Calibri"/>
          <w:b/>
        </w:rPr>
        <w:footnoteReference w:id="17"/>
      </w:r>
      <w:r>
        <w:rPr>
          <w:rFonts w:eastAsiaTheme="minorHAnsi" w:cs="Calibri"/>
          <w:b/>
        </w:rPr>
        <w:t>, což představuje riziko neplánovaného zatížení výdajů státního rozpočtu a zvýšení státního dluhu.</w:t>
      </w:r>
    </w:p>
    <w:p w14:paraId="107EA65C" w14:textId="77777777" w:rsidR="00995770" w:rsidRDefault="00995770" w:rsidP="001B7E65">
      <w:pPr>
        <w:spacing w:after="0"/>
        <w:jc w:val="both"/>
        <w:rPr>
          <w:rFonts w:eastAsiaTheme="minorHAnsi" w:cs="Calibri"/>
          <w:b/>
        </w:rPr>
      </w:pPr>
    </w:p>
    <w:p w14:paraId="5247B36B" w14:textId="1A262A36" w:rsidR="00155063" w:rsidRDefault="00BA0967" w:rsidP="008B175D">
      <w:pPr>
        <w:spacing w:after="0"/>
        <w:jc w:val="both"/>
        <w:rPr>
          <w:rFonts w:eastAsiaTheme="minorHAnsi" w:cs="Calibri"/>
          <w:b/>
        </w:rPr>
      </w:pPr>
      <w:r>
        <w:rPr>
          <w:rFonts w:eastAsiaTheme="minorHAnsi" w:cs="Calibri"/>
          <w:b/>
        </w:rPr>
        <w:t>Dle názoru NKÚ</w:t>
      </w:r>
      <w:r w:rsidR="00CB13DC">
        <w:rPr>
          <w:rFonts w:eastAsiaTheme="minorHAnsi" w:cs="Calibri"/>
          <w:b/>
        </w:rPr>
        <w:t xml:space="preserve"> </w:t>
      </w:r>
      <w:r w:rsidR="00DB203F">
        <w:rPr>
          <w:rFonts w:eastAsiaTheme="minorHAnsi" w:cs="Calibri"/>
          <w:b/>
        </w:rPr>
        <w:t>je nezveřejňování těchto informací v závěrečných účtech kapitol státního rozpočtu systémovým nedostatkem</w:t>
      </w:r>
      <w:r w:rsidR="00BF395C">
        <w:rPr>
          <w:rFonts w:eastAsiaTheme="minorHAnsi" w:cs="Calibri"/>
          <w:b/>
        </w:rPr>
        <w:t>,</w:t>
      </w:r>
      <w:r w:rsidR="00B11D5E">
        <w:rPr>
          <w:rFonts w:eastAsiaTheme="minorHAnsi" w:cs="Calibri"/>
          <w:b/>
        </w:rPr>
        <w:t xml:space="preserve"> a to v důsledku nedostatečné právní úpravy v této oblasti. NKÚ upozorňuje na skutečnost,</w:t>
      </w:r>
      <w:r w:rsidR="00DD59BB">
        <w:rPr>
          <w:rFonts w:eastAsiaTheme="minorHAnsi" w:cs="Calibri"/>
          <w:b/>
        </w:rPr>
        <w:t xml:space="preserve"> že </w:t>
      </w:r>
      <w:r w:rsidR="00C26754">
        <w:rPr>
          <w:rFonts w:eastAsiaTheme="minorHAnsi" w:cs="Calibri"/>
          <w:b/>
        </w:rPr>
        <w:t>s</w:t>
      </w:r>
      <w:r w:rsidR="00DD59BB">
        <w:rPr>
          <w:rFonts w:eastAsiaTheme="minorHAnsi" w:cs="Calibri"/>
          <w:b/>
        </w:rPr>
        <w:t>tátní pokladn</w:t>
      </w:r>
      <w:r w:rsidR="00C26754">
        <w:rPr>
          <w:rFonts w:eastAsiaTheme="minorHAnsi" w:cs="Calibri"/>
          <w:b/>
        </w:rPr>
        <w:t>a jako systém</w:t>
      </w:r>
      <w:r w:rsidR="00DD59BB">
        <w:rPr>
          <w:rFonts w:eastAsiaTheme="minorHAnsi" w:cs="Calibri"/>
          <w:b/>
        </w:rPr>
        <w:t xml:space="preserve"> a je</w:t>
      </w:r>
      <w:r w:rsidR="00DB203F">
        <w:rPr>
          <w:rFonts w:eastAsiaTheme="minorHAnsi" w:cs="Calibri"/>
          <w:b/>
        </w:rPr>
        <w:t>jí</w:t>
      </w:r>
      <w:r w:rsidR="00DD59BB">
        <w:rPr>
          <w:rFonts w:eastAsiaTheme="minorHAnsi" w:cs="Calibri"/>
          <w:b/>
        </w:rPr>
        <w:t xml:space="preserve"> realizace prostřednictvím </w:t>
      </w:r>
      <w:r w:rsidR="00F30CC4" w:rsidRPr="004670E4">
        <w:rPr>
          <w:rFonts w:eastAsiaTheme="minorHAnsi" w:cs="Calibri"/>
          <w:b/>
          <w:i/>
        </w:rPr>
        <w:t xml:space="preserve">Integrovaného informačního systému </w:t>
      </w:r>
      <w:r w:rsidR="000B773E" w:rsidRPr="004670E4">
        <w:rPr>
          <w:rFonts w:eastAsiaTheme="minorHAnsi" w:cs="Calibri"/>
          <w:b/>
          <w:i/>
        </w:rPr>
        <w:t>S</w:t>
      </w:r>
      <w:r w:rsidR="00F30CC4" w:rsidRPr="004670E4">
        <w:rPr>
          <w:rFonts w:eastAsiaTheme="minorHAnsi" w:cs="Calibri"/>
          <w:b/>
          <w:i/>
        </w:rPr>
        <w:t>tátní pokladn</w:t>
      </w:r>
      <w:r w:rsidR="00DD59BB" w:rsidRPr="004670E4">
        <w:rPr>
          <w:rFonts w:eastAsiaTheme="minorHAnsi" w:cs="Calibri"/>
          <w:b/>
          <w:i/>
        </w:rPr>
        <w:t>y</w:t>
      </w:r>
      <w:r w:rsidR="00F30CC4" w:rsidRPr="004B652B">
        <w:rPr>
          <w:rFonts w:eastAsiaTheme="minorHAnsi" w:cs="Calibri"/>
          <w:b/>
        </w:rPr>
        <w:t xml:space="preserve"> (dále „IISSP“)</w:t>
      </w:r>
      <w:r w:rsidR="00DD59BB">
        <w:rPr>
          <w:rFonts w:eastAsiaTheme="minorHAnsi" w:cs="Calibri"/>
          <w:b/>
        </w:rPr>
        <w:t>, nemá jako celek oporu v zákoně, ale pouze v usneseních vlády, která nejsou právním předpisem</w:t>
      </w:r>
      <w:r w:rsidR="00111F82" w:rsidRPr="005E63AE">
        <w:rPr>
          <w:rStyle w:val="Znakapoznpodarou"/>
          <w:rFonts w:eastAsiaTheme="minorHAnsi" w:cs="Calibri"/>
          <w:b/>
        </w:rPr>
        <w:footnoteReference w:id="18"/>
      </w:r>
      <w:r w:rsidR="00DD59BB">
        <w:rPr>
          <w:rFonts w:eastAsiaTheme="minorHAnsi" w:cs="Calibri"/>
          <w:b/>
        </w:rPr>
        <w:t xml:space="preserve">. </w:t>
      </w:r>
      <w:r w:rsidR="00C26754">
        <w:rPr>
          <w:rFonts w:eastAsiaTheme="minorHAnsi" w:cs="Calibri"/>
          <w:b/>
        </w:rPr>
        <w:t>V právních předpisech</w:t>
      </w:r>
      <w:r w:rsidR="002C541F">
        <w:rPr>
          <w:rFonts w:eastAsiaTheme="minorHAnsi" w:cs="Calibri"/>
          <w:b/>
        </w:rPr>
        <w:t xml:space="preserve"> </w:t>
      </w:r>
      <w:r w:rsidR="005400F8">
        <w:rPr>
          <w:rFonts w:eastAsiaTheme="minorHAnsi" w:cs="Calibri"/>
          <w:b/>
        </w:rPr>
        <w:t xml:space="preserve">není pojem státní pokladna </w:t>
      </w:r>
      <w:r w:rsidR="00DD59BB">
        <w:rPr>
          <w:rFonts w:eastAsiaTheme="minorHAnsi" w:cs="Calibri"/>
          <w:b/>
        </w:rPr>
        <w:t>jako celek</w:t>
      </w:r>
      <w:r w:rsidR="00DB203F">
        <w:rPr>
          <w:rFonts w:eastAsiaTheme="minorHAnsi" w:cs="Calibri"/>
          <w:b/>
        </w:rPr>
        <w:t xml:space="preserve"> vymezen</w:t>
      </w:r>
      <w:r w:rsidR="00C26754">
        <w:rPr>
          <w:rFonts w:eastAsiaTheme="minorHAnsi" w:cs="Calibri"/>
          <w:b/>
        </w:rPr>
        <w:t>,</w:t>
      </w:r>
      <w:r w:rsidR="00974527">
        <w:rPr>
          <w:rFonts w:eastAsiaTheme="minorHAnsi" w:cs="Calibri"/>
          <w:b/>
        </w:rPr>
        <w:t xml:space="preserve"> nejsou stanovena pravidla fungování </w:t>
      </w:r>
      <w:r w:rsidR="00897FCA">
        <w:rPr>
          <w:rFonts w:eastAsiaTheme="minorHAnsi" w:cs="Calibri"/>
          <w:b/>
        </w:rPr>
        <w:t>tohoto systému jako celku</w:t>
      </w:r>
      <w:r w:rsidR="00641899">
        <w:rPr>
          <w:rStyle w:val="Znakapoznpodarou"/>
          <w:rFonts w:eastAsiaTheme="minorHAnsi" w:cs="Calibri"/>
          <w:b/>
        </w:rPr>
        <w:footnoteReference w:id="19"/>
      </w:r>
      <w:r w:rsidR="00B11D5E">
        <w:rPr>
          <w:rFonts w:eastAsiaTheme="minorHAnsi" w:cs="Calibri"/>
          <w:b/>
        </w:rPr>
        <w:t xml:space="preserve">, </w:t>
      </w:r>
      <w:r w:rsidR="00C26754">
        <w:rPr>
          <w:rFonts w:eastAsiaTheme="minorHAnsi" w:cs="Calibri"/>
          <w:b/>
        </w:rPr>
        <w:t>n</w:t>
      </w:r>
      <w:r w:rsidR="00DD59BB">
        <w:rPr>
          <w:rFonts w:eastAsiaTheme="minorHAnsi" w:cs="Calibri"/>
          <w:b/>
        </w:rPr>
        <w:t>ejsou</w:t>
      </w:r>
      <w:r w:rsidR="00DB203F">
        <w:rPr>
          <w:rFonts w:eastAsiaTheme="minorHAnsi" w:cs="Calibri"/>
          <w:b/>
        </w:rPr>
        <w:t xml:space="preserve"> </w:t>
      </w:r>
      <w:r w:rsidR="00B11D5E">
        <w:rPr>
          <w:rFonts w:eastAsiaTheme="minorHAnsi" w:cs="Calibri"/>
          <w:b/>
        </w:rPr>
        <w:t>stanoveny</w:t>
      </w:r>
      <w:r w:rsidR="00C26754">
        <w:rPr>
          <w:rFonts w:eastAsiaTheme="minorHAnsi" w:cs="Calibri"/>
          <w:b/>
        </w:rPr>
        <w:t xml:space="preserve"> </w:t>
      </w:r>
      <w:r w:rsidR="00DD59BB">
        <w:rPr>
          <w:rFonts w:eastAsiaTheme="minorHAnsi" w:cs="Calibri"/>
          <w:b/>
        </w:rPr>
        <w:t>vztahy a vazby</w:t>
      </w:r>
      <w:r w:rsidR="00B11D5E">
        <w:rPr>
          <w:rFonts w:eastAsiaTheme="minorHAnsi" w:cs="Calibri"/>
          <w:b/>
        </w:rPr>
        <w:t xml:space="preserve"> je</w:t>
      </w:r>
      <w:r w:rsidR="00DB203F">
        <w:rPr>
          <w:rFonts w:eastAsiaTheme="minorHAnsi" w:cs="Calibri"/>
          <w:b/>
        </w:rPr>
        <w:t>h</w:t>
      </w:r>
      <w:r w:rsidR="00B11D5E">
        <w:rPr>
          <w:rFonts w:eastAsiaTheme="minorHAnsi" w:cs="Calibri"/>
          <w:b/>
        </w:rPr>
        <w:t>o</w:t>
      </w:r>
      <w:r w:rsidR="00DD59BB">
        <w:rPr>
          <w:rFonts w:eastAsiaTheme="minorHAnsi" w:cs="Calibri"/>
          <w:b/>
        </w:rPr>
        <w:t xml:space="preserve"> jednotlivých částí</w:t>
      </w:r>
      <w:r w:rsidR="00923D69">
        <w:rPr>
          <w:rFonts w:eastAsiaTheme="minorHAnsi" w:cs="Calibri"/>
          <w:b/>
        </w:rPr>
        <w:t xml:space="preserve"> (provozovaných modulů)</w:t>
      </w:r>
      <w:r w:rsidR="00DB203F">
        <w:rPr>
          <w:rFonts w:eastAsiaTheme="minorHAnsi" w:cs="Calibri"/>
          <w:b/>
        </w:rPr>
        <w:t xml:space="preserve"> a</w:t>
      </w:r>
      <w:r w:rsidR="00923D69">
        <w:rPr>
          <w:rFonts w:eastAsiaTheme="minorHAnsi" w:cs="Calibri"/>
          <w:b/>
        </w:rPr>
        <w:t xml:space="preserve"> ani jejich</w:t>
      </w:r>
      <w:r w:rsidR="00DD59BB">
        <w:rPr>
          <w:rFonts w:eastAsiaTheme="minorHAnsi" w:cs="Calibri"/>
          <w:b/>
        </w:rPr>
        <w:t xml:space="preserve"> povinné výstupy. Nejsou tak </w:t>
      </w:r>
      <w:r w:rsidR="00923D69">
        <w:rPr>
          <w:rFonts w:eastAsiaTheme="minorHAnsi" w:cs="Calibri"/>
          <w:b/>
        </w:rPr>
        <w:t>v této oblasti</w:t>
      </w:r>
      <w:r w:rsidR="00DB203F">
        <w:rPr>
          <w:rFonts w:eastAsiaTheme="minorHAnsi" w:cs="Calibri"/>
          <w:b/>
        </w:rPr>
        <w:t xml:space="preserve"> stanoveny konkrétní povinnosti</w:t>
      </w:r>
      <w:r w:rsidR="00923D69">
        <w:rPr>
          <w:rFonts w:eastAsiaTheme="minorHAnsi" w:cs="Calibri"/>
          <w:b/>
        </w:rPr>
        <w:t xml:space="preserve"> j</w:t>
      </w:r>
      <w:r w:rsidR="00636F50" w:rsidRPr="005E63AE">
        <w:rPr>
          <w:rFonts w:eastAsiaTheme="minorHAnsi" w:cs="Calibri"/>
          <w:b/>
        </w:rPr>
        <w:t xml:space="preserve">ak a k čemu </w:t>
      </w:r>
      <w:r w:rsidR="00851D0C" w:rsidRPr="005E63AE">
        <w:rPr>
          <w:rFonts w:eastAsiaTheme="minorHAnsi" w:cs="Calibri"/>
          <w:b/>
        </w:rPr>
        <w:t>využívat informace z</w:t>
      </w:r>
      <w:r w:rsidR="00DB203F">
        <w:rPr>
          <w:rFonts w:eastAsiaTheme="minorHAnsi" w:cs="Calibri"/>
          <w:b/>
        </w:rPr>
        <w:t> </w:t>
      </w:r>
      <w:r w:rsidR="00DD59BB">
        <w:rPr>
          <w:rFonts w:eastAsiaTheme="minorHAnsi" w:cs="Calibri"/>
          <w:b/>
        </w:rPr>
        <w:t>účetnictví</w:t>
      </w:r>
      <w:r w:rsidR="00897D04">
        <w:rPr>
          <w:rFonts w:eastAsiaTheme="minorHAnsi" w:cs="Calibri"/>
          <w:b/>
        </w:rPr>
        <w:t>,</w:t>
      </w:r>
      <w:r w:rsidR="00DB203F">
        <w:rPr>
          <w:rFonts w:eastAsiaTheme="minorHAnsi" w:cs="Calibri"/>
          <w:b/>
        </w:rPr>
        <w:t xml:space="preserve"> n</w:t>
      </w:r>
      <w:r w:rsidR="00923D69">
        <w:rPr>
          <w:rFonts w:eastAsiaTheme="minorHAnsi" w:cs="Calibri"/>
          <w:b/>
        </w:rPr>
        <w:t>apříklad ke skládání účtů z hospodaření prostřednictvím závěrečných účtů kapitol státního rozpočtu.</w:t>
      </w:r>
      <w:r>
        <w:rPr>
          <w:rFonts w:eastAsiaTheme="minorHAnsi" w:cs="Calibri"/>
          <w:b/>
        </w:rPr>
        <w:t xml:space="preserve"> </w:t>
      </w:r>
    </w:p>
    <w:p w14:paraId="3592611D" w14:textId="77777777" w:rsidR="00155063" w:rsidRDefault="00155063" w:rsidP="008B175D">
      <w:pPr>
        <w:spacing w:after="0"/>
        <w:jc w:val="both"/>
        <w:rPr>
          <w:rFonts w:eastAsiaTheme="minorHAnsi" w:cs="Calibri"/>
          <w:b/>
        </w:rPr>
      </w:pPr>
    </w:p>
    <w:p w14:paraId="0C891061" w14:textId="31B58D88" w:rsidR="00155063" w:rsidRDefault="00BA0967" w:rsidP="008B175D">
      <w:pPr>
        <w:spacing w:after="0"/>
        <w:jc w:val="both"/>
        <w:rPr>
          <w:rFonts w:cs="Calibri"/>
          <w:b/>
        </w:rPr>
      </w:pPr>
      <w:r>
        <w:rPr>
          <w:rFonts w:eastAsiaTheme="minorHAnsi" w:cs="Calibri"/>
          <w:b/>
        </w:rPr>
        <w:t xml:space="preserve">Jak vyplývá z důvodové </w:t>
      </w:r>
      <w:r w:rsidR="006B581B">
        <w:rPr>
          <w:rFonts w:eastAsiaTheme="minorHAnsi" w:cs="Calibri"/>
          <w:b/>
        </w:rPr>
        <w:t xml:space="preserve">zprávy k novele zákona </w:t>
      </w:r>
      <w:r w:rsidR="00BE7F32">
        <w:rPr>
          <w:rFonts w:eastAsiaTheme="minorHAnsi" w:cs="Calibri"/>
          <w:b/>
        </w:rPr>
        <w:t>č. 563/1991 Sb.</w:t>
      </w:r>
      <w:r w:rsidR="006B581B">
        <w:rPr>
          <w:rFonts w:eastAsiaTheme="minorHAnsi" w:cs="Calibri"/>
          <w:b/>
        </w:rPr>
        <w:t xml:space="preserve"> s</w:t>
      </w:r>
      <w:r w:rsidR="00BF30D9">
        <w:rPr>
          <w:rFonts w:eastAsiaTheme="minorHAnsi" w:cs="Calibri"/>
          <w:b/>
        </w:rPr>
        <w:t> účinnost</w:t>
      </w:r>
      <w:r w:rsidR="00DD59BB">
        <w:rPr>
          <w:rFonts w:eastAsiaTheme="minorHAnsi" w:cs="Calibri"/>
          <w:b/>
        </w:rPr>
        <w:t>í</w:t>
      </w:r>
      <w:r w:rsidR="00BF30D9">
        <w:rPr>
          <w:rFonts w:eastAsiaTheme="minorHAnsi" w:cs="Calibri"/>
          <w:b/>
        </w:rPr>
        <w:t xml:space="preserve"> </w:t>
      </w:r>
      <w:r w:rsidR="006B581B">
        <w:rPr>
          <w:rFonts w:eastAsiaTheme="minorHAnsi" w:cs="Calibri"/>
          <w:b/>
        </w:rPr>
        <w:t>od 1. ledna 2010</w:t>
      </w:r>
      <w:r w:rsidR="006B581B">
        <w:rPr>
          <w:rStyle w:val="Znakapoznpodarou"/>
          <w:rFonts w:eastAsiaTheme="minorHAnsi" w:cs="Calibri"/>
          <w:b/>
        </w:rPr>
        <w:footnoteReference w:id="20"/>
      </w:r>
      <w:r w:rsidR="006B581B">
        <w:rPr>
          <w:rFonts w:eastAsiaTheme="minorHAnsi" w:cs="Calibri"/>
          <w:b/>
        </w:rPr>
        <w:t>, právě z</w:t>
      </w:r>
      <w:r w:rsidR="00E77C0C">
        <w:rPr>
          <w:rFonts w:eastAsiaTheme="minorHAnsi" w:cs="Calibri"/>
          <w:b/>
        </w:rPr>
        <w:t> </w:t>
      </w:r>
      <w:r w:rsidR="006B581B">
        <w:rPr>
          <w:rFonts w:eastAsiaTheme="minorHAnsi" w:cs="Calibri"/>
          <w:b/>
        </w:rPr>
        <w:t>důvodu</w:t>
      </w:r>
      <w:r w:rsidR="00E77C0C">
        <w:rPr>
          <w:rFonts w:eastAsiaTheme="minorHAnsi" w:cs="Calibri"/>
          <w:b/>
        </w:rPr>
        <w:t xml:space="preserve"> nutné</w:t>
      </w:r>
      <w:r w:rsidR="006B581B">
        <w:rPr>
          <w:rFonts w:eastAsiaTheme="minorHAnsi" w:cs="Calibri"/>
          <w:b/>
        </w:rPr>
        <w:t xml:space="preserve"> </w:t>
      </w:r>
      <w:r w:rsidR="00E77C0C">
        <w:rPr>
          <w:rFonts w:eastAsiaTheme="minorHAnsi" w:cs="Calibri"/>
          <w:b/>
        </w:rPr>
        <w:t xml:space="preserve">větší komplexnosti a transparentnosti vykazování </w:t>
      </w:r>
      <w:r w:rsidR="006B581B">
        <w:rPr>
          <w:rFonts w:eastAsiaTheme="minorHAnsi" w:cs="Calibri"/>
          <w:b/>
        </w:rPr>
        <w:t>byla pro vybrané účetní jednotky stanovena povinnost účtovat o větším</w:t>
      </w:r>
      <w:r w:rsidR="00320174">
        <w:rPr>
          <w:rFonts w:eastAsiaTheme="minorHAnsi" w:cs="Calibri"/>
          <w:b/>
        </w:rPr>
        <w:t xml:space="preserve"> </w:t>
      </w:r>
      <w:r w:rsidR="00851D0C">
        <w:rPr>
          <w:rFonts w:eastAsiaTheme="minorHAnsi" w:cs="Calibri"/>
          <w:b/>
        </w:rPr>
        <w:t>rozsah</w:t>
      </w:r>
      <w:r w:rsidR="006B581B">
        <w:rPr>
          <w:rFonts w:eastAsiaTheme="minorHAnsi" w:cs="Calibri"/>
          <w:b/>
        </w:rPr>
        <w:t>u</w:t>
      </w:r>
      <w:r w:rsidR="00851D0C">
        <w:rPr>
          <w:rFonts w:eastAsiaTheme="minorHAnsi" w:cs="Calibri"/>
          <w:b/>
        </w:rPr>
        <w:t xml:space="preserve"> </w:t>
      </w:r>
      <w:r w:rsidR="006B581B">
        <w:rPr>
          <w:rFonts w:eastAsiaTheme="minorHAnsi" w:cs="Calibri"/>
          <w:b/>
        </w:rPr>
        <w:t>skutečností než v</w:t>
      </w:r>
      <w:r w:rsidR="00636F50">
        <w:rPr>
          <w:rFonts w:eastAsiaTheme="minorHAnsi" w:cs="Calibri"/>
          <w:b/>
        </w:rPr>
        <w:t> </w:t>
      </w:r>
      <w:r w:rsidR="006B581B">
        <w:rPr>
          <w:rFonts w:eastAsiaTheme="minorHAnsi" w:cs="Calibri"/>
          <w:b/>
        </w:rPr>
        <w:t>předchozí</w:t>
      </w:r>
      <w:r w:rsidR="00636F50">
        <w:rPr>
          <w:rFonts w:eastAsiaTheme="minorHAnsi" w:cs="Calibri"/>
          <w:b/>
        </w:rPr>
        <w:t xml:space="preserve">ch </w:t>
      </w:r>
      <w:r w:rsidR="006B581B">
        <w:rPr>
          <w:rFonts w:eastAsiaTheme="minorHAnsi" w:cs="Calibri"/>
          <w:b/>
        </w:rPr>
        <w:t>období</w:t>
      </w:r>
      <w:r w:rsidR="00636F50">
        <w:rPr>
          <w:rFonts w:eastAsiaTheme="minorHAnsi" w:cs="Calibri"/>
          <w:b/>
        </w:rPr>
        <w:t>ch</w:t>
      </w:r>
      <w:r w:rsidR="006B581B">
        <w:rPr>
          <w:rFonts w:eastAsiaTheme="minorHAnsi" w:cs="Calibri"/>
          <w:b/>
        </w:rPr>
        <w:t xml:space="preserve">. </w:t>
      </w:r>
      <w:r w:rsidR="006B581B" w:rsidRPr="005E63AE">
        <w:rPr>
          <w:rFonts w:eastAsiaTheme="minorHAnsi" w:cs="Calibri"/>
          <w:b/>
        </w:rPr>
        <w:t>Rozsah údajů</w:t>
      </w:r>
      <w:r w:rsidR="00851D0C" w:rsidRPr="005E63AE">
        <w:rPr>
          <w:rFonts w:eastAsiaTheme="minorHAnsi" w:cs="Calibri"/>
          <w:b/>
        </w:rPr>
        <w:t xml:space="preserve"> povinně zasílaných vybranými účetními jednotkami do CSÚIS </w:t>
      </w:r>
      <w:r w:rsidR="00486073" w:rsidRPr="005E63AE">
        <w:rPr>
          <w:rFonts w:eastAsiaTheme="minorHAnsi" w:cs="Calibri"/>
          <w:b/>
        </w:rPr>
        <w:t>o</w:t>
      </w:r>
      <w:r w:rsidR="00851D0C" w:rsidRPr="005E63AE">
        <w:rPr>
          <w:rFonts w:eastAsiaTheme="minorHAnsi" w:cs="Calibri"/>
          <w:b/>
        </w:rPr>
        <w:t>d roku 2010</w:t>
      </w:r>
      <w:r w:rsidR="00EE6359" w:rsidRPr="005E63AE">
        <w:rPr>
          <w:rFonts w:eastAsiaTheme="minorHAnsi" w:cs="Calibri"/>
          <w:b/>
        </w:rPr>
        <w:t xml:space="preserve"> tak</w:t>
      </w:r>
      <w:r w:rsidR="00320174" w:rsidRPr="005E63AE">
        <w:rPr>
          <w:rFonts w:eastAsiaTheme="minorHAnsi" w:cs="Calibri"/>
          <w:b/>
        </w:rPr>
        <w:t xml:space="preserve"> v</w:t>
      </w:r>
      <w:r w:rsidR="00851D0C" w:rsidRPr="005E63AE">
        <w:rPr>
          <w:rFonts w:eastAsiaTheme="minorHAnsi" w:cs="Calibri"/>
          <w:b/>
        </w:rPr>
        <w:t>ýrazně vzrostl</w:t>
      </w:r>
      <w:r>
        <w:rPr>
          <w:rStyle w:val="Znakapoznpodarou"/>
          <w:rFonts w:eastAsiaTheme="minorHAnsi" w:cs="Calibri"/>
          <w:b/>
        </w:rPr>
        <w:footnoteReference w:id="21"/>
      </w:r>
      <w:r w:rsidR="0062539E" w:rsidRPr="008B175D">
        <w:rPr>
          <w:rFonts w:eastAsiaTheme="minorHAnsi" w:cs="Calibri"/>
          <w:b/>
        </w:rPr>
        <w:t xml:space="preserve">, </w:t>
      </w:r>
      <w:r w:rsidR="0062539E" w:rsidRPr="005E63AE">
        <w:rPr>
          <w:rFonts w:eastAsiaTheme="minorHAnsi" w:cs="Calibri"/>
          <w:b/>
        </w:rPr>
        <w:t>a</w:t>
      </w:r>
      <w:r w:rsidR="00EE6359" w:rsidRPr="005E63AE">
        <w:rPr>
          <w:rFonts w:eastAsiaTheme="minorHAnsi" w:cs="Calibri"/>
          <w:b/>
        </w:rPr>
        <w:t>v</w:t>
      </w:r>
      <w:r w:rsidR="00FB5758" w:rsidRPr="005E63AE">
        <w:rPr>
          <w:rFonts w:eastAsiaTheme="minorHAnsi" w:cs="Calibri"/>
          <w:b/>
        </w:rPr>
        <w:t xml:space="preserve">šak </w:t>
      </w:r>
      <w:r w:rsidR="00486073" w:rsidRPr="005E63AE">
        <w:rPr>
          <w:rFonts w:eastAsiaTheme="minorHAnsi" w:cs="Calibri"/>
          <w:b/>
        </w:rPr>
        <w:t>bez vlivu na</w:t>
      </w:r>
      <w:r w:rsidR="00FB5758" w:rsidRPr="005E63AE">
        <w:rPr>
          <w:rFonts w:eastAsiaTheme="minorHAnsi" w:cs="Calibri"/>
          <w:b/>
        </w:rPr>
        <w:t xml:space="preserve"> komplexnější</w:t>
      </w:r>
      <w:r w:rsidR="00486073" w:rsidRPr="005E63AE">
        <w:rPr>
          <w:rFonts w:eastAsiaTheme="minorHAnsi" w:cs="Calibri"/>
          <w:b/>
        </w:rPr>
        <w:t xml:space="preserve"> </w:t>
      </w:r>
      <w:r w:rsidR="00FB5758" w:rsidRPr="005E63AE">
        <w:rPr>
          <w:rFonts w:eastAsiaTheme="minorHAnsi" w:cs="Calibri"/>
          <w:b/>
        </w:rPr>
        <w:t>vypovídací schopnost</w:t>
      </w:r>
      <w:r w:rsidR="00486073" w:rsidRPr="005E63AE">
        <w:rPr>
          <w:rFonts w:eastAsiaTheme="minorHAnsi" w:cs="Calibri"/>
          <w:b/>
        </w:rPr>
        <w:t xml:space="preserve"> informací zveřejňovaných a komentovaných v závěrečných účtech kapitol státního rozpočtu.</w:t>
      </w:r>
      <w:r w:rsidR="00486073" w:rsidRPr="008B175D">
        <w:rPr>
          <w:rFonts w:eastAsiaTheme="minorHAnsi" w:cs="Calibri"/>
          <w:b/>
        </w:rPr>
        <w:t xml:space="preserve"> </w:t>
      </w:r>
      <w:r w:rsidR="00AF653E" w:rsidRPr="008B175D">
        <w:rPr>
          <w:rFonts w:eastAsiaTheme="minorHAnsi" w:cs="Calibri"/>
          <w:b/>
        </w:rPr>
        <w:t>Přitom např. p</w:t>
      </w:r>
      <w:r w:rsidR="00AF653E" w:rsidRPr="008B175D">
        <w:rPr>
          <w:rFonts w:cs="Calibri"/>
          <w:b/>
        </w:rPr>
        <w:t>ovinné komentová</w:t>
      </w:r>
      <w:r w:rsidR="00DF7C62" w:rsidRPr="008B175D">
        <w:rPr>
          <w:rFonts w:cs="Calibri"/>
          <w:b/>
        </w:rPr>
        <w:t>ní rozdílů mezi rozpočtovým</w:t>
      </w:r>
      <w:r w:rsidR="00DF7C62">
        <w:rPr>
          <w:rFonts w:cs="Calibri"/>
          <w:b/>
        </w:rPr>
        <w:t xml:space="preserve"> a </w:t>
      </w:r>
      <w:r w:rsidR="00AF653E" w:rsidRPr="00AF653E">
        <w:rPr>
          <w:rFonts w:cs="Calibri"/>
          <w:b/>
        </w:rPr>
        <w:t>finančním účetnictvím</w:t>
      </w:r>
      <w:r w:rsidR="008B175D">
        <w:rPr>
          <w:rStyle w:val="Znakapoznpodarou"/>
          <w:rFonts w:cs="Calibri"/>
          <w:b/>
        </w:rPr>
        <w:footnoteReference w:id="22"/>
      </w:r>
      <w:r w:rsidR="00AF653E" w:rsidRPr="00AF653E">
        <w:rPr>
          <w:rFonts w:cs="Calibri"/>
          <w:b/>
        </w:rPr>
        <w:t xml:space="preserve"> v závěrečném účtu by přispělo k identifikování vzájemných souvislostí a propojení obou těchto systémů pro sledování plnění rozpočtu, a tím ve svém důsledku i k větší komplexnosti, transparentnosti a důvěryhodnosti skládání účtů z hospodaření s majetkem a peněžními prostředky státního rozpočtu.</w:t>
      </w:r>
      <w:r w:rsidR="00923D69">
        <w:rPr>
          <w:rFonts w:cs="Calibri"/>
          <w:b/>
        </w:rPr>
        <w:t xml:space="preserve"> </w:t>
      </w:r>
    </w:p>
    <w:p w14:paraId="4E3E7176" w14:textId="77777777" w:rsidR="00155063" w:rsidRDefault="00155063" w:rsidP="008B175D">
      <w:pPr>
        <w:spacing w:after="0"/>
        <w:jc w:val="both"/>
        <w:rPr>
          <w:rFonts w:cs="Calibri"/>
          <w:b/>
        </w:rPr>
      </w:pPr>
    </w:p>
    <w:p w14:paraId="40C9DD4C" w14:textId="3FB35E4D" w:rsidR="00131ED0" w:rsidRDefault="008B175D" w:rsidP="00021041">
      <w:pPr>
        <w:jc w:val="both"/>
        <w:rPr>
          <w:rFonts w:eastAsiaTheme="minorHAnsi" w:cs="Calibri"/>
          <w:b/>
        </w:rPr>
      </w:pPr>
      <w:r w:rsidRPr="005E63AE">
        <w:rPr>
          <w:rFonts w:eastAsiaTheme="minorHAnsi" w:cs="Calibri"/>
          <w:b/>
        </w:rPr>
        <w:lastRenderedPageBreak/>
        <w:t>NKÚ doporučuje, aby vybrané údaje z účetnictví</w:t>
      </w:r>
      <w:r w:rsidRPr="005E63AE">
        <w:rPr>
          <w:rStyle w:val="Znakapoznpodarou"/>
          <w:rFonts w:eastAsiaTheme="minorHAnsi" w:cs="Calibri"/>
          <w:b/>
        </w:rPr>
        <w:footnoteReference w:id="23"/>
      </w:r>
      <w:r w:rsidRPr="005E63AE">
        <w:rPr>
          <w:rFonts w:eastAsiaTheme="minorHAnsi" w:cs="Calibri"/>
          <w:b/>
        </w:rPr>
        <w:t xml:space="preserve"> byly z CSÚIS automaticky generovány pro účely sestavení závěrečných účtů kapitol státního rozpočtu a aby je správci kapitol v</w:t>
      </w:r>
      <w:r w:rsidR="00F67934">
        <w:rPr>
          <w:rFonts w:eastAsiaTheme="minorHAnsi" w:cs="Calibri"/>
          <w:b/>
        </w:rPr>
        <w:t> </w:t>
      </w:r>
      <w:r w:rsidRPr="005E63AE">
        <w:rPr>
          <w:rFonts w:eastAsiaTheme="minorHAnsi" w:cs="Calibri"/>
          <w:b/>
        </w:rPr>
        <w:t xml:space="preserve">závěrečném účtu povinně komentovali. </w:t>
      </w:r>
    </w:p>
    <w:p w14:paraId="1B3B88A0" w14:textId="72039DC1" w:rsidR="00307299" w:rsidRPr="00FC0815" w:rsidRDefault="00FC0815" w:rsidP="00FC0815">
      <w:pPr>
        <w:keepNext/>
        <w:jc w:val="both"/>
        <w:rPr>
          <w:rFonts w:eastAsiaTheme="minorHAnsi" w:cs="Calibri"/>
          <w:b/>
        </w:rPr>
      </w:pPr>
      <w:r>
        <w:rPr>
          <w:rFonts w:eastAsiaTheme="minorHAnsi" w:cs="Calibri"/>
          <w:b/>
        </w:rPr>
        <w:t xml:space="preserve">5. </w:t>
      </w:r>
      <w:r w:rsidR="00307299" w:rsidRPr="00FC0815">
        <w:rPr>
          <w:rFonts w:eastAsiaTheme="minorHAnsi" w:cs="Calibri"/>
          <w:b/>
        </w:rPr>
        <w:t>Vnitřní kontrolní systém</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1FF"/>
        <w:tblLook w:val="04A0" w:firstRow="1" w:lastRow="0" w:firstColumn="1" w:lastColumn="0" w:noHBand="0" w:noVBand="1"/>
      </w:tblPr>
      <w:tblGrid>
        <w:gridCol w:w="9060"/>
      </w:tblGrid>
      <w:tr w:rsidR="00873FC6" w14:paraId="1A84FCAD" w14:textId="77777777" w:rsidTr="005E63AE">
        <w:tc>
          <w:tcPr>
            <w:tcW w:w="9060" w:type="dxa"/>
            <w:shd w:val="clear" w:color="auto" w:fill="E5F1FF"/>
          </w:tcPr>
          <w:p w14:paraId="0BA3807D" w14:textId="2335B122" w:rsidR="00873FC6" w:rsidRPr="00FD005D" w:rsidRDefault="00873FC6" w:rsidP="009C2182">
            <w:pPr>
              <w:jc w:val="both"/>
              <w:rPr>
                <w:rFonts w:eastAsiaTheme="minorHAnsi" w:cs="Calibri"/>
                <w:b/>
              </w:rPr>
            </w:pPr>
            <w:r w:rsidRPr="005E63AE">
              <w:rPr>
                <w:rFonts w:eastAsiaTheme="minorHAnsi" w:cs="Calibri"/>
                <w:b/>
              </w:rPr>
              <w:t>Část VKS v oblasti finanční kontroly po vzniku závazku byla u výdajů na vlastní činnost MPO realizována v rozporu s</w:t>
            </w:r>
            <w:r w:rsidR="00711C27">
              <w:rPr>
                <w:rFonts w:eastAsiaTheme="minorHAnsi" w:cs="Calibri"/>
                <w:b/>
              </w:rPr>
              <w:t>e</w:t>
            </w:r>
            <w:r w:rsidR="00025046">
              <w:rPr>
                <w:rFonts w:eastAsiaTheme="minorHAnsi" w:cs="Calibri"/>
                <w:b/>
              </w:rPr>
              <w:t xml:space="preserve"> zákonem č. 320/2001 Sb.</w:t>
            </w:r>
            <w:r w:rsidRPr="005E63AE">
              <w:rPr>
                <w:rFonts w:eastAsiaTheme="minorHAnsi" w:cs="Calibri"/>
                <w:b/>
              </w:rPr>
              <w:t xml:space="preserve"> </w:t>
            </w:r>
            <w:r w:rsidR="00652222">
              <w:rPr>
                <w:rFonts w:eastAsiaTheme="minorHAnsi" w:cs="Calibri"/>
                <w:b/>
              </w:rPr>
              <w:t>zaměstnanci</w:t>
            </w:r>
            <w:r w:rsidRPr="005E63AE">
              <w:rPr>
                <w:rFonts w:eastAsiaTheme="minorHAnsi" w:cs="Calibri"/>
                <w:b/>
              </w:rPr>
              <w:t xml:space="preserve"> po</w:t>
            </w:r>
            <w:r w:rsidR="00FD005D">
              <w:rPr>
                <w:rFonts w:eastAsiaTheme="minorHAnsi" w:cs="Calibri"/>
                <w:b/>
              </w:rPr>
              <w:t xml:space="preserve">dřízené příspěvkové organizace. </w:t>
            </w:r>
            <w:r w:rsidRPr="005E63AE">
              <w:rPr>
                <w:rFonts w:eastAsiaTheme="minorHAnsi" w:cs="Calibri"/>
                <w:b/>
              </w:rPr>
              <w:t>Hlavní účetní nebyli zaměstnanci MPO, ale zaměstnanci podřízené příspěvkové organizace.</w:t>
            </w:r>
          </w:p>
        </w:tc>
      </w:tr>
    </w:tbl>
    <w:p w14:paraId="5F1DBD49" w14:textId="0A3E41F6" w:rsidR="00741607" w:rsidRPr="00423150" w:rsidRDefault="008A2692" w:rsidP="009C2182">
      <w:pPr>
        <w:jc w:val="both"/>
        <w:rPr>
          <w:rFonts w:eastAsiaTheme="minorHAnsi" w:cs="Calibri"/>
          <w:b/>
        </w:rPr>
      </w:pPr>
      <w:r w:rsidRPr="005E63AE">
        <w:rPr>
          <w:rFonts w:eastAsiaTheme="minorHAnsi" w:cs="Calibri"/>
          <w:b/>
        </w:rPr>
        <w:t>K výkonu této funkce nebyl</w:t>
      </w:r>
      <w:r w:rsidR="00286DEB" w:rsidRPr="005E63AE">
        <w:rPr>
          <w:rFonts w:eastAsiaTheme="minorHAnsi" w:cs="Calibri"/>
          <w:b/>
        </w:rPr>
        <w:t>i</w:t>
      </w:r>
      <w:r w:rsidR="00C37166" w:rsidRPr="005E63AE">
        <w:rPr>
          <w:rFonts w:eastAsiaTheme="minorHAnsi" w:cs="Calibri"/>
          <w:b/>
        </w:rPr>
        <w:t xml:space="preserve"> </w:t>
      </w:r>
      <w:r w:rsidRPr="005E63AE">
        <w:rPr>
          <w:rFonts w:eastAsiaTheme="minorHAnsi" w:cs="Calibri"/>
          <w:b/>
        </w:rPr>
        <w:t>pověřen</w:t>
      </w:r>
      <w:r w:rsidR="00286DEB" w:rsidRPr="005E63AE">
        <w:rPr>
          <w:rFonts w:eastAsiaTheme="minorHAnsi" w:cs="Calibri"/>
          <w:b/>
        </w:rPr>
        <w:t>i</w:t>
      </w:r>
      <w:r w:rsidRPr="005E63AE">
        <w:rPr>
          <w:rFonts w:eastAsiaTheme="minorHAnsi" w:cs="Calibri"/>
          <w:b/>
        </w:rPr>
        <w:t>, přesto takovou kontrolu v roce 2020 průběžně realizoval</w:t>
      </w:r>
      <w:r w:rsidR="00286DEB" w:rsidRPr="005E63AE">
        <w:rPr>
          <w:rFonts w:eastAsiaTheme="minorHAnsi" w:cs="Calibri"/>
          <w:b/>
        </w:rPr>
        <w:t>i</w:t>
      </w:r>
      <w:r w:rsidR="006338F7">
        <w:rPr>
          <w:rFonts w:eastAsiaTheme="minorHAnsi" w:cs="Calibri"/>
          <w:b/>
        </w:rPr>
        <w:t>,</w:t>
      </w:r>
      <w:r w:rsidR="00C37166" w:rsidRPr="005E63AE">
        <w:rPr>
          <w:rFonts w:eastAsiaTheme="minorHAnsi" w:cs="Calibri"/>
          <w:b/>
        </w:rPr>
        <w:t xml:space="preserve"> a schvaloval</w:t>
      </w:r>
      <w:r w:rsidR="00286DEB" w:rsidRPr="005E63AE">
        <w:rPr>
          <w:rFonts w:eastAsiaTheme="minorHAnsi" w:cs="Calibri"/>
          <w:b/>
        </w:rPr>
        <w:t>i</w:t>
      </w:r>
      <w:r w:rsidR="00C37166" w:rsidRPr="005E63AE">
        <w:rPr>
          <w:rFonts w:eastAsiaTheme="minorHAnsi" w:cs="Calibri"/>
          <w:b/>
        </w:rPr>
        <w:t xml:space="preserve"> tak výdaje na vlastní činnost MPO v roce 2020</w:t>
      </w:r>
      <w:r w:rsidRPr="005E63AE">
        <w:rPr>
          <w:rFonts w:eastAsiaTheme="minorHAnsi" w:cs="Calibri"/>
          <w:b/>
        </w:rPr>
        <w:t>.</w:t>
      </w:r>
      <w:r w:rsidR="00423150">
        <w:rPr>
          <w:rFonts w:eastAsiaTheme="minorHAnsi" w:cs="Calibri"/>
          <w:b/>
        </w:rPr>
        <w:t xml:space="preserve"> </w:t>
      </w:r>
      <w:r w:rsidRPr="005E63AE">
        <w:rPr>
          <w:rFonts w:eastAsiaTheme="minorHAnsi" w:cs="Calibri"/>
          <w:b/>
        </w:rPr>
        <w:t>V</w:t>
      </w:r>
      <w:r w:rsidR="00586C85" w:rsidRPr="005E63AE">
        <w:rPr>
          <w:rFonts w:eastAsiaTheme="minorHAnsi" w:cs="Calibri"/>
          <w:b/>
        </w:rPr>
        <w:t> </w:t>
      </w:r>
      <w:r w:rsidRPr="005E63AE">
        <w:rPr>
          <w:rFonts w:eastAsiaTheme="minorHAnsi" w:cs="Calibri"/>
          <w:b/>
        </w:rPr>
        <w:t>některých</w:t>
      </w:r>
      <w:r w:rsidR="00586C85" w:rsidRPr="005E63AE">
        <w:rPr>
          <w:rFonts w:eastAsiaTheme="minorHAnsi" w:cs="Calibri"/>
          <w:b/>
        </w:rPr>
        <w:t xml:space="preserve"> dalších</w:t>
      </w:r>
      <w:r w:rsidRPr="005E63AE">
        <w:rPr>
          <w:rFonts w:eastAsiaTheme="minorHAnsi" w:cs="Calibri"/>
          <w:b/>
        </w:rPr>
        <w:t xml:space="preserve"> př</w:t>
      </w:r>
      <w:r w:rsidR="00366859" w:rsidRPr="005E63AE">
        <w:rPr>
          <w:rFonts w:eastAsiaTheme="minorHAnsi" w:cs="Calibri"/>
          <w:b/>
        </w:rPr>
        <w:t>ípadech</w:t>
      </w:r>
      <w:r w:rsidR="00366859" w:rsidRPr="00741607">
        <w:rPr>
          <w:rFonts w:eastAsiaTheme="minorHAnsi" w:cs="Calibri"/>
          <w:b/>
        </w:rPr>
        <w:t xml:space="preserve"> provedl</w:t>
      </w:r>
      <w:r w:rsidRPr="00741607">
        <w:rPr>
          <w:rFonts w:eastAsiaTheme="minorHAnsi" w:cs="Calibri"/>
          <w:b/>
        </w:rPr>
        <w:t xml:space="preserve"> </w:t>
      </w:r>
      <w:r w:rsidR="00366859" w:rsidRPr="00741607">
        <w:rPr>
          <w:rFonts w:eastAsiaTheme="minorHAnsi" w:cs="Calibri"/>
          <w:b/>
        </w:rPr>
        <w:t>kontrolu</w:t>
      </w:r>
      <w:r w:rsidRPr="00741607">
        <w:rPr>
          <w:rFonts w:eastAsiaTheme="minorHAnsi" w:cs="Calibri"/>
          <w:b/>
        </w:rPr>
        <w:t xml:space="preserve"> z pozice hlavní účetní sice </w:t>
      </w:r>
      <w:r w:rsidR="00FB4418" w:rsidRPr="005E63AE">
        <w:rPr>
          <w:rFonts w:eastAsiaTheme="minorHAnsi" w:cs="Calibri"/>
          <w:b/>
        </w:rPr>
        <w:t xml:space="preserve">zaměstnanec </w:t>
      </w:r>
      <w:r w:rsidRPr="005E63AE">
        <w:rPr>
          <w:rFonts w:eastAsiaTheme="minorHAnsi" w:cs="Calibri"/>
          <w:b/>
        </w:rPr>
        <w:t>MPO, ale nebyl k takové kontrole pověřen.</w:t>
      </w:r>
      <w:r w:rsidR="004D53EF" w:rsidRPr="005E63AE">
        <w:rPr>
          <w:rFonts w:eastAsiaTheme="minorHAnsi" w:cs="Calibri"/>
          <w:b/>
        </w:rPr>
        <w:t xml:space="preserve"> </w:t>
      </w:r>
      <w:r w:rsidR="004D53EF" w:rsidRPr="00741607">
        <w:rPr>
          <w:rFonts w:eastAsiaTheme="minorHAnsi" w:cs="Calibri"/>
        </w:rPr>
        <w:t>Blíže</w:t>
      </w:r>
      <w:r w:rsidR="004D53EF">
        <w:rPr>
          <w:rFonts w:eastAsiaTheme="minorHAnsi" w:cs="Calibri"/>
        </w:rPr>
        <w:t xml:space="preserve"> viz část IV.</w:t>
      </w:r>
      <w:r w:rsidR="002C5FB0">
        <w:rPr>
          <w:rFonts w:eastAsiaTheme="minorHAnsi" w:cs="Calibri"/>
        </w:rPr>
        <w:t>5.2</w:t>
      </w:r>
      <w:r w:rsidR="004D53EF">
        <w:rPr>
          <w:rFonts w:eastAsiaTheme="minorHAnsi" w:cs="Calibri"/>
        </w:rPr>
        <w:t xml:space="preserve"> </w:t>
      </w:r>
      <w:r w:rsidR="006338F7">
        <w:rPr>
          <w:rFonts w:eastAsiaTheme="minorHAnsi" w:cs="Calibri"/>
        </w:rPr>
        <w:t xml:space="preserve">tohoto </w:t>
      </w:r>
      <w:r w:rsidR="004D53EF">
        <w:rPr>
          <w:rFonts w:eastAsiaTheme="minorHAnsi" w:cs="Calibri"/>
        </w:rPr>
        <w:t>kontrolního závěru.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1FF"/>
        <w:tblLook w:val="04A0" w:firstRow="1" w:lastRow="0" w:firstColumn="1" w:lastColumn="0" w:noHBand="0" w:noVBand="1"/>
      </w:tblPr>
      <w:tblGrid>
        <w:gridCol w:w="9060"/>
      </w:tblGrid>
      <w:tr w:rsidR="00E43B71" w14:paraId="4559A3B1" w14:textId="77777777" w:rsidTr="005E63AE">
        <w:tc>
          <w:tcPr>
            <w:tcW w:w="9060" w:type="dxa"/>
            <w:shd w:val="clear" w:color="auto" w:fill="E5F1FF"/>
          </w:tcPr>
          <w:p w14:paraId="7CB4F64B" w14:textId="6BE582D2" w:rsidR="00E43B71" w:rsidRPr="005E63AE" w:rsidRDefault="006338F7" w:rsidP="009C2182">
            <w:pPr>
              <w:jc w:val="both"/>
              <w:rPr>
                <w:rFonts w:eastAsiaTheme="minorHAnsi" w:cs="Calibri"/>
                <w:b/>
              </w:rPr>
            </w:pPr>
            <w:r>
              <w:rPr>
                <w:rFonts w:eastAsiaTheme="minorHAnsi" w:cs="Calibri"/>
                <w:b/>
              </w:rPr>
              <w:t>V</w:t>
            </w:r>
            <w:r w:rsidR="00E43B71" w:rsidRPr="005E63AE">
              <w:rPr>
                <w:rFonts w:eastAsiaTheme="minorHAnsi" w:cs="Calibri"/>
                <w:b/>
              </w:rPr>
              <w:t xml:space="preserve"> oblasti </w:t>
            </w:r>
            <w:r w:rsidR="0025330B" w:rsidRPr="005E63AE">
              <w:rPr>
                <w:rFonts w:eastAsiaTheme="minorHAnsi" w:cs="Calibri"/>
                <w:b/>
              </w:rPr>
              <w:t xml:space="preserve">zajištění spolehlivosti informací na výstupu a v oblasti průkaznosti účetnictví byl </w:t>
            </w:r>
            <w:r>
              <w:rPr>
                <w:rFonts w:eastAsiaTheme="minorHAnsi" w:cs="Calibri"/>
                <w:b/>
              </w:rPr>
              <w:t xml:space="preserve">VKS </w:t>
            </w:r>
            <w:r w:rsidR="0025330B" w:rsidRPr="005E63AE">
              <w:rPr>
                <w:rFonts w:eastAsiaTheme="minorHAnsi" w:cs="Calibri"/>
                <w:b/>
              </w:rPr>
              <w:t>účinný jen v omezeném rozsahu.</w:t>
            </w:r>
          </w:p>
        </w:tc>
      </w:tr>
    </w:tbl>
    <w:p w14:paraId="4DFFC379" w14:textId="77777777" w:rsidR="00E43B71" w:rsidRDefault="00E43B71" w:rsidP="009C2182">
      <w:pPr>
        <w:jc w:val="both"/>
        <w:rPr>
          <w:rFonts w:eastAsiaTheme="minorHAnsi" w:cs="Calibr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1FF"/>
        <w:tblLook w:val="04A0" w:firstRow="1" w:lastRow="0" w:firstColumn="1" w:lastColumn="0" w:noHBand="0" w:noVBand="1"/>
      </w:tblPr>
      <w:tblGrid>
        <w:gridCol w:w="9060"/>
      </w:tblGrid>
      <w:tr w:rsidR="00873FC6" w14:paraId="20B282DC" w14:textId="77777777" w:rsidTr="005E63AE">
        <w:tc>
          <w:tcPr>
            <w:tcW w:w="9060" w:type="dxa"/>
            <w:shd w:val="clear" w:color="auto" w:fill="E5F1FF"/>
          </w:tcPr>
          <w:p w14:paraId="2BE8E554" w14:textId="37747DC3" w:rsidR="00873FC6" w:rsidRPr="005E63AE" w:rsidRDefault="00873FC6" w:rsidP="009C2182">
            <w:pPr>
              <w:jc w:val="both"/>
              <w:rPr>
                <w:rFonts w:eastAsiaTheme="minorHAnsi" w:cs="Calibri"/>
                <w:b/>
              </w:rPr>
            </w:pPr>
            <w:r w:rsidRPr="005E63AE">
              <w:rPr>
                <w:rFonts w:eastAsiaTheme="minorHAnsi" w:cs="Calibri"/>
                <w:b/>
              </w:rPr>
              <w:t>Ve VKS v oblasti majetkových operací byla zjištěna některá individuální pochybení.</w:t>
            </w:r>
          </w:p>
        </w:tc>
      </w:tr>
    </w:tbl>
    <w:p w14:paraId="20F95DF5" w14:textId="5D5E7736" w:rsidR="005948EA" w:rsidRPr="005E63AE" w:rsidRDefault="008B0AE2" w:rsidP="009C2182">
      <w:pPr>
        <w:jc w:val="both"/>
        <w:rPr>
          <w:rFonts w:eastAsiaTheme="minorHAnsi" w:cs="Calibri"/>
          <w:b/>
        </w:rPr>
      </w:pPr>
      <w:r w:rsidRPr="005E63AE">
        <w:rPr>
          <w:rFonts w:eastAsiaTheme="minorHAnsi" w:cs="Calibri"/>
          <w:b/>
        </w:rPr>
        <w:t xml:space="preserve">V rámci </w:t>
      </w:r>
      <w:r w:rsidR="005948EA" w:rsidRPr="00EC7499">
        <w:rPr>
          <w:rFonts w:eastAsiaTheme="minorHAnsi" w:cs="Calibri"/>
          <w:b/>
        </w:rPr>
        <w:t>VKS</w:t>
      </w:r>
      <w:r w:rsidR="00EC7499">
        <w:rPr>
          <w:rFonts w:eastAsiaTheme="minorHAnsi" w:cs="Calibri"/>
          <w:b/>
        </w:rPr>
        <w:t xml:space="preserve"> nebyla </w:t>
      </w:r>
      <w:r w:rsidR="005948EA" w:rsidRPr="006F462D">
        <w:rPr>
          <w:rFonts w:eastAsiaTheme="minorHAnsi" w:cs="Calibri"/>
          <w:b/>
        </w:rPr>
        <w:t>identifikov</w:t>
      </w:r>
      <w:r w:rsidR="00EC7499">
        <w:rPr>
          <w:rFonts w:eastAsiaTheme="minorHAnsi" w:cs="Calibri"/>
          <w:b/>
        </w:rPr>
        <w:t>ána</w:t>
      </w:r>
      <w:r w:rsidR="005948EA" w:rsidRPr="006F462D">
        <w:rPr>
          <w:rFonts w:eastAsiaTheme="minorHAnsi" w:cs="Calibri"/>
          <w:b/>
        </w:rPr>
        <w:t xml:space="preserve"> </w:t>
      </w:r>
      <w:r w:rsidR="005948EA" w:rsidRPr="005E63AE">
        <w:rPr>
          <w:rFonts w:eastAsiaTheme="minorHAnsi" w:cs="Calibri"/>
          <w:b/>
        </w:rPr>
        <w:t xml:space="preserve">nicotnost </w:t>
      </w:r>
      <w:r w:rsidR="00D23C56" w:rsidRPr="005E63AE">
        <w:rPr>
          <w:rFonts w:eastAsiaTheme="minorHAnsi" w:cs="Calibri"/>
          <w:b/>
        </w:rPr>
        <w:t xml:space="preserve">uzavřených </w:t>
      </w:r>
      <w:r w:rsidR="005948EA" w:rsidRPr="005E63AE">
        <w:rPr>
          <w:rFonts w:eastAsiaTheme="minorHAnsi" w:cs="Calibri"/>
          <w:b/>
        </w:rPr>
        <w:t>dohod o splátkách dluhu fyzických osob ve</w:t>
      </w:r>
      <w:r w:rsidR="005948EA" w:rsidRPr="005E63AE">
        <w:rPr>
          <w:b/>
        </w:rPr>
        <w:t xml:space="preserve"> výši</w:t>
      </w:r>
      <w:r w:rsidR="00025046">
        <w:rPr>
          <w:b/>
        </w:rPr>
        <w:t xml:space="preserve"> </w:t>
      </w:r>
      <w:r w:rsidR="005948EA" w:rsidRPr="005E63AE">
        <w:rPr>
          <w:b/>
        </w:rPr>
        <w:t>39,3 mil.</w:t>
      </w:r>
      <w:r w:rsidR="007611A2" w:rsidRPr="005E63AE">
        <w:rPr>
          <w:b/>
        </w:rPr>
        <w:t xml:space="preserve"> Kč</w:t>
      </w:r>
      <w:r w:rsidR="00AE46A1" w:rsidRPr="005E63AE">
        <w:rPr>
          <w:b/>
        </w:rPr>
        <w:t>.</w:t>
      </w:r>
      <w:r w:rsidR="00AE46A1" w:rsidRPr="006F462D">
        <w:rPr>
          <w:b/>
        </w:rPr>
        <w:t xml:space="preserve"> K</w:t>
      </w:r>
      <w:r w:rsidR="007611A2" w:rsidRPr="006F462D">
        <w:rPr>
          <w:b/>
        </w:rPr>
        <w:t xml:space="preserve"> těmto </w:t>
      </w:r>
      <w:r w:rsidR="005948EA" w:rsidRPr="006F462D">
        <w:rPr>
          <w:b/>
        </w:rPr>
        <w:t xml:space="preserve">dohodám se </w:t>
      </w:r>
      <w:r w:rsidR="004D53EF" w:rsidRPr="006F462D">
        <w:rPr>
          <w:b/>
        </w:rPr>
        <w:t xml:space="preserve">tak </w:t>
      </w:r>
      <w:r w:rsidR="005948EA" w:rsidRPr="006F462D">
        <w:rPr>
          <w:b/>
        </w:rPr>
        <w:t>nepřihlíží, neboť právně neexistují.</w:t>
      </w:r>
      <w:r w:rsidR="00F22491" w:rsidRPr="006F462D">
        <w:rPr>
          <w:rFonts w:cs="Calibri"/>
        </w:rPr>
        <w:t xml:space="preserve"> Dále</w:t>
      </w:r>
      <w:r w:rsidR="00EC7499">
        <w:rPr>
          <w:rFonts w:cs="Calibri"/>
        </w:rPr>
        <w:t xml:space="preserve"> v rámci</w:t>
      </w:r>
      <w:r w:rsidR="00F22491" w:rsidRPr="006F462D">
        <w:rPr>
          <w:rFonts w:cs="Calibri"/>
        </w:rPr>
        <w:t xml:space="preserve"> VKS </w:t>
      </w:r>
      <w:r w:rsidR="00EC7499">
        <w:rPr>
          <w:rFonts w:cs="Calibri"/>
        </w:rPr>
        <w:t xml:space="preserve">nebylo </w:t>
      </w:r>
      <w:r w:rsidR="00F22491" w:rsidRPr="006F462D">
        <w:rPr>
          <w:rFonts w:cs="Calibri"/>
        </w:rPr>
        <w:t>identifikov</w:t>
      </w:r>
      <w:r w:rsidR="00EC7499">
        <w:rPr>
          <w:rFonts w:cs="Calibri"/>
        </w:rPr>
        <w:t>áno</w:t>
      </w:r>
      <w:r w:rsidR="00F22491" w:rsidRPr="006F462D">
        <w:rPr>
          <w:rFonts w:cs="Calibri"/>
        </w:rPr>
        <w:t xml:space="preserve">, že </w:t>
      </w:r>
      <w:r w:rsidR="00F22491" w:rsidRPr="005E63AE">
        <w:rPr>
          <w:rFonts w:cs="Calibri"/>
          <w:b/>
        </w:rPr>
        <w:t>MPO nepřevádělo bez zbytečného odkladu do</w:t>
      </w:r>
      <w:r w:rsidR="004D53EF" w:rsidRPr="005E63AE">
        <w:rPr>
          <w:rFonts w:cs="Calibri"/>
          <w:b/>
        </w:rPr>
        <w:t xml:space="preserve"> státních finančních aktiv </w:t>
      </w:r>
      <w:r w:rsidR="00F22491" w:rsidRPr="005E63AE">
        <w:rPr>
          <w:rFonts w:cs="Calibri"/>
          <w:b/>
        </w:rPr>
        <w:t>likvidační zůstatky státních podniků v celkové výši přes 171 mil. Kč</w:t>
      </w:r>
      <w:r w:rsidR="006338F7">
        <w:rPr>
          <w:rFonts w:cs="Calibri"/>
          <w:b/>
        </w:rPr>
        <w:t>,</w:t>
      </w:r>
      <w:r w:rsidR="00F22491" w:rsidRPr="006F462D">
        <w:rPr>
          <w:rFonts w:cs="Calibri"/>
        </w:rPr>
        <w:t xml:space="preserve"> a</w:t>
      </w:r>
      <w:r w:rsidR="000E0D2F">
        <w:rPr>
          <w:rFonts w:cs="Calibri"/>
        </w:rPr>
        <w:t> </w:t>
      </w:r>
      <w:r w:rsidR="00F22491" w:rsidRPr="004C32C7">
        <w:rPr>
          <w:rFonts w:cs="Calibri"/>
        </w:rPr>
        <w:t>postupovalo tak v rozporu se zákonem č. 77/1997 Sb.</w:t>
      </w:r>
      <w:r w:rsidR="00F64846">
        <w:rPr>
          <w:rStyle w:val="Znakapoznpodarou"/>
          <w:rFonts w:cs="Calibri"/>
        </w:rPr>
        <w:footnoteReference w:id="24"/>
      </w:r>
      <w:r w:rsidR="00F22491" w:rsidRPr="004C32C7">
        <w:rPr>
          <w:rFonts w:cs="Calibri"/>
        </w:rPr>
        <w:t xml:space="preserve"> </w:t>
      </w:r>
      <w:r w:rsidR="005948EA" w:rsidRPr="00F22491">
        <w:t>Blíže viz část IV</w:t>
      </w:r>
      <w:r w:rsidR="00B716BB" w:rsidRPr="00F22491">
        <w:t>.</w:t>
      </w:r>
      <w:r w:rsidR="002C5FB0">
        <w:t>5.</w:t>
      </w:r>
      <w:r w:rsidR="005948EA" w:rsidRPr="00F22491">
        <w:t xml:space="preserve"> </w:t>
      </w:r>
      <w:r w:rsidR="006338F7">
        <w:t xml:space="preserve">tohoto </w:t>
      </w:r>
      <w:r w:rsidR="005948EA" w:rsidRPr="00F22491">
        <w:t>kontrolního závěru.</w:t>
      </w:r>
    </w:p>
    <w:p w14:paraId="356C62E3" w14:textId="6FA1B7B6" w:rsidR="00736EBE" w:rsidRPr="00FC0815" w:rsidRDefault="00FC0815" w:rsidP="00FC0815">
      <w:pPr>
        <w:keepNext/>
        <w:jc w:val="both"/>
        <w:rPr>
          <w:b/>
        </w:rPr>
      </w:pPr>
      <w:r>
        <w:rPr>
          <w:b/>
        </w:rPr>
        <w:t xml:space="preserve">6. </w:t>
      </w:r>
      <w:r w:rsidR="00307299" w:rsidRPr="00FC0815">
        <w:rPr>
          <w:b/>
        </w:rPr>
        <w:t>Kontrola opatření k nápravě z</w:t>
      </w:r>
      <w:r w:rsidR="00B7738C" w:rsidRPr="00FC0815">
        <w:rPr>
          <w:b/>
        </w:rPr>
        <w:t xml:space="preserve"> </w:t>
      </w:r>
      <w:r w:rsidR="00307299" w:rsidRPr="00FC0815">
        <w:rPr>
          <w:b/>
        </w:rPr>
        <w:t>kontrolní akce</w:t>
      </w:r>
      <w:r w:rsidR="00B7738C" w:rsidRPr="00FC0815">
        <w:rPr>
          <w:b/>
        </w:rPr>
        <w:t xml:space="preserve"> č. 16/25</w:t>
      </w:r>
      <w:r w:rsidR="00B7738C">
        <w:rPr>
          <w:rStyle w:val="Znakapoznpodarou"/>
          <w:b/>
        </w:rPr>
        <w:footnoteReference w:id="25"/>
      </w:r>
    </w:p>
    <w:p w14:paraId="1A1A6C9E" w14:textId="261160C2" w:rsidR="00741607" w:rsidRDefault="005948EA" w:rsidP="00267A30">
      <w:pPr>
        <w:jc w:val="both"/>
        <w:rPr>
          <w:rFonts w:eastAsiaTheme="minorHAnsi"/>
        </w:rPr>
      </w:pPr>
      <w:r w:rsidRPr="00307299">
        <w:rPr>
          <w:rFonts w:eastAsiaTheme="minorHAnsi"/>
        </w:rPr>
        <w:t xml:space="preserve">NKÚ v průběhu kontroly hodnotil </w:t>
      </w:r>
      <w:r w:rsidRPr="00741607">
        <w:rPr>
          <w:rFonts w:eastAsiaTheme="minorHAnsi"/>
        </w:rPr>
        <w:t xml:space="preserve">také </w:t>
      </w:r>
      <w:r w:rsidRPr="005E63AE">
        <w:rPr>
          <w:rFonts w:eastAsiaTheme="minorHAnsi"/>
        </w:rPr>
        <w:t>opatření MPO přijatá</w:t>
      </w:r>
      <w:r w:rsidR="008A0E15" w:rsidRPr="005E63AE">
        <w:rPr>
          <w:rStyle w:val="Znakapoznpodarou"/>
          <w:rFonts w:eastAsiaTheme="minorHAnsi" w:cs="Calibri"/>
          <w:b/>
          <w:bCs/>
        </w:rPr>
        <w:footnoteReference w:id="26"/>
      </w:r>
      <w:r w:rsidRPr="005E63AE">
        <w:rPr>
          <w:rFonts w:eastAsiaTheme="minorHAnsi"/>
        </w:rPr>
        <w:t xml:space="preserve"> k nápravě nedostatků</w:t>
      </w:r>
      <w:r w:rsidRPr="00741607">
        <w:rPr>
          <w:rFonts w:eastAsiaTheme="minorHAnsi"/>
        </w:rPr>
        <w:t xml:space="preserve"> </w:t>
      </w:r>
      <w:r w:rsidRPr="005E63AE">
        <w:rPr>
          <w:rFonts w:eastAsiaTheme="minorHAnsi"/>
        </w:rPr>
        <w:t>zjištěných v KA č. 16/25.</w:t>
      </w:r>
      <w:r w:rsidRPr="00741607">
        <w:rPr>
          <w:rFonts w:eastAsiaTheme="minorHAnsi"/>
        </w:rPr>
        <w:t xml:space="preserve"> Z celkem 12 opatření přijatých k nápravě nedostatků realizovalo MPO úplně a</w:t>
      </w:r>
      <w:r w:rsidR="00267A30">
        <w:rPr>
          <w:rFonts w:eastAsiaTheme="minorHAnsi"/>
        </w:rPr>
        <w:t> </w:t>
      </w:r>
      <w:r w:rsidRPr="00741607">
        <w:rPr>
          <w:rFonts w:eastAsiaTheme="minorHAnsi"/>
        </w:rPr>
        <w:t xml:space="preserve">správně 10 opatření a </w:t>
      </w:r>
      <w:r w:rsidR="00267A30">
        <w:rPr>
          <w:rFonts w:eastAsiaTheme="minorHAnsi"/>
        </w:rPr>
        <w:t>dvě</w:t>
      </w:r>
      <w:r w:rsidRPr="00741607">
        <w:rPr>
          <w:rFonts w:eastAsiaTheme="minorHAnsi"/>
        </w:rPr>
        <w:t xml:space="preserve"> opatření realizovalo částečně</w:t>
      </w:r>
      <w:r w:rsidR="00741607">
        <w:rPr>
          <w:rFonts w:eastAsiaTheme="minorHAnsi"/>
        </w:rPr>
        <w:t>.</w:t>
      </w:r>
    </w:p>
    <w:tbl>
      <w:tblPr>
        <w:tblStyle w:val="Mkatabulky"/>
        <w:tblW w:w="0" w:type="auto"/>
        <w:tblLook w:val="04A0" w:firstRow="1" w:lastRow="0" w:firstColumn="1" w:lastColumn="0" w:noHBand="0" w:noVBand="1"/>
      </w:tblPr>
      <w:tblGrid>
        <w:gridCol w:w="9060"/>
      </w:tblGrid>
      <w:tr w:rsidR="00873FC6" w14:paraId="53404DE2" w14:textId="77777777" w:rsidTr="005E63AE">
        <w:tc>
          <w:tcPr>
            <w:tcW w:w="9060" w:type="dxa"/>
            <w:tcBorders>
              <w:top w:val="nil"/>
              <w:left w:val="nil"/>
              <w:bottom w:val="nil"/>
              <w:right w:val="nil"/>
            </w:tcBorders>
            <w:shd w:val="clear" w:color="auto" w:fill="E5F1FF"/>
          </w:tcPr>
          <w:p w14:paraId="37C9C967" w14:textId="7E45F30E" w:rsidR="00873FC6" w:rsidRDefault="00873FC6" w:rsidP="009C2182">
            <w:pPr>
              <w:rPr>
                <w:rFonts w:eastAsiaTheme="minorHAnsi"/>
              </w:rPr>
            </w:pPr>
            <w:r w:rsidRPr="005E63AE">
              <w:rPr>
                <w:rFonts w:eastAsiaTheme="minorHAnsi"/>
              </w:rPr>
              <w:t>MPO realizovalo opatření k nápravě z 92 %</w:t>
            </w:r>
            <w:r w:rsidR="00652222" w:rsidRPr="00307299">
              <w:rPr>
                <w:rFonts w:asciiTheme="minorHAnsi" w:hAnsiTheme="minorHAnsi" w:cstheme="minorHAnsi"/>
                <w:u w:val="single"/>
                <w:vertAlign w:val="superscript"/>
              </w:rPr>
              <w:footnoteReference w:id="27"/>
            </w:r>
            <w:r w:rsidR="00267A30">
              <w:rPr>
                <w:rFonts w:eastAsiaTheme="minorHAnsi"/>
              </w:rPr>
              <w:t>.</w:t>
            </w:r>
          </w:p>
        </w:tc>
      </w:tr>
    </w:tbl>
    <w:p w14:paraId="2E030F50" w14:textId="77777777" w:rsidR="009C2182" w:rsidRDefault="009C2182">
      <w:pPr>
        <w:spacing w:after="160" w:line="259" w:lineRule="auto"/>
        <w:rPr>
          <w:rFonts w:eastAsiaTheme="minorHAnsi"/>
        </w:rPr>
      </w:pPr>
      <w:r>
        <w:rPr>
          <w:rFonts w:eastAsiaTheme="minorHAnsi"/>
        </w:rPr>
        <w:br w:type="page"/>
      </w:r>
    </w:p>
    <w:p w14:paraId="087F3C55" w14:textId="77777777" w:rsidR="00E91FF5" w:rsidRPr="00DC68F7" w:rsidRDefault="00A640AE" w:rsidP="00C159BE">
      <w:pPr>
        <w:pStyle w:val="Nadpis1"/>
        <w:keepNext/>
        <w:spacing w:after="0" w:line="240" w:lineRule="auto"/>
        <w:rPr>
          <w:rFonts w:ascii="Calibri" w:hAnsi="Calibri" w:cs="Calibri"/>
          <w:szCs w:val="24"/>
        </w:rPr>
      </w:pPr>
      <w:r w:rsidRPr="00DC68F7">
        <w:rPr>
          <w:rFonts w:ascii="Calibri" w:hAnsi="Calibri" w:cs="Calibri"/>
          <w:szCs w:val="24"/>
        </w:rPr>
        <w:lastRenderedPageBreak/>
        <w:t>II. Informace o kontrolované oblasti</w:t>
      </w:r>
    </w:p>
    <w:p w14:paraId="143A328B" w14:textId="77777777" w:rsidR="00C159BE" w:rsidRPr="00DC68F7" w:rsidRDefault="00C159BE" w:rsidP="001A79A3">
      <w:pPr>
        <w:keepNext/>
        <w:spacing w:after="0"/>
        <w:jc w:val="both"/>
        <w:rPr>
          <w:rFonts w:cs="Calibri"/>
          <w:highlight w:val="yellow"/>
        </w:rPr>
      </w:pPr>
    </w:p>
    <w:p w14:paraId="17B1B1AD" w14:textId="77777777" w:rsidR="009F20AA" w:rsidRPr="00DC68F7" w:rsidRDefault="00DC68F7" w:rsidP="009F20AA">
      <w:pPr>
        <w:spacing w:after="0"/>
        <w:jc w:val="both"/>
        <w:rPr>
          <w:rFonts w:asciiTheme="minorHAnsi" w:hAnsiTheme="minorHAnsi" w:cstheme="minorHAnsi"/>
          <w:highlight w:val="yellow"/>
        </w:rPr>
      </w:pPr>
      <w:r w:rsidRPr="00DC68F7">
        <w:rPr>
          <w:rFonts w:asciiTheme="minorHAnsi" w:hAnsiTheme="minorHAnsi" w:cstheme="minorHAnsi"/>
        </w:rPr>
        <w:t>MPO</w:t>
      </w:r>
      <w:r w:rsidR="00187AEF" w:rsidRPr="00DC68F7">
        <w:rPr>
          <w:rFonts w:asciiTheme="minorHAnsi" w:hAnsiTheme="minorHAnsi" w:cstheme="minorHAnsi"/>
        </w:rPr>
        <w:t xml:space="preserve"> bylo zřízeno zákonem č. 2/1969 Sb.</w:t>
      </w:r>
      <w:r w:rsidR="00F64846">
        <w:rPr>
          <w:rStyle w:val="Znakapoznpodarou"/>
          <w:rFonts w:asciiTheme="minorHAnsi" w:hAnsiTheme="minorHAnsi" w:cstheme="minorHAnsi"/>
        </w:rPr>
        <w:footnoteReference w:id="28"/>
      </w:r>
      <w:r w:rsidR="00187AEF" w:rsidRPr="00DC68F7">
        <w:rPr>
          <w:rFonts w:asciiTheme="minorHAnsi" w:hAnsiTheme="minorHAnsi" w:cstheme="minorHAnsi"/>
        </w:rPr>
        <w:t xml:space="preserve"> Podle ustanovení § 1</w:t>
      </w:r>
      <w:r w:rsidRPr="00DC68F7">
        <w:rPr>
          <w:rFonts w:asciiTheme="minorHAnsi" w:hAnsiTheme="minorHAnsi" w:cstheme="minorHAnsi"/>
        </w:rPr>
        <w:t>3</w:t>
      </w:r>
      <w:r w:rsidR="00187AEF" w:rsidRPr="00DC68F7">
        <w:rPr>
          <w:rFonts w:asciiTheme="minorHAnsi" w:hAnsiTheme="minorHAnsi" w:cstheme="minorHAnsi"/>
        </w:rPr>
        <w:t xml:space="preserve"> tohoto zákona je </w:t>
      </w:r>
      <w:r>
        <w:rPr>
          <w:rFonts w:asciiTheme="minorHAnsi" w:hAnsiTheme="minorHAnsi" w:cstheme="minorHAnsi"/>
        </w:rPr>
        <w:t xml:space="preserve">MPO </w:t>
      </w:r>
      <w:r w:rsidRPr="00B30090">
        <w:rPr>
          <w:rFonts w:asciiTheme="minorHAnsi" w:hAnsiTheme="minorHAnsi" w:cstheme="minorHAnsi"/>
        </w:rPr>
        <w:t>ústředním orgánem státní správy zejména pro státní průmyslovou politiku, obchodní politiku, zahraničně ekonomickou politiku, tvorbu surovinové politiky, využívání nerostného bohatství, energetiku, teplárenství, plynárenství, těžbu, hutnictví, strojírenství</w:t>
      </w:r>
      <w:r w:rsidR="008808A6">
        <w:rPr>
          <w:rFonts w:asciiTheme="minorHAnsi" w:hAnsiTheme="minorHAnsi" w:cstheme="minorHAnsi"/>
        </w:rPr>
        <w:t>, elektrotechniku a </w:t>
      </w:r>
      <w:r w:rsidRPr="00B30090">
        <w:rPr>
          <w:rFonts w:asciiTheme="minorHAnsi" w:hAnsiTheme="minorHAnsi" w:cstheme="minorHAnsi"/>
        </w:rPr>
        <w:t>elektroniku, pro průmysl chemický, vnitřní obchod a ochranu zájmů spotřebitelů, zahraniční obchod a podporu exportu, věci malých a středních podniků a pro věci živností, technickou normalizaci, metrologii a státní zkušebnictví, průmyslo</w:t>
      </w:r>
      <w:r w:rsidR="008808A6">
        <w:rPr>
          <w:rFonts w:asciiTheme="minorHAnsi" w:hAnsiTheme="minorHAnsi" w:cstheme="minorHAnsi"/>
        </w:rPr>
        <w:t>vý výzkum, rozvoj techniky a </w:t>
      </w:r>
      <w:r w:rsidRPr="00B30090">
        <w:rPr>
          <w:rFonts w:asciiTheme="minorHAnsi" w:hAnsiTheme="minorHAnsi" w:cstheme="minorHAnsi"/>
        </w:rPr>
        <w:t xml:space="preserve">technologií, elektronickou komunikaci a poštovní služby, s výjimkou věcí svěřených do působnosti Českého telekomunikačního úřadu. MPO koordinuje zahraničně obchodní politiku České republiky ve vztahu k jednotlivým státům, řídí </w:t>
      </w:r>
      <w:r w:rsidR="008808A6">
        <w:rPr>
          <w:rFonts w:asciiTheme="minorHAnsi" w:hAnsiTheme="minorHAnsi" w:cstheme="minorHAnsi"/>
        </w:rPr>
        <w:t>a vykonává činnosti spojené s </w:t>
      </w:r>
      <w:r w:rsidRPr="00B30090">
        <w:rPr>
          <w:rFonts w:asciiTheme="minorHAnsi" w:hAnsiTheme="minorHAnsi" w:cstheme="minorHAnsi"/>
        </w:rPr>
        <w:t>uplatňováním licenčního režimu v oblasti hospodářských styků se zahraničím, řídí puncovnictví a zkoušení drahých kovů.</w:t>
      </w:r>
    </w:p>
    <w:p w14:paraId="16F9EFA6" w14:textId="77777777" w:rsidR="009F20AA" w:rsidRPr="00DC68F7" w:rsidRDefault="009F20AA" w:rsidP="009F20AA">
      <w:pPr>
        <w:spacing w:after="0"/>
        <w:jc w:val="both"/>
        <w:rPr>
          <w:rFonts w:asciiTheme="minorHAnsi" w:hAnsiTheme="minorHAnsi" w:cstheme="minorHAnsi"/>
          <w:highlight w:val="yellow"/>
        </w:rPr>
      </w:pPr>
    </w:p>
    <w:p w14:paraId="6EB9FCA6" w14:textId="0FA6A13D" w:rsidR="009F20AA" w:rsidRDefault="00DA08FB" w:rsidP="009F20AA">
      <w:pPr>
        <w:spacing w:after="0"/>
        <w:jc w:val="both"/>
        <w:rPr>
          <w:rFonts w:asciiTheme="minorHAnsi" w:hAnsiTheme="minorHAnsi" w:cstheme="minorHAnsi"/>
        </w:rPr>
      </w:pPr>
      <w:r>
        <w:rPr>
          <w:rFonts w:asciiTheme="minorHAnsi" w:hAnsiTheme="minorHAnsi" w:cstheme="minorHAnsi"/>
        </w:rPr>
        <w:t>MPO je d</w:t>
      </w:r>
      <w:r w:rsidR="005A6A6F" w:rsidRPr="00DC68F7">
        <w:rPr>
          <w:rFonts w:asciiTheme="minorHAnsi" w:hAnsiTheme="minorHAnsi" w:cstheme="minorHAnsi"/>
        </w:rPr>
        <w:t>le zákona</w:t>
      </w:r>
      <w:r w:rsidR="00534338" w:rsidRPr="00DC68F7">
        <w:rPr>
          <w:rFonts w:asciiTheme="minorHAnsi" w:hAnsiTheme="minorHAnsi" w:cstheme="minorHAnsi"/>
        </w:rPr>
        <w:t xml:space="preserve"> </w:t>
      </w:r>
      <w:r w:rsidR="005B4A83">
        <w:rPr>
          <w:rFonts w:asciiTheme="minorHAnsi" w:hAnsiTheme="minorHAnsi" w:cstheme="minorHAnsi"/>
        </w:rPr>
        <w:t>č. 219/2000 Sb.</w:t>
      </w:r>
      <w:r w:rsidR="00534338" w:rsidRPr="00DC68F7">
        <w:rPr>
          <w:rFonts w:asciiTheme="minorHAnsi" w:hAnsiTheme="minorHAnsi" w:cstheme="minorHAnsi"/>
        </w:rPr>
        <w:t xml:space="preserve"> </w:t>
      </w:r>
      <w:r w:rsidR="00927ABA">
        <w:rPr>
          <w:rFonts w:asciiTheme="minorHAnsi" w:hAnsiTheme="minorHAnsi" w:cstheme="minorHAnsi"/>
        </w:rPr>
        <w:t>OSS</w:t>
      </w:r>
      <w:r w:rsidR="00FF714A" w:rsidRPr="00DC68F7">
        <w:rPr>
          <w:rFonts w:asciiTheme="minorHAnsi" w:hAnsiTheme="minorHAnsi" w:cstheme="minorHAnsi"/>
        </w:rPr>
        <w:t xml:space="preserve"> </w:t>
      </w:r>
      <w:r w:rsidR="00A640AE" w:rsidRPr="00DC68F7">
        <w:rPr>
          <w:rFonts w:asciiTheme="minorHAnsi" w:hAnsiTheme="minorHAnsi" w:cstheme="minorHAnsi"/>
        </w:rPr>
        <w:t xml:space="preserve">a dle </w:t>
      </w:r>
      <w:r w:rsidR="00BE7F32" w:rsidRPr="00BE7F32">
        <w:rPr>
          <w:rFonts w:asciiTheme="minorHAnsi" w:hAnsiTheme="minorHAnsi" w:cstheme="minorHAnsi"/>
        </w:rPr>
        <w:t>zákona č. 563/1991 Sb.</w:t>
      </w:r>
      <w:r w:rsidR="00F0213D" w:rsidRPr="00DC68F7">
        <w:rPr>
          <w:rFonts w:asciiTheme="minorHAnsi" w:hAnsiTheme="minorHAnsi" w:cstheme="minorHAnsi"/>
        </w:rPr>
        <w:t xml:space="preserve"> </w:t>
      </w:r>
      <w:r w:rsidR="00A640AE" w:rsidRPr="00DC68F7">
        <w:rPr>
          <w:rFonts w:asciiTheme="minorHAnsi" w:hAnsiTheme="minorHAnsi" w:cstheme="minorHAnsi"/>
        </w:rPr>
        <w:t>vybranou účetní jednotkou. Dle ustanovení § 10 odst.</w:t>
      </w:r>
      <w:r w:rsidR="00B85D2E" w:rsidRPr="00DC68F7">
        <w:rPr>
          <w:rFonts w:asciiTheme="minorHAnsi" w:hAnsiTheme="minorHAnsi" w:cstheme="minorHAnsi"/>
        </w:rPr>
        <w:t xml:space="preserve"> </w:t>
      </w:r>
      <w:r w:rsidR="00A640AE" w:rsidRPr="00DC68F7">
        <w:rPr>
          <w:rFonts w:asciiTheme="minorHAnsi" w:hAnsiTheme="minorHAnsi" w:cstheme="minorHAnsi"/>
        </w:rPr>
        <w:t>1</w:t>
      </w:r>
      <w:r w:rsidR="004A4FD6" w:rsidRPr="00DC68F7">
        <w:rPr>
          <w:rFonts w:asciiTheme="minorHAnsi" w:hAnsiTheme="minorHAnsi" w:cstheme="minorHAnsi"/>
        </w:rPr>
        <w:t xml:space="preserve"> </w:t>
      </w:r>
      <w:r w:rsidR="00F75A4B">
        <w:rPr>
          <w:rFonts w:asciiTheme="minorHAnsi" w:hAnsiTheme="minorHAnsi" w:cstheme="minorHAnsi"/>
        </w:rPr>
        <w:t>zákona č. 218/2000 Sb.</w:t>
      </w:r>
      <w:r w:rsidR="00F75A4B">
        <w:rPr>
          <w:rStyle w:val="Znakapoznpodarou"/>
          <w:rFonts w:asciiTheme="minorHAnsi" w:hAnsiTheme="minorHAnsi" w:cstheme="minorHAnsi"/>
        </w:rPr>
        <w:footnoteReference w:id="29"/>
      </w:r>
      <w:r w:rsidR="004A4FD6" w:rsidRPr="00DC68F7">
        <w:rPr>
          <w:rFonts w:asciiTheme="minorHAnsi" w:hAnsiTheme="minorHAnsi" w:cstheme="minorHAnsi"/>
        </w:rPr>
        <w:t xml:space="preserve"> </w:t>
      </w:r>
      <w:r w:rsidR="00A640AE" w:rsidRPr="00DC68F7">
        <w:rPr>
          <w:rFonts w:asciiTheme="minorHAnsi" w:hAnsiTheme="minorHAnsi" w:cstheme="minorHAnsi"/>
        </w:rPr>
        <w:t>je</w:t>
      </w:r>
      <w:r w:rsidR="004A4FD6" w:rsidRPr="00DC68F7">
        <w:rPr>
          <w:rFonts w:asciiTheme="minorHAnsi" w:hAnsiTheme="minorHAnsi" w:cstheme="minorHAnsi"/>
        </w:rPr>
        <w:t xml:space="preserve"> </w:t>
      </w:r>
      <w:r w:rsidR="00A640AE" w:rsidRPr="00DC68F7">
        <w:rPr>
          <w:rFonts w:asciiTheme="minorHAnsi" w:hAnsiTheme="minorHAnsi" w:cstheme="minorHAnsi"/>
        </w:rPr>
        <w:t>správcem</w:t>
      </w:r>
      <w:r w:rsidR="004A4FD6" w:rsidRPr="00DC68F7">
        <w:rPr>
          <w:rFonts w:asciiTheme="minorHAnsi" w:hAnsiTheme="minorHAnsi" w:cstheme="minorHAnsi"/>
        </w:rPr>
        <w:t xml:space="preserve"> </w:t>
      </w:r>
      <w:r w:rsidR="00A640AE" w:rsidRPr="00DC68F7">
        <w:rPr>
          <w:rFonts w:asciiTheme="minorHAnsi" w:hAnsiTheme="minorHAnsi" w:cstheme="minorHAnsi"/>
        </w:rPr>
        <w:t>rozpočtové</w:t>
      </w:r>
      <w:r w:rsidR="004A4FD6" w:rsidRPr="00DC68F7">
        <w:rPr>
          <w:rFonts w:asciiTheme="minorHAnsi" w:hAnsiTheme="minorHAnsi" w:cstheme="minorHAnsi"/>
        </w:rPr>
        <w:t xml:space="preserve"> </w:t>
      </w:r>
      <w:r w:rsidR="00A640AE" w:rsidRPr="00DC68F7">
        <w:rPr>
          <w:rFonts w:asciiTheme="minorHAnsi" w:hAnsiTheme="minorHAnsi" w:cstheme="minorHAnsi"/>
        </w:rPr>
        <w:t>kapitoly</w:t>
      </w:r>
      <w:r w:rsidR="00B85D2E" w:rsidRPr="00DC68F7">
        <w:rPr>
          <w:rFonts w:asciiTheme="minorHAnsi" w:hAnsiTheme="minorHAnsi" w:cstheme="minorHAnsi"/>
        </w:rPr>
        <w:t xml:space="preserve"> </w:t>
      </w:r>
      <w:r w:rsidR="00DC68F7" w:rsidRPr="00DC68F7">
        <w:rPr>
          <w:rFonts w:asciiTheme="minorHAnsi" w:hAnsiTheme="minorHAnsi" w:cstheme="minorHAnsi"/>
        </w:rPr>
        <w:t>322</w:t>
      </w:r>
      <w:r w:rsidR="005D4659">
        <w:rPr>
          <w:rFonts w:asciiTheme="minorHAnsi" w:hAnsiTheme="minorHAnsi" w:cstheme="minorHAnsi"/>
        </w:rPr>
        <w:t xml:space="preserve"> –</w:t>
      </w:r>
      <w:r w:rsidR="00A640AE" w:rsidRPr="00DC68F7">
        <w:rPr>
          <w:rFonts w:asciiTheme="minorHAnsi" w:hAnsiTheme="minorHAnsi" w:cstheme="minorHAnsi"/>
        </w:rPr>
        <w:t xml:space="preserve"> </w:t>
      </w:r>
      <w:r w:rsidR="00A640AE" w:rsidRPr="00DC68F7">
        <w:rPr>
          <w:rFonts w:asciiTheme="minorHAnsi" w:hAnsiTheme="minorHAnsi" w:cstheme="minorHAnsi"/>
          <w:i/>
        </w:rPr>
        <w:t xml:space="preserve">Ministerstvo </w:t>
      </w:r>
      <w:r w:rsidR="00FF714A" w:rsidRPr="00DC68F7">
        <w:rPr>
          <w:rFonts w:asciiTheme="minorHAnsi" w:hAnsiTheme="minorHAnsi" w:cstheme="minorHAnsi"/>
          <w:i/>
        </w:rPr>
        <w:t>p</w:t>
      </w:r>
      <w:r w:rsidR="00DC68F7" w:rsidRPr="00DC68F7">
        <w:rPr>
          <w:rFonts w:asciiTheme="minorHAnsi" w:hAnsiTheme="minorHAnsi" w:cstheme="minorHAnsi"/>
          <w:i/>
        </w:rPr>
        <w:t>růmyslu a obchodu</w:t>
      </w:r>
      <w:r w:rsidR="00A640AE" w:rsidRPr="00DC68F7">
        <w:rPr>
          <w:rFonts w:asciiTheme="minorHAnsi" w:hAnsiTheme="minorHAnsi" w:cstheme="minorHAnsi"/>
        </w:rPr>
        <w:t>.</w:t>
      </w:r>
      <w:r w:rsidR="00563F09">
        <w:rPr>
          <w:rFonts w:asciiTheme="minorHAnsi" w:hAnsiTheme="minorHAnsi" w:cstheme="minorHAnsi"/>
        </w:rPr>
        <w:t xml:space="preserve"> MPO rovněž plní povinnosti zakladatele státních podniků. </w:t>
      </w:r>
      <w:r w:rsidR="00911046">
        <w:rPr>
          <w:rFonts w:asciiTheme="minorHAnsi" w:hAnsiTheme="minorHAnsi" w:cstheme="minorHAnsi"/>
        </w:rPr>
        <w:t>V zakladatelské působnosti MPO</w:t>
      </w:r>
      <w:r w:rsidR="006F5FBC">
        <w:rPr>
          <w:rFonts w:asciiTheme="minorHAnsi" w:hAnsiTheme="minorHAnsi" w:cstheme="minorHAnsi"/>
        </w:rPr>
        <w:t xml:space="preserve"> bylo</w:t>
      </w:r>
      <w:r w:rsidR="00911046">
        <w:rPr>
          <w:rFonts w:asciiTheme="minorHAnsi" w:hAnsiTheme="minorHAnsi" w:cstheme="minorHAnsi"/>
        </w:rPr>
        <w:t xml:space="preserve"> k 31. prosinci 2020 devět činných státních podniků a 13 státních podniků v likvidaci.</w:t>
      </w:r>
    </w:p>
    <w:p w14:paraId="33C1282F" w14:textId="77777777" w:rsidR="008C7E2D" w:rsidRPr="00DC68F7" w:rsidRDefault="008C7E2D" w:rsidP="009F20AA">
      <w:pPr>
        <w:spacing w:after="0"/>
        <w:jc w:val="both"/>
        <w:rPr>
          <w:rFonts w:asciiTheme="minorHAnsi" w:hAnsiTheme="minorHAnsi" w:cstheme="minorHAnsi"/>
          <w:highlight w:val="yellow"/>
        </w:rPr>
      </w:pPr>
    </w:p>
    <w:p w14:paraId="701E6C81" w14:textId="77777777" w:rsidR="009F20AA" w:rsidRPr="00903D51" w:rsidRDefault="00FF714A" w:rsidP="009F20AA">
      <w:pPr>
        <w:spacing w:after="0"/>
        <w:jc w:val="both"/>
        <w:rPr>
          <w:rFonts w:asciiTheme="minorHAnsi" w:hAnsiTheme="minorHAnsi" w:cstheme="minorHAnsi"/>
        </w:rPr>
      </w:pPr>
      <w:r w:rsidRPr="00DC68F7">
        <w:rPr>
          <w:rFonts w:asciiTheme="minorHAnsi" w:hAnsiTheme="minorHAnsi" w:cstheme="minorHAnsi"/>
        </w:rPr>
        <w:t xml:space="preserve">V roce </w:t>
      </w:r>
      <w:r w:rsidR="00DC68F7" w:rsidRPr="00DC68F7">
        <w:rPr>
          <w:rFonts w:asciiTheme="minorHAnsi" w:hAnsiTheme="minorHAnsi" w:cstheme="minorHAnsi"/>
        </w:rPr>
        <w:t>2020</w:t>
      </w:r>
      <w:r w:rsidRPr="00DC68F7">
        <w:rPr>
          <w:rFonts w:asciiTheme="minorHAnsi" w:hAnsiTheme="minorHAnsi" w:cstheme="minorHAnsi"/>
        </w:rPr>
        <w:t xml:space="preserve"> bylo </w:t>
      </w:r>
      <w:r w:rsidR="00DC68F7" w:rsidRPr="00DC68F7">
        <w:rPr>
          <w:rFonts w:asciiTheme="minorHAnsi" w:hAnsiTheme="minorHAnsi" w:cstheme="minorHAnsi"/>
        </w:rPr>
        <w:t>MPO</w:t>
      </w:r>
      <w:r w:rsidRPr="00DC68F7">
        <w:rPr>
          <w:rFonts w:asciiTheme="minorHAnsi" w:hAnsiTheme="minorHAnsi" w:cstheme="minorHAnsi"/>
        </w:rPr>
        <w:t xml:space="preserve"> </w:t>
      </w:r>
      <w:r w:rsidRPr="00903D51">
        <w:rPr>
          <w:rFonts w:asciiTheme="minorHAnsi" w:hAnsiTheme="minorHAnsi" w:cstheme="minorHAnsi"/>
        </w:rPr>
        <w:t xml:space="preserve">zřizovatelem </w:t>
      </w:r>
      <w:r w:rsidR="00903D51" w:rsidRPr="00903D51">
        <w:rPr>
          <w:rFonts w:asciiTheme="minorHAnsi" w:hAnsiTheme="minorHAnsi" w:cstheme="minorHAnsi"/>
        </w:rPr>
        <w:t>šesti</w:t>
      </w:r>
      <w:r w:rsidRPr="00903D51">
        <w:rPr>
          <w:rFonts w:asciiTheme="minorHAnsi" w:hAnsiTheme="minorHAnsi" w:cstheme="minorHAnsi"/>
        </w:rPr>
        <w:t xml:space="preserve"> </w:t>
      </w:r>
      <w:r w:rsidR="00927ABA">
        <w:rPr>
          <w:rFonts w:asciiTheme="minorHAnsi" w:hAnsiTheme="minorHAnsi" w:cstheme="minorHAnsi"/>
        </w:rPr>
        <w:t>OSS</w:t>
      </w:r>
      <w:r w:rsidRPr="00903D51">
        <w:rPr>
          <w:rFonts w:asciiTheme="minorHAnsi" w:hAnsiTheme="minorHAnsi" w:cstheme="minorHAnsi"/>
        </w:rPr>
        <w:t xml:space="preserve"> a </w:t>
      </w:r>
      <w:r w:rsidR="00903D51" w:rsidRPr="00903D51">
        <w:rPr>
          <w:rFonts w:asciiTheme="minorHAnsi" w:hAnsiTheme="minorHAnsi" w:cstheme="minorHAnsi"/>
        </w:rPr>
        <w:t>pěti</w:t>
      </w:r>
      <w:r w:rsidRPr="00903D51">
        <w:rPr>
          <w:rFonts w:asciiTheme="minorHAnsi" w:hAnsiTheme="minorHAnsi" w:cstheme="minorHAnsi"/>
        </w:rPr>
        <w:t xml:space="preserve"> příspěvkových organizací</w:t>
      </w:r>
      <w:r w:rsidR="00050BF8">
        <w:rPr>
          <w:rFonts w:asciiTheme="minorHAnsi" w:hAnsiTheme="minorHAnsi" w:cstheme="minorHAnsi"/>
        </w:rPr>
        <w:t xml:space="preserve"> </w:t>
      </w:r>
      <w:r w:rsidR="00050BF8" w:rsidRPr="00586C85">
        <w:rPr>
          <w:rFonts w:asciiTheme="minorHAnsi" w:hAnsiTheme="minorHAnsi" w:cstheme="minorHAnsi"/>
        </w:rPr>
        <w:t>(dále „PO“)</w:t>
      </w:r>
      <w:r w:rsidRPr="00E25364">
        <w:rPr>
          <w:rFonts w:asciiTheme="minorHAnsi" w:hAnsiTheme="minorHAnsi" w:cstheme="minorHAnsi"/>
        </w:rPr>
        <w:t>.</w:t>
      </w:r>
    </w:p>
    <w:p w14:paraId="5A3588F9" w14:textId="77777777" w:rsidR="009F20AA" w:rsidRPr="00DC68F7" w:rsidRDefault="009F20AA" w:rsidP="009F20AA">
      <w:pPr>
        <w:spacing w:after="0"/>
        <w:jc w:val="both"/>
        <w:rPr>
          <w:rFonts w:asciiTheme="minorHAnsi" w:hAnsiTheme="minorHAnsi" w:cstheme="minorHAnsi"/>
          <w:highlight w:val="yellow"/>
        </w:rPr>
      </w:pPr>
    </w:p>
    <w:p w14:paraId="52D498E4" w14:textId="401B54F1" w:rsidR="00E91FF5" w:rsidRPr="00903D51" w:rsidRDefault="00A640AE" w:rsidP="009F20AA">
      <w:pPr>
        <w:spacing w:after="0"/>
        <w:jc w:val="both"/>
        <w:rPr>
          <w:rFonts w:cs="Calibri"/>
        </w:rPr>
      </w:pPr>
      <w:r w:rsidRPr="00903D51">
        <w:rPr>
          <w:rFonts w:cs="Calibri"/>
        </w:rPr>
        <w:t>Přehled základních údajů z </w:t>
      </w:r>
      <w:r w:rsidR="00D37A9B" w:rsidRPr="00903D51">
        <w:rPr>
          <w:rFonts w:cs="Calibri"/>
        </w:rPr>
        <w:t xml:space="preserve">ÚZ </w:t>
      </w:r>
      <w:r w:rsidRPr="00903D51">
        <w:rPr>
          <w:rFonts w:cs="Calibri"/>
        </w:rPr>
        <w:t>a z výkazu pro hodnocení plnění rozpočtu správců kapitol a</w:t>
      </w:r>
      <w:r w:rsidR="009E57D6" w:rsidRPr="00903D51">
        <w:rPr>
          <w:rFonts w:cs="Calibri"/>
        </w:rPr>
        <w:t> </w:t>
      </w:r>
      <w:r w:rsidRPr="00903D51">
        <w:rPr>
          <w:rFonts w:cs="Calibri"/>
        </w:rPr>
        <w:t>organizačních složek státu</w:t>
      </w:r>
      <w:r w:rsidR="00D16053" w:rsidRPr="00903D51">
        <w:rPr>
          <w:rFonts w:cs="Calibri"/>
        </w:rPr>
        <w:t xml:space="preserve"> za rok </w:t>
      </w:r>
      <w:r w:rsidR="00903D51" w:rsidRPr="00903D51">
        <w:rPr>
          <w:rFonts w:cs="Calibri"/>
        </w:rPr>
        <w:t>2020</w:t>
      </w:r>
      <w:r w:rsidRPr="00903D51">
        <w:rPr>
          <w:rFonts w:cs="Calibri"/>
        </w:rPr>
        <w:t xml:space="preserve"> (</w:t>
      </w:r>
      <w:r w:rsidRPr="00586C85">
        <w:rPr>
          <w:rFonts w:cs="Calibri"/>
        </w:rPr>
        <w:t>dále také „výkaz FIN 1-12 OSS“)</w:t>
      </w:r>
      <w:r w:rsidRPr="00903D51">
        <w:rPr>
          <w:rFonts w:cs="Calibri"/>
        </w:rPr>
        <w:t xml:space="preserve"> vygenerovaného z rozpočtového systému</w:t>
      </w:r>
      <w:r w:rsidRPr="00903D51">
        <w:rPr>
          <w:rStyle w:val="Znakapoznpodarou"/>
          <w:rFonts w:eastAsiaTheme="minorHAnsi" w:cs="Calibri"/>
        </w:rPr>
        <w:footnoteReference w:id="30"/>
      </w:r>
      <w:r w:rsidRPr="00903D51">
        <w:rPr>
          <w:rFonts w:cs="Calibri"/>
        </w:rPr>
        <w:t xml:space="preserve"> je uveden v následujících tabulkách.</w:t>
      </w:r>
    </w:p>
    <w:p w14:paraId="40FA33E7" w14:textId="77777777" w:rsidR="00BC6C74" w:rsidRPr="00DC68F7" w:rsidRDefault="00BC6C74" w:rsidP="00BA0F46">
      <w:pPr>
        <w:spacing w:after="0"/>
        <w:ind w:left="1304" w:hanging="1304"/>
        <w:jc w:val="both"/>
        <w:rPr>
          <w:rFonts w:cs="Calibri"/>
          <w:highlight w:val="yellow"/>
        </w:rPr>
      </w:pPr>
    </w:p>
    <w:p w14:paraId="59A5ECEC" w14:textId="77777777" w:rsidR="00494B0F" w:rsidRPr="00AF5440" w:rsidRDefault="00A640AE" w:rsidP="00C159BE">
      <w:pPr>
        <w:keepNext/>
        <w:spacing w:after="40"/>
        <w:ind w:left="1304" w:hanging="1304"/>
        <w:jc w:val="both"/>
        <w:rPr>
          <w:rFonts w:cs="Calibri"/>
        </w:rPr>
      </w:pPr>
      <w:r w:rsidRPr="00AF5440">
        <w:rPr>
          <w:rFonts w:cs="Calibri"/>
          <w:b/>
        </w:rPr>
        <w:t xml:space="preserve">Tabulka č. </w:t>
      </w:r>
      <w:r w:rsidR="0037310D">
        <w:rPr>
          <w:rFonts w:cs="Calibri"/>
          <w:b/>
        </w:rPr>
        <w:t>1</w:t>
      </w:r>
      <w:r w:rsidRPr="00AF5440">
        <w:rPr>
          <w:rFonts w:cs="Calibri"/>
          <w:b/>
        </w:rPr>
        <w:t xml:space="preserve">: </w:t>
      </w:r>
      <w:r w:rsidRPr="00AF5440">
        <w:rPr>
          <w:rFonts w:cs="Calibri"/>
          <w:b/>
        </w:rPr>
        <w:tab/>
        <w:t xml:space="preserve">Údaje </w:t>
      </w:r>
      <w:r w:rsidR="000B3825" w:rsidRPr="00AF5440">
        <w:rPr>
          <w:rFonts w:cs="Calibri"/>
          <w:b/>
        </w:rPr>
        <w:t>ÚZ</w:t>
      </w:r>
      <w:r w:rsidRPr="00AF5440">
        <w:rPr>
          <w:rFonts w:cs="Calibri"/>
          <w:b/>
        </w:rPr>
        <w:t xml:space="preserve"> – rozvaha a výkaz zisku a</w:t>
      </w:r>
      <w:r w:rsidR="001B1CD4" w:rsidRPr="00AF5440">
        <w:rPr>
          <w:rFonts w:cs="Calibri"/>
          <w:b/>
        </w:rPr>
        <w:t xml:space="preserve"> </w:t>
      </w:r>
      <w:r w:rsidRPr="00AF5440">
        <w:rPr>
          <w:rFonts w:cs="Calibri"/>
          <w:b/>
        </w:rPr>
        <w:t xml:space="preserve">ztráty </w:t>
      </w:r>
      <w:r w:rsidR="002F271F" w:rsidRPr="00AF5440">
        <w:rPr>
          <w:rFonts w:cs="Calibri"/>
          <w:b/>
        </w:rPr>
        <w:t>(</w:t>
      </w:r>
      <w:r w:rsidRPr="00AF5440">
        <w:rPr>
          <w:rFonts w:cs="Calibri"/>
          <w:b/>
        </w:rPr>
        <w:t>údaje za běžné účetní období</w:t>
      </w:r>
      <w:r w:rsidR="002F271F" w:rsidRPr="00AF5440">
        <w:rPr>
          <w:rFonts w:cs="Calibri"/>
          <w:b/>
        </w:rPr>
        <w:t>)</w:t>
      </w:r>
    </w:p>
    <w:tbl>
      <w:tblPr>
        <w:tblW w:w="907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4535"/>
        <w:gridCol w:w="4535"/>
      </w:tblGrid>
      <w:tr w:rsidR="0050080C" w:rsidRPr="00DC68F7" w14:paraId="46663521" w14:textId="77777777" w:rsidTr="00021041">
        <w:trPr>
          <w:trHeight w:val="255"/>
        </w:trPr>
        <w:tc>
          <w:tcPr>
            <w:tcW w:w="4535" w:type="dxa"/>
            <w:shd w:val="clear" w:color="auto" w:fill="E5F1FF"/>
            <w:noWrap/>
            <w:vAlign w:val="center"/>
            <w:hideMark/>
          </w:tcPr>
          <w:p w14:paraId="4D7F08ED" w14:textId="77777777" w:rsidR="00494B0F" w:rsidRPr="00AF5440" w:rsidRDefault="00A640AE" w:rsidP="000015DC">
            <w:pPr>
              <w:keepNext/>
              <w:spacing w:after="0"/>
              <w:jc w:val="center"/>
              <w:rPr>
                <w:rFonts w:cs="Arial"/>
                <w:b/>
                <w:bCs/>
                <w:sz w:val="20"/>
                <w:szCs w:val="20"/>
              </w:rPr>
            </w:pPr>
            <w:r w:rsidRPr="00AF5440">
              <w:rPr>
                <w:rFonts w:cs="Arial"/>
                <w:b/>
                <w:bCs/>
                <w:sz w:val="20"/>
                <w:szCs w:val="20"/>
              </w:rPr>
              <w:t>Ukazatel</w:t>
            </w:r>
          </w:p>
        </w:tc>
        <w:tc>
          <w:tcPr>
            <w:tcW w:w="4535" w:type="dxa"/>
            <w:shd w:val="clear" w:color="auto" w:fill="E5F1FF"/>
            <w:noWrap/>
            <w:vAlign w:val="center"/>
            <w:hideMark/>
          </w:tcPr>
          <w:p w14:paraId="1D865B38" w14:textId="77777777" w:rsidR="00494B0F" w:rsidRPr="00AF5440" w:rsidRDefault="00A640AE" w:rsidP="000015DC">
            <w:pPr>
              <w:keepNext/>
              <w:spacing w:after="0"/>
              <w:jc w:val="center"/>
              <w:rPr>
                <w:rFonts w:cs="Arial"/>
                <w:b/>
                <w:bCs/>
                <w:sz w:val="20"/>
                <w:szCs w:val="20"/>
              </w:rPr>
            </w:pPr>
            <w:r w:rsidRPr="00AF5440">
              <w:rPr>
                <w:rFonts w:cs="Arial"/>
                <w:b/>
                <w:bCs/>
                <w:sz w:val="20"/>
                <w:szCs w:val="20"/>
              </w:rPr>
              <w:t>Částka v</w:t>
            </w:r>
            <w:r w:rsidR="009F3233">
              <w:rPr>
                <w:rFonts w:cs="Arial"/>
                <w:b/>
                <w:bCs/>
                <w:sz w:val="20"/>
                <w:szCs w:val="20"/>
              </w:rPr>
              <w:t> </w:t>
            </w:r>
            <w:r w:rsidRPr="00AF5440">
              <w:rPr>
                <w:rFonts w:cs="Arial"/>
                <w:b/>
                <w:bCs/>
                <w:sz w:val="20"/>
                <w:szCs w:val="20"/>
              </w:rPr>
              <w:t>Kč</w:t>
            </w:r>
          </w:p>
        </w:tc>
      </w:tr>
      <w:tr w:rsidR="00D37A9B" w:rsidRPr="00DC68F7" w14:paraId="5185E46E" w14:textId="77777777" w:rsidTr="00021041">
        <w:trPr>
          <w:trHeight w:val="255"/>
        </w:trPr>
        <w:tc>
          <w:tcPr>
            <w:tcW w:w="4535" w:type="dxa"/>
            <w:shd w:val="clear" w:color="auto" w:fill="auto"/>
            <w:noWrap/>
            <w:vAlign w:val="center"/>
            <w:hideMark/>
          </w:tcPr>
          <w:p w14:paraId="5A111F42" w14:textId="77777777" w:rsidR="00D37A9B" w:rsidRPr="00AF5440" w:rsidRDefault="00D37A9B" w:rsidP="000015DC">
            <w:pPr>
              <w:keepNext/>
              <w:spacing w:after="0"/>
              <w:rPr>
                <w:rFonts w:cs="Arial"/>
                <w:sz w:val="20"/>
                <w:szCs w:val="20"/>
              </w:rPr>
            </w:pPr>
            <w:r w:rsidRPr="00AF5440">
              <w:rPr>
                <w:rFonts w:cs="Arial"/>
                <w:sz w:val="20"/>
                <w:szCs w:val="20"/>
              </w:rPr>
              <w:t>Aktiva netto</w:t>
            </w:r>
          </w:p>
        </w:tc>
        <w:tc>
          <w:tcPr>
            <w:tcW w:w="4535" w:type="dxa"/>
            <w:shd w:val="clear" w:color="auto" w:fill="auto"/>
            <w:noWrap/>
            <w:vAlign w:val="center"/>
          </w:tcPr>
          <w:p w14:paraId="5DE912DF" w14:textId="77777777" w:rsidR="00D37A9B" w:rsidRPr="00AF5440" w:rsidRDefault="00AF5440" w:rsidP="000015DC">
            <w:pPr>
              <w:keepNext/>
              <w:spacing w:after="0"/>
              <w:ind w:right="787"/>
              <w:jc w:val="right"/>
              <w:rPr>
                <w:rFonts w:cs="Arial"/>
                <w:sz w:val="20"/>
                <w:szCs w:val="20"/>
                <w:highlight w:val="yellow"/>
              </w:rPr>
            </w:pPr>
            <w:r w:rsidRPr="00AF5440">
              <w:rPr>
                <w:rFonts w:cstheme="minorHAnsi"/>
                <w:color w:val="000000"/>
                <w:sz w:val="20"/>
                <w:szCs w:val="20"/>
              </w:rPr>
              <w:t>33 621 764 088,35</w:t>
            </w:r>
          </w:p>
        </w:tc>
      </w:tr>
      <w:tr w:rsidR="00D37A9B" w:rsidRPr="00DC68F7" w14:paraId="62ECD041" w14:textId="77777777" w:rsidTr="00021041">
        <w:trPr>
          <w:trHeight w:val="255"/>
        </w:trPr>
        <w:tc>
          <w:tcPr>
            <w:tcW w:w="4535" w:type="dxa"/>
            <w:shd w:val="clear" w:color="auto" w:fill="auto"/>
            <w:noWrap/>
            <w:vAlign w:val="center"/>
            <w:hideMark/>
          </w:tcPr>
          <w:p w14:paraId="18992DA0" w14:textId="77777777" w:rsidR="00D37A9B" w:rsidRPr="00AF5440" w:rsidRDefault="00D37A9B" w:rsidP="000015DC">
            <w:pPr>
              <w:keepNext/>
              <w:spacing w:after="0"/>
              <w:rPr>
                <w:rFonts w:cs="Arial"/>
                <w:sz w:val="20"/>
                <w:szCs w:val="20"/>
              </w:rPr>
            </w:pPr>
            <w:r w:rsidRPr="00AF5440">
              <w:rPr>
                <w:rFonts w:cs="Arial"/>
                <w:sz w:val="20"/>
                <w:szCs w:val="20"/>
              </w:rPr>
              <w:t>Pasiva</w:t>
            </w:r>
          </w:p>
        </w:tc>
        <w:tc>
          <w:tcPr>
            <w:tcW w:w="4535" w:type="dxa"/>
            <w:shd w:val="clear" w:color="auto" w:fill="auto"/>
            <w:noWrap/>
            <w:vAlign w:val="center"/>
          </w:tcPr>
          <w:p w14:paraId="4778088C" w14:textId="77777777" w:rsidR="00D37A9B" w:rsidRPr="00AF5440" w:rsidRDefault="00AF5440" w:rsidP="000015DC">
            <w:pPr>
              <w:keepNext/>
              <w:spacing w:after="0"/>
              <w:ind w:right="787"/>
              <w:jc w:val="right"/>
              <w:rPr>
                <w:rFonts w:cs="Arial"/>
                <w:sz w:val="20"/>
                <w:szCs w:val="20"/>
                <w:highlight w:val="yellow"/>
              </w:rPr>
            </w:pPr>
            <w:r w:rsidRPr="00AF5440">
              <w:rPr>
                <w:rFonts w:cstheme="minorHAnsi"/>
                <w:color w:val="000000"/>
                <w:sz w:val="20"/>
                <w:szCs w:val="20"/>
              </w:rPr>
              <w:t>33 621 764 088,35</w:t>
            </w:r>
          </w:p>
        </w:tc>
      </w:tr>
      <w:tr w:rsidR="00D37A9B" w:rsidRPr="00DC68F7" w14:paraId="008F8806" w14:textId="77777777" w:rsidTr="00021041">
        <w:trPr>
          <w:trHeight w:val="255"/>
        </w:trPr>
        <w:tc>
          <w:tcPr>
            <w:tcW w:w="4535" w:type="dxa"/>
            <w:shd w:val="clear" w:color="auto" w:fill="auto"/>
            <w:noWrap/>
            <w:vAlign w:val="center"/>
            <w:hideMark/>
          </w:tcPr>
          <w:p w14:paraId="31FE2EF2" w14:textId="77777777" w:rsidR="00D37A9B" w:rsidRPr="00AF5440" w:rsidRDefault="00D37A9B" w:rsidP="000015DC">
            <w:pPr>
              <w:keepNext/>
              <w:spacing w:after="0"/>
              <w:rPr>
                <w:rFonts w:cs="Arial"/>
                <w:sz w:val="20"/>
                <w:szCs w:val="20"/>
              </w:rPr>
            </w:pPr>
            <w:r w:rsidRPr="00AF5440">
              <w:rPr>
                <w:rFonts w:cs="Arial"/>
                <w:sz w:val="20"/>
                <w:szCs w:val="20"/>
              </w:rPr>
              <w:t>Náklady</w:t>
            </w:r>
          </w:p>
        </w:tc>
        <w:tc>
          <w:tcPr>
            <w:tcW w:w="4535" w:type="dxa"/>
            <w:shd w:val="clear" w:color="auto" w:fill="auto"/>
            <w:noWrap/>
            <w:vAlign w:val="center"/>
          </w:tcPr>
          <w:p w14:paraId="7F5BD1E0" w14:textId="77777777" w:rsidR="00D37A9B" w:rsidRPr="00AF5440" w:rsidRDefault="00AF5440" w:rsidP="000015DC">
            <w:pPr>
              <w:keepNext/>
              <w:spacing w:after="0"/>
              <w:ind w:right="787"/>
              <w:jc w:val="right"/>
              <w:rPr>
                <w:rFonts w:cs="Arial"/>
                <w:sz w:val="20"/>
                <w:szCs w:val="20"/>
                <w:highlight w:val="yellow"/>
              </w:rPr>
            </w:pPr>
            <w:r w:rsidRPr="00AF5440">
              <w:rPr>
                <w:rFonts w:cstheme="minorHAnsi"/>
                <w:color w:val="000000"/>
                <w:sz w:val="20"/>
                <w:szCs w:val="20"/>
              </w:rPr>
              <w:t>56 115 965 822,76</w:t>
            </w:r>
          </w:p>
        </w:tc>
      </w:tr>
      <w:tr w:rsidR="00D37A9B" w:rsidRPr="00DC68F7" w14:paraId="45B0436E" w14:textId="77777777" w:rsidTr="00021041">
        <w:trPr>
          <w:trHeight w:val="255"/>
        </w:trPr>
        <w:tc>
          <w:tcPr>
            <w:tcW w:w="4535" w:type="dxa"/>
            <w:shd w:val="clear" w:color="auto" w:fill="auto"/>
            <w:noWrap/>
            <w:vAlign w:val="center"/>
            <w:hideMark/>
          </w:tcPr>
          <w:p w14:paraId="1D61F538" w14:textId="77777777" w:rsidR="00D37A9B" w:rsidRPr="00AF5440" w:rsidRDefault="00D37A9B" w:rsidP="000015DC">
            <w:pPr>
              <w:keepNext/>
              <w:spacing w:after="0"/>
              <w:rPr>
                <w:rFonts w:cs="Arial"/>
                <w:sz w:val="20"/>
                <w:szCs w:val="20"/>
              </w:rPr>
            </w:pPr>
            <w:r w:rsidRPr="00AF5440">
              <w:rPr>
                <w:rFonts w:cs="Arial"/>
                <w:sz w:val="20"/>
                <w:szCs w:val="20"/>
              </w:rPr>
              <w:t>Výnosy</w:t>
            </w:r>
          </w:p>
        </w:tc>
        <w:tc>
          <w:tcPr>
            <w:tcW w:w="4535" w:type="dxa"/>
            <w:shd w:val="clear" w:color="auto" w:fill="auto"/>
            <w:noWrap/>
            <w:vAlign w:val="center"/>
          </w:tcPr>
          <w:p w14:paraId="5209312C" w14:textId="77777777" w:rsidR="00D37A9B" w:rsidRPr="00AF5440" w:rsidRDefault="00AF5440" w:rsidP="000015DC">
            <w:pPr>
              <w:keepNext/>
              <w:spacing w:after="0"/>
              <w:ind w:right="787"/>
              <w:jc w:val="right"/>
              <w:rPr>
                <w:rFonts w:cs="Arial"/>
                <w:sz w:val="20"/>
                <w:szCs w:val="20"/>
                <w:highlight w:val="yellow"/>
              </w:rPr>
            </w:pPr>
            <w:r w:rsidRPr="00AF5440">
              <w:rPr>
                <w:rFonts w:cstheme="minorHAnsi"/>
                <w:color w:val="000000"/>
                <w:sz w:val="20"/>
                <w:szCs w:val="20"/>
              </w:rPr>
              <w:t>14 908 846 917,27</w:t>
            </w:r>
          </w:p>
        </w:tc>
      </w:tr>
      <w:tr w:rsidR="00D37A9B" w:rsidRPr="00DC68F7" w14:paraId="5194C723" w14:textId="77777777" w:rsidTr="00021041">
        <w:trPr>
          <w:trHeight w:val="255"/>
        </w:trPr>
        <w:tc>
          <w:tcPr>
            <w:tcW w:w="4535" w:type="dxa"/>
            <w:shd w:val="clear" w:color="auto" w:fill="auto"/>
            <w:vAlign w:val="center"/>
            <w:hideMark/>
          </w:tcPr>
          <w:p w14:paraId="1617BE69" w14:textId="77777777" w:rsidR="00D37A9B" w:rsidRPr="00AF5440" w:rsidRDefault="00D37A9B" w:rsidP="000015DC">
            <w:pPr>
              <w:keepNext/>
              <w:spacing w:after="0"/>
              <w:rPr>
                <w:rFonts w:cs="Arial"/>
                <w:sz w:val="20"/>
                <w:szCs w:val="20"/>
              </w:rPr>
            </w:pPr>
            <w:r w:rsidRPr="00AF5440">
              <w:rPr>
                <w:rFonts w:cs="Arial"/>
                <w:sz w:val="20"/>
                <w:szCs w:val="20"/>
              </w:rPr>
              <w:t>Výsledek hospodaření běžného účetního období</w:t>
            </w:r>
          </w:p>
        </w:tc>
        <w:tc>
          <w:tcPr>
            <w:tcW w:w="4535" w:type="dxa"/>
            <w:shd w:val="clear" w:color="auto" w:fill="auto"/>
            <w:noWrap/>
            <w:vAlign w:val="center"/>
          </w:tcPr>
          <w:p w14:paraId="27F087C1" w14:textId="77777777" w:rsidR="00D37A9B" w:rsidRPr="00AF5440" w:rsidRDefault="009A0289" w:rsidP="00AF5440">
            <w:pPr>
              <w:keepNext/>
              <w:spacing w:after="0"/>
              <w:ind w:right="787"/>
              <w:jc w:val="right"/>
              <w:rPr>
                <w:rFonts w:cs="Arial"/>
                <w:b/>
                <w:sz w:val="20"/>
                <w:szCs w:val="20"/>
                <w:highlight w:val="yellow"/>
              </w:rPr>
            </w:pPr>
            <w:r w:rsidRPr="00AF5440">
              <w:rPr>
                <w:rFonts w:asciiTheme="minorHAnsi" w:hAnsiTheme="minorHAnsi" w:cstheme="minorHAnsi"/>
                <w:color w:val="000000"/>
                <w:sz w:val="20"/>
                <w:szCs w:val="20"/>
              </w:rPr>
              <w:sym w:font="Symbol" w:char="F02D"/>
            </w:r>
            <w:r w:rsidR="00AF5440" w:rsidRPr="00AF5440">
              <w:rPr>
                <w:rFonts w:asciiTheme="minorHAnsi" w:hAnsiTheme="minorHAnsi" w:cstheme="minorHAnsi"/>
                <w:color w:val="000000"/>
                <w:sz w:val="20"/>
                <w:szCs w:val="20"/>
              </w:rPr>
              <w:t>41 207 118 905,49</w:t>
            </w:r>
          </w:p>
        </w:tc>
      </w:tr>
    </w:tbl>
    <w:p w14:paraId="53A86341" w14:textId="77777777" w:rsidR="00494B0F" w:rsidRPr="00AF5440" w:rsidRDefault="00A640AE" w:rsidP="005B584C">
      <w:pPr>
        <w:keepNext/>
        <w:spacing w:before="40" w:after="0"/>
        <w:rPr>
          <w:rFonts w:cs="Arial"/>
          <w:sz w:val="20"/>
          <w:szCs w:val="20"/>
        </w:rPr>
      </w:pPr>
      <w:r w:rsidRPr="00AF5440">
        <w:rPr>
          <w:rFonts w:cs="Arial"/>
          <w:b/>
          <w:sz w:val="20"/>
          <w:szCs w:val="20"/>
        </w:rPr>
        <w:t>Zdroj:</w:t>
      </w:r>
      <w:r w:rsidRPr="00AF5440">
        <w:rPr>
          <w:rFonts w:cs="Arial"/>
          <w:sz w:val="20"/>
          <w:szCs w:val="20"/>
        </w:rPr>
        <w:t xml:space="preserve"> </w:t>
      </w:r>
      <w:r w:rsidR="000B3825" w:rsidRPr="00AF5440">
        <w:rPr>
          <w:rFonts w:cs="Arial"/>
          <w:sz w:val="20"/>
          <w:szCs w:val="20"/>
        </w:rPr>
        <w:t>ÚZ</w:t>
      </w:r>
      <w:r w:rsidRPr="00AF5440">
        <w:rPr>
          <w:rFonts w:cs="Arial"/>
          <w:sz w:val="20"/>
          <w:szCs w:val="20"/>
        </w:rPr>
        <w:t>.</w:t>
      </w:r>
    </w:p>
    <w:p w14:paraId="7DF490C6" w14:textId="77777777" w:rsidR="00494B0F" w:rsidRPr="00AF5440" w:rsidRDefault="00A640AE" w:rsidP="007012B8">
      <w:pPr>
        <w:spacing w:after="0"/>
        <w:ind w:left="567" w:hanging="567"/>
        <w:jc w:val="both"/>
        <w:rPr>
          <w:rFonts w:cs="Arial"/>
          <w:sz w:val="20"/>
          <w:szCs w:val="20"/>
        </w:rPr>
      </w:pPr>
      <w:r w:rsidRPr="00AF5440">
        <w:rPr>
          <w:rFonts w:cs="Arial"/>
          <w:b/>
          <w:sz w:val="20"/>
          <w:szCs w:val="20"/>
        </w:rPr>
        <w:t>Pozn.:</w:t>
      </w:r>
      <w:r w:rsidR="000E0B18" w:rsidRPr="00AF5440">
        <w:rPr>
          <w:rFonts w:cs="Arial"/>
          <w:sz w:val="20"/>
          <w:szCs w:val="20"/>
        </w:rPr>
        <w:t xml:space="preserve"> </w:t>
      </w:r>
      <w:r w:rsidR="000E0B18" w:rsidRPr="00AF5440">
        <w:rPr>
          <w:rFonts w:cs="Arial"/>
          <w:sz w:val="20"/>
          <w:szCs w:val="20"/>
        </w:rPr>
        <w:tab/>
      </w:r>
      <w:r w:rsidR="00AF5440" w:rsidRPr="00AF5440">
        <w:rPr>
          <w:rFonts w:cs="Arial"/>
          <w:sz w:val="20"/>
          <w:szCs w:val="20"/>
        </w:rPr>
        <w:t>MPO</w:t>
      </w:r>
      <w:r w:rsidRPr="00AF5440">
        <w:rPr>
          <w:rFonts w:cs="Arial"/>
          <w:sz w:val="20"/>
          <w:szCs w:val="20"/>
        </w:rPr>
        <w:t xml:space="preserve"> v ÚZ vykázalo aktiva v hodnotě brutto ve výši</w:t>
      </w:r>
      <w:r w:rsidR="00B92BDD" w:rsidRPr="00AF5440">
        <w:rPr>
          <w:rFonts w:cs="Arial"/>
          <w:sz w:val="20"/>
          <w:szCs w:val="20"/>
        </w:rPr>
        <w:t xml:space="preserve"> </w:t>
      </w:r>
      <w:r w:rsidR="00AF5440">
        <w:rPr>
          <w:rFonts w:cs="Arial"/>
          <w:sz w:val="20"/>
          <w:szCs w:val="20"/>
        </w:rPr>
        <w:t>35 103 495 </w:t>
      </w:r>
      <w:r w:rsidR="00AF5440" w:rsidRPr="00AF5440">
        <w:rPr>
          <w:rFonts w:cs="Arial"/>
          <w:sz w:val="20"/>
          <w:szCs w:val="20"/>
        </w:rPr>
        <w:t>623,85</w:t>
      </w:r>
      <w:r w:rsidR="00D37A9B" w:rsidRPr="00AF5440">
        <w:rPr>
          <w:rFonts w:cs="Arial"/>
          <w:sz w:val="20"/>
          <w:szCs w:val="20"/>
        </w:rPr>
        <w:t xml:space="preserve"> Kč</w:t>
      </w:r>
      <w:r w:rsidRPr="00AF5440">
        <w:rPr>
          <w:rFonts w:cs="Arial"/>
          <w:sz w:val="20"/>
          <w:szCs w:val="20"/>
        </w:rPr>
        <w:t xml:space="preserve"> upravené o korekce ve výši</w:t>
      </w:r>
      <w:r w:rsidR="00B92BDD" w:rsidRPr="00AF5440">
        <w:rPr>
          <w:rFonts w:cs="Arial"/>
          <w:sz w:val="20"/>
          <w:szCs w:val="20"/>
        </w:rPr>
        <w:t xml:space="preserve"> </w:t>
      </w:r>
      <w:r w:rsidR="00D37A9B" w:rsidRPr="00A4077C">
        <w:rPr>
          <w:rFonts w:cs="Arial"/>
          <w:sz w:val="20"/>
          <w:szCs w:val="20"/>
        </w:rPr>
        <w:t>1</w:t>
      </w:r>
      <w:r w:rsidR="00AF5440" w:rsidRPr="00A4077C">
        <w:rPr>
          <w:rFonts w:cs="Arial"/>
          <w:sz w:val="20"/>
          <w:szCs w:val="20"/>
        </w:rPr>
        <w:t> 481 731 535,50</w:t>
      </w:r>
      <w:r w:rsidRPr="00A4077C">
        <w:rPr>
          <w:rFonts w:cs="Arial"/>
          <w:sz w:val="20"/>
          <w:szCs w:val="20"/>
        </w:rPr>
        <w:t xml:space="preserve"> Kč</w:t>
      </w:r>
      <w:r w:rsidRPr="00AF5440">
        <w:rPr>
          <w:rFonts w:cs="Arial"/>
          <w:sz w:val="20"/>
          <w:szCs w:val="20"/>
        </w:rPr>
        <w:t>.</w:t>
      </w:r>
    </w:p>
    <w:p w14:paraId="2A62E5CE" w14:textId="77777777" w:rsidR="00CF2F57" w:rsidRPr="00DC68F7" w:rsidRDefault="00CF2F57">
      <w:pPr>
        <w:spacing w:after="0"/>
        <w:rPr>
          <w:rFonts w:cs="Arial"/>
          <w:highlight w:val="yellow"/>
        </w:rPr>
      </w:pPr>
    </w:p>
    <w:p w14:paraId="2F16DCA4" w14:textId="77777777" w:rsidR="00494B0F" w:rsidRPr="00AF5440" w:rsidRDefault="00A640AE" w:rsidP="009C2182">
      <w:pPr>
        <w:keepNext/>
        <w:spacing w:after="40"/>
        <w:ind w:left="1304" w:hanging="1304"/>
        <w:jc w:val="both"/>
        <w:rPr>
          <w:rFonts w:cs="Arial"/>
          <w:b/>
          <w:spacing w:val="-4"/>
        </w:rPr>
      </w:pPr>
      <w:r w:rsidRPr="00AF5440">
        <w:rPr>
          <w:rFonts w:cs="Arial"/>
          <w:b/>
          <w:spacing w:val="-4"/>
        </w:rPr>
        <w:lastRenderedPageBreak/>
        <w:t xml:space="preserve">Tabulka č. </w:t>
      </w:r>
      <w:r w:rsidR="0037310D">
        <w:rPr>
          <w:rFonts w:cs="Arial"/>
          <w:b/>
          <w:spacing w:val="-4"/>
        </w:rPr>
        <w:t>2</w:t>
      </w:r>
      <w:r w:rsidRPr="00AF5440">
        <w:rPr>
          <w:rFonts w:cs="Arial"/>
          <w:b/>
          <w:spacing w:val="-4"/>
        </w:rPr>
        <w:t xml:space="preserve">: </w:t>
      </w:r>
      <w:r w:rsidRPr="00AF5440">
        <w:rPr>
          <w:rFonts w:cs="Arial"/>
          <w:b/>
          <w:spacing w:val="-4"/>
        </w:rPr>
        <w:tab/>
        <w:t xml:space="preserve">Údaje </w:t>
      </w:r>
      <w:r w:rsidR="000B3825" w:rsidRPr="00AF5440">
        <w:rPr>
          <w:rFonts w:cs="Arial"/>
          <w:b/>
          <w:spacing w:val="-4"/>
        </w:rPr>
        <w:t>ÚZ</w:t>
      </w:r>
      <w:r w:rsidRPr="00AF5440">
        <w:rPr>
          <w:rFonts w:cs="Arial"/>
          <w:b/>
          <w:spacing w:val="-4"/>
        </w:rPr>
        <w:t xml:space="preserve"> – informace o stavu účtů v knize podrozvahových účtů </w:t>
      </w:r>
      <w:r w:rsidR="002F271F" w:rsidRPr="00AF5440">
        <w:rPr>
          <w:rFonts w:cs="Arial"/>
          <w:b/>
          <w:spacing w:val="-4"/>
        </w:rPr>
        <w:t>(</w:t>
      </w:r>
      <w:r w:rsidRPr="00AF5440">
        <w:rPr>
          <w:rFonts w:cs="Arial"/>
          <w:b/>
          <w:spacing w:val="-4"/>
        </w:rPr>
        <w:t>údaje za běžné účetní období</w:t>
      </w:r>
      <w:r w:rsidR="002F271F" w:rsidRPr="00AF5440">
        <w:rPr>
          <w:rFonts w:cs="Arial"/>
          <w:b/>
          <w:spacing w:val="-4"/>
        </w:rPr>
        <w:t>)</w:t>
      </w:r>
    </w:p>
    <w:tbl>
      <w:tblPr>
        <w:tblW w:w="9072" w:type="dxa"/>
        <w:tblInd w:w="-5" w:type="dxa"/>
        <w:tblCellMar>
          <w:left w:w="70" w:type="dxa"/>
          <w:right w:w="70" w:type="dxa"/>
        </w:tblCellMar>
        <w:tblLook w:val="04A0" w:firstRow="1" w:lastRow="0" w:firstColumn="1" w:lastColumn="0" w:noHBand="0" w:noVBand="1"/>
      </w:tblPr>
      <w:tblGrid>
        <w:gridCol w:w="812"/>
        <w:gridCol w:w="6559"/>
        <w:gridCol w:w="1701"/>
      </w:tblGrid>
      <w:tr w:rsidR="0050080C" w:rsidRPr="00DC68F7" w14:paraId="1FE770B3" w14:textId="77777777" w:rsidTr="00021041">
        <w:trPr>
          <w:trHeight w:val="255"/>
          <w:tblHeader/>
        </w:trPr>
        <w:tc>
          <w:tcPr>
            <w:tcW w:w="7371" w:type="dxa"/>
            <w:gridSpan w:val="2"/>
            <w:tcBorders>
              <w:top w:val="single" w:sz="4" w:space="0" w:color="auto"/>
              <w:left w:val="single" w:sz="4" w:space="0" w:color="auto"/>
              <w:bottom w:val="single" w:sz="4" w:space="0" w:color="auto"/>
              <w:right w:val="single" w:sz="4" w:space="0" w:color="auto"/>
            </w:tcBorders>
            <w:shd w:val="clear" w:color="auto" w:fill="E5F1FF"/>
            <w:vAlign w:val="center"/>
            <w:hideMark/>
          </w:tcPr>
          <w:p w14:paraId="1B1B3A06" w14:textId="77777777" w:rsidR="00085D01" w:rsidRPr="00AF5440" w:rsidRDefault="00A640AE" w:rsidP="009C2182">
            <w:pPr>
              <w:keepNext/>
              <w:spacing w:after="0"/>
              <w:jc w:val="center"/>
              <w:rPr>
                <w:rFonts w:cstheme="minorHAnsi"/>
                <w:b/>
                <w:bCs/>
                <w:color w:val="000000"/>
                <w:sz w:val="20"/>
                <w:szCs w:val="20"/>
              </w:rPr>
            </w:pPr>
            <w:r w:rsidRPr="00AF5440">
              <w:rPr>
                <w:rFonts w:cstheme="minorHAnsi"/>
                <w:b/>
                <w:bCs/>
                <w:color w:val="000000"/>
                <w:sz w:val="20"/>
                <w:szCs w:val="20"/>
              </w:rPr>
              <w:t>Položka výkazu</w:t>
            </w:r>
          </w:p>
        </w:tc>
        <w:tc>
          <w:tcPr>
            <w:tcW w:w="1701" w:type="dxa"/>
            <w:tcBorders>
              <w:top w:val="single" w:sz="4" w:space="0" w:color="auto"/>
              <w:left w:val="nil"/>
              <w:bottom w:val="single" w:sz="4" w:space="0" w:color="auto"/>
              <w:right w:val="single" w:sz="4" w:space="0" w:color="auto"/>
            </w:tcBorders>
            <w:shd w:val="clear" w:color="auto" w:fill="E5F1FF"/>
            <w:noWrap/>
            <w:vAlign w:val="center"/>
            <w:hideMark/>
          </w:tcPr>
          <w:p w14:paraId="7E8DC5BA" w14:textId="77777777" w:rsidR="00085D01" w:rsidRPr="00AF5440" w:rsidRDefault="00A640AE" w:rsidP="009C2182">
            <w:pPr>
              <w:keepNext/>
              <w:spacing w:after="0"/>
              <w:jc w:val="center"/>
              <w:rPr>
                <w:rFonts w:cstheme="minorHAnsi"/>
                <w:b/>
                <w:bCs/>
                <w:color w:val="000000"/>
                <w:sz w:val="20"/>
                <w:szCs w:val="20"/>
              </w:rPr>
            </w:pPr>
            <w:r w:rsidRPr="00AF5440">
              <w:rPr>
                <w:rFonts w:cstheme="minorHAnsi"/>
                <w:b/>
                <w:bCs/>
                <w:color w:val="000000"/>
                <w:sz w:val="20"/>
                <w:szCs w:val="20"/>
              </w:rPr>
              <w:t>Částka v</w:t>
            </w:r>
            <w:r w:rsidR="00E94F28">
              <w:rPr>
                <w:rFonts w:cstheme="minorHAnsi"/>
                <w:b/>
                <w:bCs/>
                <w:color w:val="000000"/>
                <w:sz w:val="20"/>
                <w:szCs w:val="20"/>
              </w:rPr>
              <w:t> </w:t>
            </w:r>
            <w:r w:rsidRPr="00AF5440">
              <w:rPr>
                <w:rFonts w:cstheme="minorHAnsi"/>
                <w:b/>
                <w:bCs/>
                <w:color w:val="000000"/>
                <w:sz w:val="20"/>
                <w:szCs w:val="20"/>
              </w:rPr>
              <w:t>Kč</w:t>
            </w:r>
          </w:p>
        </w:tc>
      </w:tr>
      <w:tr w:rsidR="0050080C" w:rsidRPr="00DC68F7" w14:paraId="565ED362" w14:textId="77777777" w:rsidTr="00021041">
        <w:trPr>
          <w:trHeight w:val="255"/>
        </w:trPr>
        <w:tc>
          <w:tcPr>
            <w:tcW w:w="812" w:type="dxa"/>
            <w:tcBorders>
              <w:top w:val="nil"/>
              <w:left w:val="single" w:sz="4" w:space="0" w:color="auto"/>
              <w:bottom w:val="single" w:sz="4" w:space="0" w:color="auto"/>
              <w:right w:val="single" w:sz="4" w:space="0" w:color="auto"/>
            </w:tcBorders>
            <w:shd w:val="clear" w:color="auto" w:fill="auto"/>
            <w:noWrap/>
            <w:vAlign w:val="center"/>
          </w:tcPr>
          <w:p w14:paraId="0CDB4DE2" w14:textId="77777777" w:rsidR="003D2549" w:rsidRPr="00180384" w:rsidRDefault="00A640AE" w:rsidP="009C2182">
            <w:pPr>
              <w:keepNext/>
              <w:autoSpaceDE w:val="0"/>
              <w:autoSpaceDN w:val="0"/>
              <w:adjustRightInd w:val="0"/>
              <w:spacing w:after="0"/>
              <w:ind w:right="-57"/>
              <w:rPr>
                <w:rFonts w:eastAsiaTheme="minorHAnsi" w:cstheme="minorHAnsi"/>
                <w:sz w:val="20"/>
                <w:szCs w:val="20"/>
              </w:rPr>
            </w:pPr>
            <w:r w:rsidRPr="00180384">
              <w:rPr>
                <w:rFonts w:eastAsiaTheme="minorHAnsi" w:cstheme="minorHAnsi"/>
                <w:sz w:val="20"/>
                <w:szCs w:val="20"/>
              </w:rPr>
              <w:t>P.I.2.</w:t>
            </w:r>
          </w:p>
        </w:tc>
        <w:tc>
          <w:tcPr>
            <w:tcW w:w="6559" w:type="dxa"/>
            <w:tcBorders>
              <w:top w:val="nil"/>
              <w:left w:val="nil"/>
              <w:bottom w:val="single" w:sz="4" w:space="0" w:color="auto"/>
              <w:right w:val="single" w:sz="4" w:space="0" w:color="auto"/>
            </w:tcBorders>
            <w:shd w:val="clear" w:color="auto" w:fill="auto"/>
            <w:noWrap/>
            <w:vAlign w:val="center"/>
          </w:tcPr>
          <w:p w14:paraId="54479C2F" w14:textId="77777777" w:rsidR="003D2549" w:rsidRPr="00180384" w:rsidRDefault="00A640AE" w:rsidP="009C2182">
            <w:pPr>
              <w:keepNext/>
              <w:autoSpaceDE w:val="0"/>
              <w:autoSpaceDN w:val="0"/>
              <w:adjustRightInd w:val="0"/>
              <w:spacing w:after="0"/>
              <w:ind w:right="-57"/>
              <w:rPr>
                <w:rFonts w:eastAsiaTheme="minorHAnsi" w:cstheme="minorHAnsi"/>
                <w:sz w:val="20"/>
                <w:szCs w:val="20"/>
              </w:rPr>
            </w:pPr>
            <w:r w:rsidRPr="00180384">
              <w:rPr>
                <w:rFonts w:eastAsiaTheme="minorHAnsi" w:cstheme="minorHAnsi"/>
                <w:sz w:val="20"/>
                <w:szCs w:val="20"/>
              </w:rPr>
              <w:t>Jiný drobný dlouhodobý hmotný majetek</w:t>
            </w:r>
          </w:p>
        </w:tc>
        <w:tc>
          <w:tcPr>
            <w:tcW w:w="1701" w:type="dxa"/>
            <w:tcBorders>
              <w:top w:val="nil"/>
              <w:left w:val="nil"/>
              <w:bottom w:val="single" w:sz="4" w:space="0" w:color="auto"/>
              <w:right w:val="single" w:sz="4" w:space="0" w:color="auto"/>
            </w:tcBorders>
            <w:shd w:val="clear" w:color="auto" w:fill="auto"/>
            <w:vAlign w:val="center"/>
          </w:tcPr>
          <w:p w14:paraId="5A3FA30B" w14:textId="77777777" w:rsidR="003D2549" w:rsidRPr="00B279AF" w:rsidRDefault="00B279AF" w:rsidP="009C2182">
            <w:pPr>
              <w:keepNext/>
              <w:spacing w:after="0"/>
              <w:ind w:right="57"/>
              <w:jc w:val="right"/>
              <w:rPr>
                <w:rFonts w:asciiTheme="minorHAnsi" w:hAnsiTheme="minorHAnsi" w:cstheme="minorHAnsi"/>
                <w:color w:val="000000"/>
                <w:sz w:val="20"/>
                <w:szCs w:val="20"/>
              </w:rPr>
            </w:pPr>
            <w:r w:rsidRPr="00B279AF">
              <w:rPr>
                <w:rFonts w:asciiTheme="minorHAnsi" w:hAnsiTheme="minorHAnsi" w:cstheme="minorHAnsi"/>
                <w:color w:val="000000"/>
                <w:sz w:val="20"/>
                <w:szCs w:val="20"/>
              </w:rPr>
              <w:t>18 500 765,85</w:t>
            </w:r>
          </w:p>
        </w:tc>
      </w:tr>
      <w:tr w:rsidR="0050080C" w:rsidRPr="00DC68F7" w14:paraId="725834FE" w14:textId="77777777" w:rsidTr="00021041">
        <w:trPr>
          <w:trHeight w:val="255"/>
        </w:trPr>
        <w:tc>
          <w:tcPr>
            <w:tcW w:w="812" w:type="dxa"/>
            <w:tcBorders>
              <w:top w:val="nil"/>
              <w:left w:val="single" w:sz="4" w:space="0" w:color="auto"/>
              <w:bottom w:val="single" w:sz="4" w:space="0" w:color="auto"/>
              <w:right w:val="single" w:sz="4" w:space="0" w:color="auto"/>
            </w:tcBorders>
            <w:shd w:val="clear" w:color="auto" w:fill="auto"/>
            <w:noWrap/>
            <w:vAlign w:val="center"/>
          </w:tcPr>
          <w:p w14:paraId="0EE03025" w14:textId="77777777" w:rsidR="003D2549" w:rsidRPr="00180384" w:rsidRDefault="00A640AE" w:rsidP="009C2182">
            <w:pPr>
              <w:keepNext/>
              <w:autoSpaceDE w:val="0"/>
              <w:autoSpaceDN w:val="0"/>
              <w:adjustRightInd w:val="0"/>
              <w:spacing w:after="0"/>
              <w:ind w:right="-57"/>
              <w:rPr>
                <w:rFonts w:eastAsiaTheme="minorHAnsi" w:cstheme="minorHAnsi"/>
                <w:sz w:val="20"/>
                <w:szCs w:val="20"/>
              </w:rPr>
            </w:pPr>
            <w:r w:rsidRPr="00180384">
              <w:rPr>
                <w:rFonts w:eastAsiaTheme="minorHAnsi" w:cstheme="minorHAnsi"/>
                <w:sz w:val="20"/>
                <w:szCs w:val="20"/>
              </w:rPr>
              <w:t>P.I.3.</w:t>
            </w:r>
          </w:p>
        </w:tc>
        <w:tc>
          <w:tcPr>
            <w:tcW w:w="6559" w:type="dxa"/>
            <w:tcBorders>
              <w:top w:val="nil"/>
              <w:left w:val="nil"/>
              <w:bottom w:val="single" w:sz="4" w:space="0" w:color="auto"/>
              <w:right w:val="single" w:sz="4" w:space="0" w:color="auto"/>
            </w:tcBorders>
            <w:shd w:val="clear" w:color="auto" w:fill="auto"/>
            <w:noWrap/>
            <w:vAlign w:val="center"/>
          </w:tcPr>
          <w:p w14:paraId="49A3B13D" w14:textId="77777777" w:rsidR="003D2549" w:rsidRPr="00180384" w:rsidRDefault="00A640AE" w:rsidP="009C2182">
            <w:pPr>
              <w:keepNext/>
              <w:autoSpaceDE w:val="0"/>
              <w:autoSpaceDN w:val="0"/>
              <w:adjustRightInd w:val="0"/>
              <w:spacing w:after="0"/>
              <w:ind w:right="-57"/>
              <w:rPr>
                <w:rFonts w:eastAsiaTheme="minorHAnsi" w:cstheme="minorHAnsi"/>
                <w:sz w:val="20"/>
                <w:szCs w:val="20"/>
              </w:rPr>
            </w:pPr>
            <w:r w:rsidRPr="00180384">
              <w:rPr>
                <w:rFonts w:eastAsiaTheme="minorHAnsi" w:cstheme="minorHAnsi"/>
                <w:sz w:val="20"/>
                <w:szCs w:val="20"/>
              </w:rPr>
              <w:t>Vyřazené pohledávky</w:t>
            </w:r>
          </w:p>
        </w:tc>
        <w:tc>
          <w:tcPr>
            <w:tcW w:w="1701" w:type="dxa"/>
            <w:tcBorders>
              <w:top w:val="nil"/>
              <w:left w:val="nil"/>
              <w:bottom w:val="single" w:sz="4" w:space="0" w:color="auto"/>
              <w:right w:val="single" w:sz="4" w:space="0" w:color="auto"/>
            </w:tcBorders>
            <w:shd w:val="clear" w:color="auto" w:fill="auto"/>
            <w:vAlign w:val="center"/>
          </w:tcPr>
          <w:p w14:paraId="27D35B09" w14:textId="77777777" w:rsidR="003D2549" w:rsidRPr="00DC68F7" w:rsidRDefault="00B279AF" w:rsidP="009C2182">
            <w:pPr>
              <w:keepNext/>
              <w:spacing w:after="0"/>
              <w:ind w:right="57"/>
              <w:jc w:val="right"/>
              <w:rPr>
                <w:rFonts w:asciiTheme="minorHAnsi" w:hAnsiTheme="minorHAnsi" w:cstheme="minorHAnsi"/>
                <w:color w:val="000000"/>
                <w:sz w:val="20"/>
                <w:szCs w:val="20"/>
                <w:highlight w:val="yellow"/>
              </w:rPr>
            </w:pPr>
            <w:r w:rsidRPr="00B279AF">
              <w:rPr>
                <w:rFonts w:asciiTheme="minorHAnsi" w:hAnsiTheme="minorHAnsi" w:cstheme="minorHAnsi"/>
                <w:color w:val="000000"/>
                <w:sz w:val="20"/>
                <w:szCs w:val="20"/>
              </w:rPr>
              <w:t>53 376 020,00</w:t>
            </w:r>
          </w:p>
        </w:tc>
      </w:tr>
      <w:tr w:rsidR="0050080C" w:rsidRPr="00DC68F7" w14:paraId="54CEBBDF" w14:textId="77777777" w:rsidTr="00021041">
        <w:trPr>
          <w:trHeight w:val="255"/>
        </w:trPr>
        <w:tc>
          <w:tcPr>
            <w:tcW w:w="812" w:type="dxa"/>
            <w:tcBorders>
              <w:top w:val="nil"/>
              <w:left w:val="single" w:sz="4" w:space="0" w:color="auto"/>
              <w:bottom w:val="single" w:sz="4" w:space="0" w:color="auto"/>
              <w:right w:val="single" w:sz="4" w:space="0" w:color="auto"/>
            </w:tcBorders>
            <w:shd w:val="clear" w:color="auto" w:fill="auto"/>
            <w:noWrap/>
            <w:vAlign w:val="center"/>
          </w:tcPr>
          <w:p w14:paraId="3CF5F47A" w14:textId="77777777" w:rsidR="003D2549" w:rsidRPr="00180384" w:rsidRDefault="007E207B" w:rsidP="009C2182">
            <w:pPr>
              <w:keepNext/>
              <w:autoSpaceDE w:val="0"/>
              <w:autoSpaceDN w:val="0"/>
              <w:adjustRightInd w:val="0"/>
              <w:spacing w:after="0"/>
              <w:ind w:right="-57"/>
              <w:rPr>
                <w:rFonts w:eastAsiaTheme="minorHAnsi" w:cstheme="minorHAnsi"/>
                <w:sz w:val="20"/>
                <w:szCs w:val="20"/>
              </w:rPr>
            </w:pPr>
            <w:r w:rsidRPr="00180384">
              <w:rPr>
                <w:rFonts w:eastAsiaTheme="minorHAnsi" w:cstheme="minorHAnsi"/>
                <w:sz w:val="20"/>
                <w:szCs w:val="20"/>
              </w:rPr>
              <w:t>P.II.1.</w:t>
            </w:r>
          </w:p>
        </w:tc>
        <w:tc>
          <w:tcPr>
            <w:tcW w:w="6559" w:type="dxa"/>
            <w:tcBorders>
              <w:top w:val="nil"/>
              <w:left w:val="nil"/>
              <w:bottom w:val="single" w:sz="4" w:space="0" w:color="auto"/>
              <w:right w:val="single" w:sz="4" w:space="0" w:color="auto"/>
            </w:tcBorders>
            <w:shd w:val="clear" w:color="auto" w:fill="auto"/>
            <w:noWrap/>
            <w:vAlign w:val="center"/>
          </w:tcPr>
          <w:p w14:paraId="42B0BE11" w14:textId="77777777" w:rsidR="003D2549" w:rsidRPr="00180384" w:rsidRDefault="007E207B" w:rsidP="009C2182">
            <w:pPr>
              <w:keepNext/>
              <w:autoSpaceDE w:val="0"/>
              <w:autoSpaceDN w:val="0"/>
              <w:adjustRightInd w:val="0"/>
              <w:spacing w:after="0"/>
              <w:ind w:right="-57"/>
              <w:rPr>
                <w:rFonts w:eastAsiaTheme="minorHAnsi" w:cstheme="minorHAnsi"/>
                <w:sz w:val="20"/>
                <w:szCs w:val="20"/>
              </w:rPr>
            </w:pPr>
            <w:r w:rsidRPr="00180384">
              <w:rPr>
                <w:rFonts w:eastAsiaTheme="minorHAnsi" w:cstheme="minorHAnsi"/>
                <w:sz w:val="20"/>
                <w:szCs w:val="20"/>
              </w:rPr>
              <w:t>Krátkodobé podmíněné pohledávky z předfinancování transferů</w:t>
            </w:r>
          </w:p>
        </w:tc>
        <w:tc>
          <w:tcPr>
            <w:tcW w:w="1701" w:type="dxa"/>
            <w:tcBorders>
              <w:top w:val="nil"/>
              <w:left w:val="nil"/>
              <w:bottom w:val="single" w:sz="4" w:space="0" w:color="auto"/>
              <w:right w:val="single" w:sz="4" w:space="0" w:color="auto"/>
            </w:tcBorders>
            <w:shd w:val="clear" w:color="auto" w:fill="auto"/>
            <w:vAlign w:val="center"/>
          </w:tcPr>
          <w:p w14:paraId="11787289" w14:textId="77777777" w:rsidR="003D2549" w:rsidRPr="006E0067" w:rsidRDefault="00B279AF" w:rsidP="009C2182">
            <w:pPr>
              <w:keepNext/>
              <w:spacing w:after="0"/>
              <w:ind w:right="57"/>
              <w:jc w:val="right"/>
              <w:rPr>
                <w:rFonts w:asciiTheme="minorHAnsi" w:hAnsiTheme="minorHAnsi" w:cstheme="minorHAnsi"/>
                <w:color w:val="000000"/>
                <w:sz w:val="20"/>
                <w:szCs w:val="20"/>
              </w:rPr>
            </w:pPr>
            <w:r w:rsidRPr="006E0067">
              <w:rPr>
                <w:rFonts w:asciiTheme="minorHAnsi" w:hAnsiTheme="minorHAnsi" w:cstheme="minorHAnsi"/>
                <w:color w:val="000000"/>
                <w:sz w:val="20"/>
                <w:szCs w:val="20"/>
              </w:rPr>
              <w:t>513 099 417,54</w:t>
            </w:r>
          </w:p>
        </w:tc>
      </w:tr>
      <w:tr w:rsidR="00180384" w:rsidRPr="00DC68F7" w14:paraId="02A3A192" w14:textId="77777777" w:rsidTr="00021041">
        <w:trPr>
          <w:trHeight w:val="255"/>
        </w:trPr>
        <w:tc>
          <w:tcPr>
            <w:tcW w:w="812" w:type="dxa"/>
            <w:tcBorders>
              <w:top w:val="nil"/>
              <w:left w:val="single" w:sz="4" w:space="0" w:color="auto"/>
              <w:bottom w:val="single" w:sz="4" w:space="0" w:color="auto"/>
              <w:right w:val="single" w:sz="4" w:space="0" w:color="auto"/>
            </w:tcBorders>
            <w:shd w:val="clear" w:color="auto" w:fill="auto"/>
            <w:noWrap/>
            <w:vAlign w:val="center"/>
          </w:tcPr>
          <w:p w14:paraId="1A0A4C81" w14:textId="77777777" w:rsidR="00180384" w:rsidRPr="00180384" w:rsidRDefault="00180384" w:rsidP="009C2182">
            <w:pPr>
              <w:keepNext/>
              <w:autoSpaceDE w:val="0"/>
              <w:autoSpaceDN w:val="0"/>
              <w:adjustRightInd w:val="0"/>
              <w:spacing w:after="0"/>
              <w:ind w:right="-57"/>
              <w:rPr>
                <w:rFonts w:eastAsiaTheme="minorHAnsi" w:cstheme="minorHAnsi"/>
                <w:sz w:val="20"/>
                <w:szCs w:val="20"/>
              </w:rPr>
            </w:pPr>
            <w:r>
              <w:rPr>
                <w:rFonts w:eastAsiaTheme="minorHAnsi" w:cstheme="minorHAnsi"/>
                <w:sz w:val="20"/>
                <w:szCs w:val="20"/>
              </w:rPr>
              <w:t>P.II.3.</w:t>
            </w:r>
          </w:p>
        </w:tc>
        <w:tc>
          <w:tcPr>
            <w:tcW w:w="6559" w:type="dxa"/>
            <w:tcBorders>
              <w:top w:val="nil"/>
              <w:left w:val="nil"/>
              <w:bottom w:val="single" w:sz="4" w:space="0" w:color="auto"/>
              <w:right w:val="single" w:sz="4" w:space="0" w:color="auto"/>
            </w:tcBorders>
            <w:shd w:val="clear" w:color="auto" w:fill="auto"/>
            <w:noWrap/>
            <w:vAlign w:val="center"/>
          </w:tcPr>
          <w:p w14:paraId="1825B952" w14:textId="77777777" w:rsidR="00180384" w:rsidRPr="00180384" w:rsidRDefault="00B279AF" w:rsidP="009C2182">
            <w:pPr>
              <w:keepNext/>
              <w:autoSpaceDE w:val="0"/>
              <w:autoSpaceDN w:val="0"/>
              <w:adjustRightInd w:val="0"/>
              <w:spacing w:after="0"/>
              <w:ind w:right="-57"/>
              <w:rPr>
                <w:rFonts w:eastAsiaTheme="minorHAnsi" w:cstheme="minorHAnsi"/>
                <w:sz w:val="20"/>
                <w:szCs w:val="20"/>
              </w:rPr>
            </w:pPr>
            <w:r w:rsidRPr="00B279AF">
              <w:rPr>
                <w:rFonts w:eastAsiaTheme="minorHAnsi" w:cstheme="minorHAnsi"/>
                <w:sz w:val="20"/>
                <w:szCs w:val="20"/>
              </w:rPr>
              <w:t>Krátkodobé podmíněné pohledávky ze zahraničních transferů</w:t>
            </w:r>
          </w:p>
        </w:tc>
        <w:tc>
          <w:tcPr>
            <w:tcW w:w="1701" w:type="dxa"/>
            <w:tcBorders>
              <w:top w:val="nil"/>
              <w:left w:val="nil"/>
              <w:bottom w:val="single" w:sz="4" w:space="0" w:color="auto"/>
              <w:right w:val="single" w:sz="4" w:space="0" w:color="auto"/>
            </w:tcBorders>
            <w:shd w:val="clear" w:color="auto" w:fill="auto"/>
            <w:vAlign w:val="center"/>
          </w:tcPr>
          <w:p w14:paraId="7A434B10" w14:textId="77777777" w:rsidR="00180384" w:rsidRPr="006E0067" w:rsidRDefault="00B279AF" w:rsidP="009C2182">
            <w:pPr>
              <w:keepNext/>
              <w:spacing w:after="0"/>
              <w:ind w:right="57"/>
              <w:jc w:val="right"/>
              <w:rPr>
                <w:rFonts w:asciiTheme="minorHAnsi" w:hAnsiTheme="minorHAnsi" w:cstheme="minorHAnsi"/>
                <w:color w:val="000000"/>
                <w:sz w:val="20"/>
                <w:szCs w:val="20"/>
              </w:rPr>
            </w:pPr>
            <w:r w:rsidRPr="006E0067">
              <w:rPr>
                <w:rFonts w:asciiTheme="minorHAnsi" w:hAnsiTheme="minorHAnsi" w:cstheme="minorHAnsi"/>
                <w:color w:val="000000"/>
                <w:sz w:val="20"/>
                <w:szCs w:val="20"/>
              </w:rPr>
              <w:t>476 417 166,96</w:t>
            </w:r>
          </w:p>
        </w:tc>
      </w:tr>
      <w:tr w:rsidR="00180384" w:rsidRPr="00DC68F7" w14:paraId="77AAB87C" w14:textId="77777777" w:rsidTr="00021041">
        <w:trPr>
          <w:trHeight w:val="255"/>
        </w:trPr>
        <w:tc>
          <w:tcPr>
            <w:tcW w:w="812" w:type="dxa"/>
            <w:tcBorders>
              <w:top w:val="nil"/>
              <w:left w:val="single" w:sz="4" w:space="0" w:color="auto"/>
              <w:bottom w:val="single" w:sz="4" w:space="0" w:color="auto"/>
              <w:right w:val="single" w:sz="4" w:space="0" w:color="auto"/>
            </w:tcBorders>
            <w:shd w:val="clear" w:color="auto" w:fill="auto"/>
            <w:noWrap/>
            <w:vAlign w:val="center"/>
          </w:tcPr>
          <w:p w14:paraId="5A7A2226" w14:textId="77777777" w:rsidR="00180384" w:rsidRDefault="00180384" w:rsidP="009C2182">
            <w:pPr>
              <w:keepNext/>
              <w:autoSpaceDE w:val="0"/>
              <w:autoSpaceDN w:val="0"/>
              <w:adjustRightInd w:val="0"/>
              <w:spacing w:after="0"/>
              <w:ind w:right="-57"/>
              <w:rPr>
                <w:rFonts w:eastAsiaTheme="minorHAnsi" w:cstheme="minorHAnsi"/>
                <w:sz w:val="20"/>
                <w:szCs w:val="20"/>
              </w:rPr>
            </w:pPr>
            <w:r>
              <w:rPr>
                <w:rFonts w:eastAsiaTheme="minorHAnsi" w:cstheme="minorHAnsi"/>
                <w:sz w:val="20"/>
                <w:szCs w:val="20"/>
              </w:rPr>
              <w:t>P.II.6.</w:t>
            </w:r>
          </w:p>
        </w:tc>
        <w:tc>
          <w:tcPr>
            <w:tcW w:w="6559" w:type="dxa"/>
            <w:tcBorders>
              <w:top w:val="nil"/>
              <w:left w:val="nil"/>
              <w:bottom w:val="single" w:sz="4" w:space="0" w:color="auto"/>
              <w:right w:val="single" w:sz="4" w:space="0" w:color="auto"/>
            </w:tcBorders>
            <w:shd w:val="clear" w:color="auto" w:fill="auto"/>
            <w:noWrap/>
            <w:vAlign w:val="center"/>
          </w:tcPr>
          <w:p w14:paraId="1A7CE9EB" w14:textId="0DDDEA04" w:rsidR="00180384" w:rsidRPr="00180384" w:rsidRDefault="00B279AF" w:rsidP="009C2182">
            <w:pPr>
              <w:keepNext/>
              <w:autoSpaceDE w:val="0"/>
              <w:autoSpaceDN w:val="0"/>
              <w:adjustRightInd w:val="0"/>
              <w:spacing w:after="0"/>
              <w:ind w:right="-57"/>
              <w:rPr>
                <w:rFonts w:eastAsiaTheme="minorHAnsi" w:cstheme="minorHAnsi"/>
                <w:sz w:val="20"/>
                <w:szCs w:val="20"/>
              </w:rPr>
            </w:pPr>
            <w:r w:rsidRPr="00B279AF">
              <w:rPr>
                <w:rFonts w:eastAsiaTheme="minorHAnsi" w:cstheme="minorHAnsi"/>
                <w:sz w:val="20"/>
                <w:szCs w:val="20"/>
              </w:rPr>
              <w:t>Ostatní krátkodobé podmíněné závazky z</w:t>
            </w:r>
            <w:r w:rsidR="00AE2EBB">
              <w:rPr>
                <w:rFonts w:eastAsiaTheme="minorHAnsi" w:cstheme="minorHAnsi"/>
                <w:sz w:val="20"/>
                <w:szCs w:val="20"/>
              </w:rPr>
              <w:t> </w:t>
            </w:r>
            <w:r w:rsidRPr="00B279AF">
              <w:rPr>
                <w:rFonts w:eastAsiaTheme="minorHAnsi" w:cstheme="minorHAnsi"/>
                <w:sz w:val="20"/>
                <w:szCs w:val="20"/>
              </w:rPr>
              <w:t>transferů</w:t>
            </w:r>
          </w:p>
        </w:tc>
        <w:tc>
          <w:tcPr>
            <w:tcW w:w="1701" w:type="dxa"/>
            <w:tcBorders>
              <w:top w:val="nil"/>
              <w:left w:val="nil"/>
              <w:bottom w:val="single" w:sz="4" w:space="0" w:color="auto"/>
              <w:right w:val="single" w:sz="4" w:space="0" w:color="auto"/>
            </w:tcBorders>
            <w:shd w:val="clear" w:color="auto" w:fill="auto"/>
            <w:vAlign w:val="center"/>
          </w:tcPr>
          <w:p w14:paraId="4526AC3F" w14:textId="77777777" w:rsidR="00180384" w:rsidRPr="006E0067" w:rsidRDefault="00B279AF" w:rsidP="009C2182">
            <w:pPr>
              <w:keepNext/>
              <w:spacing w:after="0"/>
              <w:ind w:right="57"/>
              <w:jc w:val="right"/>
              <w:rPr>
                <w:rFonts w:asciiTheme="minorHAnsi" w:hAnsiTheme="minorHAnsi" w:cstheme="minorHAnsi"/>
                <w:color w:val="000000"/>
                <w:sz w:val="20"/>
                <w:szCs w:val="20"/>
              </w:rPr>
            </w:pPr>
            <w:r w:rsidRPr="006E0067">
              <w:rPr>
                <w:rFonts w:asciiTheme="minorHAnsi" w:hAnsiTheme="minorHAnsi" w:cstheme="minorHAnsi"/>
                <w:color w:val="000000"/>
                <w:sz w:val="20"/>
                <w:szCs w:val="20"/>
              </w:rPr>
              <w:t>1 655 765 510,30</w:t>
            </w:r>
          </w:p>
        </w:tc>
      </w:tr>
      <w:tr w:rsidR="0050080C" w:rsidRPr="00DC68F7" w14:paraId="41986A63" w14:textId="77777777" w:rsidTr="00021041">
        <w:trPr>
          <w:trHeight w:val="255"/>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477D0" w14:textId="77777777" w:rsidR="003D2549" w:rsidRPr="00B279AF" w:rsidRDefault="00B279AF" w:rsidP="009C2182">
            <w:pPr>
              <w:keepNext/>
              <w:autoSpaceDE w:val="0"/>
              <w:autoSpaceDN w:val="0"/>
              <w:adjustRightInd w:val="0"/>
              <w:spacing w:after="0"/>
              <w:ind w:right="-57"/>
              <w:rPr>
                <w:rFonts w:eastAsiaTheme="minorHAnsi" w:cstheme="minorHAnsi"/>
                <w:sz w:val="20"/>
                <w:szCs w:val="20"/>
              </w:rPr>
            </w:pPr>
            <w:r w:rsidRPr="00B279AF">
              <w:rPr>
                <w:rFonts w:eastAsiaTheme="minorHAnsi" w:cstheme="minorHAnsi"/>
                <w:sz w:val="20"/>
                <w:szCs w:val="20"/>
              </w:rPr>
              <w:t>P.V.5</w:t>
            </w:r>
            <w:r w:rsidR="007E207B" w:rsidRPr="00B279AF">
              <w:rPr>
                <w:rFonts w:eastAsiaTheme="minorHAnsi" w:cstheme="minorHAnsi"/>
                <w:sz w:val="20"/>
                <w:szCs w:val="20"/>
              </w:rPr>
              <w:t>.</w:t>
            </w:r>
          </w:p>
        </w:tc>
        <w:tc>
          <w:tcPr>
            <w:tcW w:w="6559" w:type="dxa"/>
            <w:tcBorders>
              <w:top w:val="single" w:sz="4" w:space="0" w:color="auto"/>
              <w:left w:val="nil"/>
              <w:bottom w:val="single" w:sz="4" w:space="0" w:color="auto"/>
              <w:right w:val="single" w:sz="4" w:space="0" w:color="auto"/>
            </w:tcBorders>
            <w:shd w:val="clear" w:color="auto" w:fill="auto"/>
            <w:noWrap/>
            <w:vAlign w:val="center"/>
          </w:tcPr>
          <w:p w14:paraId="6E254FAF" w14:textId="5D88A906" w:rsidR="003D2549" w:rsidRPr="00DC68F7" w:rsidRDefault="00B279AF" w:rsidP="009C2182">
            <w:pPr>
              <w:keepNext/>
              <w:autoSpaceDE w:val="0"/>
              <w:autoSpaceDN w:val="0"/>
              <w:adjustRightInd w:val="0"/>
              <w:spacing w:after="0"/>
              <w:ind w:right="-57"/>
              <w:rPr>
                <w:rFonts w:eastAsiaTheme="minorHAnsi" w:cstheme="minorHAnsi"/>
                <w:sz w:val="20"/>
                <w:szCs w:val="20"/>
                <w:highlight w:val="yellow"/>
              </w:rPr>
            </w:pPr>
            <w:r w:rsidRPr="00B279AF">
              <w:rPr>
                <w:rFonts w:eastAsiaTheme="minorHAnsi" w:cstheme="minorHAnsi"/>
                <w:sz w:val="20"/>
                <w:szCs w:val="20"/>
              </w:rPr>
              <w:t>Ostatní dlouhodobé podmíněné pohledávky z</w:t>
            </w:r>
            <w:r w:rsidR="00AE2EBB">
              <w:rPr>
                <w:rFonts w:eastAsiaTheme="minorHAnsi" w:cstheme="minorHAnsi"/>
                <w:sz w:val="20"/>
                <w:szCs w:val="20"/>
              </w:rPr>
              <w:t> </w:t>
            </w:r>
            <w:r w:rsidRPr="00B279AF">
              <w:rPr>
                <w:rFonts w:eastAsiaTheme="minorHAnsi" w:cstheme="minorHAnsi"/>
                <w:sz w:val="20"/>
                <w:szCs w:val="20"/>
              </w:rPr>
              <w:t>transferů</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6EE6C9" w14:textId="77777777" w:rsidR="003D2549" w:rsidRPr="006E0067" w:rsidRDefault="00B279AF" w:rsidP="009C2182">
            <w:pPr>
              <w:keepNext/>
              <w:spacing w:after="0"/>
              <w:ind w:right="57"/>
              <w:jc w:val="right"/>
              <w:rPr>
                <w:rFonts w:asciiTheme="minorHAnsi" w:hAnsiTheme="minorHAnsi" w:cstheme="minorHAnsi"/>
                <w:color w:val="000000"/>
                <w:sz w:val="20"/>
                <w:szCs w:val="20"/>
              </w:rPr>
            </w:pPr>
            <w:r w:rsidRPr="006E0067">
              <w:rPr>
                <w:rFonts w:asciiTheme="minorHAnsi" w:hAnsiTheme="minorHAnsi" w:cstheme="minorHAnsi"/>
                <w:color w:val="000000"/>
                <w:sz w:val="20"/>
                <w:szCs w:val="20"/>
              </w:rPr>
              <w:t>2 562 369 000,00</w:t>
            </w:r>
          </w:p>
        </w:tc>
      </w:tr>
      <w:tr w:rsidR="0050080C" w:rsidRPr="00DC68F7" w14:paraId="1EDD3C17" w14:textId="77777777" w:rsidTr="00021041">
        <w:trPr>
          <w:trHeight w:val="255"/>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628BE" w14:textId="77777777" w:rsidR="003D2549" w:rsidRPr="00B279AF" w:rsidRDefault="00B279AF" w:rsidP="009C2182">
            <w:pPr>
              <w:keepNext/>
              <w:autoSpaceDE w:val="0"/>
              <w:autoSpaceDN w:val="0"/>
              <w:adjustRightInd w:val="0"/>
              <w:spacing w:after="0"/>
              <w:ind w:right="-57"/>
              <w:rPr>
                <w:rFonts w:eastAsiaTheme="minorHAnsi" w:cstheme="minorHAnsi"/>
                <w:sz w:val="20"/>
                <w:szCs w:val="20"/>
              </w:rPr>
            </w:pPr>
            <w:r w:rsidRPr="00B279AF">
              <w:rPr>
                <w:rFonts w:eastAsiaTheme="minorHAnsi" w:cstheme="minorHAnsi"/>
                <w:sz w:val="20"/>
                <w:szCs w:val="20"/>
              </w:rPr>
              <w:t>P.V.6</w:t>
            </w:r>
            <w:r w:rsidR="00D62D53" w:rsidRPr="00B279AF">
              <w:rPr>
                <w:rFonts w:eastAsiaTheme="minorHAnsi" w:cstheme="minorHAnsi"/>
                <w:sz w:val="20"/>
                <w:szCs w:val="20"/>
              </w:rPr>
              <w:t>.</w:t>
            </w:r>
          </w:p>
        </w:tc>
        <w:tc>
          <w:tcPr>
            <w:tcW w:w="6559" w:type="dxa"/>
            <w:tcBorders>
              <w:top w:val="single" w:sz="4" w:space="0" w:color="auto"/>
              <w:left w:val="nil"/>
              <w:bottom w:val="single" w:sz="4" w:space="0" w:color="auto"/>
              <w:right w:val="single" w:sz="4" w:space="0" w:color="auto"/>
            </w:tcBorders>
            <w:shd w:val="clear" w:color="auto" w:fill="auto"/>
            <w:noWrap/>
            <w:vAlign w:val="center"/>
          </w:tcPr>
          <w:p w14:paraId="2BC5AD28" w14:textId="004FC11B" w:rsidR="003D2549" w:rsidRPr="00DC68F7" w:rsidRDefault="00B279AF" w:rsidP="009C2182">
            <w:pPr>
              <w:keepNext/>
              <w:autoSpaceDE w:val="0"/>
              <w:autoSpaceDN w:val="0"/>
              <w:adjustRightInd w:val="0"/>
              <w:spacing w:after="0"/>
              <w:ind w:right="-57"/>
              <w:rPr>
                <w:rFonts w:eastAsiaTheme="minorHAnsi" w:cstheme="minorHAnsi"/>
                <w:sz w:val="20"/>
                <w:szCs w:val="20"/>
                <w:highlight w:val="yellow"/>
              </w:rPr>
            </w:pPr>
            <w:r w:rsidRPr="00B279AF">
              <w:rPr>
                <w:rFonts w:eastAsiaTheme="minorHAnsi" w:cstheme="minorHAnsi"/>
                <w:sz w:val="20"/>
                <w:szCs w:val="20"/>
              </w:rPr>
              <w:t>Ostatní dlouhodobé podmíněné závazky z</w:t>
            </w:r>
            <w:r w:rsidR="00AE2EBB">
              <w:rPr>
                <w:rFonts w:eastAsiaTheme="minorHAnsi" w:cstheme="minorHAnsi"/>
                <w:sz w:val="20"/>
                <w:szCs w:val="20"/>
              </w:rPr>
              <w:t> </w:t>
            </w:r>
            <w:r w:rsidRPr="00B279AF">
              <w:rPr>
                <w:rFonts w:eastAsiaTheme="minorHAnsi" w:cstheme="minorHAnsi"/>
                <w:sz w:val="20"/>
                <w:szCs w:val="20"/>
              </w:rPr>
              <w:t>transferů</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90B0D8" w14:textId="77777777" w:rsidR="003D2549" w:rsidRPr="006E0067" w:rsidRDefault="00B279AF" w:rsidP="009C2182">
            <w:pPr>
              <w:keepNext/>
              <w:spacing w:after="0"/>
              <w:ind w:right="57"/>
              <w:jc w:val="right"/>
              <w:rPr>
                <w:rFonts w:asciiTheme="minorHAnsi" w:hAnsiTheme="minorHAnsi" w:cstheme="minorHAnsi"/>
                <w:color w:val="000000"/>
                <w:sz w:val="20"/>
                <w:szCs w:val="20"/>
              </w:rPr>
            </w:pPr>
            <w:r w:rsidRPr="006E0067">
              <w:rPr>
                <w:rFonts w:asciiTheme="minorHAnsi" w:hAnsiTheme="minorHAnsi" w:cstheme="minorHAnsi"/>
                <w:color w:val="000000"/>
                <w:sz w:val="20"/>
                <w:szCs w:val="20"/>
              </w:rPr>
              <w:t>33 782 168 127,15</w:t>
            </w:r>
          </w:p>
        </w:tc>
      </w:tr>
      <w:tr w:rsidR="007E207B" w:rsidRPr="00DC68F7" w14:paraId="3D58199C" w14:textId="77777777" w:rsidTr="00021041">
        <w:trPr>
          <w:trHeight w:val="255"/>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70E3B" w14:textId="77777777" w:rsidR="007E207B" w:rsidRPr="00DC68F7" w:rsidRDefault="00D62D53" w:rsidP="009C2182">
            <w:pPr>
              <w:keepNext/>
              <w:autoSpaceDE w:val="0"/>
              <w:autoSpaceDN w:val="0"/>
              <w:adjustRightInd w:val="0"/>
              <w:spacing w:after="0"/>
              <w:ind w:right="-57"/>
              <w:rPr>
                <w:rFonts w:eastAsiaTheme="minorHAnsi" w:cstheme="minorHAnsi"/>
                <w:sz w:val="20"/>
                <w:szCs w:val="20"/>
                <w:highlight w:val="yellow"/>
              </w:rPr>
            </w:pPr>
            <w:r w:rsidRPr="00B279AF">
              <w:rPr>
                <w:rFonts w:eastAsiaTheme="minorHAnsi" w:cstheme="minorHAnsi"/>
                <w:sz w:val="20"/>
                <w:szCs w:val="20"/>
              </w:rPr>
              <w:t>P.V</w:t>
            </w:r>
            <w:r w:rsidR="00B279AF" w:rsidRPr="00B279AF">
              <w:rPr>
                <w:rFonts w:eastAsiaTheme="minorHAnsi" w:cstheme="minorHAnsi"/>
                <w:sz w:val="20"/>
                <w:szCs w:val="20"/>
              </w:rPr>
              <w:t>I</w:t>
            </w:r>
            <w:r w:rsidRPr="00B279AF">
              <w:rPr>
                <w:rFonts w:eastAsiaTheme="minorHAnsi" w:cstheme="minorHAnsi"/>
                <w:sz w:val="20"/>
                <w:szCs w:val="20"/>
              </w:rPr>
              <w:t>.</w:t>
            </w:r>
            <w:r w:rsidR="00B279AF" w:rsidRPr="00B279AF">
              <w:rPr>
                <w:rFonts w:eastAsiaTheme="minorHAnsi" w:cstheme="minorHAnsi"/>
                <w:sz w:val="20"/>
                <w:szCs w:val="20"/>
              </w:rPr>
              <w:t>8</w:t>
            </w:r>
            <w:r w:rsidRPr="00B279AF">
              <w:rPr>
                <w:rFonts w:eastAsiaTheme="minorHAnsi" w:cstheme="minorHAnsi"/>
                <w:sz w:val="20"/>
                <w:szCs w:val="20"/>
              </w:rPr>
              <w:t>.</w:t>
            </w:r>
          </w:p>
        </w:tc>
        <w:tc>
          <w:tcPr>
            <w:tcW w:w="6559" w:type="dxa"/>
            <w:tcBorders>
              <w:top w:val="single" w:sz="4" w:space="0" w:color="auto"/>
              <w:left w:val="nil"/>
              <w:bottom w:val="single" w:sz="4" w:space="0" w:color="auto"/>
              <w:right w:val="single" w:sz="4" w:space="0" w:color="auto"/>
            </w:tcBorders>
            <w:shd w:val="clear" w:color="auto" w:fill="auto"/>
            <w:noWrap/>
            <w:vAlign w:val="center"/>
          </w:tcPr>
          <w:p w14:paraId="2EC9B90A" w14:textId="77777777" w:rsidR="007E207B" w:rsidRPr="00DC68F7" w:rsidRDefault="00A4077C" w:rsidP="009C2182">
            <w:pPr>
              <w:keepNext/>
              <w:autoSpaceDE w:val="0"/>
              <w:autoSpaceDN w:val="0"/>
              <w:adjustRightInd w:val="0"/>
              <w:spacing w:after="0"/>
              <w:ind w:right="-57"/>
              <w:rPr>
                <w:rFonts w:eastAsiaTheme="minorHAnsi" w:cstheme="minorHAnsi"/>
                <w:sz w:val="20"/>
                <w:szCs w:val="20"/>
                <w:highlight w:val="yellow"/>
              </w:rPr>
            </w:pPr>
            <w:r w:rsidRPr="00A4077C">
              <w:rPr>
                <w:rFonts w:eastAsiaTheme="minorHAnsi" w:cstheme="minorHAnsi"/>
                <w:sz w:val="20"/>
                <w:szCs w:val="20"/>
              </w:rPr>
              <w:t>Dlouhodobé podmíněné závazky z důvodu užívání cizího majetku nebo jeho převzetí z jiných důvodů</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CC72AD" w14:textId="77777777" w:rsidR="00B279AF" w:rsidRPr="006E0067" w:rsidRDefault="00B279AF" w:rsidP="009C2182">
            <w:pPr>
              <w:keepNext/>
              <w:spacing w:after="0"/>
              <w:ind w:right="57"/>
              <w:jc w:val="right"/>
              <w:rPr>
                <w:rFonts w:asciiTheme="minorHAnsi" w:hAnsiTheme="minorHAnsi" w:cstheme="minorHAnsi"/>
                <w:color w:val="000000"/>
                <w:sz w:val="20"/>
                <w:szCs w:val="20"/>
              </w:rPr>
            </w:pPr>
            <w:r w:rsidRPr="006E0067">
              <w:rPr>
                <w:rFonts w:asciiTheme="minorHAnsi" w:hAnsiTheme="minorHAnsi" w:cstheme="minorHAnsi"/>
                <w:color w:val="000000"/>
                <w:sz w:val="20"/>
                <w:szCs w:val="20"/>
              </w:rPr>
              <w:t>1 000 000,00</w:t>
            </w:r>
          </w:p>
        </w:tc>
      </w:tr>
      <w:tr w:rsidR="00B279AF" w:rsidRPr="00DC68F7" w14:paraId="256AA09B" w14:textId="77777777" w:rsidTr="00021041">
        <w:trPr>
          <w:trHeight w:val="255"/>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B4970" w14:textId="77777777" w:rsidR="00B279AF" w:rsidRPr="00B279AF" w:rsidRDefault="00B279AF" w:rsidP="009C2182">
            <w:pPr>
              <w:keepNext/>
              <w:autoSpaceDE w:val="0"/>
              <w:autoSpaceDN w:val="0"/>
              <w:adjustRightInd w:val="0"/>
              <w:spacing w:after="0"/>
              <w:ind w:right="-57"/>
              <w:rPr>
                <w:rFonts w:eastAsiaTheme="minorHAnsi" w:cstheme="minorHAnsi"/>
                <w:sz w:val="20"/>
                <w:szCs w:val="20"/>
              </w:rPr>
            </w:pPr>
            <w:r w:rsidRPr="00B279AF">
              <w:rPr>
                <w:rFonts w:eastAsiaTheme="minorHAnsi" w:cstheme="minorHAnsi"/>
                <w:sz w:val="20"/>
                <w:szCs w:val="20"/>
              </w:rPr>
              <w:t>P.VII.2.</w:t>
            </w:r>
          </w:p>
        </w:tc>
        <w:tc>
          <w:tcPr>
            <w:tcW w:w="6559" w:type="dxa"/>
            <w:tcBorders>
              <w:top w:val="single" w:sz="4" w:space="0" w:color="auto"/>
              <w:left w:val="nil"/>
              <w:bottom w:val="single" w:sz="4" w:space="0" w:color="auto"/>
              <w:right w:val="single" w:sz="4" w:space="0" w:color="auto"/>
            </w:tcBorders>
            <w:shd w:val="clear" w:color="auto" w:fill="auto"/>
            <w:noWrap/>
            <w:vAlign w:val="center"/>
          </w:tcPr>
          <w:p w14:paraId="329D50BD" w14:textId="77777777" w:rsidR="00B279AF" w:rsidRPr="00DC68F7" w:rsidRDefault="00A4077C" w:rsidP="009C2182">
            <w:pPr>
              <w:keepNext/>
              <w:autoSpaceDE w:val="0"/>
              <w:autoSpaceDN w:val="0"/>
              <w:adjustRightInd w:val="0"/>
              <w:spacing w:after="0"/>
              <w:ind w:right="-57"/>
              <w:rPr>
                <w:rFonts w:eastAsiaTheme="minorHAnsi" w:cstheme="minorHAnsi"/>
                <w:sz w:val="20"/>
                <w:szCs w:val="20"/>
                <w:highlight w:val="yellow"/>
              </w:rPr>
            </w:pPr>
            <w:r w:rsidRPr="00A4077C">
              <w:rPr>
                <w:rFonts w:eastAsiaTheme="minorHAnsi" w:cstheme="minorHAnsi"/>
                <w:sz w:val="20"/>
                <w:szCs w:val="20"/>
              </w:rPr>
              <w:t>Dlouhodobé podmíněné závazky ze smluv o pořízení dlouhodobého majetku</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2F30A9" w14:textId="77777777" w:rsidR="00B279AF" w:rsidRPr="006E0067" w:rsidRDefault="00B279AF" w:rsidP="009C2182">
            <w:pPr>
              <w:keepNext/>
              <w:spacing w:after="0"/>
              <w:ind w:right="57"/>
              <w:jc w:val="right"/>
              <w:rPr>
                <w:rFonts w:asciiTheme="minorHAnsi" w:hAnsiTheme="minorHAnsi" w:cstheme="minorHAnsi"/>
                <w:color w:val="000000"/>
                <w:sz w:val="20"/>
                <w:szCs w:val="20"/>
              </w:rPr>
            </w:pPr>
            <w:r w:rsidRPr="006E0067">
              <w:rPr>
                <w:rFonts w:asciiTheme="minorHAnsi" w:hAnsiTheme="minorHAnsi" w:cstheme="minorHAnsi"/>
                <w:color w:val="000000"/>
                <w:sz w:val="20"/>
                <w:szCs w:val="20"/>
              </w:rPr>
              <w:t>5 496 297 274,94</w:t>
            </w:r>
          </w:p>
        </w:tc>
      </w:tr>
      <w:tr w:rsidR="00B279AF" w:rsidRPr="00DC68F7" w14:paraId="2167AC4A" w14:textId="77777777" w:rsidTr="00021041">
        <w:trPr>
          <w:trHeight w:val="255"/>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032A7" w14:textId="77777777" w:rsidR="00B279AF" w:rsidRPr="00B279AF" w:rsidRDefault="00B279AF" w:rsidP="009C2182">
            <w:pPr>
              <w:keepNext/>
              <w:autoSpaceDE w:val="0"/>
              <w:autoSpaceDN w:val="0"/>
              <w:adjustRightInd w:val="0"/>
              <w:spacing w:after="0"/>
              <w:ind w:right="-57"/>
              <w:rPr>
                <w:rFonts w:eastAsiaTheme="minorHAnsi" w:cstheme="minorHAnsi"/>
                <w:sz w:val="20"/>
                <w:szCs w:val="20"/>
              </w:rPr>
            </w:pPr>
            <w:r w:rsidRPr="00B279AF">
              <w:rPr>
                <w:rFonts w:eastAsiaTheme="minorHAnsi" w:cstheme="minorHAnsi"/>
                <w:sz w:val="20"/>
                <w:szCs w:val="20"/>
              </w:rPr>
              <w:t>P.VII.3.</w:t>
            </w:r>
          </w:p>
        </w:tc>
        <w:tc>
          <w:tcPr>
            <w:tcW w:w="6559" w:type="dxa"/>
            <w:tcBorders>
              <w:top w:val="single" w:sz="4" w:space="0" w:color="auto"/>
              <w:left w:val="nil"/>
              <w:bottom w:val="single" w:sz="4" w:space="0" w:color="auto"/>
              <w:right w:val="single" w:sz="4" w:space="0" w:color="auto"/>
            </w:tcBorders>
            <w:shd w:val="clear" w:color="auto" w:fill="auto"/>
            <w:noWrap/>
            <w:vAlign w:val="center"/>
          </w:tcPr>
          <w:p w14:paraId="4AC3EA10" w14:textId="77777777" w:rsidR="00B279AF" w:rsidRPr="00DC68F7" w:rsidRDefault="00A4077C" w:rsidP="009C2182">
            <w:pPr>
              <w:keepNext/>
              <w:autoSpaceDE w:val="0"/>
              <w:autoSpaceDN w:val="0"/>
              <w:adjustRightInd w:val="0"/>
              <w:spacing w:after="0"/>
              <w:ind w:right="-57"/>
              <w:rPr>
                <w:rFonts w:eastAsiaTheme="minorHAnsi" w:cstheme="minorHAnsi"/>
                <w:sz w:val="20"/>
                <w:szCs w:val="20"/>
                <w:highlight w:val="yellow"/>
              </w:rPr>
            </w:pPr>
            <w:r w:rsidRPr="00A4077C">
              <w:rPr>
                <w:rFonts w:eastAsiaTheme="minorHAnsi" w:cstheme="minorHAnsi"/>
                <w:sz w:val="20"/>
                <w:szCs w:val="20"/>
              </w:rPr>
              <w:t>Krátkodobé podmíněné závazky z jiných smluv</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F746E5" w14:textId="77777777" w:rsidR="00B279AF" w:rsidRPr="006E0067" w:rsidRDefault="00B279AF" w:rsidP="009C2182">
            <w:pPr>
              <w:keepNext/>
              <w:spacing w:after="0"/>
              <w:ind w:right="57"/>
              <w:jc w:val="right"/>
              <w:rPr>
                <w:rFonts w:asciiTheme="minorHAnsi" w:hAnsiTheme="minorHAnsi" w:cstheme="minorHAnsi"/>
                <w:color w:val="000000"/>
                <w:sz w:val="20"/>
                <w:szCs w:val="20"/>
              </w:rPr>
            </w:pPr>
            <w:r w:rsidRPr="006E0067">
              <w:rPr>
                <w:rFonts w:asciiTheme="minorHAnsi" w:hAnsiTheme="minorHAnsi" w:cstheme="minorHAnsi"/>
                <w:color w:val="000000"/>
                <w:sz w:val="20"/>
                <w:szCs w:val="20"/>
              </w:rPr>
              <w:t>30 298 400,00</w:t>
            </w:r>
          </w:p>
        </w:tc>
      </w:tr>
      <w:tr w:rsidR="0050080C" w:rsidRPr="00DC68F7" w14:paraId="20F2AC10" w14:textId="77777777" w:rsidTr="00021041">
        <w:trPr>
          <w:trHeight w:val="255"/>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95858" w14:textId="77777777" w:rsidR="003D2549" w:rsidRPr="00DC68F7" w:rsidRDefault="00D62D53" w:rsidP="009C2182">
            <w:pPr>
              <w:keepNext/>
              <w:autoSpaceDE w:val="0"/>
              <w:autoSpaceDN w:val="0"/>
              <w:adjustRightInd w:val="0"/>
              <w:spacing w:after="0"/>
              <w:ind w:right="-57"/>
              <w:rPr>
                <w:rFonts w:eastAsiaTheme="minorHAnsi" w:cstheme="minorHAnsi"/>
                <w:sz w:val="20"/>
                <w:szCs w:val="20"/>
                <w:highlight w:val="yellow"/>
              </w:rPr>
            </w:pPr>
            <w:r w:rsidRPr="00B279AF">
              <w:rPr>
                <w:rFonts w:eastAsiaTheme="minorHAnsi" w:cstheme="minorHAnsi"/>
                <w:sz w:val="20"/>
                <w:szCs w:val="20"/>
              </w:rPr>
              <w:t>P.VII.4.</w:t>
            </w:r>
          </w:p>
        </w:tc>
        <w:tc>
          <w:tcPr>
            <w:tcW w:w="6559" w:type="dxa"/>
            <w:tcBorders>
              <w:top w:val="single" w:sz="4" w:space="0" w:color="auto"/>
              <w:left w:val="nil"/>
              <w:bottom w:val="single" w:sz="4" w:space="0" w:color="auto"/>
              <w:right w:val="single" w:sz="4" w:space="0" w:color="auto"/>
            </w:tcBorders>
            <w:shd w:val="clear" w:color="auto" w:fill="auto"/>
            <w:noWrap/>
            <w:vAlign w:val="center"/>
          </w:tcPr>
          <w:p w14:paraId="15CEEA0F" w14:textId="77777777" w:rsidR="003D2549" w:rsidRPr="00DC68F7" w:rsidRDefault="007E207B" w:rsidP="009C2182">
            <w:pPr>
              <w:keepNext/>
              <w:autoSpaceDE w:val="0"/>
              <w:autoSpaceDN w:val="0"/>
              <w:adjustRightInd w:val="0"/>
              <w:spacing w:after="0"/>
              <w:ind w:right="-57"/>
              <w:rPr>
                <w:rFonts w:eastAsiaTheme="minorHAnsi" w:cstheme="minorHAnsi"/>
                <w:sz w:val="20"/>
                <w:szCs w:val="20"/>
                <w:highlight w:val="yellow"/>
              </w:rPr>
            </w:pPr>
            <w:r w:rsidRPr="00B279AF">
              <w:rPr>
                <w:rFonts w:eastAsiaTheme="minorHAnsi" w:cstheme="minorHAnsi"/>
                <w:sz w:val="20"/>
                <w:szCs w:val="20"/>
              </w:rPr>
              <w:t>Dlouhodobé podmíněné závazky z jiných smluv</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F5FCDE" w14:textId="77777777" w:rsidR="003D2549" w:rsidRPr="006E0067" w:rsidRDefault="007E207B" w:rsidP="009C2182">
            <w:pPr>
              <w:keepNext/>
              <w:spacing w:after="0"/>
              <w:ind w:right="57"/>
              <w:jc w:val="right"/>
              <w:rPr>
                <w:rFonts w:asciiTheme="minorHAnsi" w:hAnsiTheme="minorHAnsi" w:cstheme="minorHAnsi"/>
                <w:color w:val="000000"/>
                <w:sz w:val="20"/>
                <w:szCs w:val="20"/>
              </w:rPr>
            </w:pPr>
            <w:r w:rsidRPr="006E0067">
              <w:rPr>
                <w:rFonts w:asciiTheme="minorHAnsi" w:hAnsiTheme="minorHAnsi" w:cstheme="minorHAnsi"/>
                <w:color w:val="000000"/>
                <w:sz w:val="20"/>
                <w:szCs w:val="20"/>
              </w:rPr>
              <w:t>1</w:t>
            </w:r>
            <w:r w:rsidR="00B279AF" w:rsidRPr="006E0067">
              <w:rPr>
                <w:rFonts w:asciiTheme="minorHAnsi" w:hAnsiTheme="minorHAnsi" w:cstheme="minorHAnsi"/>
                <w:color w:val="000000"/>
                <w:sz w:val="20"/>
                <w:szCs w:val="20"/>
              </w:rPr>
              <w:t> 663 076 337,85</w:t>
            </w:r>
          </w:p>
        </w:tc>
      </w:tr>
    </w:tbl>
    <w:p w14:paraId="18BFAC5E" w14:textId="77777777" w:rsidR="00494B0F" w:rsidRPr="00A4077C" w:rsidRDefault="00A640AE" w:rsidP="008D6D79">
      <w:pPr>
        <w:spacing w:before="40" w:after="0"/>
        <w:rPr>
          <w:sz w:val="20"/>
        </w:rPr>
      </w:pPr>
      <w:r w:rsidRPr="00A4077C">
        <w:rPr>
          <w:b/>
          <w:sz w:val="20"/>
        </w:rPr>
        <w:t>Zdroj:</w:t>
      </w:r>
      <w:r w:rsidRPr="00A4077C">
        <w:rPr>
          <w:sz w:val="20"/>
        </w:rPr>
        <w:t xml:space="preserve"> </w:t>
      </w:r>
      <w:r w:rsidR="000B3825" w:rsidRPr="00A4077C">
        <w:rPr>
          <w:sz w:val="20"/>
        </w:rPr>
        <w:t>ÚZ</w:t>
      </w:r>
      <w:r w:rsidRPr="00A4077C">
        <w:rPr>
          <w:sz w:val="20"/>
        </w:rPr>
        <w:t>.</w:t>
      </w:r>
    </w:p>
    <w:p w14:paraId="0C4461BA" w14:textId="77777777" w:rsidR="00494B0F" w:rsidRPr="00DC68F7" w:rsidRDefault="00494B0F" w:rsidP="007C7C81">
      <w:pPr>
        <w:spacing w:after="0"/>
        <w:rPr>
          <w:highlight w:val="yellow"/>
        </w:rPr>
      </w:pPr>
    </w:p>
    <w:p w14:paraId="3665CC4D" w14:textId="77777777" w:rsidR="00494B0F" w:rsidRPr="00A4077C" w:rsidRDefault="00A640AE" w:rsidP="00B41D61">
      <w:pPr>
        <w:keepNext/>
        <w:spacing w:after="40"/>
        <w:rPr>
          <w:rFonts w:cs="Arial"/>
          <w:b/>
        </w:rPr>
      </w:pPr>
      <w:r w:rsidRPr="00A4077C">
        <w:rPr>
          <w:rFonts w:cs="Arial"/>
          <w:b/>
        </w:rPr>
        <w:t xml:space="preserve">Tabulka č. </w:t>
      </w:r>
      <w:r w:rsidR="0037310D">
        <w:rPr>
          <w:rFonts w:cs="Arial"/>
          <w:b/>
        </w:rPr>
        <w:t>3</w:t>
      </w:r>
      <w:r w:rsidRPr="00A4077C">
        <w:rPr>
          <w:rFonts w:cs="Arial"/>
          <w:b/>
        </w:rPr>
        <w:t>:</w:t>
      </w:r>
      <w:r w:rsidRPr="00A4077C">
        <w:rPr>
          <w:rFonts w:cs="Arial"/>
        </w:rPr>
        <w:t xml:space="preserve"> </w:t>
      </w:r>
      <w:r w:rsidRPr="00A4077C">
        <w:rPr>
          <w:rFonts w:cs="Arial"/>
          <w:b/>
        </w:rPr>
        <w:t xml:space="preserve">Údaje z výkazu </w:t>
      </w:r>
      <w:r w:rsidR="00D16053" w:rsidRPr="00A4077C">
        <w:rPr>
          <w:rFonts w:cs="Arial"/>
          <w:b/>
        </w:rPr>
        <w:t>FIN 1-12 OSS</w:t>
      </w:r>
    </w:p>
    <w:tbl>
      <w:tblPr>
        <w:tblW w:w="907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4535"/>
        <w:gridCol w:w="4535"/>
      </w:tblGrid>
      <w:tr w:rsidR="0050080C" w:rsidRPr="00DC68F7" w14:paraId="55B001C5" w14:textId="77777777" w:rsidTr="00021041">
        <w:trPr>
          <w:trHeight w:val="255"/>
        </w:trPr>
        <w:tc>
          <w:tcPr>
            <w:tcW w:w="4535" w:type="dxa"/>
            <w:shd w:val="clear" w:color="auto" w:fill="E5F1FF"/>
            <w:noWrap/>
            <w:vAlign w:val="center"/>
            <w:hideMark/>
          </w:tcPr>
          <w:p w14:paraId="7A5B747F" w14:textId="77777777" w:rsidR="00494B0F" w:rsidRPr="00A4077C" w:rsidRDefault="00A640AE" w:rsidP="00B41D61">
            <w:pPr>
              <w:keepNext/>
              <w:spacing w:after="0"/>
              <w:jc w:val="center"/>
              <w:rPr>
                <w:rFonts w:cs="Arial"/>
                <w:b/>
                <w:bCs/>
                <w:sz w:val="20"/>
              </w:rPr>
            </w:pPr>
            <w:r w:rsidRPr="00A4077C">
              <w:rPr>
                <w:rFonts w:cs="Arial"/>
                <w:b/>
                <w:bCs/>
                <w:sz w:val="20"/>
              </w:rPr>
              <w:t>Ukazatel</w:t>
            </w:r>
          </w:p>
        </w:tc>
        <w:tc>
          <w:tcPr>
            <w:tcW w:w="4535" w:type="dxa"/>
            <w:shd w:val="clear" w:color="auto" w:fill="E5F1FF"/>
            <w:noWrap/>
            <w:vAlign w:val="center"/>
            <w:hideMark/>
          </w:tcPr>
          <w:p w14:paraId="219113C4" w14:textId="77777777" w:rsidR="00494B0F" w:rsidRPr="00A4077C" w:rsidRDefault="00A640AE" w:rsidP="00B41D61">
            <w:pPr>
              <w:keepNext/>
              <w:spacing w:after="0"/>
              <w:jc w:val="center"/>
              <w:rPr>
                <w:rFonts w:cs="Arial"/>
                <w:b/>
                <w:bCs/>
                <w:sz w:val="20"/>
              </w:rPr>
            </w:pPr>
            <w:r w:rsidRPr="00A4077C">
              <w:rPr>
                <w:rFonts w:cs="Arial"/>
                <w:b/>
                <w:bCs/>
                <w:sz w:val="20"/>
              </w:rPr>
              <w:t>Částka v</w:t>
            </w:r>
            <w:r w:rsidR="009F3233">
              <w:rPr>
                <w:rFonts w:cs="Arial"/>
                <w:b/>
                <w:bCs/>
                <w:sz w:val="20"/>
              </w:rPr>
              <w:t> </w:t>
            </w:r>
            <w:r w:rsidRPr="00A4077C">
              <w:rPr>
                <w:rFonts w:cs="Arial"/>
                <w:b/>
                <w:bCs/>
                <w:sz w:val="20"/>
              </w:rPr>
              <w:t>Kč</w:t>
            </w:r>
          </w:p>
        </w:tc>
      </w:tr>
      <w:tr w:rsidR="00D16053" w:rsidRPr="00DC68F7" w14:paraId="5448E1E5" w14:textId="77777777" w:rsidTr="00021041">
        <w:trPr>
          <w:trHeight w:val="255"/>
        </w:trPr>
        <w:tc>
          <w:tcPr>
            <w:tcW w:w="4535" w:type="dxa"/>
            <w:shd w:val="clear" w:color="auto" w:fill="auto"/>
            <w:noWrap/>
            <w:vAlign w:val="center"/>
            <w:hideMark/>
          </w:tcPr>
          <w:p w14:paraId="5C40CBEA" w14:textId="77777777" w:rsidR="00D16053" w:rsidRPr="00A4077C" w:rsidRDefault="00D16053" w:rsidP="00B41D61">
            <w:pPr>
              <w:keepNext/>
              <w:spacing w:after="0"/>
              <w:rPr>
                <w:rFonts w:cs="Arial"/>
                <w:sz w:val="20"/>
              </w:rPr>
            </w:pPr>
            <w:r w:rsidRPr="00A4077C">
              <w:rPr>
                <w:rFonts w:cs="Arial"/>
                <w:sz w:val="20"/>
              </w:rPr>
              <w:t>Příjmy (skutečnost celkem)</w:t>
            </w:r>
          </w:p>
        </w:tc>
        <w:tc>
          <w:tcPr>
            <w:tcW w:w="4535" w:type="dxa"/>
            <w:shd w:val="clear" w:color="auto" w:fill="auto"/>
            <w:noWrap/>
            <w:vAlign w:val="center"/>
          </w:tcPr>
          <w:p w14:paraId="3CDBB8AF" w14:textId="77777777" w:rsidR="00D16053" w:rsidRPr="00DC68F7" w:rsidRDefault="005322AA" w:rsidP="00B41D61">
            <w:pPr>
              <w:keepNext/>
              <w:spacing w:after="0"/>
              <w:ind w:right="57"/>
              <w:jc w:val="right"/>
              <w:rPr>
                <w:rFonts w:cs="Arial"/>
                <w:sz w:val="20"/>
                <w:highlight w:val="yellow"/>
              </w:rPr>
            </w:pPr>
            <w:r w:rsidRPr="005322AA">
              <w:rPr>
                <w:rFonts w:cs="Arial"/>
                <w:color w:val="000000"/>
                <w:sz w:val="20"/>
              </w:rPr>
              <w:t>25 623 005 721,47</w:t>
            </w:r>
          </w:p>
        </w:tc>
      </w:tr>
      <w:tr w:rsidR="00D16053" w:rsidRPr="00DC68F7" w14:paraId="5106DAEB" w14:textId="77777777" w:rsidTr="00021041">
        <w:trPr>
          <w:trHeight w:val="255"/>
        </w:trPr>
        <w:tc>
          <w:tcPr>
            <w:tcW w:w="4535" w:type="dxa"/>
            <w:shd w:val="clear" w:color="auto" w:fill="auto"/>
            <w:noWrap/>
            <w:vAlign w:val="center"/>
            <w:hideMark/>
          </w:tcPr>
          <w:p w14:paraId="0B0F039C" w14:textId="77777777" w:rsidR="00D16053" w:rsidRPr="00A4077C" w:rsidRDefault="00D16053" w:rsidP="00B41D61">
            <w:pPr>
              <w:keepNext/>
              <w:spacing w:after="0"/>
              <w:rPr>
                <w:rFonts w:cs="Arial"/>
                <w:sz w:val="20"/>
              </w:rPr>
            </w:pPr>
            <w:r w:rsidRPr="00A4077C">
              <w:rPr>
                <w:rFonts w:cs="Arial"/>
                <w:sz w:val="20"/>
              </w:rPr>
              <w:t>Výdaje (skutečnost celkem)</w:t>
            </w:r>
          </w:p>
        </w:tc>
        <w:tc>
          <w:tcPr>
            <w:tcW w:w="4535" w:type="dxa"/>
            <w:shd w:val="clear" w:color="auto" w:fill="auto"/>
            <w:noWrap/>
            <w:vAlign w:val="center"/>
          </w:tcPr>
          <w:p w14:paraId="5A0A1CFC" w14:textId="77777777" w:rsidR="00D16053" w:rsidRPr="00DC68F7" w:rsidRDefault="005322AA" w:rsidP="00B41D61">
            <w:pPr>
              <w:keepNext/>
              <w:spacing w:after="0"/>
              <w:ind w:right="57"/>
              <w:jc w:val="right"/>
              <w:rPr>
                <w:rFonts w:cs="Arial"/>
                <w:sz w:val="20"/>
                <w:highlight w:val="yellow"/>
              </w:rPr>
            </w:pPr>
            <w:r w:rsidRPr="005322AA">
              <w:rPr>
                <w:rFonts w:cs="Arial"/>
                <w:color w:val="000000"/>
                <w:sz w:val="20"/>
              </w:rPr>
              <w:t>59 589 141 370,27</w:t>
            </w:r>
          </w:p>
        </w:tc>
      </w:tr>
    </w:tbl>
    <w:p w14:paraId="0F094E61" w14:textId="77777777" w:rsidR="00077ACA" w:rsidRPr="00A4077C" w:rsidRDefault="00A640AE" w:rsidP="008D6D79">
      <w:pPr>
        <w:spacing w:before="40" w:after="0"/>
        <w:rPr>
          <w:sz w:val="20"/>
        </w:rPr>
      </w:pPr>
      <w:r w:rsidRPr="00A4077C">
        <w:rPr>
          <w:b/>
          <w:sz w:val="20"/>
        </w:rPr>
        <w:t>Zdroj:</w:t>
      </w:r>
      <w:r w:rsidR="00D16053" w:rsidRPr="00A4077C">
        <w:rPr>
          <w:sz w:val="20"/>
        </w:rPr>
        <w:t xml:space="preserve"> výkaz FIN 1-12 OSS</w:t>
      </w:r>
      <w:r w:rsidRPr="00A4077C">
        <w:rPr>
          <w:sz w:val="20"/>
        </w:rPr>
        <w:t>.</w:t>
      </w:r>
    </w:p>
    <w:p w14:paraId="73108D04" w14:textId="77777777" w:rsidR="00B922BC" w:rsidRPr="00DC68F7" w:rsidRDefault="00B922BC" w:rsidP="00911643">
      <w:pPr>
        <w:spacing w:before="40" w:after="0"/>
        <w:rPr>
          <w:rFonts w:asciiTheme="minorHAnsi" w:hAnsiTheme="minorHAnsi" w:cs="Calibri"/>
          <w:highlight w:val="yellow"/>
        </w:rPr>
      </w:pPr>
    </w:p>
    <w:p w14:paraId="5CFED1FB" w14:textId="77777777" w:rsidR="008D6D79" w:rsidRPr="00DC68F7" w:rsidRDefault="008D6D79" w:rsidP="008D6D79">
      <w:pPr>
        <w:spacing w:after="0"/>
        <w:rPr>
          <w:highlight w:val="yellow"/>
        </w:rPr>
      </w:pPr>
    </w:p>
    <w:p w14:paraId="36CA6A05" w14:textId="77777777" w:rsidR="0033466E" w:rsidRPr="00A4077C" w:rsidRDefault="00A640AE" w:rsidP="00B41D61">
      <w:pPr>
        <w:pStyle w:val="Nadpis1"/>
        <w:keepNext/>
        <w:spacing w:after="120" w:line="240" w:lineRule="auto"/>
      </w:pPr>
      <w:r w:rsidRPr="00A4077C">
        <w:t>I</w:t>
      </w:r>
      <w:r w:rsidR="00E91FF5" w:rsidRPr="00A4077C">
        <w:t>I</w:t>
      </w:r>
      <w:r w:rsidRPr="00A4077C">
        <w:t>I. Rozsah kontroly</w:t>
      </w:r>
    </w:p>
    <w:p w14:paraId="7B109AD6" w14:textId="6FC074B8" w:rsidR="00BF0C81" w:rsidRPr="005322AA" w:rsidRDefault="000377B3" w:rsidP="00B41D61">
      <w:pPr>
        <w:jc w:val="both"/>
        <w:rPr>
          <w:rFonts w:eastAsiaTheme="minorHAnsi" w:cs="Calibri"/>
        </w:rPr>
      </w:pPr>
      <w:r>
        <w:rPr>
          <w:rFonts w:cs="Calibri"/>
        </w:rPr>
        <w:t>KA</w:t>
      </w:r>
      <w:r w:rsidR="00A640AE" w:rsidRPr="005322AA">
        <w:rPr>
          <w:rFonts w:cs="Calibri"/>
        </w:rPr>
        <w:t xml:space="preserve"> byla kontrolou typu finanční audit a jejím cílem bylo </w:t>
      </w:r>
      <w:r w:rsidR="00BF0C81" w:rsidRPr="005322AA">
        <w:rPr>
          <w:rFonts w:eastAsiaTheme="minorHAnsi" w:cs="Calibri"/>
        </w:rPr>
        <w:t xml:space="preserve">prověřit, zda </w:t>
      </w:r>
      <w:r w:rsidR="005322AA" w:rsidRPr="005322AA">
        <w:rPr>
          <w:rFonts w:eastAsiaTheme="minorHAnsi" w:cs="Calibri"/>
        </w:rPr>
        <w:t>MPO</w:t>
      </w:r>
      <w:r w:rsidR="004A4FD6" w:rsidRPr="005322AA">
        <w:rPr>
          <w:rFonts w:eastAsiaTheme="minorHAnsi" w:cs="Calibri"/>
        </w:rPr>
        <w:t xml:space="preserve"> při</w:t>
      </w:r>
      <w:r w:rsidR="009A0289" w:rsidRPr="005322AA">
        <w:rPr>
          <w:rFonts w:eastAsiaTheme="minorHAnsi" w:cs="Calibri"/>
        </w:rPr>
        <w:t xml:space="preserve"> </w:t>
      </w:r>
      <w:r w:rsidR="00BF0C81" w:rsidRPr="005322AA">
        <w:rPr>
          <w:rFonts w:eastAsiaTheme="minorHAnsi" w:cs="Calibri"/>
        </w:rPr>
        <w:t xml:space="preserve">vedení účetnictví v roce </w:t>
      </w:r>
      <w:r w:rsidR="005322AA" w:rsidRPr="005322AA">
        <w:rPr>
          <w:rFonts w:eastAsiaTheme="minorHAnsi" w:cs="Calibri"/>
        </w:rPr>
        <w:t>2020</w:t>
      </w:r>
      <w:r w:rsidR="00BF0C81" w:rsidRPr="005322AA">
        <w:rPr>
          <w:rFonts w:eastAsiaTheme="minorHAnsi" w:cs="Calibri"/>
        </w:rPr>
        <w:t xml:space="preserve"> a sestavení účetní z</w:t>
      </w:r>
      <w:r w:rsidR="004A4FD6" w:rsidRPr="005322AA">
        <w:rPr>
          <w:rFonts w:eastAsiaTheme="minorHAnsi" w:cs="Calibri"/>
        </w:rPr>
        <w:t>ávěrky k 31.</w:t>
      </w:r>
      <w:r w:rsidR="00021041">
        <w:rPr>
          <w:rFonts w:eastAsiaTheme="minorHAnsi" w:cs="Calibri"/>
        </w:rPr>
        <w:t> </w:t>
      </w:r>
      <w:r w:rsidR="004A4FD6" w:rsidRPr="005322AA">
        <w:rPr>
          <w:rFonts w:eastAsiaTheme="minorHAnsi" w:cs="Calibri"/>
        </w:rPr>
        <w:t>prosinci 20</w:t>
      </w:r>
      <w:r w:rsidR="005322AA" w:rsidRPr="005322AA">
        <w:rPr>
          <w:rFonts w:eastAsiaTheme="minorHAnsi" w:cs="Calibri"/>
        </w:rPr>
        <w:t>20</w:t>
      </w:r>
      <w:r w:rsidR="004A4FD6" w:rsidRPr="005322AA">
        <w:rPr>
          <w:rFonts w:eastAsiaTheme="minorHAnsi" w:cs="Calibri"/>
        </w:rPr>
        <w:t>, při</w:t>
      </w:r>
      <w:r w:rsidR="00B03EA6" w:rsidRPr="005322AA">
        <w:rPr>
          <w:rFonts w:eastAsiaTheme="minorHAnsi" w:cs="Calibri"/>
        </w:rPr>
        <w:t xml:space="preserve"> </w:t>
      </w:r>
      <w:r w:rsidR="00BF0C81" w:rsidRPr="005322AA">
        <w:rPr>
          <w:rFonts w:eastAsiaTheme="minorHAnsi" w:cs="Calibri"/>
        </w:rPr>
        <w:t>předkládání údajů pro hodnocení plnění</w:t>
      </w:r>
      <w:r w:rsidR="006C3FC5" w:rsidRPr="005322AA">
        <w:rPr>
          <w:rFonts w:eastAsiaTheme="minorHAnsi" w:cs="Calibri"/>
        </w:rPr>
        <w:t xml:space="preserve"> státního</w:t>
      </w:r>
      <w:r w:rsidR="00BF0C81" w:rsidRPr="005322AA">
        <w:rPr>
          <w:rFonts w:eastAsiaTheme="minorHAnsi" w:cs="Calibri"/>
        </w:rPr>
        <w:t xml:space="preserve"> rozpočtu</w:t>
      </w:r>
      <w:r w:rsidR="00BF0C81" w:rsidRPr="005322AA">
        <w:rPr>
          <w:rFonts w:eastAsiaTheme="minorHAnsi" w:cs="Calibri"/>
          <w:vertAlign w:val="superscript"/>
        </w:rPr>
        <w:footnoteReference w:id="31"/>
      </w:r>
      <w:r w:rsidR="00BF0C81" w:rsidRPr="005322AA">
        <w:rPr>
          <w:rFonts w:eastAsiaTheme="minorHAnsi" w:cs="Calibri"/>
        </w:rPr>
        <w:t xml:space="preserve"> a při sestavení závěrečného účtu za rok </w:t>
      </w:r>
      <w:r w:rsidR="005322AA" w:rsidRPr="005322AA">
        <w:rPr>
          <w:rFonts w:eastAsiaTheme="minorHAnsi" w:cs="Calibri"/>
        </w:rPr>
        <w:t>2020</w:t>
      </w:r>
      <w:r w:rsidR="00BF0C81" w:rsidRPr="005322AA">
        <w:rPr>
          <w:rFonts w:eastAsiaTheme="minorHAnsi" w:cs="Calibri"/>
        </w:rPr>
        <w:t xml:space="preserve"> postupovalo v souladu s příslušnými právními předpisy.</w:t>
      </w:r>
    </w:p>
    <w:p w14:paraId="6FD1AF1D" w14:textId="77777777" w:rsidR="00720C07" w:rsidRPr="005322AA" w:rsidRDefault="00A640AE" w:rsidP="00B41D61">
      <w:pPr>
        <w:jc w:val="both"/>
        <w:rPr>
          <w:rFonts w:cs="Calibri"/>
        </w:rPr>
      </w:pPr>
      <w:r w:rsidRPr="005322AA">
        <w:rPr>
          <w:rFonts w:cs="Calibri"/>
        </w:rPr>
        <w:t xml:space="preserve">Kontrolovaný objem finančních prostředků a majetku představuje hodnotu aktiv, pasiv, nákladů, výnosů a podrozvahových účtů vykázaných v ÚZ a vyčíslených v tabulkách č. </w:t>
      </w:r>
      <w:r w:rsidR="0037310D">
        <w:rPr>
          <w:rFonts w:cs="Calibri"/>
        </w:rPr>
        <w:t>1</w:t>
      </w:r>
      <w:r w:rsidRPr="005322AA">
        <w:rPr>
          <w:rFonts w:cs="Calibri"/>
        </w:rPr>
        <w:t xml:space="preserve"> a </w:t>
      </w:r>
      <w:r w:rsidR="0037310D">
        <w:rPr>
          <w:rFonts w:cs="Calibri"/>
        </w:rPr>
        <w:t>2</w:t>
      </w:r>
      <w:r w:rsidRPr="005322AA">
        <w:rPr>
          <w:rFonts w:cs="Calibri"/>
        </w:rPr>
        <w:t xml:space="preserve">. </w:t>
      </w:r>
    </w:p>
    <w:p w14:paraId="2C75B957" w14:textId="692BC315" w:rsidR="0033466E" w:rsidRPr="005322AA" w:rsidRDefault="00A640AE" w:rsidP="00B41D61">
      <w:pPr>
        <w:jc w:val="both"/>
        <w:rPr>
          <w:rFonts w:cs="Calibri"/>
          <w:bCs/>
        </w:rPr>
      </w:pPr>
      <w:r w:rsidRPr="005322AA">
        <w:rPr>
          <w:rFonts w:cs="Calibri"/>
        </w:rPr>
        <w:t xml:space="preserve">Kontrola se zaměřila na činnosti a skutečnosti, které </w:t>
      </w:r>
      <w:r w:rsidRPr="000377B3">
        <w:rPr>
          <w:rFonts w:cs="Calibri"/>
        </w:rPr>
        <w:t>byly předmětem účetnictví</w:t>
      </w:r>
      <w:r w:rsidRPr="000377B3">
        <w:rPr>
          <w:rStyle w:val="Znakapoznpodarou"/>
          <w:rFonts w:cs="Calibri"/>
        </w:rPr>
        <w:footnoteReference w:id="32"/>
      </w:r>
      <w:r w:rsidR="00291417" w:rsidRPr="005322AA">
        <w:rPr>
          <w:rFonts w:cs="Calibri"/>
        </w:rPr>
        <w:t xml:space="preserve"> a měly vliv na</w:t>
      </w:r>
      <w:r w:rsidR="00B03EA6" w:rsidRPr="005322AA">
        <w:rPr>
          <w:rFonts w:cs="Calibri"/>
        </w:rPr>
        <w:t xml:space="preserve"> </w:t>
      </w:r>
      <w:r w:rsidRPr="005322AA">
        <w:rPr>
          <w:rFonts w:cs="Calibri"/>
        </w:rPr>
        <w:t>hodnotu kontrolovaných významných konečných zůstatků účtů v</w:t>
      </w:r>
      <w:r w:rsidR="004964DF">
        <w:rPr>
          <w:rFonts w:cs="Calibri"/>
        </w:rPr>
        <w:t> </w:t>
      </w:r>
      <w:r w:rsidR="000B3825" w:rsidRPr="005322AA">
        <w:rPr>
          <w:rFonts w:cs="Calibri"/>
        </w:rPr>
        <w:t>ÚZ</w:t>
      </w:r>
      <w:r w:rsidR="004964DF">
        <w:rPr>
          <w:rFonts w:cs="Calibri"/>
        </w:rPr>
        <w:t xml:space="preserve"> a </w:t>
      </w:r>
      <w:r w:rsidR="00BA10E7" w:rsidRPr="005322AA">
        <w:rPr>
          <w:rFonts w:cs="Calibri"/>
        </w:rPr>
        <w:t>na</w:t>
      </w:r>
      <w:r w:rsidR="00B03EA6" w:rsidRPr="005322AA">
        <w:rPr>
          <w:rFonts w:cs="Calibri"/>
        </w:rPr>
        <w:t xml:space="preserve"> </w:t>
      </w:r>
      <w:r w:rsidRPr="005322AA">
        <w:rPr>
          <w:rFonts w:cs="Calibri"/>
        </w:rPr>
        <w:t xml:space="preserve">hodnotu významných údajů předkládaných pro hodnocení </w:t>
      </w:r>
      <w:r w:rsidR="005E41D6" w:rsidRPr="005322AA">
        <w:rPr>
          <w:rFonts w:cs="Calibri"/>
        </w:rPr>
        <w:t>plnění státního rozpočtu za</w:t>
      </w:r>
      <w:r w:rsidR="00BB5BEC" w:rsidRPr="005322AA">
        <w:rPr>
          <w:rFonts w:cs="Calibri"/>
        </w:rPr>
        <w:t xml:space="preserve"> </w:t>
      </w:r>
      <w:r w:rsidR="001B0BE7" w:rsidRPr="005322AA">
        <w:rPr>
          <w:rFonts w:cs="Calibri"/>
        </w:rPr>
        <w:t>rok</w:t>
      </w:r>
      <w:r w:rsidR="005F4DAE" w:rsidRPr="005322AA">
        <w:rPr>
          <w:rFonts w:cs="Calibri"/>
        </w:rPr>
        <w:t> </w:t>
      </w:r>
      <w:r w:rsidR="005322AA" w:rsidRPr="005322AA">
        <w:rPr>
          <w:rFonts w:cs="Calibri"/>
        </w:rPr>
        <w:t>2020</w:t>
      </w:r>
      <w:r w:rsidRPr="005322AA">
        <w:rPr>
          <w:rFonts w:cs="Calibri"/>
        </w:rPr>
        <w:t xml:space="preserve"> a na </w:t>
      </w:r>
      <w:r w:rsidR="000377B3">
        <w:rPr>
          <w:rFonts w:cs="Calibri"/>
        </w:rPr>
        <w:t>ZÚ</w:t>
      </w:r>
      <w:r w:rsidRPr="005322AA">
        <w:rPr>
          <w:rFonts w:cs="Calibri"/>
        </w:rPr>
        <w:t xml:space="preserve"> </w:t>
      </w:r>
      <w:r w:rsidR="005322AA" w:rsidRPr="005322AA">
        <w:rPr>
          <w:rFonts w:cs="Calibri"/>
        </w:rPr>
        <w:t>2020</w:t>
      </w:r>
      <w:r w:rsidRPr="005322AA">
        <w:rPr>
          <w:rFonts w:cs="Calibri"/>
          <w:bCs/>
        </w:rPr>
        <w:t>.</w:t>
      </w:r>
    </w:p>
    <w:p w14:paraId="21635FCF" w14:textId="77777777" w:rsidR="00F279C1" w:rsidRPr="006347BE" w:rsidRDefault="00F279C1" w:rsidP="00B41D61">
      <w:pPr>
        <w:jc w:val="both"/>
        <w:rPr>
          <w:rFonts w:cs="Calibri"/>
        </w:rPr>
      </w:pPr>
      <w:r w:rsidRPr="006347BE">
        <w:rPr>
          <w:rFonts w:cs="Calibri"/>
        </w:rPr>
        <w:t xml:space="preserve">V oblasti vedení účetnictví se kontrola zaměřila na jeho správnost, úplnost, průkaznost a srozumitelnost. Prověřila dodržování směrné účtové osnovy a správnost používání účetních </w:t>
      </w:r>
      <w:r w:rsidRPr="006347BE">
        <w:rPr>
          <w:rFonts w:cs="Calibri"/>
        </w:rPr>
        <w:lastRenderedPageBreak/>
        <w:t xml:space="preserve">metod. U vybraných účetních případů byla provedena kontrola s cílem prověřit systém účtování a vykazování informací o skutečnostech, které jsou předmětem účetnictví. </w:t>
      </w:r>
    </w:p>
    <w:p w14:paraId="6D758286" w14:textId="77777777" w:rsidR="008D562A" w:rsidRPr="006347BE" w:rsidRDefault="00A640AE" w:rsidP="00B41D61">
      <w:pPr>
        <w:jc w:val="both"/>
        <w:rPr>
          <w:rFonts w:eastAsiaTheme="minorHAnsi" w:cs="Calibri"/>
        </w:rPr>
      </w:pPr>
      <w:r w:rsidRPr="006347BE">
        <w:rPr>
          <w:rFonts w:eastAsiaTheme="minorHAnsi" w:cs="Calibri"/>
        </w:rPr>
        <w:t>V </w:t>
      </w:r>
      <w:r w:rsidRPr="000377B3">
        <w:rPr>
          <w:rFonts w:eastAsiaTheme="minorHAnsi" w:cs="Calibri"/>
        </w:rPr>
        <w:t>případě údajů předkládaných pro hodnocení plnění státního rozpočtu bylo</w:t>
      </w:r>
      <w:r w:rsidRPr="006347BE">
        <w:rPr>
          <w:rFonts w:eastAsiaTheme="minorHAnsi" w:cs="Calibri"/>
        </w:rPr>
        <w:t xml:space="preserve"> prověřováno, zda byla dodržena správnost třídění příjmů a výdajů rozpočtovou skladbou v oblasti druhového a</w:t>
      </w:r>
      <w:r w:rsidR="009E57D6" w:rsidRPr="006347BE">
        <w:rPr>
          <w:rFonts w:eastAsiaTheme="minorHAnsi" w:cs="Calibri"/>
        </w:rPr>
        <w:t> </w:t>
      </w:r>
      <w:r w:rsidRPr="006347BE">
        <w:rPr>
          <w:rFonts w:eastAsiaTheme="minorHAnsi" w:cs="Calibri"/>
        </w:rPr>
        <w:t>odvětvového třídění dle vyhlášky č. 323/2002 Sb.</w:t>
      </w:r>
    </w:p>
    <w:p w14:paraId="0E990F2A" w14:textId="77777777" w:rsidR="008465AF" w:rsidRPr="006347BE" w:rsidRDefault="00A640AE" w:rsidP="00B41D61">
      <w:pPr>
        <w:jc w:val="both"/>
        <w:rPr>
          <w:rFonts w:cs="Calibri"/>
        </w:rPr>
      </w:pPr>
      <w:r w:rsidRPr="006347BE">
        <w:rPr>
          <w:rFonts w:cs="Calibri"/>
        </w:rPr>
        <w:t xml:space="preserve">Výběr položek účetní závěrky a údajů předkládaných </w:t>
      </w:r>
      <w:r w:rsidR="006347BE" w:rsidRPr="006347BE">
        <w:rPr>
          <w:rFonts w:cs="Calibri"/>
        </w:rPr>
        <w:t>MPO</w:t>
      </w:r>
      <w:r w:rsidRPr="006347BE">
        <w:rPr>
          <w:rFonts w:cs="Calibri"/>
        </w:rPr>
        <w:t xml:space="preserve"> pro hodnocení plnění státního rozpočtu proved</w:t>
      </w:r>
      <w:r w:rsidR="00FB15C1" w:rsidRPr="006347BE">
        <w:rPr>
          <w:rFonts w:cs="Calibri"/>
        </w:rPr>
        <w:t>l NKÚ</w:t>
      </w:r>
      <w:r w:rsidRPr="006347BE">
        <w:rPr>
          <w:rFonts w:cs="Calibri"/>
        </w:rPr>
        <w:t xml:space="preserve"> se zaměřením na vyhodnocená rizika nesprávnosti vykázaných údajů.</w:t>
      </w:r>
    </w:p>
    <w:p w14:paraId="6976314E" w14:textId="77777777" w:rsidR="001C649A" w:rsidRPr="006347BE" w:rsidRDefault="00A640AE" w:rsidP="00B41D61">
      <w:pPr>
        <w:jc w:val="both"/>
        <w:rPr>
          <w:rFonts w:eastAsiaTheme="minorHAnsi" w:cs="Calibri"/>
        </w:rPr>
      </w:pPr>
      <w:r w:rsidRPr="006347BE">
        <w:rPr>
          <w:rFonts w:eastAsiaTheme="minorHAnsi" w:cs="Calibri"/>
        </w:rPr>
        <w:t xml:space="preserve">U </w:t>
      </w:r>
      <w:r w:rsidR="007D0244" w:rsidRPr="006347BE">
        <w:rPr>
          <w:rFonts w:eastAsiaTheme="minorHAnsi" w:cs="Calibri"/>
        </w:rPr>
        <w:t xml:space="preserve">relevantních </w:t>
      </w:r>
      <w:r w:rsidRPr="006347BE">
        <w:rPr>
          <w:rFonts w:eastAsiaTheme="minorHAnsi" w:cs="Calibri"/>
        </w:rPr>
        <w:t xml:space="preserve">transakcí byl prověřován soulad </w:t>
      </w:r>
      <w:r w:rsidR="00243906" w:rsidRPr="006347BE">
        <w:rPr>
          <w:rFonts w:eastAsiaTheme="minorHAnsi" w:cs="Calibri"/>
        </w:rPr>
        <w:t>s</w:t>
      </w:r>
      <w:r w:rsidR="007D0244" w:rsidRPr="006347BE">
        <w:rPr>
          <w:rFonts w:eastAsiaTheme="minorHAnsi" w:cs="Calibri"/>
        </w:rPr>
        <w:t> vybranými ustanoveními</w:t>
      </w:r>
      <w:r w:rsidRPr="006347BE">
        <w:rPr>
          <w:rFonts w:eastAsiaTheme="minorHAnsi" w:cs="Calibri"/>
        </w:rPr>
        <w:t xml:space="preserve"> další</w:t>
      </w:r>
      <w:r w:rsidR="007D0244" w:rsidRPr="006347BE">
        <w:rPr>
          <w:rFonts w:eastAsiaTheme="minorHAnsi" w:cs="Calibri"/>
        </w:rPr>
        <w:t>ch</w:t>
      </w:r>
      <w:r w:rsidRPr="006347BE">
        <w:rPr>
          <w:rFonts w:eastAsiaTheme="minorHAnsi" w:cs="Calibri"/>
        </w:rPr>
        <w:t xml:space="preserve"> právní</w:t>
      </w:r>
      <w:r w:rsidR="007D0244" w:rsidRPr="006347BE">
        <w:rPr>
          <w:rFonts w:eastAsiaTheme="minorHAnsi" w:cs="Calibri"/>
        </w:rPr>
        <w:t>ch</w:t>
      </w:r>
      <w:r w:rsidRPr="006347BE">
        <w:rPr>
          <w:rFonts w:eastAsiaTheme="minorHAnsi" w:cs="Calibri"/>
        </w:rPr>
        <w:t xml:space="preserve"> předpis</w:t>
      </w:r>
      <w:r w:rsidR="007D0244" w:rsidRPr="006347BE">
        <w:rPr>
          <w:rFonts w:eastAsiaTheme="minorHAnsi" w:cs="Calibri"/>
        </w:rPr>
        <w:t>ů</w:t>
      </w:r>
      <w:r w:rsidR="001F1F57" w:rsidRPr="006347BE">
        <w:rPr>
          <w:rFonts w:eastAsiaTheme="minorHAnsi" w:cs="Calibri"/>
        </w:rPr>
        <w:t>,</w:t>
      </w:r>
      <w:r w:rsidRPr="006347BE">
        <w:rPr>
          <w:rFonts w:eastAsiaTheme="minorHAnsi" w:cs="Calibri"/>
        </w:rPr>
        <w:t xml:space="preserve"> a to zejména </w:t>
      </w:r>
      <w:r w:rsidR="00243906" w:rsidRPr="006347BE">
        <w:rPr>
          <w:rFonts w:eastAsiaTheme="minorHAnsi" w:cs="Calibri"/>
        </w:rPr>
        <w:t>s</w:t>
      </w:r>
      <w:r w:rsidR="001077EB" w:rsidRPr="006347BE">
        <w:rPr>
          <w:rFonts w:eastAsiaTheme="minorHAnsi" w:cs="Calibri"/>
        </w:rPr>
        <w:t xml:space="preserve"> ustanoveními </w:t>
      </w:r>
      <w:r w:rsidR="007D2567">
        <w:rPr>
          <w:rFonts w:eastAsiaTheme="minorHAnsi" w:cs="Calibri"/>
        </w:rPr>
        <w:t xml:space="preserve">zákona č. 218/2000 Sb. </w:t>
      </w:r>
      <w:r w:rsidR="001077EB" w:rsidRPr="006347BE">
        <w:rPr>
          <w:rFonts w:eastAsiaTheme="minorHAnsi" w:cs="Calibri"/>
        </w:rPr>
        <w:t xml:space="preserve">a zákona </w:t>
      </w:r>
      <w:r w:rsidR="005B4A83">
        <w:rPr>
          <w:rFonts w:eastAsiaTheme="minorHAnsi" w:cs="Calibri"/>
        </w:rPr>
        <w:t>č. 219/2000 Sb</w:t>
      </w:r>
      <w:r w:rsidR="001077EB" w:rsidRPr="006347BE">
        <w:rPr>
          <w:rFonts w:eastAsiaTheme="minorHAnsi" w:cs="Calibri"/>
        </w:rPr>
        <w:t>.</w:t>
      </w:r>
    </w:p>
    <w:p w14:paraId="37E5FA56" w14:textId="77777777" w:rsidR="008F46EE" w:rsidRPr="006347BE" w:rsidRDefault="00A640AE" w:rsidP="00B41D61">
      <w:pPr>
        <w:jc w:val="both"/>
        <w:rPr>
          <w:rFonts w:eastAsiaTheme="minorHAnsi" w:cs="Calibri"/>
        </w:rPr>
      </w:pPr>
      <w:r w:rsidRPr="006347BE">
        <w:rPr>
          <w:rFonts w:eastAsiaTheme="minorHAnsi" w:cs="Calibri"/>
        </w:rPr>
        <w:t>V</w:t>
      </w:r>
      <w:r w:rsidR="00E91FF5" w:rsidRPr="006347BE">
        <w:rPr>
          <w:rFonts w:eastAsiaTheme="minorHAnsi" w:cs="Calibri"/>
        </w:rPr>
        <w:t> </w:t>
      </w:r>
      <w:r w:rsidRPr="006347BE">
        <w:rPr>
          <w:rFonts w:eastAsiaTheme="minorHAnsi" w:cs="Calibri"/>
        </w:rPr>
        <w:t>případě</w:t>
      </w:r>
      <w:r w:rsidR="00E91FF5" w:rsidRPr="006347BE">
        <w:rPr>
          <w:rFonts w:eastAsiaTheme="minorHAnsi" w:cs="Calibri"/>
        </w:rPr>
        <w:t xml:space="preserve"> nově</w:t>
      </w:r>
      <w:r w:rsidRPr="006347BE">
        <w:rPr>
          <w:rFonts w:eastAsiaTheme="minorHAnsi" w:cs="Calibri"/>
        </w:rPr>
        <w:t xml:space="preserve"> uzavřených smluv </w:t>
      </w:r>
      <w:r w:rsidR="001077EB" w:rsidRPr="006347BE">
        <w:rPr>
          <w:rFonts w:eastAsiaTheme="minorHAnsi" w:cs="Calibri"/>
        </w:rPr>
        <w:t xml:space="preserve">a objednávek </w:t>
      </w:r>
      <w:r w:rsidRPr="006347BE">
        <w:rPr>
          <w:rFonts w:eastAsiaTheme="minorHAnsi" w:cs="Calibri"/>
        </w:rPr>
        <w:t xml:space="preserve">bylo </w:t>
      </w:r>
      <w:r w:rsidR="001077EB" w:rsidRPr="006347BE">
        <w:rPr>
          <w:rFonts w:eastAsiaTheme="minorHAnsi" w:cs="Calibri"/>
        </w:rPr>
        <w:t>prověřováno</w:t>
      </w:r>
      <w:r w:rsidRPr="006347BE">
        <w:rPr>
          <w:rFonts w:eastAsiaTheme="minorHAnsi" w:cs="Calibri"/>
        </w:rPr>
        <w:t xml:space="preserve"> </w:t>
      </w:r>
      <w:r w:rsidR="00E91FF5" w:rsidRPr="006347BE">
        <w:rPr>
          <w:rFonts w:eastAsiaTheme="minorHAnsi" w:cs="Calibri"/>
        </w:rPr>
        <w:t>jejich uveřejn</w:t>
      </w:r>
      <w:r w:rsidR="00CD2142" w:rsidRPr="006347BE">
        <w:rPr>
          <w:rFonts w:eastAsiaTheme="minorHAnsi" w:cs="Calibri"/>
        </w:rPr>
        <w:t>ění v registru smluv dle zák</w:t>
      </w:r>
      <w:r w:rsidR="00F14722" w:rsidRPr="006347BE">
        <w:rPr>
          <w:rFonts w:eastAsiaTheme="minorHAnsi" w:cs="Calibri"/>
        </w:rPr>
        <w:t>ona</w:t>
      </w:r>
      <w:r w:rsidR="00FB6581" w:rsidRPr="006347BE">
        <w:rPr>
          <w:rFonts w:eastAsiaTheme="minorHAnsi" w:cs="Calibri"/>
        </w:rPr>
        <w:t xml:space="preserve"> č. 340/2015 Sb.</w:t>
      </w:r>
      <w:r w:rsidR="005B4A83">
        <w:rPr>
          <w:rStyle w:val="Znakapoznpodarou"/>
          <w:rFonts w:eastAsiaTheme="minorHAnsi" w:cs="Calibri"/>
        </w:rPr>
        <w:footnoteReference w:id="33"/>
      </w:r>
      <w:r w:rsidR="008808A6">
        <w:rPr>
          <w:rFonts w:eastAsiaTheme="minorHAnsi" w:cs="Calibri"/>
        </w:rPr>
        <w:t>.</w:t>
      </w:r>
    </w:p>
    <w:p w14:paraId="795E6181" w14:textId="07150CB5" w:rsidR="00BF0440" w:rsidRPr="006347BE" w:rsidRDefault="00A640AE" w:rsidP="00B41D61">
      <w:pPr>
        <w:jc w:val="both"/>
        <w:rPr>
          <w:rFonts w:eastAsiaTheme="minorHAnsi" w:cs="Calibri"/>
        </w:rPr>
      </w:pPr>
      <w:r w:rsidRPr="006347BE">
        <w:rPr>
          <w:rFonts w:eastAsiaTheme="minorHAnsi" w:cs="Calibri"/>
        </w:rPr>
        <w:t xml:space="preserve">Prověřován byl i </w:t>
      </w:r>
      <w:r w:rsidRPr="000377B3">
        <w:rPr>
          <w:rFonts w:eastAsiaTheme="minorHAnsi" w:cs="Calibri"/>
        </w:rPr>
        <w:t>soulad nastavení v</w:t>
      </w:r>
      <w:r w:rsidR="00673AEF" w:rsidRPr="000377B3">
        <w:rPr>
          <w:rFonts w:eastAsiaTheme="minorHAnsi" w:cs="Calibri"/>
        </w:rPr>
        <w:t xml:space="preserve">nitřního kontrolního systému </w:t>
      </w:r>
      <w:r w:rsidR="006347BE" w:rsidRPr="000377B3">
        <w:rPr>
          <w:rFonts w:eastAsiaTheme="minorHAnsi" w:cs="Calibri"/>
        </w:rPr>
        <w:t>MPO</w:t>
      </w:r>
      <w:r w:rsidRPr="000377B3">
        <w:rPr>
          <w:rFonts w:eastAsiaTheme="minorHAnsi" w:cs="Calibri"/>
        </w:rPr>
        <w:t xml:space="preserve"> s</w:t>
      </w:r>
      <w:r w:rsidR="008F46EE" w:rsidRPr="000377B3">
        <w:rPr>
          <w:rFonts w:eastAsiaTheme="minorHAnsi" w:cs="Calibri"/>
        </w:rPr>
        <w:t xml:space="preserve">e zákonem </w:t>
      </w:r>
      <w:r w:rsidR="005B4A83">
        <w:rPr>
          <w:rFonts w:eastAsiaTheme="minorHAnsi" w:cs="Calibri"/>
        </w:rPr>
        <w:t>č.</w:t>
      </w:r>
      <w:r w:rsidR="00021041">
        <w:rPr>
          <w:rFonts w:eastAsiaTheme="minorHAnsi" w:cs="Calibri"/>
        </w:rPr>
        <w:t> </w:t>
      </w:r>
      <w:r w:rsidR="005B4A83">
        <w:rPr>
          <w:rFonts w:eastAsiaTheme="minorHAnsi" w:cs="Calibri"/>
        </w:rPr>
        <w:t>320/2001</w:t>
      </w:r>
      <w:r w:rsidR="00021041">
        <w:rPr>
          <w:rFonts w:eastAsiaTheme="minorHAnsi" w:cs="Calibri"/>
        </w:rPr>
        <w:t> </w:t>
      </w:r>
      <w:r w:rsidR="005B4A83">
        <w:rPr>
          <w:rFonts w:eastAsiaTheme="minorHAnsi" w:cs="Calibri"/>
        </w:rPr>
        <w:t>Sb.</w:t>
      </w:r>
      <w:r w:rsidR="008F46EE" w:rsidRPr="000377B3">
        <w:rPr>
          <w:rFonts w:eastAsiaTheme="minorHAnsi" w:cs="Calibri"/>
        </w:rPr>
        <w:t xml:space="preserve"> a </w:t>
      </w:r>
      <w:r w:rsidR="004508AB" w:rsidRPr="000377B3">
        <w:rPr>
          <w:rFonts w:eastAsiaTheme="minorHAnsi" w:cs="Calibri"/>
        </w:rPr>
        <w:t xml:space="preserve">jeho </w:t>
      </w:r>
      <w:r w:rsidR="008F46EE" w:rsidRPr="000377B3">
        <w:rPr>
          <w:rFonts w:eastAsiaTheme="minorHAnsi" w:cs="Calibri"/>
        </w:rPr>
        <w:t>prováděcí vyhláškou</w:t>
      </w:r>
      <w:r w:rsidR="00A2472A" w:rsidRPr="000377B3">
        <w:rPr>
          <w:rFonts w:eastAsiaTheme="minorHAnsi" w:cs="Calibri"/>
        </w:rPr>
        <w:t xml:space="preserve"> č. 416/2004 Sb.</w:t>
      </w:r>
      <w:r w:rsidR="00344C4A">
        <w:rPr>
          <w:rStyle w:val="Znakapoznpodarou"/>
          <w:rFonts w:eastAsiaTheme="minorHAnsi" w:cs="Calibri"/>
        </w:rPr>
        <w:footnoteReference w:id="34"/>
      </w:r>
      <w:r w:rsidR="00942B30" w:rsidRPr="006347BE">
        <w:rPr>
          <w:rFonts w:eastAsiaTheme="minorHAnsi" w:cs="Calibri"/>
        </w:rPr>
        <w:t>,</w:t>
      </w:r>
      <w:r w:rsidR="005C411C" w:rsidRPr="006347BE">
        <w:rPr>
          <w:rFonts w:eastAsiaTheme="minorHAnsi" w:cs="Calibri"/>
        </w:rPr>
        <w:t xml:space="preserve"> a </w:t>
      </w:r>
      <w:r w:rsidR="00F17530" w:rsidRPr="006347BE">
        <w:rPr>
          <w:rFonts w:eastAsiaTheme="minorHAnsi" w:cs="Calibri"/>
        </w:rPr>
        <w:t>t</w:t>
      </w:r>
      <w:r w:rsidR="005C411C" w:rsidRPr="006347BE">
        <w:rPr>
          <w:rFonts w:eastAsiaTheme="minorHAnsi" w:cs="Calibri"/>
        </w:rPr>
        <w:t xml:space="preserve">o v rozsahu stanoveného předmětu a cíle </w:t>
      </w:r>
      <w:r w:rsidR="000377B3">
        <w:rPr>
          <w:rFonts w:eastAsiaTheme="minorHAnsi" w:cs="Calibri"/>
        </w:rPr>
        <w:t>KA</w:t>
      </w:r>
      <w:r w:rsidR="008F46EE" w:rsidRPr="006347BE">
        <w:rPr>
          <w:rFonts w:eastAsiaTheme="minorHAnsi" w:cs="Calibri"/>
        </w:rPr>
        <w:t>.</w:t>
      </w:r>
      <w:r w:rsidR="00BD55A4" w:rsidRPr="006347BE">
        <w:rPr>
          <w:rFonts w:eastAsiaTheme="minorHAnsi" w:cs="Calibri"/>
        </w:rPr>
        <w:t xml:space="preserve"> U vybraných transakcí </w:t>
      </w:r>
      <w:r w:rsidRPr="006347BE">
        <w:rPr>
          <w:rFonts w:eastAsiaTheme="minorHAnsi" w:cs="Calibri"/>
        </w:rPr>
        <w:t>bylo prověřováno i provedení finanční kontroly a</w:t>
      </w:r>
      <w:r w:rsidR="00021041">
        <w:rPr>
          <w:rFonts w:eastAsiaTheme="minorHAnsi" w:cs="Calibri"/>
        </w:rPr>
        <w:t> </w:t>
      </w:r>
      <w:r w:rsidRPr="006347BE">
        <w:rPr>
          <w:rFonts w:eastAsiaTheme="minorHAnsi" w:cs="Calibri"/>
        </w:rPr>
        <w:t xml:space="preserve">funkčnost </w:t>
      </w:r>
      <w:r w:rsidR="000377B3">
        <w:rPr>
          <w:rFonts w:eastAsiaTheme="minorHAnsi" w:cs="Calibri"/>
        </w:rPr>
        <w:t>VKS</w:t>
      </w:r>
      <w:r w:rsidRPr="006347BE">
        <w:rPr>
          <w:rFonts w:eastAsiaTheme="minorHAnsi" w:cs="Calibri"/>
        </w:rPr>
        <w:t>.</w:t>
      </w:r>
    </w:p>
    <w:p w14:paraId="1851BCE0" w14:textId="6FA93772" w:rsidR="00F05073" w:rsidRPr="000377B3" w:rsidRDefault="00A640AE" w:rsidP="00B41D61">
      <w:pPr>
        <w:jc w:val="both"/>
        <w:rPr>
          <w:rFonts w:eastAsiaTheme="minorHAnsi" w:cs="Calibri"/>
        </w:rPr>
      </w:pPr>
      <w:r w:rsidRPr="006347BE">
        <w:rPr>
          <w:rFonts w:eastAsiaTheme="minorHAnsi" w:cs="Calibri"/>
        </w:rPr>
        <w:t xml:space="preserve">V rámci kontroly byla také </w:t>
      </w:r>
      <w:r w:rsidRPr="000377B3">
        <w:rPr>
          <w:rFonts w:eastAsiaTheme="minorHAnsi" w:cs="Calibri"/>
        </w:rPr>
        <w:t>vyhodnocena opatření přijatá k nápravě nedostatků zjištěných v </w:t>
      </w:r>
      <w:r w:rsidR="008E5E28" w:rsidRPr="000377B3">
        <w:rPr>
          <w:rFonts w:eastAsiaTheme="minorHAnsi" w:cs="Calibri"/>
        </w:rPr>
        <w:t>KA</w:t>
      </w:r>
      <w:r w:rsidR="007102F6">
        <w:rPr>
          <w:rFonts w:eastAsiaTheme="minorHAnsi" w:cs="Calibri"/>
        </w:rPr>
        <w:t xml:space="preserve"> č.</w:t>
      </w:r>
      <w:r w:rsidR="00021041">
        <w:rPr>
          <w:rFonts w:eastAsiaTheme="minorHAnsi" w:cs="Calibri"/>
        </w:rPr>
        <w:t> </w:t>
      </w:r>
      <w:r w:rsidRPr="000377B3">
        <w:rPr>
          <w:rFonts w:eastAsiaTheme="minorHAnsi" w:cs="Calibri"/>
        </w:rPr>
        <w:t>1</w:t>
      </w:r>
      <w:r w:rsidR="006347BE" w:rsidRPr="000377B3">
        <w:rPr>
          <w:rFonts w:eastAsiaTheme="minorHAnsi" w:cs="Calibri"/>
        </w:rPr>
        <w:t>6</w:t>
      </w:r>
      <w:r w:rsidR="002F62E6" w:rsidRPr="000377B3">
        <w:rPr>
          <w:rFonts w:eastAsiaTheme="minorHAnsi" w:cs="Calibri"/>
        </w:rPr>
        <w:t>/</w:t>
      </w:r>
      <w:r w:rsidR="006347BE" w:rsidRPr="000377B3">
        <w:rPr>
          <w:rFonts w:eastAsiaTheme="minorHAnsi" w:cs="Calibri"/>
        </w:rPr>
        <w:t>25</w:t>
      </w:r>
      <w:r w:rsidR="008A0176" w:rsidRPr="000377B3">
        <w:rPr>
          <w:rFonts w:eastAsiaTheme="minorHAnsi" w:cs="Calibri"/>
        </w:rPr>
        <w:t>.</w:t>
      </w:r>
    </w:p>
    <w:p w14:paraId="24A90812" w14:textId="554E2F71" w:rsidR="00563F09" w:rsidRDefault="00A640AE" w:rsidP="00B41D61">
      <w:pPr>
        <w:jc w:val="both"/>
        <w:rPr>
          <w:lang w:eastAsia="cs-CZ"/>
        </w:rPr>
      </w:pPr>
      <w:r w:rsidRPr="006347BE">
        <w:rPr>
          <w:rFonts w:cs="Calibri"/>
          <w:lang w:eastAsia="cs-CZ"/>
        </w:rPr>
        <w:t xml:space="preserve">Při kontrole </w:t>
      </w:r>
      <w:r w:rsidR="007102F6">
        <w:rPr>
          <w:rFonts w:cs="Calibri"/>
          <w:lang w:eastAsia="cs-CZ"/>
        </w:rPr>
        <w:t>ZÚ</w:t>
      </w:r>
      <w:r w:rsidRPr="006347BE">
        <w:rPr>
          <w:rFonts w:cs="Calibri"/>
          <w:lang w:eastAsia="cs-CZ"/>
        </w:rPr>
        <w:t xml:space="preserve"> 20</w:t>
      </w:r>
      <w:r w:rsidR="006347BE" w:rsidRPr="006347BE">
        <w:rPr>
          <w:rFonts w:cs="Calibri"/>
          <w:lang w:eastAsia="cs-CZ"/>
        </w:rPr>
        <w:t>20</w:t>
      </w:r>
      <w:r w:rsidR="0093276B" w:rsidRPr="006347BE">
        <w:rPr>
          <w:rFonts w:cs="Calibri"/>
          <w:lang w:eastAsia="cs-CZ"/>
        </w:rPr>
        <w:t xml:space="preserve"> bylo prověřováno, zda je závěrečný účet v souladu s požadavky vyhlášky č. 419/2001 Sb.</w:t>
      </w:r>
      <w:r w:rsidR="00344C4A">
        <w:rPr>
          <w:rStyle w:val="Znakapoznpodarou"/>
          <w:rFonts w:cs="Calibri"/>
          <w:lang w:eastAsia="cs-CZ"/>
        </w:rPr>
        <w:footnoteReference w:id="35"/>
      </w:r>
      <w:r w:rsidR="00BA10E7" w:rsidRPr="006347BE">
        <w:rPr>
          <w:rFonts w:cs="Calibri"/>
          <w:lang w:eastAsia="cs-CZ"/>
        </w:rPr>
        <w:t xml:space="preserve"> </w:t>
      </w:r>
      <w:r w:rsidR="000604FC">
        <w:rPr>
          <w:rFonts w:cs="Calibri"/>
          <w:lang w:eastAsia="cs-CZ"/>
        </w:rPr>
        <w:t>a také i</w:t>
      </w:r>
      <w:r w:rsidR="00BA10E7" w:rsidRPr="006347BE">
        <w:rPr>
          <w:rFonts w:cs="Calibri"/>
          <w:lang w:eastAsia="cs-CZ"/>
        </w:rPr>
        <w:t xml:space="preserve"> v souladu se skutečností, t</w:t>
      </w:r>
      <w:r w:rsidR="000604FC">
        <w:rPr>
          <w:rFonts w:cs="Calibri"/>
          <w:lang w:eastAsia="cs-CZ"/>
        </w:rPr>
        <w:t xml:space="preserve">zn. </w:t>
      </w:r>
      <w:r w:rsidR="0093276B" w:rsidRPr="006347BE">
        <w:rPr>
          <w:rFonts w:cs="Calibri"/>
          <w:lang w:eastAsia="cs-CZ"/>
        </w:rPr>
        <w:t>zda vybrané údaje uváděné v závěrečném účtu jsou správné a úplné ve srovnání s finančními výkazy</w:t>
      </w:r>
      <w:r w:rsidR="000604FC">
        <w:rPr>
          <w:rFonts w:cs="Calibri"/>
          <w:lang w:eastAsia="cs-CZ"/>
        </w:rPr>
        <w:t xml:space="preserve"> obsahujícími údaje pro hodnocení plnění rozpočtu,</w:t>
      </w:r>
      <w:r w:rsidR="0093276B" w:rsidRPr="006347BE">
        <w:rPr>
          <w:rFonts w:cs="Calibri"/>
          <w:lang w:eastAsia="cs-CZ"/>
        </w:rPr>
        <w:t xml:space="preserve"> s údaji v</w:t>
      </w:r>
      <w:r w:rsidRPr="006347BE">
        <w:rPr>
          <w:rFonts w:cs="Calibri"/>
          <w:lang w:eastAsia="cs-CZ"/>
        </w:rPr>
        <w:t> </w:t>
      </w:r>
      <w:r w:rsidR="0093276B" w:rsidRPr="006347BE">
        <w:rPr>
          <w:rFonts w:cs="Calibri"/>
          <w:lang w:eastAsia="cs-CZ"/>
        </w:rPr>
        <w:t>účetnictví</w:t>
      </w:r>
      <w:r w:rsidRPr="006347BE">
        <w:rPr>
          <w:rFonts w:cs="Calibri"/>
          <w:lang w:eastAsia="cs-CZ"/>
        </w:rPr>
        <w:t xml:space="preserve">, s údaji z účetních závěrek </w:t>
      </w:r>
      <w:r w:rsidR="006347BE" w:rsidRPr="006347BE">
        <w:rPr>
          <w:rFonts w:cs="Calibri"/>
          <w:lang w:eastAsia="cs-CZ"/>
        </w:rPr>
        <w:t>MPO</w:t>
      </w:r>
      <w:r w:rsidR="00E36631">
        <w:rPr>
          <w:rFonts w:cs="Calibri"/>
          <w:lang w:eastAsia="cs-CZ"/>
        </w:rPr>
        <w:t xml:space="preserve"> a </w:t>
      </w:r>
      <w:r w:rsidRPr="006347BE">
        <w:rPr>
          <w:rFonts w:cs="Calibri"/>
          <w:lang w:eastAsia="cs-CZ"/>
        </w:rPr>
        <w:t xml:space="preserve">podřízených organizací v rámci kapitoly státního rozpočtu </w:t>
      </w:r>
      <w:r w:rsidR="006347BE" w:rsidRPr="006347BE">
        <w:rPr>
          <w:rFonts w:cs="Calibri"/>
          <w:lang w:eastAsia="cs-CZ"/>
        </w:rPr>
        <w:t>322</w:t>
      </w:r>
      <w:r w:rsidRPr="006347BE">
        <w:rPr>
          <w:rFonts w:cs="Calibri"/>
          <w:lang w:eastAsia="cs-CZ"/>
        </w:rPr>
        <w:t>,</w:t>
      </w:r>
      <w:r w:rsidR="0093276B" w:rsidRPr="006347BE">
        <w:rPr>
          <w:rFonts w:cs="Calibri"/>
          <w:lang w:eastAsia="cs-CZ"/>
        </w:rPr>
        <w:t xml:space="preserve"> s po</w:t>
      </w:r>
      <w:r w:rsidR="00420E03" w:rsidRPr="006347BE">
        <w:rPr>
          <w:rFonts w:cs="Calibri"/>
          <w:lang w:eastAsia="cs-CZ"/>
        </w:rPr>
        <w:t>d</w:t>
      </w:r>
      <w:r w:rsidR="0093276B" w:rsidRPr="006347BE">
        <w:rPr>
          <w:rFonts w:cs="Calibri"/>
          <w:lang w:eastAsia="cs-CZ"/>
        </w:rPr>
        <w:t>klady jednotlivýc</w:t>
      </w:r>
      <w:r w:rsidR="00014250" w:rsidRPr="006347BE">
        <w:rPr>
          <w:rFonts w:cs="Calibri"/>
          <w:lang w:eastAsia="cs-CZ"/>
        </w:rPr>
        <w:t xml:space="preserve">h věcně příslušných </w:t>
      </w:r>
      <w:r w:rsidR="002F62E6" w:rsidRPr="006347BE">
        <w:rPr>
          <w:rFonts w:cs="Calibri"/>
          <w:lang w:eastAsia="cs-CZ"/>
        </w:rPr>
        <w:t>útvarů</w:t>
      </w:r>
      <w:r w:rsidR="00014250" w:rsidRPr="006347BE">
        <w:rPr>
          <w:rFonts w:cs="Calibri"/>
          <w:lang w:eastAsia="cs-CZ"/>
        </w:rPr>
        <w:t xml:space="preserve"> </w:t>
      </w:r>
      <w:r w:rsidR="006347BE" w:rsidRPr="006347BE">
        <w:rPr>
          <w:rFonts w:cs="Calibri"/>
          <w:lang w:eastAsia="cs-CZ"/>
        </w:rPr>
        <w:t>MPO</w:t>
      </w:r>
      <w:r w:rsidR="00014250" w:rsidRPr="006347BE">
        <w:rPr>
          <w:rFonts w:cs="Calibri"/>
          <w:lang w:eastAsia="cs-CZ"/>
        </w:rPr>
        <w:t xml:space="preserve"> a </w:t>
      </w:r>
      <w:r w:rsidR="0093276B" w:rsidRPr="006347BE">
        <w:rPr>
          <w:rFonts w:cs="Calibri"/>
          <w:lang w:eastAsia="cs-CZ"/>
        </w:rPr>
        <w:t>podřízených organizací</w:t>
      </w:r>
      <w:r w:rsidRPr="006347BE">
        <w:rPr>
          <w:rFonts w:cs="Calibri"/>
          <w:lang w:eastAsia="cs-CZ"/>
        </w:rPr>
        <w:t xml:space="preserve"> a s </w:t>
      </w:r>
      <w:r w:rsidRPr="006347BE">
        <w:rPr>
          <w:lang w:eastAsia="cs-CZ"/>
        </w:rPr>
        <w:t>jinými veřejně dostupnými zdroji</w:t>
      </w:r>
      <w:r w:rsidR="001B06A1" w:rsidRPr="006347BE">
        <w:rPr>
          <w:lang w:eastAsia="cs-CZ"/>
        </w:rPr>
        <w:t>,</w:t>
      </w:r>
      <w:r w:rsidRPr="006347BE">
        <w:rPr>
          <w:lang w:eastAsia="cs-CZ"/>
        </w:rPr>
        <w:t xml:space="preserve"> např. usneseními vlády ČR, veřejně přístupnými rejstříky apod.</w:t>
      </w:r>
    </w:p>
    <w:p w14:paraId="402D71DB" w14:textId="28D43CD1" w:rsidR="00563F09" w:rsidRDefault="00563F09" w:rsidP="00B41D61">
      <w:pPr>
        <w:spacing w:after="0"/>
        <w:jc w:val="both"/>
        <w:rPr>
          <w:lang w:eastAsia="cs-CZ"/>
        </w:rPr>
      </w:pPr>
      <w:r>
        <w:rPr>
          <w:lang w:eastAsia="cs-CZ"/>
        </w:rPr>
        <w:t xml:space="preserve">Kontrola se zaměřila </w:t>
      </w:r>
      <w:r w:rsidR="00CA6CBC">
        <w:rPr>
          <w:lang w:eastAsia="cs-CZ"/>
        </w:rPr>
        <w:t>také</w:t>
      </w:r>
      <w:r>
        <w:rPr>
          <w:lang w:eastAsia="cs-CZ"/>
        </w:rPr>
        <w:t xml:space="preserve"> na to, zda </w:t>
      </w:r>
      <w:r w:rsidR="003E79F3">
        <w:rPr>
          <w:lang w:eastAsia="cs-CZ"/>
        </w:rPr>
        <w:t xml:space="preserve">a jak </w:t>
      </w:r>
      <w:r>
        <w:rPr>
          <w:lang w:eastAsia="cs-CZ"/>
        </w:rPr>
        <w:t xml:space="preserve">MPO využívá akruální účetní informace a </w:t>
      </w:r>
      <w:r w:rsidR="00275340">
        <w:rPr>
          <w:lang w:eastAsia="cs-CZ"/>
        </w:rPr>
        <w:t xml:space="preserve">jaký vliv měla pandemie </w:t>
      </w:r>
      <w:proofErr w:type="spellStart"/>
      <w:r w:rsidR="00275340">
        <w:rPr>
          <w:lang w:eastAsia="cs-CZ"/>
        </w:rPr>
        <w:t>koronaviru</w:t>
      </w:r>
      <w:proofErr w:type="spellEnd"/>
      <w:r w:rsidR="00275340">
        <w:rPr>
          <w:lang w:eastAsia="cs-CZ"/>
        </w:rPr>
        <w:t xml:space="preserve"> SARS-CoV-2</w:t>
      </w:r>
      <w:r w:rsidR="00D537E1">
        <w:rPr>
          <w:lang w:eastAsia="cs-CZ"/>
        </w:rPr>
        <w:t xml:space="preserve"> </w:t>
      </w:r>
      <w:r w:rsidR="00D537E1">
        <w:rPr>
          <w:rFonts w:asciiTheme="minorHAnsi" w:eastAsiaTheme="minorHAnsi" w:hAnsiTheme="minorHAnsi" w:cstheme="minorHAnsi"/>
        </w:rPr>
        <w:t>(dále „</w:t>
      </w:r>
      <w:r w:rsidR="00CA6CBC">
        <w:rPr>
          <w:rFonts w:asciiTheme="minorHAnsi" w:eastAsiaTheme="minorHAnsi" w:hAnsiTheme="minorHAnsi" w:cstheme="minorHAnsi"/>
        </w:rPr>
        <w:t>covid</w:t>
      </w:r>
      <w:r w:rsidR="00D537E1">
        <w:rPr>
          <w:rFonts w:asciiTheme="minorHAnsi" w:eastAsiaTheme="minorHAnsi" w:hAnsiTheme="minorHAnsi" w:cstheme="minorHAnsi"/>
        </w:rPr>
        <w:t>-19“)</w:t>
      </w:r>
      <w:r w:rsidR="00275340">
        <w:rPr>
          <w:lang w:eastAsia="cs-CZ"/>
        </w:rPr>
        <w:t xml:space="preserve"> na vykazované údaje a</w:t>
      </w:r>
      <w:r w:rsidR="00CA6CBC">
        <w:rPr>
          <w:lang w:eastAsia="cs-CZ"/>
        </w:rPr>
        <w:t> </w:t>
      </w:r>
      <w:r w:rsidR="00275340">
        <w:rPr>
          <w:lang w:eastAsia="cs-CZ"/>
        </w:rPr>
        <w:t xml:space="preserve">účetnictví </w:t>
      </w:r>
      <w:r w:rsidR="00275340" w:rsidRPr="00275340">
        <w:rPr>
          <w:lang w:eastAsia="cs-CZ"/>
        </w:rPr>
        <w:t>MPO</w:t>
      </w:r>
      <w:r w:rsidR="005478D8" w:rsidRPr="00275340">
        <w:rPr>
          <w:lang w:eastAsia="cs-CZ"/>
        </w:rPr>
        <w:t>.</w:t>
      </w:r>
    </w:p>
    <w:p w14:paraId="74BF63D1" w14:textId="77777777" w:rsidR="00563F09" w:rsidRPr="006347BE" w:rsidRDefault="00563F09" w:rsidP="005E63AE">
      <w:pPr>
        <w:spacing w:after="0"/>
        <w:jc w:val="both"/>
        <w:rPr>
          <w:lang w:eastAsia="cs-CZ"/>
        </w:rPr>
      </w:pPr>
    </w:p>
    <w:p w14:paraId="75B36C00" w14:textId="77777777" w:rsidR="00006AE8" w:rsidRPr="00DC68F7" w:rsidRDefault="00006AE8" w:rsidP="00B03EA6">
      <w:pPr>
        <w:spacing w:after="0"/>
        <w:jc w:val="both"/>
        <w:rPr>
          <w:highlight w:val="yellow"/>
          <w:lang w:eastAsia="cs-CZ"/>
        </w:rPr>
      </w:pPr>
    </w:p>
    <w:p w14:paraId="7F432B44" w14:textId="77777777" w:rsidR="00006AE8" w:rsidRPr="006347BE" w:rsidRDefault="00006AE8" w:rsidP="00B03EA6">
      <w:pPr>
        <w:spacing w:after="0"/>
        <w:ind w:left="567" w:hanging="567"/>
        <w:jc w:val="both"/>
        <w:rPr>
          <w:rFonts w:asciiTheme="minorHAnsi" w:hAnsiTheme="minorHAnsi" w:cs="Calibri"/>
          <w:sz w:val="20"/>
          <w:szCs w:val="20"/>
        </w:rPr>
      </w:pPr>
      <w:r w:rsidRPr="006347BE">
        <w:rPr>
          <w:rFonts w:asciiTheme="minorHAnsi" w:hAnsiTheme="minorHAnsi" w:cs="Calibri"/>
          <w:b/>
          <w:sz w:val="20"/>
          <w:szCs w:val="20"/>
        </w:rPr>
        <w:t>Pozn.:</w:t>
      </w:r>
      <w:r w:rsidRPr="006347BE">
        <w:rPr>
          <w:rFonts w:asciiTheme="minorHAnsi" w:hAnsiTheme="minorHAnsi" w:cs="Calibri"/>
          <w:sz w:val="20"/>
          <w:szCs w:val="20"/>
        </w:rPr>
        <w:t xml:space="preserve"> </w:t>
      </w:r>
      <w:r w:rsidRPr="006347BE">
        <w:rPr>
          <w:rFonts w:asciiTheme="minorHAnsi" w:hAnsiTheme="minorHAnsi" w:cs="Calibri"/>
          <w:sz w:val="20"/>
          <w:szCs w:val="20"/>
        </w:rPr>
        <w:tab/>
        <w:t>Všechny právní předpisy uvedené v tomto kontrolním závěru jsou aplikovány ve znění účinném pro kontrolované období.</w:t>
      </w:r>
    </w:p>
    <w:p w14:paraId="60D5AC43" w14:textId="003E77DC" w:rsidR="00006589" w:rsidRPr="00DC68F7" w:rsidRDefault="00DC40AD" w:rsidP="00DC40AD">
      <w:pPr>
        <w:spacing w:after="160" w:line="259" w:lineRule="auto"/>
        <w:rPr>
          <w:highlight w:val="yellow"/>
          <w:lang w:eastAsia="cs-CZ"/>
        </w:rPr>
      </w:pPr>
      <w:r>
        <w:rPr>
          <w:highlight w:val="yellow"/>
          <w:lang w:eastAsia="cs-CZ"/>
        </w:rPr>
        <w:br w:type="page"/>
      </w:r>
    </w:p>
    <w:p w14:paraId="2B85F9DA" w14:textId="77777777" w:rsidR="0033466E" w:rsidRPr="002F62E6" w:rsidRDefault="00A640AE" w:rsidP="00B41D61">
      <w:pPr>
        <w:pStyle w:val="Nadpis1"/>
        <w:keepNext/>
        <w:spacing w:after="120" w:line="240" w:lineRule="auto"/>
        <w:rPr>
          <w:rFonts w:ascii="Calibri" w:hAnsi="Calibri" w:cs="Calibri"/>
          <w:sz w:val="24"/>
          <w:szCs w:val="24"/>
        </w:rPr>
      </w:pPr>
      <w:r w:rsidRPr="00617B27">
        <w:rPr>
          <w:rFonts w:ascii="Calibri" w:hAnsi="Calibri" w:cs="Calibri"/>
          <w:szCs w:val="24"/>
        </w:rPr>
        <w:lastRenderedPageBreak/>
        <w:t>IV. Podrobné skutečnosti zjištěné kontrolou</w:t>
      </w:r>
    </w:p>
    <w:p w14:paraId="180A8091" w14:textId="77777777" w:rsidR="008C51DA" w:rsidRDefault="006750E2" w:rsidP="00B41D61">
      <w:pPr>
        <w:pStyle w:val="Nadpis2"/>
        <w:keepNext/>
        <w:numPr>
          <w:ilvl w:val="0"/>
          <w:numId w:val="0"/>
        </w:numPr>
        <w:spacing w:after="120" w:line="240" w:lineRule="auto"/>
        <w:contextualSpacing w:val="0"/>
        <w:rPr>
          <w:rFonts w:ascii="Calibri" w:hAnsi="Calibri" w:cs="Calibri"/>
          <w:lang w:eastAsia="cs-CZ"/>
        </w:rPr>
      </w:pPr>
      <w:r>
        <w:rPr>
          <w:rFonts w:ascii="Calibri" w:hAnsi="Calibri" w:cs="Calibri"/>
          <w:lang w:eastAsia="cs-CZ"/>
        </w:rPr>
        <w:t xml:space="preserve">1. </w:t>
      </w:r>
      <w:r w:rsidR="008C51DA">
        <w:rPr>
          <w:rFonts w:ascii="Calibri" w:hAnsi="Calibri" w:cs="Calibri"/>
          <w:lang w:eastAsia="cs-CZ"/>
        </w:rPr>
        <w:t>Vedení účetnictví</w:t>
      </w:r>
    </w:p>
    <w:p w14:paraId="65F2EE00" w14:textId="77777777" w:rsidR="00500B62" w:rsidRPr="00500B62" w:rsidRDefault="00500B62" w:rsidP="00B41D61">
      <w:pPr>
        <w:pStyle w:val="Nadpis2"/>
        <w:keepNext/>
        <w:numPr>
          <w:ilvl w:val="0"/>
          <w:numId w:val="0"/>
        </w:numPr>
        <w:spacing w:after="120" w:line="240" w:lineRule="auto"/>
        <w:contextualSpacing w:val="0"/>
        <w:rPr>
          <w:rFonts w:ascii="Calibri" w:hAnsi="Calibri" w:cs="Calibri"/>
          <w:lang w:eastAsia="cs-CZ"/>
        </w:rPr>
      </w:pPr>
      <w:r w:rsidRPr="00500B62">
        <w:rPr>
          <w:rFonts w:ascii="Calibri" w:hAnsi="Calibri" w:cs="Calibri"/>
          <w:lang w:eastAsia="cs-CZ"/>
        </w:rPr>
        <w:t>1.1 Neúčtování o zálohách z poskytnutých transferů</w:t>
      </w:r>
    </w:p>
    <w:p w14:paraId="33A16019" w14:textId="06FAC041" w:rsidR="00141B7D" w:rsidRPr="00031611" w:rsidRDefault="00141B7D" w:rsidP="00B41D61">
      <w:pPr>
        <w:jc w:val="both"/>
        <w:rPr>
          <w:rFonts w:cstheme="minorHAnsi"/>
        </w:rPr>
      </w:pPr>
      <w:r w:rsidRPr="00031611">
        <w:rPr>
          <w:rFonts w:cstheme="minorHAnsi"/>
        </w:rPr>
        <w:t>MPO jako vybraná účetní jednotka má v případě transferů, které jsou realizovány před splněním povinnosti jejich vyúčtování (nejpozději k okamžiku provedení finančního vypořádání) účtovat dle bodů 3.4 a 5.2.1 ČÚS č. 703</w:t>
      </w:r>
      <w:r w:rsidR="00B67234">
        <w:rPr>
          <w:rFonts w:cstheme="minorHAnsi"/>
        </w:rPr>
        <w:t> </w:t>
      </w:r>
      <w:r w:rsidR="00E36631">
        <w:rPr>
          <w:rFonts w:cstheme="minorHAnsi"/>
        </w:rPr>
        <w:t>–</w:t>
      </w:r>
      <w:r w:rsidR="00B67234">
        <w:rPr>
          <w:rFonts w:cstheme="minorHAnsi"/>
        </w:rPr>
        <w:t> </w:t>
      </w:r>
      <w:r w:rsidRPr="00602AA8">
        <w:rPr>
          <w:rFonts w:cstheme="minorHAnsi"/>
          <w:i/>
        </w:rPr>
        <w:t>Transfery</w:t>
      </w:r>
      <w:r w:rsidRPr="00031611">
        <w:rPr>
          <w:rFonts w:cstheme="minorHAnsi"/>
        </w:rPr>
        <w:t xml:space="preserve"> o takových peněžních částkách jako o zálohách, které jsou dle </w:t>
      </w:r>
      <w:r w:rsidR="00446AA2">
        <w:rPr>
          <w:rFonts w:cstheme="minorHAnsi"/>
        </w:rPr>
        <w:t xml:space="preserve">ustanovení </w:t>
      </w:r>
      <w:r w:rsidRPr="00031611">
        <w:rPr>
          <w:rFonts w:cstheme="minorHAnsi"/>
        </w:rPr>
        <w:t xml:space="preserve">§ 2 odst. 1 </w:t>
      </w:r>
      <w:r w:rsidR="00BE7F32" w:rsidRPr="00BE7F32">
        <w:rPr>
          <w:rFonts w:cstheme="minorHAnsi"/>
        </w:rPr>
        <w:t>zákona č. 563/1991 Sb.</w:t>
      </w:r>
      <w:r w:rsidR="00BE7F32">
        <w:rPr>
          <w:rFonts w:cstheme="minorHAnsi"/>
        </w:rPr>
        <w:t xml:space="preserve"> </w:t>
      </w:r>
      <w:r w:rsidRPr="00031611">
        <w:rPr>
          <w:rFonts w:cstheme="minorHAnsi"/>
        </w:rPr>
        <w:t>předmětem účetnictví.</w:t>
      </w:r>
    </w:p>
    <w:p w14:paraId="50F080B6" w14:textId="5CAE441F" w:rsidR="00C84DE3" w:rsidRPr="0083257E" w:rsidRDefault="00141B7D" w:rsidP="00B41D61">
      <w:pPr>
        <w:jc w:val="both"/>
        <w:rPr>
          <w:rFonts w:cstheme="minorHAnsi"/>
          <w:b/>
        </w:rPr>
      </w:pPr>
      <w:r w:rsidRPr="00031611">
        <w:rPr>
          <w:rFonts w:cstheme="minorHAnsi"/>
        </w:rPr>
        <w:t>MPO</w:t>
      </w:r>
      <w:r w:rsidR="00800C1B">
        <w:rPr>
          <w:rFonts w:cstheme="minorHAnsi"/>
        </w:rPr>
        <w:t xml:space="preserve"> </w:t>
      </w:r>
      <w:r w:rsidR="00C84DE3">
        <w:rPr>
          <w:rFonts w:cstheme="minorHAnsi"/>
        </w:rPr>
        <w:t xml:space="preserve">v případě transferů, které byly </w:t>
      </w:r>
      <w:r w:rsidRPr="00031611">
        <w:rPr>
          <w:rFonts w:cstheme="minorHAnsi"/>
        </w:rPr>
        <w:t>poskytov</w:t>
      </w:r>
      <w:r w:rsidR="00C84DE3">
        <w:rPr>
          <w:rFonts w:cstheme="minorHAnsi"/>
        </w:rPr>
        <w:t xml:space="preserve">ány ze státního rozpočtu a byly </w:t>
      </w:r>
      <w:r w:rsidR="0083257E">
        <w:rPr>
          <w:rFonts w:cstheme="minorHAnsi"/>
        </w:rPr>
        <w:t xml:space="preserve">s povinností </w:t>
      </w:r>
      <w:r w:rsidR="00C84DE3">
        <w:rPr>
          <w:rFonts w:cstheme="minorHAnsi"/>
        </w:rPr>
        <w:t>finanční</w:t>
      </w:r>
      <w:r w:rsidR="0083257E">
        <w:rPr>
          <w:rFonts w:cstheme="minorHAnsi"/>
        </w:rPr>
        <w:t>ho</w:t>
      </w:r>
      <w:r w:rsidR="00C84DE3">
        <w:rPr>
          <w:rFonts w:cstheme="minorHAnsi"/>
        </w:rPr>
        <w:t xml:space="preserve"> vypořádání</w:t>
      </w:r>
      <w:r w:rsidR="002D39E0">
        <w:rPr>
          <w:rFonts w:cstheme="minorHAnsi"/>
        </w:rPr>
        <w:t>,</w:t>
      </w:r>
      <w:r w:rsidR="00C84DE3">
        <w:rPr>
          <w:rFonts w:cstheme="minorHAnsi"/>
        </w:rPr>
        <w:t xml:space="preserve"> </w:t>
      </w:r>
      <w:r w:rsidRPr="0033459D">
        <w:rPr>
          <w:rFonts w:cstheme="minorHAnsi"/>
          <w:b/>
        </w:rPr>
        <w:t>aplikovalo</w:t>
      </w:r>
      <w:r w:rsidR="0083257E">
        <w:rPr>
          <w:rFonts w:cstheme="minorHAnsi"/>
          <w:b/>
        </w:rPr>
        <w:t xml:space="preserve"> </w:t>
      </w:r>
      <w:r w:rsidR="00C84DE3">
        <w:rPr>
          <w:rFonts w:cstheme="minorHAnsi"/>
          <w:b/>
        </w:rPr>
        <w:t xml:space="preserve">k okamžiku účtování účetního případu </w:t>
      </w:r>
      <w:r w:rsidRPr="0033459D">
        <w:rPr>
          <w:rFonts w:cstheme="minorHAnsi"/>
          <w:b/>
        </w:rPr>
        <w:t xml:space="preserve">významnost </w:t>
      </w:r>
      <w:r w:rsidR="0083257E">
        <w:rPr>
          <w:rFonts w:cstheme="minorHAnsi"/>
          <w:b/>
        </w:rPr>
        <w:t>v návaznosti na</w:t>
      </w:r>
      <w:r w:rsidRPr="0033459D">
        <w:rPr>
          <w:rFonts w:cstheme="minorHAnsi"/>
          <w:b/>
        </w:rPr>
        <w:t xml:space="preserve"> ČÚS č. 701 – </w:t>
      </w:r>
      <w:r w:rsidRPr="0083257E">
        <w:rPr>
          <w:rFonts w:cstheme="minorHAnsi"/>
          <w:b/>
          <w:i/>
        </w:rPr>
        <w:t>Účty a zásady účtování na účtech</w:t>
      </w:r>
      <w:r w:rsidR="0083257E">
        <w:rPr>
          <w:rFonts w:cstheme="minorHAnsi"/>
          <w:b/>
        </w:rPr>
        <w:t>, kterou si stanovilo</w:t>
      </w:r>
      <w:r w:rsidRPr="0033459D">
        <w:rPr>
          <w:rFonts w:cstheme="minorHAnsi"/>
          <w:b/>
        </w:rPr>
        <w:t xml:space="preserve"> ve svém vnitřním předpisu</w:t>
      </w:r>
      <w:r w:rsidRPr="0033459D">
        <w:rPr>
          <w:rStyle w:val="Znakapoznpodarou"/>
          <w:rFonts w:cstheme="minorHAnsi"/>
          <w:b/>
        </w:rPr>
        <w:footnoteReference w:id="36"/>
      </w:r>
      <w:r w:rsidR="0083257E">
        <w:rPr>
          <w:rFonts w:cstheme="minorHAnsi"/>
          <w:b/>
        </w:rPr>
        <w:t xml:space="preserve">. Tím ale MPO nastavilo svoje postupy tak, že aplikovalo v těchto případech postup účtování pro </w:t>
      </w:r>
      <w:r w:rsidR="0005257E" w:rsidRPr="00D7540C">
        <w:rPr>
          <w:rFonts w:eastAsia="Calibri"/>
          <w:b/>
        </w:rPr>
        <w:t>poskytov</w:t>
      </w:r>
      <w:r w:rsidR="0083257E">
        <w:rPr>
          <w:rFonts w:eastAsia="Calibri"/>
          <w:b/>
        </w:rPr>
        <w:t>ání</w:t>
      </w:r>
      <w:r w:rsidR="0005257E" w:rsidRPr="00D7540C">
        <w:rPr>
          <w:rFonts w:eastAsia="Calibri"/>
          <w:b/>
        </w:rPr>
        <w:t xml:space="preserve"> transferu</w:t>
      </w:r>
      <w:r w:rsidR="0083257E">
        <w:rPr>
          <w:rFonts w:eastAsia="Calibri"/>
          <w:b/>
        </w:rPr>
        <w:t>, který není určen</w:t>
      </w:r>
      <w:r w:rsidR="0005257E" w:rsidRPr="00D7540C">
        <w:rPr>
          <w:rFonts w:eastAsia="Calibri"/>
          <w:b/>
        </w:rPr>
        <w:t xml:space="preserve"> </w:t>
      </w:r>
      <w:r w:rsidR="0083257E">
        <w:rPr>
          <w:rFonts w:eastAsia="Calibri"/>
          <w:b/>
        </w:rPr>
        <w:t xml:space="preserve">k </w:t>
      </w:r>
      <w:r w:rsidR="0005257E" w:rsidRPr="00D7540C">
        <w:rPr>
          <w:rFonts w:eastAsia="Calibri"/>
          <w:b/>
        </w:rPr>
        <w:t>finanční</w:t>
      </w:r>
      <w:r w:rsidR="0083257E">
        <w:rPr>
          <w:rFonts w:eastAsia="Calibri"/>
          <w:b/>
        </w:rPr>
        <w:t>mu</w:t>
      </w:r>
      <w:r w:rsidR="0005257E" w:rsidRPr="00D7540C">
        <w:rPr>
          <w:rFonts w:eastAsia="Calibri"/>
          <w:b/>
        </w:rPr>
        <w:t xml:space="preserve"> vypořádání </w:t>
      </w:r>
      <w:r w:rsidR="0083257E">
        <w:rPr>
          <w:rFonts w:eastAsia="Calibri"/>
          <w:b/>
        </w:rPr>
        <w:t>(viz</w:t>
      </w:r>
      <w:r w:rsidR="0005257E">
        <w:rPr>
          <w:rFonts w:eastAsia="Calibri"/>
          <w:b/>
        </w:rPr>
        <w:t xml:space="preserve"> bod 5.4 ČÚS č. 703</w:t>
      </w:r>
      <w:r w:rsidR="0083257E">
        <w:rPr>
          <w:rFonts w:eastAsia="Calibri"/>
          <w:b/>
        </w:rPr>
        <w:t>)</w:t>
      </w:r>
      <w:r w:rsidR="0005257E" w:rsidRPr="00D7540C">
        <w:rPr>
          <w:rFonts w:eastAsia="Calibri"/>
          <w:b/>
        </w:rPr>
        <w:t xml:space="preserve">. </w:t>
      </w:r>
    </w:p>
    <w:p w14:paraId="3586B9F5" w14:textId="77777777" w:rsidR="00800C1B" w:rsidRDefault="0005257E" w:rsidP="00B41D61">
      <w:pPr>
        <w:jc w:val="both"/>
        <w:rPr>
          <w:rFonts w:eastAsia="Calibri"/>
        </w:rPr>
      </w:pPr>
      <w:r w:rsidRPr="00C84DE3">
        <w:rPr>
          <w:rFonts w:eastAsia="Calibri"/>
        </w:rPr>
        <w:t>V</w:t>
      </w:r>
      <w:r w:rsidR="0083257E">
        <w:rPr>
          <w:rFonts w:eastAsia="Calibri"/>
        </w:rPr>
        <w:t> důsledku aplikace tohoto vnitřního předpisu účtovalo MPO v </w:t>
      </w:r>
      <w:r w:rsidRPr="00C84DE3">
        <w:rPr>
          <w:rFonts w:eastAsia="Calibri"/>
        </w:rPr>
        <w:t>okamžiku</w:t>
      </w:r>
      <w:r w:rsidR="0083257E">
        <w:rPr>
          <w:rFonts w:eastAsia="Calibri"/>
        </w:rPr>
        <w:t xml:space="preserve"> poskytnutí </w:t>
      </w:r>
      <w:r w:rsidRPr="00C84DE3">
        <w:rPr>
          <w:rFonts w:eastAsia="Calibri"/>
        </w:rPr>
        <w:t>transfer</w:t>
      </w:r>
      <w:r w:rsidR="0083257E">
        <w:rPr>
          <w:rFonts w:eastAsia="Calibri"/>
        </w:rPr>
        <w:t>u</w:t>
      </w:r>
      <w:r w:rsidRPr="00C84DE3">
        <w:rPr>
          <w:rFonts w:eastAsia="Calibri"/>
        </w:rPr>
        <w:t xml:space="preserve"> příjemci o vzniku závazku</w:t>
      </w:r>
      <w:r w:rsidR="0083257E">
        <w:rPr>
          <w:rFonts w:eastAsia="Calibri"/>
        </w:rPr>
        <w:t xml:space="preserve"> a o nákladech</w:t>
      </w:r>
      <w:r w:rsidRPr="00C84DE3">
        <w:rPr>
          <w:rFonts w:eastAsia="Calibri"/>
        </w:rPr>
        <w:t xml:space="preserve">. </w:t>
      </w:r>
      <w:r w:rsidR="00800C1B">
        <w:rPr>
          <w:rFonts w:eastAsia="Calibri"/>
        </w:rPr>
        <w:t xml:space="preserve">Závazek následně splnilo poskytnutím peněžních prostředků z bankovního účtu. </w:t>
      </w:r>
    </w:p>
    <w:p w14:paraId="0C98BECE" w14:textId="2478302E" w:rsidR="0005257E" w:rsidRPr="00C84DE3" w:rsidRDefault="0005257E" w:rsidP="00B41D61">
      <w:pPr>
        <w:jc w:val="both"/>
        <w:rPr>
          <w:rFonts w:eastAsia="Calibri"/>
        </w:rPr>
      </w:pPr>
      <w:r w:rsidRPr="00C84DE3">
        <w:rPr>
          <w:rFonts w:eastAsia="Calibri"/>
        </w:rPr>
        <w:t>Pokud však např. z rozhodnutí o poskytnutí dotace, ze smlouvy nebo z podmínek poskytnutí transferu vyplývá, že MPO prostředky státního rozpočtu poskytuje příjemci v průběhu účetního období a příjemce je dle stanovených podmínek až následně po poskytnutí prostředků v rámci vyúčtování</w:t>
      </w:r>
      <w:r w:rsidR="007E6C0C">
        <w:rPr>
          <w:rFonts w:eastAsia="Calibri"/>
        </w:rPr>
        <w:t xml:space="preserve"> </w:t>
      </w:r>
      <w:r w:rsidRPr="00C84DE3">
        <w:rPr>
          <w:rFonts w:eastAsia="Calibri"/>
        </w:rPr>
        <w:t>/</w:t>
      </w:r>
      <w:r w:rsidR="007E6C0C">
        <w:rPr>
          <w:rFonts w:eastAsia="Calibri"/>
        </w:rPr>
        <w:t xml:space="preserve"> </w:t>
      </w:r>
      <w:r w:rsidRPr="00C84DE3">
        <w:rPr>
          <w:rFonts w:eastAsia="Calibri"/>
        </w:rPr>
        <w:t>finančního vypořádání povinen doložit naplněný účel, skutečnou výši přijatého poskytnutého transferu a splnění podmínek pro čerpání transferu, ne</w:t>
      </w:r>
      <w:r w:rsidR="0083257E">
        <w:rPr>
          <w:rFonts w:eastAsia="Calibri"/>
        </w:rPr>
        <w:t>jsou</w:t>
      </w:r>
      <w:r w:rsidRPr="00C84DE3">
        <w:rPr>
          <w:rFonts w:eastAsia="Calibri"/>
        </w:rPr>
        <w:t xml:space="preserve"> v okamžiku poskytnutí těchto prostředků příjemci splněny podmínky stanovené v bodu 4.3 ČÚS č. 703 pro vykázání závazku ze strany poskytovatele transferu. </w:t>
      </w:r>
    </w:p>
    <w:p w14:paraId="5ADC8D4C" w14:textId="454ABB8B" w:rsidR="0005257E" w:rsidRPr="00800C1B" w:rsidRDefault="0005257E" w:rsidP="00B41D61">
      <w:pPr>
        <w:jc w:val="both"/>
        <w:rPr>
          <w:rFonts w:eastAsia="Calibri"/>
        </w:rPr>
      </w:pPr>
      <w:r w:rsidRPr="00800C1B">
        <w:rPr>
          <w:rFonts w:eastAsia="Calibri"/>
          <w:b/>
        </w:rPr>
        <w:t xml:space="preserve">Dle </w:t>
      </w:r>
      <w:r w:rsidR="00646386">
        <w:rPr>
          <w:rFonts w:eastAsia="Calibri"/>
          <w:b/>
        </w:rPr>
        <w:t>bodu 4.3 ČÚS č. 703</w:t>
      </w:r>
      <w:r w:rsidRPr="00800C1B">
        <w:rPr>
          <w:rFonts w:eastAsia="Calibri"/>
          <w:b/>
        </w:rPr>
        <w:t xml:space="preserve"> může poskytovatel transferu o vzniku závazku účtovat pouze na základě průkazného účetního záznamu, který prokazuje, že nastaly skutečnosti, ze kterých vyplývá nezpochybnitelnost důvodu poskytnutí transferu</w:t>
      </w:r>
      <w:r w:rsidR="007E6C0C">
        <w:rPr>
          <w:rFonts w:eastAsia="Calibri"/>
          <w:b/>
        </w:rPr>
        <w:t>,</w:t>
      </w:r>
      <w:r w:rsidRPr="00800C1B">
        <w:rPr>
          <w:rFonts w:eastAsia="Calibri"/>
          <w:b/>
        </w:rPr>
        <w:t xml:space="preserve"> a je známa jeho výše a okamžik nebo lhůta poskytnutí transferu</w:t>
      </w:r>
      <w:r w:rsidRPr="00602AA8">
        <w:rPr>
          <w:rFonts w:eastAsia="Calibri"/>
          <w:b/>
        </w:rPr>
        <w:t>.</w:t>
      </w:r>
      <w:r w:rsidRPr="00800C1B">
        <w:rPr>
          <w:rFonts w:eastAsia="Calibri"/>
        </w:rPr>
        <w:t xml:space="preserve"> Proto se takové poskytnutí prostředků, kdy lze zpochybnit jejich výši a odůvodněnost, neboť příjemce nedoložil účel a splnění podmínek pro použití prostředků státního rozpočtu, vykazuje průběžně v souladu s bodem 3.4 ČÚS č. 703 jako záloha na poskytnutý transfer. Poskytovateli vzniká pohledávka, kterou bude možné zúčtovat až v</w:t>
      </w:r>
      <w:r w:rsidR="00602AA8">
        <w:rPr>
          <w:rFonts w:eastAsia="Calibri"/>
        </w:rPr>
        <w:t> </w:t>
      </w:r>
      <w:r w:rsidRPr="00800C1B">
        <w:rPr>
          <w:rFonts w:eastAsia="Calibri"/>
        </w:rPr>
        <w:t>okamžiku, kdy budou splněny podmínky pro zaúčtování závazku vyplývající z podmínek stanovených právním aktem o poskytnutí transferu. Účetní výkazy pak uživatelům v průběhu účetního období do doby vyúčtování</w:t>
      </w:r>
      <w:r w:rsidR="007E6C0C">
        <w:rPr>
          <w:rFonts w:eastAsia="Calibri"/>
        </w:rPr>
        <w:t xml:space="preserve"> </w:t>
      </w:r>
      <w:r w:rsidRPr="00800C1B">
        <w:rPr>
          <w:rFonts w:eastAsia="Calibri"/>
        </w:rPr>
        <w:t>/</w:t>
      </w:r>
      <w:r w:rsidR="007E6C0C">
        <w:rPr>
          <w:rFonts w:eastAsia="Calibri"/>
        </w:rPr>
        <w:t xml:space="preserve"> </w:t>
      </w:r>
      <w:r w:rsidRPr="00800C1B">
        <w:rPr>
          <w:rFonts w:eastAsia="Calibri"/>
        </w:rPr>
        <w:t>finančního vypořádání poskytují z hlediska věcného významnou informaci o tom, že ze státního rozpočtu byly vynaloženy formou transferu prostředky, avšak tyto prostředky ještě nebyly vypořádány, neboť příjemce nedoložil stanoveným způsobem skutečnou výši prostředků stá</w:t>
      </w:r>
      <w:r w:rsidR="00F0130B">
        <w:rPr>
          <w:rFonts w:eastAsia="Calibri"/>
        </w:rPr>
        <w:t>tního rozpočtu spotřebovaných v </w:t>
      </w:r>
      <w:r w:rsidRPr="00800C1B">
        <w:rPr>
          <w:rFonts w:eastAsia="Calibri"/>
        </w:rPr>
        <w:t xml:space="preserve">souladu s podmínkami, za kterých tyto prostředky obdržel. Až na základě této průkazné informace může účetní jednotka aplikovat postup stanovený v bodech 4.3, 5.2.2 nebo 5.2.3 ČÚS č. 703 a vykázat závazek, který vyjadřuje nezpochybnitelnou výši nároku na prostředky </w:t>
      </w:r>
      <w:r w:rsidRPr="00800C1B">
        <w:rPr>
          <w:rFonts w:eastAsia="Calibri"/>
        </w:rPr>
        <w:lastRenderedPageBreak/>
        <w:t xml:space="preserve">státního rozpočtu, tj. skutečnost, že prostředky státního rozpočtu byly vynaloženy na stanovený účel a v souladu se stanovenými podmínkami. </w:t>
      </w:r>
    </w:p>
    <w:p w14:paraId="5A2579BE" w14:textId="4E6715FC" w:rsidR="00800C1B" w:rsidRDefault="00E27D89" w:rsidP="00B41D61">
      <w:pPr>
        <w:jc w:val="both"/>
        <w:rPr>
          <w:b/>
        </w:rPr>
      </w:pPr>
      <w:r w:rsidRPr="001A443F">
        <w:rPr>
          <w:rFonts w:eastAsia="Calibri"/>
          <w:b/>
        </w:rPr>
        <w:t>V</w:t>
      </w:r>
      <w:r>
        <w:rPr>
          <w:rFonts w:eastAsia="Calibri"/>
          <w:b/>
        </w:rPr>
        <w:t> </w:t>
      </w:r>
      <w:r w:rsidRPr="001A443F">
        <w:rPr>
          <w:rFonts w:eastAsia="Calibri"/>
          <w:b/>
        </w:rPr>
        <w:t>případě</w:t>
      </w:r>
      <w:r>
        <w:rPr>
          <w:rFonts w:eastAsia="Calibri"/>
          <w:b/>
        </w:rPr>
        <w:t xml:space="preserve"> těchto transferů </w:t>
      </w:r>
      <w:r w:rsidRPr="00602A51">
        <w:rPr>
          <w:rFonts w:eastAsia="Calibri"/>
          <w:b/>
        </w:rPr>
        <w:t>nemělo</w:t>
      </w:r>
      <w:r w:rsidRPr="001A443F">
        <w:rPr>
          <w:rFonts w:eastAsia="Calibri"/>
          <w:b/>
        </w:rPr>
        <w:t xml:space="preserve"> </w:t>
      </w:r>
      <w:r>
        <w:rPr>
          <w:rFonts w:eastAsia="Calibri"/>
          <w:b/>
        </w:rPr>
        <w:t xml:space="preserve">MPO v okamžiku jeho poskytnutí průkaznou </w:t>
      </w:r>
      <w:r w:rsidR="00F0130B">
        <w:rPr>
          <w:rFonts w:eastAsia="Calibri"/>
          <w:b/>
        </w:rPr>
        <w:t>informaci o </w:t>
      </w:r>
      <w:r w:rsidRPr="001A443F">
        <w:rPr>
          <w:rFonts w:eastAsia="Calibri"/>
          <w:b/>
        </w:rPr>
        <w:t xml:space="preserve">tom, zda příjemce k okamžiku, kdy MPO účtovalo o </w:t>
      </w:r>
      <w:r>
        <w:rPr>
          <w:rFonts w:eastAsia="Calibri"/>
          <w:b/>
        </w:rPr>
        <w:t xml:space="preserve">vzniku </w:t>
      </w:r>
      <w:r w:rsidRPr="001A443F">
        <w:rPr>
          <w:rFonts w:eastAsia="Calibri"/>
          <w:b/>
        </w:rPr>
        <w:t xml:space="preserve">závazku vůči příjemci, splnil </w:t>
      </w:r>
      <w:r>
        <w:rPr>
          <w:rFonts w:eastAsia="Calibri"/>
          <w:b/>
        </w:rPr>
        <w:t xml:space="preserve">účel a </w:t>
      </w:r>
      <w:r w:rsidRPr="001A443F">
        <w:rPr>
          <w:rFonts w:eastAsia="Calibri"/>
          <w:b/>
        </w:rPr>
        <w:t>veškeré podmínky stanovené v právním aktu pro poskytnutí transferu ze státního rozpočtu</w:t>
      </w:r>
      <w:r w:rsidR="003769E5">
        <w:rPr>
          <w:rFonts w:eastAsia="Calibri"/>
          <w:b/>
        </w:rPr>
        <w:t>,</w:t>
      </w:r>
      <w:r w:rsidRPr="001A443F">
        <w:rPr>
          <w:rFonts w:eastAsia="Calibri"/>
          <w:b/>
        </w:rPr>
        <w:t xml:space="preserve"> a </w:t>
      </w:r>
      <w:r>
        <w:rPr>
          <w:rFonts w:eastAsia="Calibri"/>
          <w:b/>
        </w:rPr>
        <w:t xml:space="preserve">tím </w:t>
      </w:r>
      <w:r w:rsidRPr="00602A51">
        <w:rPr>
          <w:rFonts w:eastAsia="Calibri"/>
          <w:b/>
        </w:rPr>
        <w:t xml:space="preserve">byla výše a důvody prostředků poskytnutých ze státního rozpočtu </w:t>
      </w:r>
      <w:r w:rsidRPr="00820725">
        <w:rPr>
          <w:rFonts w:eastAsia="Calibri"/>
          <w:b/>
        </w:rPr>
        <w:t>zpochybniteln</w:t>
      </w:r>
      <w:r w:rsidR="00D71A28">
        <w:rPr>
          <w:rFonts w:eastAsia="Calibri"/>
          <w:b/>
        </w:rPr>
        <w:t>á.</w:t>
      </w:r>
      <w:r w:rsidRPr="00602A51">
        <w:rPr>
          <w:rFonts w:eastAsia="Calibri"/>
          <w:b/>
        </w:rPr>
        <w:t xml:space="preserve"> </w:t>
      </w:r>
      <w:r w:rsidRPr="00800C1B">
        <w:t xml:space="preserve">MPO porušilo </w:t>
      </w:r>
      <w:r w:rsidR="00F0130B">
        <w:t xml:space="preserve">ustanovení </w:t>
      </w:r>
      <w:r w:rsidRPr="00800C1B">
        <w:t xml:space="preserve">§ 36 odst. 1 </w:t>
      </w:r>
      <w:r w:rsidR="00BE7F32" w:rsidRPr="003A523F">
        <w:rPr>
          <w:rFonts w:eastAsiaTheme="minorHAnsi" w:cs="Calibri"/>
        </w:rPr>
        <w:t>zákona č. 563/1991 Sb.</w:t>
      </w:r>
      <w:r w:rsidRPr="00BE7F32">
        <w:t>,</w:t>
      </w:r>
      <w:r w:rsidRPr="00800C1B">
        <w:t xml:space="preserve"> neboť nepostupovalo podle ČÚS č. 703, který stanoví základní postupy účtování transferů za účelem docílení souladu při používání účetních metod některými vybranými účetními jednotkami, tj. také MPO. Použití standardů účetními jednotkami se dle uvedeného ustanovení považuje za naplnění účetních metod a věrného a poctivého obrazu předmětu účetnictví.</w:t>
      </w:r>
      <w:r w:rsidRPr="001A443F">
        <w:rPr>
          <w:b/>
        </w:rPr>
        <w:t xml:space="preserve"> </w:t>
      </w:r>
    </w:p>
    <w:p w14:paraId="6ABC65C2" w14:textId="6BC9409A" w:rsidR="00800C1B" w:rsidRDefault="00E27D89" w:rsidP="00B41D61">
      <w:pPr>
        <w:jc w:val="both"/>
        <w:rPr>
          <w:rFonts w:cstheme="minorHAnsi"/>
          <w:bCs/>
          <w:iCs/>
        </w:rPr>
      </w:pPr>
      <w:r w:rsidRPr="001A443F">
        <w:rPr>
          <w:b/>
        </w:rPr>
        <w:t xml:space="preserve">MPO mělo dle bodů 3.4 a 5.2.1 ČÚS č. 703 o transferech ve výši </w:t>
      </w:r>
      <w:r w:rsidRPr="00FD10ED">
        <w:rPr>
          <w:b/>
        </w:rPr>
        <w:t>27</w:t>
      </w:r>
      <w:r>
        <w:rPr>
          <w:b/>
        </w:rPr>
        <w:t> </w:t>
      </w:r>
      <w:r w:rsidR="00C71B77">
        <w:rPr>
          <w:b/>
        </w:rPr>
        <w:t>mld.</w:t>
      </w:r>
      <w:r w:rsidRPr="00FD10ED">
        <w:rPr>
          <w:b/>
        </w:rPr>
        <w:t xml:space="preserve"> Kč,</w:t>
      </w:r>
      <w:r w:rsidRPr="001A443F">
        <w:rPr>
          <w:b/>
        </w:rPr>
        <w:t xml:space="preserve"> které příjemci poskytlo před splněním povinnosti jejich vyúčtování</w:t>
      </w:r>
      <w:r>
        <w:rPr>
          <w:b/>
        </w:rPr>
        <w:t>, průběžně</w:t>
      </w:r>
      <w:r w:rsidRPr="001A443F">
        <w:rPr>
          <w:b/>
        </w:rPr>
        <w:t xml:space="preserve"> účtovat jako o zálohách na účtu 373</w:t>
      </w:r>
      <w:r w:rsidRPr="001A443F">
        <w:rPr>
          <w:b/>
          <w:i/>
        </w:rPr>
        <w:t xml:space="preserve"> – Krátkodobé poskytnuté zálohy na transfery</w:t>
      </w:r>
      <w:r w:rsidRPr="001A443F">
        <w:rPr>
          <w:b/>
        </w:rPr>
        <w:t xml:space="preserve"> nebo 471 – </w:t>
      </w:r>
      <w:r w:rsidRPr="001A443F">
        <w:rPr>
          <w:b/>
          <w:i/>
        </w:rPr>
        <w:t>Dlouhodobé</w:t>
      </w:r>
      <w:r>
        <w:rPr>
          <w:b/>
          <w:i/>
        </w:rPr>
        <w:t xml:space="preserve"> poskytnuté zálohy na transfery </w:t>
      </w:r>
      <w:r>
        <w:rPr>
          <w:b/>
        </w:rPr>
        <w:t xml:space="preserve">a </w:t>
      </w:r>
      <w:r w:rsidRPr="001A443F">
        <w:rPr>
          <w:b/>
        </w:rPr>
        <w:t>dále účtovat v závislosti na konkrétním případu dle bodů</w:t>
      </w:r>
      <w:r>
        <w:rPr>
          <w:b/>
        </w:rPr>
        <w:t xml:space="preserve"> 5.2.2 nebo 5.2.3 ČÚS č. 703.</w:t>
      </w:r>
      <w:r w:rsidR="00800C1B">
        <w:rPr>
          <w:b/>
        </w:rPr>
        <w:t xml:space="preserve"> </w:t>
      </w:r>
      <w:r w:rsidR="00141B7D" w:rsidRPr="00031611">
        <w:rPr>
          <w:rFonts w:cstheme="minorHAnsi"/>
          <w:bCs/>
          <w:iCs/>
        </w:rPr>
        <w:t xml:space="preserve">MPO </w:t>
      </w:r>
      <w:r w:rsidR="00800C1B">
        <w:rPr>
          <w:rFonts w:cstheme="minorHAnsi"/>
          <w:bCs/>
          <w:iCs/>
        </w:rPr>
        <w:t xml:space="preserve">tak </w:t>
      </w:r>
      <w:r w:rsidR="00141B7D" w:rsidRPr="00031611">
        <w:rPr>
          <w:rFonts w:cstheme="minorHAnsi"/>
          <w:bCs/>
          <w:iCs/>
        </w:rPr>
        <w:t xml:space="preserve">mělo povinnost </w:t>
      </w:r>
      <w:r w:rsidR="00800C1B">
        <w:rPr>
          <w:rFonts w:cstheme="minorHAnsi"/>
          <w:bCs/>
          <w:iCs/>
        </w:rPr>
        <w:t>účtovat</w:t>
      </w:r>
      <w:r w:rsidR="00141B7D" w:rsidRPr="00031611">
        <w:rPr>
          <w:rFonts w:cstheme="minorHAnsi"/>
          <w:bCs/>
          <w:iCs/>
        </w:rPr>
        <w:t xml:space="preserve"> v okamžiku poskytnutí </w:t>
      </w:r>
      <w:r w:rsidR="00800C1B">
        <w:rPr>
          <w:rFonts w:cstheme="minorHAnsi"/>
          <w:bCs/>
          <w:iCs/>
        </w:rPr>
        <w:t xml:space="preserve">těchto </w:t>
      </w:r>
      <w:r w:rsidR="00141B7D" w:rsidRPr="00031611">
        <w:rPr>
          <w:rFonts w:cstheme="minorHAnsi"/>
          <w:bCs/>
          <w:iCs/>
        </w:rPr>
        <w:t>peněžn</w:t>
      </w:r>
      <w:r w:rsidR="0005257E">
        <w:rPr>
          <w:rFonts w:cstheme="minorHAnsi"/>
          <w:bCs/>
          <w:iCs/>
        </w:rPr>
        <w:t>ích prostředků o pohybu majetku</w:t>
      </w:r>
      <w:r w:rsidR="00893896">
        <w:rPr>
          <w:rFonts w:cstheme="minorHAnsi"/>
          <w:bCs/>
          <w:iCs/>
        </w:rPr>
        <w:t>,</w:t>
      </w:r>
      <w:r>
        <w:rPr>
          <w:rFonts w:cstheme="minorHAnsi"/>
          <w:bCs/>
          <w:iCs/>
        </w:rPr>
        <w:t xml:space="preserve"> tj. o</w:t>
      </w:r>
      <w:r w:rsidR="0005257E">
        <w:rPr>
          <w:rFonts w:cstheme="minorHAnsi"/>
          <w:bCs/>
          <w:iCs/>
        </w:rPr>
        <w:t xml:space="preserve"> změně jeho formy z peněžních prostředků na pohledávku</w:t>
      </w:r>
      <w:r w:rsidR="00893896">
        <w:rPr>
          <w:rFonts w:cstheme="minorHAnsi"/>
          <w:bCs/>
          <w:iCs/>
        </w:rPr>
        <w:t>,</w:t>
      </w:r>
      <w:r w:rsidR="00141B7D" w:rsidRPr="00031611">
        <w:rPr>
          <w:rFonts w:cstheme="minorHAnsi"/>
          <w:bCs/>
          <w:iCs/>
        </w:rPr>
        <w:t xml:space="preserve"> z poskytnutých záloh na transfery. </w:t>
      </w:r>
      <w:r w:rsidR="00E81674">
        <w:rPr>
          <w:rFonts w:cstheme="minorHAnsi"/>
          <w:bCs/>
          <w:iCs/>
        </w:rPr>
        <w:t>V průběhu roku 2020 byly zjištěny tyto skutečnosti ve významné výši, jen u vybraných účetních operací to bylo v celkové částce 27 mld. Kč.</w:t>
      </w:r>
    </w:p>
    <w:p w14:paraId="5898A75B" w14:textId="77777777" w:rsidR="009177D0" w:rsidRPr="00800C1B" w:rsidRDefault="00141B7D" w:rsidP="00B41D61">
      <w:pPr>
        <w:jc w:val="both"/>
        <w:rPr>
          <w:b/>
        </w:rPr>
      </w:pPr>
      <w:r w:rsidRPr="00800C1B">
        <w:rPr>
          <w:rFonts w:cstheme="minorHAnsi"/>
          <w:b/>
          <w:bCs/>
          <w:iCs/>
        </w:rPr>
        <w:t>Aby MPO mohlo řádně plnit své informační povinnosti</w:t>
      </w:r>
      <w:r w:rsidRPr="00800C1B">
        <w:rPr>
          <w:rStyle w:val="Znakapoznpodarou"/>
          <w:rFonts w:cstheme="minorHAnsi"/>
          <w:b/>
          <w:bCs/>
          <w:iCs/>
        </w:rPr>
        <w:footnoteReference w:id="37"/>
      </w:r>
      <w:r w:rsidRPr="00800C1B">
        <w:rPr>
          <w:rFonts w:cstheme="minorHAnsi"/>
          <w:b/>
          <w:bCs/>
          <w:iCs/>
        </w:rPr>
        <w:t xml:space="preserve"> v podobě čtvrtletního sestavování a předávání</w:t>
      </w:r>
      <w:r w:rsidR="00E64769">
        <w:rPr>
          <w:rFonts w:cstheme="minorHAnsi"/>
          <w:b/>
          <w:bCs/>
          <w:iCs/>
        </w:rPr>
        <w:t xml:space="preserve"> údajů</w:t>
      </w:r>
      <w:r w:rsidRPr="00800C1B">
        <w:rPr>
          <w:rFonts w:cstheme="minorHAnsi"/>
          <w:b/>
          <w:bCs/>
          <w:iCs/>
        </w:rPr>
        <w:t xml:space="preserve"> mezitímní účetní závěrky a pomocného analytického přehledu</w:t>
      </w:r>
      <w:r w:rsidR="00E64769">
        <w:rPr>
          <w:rFonts w:cstheme="minorHAnsi"/>
          <w:b/>
          <w:bCs/>
          <w:iCs/>
        </w:rPr>
        <w:t xml:space="preserve"> do CSÚIS</w:t>
      </w:r>
      <w:r w:rsidRPr="00800C1B">
        <w:rPr>
          <w:rFonts w:cstheme="minorHAnsi"/>
          <w:b/>
          <w:bCs/>
          <w:iCs/>
        </w:rPr>
        <w:t>, nemůže tyto informa</w:t>
      </w:r>
      <w:r w:rsidR="00800C1B" w:rsidRPr="00800C1B">
        <w:rPr>
          <w:rFonts w:cstheme="minorHAnsi"/>
          <w:b/>
          <w:bCs/>
          <w:iCs/>
        </w:rPr>
        <w:t xml:space="preserve">ce </w:t>
      </w:r>
      <w:r w:rsidRPr="00800C1B">
        <w:rPr>
          <w:rFonts w:cstheme="minorHAnsi"/>
          <w:b/>
          <w:bCs/>
          <w:iCs/>
        </w:rPr>
        <w:t xml:space="preserve">považovat za </w:t>
      </w:r>
      <w:r w:rsidR="00800C1B" w:rsidRPr="00800C1B">
        <w:rPr>
          <w:rFonts w:cstheme="minorHAnsi"/>
          <w:b/>
          <w:bCs/>
          <w:iCs/>
        </w:rPr>
        <w:t>ne</w:t>
      </w:r>
      <w:r w:rsidRPr="00800C1B">
        <w:rPr>
          <w:rFonts w:cstheme="minorHAnsi"/>
          <w:b/>
          <w:bCs/>
          <w:iCs/>
        </w:rPr>
        <w:t>významné a neúčtovat o nich</w:t>
      </w:r>
      <w:r w:rsidR="009177D0" w:rsidRPr="00800C1B">
        <w:rPr>
          <w:rFonts w:cstheme="minorHAnsi"/>
          <w:b/>
          <w:bCs/>
          <w:iCs/>
        </w:rPr>
        <w:t xml:space="preserve"> s odkazem na minulou zkušenost</w:t>
      </w:r>
      <w:r w:rsidRPr="00602AA8">
        <w:rPr>
          <w:rFonts w:cstheme="minorHAnsi"/>
          <w:b/>
          <w:bCs/>
          <w:iCs/>
        </w:rPr>
        <w:t>.</w:t>
      </w:r>
      <w:r w:rsidRPr="00031611">
        <w:rPr>
          <w:rFonts w:cstheme="minorHAnsi"/>
          <w:bCs/>
          <w:iCs/>
        </w:rPr>
        <w:t xml:space="preserve"> To, že se jednalo o významné účetní případy, které měly být dle</w:t>
      </w:r>
      <w:r w:rsidR="00F0130B">
        <w:rPr>
          <w:rFonts w:cstheme="minorHAnsi"/>
          <w:bCs/>
          <w:iCs/>
        </w:rPr>
        <w:t xml:space="preserve"> ustanovení</w:t>
      </w:r>
      <w:r w:rsidRPr="00031611">
        <w:rPr>
          <w:rFonts w:cstheme="minorHAnsi"/>
          <w:bCs/>
          <w:iCs/>
        </w:rPr>
        <w:t xml:space="preserve"> § 2 odst. 1 </w:t>
      </w:r>
      <w:r w:rsidR="00BE7F32" w:rsidRPr="003A523F">
        <w:rPr>
          <w:rFonts w:eastAsiaTheme="minorHAnsi" w:cs="Calibri"/>
        </w:rPr>
        <w:t>zákona č. 563/1991 Sb.</w:t>
      </w:r>
      <w:r w:rsidRPr="00031611">
        <w:rPr>
          <w:rFonts w:cstheme="minorHAnsi"/>
          <w:bCs/>
          <w:iCs/>
        </w:rPr>
        <w:t xml:space="preserve"> předmětem účetnictví, je zřejmé</w:t>
      </w:r>
      <w:r w:rsidR="00800C1B">
        <w:rPr>
          <w:rFonts w:cstheme="minorHAnsi"/>
          <w:bCs/>
          <w:iCs/>
        </w:rPr>
        <w:t xml:space="preserve"> z částky takto poskytnutých</w:t>
      </w:r>
      <w:r w:rsidRPr="00031611">
        <w:rPr>
          <w:rFonts w:cstheme="minorHAnsi"/>
          <w:bCs/>
          <w:iCs/>
        </w:rPr>
        <w:t xml:space="preserve"> transferů v roce 2020 ze státního rozpočtu. </w:t>
      </w:r>
      <w:r w:rsidR="00800C1B">
        <w:rPr>
          <w:rFonts w:cstheme="minorHAnsi"/>
          <w:bCs/>
          <w:iCs/>
        </w:rPr>
        <w:t>MPO tak</w:t>
      </w:r>
      <w:r w:rsidRPr="00031611">
        <w:rPr>
          <w:rFonts w:cstheme="minorHAnsi"/>
          <w:bCs/>
          <w:iCs/>
        </w:rPr>
        <w:t xml:space="preserve"> významně ovliv</w:t>
      </w:r>
      <w:r w:rsidR="00E64769">
        <w:rPr>
          <w:rFonts w:cstheme="minorHAnsi"/>
          <w:bCs/>
          <w:iCs/>
        </w:rPr>
        <w:t>n</w:t>
      </w:r>
      <w:r w:rsidR="00800C1B">
        <w:rPr>
          <w:rFonts w:cstheme="minorHAnsi"/>
          <w:bCs/>
          <w:iCs/>
        </w:rPr>
        <w:t>ilo</w:t>
      </w:r>
      <w:r w:rsidRPr="00031611">
        <w:rPr>
          <w:rFonts w:cstheme="minorHAnsi"/>
          <w:bCs/>
          <w:iCs/>
        </w:rPr>
        <w:t xml:space="preserve"> vypovídací schopnost jak mezitímních účetních závěrek, tak pomocných analytických přehledů </w:t>
      </w:r>
      <w:r w:rsidR="00800C1B">
        <w:rPr>
          <w:rFonts w:cstheme="minorHAnsi"/>
          <w:bCs/>
          <w:iCs/>
        </w:rPr>
        <w:t>v roce 2020</w:t>
      </w:r>
      <w:r w:rsidR="00E64769">
        <w:rPr>
          <w:rFonts w:cstheme="minorHAnsi"/>
          <w:bCs/>
          <w:iCs/>
        </w:rPr>
        <w:t>.</w:t>
      </w:r>
      <w:r w:rsidRPr="00031611">
        <w:rPr>
          <w:rFonts w:cstheme="minorHAnsi"/>
          <w:bCs/>
          <w:iCs/>
        </w:rPr>
        <w:t xml:space="preserve"> Neúčtování o poskytnutých zálohách v řádech desítek miliard korun a jejich průběžné nevykazování v mezitímních účetních závěrkách a pomocných analytických přehledech má značný dopad na poskytnutí správných, úplných a včasných informací</w:t>
      </w:r>
      <w:r w:rsidR="009177D0">
        <w:rPr>
          <w:rFonts w:cstheme="minorHAnsi"/>
          <w:bCs/>
          <w:iCs/>
        </w:rPr>
        <w:t xml:space="preserve"> v průběhu účetního období</w:t>
      </w:r>
      <w:r w:rsidRPr="00031611">
        <w:rPr>
          <w:rFonts w:cstheme="minorHAnsi"/>
          <w:bCs/>
          <w:iCs/>
        </w:rPr>
        <w:t>.</w:t>
      </w:r>
    </w:p>
    <w:p w14:paraId="73592CC4" w14:textId="77777777" w:rsidR="00141B7D" w:rsidRPr="00031611" w:rsidRDefault="00141B7D" w:rsidP="00B41D61">
      <w:pPr>
        <w:jc w:val="both"/>
        <w:rPr>
          <w:rFonts w:cstheme="minorHAnsi"/>
        </w:rPr>
      </w:pPr>
      <w:r w:rsidRPr="00031611">
        <w:rPr>
          <w:rFonts w:cstheme="minorHAnsi"/>
        </w:rPr>
        <w:t>Tato skutečnost je systémovou nesprávností a byla zjištěna již v </w:t>
      </w:r>
      <w:r>
        <w:rPr>
          <w:rFonts w:cstheme="minorHAnsi"/>
        </w:rPr>
        <w:t>KA</w:t>
      </w:r>
      <w:r w:rsidRPr="00031611">
        <w:rPr>
          <w:rFonts w:cstheme="minorHAnsi"/>
        </w:rPr>
        <w:t xml:space="preserve"> č. 13/11</w:t>
      </w:r>
      <w:r w:rsidRPr="00031611">
        <w:rPr>
          <w:rStyle w:val="Znakapoznpodarou"/>
          <w:rFonts w:cstheme="minorHAnsi"/>
        </w:rPr>
        <w:footnoteReference w:id="38"/>
      </w:r>
      <w:r w:rsidRPr="00031611">
        <w:rPr>
          <w:rFonts w:cstheme="minorHAnsi"/>
        </w:rPr>
        <w:t xml:space="preserve"> a </w:t>
      </w:r>
      <w:r w:rsidR="00D71A28">
        <w:rPr>
          <w:rFonts w:cstheme="minorHAnsi"/>
        </w:rPr>
        <w:t xml:space="preserve">č. </w:t>
      </w:r>
      <w:r w:rsidRPr="00031611">
        <w:rPr>
          <w:rFonts w:cstheme="minorHAnsi"/>
        </w:rPr>
        <w:t xml:space="preserve">16/25.  </w:t>
      </w:r>
    </w:p>
    <w:p w14:paraId="7BC4916D" w14:textId="77777777" w:rsidR="00500B62" w:rsidRPr="00500B62" w:rsidRDefault="00500B62" w:rsidP="00500B62">
      <w:pPr>
        <w:pStyle w:val="Nadpis2"/>
        <w:keepNext/>
        <w:numPr>
          <w:ilvl w:val="0"/>
          <w:numId w:val="0"/>
        </w:numPr>
        <w:spacing w:after="120" w:line="240" w:lineRule="auto"/>
        <w:contextualSpacing w:val="0"/>
        <w:rPr>
          <w:rFonts w:ascii="Calibri" w:hAnsi="Calibri" w:cs="Calibri"/>
          <w:lang w:eastAsia="cs-CZ"/>
        </w:rPr>
      </w:pPr>
      <w:r w:rsidRPr="00500B62">
        <w:rPr>
          <w:rFonts w:ascii="Calibri" w:hAnsi="Calibri" w:cs="Calibri"/>
          <w:lang w:eastAsia="cs-CZ"/>
        </w:rPr>
        <w:t>1.2</w:t>
      </w:r>
      <w:r w:rsidR="00A418CD">
        <w:rPr>
          <w:rFonts w:ascii="Calibri" w:hAnsi="Calibri" w:cs="Calibri"/>
          <w:lang w:eastAsia="cs-CZ"/>
        </w:rPr>
        <w:t xml:space="preserve"> Účtování </w:t>
      </w:r>
      <w:r w:rsidR="00FD7047">
        <w:rPr>
          <w:rFonts w:ascii="Calibri" w:hAnsi="Calibri" w:cs="Calibri"/>
          <w:lang w:eastAsia="cs-CZ"/>
        </w:rPr>
        <w:t xml:space="preserve">o </w:t>
      </w:r>
      <w:r w:rsidR="00CF0850">
        <w:rPr>
          <w:rFonts w:ascii="Calibri" w:hAnsi="Calibri" w:cs="Calibri"/>
          <w:lang w:eastAsia="cs-CZ"/>
        </w:rPr>
        <w:t>finančních nástrojích</w:t>
      </w:r>
    </w:p>
    <w:p w14:paraId="3F0BF025" w14:textId="10924B2B" w:rsidR="00A418CD" w:rsidRPr="005F179D" w:rsidRDefault="00A418CD" w:rsidP="00B41D61">
      <w:pPr>
        <w:pStyle w:val="Nadpis2"/>
        <w:numPr>
          <w:ilvl w:val="0"/>
          <w:numId w:val="0"/>
        </w:numPr>
        <w:spacing w:after="120" w:line="240" w:lineRule="auto"/>
        <w:contextualSpacing w:val="0"/>
        <w:rPr>
          <w:rFonts w:ascii="Calibri" w:hAnsi="Calibri" w:cs="Calibri"/>
          <w:lang w:eastAsia="cs-CZ"/>
        </w:rPr>
      </w:pPr>
      <w:r>
        <w:t xml:space="preserve">MPO na účtu 069 – </w:t>
      </w:r>
      <w:r>
        <w:rPr>
          <w:i/>
        </w:rPr>
        <w:t>Ostatní dlouhodobý finanční majetek</w:t>
      </w:r>
      <w:r>
        <w:t xml:space="preserve"> vykázalo peněžní prostředky vložené do záručních fondů</w:t>
      </w:r>
      <w:r w:rsidRPr="00E25364">
        <w:t>,</w:t>
      </w:r>
      <w:r>
        <w:t xml:space="preserve"> úvěrových fondů</w:t>
      </w:r>
      <w:r w:rsidRPr="00E25364">
        <w:t>,</w:t>
      </w:r>
      <w:r>
        <w:t xml:space="preserve"> IPO fondu a fondu fondů, které jsou tvořeny soustavou bankovních účtů </w:t>
      </w:r>
      <w:r w:rsidRPr="001D794A">
        <w:t xml:space="preserve">spravovaných </w:t>
      </w:r>
      <w:r w:rsidR="00646386">
        <w:t xml:space="preserve">zejména </w:t>
      </w:r>
      <w:r w:rsidR="005478D8">
        <w:rPr>
          <w:rFonts w:ascii="Calibri" w:hAnsi="Calibri" w:cs="Calibri"/>
          <w:lang w:eastAsia="cs-CZ"/>
        </w:rPr>
        <w:t>finanční institucí</w:t>
      </w:r>
      <w:r>
        <w:t xml:space="preserve"> mimo státní rozpočet a</w:t>
      </w:r>
      <w:r w:rsidR="00AA299F">
        <w:t> </w:t>
      </w:r>
      <w:r>
        <w:t xml:space="preserve">mimo bankovní účty podřízené státní pokladně </w:t>
      </w:r>
      <w:r w:rsidRPr="005B521E">
        <w:t>(dále také „finanční nástroje“ nebo „FN“)</w:t>
      </w:r>
      <w:r>
        <w:t xml:space="preserve">. Podstatou FN je návratnost těchto peněžních prostředků, možnost jejich dalšího využití, či podpora alternativních forem financování rozvoje malého a středního podnikání prostřednictvím veřejné nabídky akcií. </w:t>
      </w:r>
    </w:p>
    <w:p w14:paraId="4808847F" w14:textId="42A7BA47" w:rsidR="00A418CD" w:rsidRDefault="004E0EDD" w:rsidP="00A418CD">
      <w:pPr>
        <w:jc w:val="both"/>
      </w:pPr>
      <w:r>
        <w:rPr>
          <w:rFonts w:cstheme="minorHAnsi"/>
        </w:rPr>
        <w:lastRenderedPageBreak/>
        <w:t>K</w:t>
      </w:r>
      <w:r w:rsidR="00A418CD">
        <w:rPr>
          <w:rFonts w:cstheme="minorHAnsi"/>
        </w:rPr>
        <w:t xml:space="preserve">ontrolované FN </w:t>
      </w:r>
      <w:r>
        <w:rPr>
          <w:rFonts w:cstheme="minorHAnsi"/>
        </w:rPr>
        <w:t>byly</w:t>
      </w:r>
      <w:r w:rsidR="00A418CD">
        <w:rPr>
          <w:rFonts w:cstheme="minorHAnsi"/>
        </w:rPr>
        <w:t xml:space="preserve"> spolufinancovány z rozpočtu </w:t>
      </w:r>
      <w:r w:rsidR="005313D2">
        <w:rPr>
          <w:rFonts w:cstheme="minorHAnsi"/>
        </w:rPr>
        <w:t>Evropské unie (dále „</w:t>
      </w:r>
      <w:r w:rsidR="00A418CD">
        <w:rPr>
          <w:rFonts w:cstheme="minorHAnsi"/>
        </w:rPr>
        <w:t>EU</w:t>
      </w:r>
      <w:r w:rsidR="005313D2">
        <w:rPr>
          <w:rFonts w:cstheme="minorHAnsi"/>
        </w:rPr>
        <w:t>“)</w:t>
      </w:r>
      <w:r>
        <w:rPr>
          <w:rFonts w:cstheme="minorHAnsi"/>
        </w:rPr>
        <w:t>, poskytovány byly na základě</w:t>
      </w:r>
      <w:r w:rsidR="00A418CD">
        <w:rPr>
          <w:rFonts w:cstheme="minorHAnsi"/>
        </w:rPr>
        <w:t xml:space="preserve"> zákona č. 47/2002 Sb.</w:t>
      </w:r>
      <w:r w:rsidR="007B589C">
        <w:rPr>
          <w:rStyle w:val="Znakapoznpodarou"/>
          <w:rFonts w:cstheme="minorHAnsi"/>
        </w:rPr>
        <w:footnoteReference w:id="39"/>
      </w:r>
      <w:r>
        <w:rPr>
          <w:rFonts w:cstheme="minorHAnsi"/>
        </w:rPr>
        <w:t xml:space="preserve"> nebo na základě </w:t>
      </w:r>
      <w:r w:rsidR="00A418CD" w:rsidRPr="00DE0188">
        <w:rPr>
          <w:rFonts w:cstheme="minorHAnsi"/>
        </w:rPr>
        <w:t>právní</w:t>
      </w:r>
      <w:r>
        <w:rPr>
          <w:rFonts w:cstheme="minorHAnsi"/>
        </w:rPr>
        <w:t>ch</w:t>
      </w:r>
      <w:r w:rsidR="00A418CD" w:rsidRPr="00DE0188">
        <w:rPr>
          <w:rFonts w:cstheme="minorHAnsi"/>
        </w:rPr>
        <w:t xml:space="preserve"> předpis</w:t>
      </w:r>
      <w:r>
        <w:rPr>
          <w:rFonts w:cstheme="minorHAnsi"/>
        </w:rPr>
        <w:t>ů</w:t>
      </w:r>
      <w:r w:rsidR="00A418CD" w:rsidRPr="00DE0188">
        <w:rPr>
          <w:rFonts w:cstheme="minorHAnsi"/>
        </w:rPr>
        <w:t xml:space="preserve"> EU</w:t>
      </w:r>
      <w:r w:rsidR="00A418CD" w:rsidRPr="00DE0188">
        <w:rPr>
          <w:rStyle w:val="Znakapoznpodarou"/>
          <w:rFonts w:eastAsiaTheme="majorEastAsia" w:cstheme="minorHAnsi"/>
        </w:rPr>
        <w:footnoteReference w:id="40"/>
      </w:r>
      <w:r w:rsidR="00A418CD" w:rsidRPr="00DE0188">
        <w:rPr>
          <w:rFonts w:cstheme="minorHAnsi"/>
        </w:rPr>
        <w:t>.</w:t>
      </w:r>
      <w:r>
        <w:rPr>
          <w:rFonts w:cstheme="minorHAnsi"/>
        </w:rPr>
        <w:t xml:space="preserve"> Podpora je poskytována prostřednictvím </w:t>
      </w:r>
      <w:r w:rsidR="005478D8">
        <w:rPr>
          <w:rFonts w:cstheme="minorHAnsi"/>
        </w:rPr>
        <w:t>finančních institucí</w:t>
      </w:r>
      <w:r>
        <w:rPr>
          <w:rFonts w:cstheme="minorHAnsi"/>
        </w:rPr>
        <w:t>, na základě dohod uzavřených mezi MPO a</w:t>
      </w:r>
      <w:r w:rsidR="00AA299F">
        <w:rPr>
          <w:rFonts w:cstheme="minorHAnsi"/>
        </w:rPr>
        <w:t> </w:t>
      </w:r>
      <w:r w:rsidR="005478D8">
        <w:rPr>
          <w:rFonts w:cstheme="minorHAnsi"/>
        </w:rPr>
        <w:t>finanční institucí</w:t>
      </w:r>
      <w:r>
        <w:rPr>
          <w:rFonts w:cstheme="minorHAnsi"/>
        </w:rPr>
        <w:t xml:space="preserve">. </w:t>
      </w:r>
      <w:r w:rsidR="005478D8">
        <w:rPr>
          <w:rFonts w:cstheme="minorHAnsi"/>
        </w:rPr>
        <w:t>Finanční instituce</w:t>
      </w:r>
      <w:r>
        <w:rPr>
          <w:rFonts w:cstheme="minorHAnsi"/>
        </w:rPr>
        <w:t xml:space="preserve"> poskytuje podporu příjemci na základě smlouvy uzavřené mezi </w:t>
      </w:r>
      <w:r w:rsidR="005478D8">
        <w:rPr>
          <w:rFonts w:cstheme="minorHAnsi"/>
        </w:rPr>
        <w:t xml:space="preserve">finanční institucí </w:t>
      </w:r>
      <w:r>
        <w:rPr>
          <w:rFonts w:cstheme="minorHAnsi"/>
        </w:rPr>
        <w:t xml:space="preserve">a příjemcem podpory. </w:t>
      </w:r>
      <w:r>
        <w:t>V</w:t>
      </w:r>
      <w:r w:rsidR="00A418CD">
        <w:t> rámci podpory malého a středního podnikání</w:t>
      </w:r>
      <w:r>
        <w:t xml:space="preserve"> jsou</w:t>
      </w:r>
      <w:r w:rsidR="00A418CD">
        <w:t xml:space="preserve"> poskyt</w:t>
      </w:r>
      <w:r>
        <w:t xml:space="preserve">ovány </w:t>
      </w:r>
      <w:r w:rsidR="00A418CD">
        <w:t>finanční příspěvky, záruky</w:t>
      </w:r>
      <w:r>
        <w:t xml:space="preserve">, </w:t>
      </w:r>
      <w:r w:rsidR="00A418CD">
        <w:t>úvěry se sníženou úrokovou sazbou</w:t>
      </w:r>
      <w:r>
        <w:t>, nebo investice</w:t>
      </w:r>
      <w:r w:rsidR="006C6817">
        <w:t xml:space="preserve"> do</w:t>
      </w:r>
      <w:r>
        <w:t xml:space="preserve"> rizikového kapitálu</w:t>
      </w:r>
      <w:r w:rsidR="002F586B">
        <w:t>, a to z </w:t>
      </w:r>
      <w:r w:rsidR="00A418CD">
        <w:t xml:space="preserve">prostředků státního rozpočtu soustředěných na účtech zřízených </w:t>
      </w:r>
      <w:r w:rsidR="005478D8">
        <w:t>finanční institucí</w:t>
      </w:r>
      <w:r>
        <w:t xml:space="preserve"> </w:t>
      </w:r>
      <w:r w:rsidR="00A418CD">
        <w:t>ve prospěch České republiky.</w:t>
      </w:r>
    </w:p>
    <w:p w14:paraId="09CFD9CD" w14:textId="158629F0" w:rsidR="00A418CD" w:rsidRPr="001D794A" w:rsidRDefault="00A418CD" w:rsidP="00A418CD">
      <w:pPr>
        <w:jc w:val="both"/>
        <w:rPr>
          <w:rFonts w:cstheme="minorHAnsi"/>
          <w:szCs w:val="22"/>
        </w:rPr>
      </w:pPr>
      <w:r w:rsidRPr="001D794A">
        <w:rPr>
          <w:rFonts w:cstheme="minorHAnsi"/>
        </w:rPr>
        <w:t>MPO o prostředcích spravovaných v</w:t>
      </w:r>
      <w:r w:rsidR="005478D8">
        <w:rPr>
          <w:rFonts w:cstheme="minorHAnsi"/>
        </w:rPr>
        <w:t>e</w:t>
      </w:r>
      <w:r w:rsidRPr="001D794A">
        <w:rPr>
          <w:rFonts w:cstheme="minorHAnsi"/>
        </w:rPr>
        <w:t> </w:t>
      </w:r>
      <w:r w:rsidR="005478D8">
        <w:rPr>
          <w:rFonts w:cstheme="minorHAnsi"/>
        </w:rPr>
        <w:t>finanční instituci</w:t>
      </w:r>
      <w:r w:rsidRPr="001D794A">
        <w:rPr>
          <w:rFonts w:cstheme="minorHAnsi"/>
        </w:rPr>
        <w:t xml:space="preserve"> začalo účtovat v roce 2017, kdy zaúčtovalo stav peněžních prostředků na bankovních účtech a stav jistin z poskytnutých úvěrů spravovaných </w:t>
      </w:r>
      <w:r w:rsidR="005478D8">
        <w:rPr>
          <w:rFonts w:cstheme="minorHAnsi"/>
        </w:rPr>
        <w:t xml:space="preserve">finanční institucí </w:t>
      </w:r>
      <w:r w:rsidRPr="001D794A">
        <w:rPr>
          <w:rFonts w:cstheme="minorHAnsi"/>
        </w:rPr>
        <w:t xml:space="preserve">k 31. </w:t>
      </w:r>
      <w:r w:rsidR="00BF110D">
        <w:rPr>
          <w:rFonts w:cstheme="minorHAnsi"/>
        </w:rPr>
        <w:t>prosinci</w:t>
      </w:r>
      <w:r w:rsidRPr="001D794A">
        <w:rPr>
          <w:rFonts w:cstheme="minorHAnsi"/>
        </w:rPr>
        <w:t xml:space="preserve"> 2016 v celkové výši 4,065 mld. Kč</w:t>
      </w:r>
      <w:r w:rsidRPr="001D794A">
        <w:rPr>
          <w:rStyle w:val="Znakapoznpodarou"/>
          <w:rFonts w:eastAsiaTheme="majorEastAsia" w:cstheme="minorHAnsi"/>
        </w:rPr>
        <w:footnoteReference w:id="41"/>
      </w:r>
      <w:r w:rsidRPr="001D794A">
        <w:rPr>
          <w:rFonts w:cstheme="minorHAnsi"/>
        </w:rPr>
        <w:t xml:space="preserve">. </w:t>
      </w:r>
    </w:p>
    <w:p w14:paraId="05E342E7" w14:textId="77777777" w:rsidR="00A418CD" w:rsidRDefault="00A418CD" w:rsidP="00A418CD">
      <w:pPr>
        <w:jc w:val="both"/>
        <w:rPr>
          <w:rFonts w:cs="Calibri"/>
        </w:rPr>
      </w:pPr>
      <w:r>
        <w:rPr>
          <w:rFonts w:cs="Calibri"/>
        </w:rPr>
        <w:t xml:space="preserve">MPO při stanovení postupů účtování o FN spolupracovalo s MF, které zpracovalo účetní metodiku obsahující i účetní zápisy a postupy aplikované MPO v roce 2020. Transakce, které jsou předmětem účetnictví MPO, vyplývají z uzavřených dohod. </w:t>
      </w:r>
    </w:p>
    <w:p w14:paraId="7A8A3895" w14:textId="70BC88DB" w:rsidR="00A418CD" w:rsidRPr="00DE0188" w:rsidRDefault="00A418CD" w:rsidP="00A418CD">
      <w:pPr>
        <w:jc w:val="both"/>
        <w:rPr>
          <w:rFonts w:asciiTheme="minorHAnsi" w:hAnsiTheme="minorHAnsi" w:cstheme="minorBidi"/>
          <w:b/>
          <w:highlight w:val="green"/>
        </w:rPr>
      </w:pPr>
      <w:r>
        <w:rPr>
          <w:rFonts w:cstheme="minorHAnsi"/>
        </w:rPr>
        <w:t xml:space="preserve">MPO na účtu 069 vykázalo v ÚZ z titulu FN </w:t>
      </w:r>
      <w:r w:rsidRPr="00DE0188">
        <w:rPr>
          <w:rFonts w:cstheme="minorHAnsi"/>
        </w:rPr>
        <w:t>částku 16 778 735 690,31 Kč (hodnota brutto), tj. 47,80 % celkových aktiv (hodnota brutto). K tomuto majetku MPO vykázalo opravné položky ve výši 821 980 277,97 Kč</w:t>
      </w:r>
      <w:r w:rsidRPr="000C7E19">
        <w:rPr>
          <w:rFonts w:cstheme="minorHAnsi"/>
        </w:rPr>
        <w:t>. V případě kontrolovaných FN</w:t>
      </w:r>
      <w:r w:rsidR="00D403F1">
        <w:rPr>
          <w:rFonts w:cstheme="minorHAnsi"/>
        </w:rPr>
        <w:t xml:space="preserve"> vykázalo MPO </w:t>
      </w:r>
      <w:r w:rsidRPr="000C7E19">
        <w:rPr>
          <w:rFonts w:cstheme="minorHAnsi"/>
        </w:rPr>
        <w:t xml:space="preserve">k 31. </w:t>
      </w:r>
      <w:r w:rsidR="00BF110D">
        <w:rPr>
          <w:rFonts w:cstheme="minorHAnsi"/>
        </w:rPr>
        <w:t>prosinci</w:t>
      </w:r>
      <w:r w:rsidRPr="000C7E19">
        <w:rPr>
          <w:rFonts w:cstheme="minorHAnsi"/>
        </w:rPr>
        <w:t xml:space="preserve"> 2020 jako ostatní dlouhodobý finanční majetek peněžní prostředky na bankovních účtech v</w:t>
      </w:r>
      <w:r w:rsidR="005478D8">
        <w:rPr>
          <w:rFonts w:cstheme="minorHAnsi"/>
        </w:rPr>
        <w:t>e finanční instituci</w:t>
      </w:r>
      <w:r w:rsidR="00586C85">
        <w:rPr>
          <w:rFonts w:cstheme="minorHAnsi"/>
        </w:rPr>
        <w:t xml:space="preserve"> (</w:t>
      </w:r>
      <w:r w:rsidR="001336DC">
        <w:rPr>
          <w:rFonts w:cstheme="minorHAnsi"/>
        </w:rPr>
        <w:t xml:space="preserve">tj. </w:t>
      </w:r>
      <w:r w:rsidR="00586C85">
        <w:rPr>
          <w:rFonts w:cstheme="minorHAnsi"/>
        </w:rPr>
        <w:t>zejména záruční fondy)</w:t>
      </w:r>
      <w:r w:rsidRPr="000C7E19">
        <w:rPr>
          <w:rFonts w:cstheme="minorHAnsi"/>
        </w:rPr>
        <w:t xml:space="preserve"> a výši jistin z poskytnutých nesplacených úvěrů (úvěrové fondy), </w:t>
      </w:r>
      <w:r w:rsidR="00D403F1">
        <w:rPr>
          <w:rFonts w:cstheme="minorHAnsi"/>
        </w:rPr>
        <w:t>stejně tak i</w:t>
      </w:r>
      <w:r w:rsidRPr="000C7E19">
        <w:rPr>
          <w:rFonts w:cstheme="minorHAnsi"/>
        </w:rPr>
        <w:t xml:space="preserve"> vy</w:t>
      </w:r>
      <w:r>
        <w:rPr>
          <w:rFonts w:cstheme="minorHAnsi"/>
        </w:rPr>
        <w:t>tvořené disponibilní prostředky a</w:t>
      </w:r>
      <w:r w:rsidRPr="000C7E19">
        <w:rPr>
          <w:rFonts w:cstheme="minorHAnsi"/>
        </w:rPr>
        <w:t xml:space="preserve"> vklady do</w:t>
      </w:r>
      <w:r w:rsidR="00586C85">
        <w:rPr>
          <w:rFonts w:cstheme="minorHAnsi"/>
        </w:rPr>
        <w:t xml:space="preserve"> dalších</w:t>
      </w:r>
      <w:r w:rsidRPr="000C7E19">
        <w:rPr>
          <w:rFonts w:cstheme="minorHAnsi"/>
        </w:rPr>
        <w:t xml:space="preserve"> fondů. </w:t>
      </w:r>
      <w:r w:rsidRPr="000C7E19">
        <w:t>Opravné položky</w:t>
      </w:r>
      <w:r w:rsidR="00D403F1">
        <w:t xml:space="preserve"> k tomuto majetku</w:t>
      </w:r>
      <w:r w:rsidRPr="000C7E19">
        <w:t xml:space="preserve"> vykázalo</w:t>
      </w:r>
      <w:r w:rsidR="00D403F1">
        <w:t xml:space="preserve"> MPO</w:t>
      </w:r>
      <w:r w:rsidRPr="000C7E19">
        <w:t xml:space="preserve"> v případě </w:t>
      </w:r>
      <w:r w:rsidR="001336DC">
        <w:t>záručních fondů</w:t>
      </w:r>
      <w:r w:rsidRPr="000C7E19">
        <w:t xml:space="preserve"> k</w:t>
      </w:r>
      <w:r w:rsidR="001336DC">
        <w:t> </w:t>
      </w:r>
      <w:r w:rsidRPr="000C7E19">
        <w:t>peněžním prostředkům</w:t>
      </w:r>
      <w:r w:rsidR="001336DC">
        <w:t>, které byly vedeny na</w:t>
      </w:r>
      <w:r w:rsidRPr="000C7E19">
        <w:t xml:space="preserve"> bankovních účtech </w:t>
      </w:r>
      <w:r w:rsidR="00F24F9A">
        <w:t>„</w:t>
      </w:r>
      <w:r w:rsidRPr="00586C85">
        <w:rPr>
          <w:i/>
        </w:rPr>
        <w:t>Plnění ze záruk</w:t>
      </w:r>
      <w:r w:rsidR="00F24F9A">
        <w:t>“</w:t>
      </w:r>
      <w:r w:rsidR="001336DC">
        <w:t xml:space="preserve"> a to</w:t>
      </w:r>
      <w:r w:rsidRPr="000C7E19">
        <w:t xml:space="preserve"> ve výši 95 %</w:t>
      </w:r>
      <w:r w:rsidR="001336DC">
        <w:t xml:space="preserve"> jejich nominální hodnoty</w:t>
      </w:r>
      <w:bookmarkStart w:id="1" w:name="_Ref79138767"/>
      <w:r w:rsidR="003A364D">
        <w:rPr>
          <w:rStyle w:val="Znakapoznpodarou"/>
        </w:rPr>
        <w:footnoteReference w:id="42"/>
      </w:r>
      <w:bookmarkEnd w:id="1"/>
      <w:r w:rsidR="001336DC">
        <w:t>. V</w:t>
      </w:r>
      <w:r w:rsidRPr="000C7E19">
        <w:t xml:space="preserve"> případě </w:t>
      </w:r>
      <w:r w:rsidR="001336DC">
        <w:t>úvěrových fondů vykázalo MPO opravné položky k těm</w:t>
      </w:r>
      <w:r w:rsidRPr="000C7E19">
        <w:t> pohledávkám z jistin úvěrů</w:t>
      </w:r>
      <w:r w:rsidR="001336DC">
        <w:t>, které byly</w:t>
      </w:r>
      <w:r w:rsidRPr="000C7E19">
        <w:t xml:space="preserve"> p</w:t>
      </w:r>
      <w:r>
        <w:t>o splatnosti</w:t>
      </w:r>
      <w:r w:rsidR="00F75A4B">
        <w:t>,</w:t>
      </w:r>
      <w:r w:rsidR="001336DC">
        <w:t xml:space="preserve"> a to také ve výši 95 %</w:t>
      </w:r>
      <w:r w:rsidR="005B7789" w:rsidRPr="005E63AE">
        <w:rPr>
          <w:vertAlign w:val="superscript"/>
        </w:rPr>
        <w:fldChar w:fldCharType="begin"/>
      </w:r>
      <w:r w:rsidR="005B7789" w:rsidRPr="005E63AE">
        <w:rPr>
          <w:vertAlign w:val="superscript"/>
        </w:rPr>
        <w:instrText xml:space="preserve"> NOTEREF _Ref79138767 \h  \* MERGEFORMAT </w:instrText>
      </w:r>
      <w:r w:rsidR="005B7789" w:rsidRPr="005E63AE">
        <w:rPr>
          <w:vertAlign w:val="superscript"/>
        </w:rPr>
      </w:r>
      <w:r w:rsidR="005B7789" w:rsidRPr="005E63AE">
        <w:rPr>
          <w:vertAlign w:val="superscript"/>
        </w:rPr>
        <w:fldChar w:fldCharType="separate"/>
      </w:r>
      <w:r w:rsidR="00E544AA">
        <w:rPr>
          <w:vertAlign w:val="superscript"/>
        </w:rPr>
        <w:t>41</w:t>
      </w:r>
      <w:r w:rsidR="005B7789" w:rsidRPr="005E63AE">
        <w:rPr>
          <w:vertAlign w:val="superscript"/>
        </w:rPr>
        <w:fldChar w:fldCharType="end"/>
      </w:r>
      <w:r w:rsidR="001336DC">
        <w:t xml:space="preserve"> jejich nominální hodnoty</w:t>
      </w:r>
      <w:r>
        <w:t>.</w:t>
      </w:r>
    </w:p>
    <w:p w14:paraId="23A9B3D3" w14:textId="5BEEC6D9" w:rsidR="00A418CD" w:rsidRPr="003A364D" w:rsidRDefault="00A418CD" w:rsidP="00A418CD">
      <w:pPr>
        <w:jc w:val="both"/>
        <w:rPr>
          <w:rFonts w:cstheme="minorHAnsi"/>
          <w:b/>
          <w:lang w:eastAsia="cs-CZ"/>
        </w:rPr>
      </w:pPr>
      <w:r w:rsidRPr="003A364D">
        <w:rPr>
          <w:rFonts w:cstheme="minorHAnsi"/>
          <w:b/>
          <w:lang w:eastAsia="cs-CZ"/>
        </w:rPr>
        <w:lastRenderedPageBreak/>
        <w:t>Kontrolované finanční nástroje jsou účetními případy na pomezí mezi transfery, pohledávkami a finančním majetkem. Není pro ně v</w:t>
      </w:r>
      <w:r w:rsidR="00D403F1" w:rsidRPr="003A364D">
        <w:rPr>
          <w:rFonts w:cstheme="minorHAnsi"/>
          <w:b/>
          <w:lang w:eastAsia="cs-CZ"/>
        </w:rPr>
        <w:t>e směrné</w:t>
      </w:r>
      <w:r w:rsidR="000351D6">
        <w:rPr>
          <w:rFonts w:cstheme="minorHAnsi"/>
          <w:b/>
          <w:lang w:eastAsia="cs-CZ"/>
        </w:rPr>
        <w:t xml:space="preserve"> </w:t>
      </w:r>
      <w:r w:rsidRPr="003A364D">
        <w:rPr>
          <w:rFonts w:cstheme="minorHAnsi"/>
          <w:b/>
          <w:lang w:eastAsia="cs-CZ"/>
        </w:rPr>
        <w:t>účtové osnově a</w:t>
      </w:r>
      <w:r w:rsidR="00D403F1" w:rsidRPr="003A364D">
        <w:rPr>
          <w:rFonts w:cstheme="minorHAnsi"/>
          <w:b/>
          <w:lang w:eastAsia="cs-CZ"/>
        </w:rPr>
        <w:t>ni</w:t>
      </w:r>
      <w:r w:rsidRPr="003A364D">
        <w:rPr>
          <w:rFonts w:cstheme="minorHAnsi"/>
          <w:b/>
          <w:lang w:eastAsia="cs-CZ"/>
        </w:rPr>
        <w:t xml:space="preserve"> mezi položkami účetní závěrky stanovené vyhláškou č. 410/2009 Sb.</w:t>
      </w:r>
      <w:r w:rsidR="00F75A4B">
        <w:rPr>
          <w:rStyle w:val="Znakapoznpodarou"/>
          <w:rFonts w:cstheme="minorHAnsi"/>
          <w:b/>
          <w:lang w:eastAsia="cs-CZ"/>
        </w:rPr>
        <w:footnoteReference w:id="43"/>
      </w:r>
      <w:r w:rsidRPr="003A364D">
        <w:rPr>
          <w:rFonts w:cstheme="minorHAnsi"/>
          <w:b/>
          <w:lang w:eastAsia="cs-CZ"/>
        </w:rPr>
        <w:t xml:space="preserve"> vymezen samostatný účet, resp. položka. Přesto musí být ze strany MPO vykázány, neboť splňují podmínky pro vykázání jako aktiva.</w:t>
      </w:r>
    </w:p>
    <w:p w14:paraId="40647DB2" w14:textId="77777777" w:rsidR="0033459D" w:rsidRDefault="00A418CD" w:rsidP="0097495B">
      <w:pPr>
        <w:spacing w:after="0"/>
        <w:jc w:val="both"/>
        <w:rPr>
          <w:rFonts w:cstheme="minorHAnsi"/>
        </w:rPr>
      </w:pPr>
      <w:r w:rsidRPr="00B94144">
        <w:rPr>
          <w:rFonts w:cstheme="minorHAnsi"/>
        </w:rPr>
        <w:t>NKÚ shledává nastavené a aplikované postupy účtování a z nich vyplývající vykázání zůstatků FN v účetní závěrce MPO na účtu 069 jako nejlepší možné</w:t>
      </w:r>
      <w:r w:rsidR="003A364D">
        <w:rPr>
          <w:rFonts w:cstheme="minorHAnsi"/>
        </w:rPr>
        <w:t>,</w:t>
      </w:r>
      <w:r w:rsidRPr="00B94144">
        <w:rPr>
          <w:rFonts w:cstheme="minorHAnsi"/>
        </w:rPr>
        <w:t xml:space="preserve"> s výjimkou uvedenou dále.</w:t>
      </w:r>
      <w:r w:rsidRPr="000C7E19">
        <w:rPr>
          <w:rFonts w:cstheme="minorHAnsi"/>
        </w:rPr>
        <w:t xml:space="preserve"> </w:t>
      </w:r>
    </w:p>
    <w:p w14:paraId="6A36D98C" w14:textId="77777777" w:rsidR="00A418CD" w:rsidRDefault="00A418CD" w:rsidP="0097495B">
      <w:pPr>
        <w:spacing w:after="0"/>
        <w:jc w:val="both"/>
      </w:pPr>
      <w:r w:rsidRPr="000C7E19">
        <w:rPr>
          <w:rFonts w:cstheme="minorHAnsi"/>
        </w:rPr>
        <w:t>K uvedenému tvrzení vedou NKÚ skutečnosti zjištěné při kontrole operací kontrolovaných FN:</w:t>
      </w:r>
    </w:p>
    <w:p w14:paraId="5544BF6D" w14:textId="77777777" w:rsidR="00A418CD" w:rsidRPr="002A0FFB" w:rsidRDefault="00A418CD" w:rsidP="0097495B">
      <w:pPr>
        <w:pStyle w:val="Odstavecseseznamem"/>
        <w:numPr>
          <w:ilvl w:val="0"/>
          <w:numId w:val="12"/>
        </w:numPr>
        <w:spacing w:after="0"/>
        <w:contextualSpacing w:val="0"/>
        <w:jc w:val="both"/>
      </w:pPr>
      <w:r>
        <w:t>jedná se o aktivum dlouhodobého finančního charakteru</w:t>
      </w:r>
      <w:r w:rsidRPr="000C7E19">
        <w:rPr>
          <w:rFonts w:cstheme="minorHAnsi"/>
        </w:rPr>
        <w:t>, a to specifický produkt (nástroj) finanční povahy spravovaný banko</w:t>
      </w:r>
      <w:r>
        <w:rPr>
          <w:rFonts w:cstheme="minorHAnsi"/>
        </w:rPr>
        <w:t>u pro MPO s dlouhodobým záměrem;</w:t>
      </w:r>
    </w:p>
    <w:p w14:paraId="4970A432" w14:textId="0F61D5D5" w:rsidR="00A418CD" w:rsidRPr="002A0FFB" w:rsidRDefault="00A418CD" w:rsidP="0097495B">
      <w:pPr>
        <w:pStyle w:val="Odstavecseseznamem"/>
        <w:numPr>
          <w:ilvl w:val="0"/>
          <w:numId w:val="8"/>
        </w:numPr>
        <w:spacing w:after="0"/>
        <w:contextualSpacing w:val="0"/>
        <w:jc w:val="both"/>
      </w:pPr>
      <w:r w:rsidRPr="000C7E19">
        <w:rPr>
          <w:rFonts w:cstheme="minorHAnsi"/>
        </w:rPr>
        <w:t xml:space="preserve">vkladem prostředků vzniklo MPO právo k prostředkům dále smluvně spravovaným </w:t>
      </w:r>
      <w:r w:rsidR="005478D8">
        <w:rPr>
          <w:rFonts w:cstheme="minorHAnsi"/>
        </w:rPr>
        <w:t>finanční institucí</w:t>
      </w:r>
      <w:r w:rsidRPr="000C7E19">
        <w:rPr>
          <w:rFonts w:cstheme="minorHAnsi"/>
        </w:rPr>
        <w:t xml:space="preserve">; o stavu prostředků fondu a jejích složek průběžně získává </w:t>
      </w:r>
      <w:r>
        <w:rPr>
          <w:rFonts w:cstheme="minorHAnsi"/>
        </w:rPr>
        <w:t xml:space="preserve">MPO </w:t>
      </w:r>
      <w:r w:rsidRPr="000C7E19">
        <w:rPr>
          <w:rFonts w:cstheme="minorHAnsi"/>
        </w:rPr>
        <w:t xml:space="preserve">zprávy od </w:t>
      </w:r>
      <w:r w:rsidR="005478D8">
        <w:rPr>
          <w:rFonts w:cstheme="minorHAnsi"/>
        </w:rPr>
        <w:t>finanční instituce</w:t>
      </w:r>
      <w:r w:rsidRPr="000C7E19">
        <w:rPr>
          <w:rFonts w:cstheme="minorHAnsi"/>
        </w:rPr>
        <w:t>;</w:t>
      </w:r>
    </w:p>
    <w:p w14:paraId="0157E5B7" w14:textId="54F64E90" w:rsidR="00A418CD" w:rsidRPr="00180F80" w:rsidRDefault="00A418CD" w:rsidP="0097495B">
      <w:pPr>
        <w:pStyle w:val="Odstavecseseznamem"/>
        <w:numPr>
          <w:ilvl w:val="0"/>
          <w:numId w:val="8"/>
        </w:numPr>
        <w:spacing w:after="0"/>
        <w:contextualSpacing w:val="0"/>
        <w:jc w:val="both"/>
      </w:pPr>
      <w:r w:rsidRPr="000C7E19">
        <w:rPr>
          <w:rFonts w:cstheme="minorHAnsi"/>
        </w:rPr>
        <w:t xml:space="preserve">smyslem vkladu je zajištění navratitelnosti těchto prostředků podle podmínek smluvně stanovených MPO, vlastnictví vložených prostředků nadále náleží MPO a </w:t>
      </w:r>
      <w:r w:rsidR="005478D8">
        <w:rPr>
          <w:rFonts w:cstheme="minorHAnsi"/>
        </w:rPr>
        <w:t>finanční instituce</w:t>
      </w:r>
      <w:r w:rsidRPr="000C7E19">
        <w:rPr>
          <w:rFonts w:cstheme="minorHAnsi"/>
        </w:rPr>
        <w:t xml:space="preserve"> je pro MPO spravuje; převod prostředků tohoto nástroje do </w:t>
      </w:r>
      <w:r w:rsidR="005478D8">
        <w:rPr>
          <w:rFonts w:cstheme="minorHAnsi"/>
        </w:rPr>
        <w:t>finanční instituce</w:t>
      </w:r>
      <w:r w:rsidRPr="000C7E19">
        <w:rPr>
          <w:rFonts w:cstheme="minorHAnsi"/>
        </w:rPr>
        <w:t xml:space="preserve"> tedy nepředstavuje pro MPO vznik nákladu coby nevratného pozbytí hodnoty majetku;</w:t>
      </w:r>
    </w:p>
    <w:p w14:paraId="24143EE7" w14:textId="45E57AA1" w:rsidR="00A418CD" w:rsidRPr="00180F80" w:rsidRDefault="00A418CD" w:rsidP="0097495B">
      <w:pPr>
        <w:pStyle w:val="Odstavecseseznamem"/>
        <w:numPr>
          <w:ilvl w:val="0"/>
          <w:numId w:val="11"/>
        </w:numPr>
        <w:spacing w:after="0"/>
        <w:contextualSpacing w:val="0"/>
        <w:jc w:val="both"/>
      </w:pPr>
      <w:r w:rsidRPr="000C7E19">
        <w:rPr>
          <w:rFonts w:cstheme="minorHAnsi"/>
        </w:rPr>
        <w:t xml:space="preserve">MPO hradí </w:t>
      </w:r>
      <w:r w:rsidR="005478D8">
        <w:rPr>
          <w:rFonts w:cstheme="minorHAnsi"/>
        </w:rPr>
        <w:t xml:space="preserve">finanční instituci </w:t>
      </w:r>
      <w:r>
        <w:rPr>
          <w:rFonts w:cstheme="minorHAnsi"/>
        </w:rPr>
        <w:t>poplat</w:t>
      </w:r>
      <w:r w:rsidRPr="000C7E19">
        <w:rPr>
          <w:rFonts w:cstheme="minorHAnsi"/>
        </w:rPr>
        <w:t>k</w:t>
      </w:r>
      <w:r>
        <w:rPr>
          <w:rFonts w:cstheme="minorHAnsi"/>
        </w:rPr>
        <w:t>y</w:t>
      </w:r>
      <w:r w:rsidR="003A364D">
        <w:rPr>
          <w:rStyle w:val="Znakapoznpodarou"/>
          <w:rFonts w:cstheme="minorHAnsi"/>
        </w:rPr>
        <w:footnoteReference w:id="44"/>
      </w:r>
      <w:r w:rsidRPr="000C7E19">
        <w:rPr>
          <w:rFonts w:cstheme="minorHAnsi"/>
        </w:rPr>
        <w:t xml:space="preserve"> za správu tohoto svého (vloženého) majetku, nese tak jako vlastník prostředků tohoto produktu rizika (plnění ze záruky, nesplácení půjček poskytnutých </w:t>
      </w:r>
      <w:r w:rsidR="005478D8">
        <w:rPr>
          <w:rFonts w:cstheme="minorHAnsi"/>
        </w:rPr>
        <w:t>finanční institucí</w:t>
      </w:r>
      <w:r w:rsidRPr="000C7E19">
        <w:rPr>
          <w:rFonts w:cstheme="minorHAnsi"/>
        </w:rPr>
        <w:t xml:space="preserve">); přínosy (úroky) z vložených prostředků jsou výnosem MPO, tj. </w:t>
      </w:r>
      <w:r w:rsidR="005478D8">
        <w:rPr>
          <w:rFonts w:cstheme="minorHAnsi"/>
        </w:rPr>
        <w:t>finanční instituce</w:t>
      </w:r>
      <w:r w:rsidRPr="000C7E19">
        <w:rPr>
          <w:rFonts w:cstheme="minorHAnsi"/>
        </w:rPr>
        <w:t xml:space="preserve"> je přiznává MPO jako navýšení hodnoty vložených prostředků;</w:t>
      </w:r>
    </w:p>
    <w:p w14:paraId="37BDD7D8" w14:textId="54EBBA28" w:rsidR="00A418CD" w:rsidRPr="000C7E19" w:rsidRDefault="005478D8" w:rsidP="0097495B">
      <w:pPr>
        <w:numPr>
          <w:ilvl w:val="0"/>
          <w:numId w:val="8"/>
        </w:numPr>
        <w:spacing w:after="0"/>
        <w:ind w:left="351" w:hanging="357"/>
        <w:jc w:val="both"/>
        <w:rPr>
          <w:rFonts w:cstheme="minorHAnsi"/>
        </w:rPr>
      </w:pPr>
      <w:r>
        <w:rPr>
          <w:rFonts w:cstheme="minorHAnsi"/>
        </w:rPr>
        <w:t>finanční instituce</w:t>
      </w:r>
      <w:r w:rsidR="00A418CD" w:rsidRPr="000C7E19">
        <w:rPr>
          <w:rFonts w:cstheme="minorHAnsi"/>
        </w:rPr>
        <w:t xml:space="preserve"> nemůže nakládat s vloženými prostředky volně dle svého uvážení, ale jen v souladu se smlouvou s MPO jako svým klientem; případné nevyužité prostředky má</w:t>
      </w:r>
      <w:r w:rsidR="00A418CD">
        <w:rPr>
          <w:rFonts w:cstheme="minorHAnsi"/>
        </w:rPr>
        <w:t xml:space="preserve"> povinnost převést (vrátit) MPO;</w:t>
      </w:r>
    </w:p>
    <w:p w14:paraId="090E5A18" w14:textId="4928CE24" w:rsidR="00A418CD" w:rsidRDefault="00A418CD" w:rsidP="0097495B">
      <w:pPr>
        <w:pStyle w:val="Odstavecseseznamem"/>
        <w:numPr>
          <w:ilvl w:val="0"/>
          <w:numId w:val="8"/>
        </w:numPr>
        <w:spacing w:after="0"/>
        <w:contextualSpacing w:val="0"/>
        <w:jc w:val="both"/>
      </w:pPr>
      <w:r w:rsidRPr="00180F80">
        <w:t>nejedná</w:t>
      </w:r>
      <w:r>
        <w:t xml:space="preserve"> se</w:t>
      </w:r>
      <w:r w:rsidRPr="00180F80">
        <w:t xml:space="preserve"> o peněžní prostředky, se kterými by MPO mohlo volně disponovat, neslouží jako likvidní prostředky MPO</w:t>
      </w:r>
      <w:r w:rsidR="00E50396">
        <w:t>,</w:t>
      </w:r>
      <w:r>
        <w:t xml:space="preserve"> a </w:t>
      </w:r>
      <w:r w:rsidRPr="00180F80">
        <w:t>není</w:t>
      </w:r>
      <w:r>
        <w:t xml:space="preserve"> proto</w:t>
      </w:r>
      <w:r w:rsidRPr="00180F80">
        <w:t xml:space="preserve"> důvodné tyto prostředky vykazovat jako krátkodobé, např. jako krátkodobé peněžní prostředky na bankovních účtech (s výjimkou uvedenou dále)</w:t>
      </w:r>
      <w:r>
        <w:t>;</w:t>
      </w:r>
    </w:p>
    <w:p w14:paraId="06A2F3A2" w14:textId="77777777" w:rsidR="00A418CD" w:rsidRPr="00180F80" w:rsidRDefault="00A418CD" w:rsidP="0097495B">
      <w:pPr>
        <w:pStyle w:val="Odstavecseseznamem"/>
        <w:numPr>
          <w:ilvl w:val="0"/>
          <w:numId w:val="8"/>
        </w:numPr>
        <w:spacing w:after="0"/>
        <w:contextualSpacing w:val="0"/>
        <w:jc w:val="both"/>
      </w:pPr>
      <w:r w:rsidRPr="000C7E19">
        <w:rPr>
          <w:rFonts w:cstheme="minorHAnsi"/>
        </w:rPr>
        <w:t xml:space="preserve">prostředky </w:t>
      </w:r>
      <w:r>
        <w:rPr>
          <w:rFonts w:cstheme="minorHAnsi"/>
        </w:rPr>
        <w:t xml:space="preserve">vložené do </w:t>
      </w:r>
      <w:r w:rsidRPr="000C7E19">
        <w:rPr>
          <w:rFonts w:cstheme="minorHAnsi"/>
        </w:rPr>
        <w:t>FN mají návratnou povahu, což až do okamžiku prokázání opaku vylučuje jejich povahu jako transferu (a tím i aktiv z transferu);</w:t>
      </w:r>
    </w:p>
    <w:p w14:paraId="34694812" w14:textId="77777777" w:rsidR="00A418CD" w:rsidRPr="00180F80" w:rsidRDefault="00A418CD" w:rsidP="0097495B">
      <w:pPr>
        <w:pStyle w:val="Odstavecseseznamem"/>
        <w:numPr>
          <w:ilvl w:val="0"/>
          <w:numId w:val="8"/>
        </w:numPr>
        <w:spacing w:after="0"/>
        <w:contextualSpacing w:val="0"/>
        <w:jc w:val="both"/>
      </w:pPr>
      <w:r w:rsidRPr="000C7E19">
        <w:rPr>
          <w:rFonts w:cstheme="minorHAnsi"/>
        </w:rPr>
        <w:t>prostředky jednou vložené do FN mají na rozdíl od jednorázově poskytnutého transferu sloužit opakovaně více subjektům, tj. ve vztahu k MPO platí, že nesou trvalou hodnotu pro poskytování podpory;</w:t>
      </w:r>
    </w:p>
    <w:p w14:paraId="45FEB98C" w14:textId="7251759B" w:rsidR="00A418CD" w:rsidRPr="00F767E9" w:rsidRDefault="00A418CD" w:rsidP="0097495B">
      <w:pPr>
        <w:pStyle w:val="Odstavecseseznamem"/>
        <w:numPr>
          <w:ilvl w:val="0"/>
          <w:numId w:val="8"/>
        </w:numPr>
        <w:spacing w:after="0"/>
        <w:contextualSpacing w:val="0"/>
        <w:jc w:val="both"/>
      </w:pPr>
      <w:r w:rsidRPr="000C7E19">
        <w:rPr>
          <w:rFonts w:cstheme="minorHAnsi"/>
        </w:rPr>
        <w:t>MPO delegovalo rozhodování o tom, jakému konkrétnímu příjemci budou</w:t>
      </w:r>
      <w:r>
        <w:rPr>
          <w:rFonts w:cstheme="minorHAnsi"/>
        </w:rPr>
        <w:t xml:space="preserve"> finanční prostředky poskytnuty</w:t>
      </w:r>
      <w:r w:rsidRPr="000C7E19">
        <w:rPr>
          <w:rFonts w:cstheme="minorHAnsi"/>
        </w:rPr>
        <w:t xml:space="preserve"> na </w:t>
      </w:r>
      <w:r w:rsidR="005478D8">
        <w:rPr>
          <w:rFonts w:cstheme="minorHAnsi"/>
        </w:rPr>
        <w:t>finanční instituci</w:t>
      </w:r>
      <w:r>
        <w:rPr>
          <w:rFonts w:cstheme="minorHAnsi"/>
        </w:rPr>
        <w:t>; MPO tedy nelze označit za poskytovatele či zprostředkovatele transferu ve smyslu ČÚS č. 703;</w:t>
      </w:r>
    </w:p>
    <w:p w14:paraId="582115FC" w14:textId="3BE285DF" w:rsidR="00A418CD" w:rsidRDefault="00A418CD" w:rsidP="0097495B">
      <w:pPr>
        <w:pStyle w:val="Odstavecseseznamem"/>
        <w:numPr>
          <w:ilvl w:val="0"/>
          <w:numId w:val="8"/>
        </w:numPr>
        <w:spacing w:after="0"/>
        <w:contextualSpacing w:val="0"/>
        <w:jc w:val="both"/>
      </w:pPr>
      <w:r w:rsidRPr="000C7E19">
        <w:rPr>
          <w:rFonts w:asciiTheme="minorHAnsi" w:hAnsiTheme="minorHAnsi" w:cstheme="minorHAnsi"/>
        </w:rPr>
        <w:t xml:space="preserve">vklad prostředků u </w:t>
      </w:r>
      <w:r w:rsidR="005478D8">
        <w:rPr>
          <w:rFonts w:asciiTheme="minorHAnsi" w:hAnsiTheme="minorHAnsi" w:cstheme="minorHAnsi"/>
        </w:rPr>
        <w:t>finanční instituce</w:t>
      </w:r>
      <w:r w:rsidRPr="000C7E19">
        <w:rPr>
          <w:rFonts w:asciiTheme="minorHAnsi" w:hAnsiTheme="minorHAnsi" w:cstheme="minorHAnsi"/>
        </w:rPr>
        <w:t xml:space="preserve"> představuje pro MPO nárok </w:t>
      </w:r>
      <w:r w:rsidR="004A363D">
        <w:rPr>
          <w:rFonts w:asciiTheme="minorHAnsi" w:hAnsiTheme="minorHAnsi" w:cstheme="minorHAnsi"/>
        </w:rPr>
        <w:t xml:space="preserve">a pro </w:t>
      </w:r>
      <w:r w:rsidR="005478D8">
        <w:rPr>
          <w:rFonts w:asciiTheme="minorHAnsi" w:hAnsiTheme="minorHAnsi" w:cstheme="minorHAnsi"/>
        </w:rPr>
        <w:t>finanční instituci</w:t>
      </w:r>
      <w:r w:rsidR="004A363D">
        <w:rPr>
          <w:rFonts w:asciiTheme="minorHAnsi" w:hAnsiTheme="minorHAnsi" w:cstheme="minorHAnsi"/>
        </w:rPr>
        <w:t xml:space="preserve"> závazek vůči MPO, a </w:t>
      </w:r>
      <w:r w:rsidRPr="000C7E19">
        <w:rPr>
          <w:rFonts w:asciiTheme="minorHAnsi" w:hAnsiTheme="minorHAnsi" w:cstheme="minorHAnsi"/>
        </w:rPr>
        <w:t xml:space="preserve">to ve výši celé hodnoty poskytnutých prostředků bez ohledu na to, zda mají v daný okamžik povahu prostředků na bankovním účtu nebo z něj již </w:t>
      </w:r>
      <w:r w:rsidR="005478D8">
        <w:rPr>
          <w:rFonts w:asciiTheme="minorHAnsi" w:hAnsiTheme="minorHAnsi" w:cstheme="minorHAnsi"/>
        </w:rPr>
        <w:t>finanční instituce</w:t>
      </w:r>
      <w:r w:rsidRPr="000C7E19">
        <w:rPr>
          <w:rFonts w:asciiTheme="minorHAnsi" w:hAnsiTheme="minorHAnsi" w:cstheme="minorHAnsi"/>
        </w:rPr>
        <w:t xml:space="preserve"> poskytla např. úvěry či pořídila kapitálové nástroje</w:t>
      </w:r>
      <w:r w:rsidRPr="000C7E19">
        <w:rPr>
          <w:rStyle w:val="Znakapoznpodarou"/>
          <w:rFonts w:asciiTheme="minorHAnsi" w:eastAsiaTheme="majorEastAsia" w:hAnsiTheme="minorHAnsi" w:cstheme="minorHAnsi"/>
        </w:rPr>
        <w:footnoteReference w:id="45"/>
      </w:r>
      <w:r w:rsidRPr="000C7E19">
        <w:rPr>
          <w:rFonts w:asciiTheme="minorHAnsi" w:hAnsiTheme="minorHAnsi" w:cstheme="minorHAnsi"/>
        </w:rPr>
        <w:t>;</w:t>
      </w:r>
    </w:p>
    <w:p w14:paraId="0855547E" w14:textId="5A4C448D" w:rsidR="00A418CD" w:rsidRDefault="00A418CD" w:rsidP="0097495B">
      <w:pPr>
        <w:pStyle w:val="Odstavecseseznamem"/>
        <w:numPr>
          <w:ilvl w:val="0"/>
          <w:numId w:val="8"/>
        </w:numPr>
        <w:spacing w:after="0"/>
        <w:contextualSpacing w:val="0"/>
        <w:jc w:val="both"/>
      </w:pPr>
      <w:r w:rsidRPr="00F767E9">
        <w:rPr>
          <w:rFonts w:asciiTheme="minorHAnsi" w:hAnsiTheme="minorHAnsi" w:cstheme="minorHAnsi"/>
        </w:rPr>
        <w:lastRenderedPageBreak/>
        <w:t xml:space="preserve">vykázání tohoto portfolia aktiv spravovaných </w:t>
      </w:r>
      <w:r w:rsidR="005478D8">
        <w:rPr>
          <w:rFonts w:asciiTheme="minorHAnsi" w:hAnsiTheme="minorHAnsi" w:cstheme="minorHAnsi"/>
        </w:rPr>
        <w:t>finanční institucí</w:t>
      </w:r>
      <w:r w:rsidRPr="00F767E9">
        <w:rPr>
          <w:rFonts w:asciiTheme="minorHAnsi" w:hAnsiTheme="minorHAnsi" w:cstheme="minorHAnsi"/>
        </w:rPr>
        <w:t xml:space="preserve"> pro MPO na položce účetní závěrky</w:t>
      </w:r>
      <w:r w:rsidRPr="00F767E9">
        <w:rPr>
          <w:rFonts w:asciiTheme="minorHAnsi" w:hAnsiTheme="minorHAnsi" w:cstheme="minorHAnsi"/>
          <w:i/>
        </w:rPr>
        <w:t xml:space="preserve"> </w:t>
      </w:r>
      <w:r w:rsidRPr="00F767E9">
        <w:rPr>
          <w:rFonts w:asciiTheme="minorHAnsi" w:hAnsiTheme="minorHAnsi" w:cstheme="minorHAnsi"/>
        </w:rPr>
        <w:t>069 představuje souhrnně výši vkladu MPO, což je odrazem ekonomické reality a</w:t>
      </w:r>
      <w:r w:rsidR="005A17A6">
        <w:rPr>
          <w:rFonts w:asciiTheme="minorHAnsi" w:hAnsiTheme="minorHAnsi" w:cstheme="minorHAnsi"/>
        </w:rPr>
        <w:t> </w:t>
      </w:r>
      <w:r w:rsidRPr="00F767E9">
        <w:rPr>
          <w:rFonts w:asciiTheme="minorHAnsi" w:hAnsiTheme="minorHAnsi" w:cstheme="minorHAnsi"/>
        </w:rPr>
        <w:t>záměru MPO ve vztahu k FN;</w:t>
      </w:r>
    </w:p>
    <w:p w14:paraId="4C97277C" w14:textId="77777777" w:rsidR="00A418CD" w:rsidRPr="000C7E19" w:rsidRDefault="00A418CD" w:rsidP="0097495B">
      <w:pPr>
        <w:numPr>
          <w:ilvl w:val="0"/>
          <w:numId w:val="13"/>
        </w:numPr>
        <w:spacing w:after="0"/>
        <w:jc w:val="both"/>
        <w:rPr>
          <w:rFonts w:asciiTheme="minorHAnsi" w:hAnsiTheme="minorHAnsi" w:cstheme="minorHAnsi"/>
        </w:rPr>
      </w:pPr>
      <w:r w:rsidRPr="000C7E19">
        <w:rPr>
          <w:rFonts w:cstheme="minorHAnsi"/>
        </w:rPr>
        <w:t>vzhledem k tomu, že jsou FN vykazovány jako dlouhodobý finanční majetek</w:t>
      </w:r>
      <w:r>
        <w:rPr>
          <w:rFonts w:cstheme="minorHAnsi"/>
        </w:rPr>
        <w:t>,</w:t>
      </w:r>
      <w:r w:rsidRPr="000C7E19">
        <w:rPr>
          <w:rFonts w:cstheme="minorHAnsi"/>
        </w:rPr>
        <w:t xml:space="preserve"> je možné peněžní prostředky, kterými MPO refunduje vklady do FN a které přijímá z rozpočtu EU, vykazovat jako přijatý investiční transfer a celkovou alokaci na daný finanční nástroj vykazovat jako dlouhodobý podmíněný závazek ze smluv o pořízení dlouhodobého majetku;</w:t>
      </w:r>
    </w:p>
    <w:p w14:paraId="5DD2A559" w14:textId="545666EB" w:rsidR="00A418CD" w:rsidRPr="000C7E19" w:rsidRDefault="00A418CD" w:rsidP="0097495B">
      <w:pPr>
        <w:numPr>
          <w:ilvl w:val="0"/>
          <w:numId w:val="13"/>
        </w:numPr>
        <w:spacing w:after="0"/>
        <w:jc w:val="both"/>
        <w:rPr>
          <w:rFonts w:cstheme="minorHAnsi"/>
        </w:rPr>
      </w:pPr>
      <w:r w:rsidRPr="000C7E19">
        <w:rPr>
          <w:rFonts w:cstheme="minorHAnsi"/>
        </w:rPr>
        <w:t xml:space="preserve">v případě vykázání FN jako finančního majetku je možné prostřednictvím opravných položek upravovat ocenění FN v případě jeho významného snížení, např. v případě, že některé úvěry poskytnuté </w:t>
      </w:r>
      <w:r w:rsidR="00AD0CA8">
        <w:rPr>
          <w:rFonts w:cstheme="minorHAnsi"/>
        </w:rPr>
        <w:t>finanční institucí</w:t>
      </w:r>
      <w:r w:rsidRPr="000C7E19">
        <w:rPr>
          <w:rFonts w:cstheme="minorHAnsi"/>
        </w:rPr>
        <w:t xml:space="preserve"> nejsou jejich příjemci řádně spláceny;</w:t>
      </w:r>
    </w:p>
    <w:p w14:paraId="751E3759" w14:textId="77777777" w:rsidR="00A418CD" w:rsidRPr="000C7E19" w:rsidRDefault="00A418CD" w:rsidP="0097495B">
      <w:pPr>
        <w:numPr>
          <w:ilvl w:val="0"/>
          <w:numId w:val="13"/>
        </w:numPr>
        <w:spacing w:after="0"/>
        <w:jc w:val="both"/>
        <w:rPr>
          <w:rFonts w:cstheme="minorHAnsi"/>
        </w:rPr>
      </w:pPr>
      <w:r w:rsidRPr="000C7E19">
        <w:rPr>
          <w:rFonts w:cstheme="minorHAnsi"/>
        </w:rPr>
        <w:t xml:space="preserve">v případě vykázání prostředků FN jako běžné pohledávky (nikoliv jako finančního majetku) by bylo obtížné stanovit jejich splatnost ve smyslu ustanovení § 19 odst. 8 </w:t>
      </w:r>
      <w:r w:rsidR="00F2296B">
        <w:rPr>
          <w:rFonts w:cstheme="minorHAnsi"/>
        </w:rPr>
        <w:t>zákona č. </w:t>
      </w:r>
      <w:r w:rsidR="00BE7F32" w:rsidRPr="00BE7F32">
        <w:rPr>
          <w:rFonts w:cstheme="minorHAnsi"/>
        </w:rPr>
        <w:t>563/1991 Sb.</w:t>
      </w:r>
      <w:r w:rsidRPr="000C7E19">
        <w:rPr>
          <w:rFonts w:cstheme="minorHAnsi"/>
        </w:rPr>
        <w:t>, neboť v tomto případě je relevantní spíše informace o době použitelnosti toho majetku coby vkladu, což svědčí pro povahu aktiva jako finančního majetku;</w:t>
      </w:r>
    </w:p>
    <w:p w14:paraId="233E4061" w14:textId="77777777" w:rsidR="00A418CD" w:rsidRPr="000C7E19" w:rsidRDefault="00A418CD" w:rsidP="0097495B">
      <w:pPr>
        <w:numPr>
          <w:ilvl w:val="0"/>
          <w:numId w:val="13"/>
        </w:numPr>
        <w:spacing w:after="0"/>
        <w:jc w:val="both"/>
        <w:rPr>
          <w:rFonts w:cstheme="minorHAnsi"/>
        </w:rPr>
      </w:pPr>
      <w:r w:rsidRPr="000C7E19">
        <w:rPr>
          <w:rFonts w:cstheme="minorHAnsi"/>
        </w:rPr>
        <w:t>nelze-li dlouhodobý finanční majetek zatřídit na některý ze specificky určených účtů, pak MPO správně využilo účet, který v názvu obsahuje s</w:t>
      </w:r>
      <w:r>
        <w:rPr>
          <w:rFonts w:cstheme="minorHAnsi"/>
        </w:rPr>
        <w:t>lovo „ostatní“, a to účet 069;</w:t>
      </w:r>
      <w:r w:rsidRPr="000C7E19">
        <w:rPr>
          <w:rFonts w:cstheme="minorHAnsi"/>
        </w:rPr>
        <w:t xml:space="preserve"> </w:t>
      </w:r>
    </w:p>
    <w:p w14:paraId="26388435" w14:textId="77777777" w:rsidR="00A418CD" w:rsidRPr="000C7E19" w:rsidRDefault="00A418CD" w:rsidP="0097495B">
      <w:pPr>
        <w:numPr>
          <w:ilvl w:val="0"/>
          <w:numId w:val="13"/>
        </w:numPr>
        <w:ind w:hanging="363"/>
        <w:jc w:val="both"/>
        <w:rPr>
          <w:rFonts w:cstheme="minorHAnsi"/>
        </w:rPr>
      </w:pPr>
      <w:r w:rsidRPr="000C7E19">
        <w:rPr>
          <w:rFonts w:cstheme="minorHAnsi"/>
        </w:rPr>
        <w:t>MPO v příloze ÚZ dostatečně podrobně popisuje problematiku FN, které na účtu 069 vykazuje.</w:t>
      </w:r>
    </w:p>
    <w:p w14:paraId="3F4BF0A0" w14:textId="77777777" w:rsidR="00A418CD" w:rsidRDefault="00A418CD" w:rsidP="0097495B">
      <w:pPr>
        <w:jc w:val="both"/>
        <w:rPr>
          <w:rFonts w:cstheme="minorHAnsi"/>
          <w:b/>
          <w:lang w:eastAsia="cs-CZ"/>
        </w:rPr>
      </w:pPr>
      <w:r w:rsidRPr="00577F86">
        <w:rPr>
          <w:rFonts w:cstheme="minorHAnsi"/>
          <w:b/>
          <w:lang w:eastAsia="cs-CZ"/>
        </w:rPr>
        <w:t xml:space="preserve">Výsledný přístup zvolený MPO, </w:t>
      </w:r>
      <w:r w:rsidRPr="00351258">
        <w:rPr>
          <w:rFonts w:cstheme="minorHAnsi"/>
          <w:lang w:eastAsia="cs-CZ"/>
        </w:rPr>
        <w:t>až na níže uvedené výjimky</w:t>
      </w:r>
      <w:r w:rsidRPr="00577F86">
        <w:rPr>
          <w:rFonts w:cstheme="minorHAnsi"/>
          <w:b/>
          <w:lang w:eastAsia="cs-CZ"/>
        </w:rPr>
        <w:t>, považuje NKÚ za provedený v souladu s předpisy k vedení účetnictví. Obecně</w:t>
      </w:r>
      <w:r w:rsidR="00351258">
        <w:rPr>
          <w:rFonts w:cstheme="minorHAnsi"/>
          <w:b/>
          <w:lang w:eastAsia="cs-CZ"/>
        </w:rPr>
        <w:t xml:space="preserve"> ale</w:t>
      </w:r>
      <w:r w:rsidRPr="00577F86">
        <w:rPr>
          <w:rFonts w:cstheme="minorHAnsi"/>
          <w:b/>
          <w:lang w:eastAsia="cs-CZ"/>
        </w:rPr>
        <w:t xml:space="preserve"> nelze v takovýchto případech vyloučit možnosti i jiného přístupu k vykázání, </w:t>
      </w:r>
      <w:r w:rsidR="00351258">
        <w:rPr>
          <w:rFonts w:cstheme="minorHAnsi"/>
          <w:b/>
          <w:lang w:eastAsia="cs-CZ"/>
        </w:rPr>
        <w:t xml:space="preserve">neboť </w:t>
      </w:r>
      <w:r w:rsidRPr="00577F86">
        <w:rPr>
          <w:rFonts w:cstheme="minorHAnsi"/>
          <w:b/>
          <w:lang w:eastAsia="cs-CZ"/>
        </w:rPr>
        <w:t xml:space="preserve">vždy bude záležet na prokázání konkrétních skutečností. </w:t>
      </w:r>
    </w:p>
    <w:p w14:paraId="3FD3E200" w14:textId="77777777" w:rsidR="00A418CD" w:rsidRPr="00B94144" w:rsidRDefault="00A418CD" w:rsidP="0063452C">
      <w:pPr>
        <w:spacing w:after="0"/>
        <w:jc w:val="both"/>
        <w:rPr>
          <w:rFonts w:cstheme="minorHAnsi"/>
          <w:b/>
        </w:rPr>
      </w:pPr>
      <w:r w:rsidRPr="00B94144">
        <w:rPr>
          <w:rFonts w:cstheme="minorHAnsi"/>
          <w:b/>
        </w:rPr>
        <w:t>Při kontrole operací kontrolovaných FN bylo zjištěno, že MPO v některých případech nepostupoval</w:t>
      </w:r>
      <w:r w:rsidR="00351258">
        <w:rPr>
          <w:rFonts w:cstheme="minorHAnsi"/>
          <w:b/>
        </w:rPr>
        <w:t>o v souladu s právními předpisy a tyto nesprávnosti byly s vlivem na:</w:t>
      </w:r>
    </w:p>
    <w:p w14:paraId="3E91F111" w14:textId="1B661534" w:rsidR="00A418CD" w:rsidRPr="00710B8D" w:rsidRDefault="00351258" w:rsidP="0097495B">
      <w:pPr>
        <w:pStyle w:val="Odstavecseseznamem"/>
        <w:numPr>
          <w:ilvl w:val="0"/>
          <w:numId w:val="7"/>
        </w:numPr>
        <w:spacing w:after="0"/>
        <w:ind w:left="284" w:hanging="284"/>
        <w:contextualSpacing w:val="0"/>
        <w:jc w:val="both"/>
        <w:rPr>
          <w:rFonts w:asciiTheme="minorHAnsi" w:hAnsiTheme="minorHAnsi" w:cstheme="minorHAnsi"/>
        </w:rPr>
      </w:pPr>
      <w:r w:rsidRPr="00351258">
        <w:rPr>
          <w:rFonts w:asciiTheme="minorHAnsi" w:hAnsiTheme="minorHAnsi" w:cstheme="minorHAnsi"/>
          <w:b/>
        </w:rPr>
        <w:t xml:space="preserve">Vedení účetnictví </w:t>
      </w:r>
      <w:r w:rsidR="00DE1F4B" w:rsidRPr="00DE0188">
        <w:rPr>
          <w:rFonts w:asciiTheme="minorHAnsi" w:eastAsia="Calibri" w:hAnsiTheme="minorHAnsi" w:cstheme="minorHAnsi"/>
        </w:rPr>
        <w:t>–</w:t>
      </w:r>
      <w:r w:rsidRPr="00351258">
        <w:rPr>
          <w:rFonts w:asciiTheme="minorHAnsi" w:hAnsiTheme="minorHAnsi" w:cstheme="minorHAnsi"/>
          <w:b/>
        </w:rPr>
        <w:t xml:space="preserve"> </w:t>
      </w:r>
      <w:r w:rsidR="00A418CD" w:rsidRPr="00351258">
        <w:rPr>
          <w:rFonts w:asciiTheme="minorHAnsi" w:hAnsiTheme="minorHAnsi" w:cstheme="minorHAnsi"/>
        </w:rPr>
        <w:t>MPO o některých operacích s FN neúčtovalo průběžně, ale souhrnně k</w:t>
      </w:r>
      <w:r w:rsidR="0063452C">
        <w:rPr>
          <w:rFonts w:asciiTheme="minorHAnsi" w:hAnsiTheme="minorHAnsi" w:cstheme="minorHAnsi"/>
        </w:rPr>
        <w:t> </w:t>
      </w:r>
      <w:r w:rsidR="00A418CD" w:rsidRPr="00351258">
        <w:rPr>
          <w:rFonts w:asciiTheme="minorHAnsi" w:hAnsiTheme="minorHAnsi" w:cstheme="minorHAnsi"/>
        </w:rPr>
        <w:t xml:space="preserve">31. </w:t>
      </w:r>
      <w:r w:rsidR="0033459D" w:rsidRPr="00351258">
        <w:rPr>
          <w:rFonts w:asciiTheme="minorHAnsi" w:hAnsiTheme="minorHAnsi" w:cstheme="minorHAnsi"/>
        </w:rPr>
        <w:t>prosinci</w:t>
      </w:r>
      <w:r w:rsidR="00A418CD" w:rsidRPr="00351258">
        <w:rPr>
          <w:rFonts w:asciiTheme="minorHAnsi" w:hAnsiTheme="minorHAnsi" w:cstheme="minorHAnsi"/>
        </w:rPr>
        <w:t xml:space="preserve"> 2020</w:t>
      </w:r>
      <w:r w:rsidR="00A418CD" w:rsidRPr="00B94144">
        <w:rPr>
          <w:rFonts w:asciiTheme="minorHAnsi" w:hAnsiTheme="minorHAnsi" w:cstheme="minorHAnsi"/>
        </w:rPr>
        <w:t>, a nevyhotovilo veškeré účetní doklady bez zbytečného odkladu po zjištění skutečností, které se jimi zachycují. V důsledku toho MPO např. v mezitímních účetních závěrkách účetního období 2020 vykazovalo na účtu 069 aktiva ve výši 8,16</w:t>
      </w:r>
      <w:r w:rsidR="00E50396">
        <w:rPr>
          <w:rFonts w:asciiTheme="minorHAnsi" w:hAnsiTheme="minorHAnsi" w:cstheme="minorHAnsi"/>
        </w:rPr>
        <w:t> </w:t>
      </w:r>
      <w:r w:rsidR="00A418CD" w:rsidRPr="00B94144">
        <w:rPr>
          <w:rFonts w:asciiTheme="minorHAnsi" w:hAnsiTheme="minorHAnsi" w:cstheme="minorHAnsi"/>
        </w:rPr>
        <w:t>mil.</w:t>
      </w:r>
      <w:r w:rsidR="00E50396">
        <w:rPr>
          <w:rFonts w:asciiTheme="minorHAnsi" w:hAnsiTheme="minorHAnsi" w:cstheme="minorHAnsi"/>
        </w:rPr>
        <w:t> </w:t>
      </w:r>
      <w:r w:rsidR="00A418CD" w:rsidRPr="00B94144">
        <w:rPr>
          <w:rFonts w:asciiTheme="minorHAnsi" w:hAnsiTheme="minorHAnsi" w:cstheme="minorHAnsi"/>
        </w:rPr>
        <w:t>Kč, která však již aktivem MPO nebyla. Uvedená aktiva (peněžní prostředky z</w:t>
      </w:r>
      <w:r w:rsidR="00E50396">
        <w:rPr>
          <w:rFonts w:asciiTheme="minorHAnsi" w:hAnsiTheme="minorHAnsi" w:cstheme="minorHAnsi"/>
        </w:rPr>
        <w:t> </w:t>
      </w:r>
      <w:r w:rsidR="00A418CD" w:rsidRPr="00B94144">
        <w:rPr>
          <w:rFonts w:asciiTheme="minorHAnsi" w:hAnsiTheme="minorHAnsi" w:cstheme="minorHAnsi"/>
        </w:rPr>
        <w:t>bankovního účtu v</w:t>
      </w:r>
      <w:r w:rsidR="00AD0CA8">
        <w:rPr>
          <w:rFonts w:asciiTheme="minorHAnsi" w:hAnsiTheme="minorHAnsi" w:cstheme="minorHAnsi"/>
        </w:rPr>
        <w:t>e finanční instituci</w:t>
      </w:r>
      <w:r w:rsidR="00A418CD" w:rsidRPr="00710B8D">
        <w:rPr>
          <w:rFonts w:asciiTheme="minorHAnsi" w:hAnsiTheme="minorHAnsi" w:cstheme="minorHAnsi"/>
        </w:rPr>
        <w:t xml:space="preserve">) totiž převedla </w:t>
      </w:r>
      <w:r w:rsidR="00AD0CA8">
        <w:rPr>
          <w:rFonts w:asciiTheme="minorHAnsi" w:hAnsiTheme="minorHAnsi" w:cstheme="minorHAnsi"/>
        </w:rPr>
        <w:t>finanční instituce</w:t>
      </w:r>
      <w:r w:rsidR="00A418CD" w:rsidRPr="00710B8D">
        <w:rPr>
          <w:rFonts w:asciiTheme="minorHAnsi" w:hAnsiTheme="minorHAnsi" w:cstheme="minorHAnsi"/>
        </w:rPr>
        <w:t xml:space="preserve"> v lednu 2020 na bankovní účet cizích prostředků MPO v</w:t>
      </w:r>
      <w:r w:rsidR="00A418CD">
        <w:rPr>
          <w:rFonts w:asciiTheme="minorHAnsi" w:hAnsiTheme="minorHAnsi" w:cstheme="minorHAnsi"/>
        </w:rPr>
        <w:t> České národní bance (</w:t>
      </w:r>
      <w:r w:rsidR="00A418CD" w:rsidRPr="00586C85">
        <w:rPr>
          <w:rFonts w:asciiTheme="minorHAnsi" w:hAnsiTheme="minorHAnsi" w:cstheme="minorHAnsi"/>
        </w:rPr>
        <w:t>dále „ČNB“</w:t>
      </w:r>
      <w:r w:rsidR="00A418CD" w:rsidRPr="00E25364">
        <w:rPr>
          <w:rFonts w:asciiTheme="minorHAnsi" w:hAnsiTheme="minorHAnsi" w:cstheme="minorHAnsi"/>
        </w:rPr>
        <w:t>)</w:t>
      </w:r>
      <w:r w:rsidR="00A418CD" w:rsidRPr="00710B8D">
        <w:rPr>
          <w:rFonts w:asciiTheme="minorHAnsi" w:hAnsiTheme="minorHAnsi" w:cstheme="minorHAnsi"/>
        </w:rPr>
        <w:t xml:space="preserve"> a MPO tyto prostředky následně v březnu </w:t>
      </w:r>
      <w:r w:rsidR="00A418CD">
        <w:rPr>
          <w:rFonts w:asciiTheme="minorHAnsi" w:hAnsiTheme="minorHAnsi" w:cstheme="minorHAnsi"/>
        </w:rPr>
        <w:t>2020 převedlo na bankovní účet MF</w:t>
      </w:r>
      <w:r w:rsidR="00A418CD" w:rsidRPr="00710B8D">
        <w:rPr>
          <w:rFonts w:asciiTheme="minorHAnsi" w:hAnsiTheme="minorHAnsi" w:cstheme="minorHAnsi"/>
        </w:rPr>
        <w:t>. O převodu</w:t>
      </w:r>
      <w:r w:rsidR="00A418CD">
        <w:rPr>
          <w:rFonts w:asciiTheme="minorHAnsi" w:hAnsiTheme="minorHAnsi" w:cstheme="minorHAnsi"/>
        </w:rPr>
        <w:t xml:space="preserve"> těchto</w:t>
      </w:r>
      <w:r w:rsidR="00A418CD" w:rsidRPr="00710B8D">
        <w:rPr>
          <w:rFonts w:asciiTheme="minorHAnsi" w:hAnsiTheme="minorHAnsi" w:cstheme="minorHAnsi"/>
        </w:rPr>
        <w:t xml:space="preserve"> prostředků z</w:t>
      </w:r>
      <w:r w:rsidR="00385F8C">
        <w:rPr>
          <w:rFonts w:asciiTheme="minorHAnsi" w:hAnsiTheme="minorHAnsi" w:cstheme="minorHAnsi"/>
        </w:rPr>
        <w:t> </w:t>
      </w:r>
      <w:r w:rsidR="00A418CD" w:rsidRPr="00710B8D">
        <w:rPr>
          <w:rFonts w:asciiTheme="minorHAnsi" w:hAnsiTheme="minorHAnsi" w:cstheme="minorHAnsi"/>
        </w:rPr>
        <w:t>bankovního účtu v</w:t>
      </w:r>
      <w:r w:rsidR="00AD0CA8">
        <w:rPr>
          <w:rFonts w:asciiTheme="minorHAnsi" w:hAnsiTheme="minorHAnsi" w:cstheme="minorHAnsi"/>
        </w:rPr>
        <w:t>e finanční instituci</w:t>
      </w:r>
      <w:r w:rsidR="00A418CD" w:rsidRPr="00710B8D">
        <w:rPr>
          <w:rFonts w:asciiTheme="minorHAnsi" w:hAnsiTheme="minorHAnsi" w:cstheme="minorHAnsi"/>
        </w:rPr>
        <w:t>, tj. o snížení stavu účtu 069, účtovalo MPO až k</w:t>
      </w:r>
      <w:r w:rsidR="00385F8C">
        <w:rPr>
          <w:rFonts w:asciiTheme="minorHAnsi" w:hAnsiTheme="minorHAnsi" w:cstheme="minorHAnsi"/>
        </w:rPr>
        <w:t> </w:t>
      </w:r>
      <w:r w:rsidR="00A418CD" w:rsidRPr="00710B8D">
        <w:rPr>
          <w:rFonts w:asciiTheme="minorHAnsi" w:hAnsiTheme="minorHAnsi" w:cstheme="minorHAnsi"/>
        </w:rPr>
        <w:t>31.</w:t>
      </w:r>
      <w:r w:rsidR="00385F8C">
        <w:rPr>
          <w:rFonts w:asciiTheme="minorHAnsi" w:hAnsiTheme="minorHAnsi" w:cstheme="minorHAnsi"/>
        </w:rPr>
        <w:t> </w:t>
      </w:r>
      <w:r w:rsidR="0033459D">
        <w:rPr>
          <w:rFonts w:asciiTheme="minorHAnsi" w:hAnsiTheme="minorHAnsi" w:cstheme="minorHAnsi"/>
        </w:rPr>
        <w:t>prosinci</w:t>
      </w:r>
      <w:r w:rsidR="00A418CD" w:rsidRPr="00710B8D">
        <w:rPr>
          <w:rFonts w:asciiTheme="minorHAnsi" w:hAnsiTheme="minorHAnsi" w:cstheme="minorHAnsi"/>
        </w:rPr>
        <w:t xml:space="preserve"> 2020.</w:t>
      </w:r>
    </w:p>
    <w:p w14:paraId="7FD9F58F" w14:textId="117E3FBA" w:rsidR="00A418CD" w:rsidRPr="00710B8D" w:rsidRDefault="00A418CD" w:rsidP="0063452C">
      <w:pPr>
        <w:spacing w:after="0"/>
        <w:ind w:left="284"/>
        <w:jc w:val="both"/>
        <w:rPr>
          <w:rFonts w:asciiTheme="minorHAnsi" w:hAnsiTheme="minorHAnsi" w:cstheme="minorHAnsi"/>
        </w:rPr>
      </w:pPr>
      <w:r w:rsidRPr="00710B8D">
        <w:rPr>
          <w:rFonts w:asciiTheme="minorHAnsi" w:hAnsiTheme="minorHAnsi" w:cstheme="minorHAnsi"/>
        </w:rPr>
        <w:t>MPO má přitom čtvrtletně k dispozici zprávy o hospodaření s prostředky kontrolovaných FN (</w:t>
      </w:r>
      <w:r w:rsidRPr="00586C85">
        <w:rPr>
          <w:rFonts w:asciiTheme="minorHAnsi" w:hAnsiTheme="minorHAnsi" w:cstheme="minorHAnsi"/>
        </w:rPr>
        <w:t>dále „Monitoring“</w:t>
      </w:r>
      <w:r w:rsidRPr="00E25364">
        <w:rPr>
          <w:rFonts w:asciiTheme="minorHAnsi" w:hAnsiTheme="minorHAnsi" w:cstheme="minorHAnsi"/>
        </w:rPr>
        <w:t>)</w:t>
      </w:r>
      <w:r w:rsidRPr="00710B8D">
        <w:rPr>
          <w:rFonts w:asciiTheme="minorHAnsi" w:hAnsiTheme="minorHAnsi" w:cstheme="minorHAnsi"/>
        </w:rPr>
        <w:t xml:space="preserve"> a bankovní výpisy k bankovním účtům v</w:t>
      </w:r>
      <w:r w:rsidR="00AD0CA8">
        <w:rPr>
          <w:rFonts w:asciiTheme="minorHAnsi" w:hAnsiTheme="minorHAnsi" w:cstheme="minorHAnsi"/>
        </w:rPr>
        <w:t>e</w:t>
      </w:r>
      <w:r w:rsidRPr="00710B8D">
        <w:rPr>
          <w:rFonts w:asciiTheme="minorHAnsi" w:hAnsiTheme="minorHAnsi" w:cstheme="minorHAnsi"/>
        </w:rPr>
        <w:t xml:space="preserve"> </w:t>
      </w:r>
      <w:r w:rsidR="00AD0CA8">
        <w:rPr>
          <w:rFonts w:asciiTheme="minorHAnsi" w:hAnsiTheme="minorHAnsi" w:cstheme="minorHAnsi"/>
        </w:rPr>
        <w:t>finanční instituci</w:t>
      </w:r>
      <w:r w:rsidRPr="00710B8D">
        <w:rPr>
          <w:rFonts w:asciiTheme="minorHAnsi" w:hAnsiTheme="minorHAnsi" w:cstheme="minorHAnsi"/>
        </w:rPr>
        <w:t>. Bankovní výpisy dokládají jednotlivé operace, které se v průběhu realizace FN uskutečnily a zůstatek peněžních prostředků k danému okamžiku. V Moni</w:t>
      </w:r>
      <w:r w:rsidR="00F2296B">
        <w:rPr>
          <w:rFonts w:asciiTheme="minorHAnsi" w:hAnsiTheme="minorHAnsi" w:cstheme="minorHAnsi"/>
        </w:rPr>
        <w:t xml:space="preserve">toringu </w:t>
      </w:r>
      <w:r w:rsidR="00AD0CA8">
        <w:rPr>
          <w:rFonts w:asciiTheme="minorHAnsi" w:hAnsiTheme="minorHAnsi" w:cstheme="minorHAnsi"/>
        </w:rPr>
        <w:t>finanční instituce</w:t>
      </w:r>
      <w:r w:rsidR="00F2296B">
        <w:rPr>
          <w:rFonts w:asciiTheme="minorHAnsi" w:hAnsiTheme="minorHAnsi" w:cstheme="minorHAnsi"/>
        </w:rPr>
        <w:t xml:space="preserve"> uvádí informace o </w:t>
      </w:r>
      <w:r w:rsidRPr="00710B8D">
        <w:rPr>
          <w:rFonts w:asciiTheme="minorHAnsi" w:hAnsiTheme="minorHAnsi" w:cstheme="minorHAnsi"/>
        </w:rPr>
        <w:t xml:space="preserve">hospodaření s těmito peněžními prostředky. MPO tedy mělo v případě </w:t>
      </w:r>
      <w:r w:rsidRPr="00710B8D">
        <w:rPr>
          <w:rFonts w:asciiTheme="minorHAnsi" w:hAnsiTheme="minorHAnsi" w:cstheme="minorHAnsi"/>
        </w:rPr>
        <w:lastRenderedPageBreak/>
        <w:t>kontrolovaných FN informace pro zaúčtování veškerých skutečností a pro vyhotovení příslušných účetních dokladů již v průběhu účetního období 2020.</w:t>
      </w:r>
    </w:p>
    <w:p w14:paraId="67AE6DBA" w14:textId="39CD3053" w:rsidR="00A418CD" w:rsidRPr="006E1CF2" w:rsidRDefault="00A418CD" w:rsidP="0063452C">
      <w:pPr>
        <w:spacing w:after="0"/>
        <w:ind w:left="284"/>
        <w:jc w:val="both"/>
        <w:rPr>
          <w:rFonts w:asciiTheme="minorHAnsi" w:hAnsiTheme="minorHAnsi" w:cstheme="minorHAnsi"/>
        </w:rPr>
      </w:pPr>
      <w:r w:rsidRPr="006E1CF2">
        <w:rPr>
          <w:rFonts w:cstheme="minorHAnsi"/>
        </w:rPr>
        <w:t xml:space="preserve">MPO by mělo nastavit své vnitřní informační toky tak, aby mohlo pro zaúčtování veškerých operací, které vyplývají z dohod upravujících jednotlivé FN a jsou předmětem účetnictví MPO, naplnit požadavky stanovené pro provádění účetních zápisů </w:t>
      </w:r>
      <w:r w:rsidR="00BE7F32" w:rsidRPr="00BE7F32">
        <w:rPr>
          <w:rFonts w:cstheme="minorHAnsi"/>
        </w:rPr>
        <w:t>zákon</w:t>
      </w:r>
      <w:r w:rsidR="00BE7F32">
        <w:rPr>
          <w:rFonts w:cstheme="minorHAnsi"/>
        </w:rPr>
        <w:t>em</w:t>
      </w:r>
      <w:r w:rsidR="00BE7F32" w:rsidRPr="00BE7F32">
        <w:rPr>
          <w:rFonts w:cstheme="minorHAnsi"/>
        </w:rPr>
        <w:t xml:space="preserve"> č.</w:t>
      </w:r>
      <w:r w:rsidR="0063452C">
        <w:rPr>
          <w:rFonts w:cstheme="minorHAnsi"/>
        </w:rPr>
        <w:t> </w:t>
      </w:r>
      <w:r w:rsidR="00BE7F32" w:rsidRPr="00BE7F32">
        <w:rPr>
          <w:rFonts w:cstheme="minorHAnsi"/>
        </w:rPr>
        <w:t>563/1991</w:t>
      </w:r>
      <w:r w:rsidR="0063452C">
        <w:rPr>
          <w:rFonts w:cstheme="minorHAnsi"/>
        </w:rPr>
        <w:t> </w:t>
      </w:r>
      <w:r w:rsidR="00BE7F32" w:rsidRPr="00BE7F32">
        <w:rPr>
          <w:rFonts w:cstheme="minorHAnsi"/>
        </w:rPr>
        <w:t>Sb.</w:t>
      </w:r>
      <w:r w:rsidRPr="006E1CF2">
        <w:rPr>
          <w:rFonts w:cstheme="minorHAnsi"/>
        </w:rPr>
        <w:t xml:space="preserve"> a prostřednictvím účetních výkazů sestavovaných čtvrtletně poskytnout jejich uživatelům průběžné informace o stavu peněžních prostředků spravovaných v</w:t>
      </w:r>
      <w:r w:rsidR="00AD0CA8">
        <w:rPr>
          <w:rFonts w:cstheme="minorHAnsi"/>
        </w:rPr>
        <w:t>e</w:t>
      </w:r>
      <w:r w:rsidRPr="006E1CF2">
        <w:rPr>
          <w:rFonts w:cstheme="minorHAnsi"/>
        </w:rPr>
        <w:t xml:space="preserve"> </w:t>
      </w:r>
      <w:r w:rsidR="00AD0CA8">
        <w:rPr>
          <w:rFonts w:cstheme="minorHAnsi"/>
        </w:rPr>
        <w:t>finanční instituci</w:t>
      </w:r>
      <w:r w:rsidRPr="006E1CF2">
        <w:rPr>
          <w:rFonts w:cstheme="minorHAnsi"/>
        </w:rPr>
        <w:t xml:space="preserve"> a</w:t>
      </w:r>
      <w:r w:rsidR="00F2296B">
        <w:rPr>
          <w:rFonts w:cstheme="minorHAnsi"/>
        </w:rPr>
        <w:t> </w:t>
      </w:r>
      <w:r w:rsidRPr="006E1CF2">
        <w:rPr>
          <w:rFonts w:cstheme="minorHAnsi"/>
        </w:rPr>
        <w:t>o</w:t>
      </w:r>
      <w:r w:rsidR="00F2296B">
        <w:rPr>
          <w:rFonts w:cstheme="minorHAnsi"/>
        </w:rPr>
        <w:t> </w:t>
      </w:r>
      <w:r w:rsidRPr="006E1CF2">
        <w:rPr>
          <w:rFonts w:cstheme="minorHAnsi"/>
        </w:rPr>
        <w:t>dopadu operací plynoucích z nakládání s těmito prostředky např. na výsledek hospodaření MPO. Tyto účetní výkazy MPO sestavované k poslednímu dni danéh</w:t>
      </w:r>
      <w:r>
        <w:rPr>
          <w:rFonts w:cstheme="minorHAnsi"/>
        </w:rPr>
        <w:t>o čtvrtletí jsou zveřejňovány MF</w:t>
      </w:r>
      <w:r w:rsidRPr="006E1CF2">
        <w:rPr>
          <w:rFonts w:cstheme="minorHAnsi"/>
        </w:rPr>
        <w:t xml:space="preserve"> prostřednictvím</w:t>
      </w:r>
      <w:r w:rsidR="00351258">
        <w:rPr>
          <w:rFonts w:cstheme="minorHAnsi"/>
        </w:rPr>
        <w:t xml:space="preserve"> informačního portálu MONITOR.</w:t>
      </w:r>
    </w:p>
    <w:p w14:paraId="29B45F4C" w14:textId="78ADC09E" w:rsidR="00A418CD" w:rsidRPr="00497E3E" w:rsidRDefault="00351258" w:rsidP="0097495B">
      <w:pPr>
        <w:pStyle w:val="Odstavecseseznamem"/>
        <w:numPr>
          <w:ilvl w:val="0"/>
          <w:numId w:val="7"/>
        </w:numPr>
        <w:ind w:left="284" w:hanging="284"/>
        <w:contextualSpacing w:val="0"/>
        <w:jc w:val="both"/>
        <w:rPr>
          <w:rFonts w:cstheme="minorHAnsi"/>
        </w:rPr>
      </w:pPr>
      <w:r w:rsidRPr="00351258">
        <w:rPr>
          <w:rFonts w:eastAsia="Calibri"/>
          <w:b/>
        </w:rPr>
        <w:t>Údaje ÚZ</w:t>
      </w:r>
      <w:r>
        <w:rPr>
          <w:rFonts w:eastAsia="Calibri"/>
        </w:rPr>
        <w:t xml:space="preserve"> </w:t>
      </w:r>
      <w:r w:rsidR="00DE1F4B" w:rsidRPr="00DE0188">
        <w:rPr>
          <w:rFonts w:asciiTheme="minorHAnsi" w:eastAsia="Calibri" w:hAnsiTheme="minorHAnsi" w:cstheme="minorHAnsi"/>
        </w:rPr>
        <w:t>–</w:t>
      </w:r>
      <w:r>
        <w:rPr>
          <w:rFonts w:eastAsia="Calibri"/>
        </w:rPr>
        <w:t xml:space="preserve"> </w:t>
      </w:r>
      <w:r w:rsidR="00A418CD" w:rsidRPr="00B94144">
        <w:rPr>
          <w:rFonts w:eastAsia="Calibri"/>
        </w:rPr>
        <w:t>MPO peněžní prostředky na bankovním účtu v</w:t>
      </w:r>
      <w:r w:rsidR="00AD0CA8">
        <w:rPr>
          <w:rFonts w:eastAsia="Calibri"/>
        </w:rPr>
        <w:t>e</w:t>
      </w:r>
      <w:r w:rsidR="00A418CD" w:rsidRPr="00B94144">
        <w:rPr>
          <w:rFonts w:eastAsia="Calibri"/>
        </w:rPr>
        <w:t> </w:t>
      </w:r>
      <w:r w:rsidR="00AD0CA8">
        <w:rPr>
          <w:rFonts w:eastAsia="Calibri"/>
        </w:rPr>
        <w:t>finanční instituci</w:t>
      </w:r>
      <w:r w:rsidR="00A418CD" w:rsidRPr="00B94144">
        <w:rPr>
          <w:rFonts w:eastAsia="Calibri"/>
        </w:rPr>
        <w:t xml:space="preserve"> ve výši 5,77</w:t>
      </w:r>
      <w:r w:rsidR="0063452C">
        <w:rPr>
          <w:rFonts w:eastAsia="Calibri"/>
        </w:rPr>
        <w:t> </w:t>
      </w:r>
      <w:r w:rsidR="00A418CD" w:rsidRPr="00B94144">
        <w:rPr>
          <w:rFonts w:eastAsia="Calibri"/>
        </w:rPr>
        <w:t>mil.</w:t>
      </w:r>
      <w:r w:rsidR="0063452C">
        <w:rPr>
          <w:rFonts w:eastAsia="Calibri"/>
        </w:rPr>
        <w:t> </w:t>
      </w:r>
      <w:r w:rsidR="00A418CD" w:rsidRPr="00B94144">
        <w:rPr>
          <w:rFonts w:eastAsia="Calibri"/>
        </w:rPr>
        <w:t xml:space="preserve">Kč, které nesplňovaly podmínku stanovenou </w:t>
      </w:r>
      <w:r w:rsidR="00BE7F32" w:rsidRPr="00BE7F32">
        <w:rPr>
          <w:rFonts w:eastAsia="Calibri"/>
        </w:rPr>
        <w:t>zákon</w:t>
      </w:r>
      <w:r w:rsidR="00BE7F32">
        <w:rPr>
          <w:rFonts w:eastAsia="Calibri"/>
        </w:rPr>
        <w:t>em</w:t>
      </w:r>
      <w:r w:rsidR="00BE7F32" w:rsidRPr="00BE7F32">
        <w:rPr>
          <w:rFonts w:eastAsia="Calibri"/>
        </w:rPr>
        <w:t xml:space="preserve"> č. 563/1991 Sb.</w:t>
      </w:r>
      <w:r w:rsidR="00A418CD" w:rsidRPr="00B94144">
        <w:rPr>
          <w:rFonts w:eastAsia="Calibri"/>
        </w:rPr>
        <w:t xml:space="preserve"> pro vykazování dlouhodobého majetku, nesprávně vykázalo jako dlouhodobý finanční majetek na účtu 069 namísto na účtu 241 – </w:t>
      </w:r>
      <w:r w:rsidR="00A418CD" w:rsidRPr="00B94144">
        <w:rPr>
          <w:rFonts w:eastAsia="Calibri"/>
          <w:i/>
        </w:rPr>
        <w:t>Běžné účty</w:t>
      </w:r>
      <w:r w:rsidR="00A418CD" w:rsidRPr="00B94144">
        <w:rPr>
          <w:rFonts w:eastAsia="Calibri"/>
        </w:rPr>
        <w:t xml:space="preserve">. Tento bankovní účet k 31. </w:t>
      </w:r>
      <w:r w:rsidR="00A418CD">
        <w:rPr>
          <w:rFonts w:eastAsia="Calibri"/>
        </w:rPr>
        <w:t>prosinci</w:t>
      </w:r>
      <w:r w:rsidR="00A418CD" w:rsidRPr="00B94144">
        <w:rPr>
          <w:rFonts w:eastAsia="Calibri"/>
        </w:rPr>
        <w:t xml:space="preserve"> 2020 nebyl</w:t>
      </w:r>
      <w:r w:rsidR="00A418CD" w:rsidRPr="00497E3E">
        <w:rPr>
          <w:rFonts w:eastAsia="Calibri"/>
        </w:rPr>
        <w:t xml:space="preserve"> součástí </w:t>
      </w:r>
      <w:r w:rsidR="008D0234">
        <w:rPr>
          <w:rFonts w:eastAsia="Calibri"/>
        </w:rPr>
        <w:t>záručních fondů</w:t>
      </w:r>
      <w:r w:rsidR="00A418CD" w:rsidRPr="00497E3E">
        <w:rPr>
          <w:rFonts w:eastAsia="Calibri"/>
        </w:rPr>
        <w:t xml:space="preserve"> nebo </w:t>
      </w:r>
      <w:r w:rsidR="008D0234">
        <w:rPr>
          <w:rFonts w:eastAsia="Calibri"/>
        </w:rPr>
        <w:t>úvěrových fondů</w:t>
      </w:r>
      <w:r w:rsidR="00A418CD" w:rsidRPr="00497E3E">
        <w:rPr>
          <w:rFonts w:eastAsia="Calibri"/>
        </w:rPr>
        <w:t xml:space="preserve"> a sloužil pouze k převodům na účet cizích prostředků MPO v ČNB. NKÚ upozorňuje, že </w:t>
      </w:r>
      <w:r w:rsidR="00A418CD" w:rsidRPr="006E1CF2">
        <w:t xml:space="preserve">MPO veškeré prostředky spravované </w:t>
      </w:r>
      <w:r w:rsidR="00AD0CA8">
        <w:t>finanční institucí</w:t>
      </w:r>
      <w:r w:rsidR="00A418CD" w:rsidRPr="006E1CF2">
        <w:t xml:space="preserve"> vykazuje jako dlouhodobý finanční majetek na účtu 069 a nesprávnost byla zjištěna </w:t>
      </w:r>
      <w:r w:rsidR="00AA4646">
        <w:t xml:space="preserve">a vyčíslena </w:t>
      </w:r>
      <w:r w:rsidR="00A418CD" w:rsidRPr="006E1CF2">
        <w:t xml:space="preserve">pouze na operacích kontrolovaných FN. </w:t>
      </w:r>
    </w:p>
    <w:p w14:paraId="55E6EB82" w14:textId="77777777" w:rsidR="00173DB0" w:rsidRDefault="006750E2" w:rsidP="0097495B">
      <w:pPr>
        <w:pStyle w:val="Nadpis2"/>
        <w:keepNext/>
        <w:numPr>
          <w:ilvl w:val="0"/>
          <w:numId w:val="0"/>
        </w:numPr>
        <w:spacing w:after="120" w:line="240" w:lineRule="auto"/>
        <w:contextualSpacing w:val="0"/>
        <w:jc w:val="left"/>
        <w:rPr>
          <w:rFonts w:ascii="Calibri" w:hAnsi="Calibri" w:cs="Calibri"/>
          <w:lang w:eastAsia="cs-CZ"/>
        </w:rPr>
      </w:pPr>
      <w:r>
        <w:rPr>
          <w:rFonts w:ascii="Calibri" w:hAnsi="Calibri" w:cs="Calibri"/>
          <w:lang w:eastAsia="cs-CZ"/>
        </w:rPr>
        <w:t xml:space="preserve">2. </w:t>
      </w:r>
      <w:r w:rsidR="00173DB0">
        <w:rPr>
          <w:rFonts w:ascii="Calibri" w:hAnsi="Calibri" w:cs="Calibri"/>
          <w:lang w:eastAsia="cs-CZ"/>
        </w:rPr>
        <w:t>Účetní o</w:t>
      </w:r>
      <w:r w:rsidR="00795D3E">
        <w:rPr>
          <w:rFonts w:ascii="Calibri" w:hAnsi="Calibri" w:cs="Calibri"/>
          <w:lang w:eastAsia="cs-CZ"/>
        </w:rPr>
        <w:t>pravy</w:t>
      </w:r>
      <w:r w:rsidR="00173DB0">
        <w:rPr>
          <w:rFonts w:ascii="Calibri" w:hAnsi="Calibri" w:cs="Calibri"/>
          <w:lang w:eastAsia="cs-CZ"/>
        </w:rPr>
        <w:t xml:space="preserve"> realizované MPO v průběhu kontroly a spolehlivost údajů ÚZ</w:t>
      </w:r>
    </w:p>
    <w:p w14:paraId="16E5C288" w14:textId="7712388D" w:rsidR="00A7490F" w:rsidRDefault="006750E2" w:rsidP="0097495B">
      <w:pPr>
        <w:pStyle w:val="Nadpis2"/>
        <w:keepNext/>
        <w:numPr>
          <w:ilvl w:val="0"/>
          <w:numId w:val="0"/>
        </w:numPr>
        <w:spacing w:after="120" w:line="240" w:lineRule="auto"/>
        <w:ind w:left="425" w:hanging="425"/>
        <w:contextualSpacing w:val="0"/>
        <w:jc w:val="left"/>
        <w:rPr>
          <w:rFonts w:ascii="Calibri" w:hAnsi="Calibri" w:cs="Calibri"/>
          <w:lang w:eastAsia="cs-CZ"/>
        </w:rPr>
      </w:pPr>
      <w:r>
        <w:rPr>
          <w:rFonts w:ascii="Calibri" w:hAnsi="Calibri" w:cs="Calibri"/>
          <w:lang w:eastAsia="cs-CZ"/>
        </w:rPr>
        <w:t xml:space="preserve">2.1 </w:t>
      </w:r>
      <w:r w:rsidR="0097495B">
        <w:rPr>
          <w:rFonts w:ascii="Calibri" w:hAnsi="Calibri" w:cs="Calibri"/>
          <w:lang w:eastAsia="cs-CZ"/>
        </w:rPr>
        <w:tab/>
      </w:r>
      <w:r w:rsidR="00173DB0">
        <w:rPr>
          <w:rFonts w:ascii="Calibri" w:hAnsi="Calibri" w:cs="Calibri"/>
          <w:lang w:eastAsia="cs-CZ"/>
        </w:rPr>
        <w:t>Opravy chyb v účetnictví v průběhu účetního období a</w:t>
      </w:r>
      <w:r w:rsidR="00280E95">
        <w:rPr>
          <w:rFonts w:ascii="Calibri" w:hAnsi="Calibri" w:cs="Calibri"/>
          <w:lang w:eastAsia="cs-CZ"/>
        </w:rPr>
        <w:t> opravy</w:t>
      </w:r>
      <w:r w:rsidR="00173DB0">
        <w:rPr>
          <w:rFonts w:ascii="Calibri" w:hAnsi="Calibri" w:cs="Calibri"/>
          <w:lang w:eastAsia="cs-CZ"/>
        </w:rPr>
        <w:t xml:space="preserve"> nesprávností </w:t>
      </w:r>
      <w:r w:rsidR="0097495B">
        <w:rPr>
          <w:rFonts w:ascii="Calibri" w:hAnsi="Calibri" w:cs="Calibri"/>
          <w:lang w:eastAsia="cs-CZ"/>
        </w:rPr>
        <w:br/>
      </w:r>
      <w:r w:rsidR="00173DB0">
        <w:rPr>
          <w:rFonts w:ascii="Calibri" w:hAnsi="Calibri" w:cs="Calibri"/>
          <w:lang w:eastAsia="cs-CZ"/>
        </w:rPr>
        <w:t>v sestavené účetní závěrce</w:t>
      </w:r>
      <w:r w:rsidR="00A640AE" w:rsidRPr="00BC6074">
        <w:rPr>
          <w:rFonts w:ascii="Calibri" w:hAnsi="Calibri" w:cs="Calibri"/>
          <w:lang w:eastAsia="cs-CZ"/>
        </w:rPr>
        <w:t xml:space="preserve"> </w:t>
      </w:r>
    </w:p>
    <w:p w14:paraId="076488E4" w14:textId="2D1AA615" w:rsidR="001073F7" w:rsidRDefault="001073F7" w:rsidP="001073F7">
      <w:pPr>
        <w:jc w:val="both"/>
        <w:rPr>
          <w:rFonts w:asciiTheme="minorHAnsi" w:hAnsiTheme="minorHAnsi"/>
        </w:rPr>
      </w:pPr>
      <w:r>
        <w:rPr>
          <w:rFonts w:asciiTheme="minorHAnsi" w:hAnsiTheme="minorHAnsi" w:cstheme="minorHAnsi"/>
          <w:spacing w:val="-2"/>
        </w:rPr>
        <w:t xml:space="preserve">Kontrola byla zahájena v průběhu kontrolovaného účetního období 2020, což umožnilo MPO ještě v průběhu kontroly před uzavřením účetních knih a sestavením účetní závěry provést opravu v účetnictví identifikovaných nedostatků. MPO před uzavřením účetních knih opravilo </w:t>
      </w:r>
      <w:r w:rsidR="00366859">
        <w:rPr>
          <w:rFonts w:asciiTheme="minorHAnsi" w:hAnsiTheme="minorHAnsi" w:cstheme="minorHAnsi"/>
          <w:spacing w:val="-2"/>
        </w:rPr>
        <w:t>chyby</w:t>
      </w:r>
      <w:r>
        <w:rPr>
          <w:rFonts w:asciiTheme="minorHAnsi" w:hAnsiTheme="minorHAnsi" w:cstheme="minorHAnsi"/>
          <w:spacing w:val="-2"/>
        </w:rPr>
        <w:t xml:space="preserve"> v účetnictví ve výši 45,1 mld. Kč </w:t>
      </w:r>
      <w:r w:rsidR="001E78A1" w:rsidRPr="00E25364">
        <w:rPr>
          <w:rFonts w:asciiTheme="minorHAnsi" w:hAnsiTheme="minorHAnsi" w:cstheme="minorHAnsi"/>
          <w:spacing w:val="-2"/>
        </w:rPr>
        <w:t xml:space="preserve">hodnoty </w:t>
      </w:r>
      <w:r w:rsidRPr="00E25364">
        <w:rPr>
          <w:rFonts w:asciiTheme="minorHAnsi" w:hAnsiTheme="minorHAnsi" w:cstheme="minorHAnsi"/>
          <w:spacing w:val="-2"/>
        </w:rPr>
        <w:t>účetních obratů</w:t>
      </w:r>
      <w:r>
        <w:rPr>
          <w:rFonts w:asciiTheme="minorHAnsi" w:hAnsiTheme="minorHAnsi" w:cstheme="minorHAnsi"/>
          <w:spacing w:val="-2"/>
        </w:rPr>
        <w:t xml:space="preserve">. </w:t>
      </w:r>
      <w:r w:rsidR="007A7388">
        <w:rPr>
          <w:rFonts w:asciiTheme="minorHAnsi" w:hAnsiTheme="minorHAnsi"/>
        </w:rPr>
        <w:t>Z toho 33 mld. Kč souviselo s </w:t>
      </w:r>
      <w:r w:rsidRPr="00EB0560">
        <w:rPr>
          <w:rFonts w:asciiTheme="minorHAnsi" w:hAnsiTheme="minorHAnsi"/>
        </w:rPr>
        <w:t>neúčtováním o převodu schváleného výsledku hospodaření za předchozí rok z</w:t>
      </w:r>
      <w:r w:rsidR="003A0FD6">
        <w:rPr>
          <w:rFonts w:asciiTheme="minorHAnsi" w:hAnsiTheme="minorHAnsi"/>
        </w:rPr>
        <w:t> </w:t>
      </w:r>
      <w:r w:rsidRPr="00EB0560">
        <w:rPr>
          <w:rFonts w:asciiTheme="minorHAnsi" w:hAnsiTheme="minorHAnsi"/>
        </w:rPr>
        <w:t>účtu</w:t>
      </w:r>
      <w:r w:rsidR="003A0FD6">
        <w:rPr>
          <w:rFonts w:asciiTheme="minorHAnsi" w:hAnsiTheme="minorHAnsi"/>
        </w:rPr>
        <w:br/>
      </w:r>
      <w:r w:rsidRPr="00EB0560">
        <w:rPr>
          <w:rFonts w:asciiTheme="minorHAnsi" w:hAnsiTheme="minorHAnsi"/>
        </w:rPr>
        <w:t xml:space="preserve">431 – </w:t>
      </w:r>
      <w:r w:rsidRPr="00EB0560">
        <w:rPr>
          <w:rFonts w:asciiTheme="minorHAnsi" w:hAnsiTheme="minorHAnsi"/>
          <w:i/>
        </w:rPr>
        <w:t>Výsledek hospodaření ve schvalovacím řízení</w:t>
      </w:r>
      <w:r w:rsidRPr="00EB0560">
        <w:rPr>
          <w:rFonts w:asciiTheme="minorHAnsi" w:hAnsiTheme="minorHAnsi"/>
        </w:rPr>
        <w:t xml:space="preserve"> na účet 432</w:t>
      </w:r>
      <w:r w:rsidR="00385F8C">
        <w:rPr>
          <w:rFonts w:asciiTheme="minorHAnsi" w:hAnsiTheme="minorHAnsi"/>
        </w:rPr>
        <w:t> </w:t>
      </w:r>
      <w:r w:rsidRPr="00EB0560">
        <w:rPr>
          <w:rFonts w:asciiTheme="minorHAnsi" w:hAnsiTheme="minorHAnsi"/>
        </w:rPr>
        <w:t>–</w:t>
      </w:r>
      <w:r w:rsidR="00385F8C">
        <w:rPr>
          <w:rFonts w:asciiTheme="minorHAnsi" w:hAnsiTheme="minorHAnsi"/>
        </w:rPr>
        <w:t> </w:t>
      </w:r>
      <w:r w:rsidRPr="00EB0560">
        <w:rPr>
          <w:rFonts w:asciiTheme="minorHAnsi" w:hAnsiTheme="minorHAnsi"/>
          <w:i/>
        </w:rPr>
        <w:t>Výsledek hospodaření předcházejících účetních období</w:t>
      </w:r>
      <w:r w:rsidRPr="00EB0560">
        <w:rPr>
          <w:rFonts w:asciiTheme="minorHAnsi" w:hAnsiTheme="minorHAnsi"/>
        </w:rPr>
        <w:t xml:space="preserve"> k okamžiku schválení účetní závěrky</w:t>
      </w:r>
      <w:r>
        <w:rPr>
          <w:rFonts w:asciiTheme="minorHAnsi" w:hAnsiTheme="minorHAnsi"/>
        </w:rPr>
        <w:t>.</w:t>
      </w:r>
    </w:p>
    <w:p w14:paraId="36E4501F" w14:textId="249F9E8B" w:rsidR="001073F7" w:rsidRDefault="001073F7" w:rsidP="0097495B">
      <w:pPr>
        <w:spacing w:after="0"/>
        <w:jc w:val="both"/>
        <w:rPr>
          <w:rFonts w:asciiTheme="minorHAnsi" w:hAnsiTheme="minorHAnsi" w:cstheme="minorHAnsi"/>
          <w:spacing w:val="-2"/>
        </w:rPr>
      </w:pPr>
      <w:r>
        <w:rPr>
          <w:rFonts w:asciiTheme="minorHAnsi" w:hAnsiTheme="minorHAnsi" w:cstheme="minorHAnsi"/>
          <w:spacing w:val="-2"/>
        </w:rPr>
        <w:t>Dále se jednalo například o opravu nesprávného:</w:t>
      </w:r>
    </w:p>
    <w:p w14:paraId="6FE27F10" w14:textId="77777777" w:rsidR="001073F7" w:rsidRDefault="001073F7" w:rsidP="0097495B">
      <w:pPr>
        <w:pStyle w:val="Odstavecseseznamem"/>
        <w:numPr>
          <w:ilvl w:val="0"/>
          <w:numId w:val="5"/>
        </w:numPr>
        <w:spacing w:after="0"/>
        <w:contextualSpacing w:val="0"/>
        <w:jc w:val="both"/>
        <w:rPr>
          <w:rFonts w:asciiTheme="minorHAnsi" w:hAnsiTheme="minorHAnsi" w:cstheme="minorHAnsi"/>
          <w:spacing w:val="-2"/>
        </w:rPr>
      </w:pPr>
      <w:r>
        <w:rPr>
          <w:rFonts w:asciiTheme="minorHAnsi" w:hAnsiTheme="minorHAnsi" w:cstheme="minorHAnsi"/>
          <w:spacing w:val="-2"/>
        </w:rPr>
        <w:t xml:space="preserve">účtování </w:t>
      </w:r>
      <w:r w:rsidRPr="00F94F3C">
        <w:rPr>
          <w:rFonts w:asciiTheme="minorHAnsi" w:hAnsiTheme="minorHAnsi" w:cstheme="minorHAnsi"/>
          <w:spacing w:val="-2"/>
        </w:rPr>
        <w:t>odhadu nákladů</w:t>
      </w:r>
      <w:r w:rsidR="002D24AE">
        <w:rPr>
          <w:rFonts w:asciiTheme="minorHAnsi" w:hAnsiTheme="minorHAnsi" w:cstheme="minorHAnsi"/>
          <w:spacing w:val="-2"/>
        </w:rPr>
        <w:t xml:space="preserve"> ve výši 6,7 mld. Kč</w:t>
      </w:r>
      <w:r w:rsidR="000300F2">
        <w:rPr>
          <w:rFonts w:asciiTheme="minorHAnsi" w:hAnsiTheme="minorHAnsi" w:cstheme="minorHAnsi"/>
          <w:spacing w:val="-2"/>
        </w:rPr>
        <w:t xml:space="preserve"> jako zdrojů </w:t>
      </w:r>
      <w:r w:rsidR="003D3B02">
        <w:rPr>
          <w:rFonts w:asciiTheme="minorHAnsi" w:hAnsiTheme="minorHAnsi" w:cstheme="minorHAnsi"/>
          <w:spacing w:val="-2"/>
        </w:rPr>
        <w:t xml:space="preserve">spotřebovaných </w:t>
      </w:r>
      <w:r w:rsidR="000300F2">
        <w:rPr>
          <w:rFonts w:asciiTheme="minorHAnsi" w:hAnsiTheme="minorHAnsi" w:cstheme="minorHAnsi"/>
          <w:spacing w:val="-2"/>
        </w:rPr>
        <w:t>z </w:t>
      </w:r>
      <w:r>
        <w:rPr>
          <w:rFonts w:asciiTheme="minorHAnsi" w:hAnsiTheme="minorHAnsi" w:cstheme="minorHAnsi"/>
          <w:spacing w:val="-2"/>
        </w:rPr>
        <w:t>dotace</w:t>
      </w:r>
      <w:r w:rsidR="000300F2">
        <w:rPr>
          <w:rFonts w:asciiTheme="minorHAnsi" w:hAnsiTheme="minorHAnsi" w:cstheme="minorHAnsi"/>
          <w:spacing w:val="-2"/>
        </w:rPr>
        <w:t xml:space="preserve"> poskytnuté</w:t>
      </w:r>
      <w:r w:rsidR="002D24AE">
        <w:rPr>
          <w:rFonts w:asciiTheme="minorHAnsi" w:hAnsiTheme="minorHAnsi" w:cstheme="minorHAnsi"/>
          <w:spacing w:val="-2"/>
        </w:rPr>
        <w:t xml:space="preserve"> v roce 2020</w:t>
      </w:r>
      <w:r>
        <w:rPr>
          <w:rFonts w:asciiTheme="minorHAnsi" w:hAnsiTheme="minorHAnsi" w:cstheme="minorHAnsi"/>
          <w:spacing w:val="-2"/>
        </w:rPr>
        <w:t xml:space="preserve"> dle zákona č. 165/2012</w:t>
      </w:r>
      <w:r w:rsidRPr="00F94F3C">
        <w:rPr>
          <w:rFonts w:asciiTheme="minorHAnsi" w:hAnsiTheme="minorHAnsi" w:cstheme="minorHAnsi"/>
          <w:spacing w:val="-2"/>
        </w:rPr>
        <w:t xml:space="preserve"> Sb.</w:t>
      </w:r>
      <w:r w:rsidR="007B589C">
        <w:rPr>
          <w:rStyle w:val="Znakapoznpodarou"/>
          <w:rFonts w:asciiTheme="minorHAnsi" w:hAnsiTheme="minorHAnsi" w:cstheme="minorHAnsi"/>
          <w:spacing w:val="-2"/>
        </w:rPr>
        <w:footnoteReference w:id="46"/>
      </w:r>
      <w:r w:rsidRPr="00F94F3C">
        <w:rPr>
          <w:rFonts w:asciiTheme="minorHAnsi" w:hAnsiTheme="minorHAnsi" w:cstheme="minorHAnsi"/>
          <w:spacing w:val="-2"/>
        </w:rPr>
        <w:t xml:space="preserve"> na účtu 383 – </w:t>
      </w:r>
      <w:r w:rsidRPr="00F94F3C">
        <w:rPr>
          <w:rFonts w:asciiTheme="minorHAnsi" w:hAnsiTheme="minorHAnsi" w:cstheme="minorHAnsi"/>
          <w:i/>
          <w:spacing w:val="-2"/>
        </w:rPr>
        <w:t>Výdaje příštích období</w:t>
      </w:r>
      <w:r w:rsidRPr="00F94F3C">
        <w:rPr>
          <w:rFonts w:asciiTheme="minorHAnsi" w:hAnsiTheme="minorHAnsi" w:cstheme="minorHAnsi"/>
          <w:spacing w:val="-2"/>
        </w:rPr>
        <w:t xml:space="preserve"> namísto účtu 389 – </w:t>
      </w:r>
      <w:r w:rsidRPr="00F94F3C">
        <w:rPr>
          <w:rFonts w:asciiTheme="minorHAnsi" w:hAnsiTheme="minorHAnsi" w:cstheme="minorHAnsi"/>
          <w:i/>
          <w:spacing w:val="-2"/>
        </w:rPr>
        <w:t>Dohadné účty pasivní</w:t>
      </w:r>
      <w:r>
        <w:rPr>
          <w:rFonts w:asciiTheme="minorHAnsi" w:hAnsiTheme="minorHAnsi" w:cstheme="minorHAnsi"/>
          <w:spacing w:val="-2"/>
        </w:rPr>
        <w:t xml:space="preserve"> (systémový nedostatek)</w:t>
      </w:r>
      <w:r w:rsidRPr="00F94F3C">
        <w:rPr>
          <w:rFonts w:asciiTheme="minorHAnsi" w:hAnsiTheme="minorHAnsi" w:cstheme="minorHAnsi"/>
          <w:spacing w:val="-2"/>
        </w:rPr>
        <w:t>,</w:t>
      </w:r>
    </w:p>
    <w:p w14:paraId="5F3185CB" w14:textId="77777777" w:rsidR="00BA0D87" w:rsidRPr="00BA0D87" w:rsidRDefault="00BA0D87" w:rsidP="0097495B">
      <w:pPr>
        <w:pStyle w:val="Odstavecseseznamem"/>
        <w:numPr>
          <w:ilvl w:val="0"/>
          <w:numId w:val="5"/>
        </w:numPr>
        <w:spacing w:after="0"/>
        <w:ind w:left="357" w:hanging="357"/>
        <w:contextualSpacing w:val="0"/>
        <w:jc w:val="both"/>
        <w:rPr>
          <w:rFonts w:asciiTheme="minorHAnsi" w:hAnsiTheme="minorHAnsi" w:cstheme="minorHAnsi"/>
          <w:spacing w:val="-2"/>
        </w:rPr>
      </w:pPr>
      <w:r>
        <w:rPr>
          <w:rFonts w:asciiTheme="minorHAnsi" w:hAnsiTheme="minorHAnsi" w:cstheme="minorHAnsi"/>
          <w:spacing w:val="-2"/>
        </w:rPr>
        <w:t>(ne)účtování o podmíněných závazcích z vydaných rozhodnutí o poskytnutí institucionální podpory v celkové výši 964 mil. Kč (systémový nedostatek),</w:t>
      </w:r>
    </w:p>
    <w:p w14:paraId="09E695B1" w14:textId="6595BF94" w:rsidR="001073F7" w:rsidRPr="00F94F3C" w:rsidRDefault="00C22775" w:rsidP="0097495B">
      <w:pPr>
        <w:pStyle w:val="Odstavecseseznamem"/>
        <w:numPr>
          <w:ilvl w:val="0"/>
          <w:numId w:val="5"/>
        </w:numPr>
        <w:spacing w:after="0"/>
        <w:ind w:left="357" w:hanging="357"/>
        <w:contextualSpacing w:val="0"/>
        <w:jc w:val="both"/>
        <w:rPr>
          <w:rFonts w:asciiTheme="minorHAnsi" w:hAnsiTheme="minorHAnsi" w:cstheme="minorHAnsi"/>
          <w:spacing w:val="-2"/>
        </w:rPr>
      </w:pPr>
      <w:r>
        <w:rPr>
          <w:rFonts w:asciiTheme="minorHAnsi" w:hAnsiTheme="minorHAnsi" w:cstheme="minorHAnsi"/>
          <w:spacing w:val="-2"/>
        </w:rPr>
        <w:t xml:space="preserve">účtování o zavedení </w:t>
      </w:r>
      <w:r w:rsidR="001073F7">
        <w:rPr>
          <w:rFonts w:asciiTheme="minorHAnsi" w:hAnsiTheme="minorHAnsi" w:cstheme="minorHAnsi"/>
          <w:spacing w:val="-2"/>
        </w:rPr>
        <w:t>záručních a úvěrových fondů</w:t>
      </w:r>
      <w:r w:rsidR="0088641A">
        <w:rPr>
          <w:rFonts w:asciiTheme="minorHAnsi" w:hAnsiTheme="minorHAnsi" w:cstheme="minorHAnsi"/>
          <w:spacing w:val="-2"/>
        </w:rPr>
        <w:t xml:space="preserve"> (</w:t>
      </w:r>
      <w:r w:rsidR="001336DC">
        <w:rPr>
          <w:rFonts w:asciiTheme="minorHAnsi" w:hAnsiTheme="minorHAnsi" w:cstheme="minorHAnsi"/>
          <w:spacing w:val="-2"/>
        </w:rPr>
        <w:t xml:space="preserve">tzn. o </w:t>
      </w:r>
      <w:r w:rsidR="0088641A">
        <w:rPr>
          <w:rFonts w:asciiTheme="minorHAnsi" w:hAnsiTheme="minorHAnsi" w:cstheme="minorHAnsi"/>
          <w:spacing w:val="-2"/>
        </w:rPr>
        <w:t>peněžních prostřed</w:t>
      </w:r>
      <w:r w:rsidR="001336DC">
        <w:rPr>
          <w:rFonts w:asciiTheme="minorHAnsi" w:hAnsiTheme="minorHAnsi" w:cstheme="minorHAnsi"/>
          <w:spacing w:val="-2"/>
        </w:rPr>
        <w:t>cích</w:t>
      </w:r>
      <w:r w:rsidR="0088641A">
        <w:rPr>
          <w:rFonts w:asciiTheme="minorHAnsi" w:hAnsiTheme="minorHAnsi" w:cstheme="minorHAnsi"/>
          <w:spacing w:val="-2"/>
        </w:rPr>
        <w:t xml:space="preserve"> vedených na bankovních účtech v</w:t>
      </w:r>
      <w:r w:rsidR="00AD0CA8">
        <w:rPr>
          <w:rFonts w:asciiTheme="minorHAnsi" w:hAnsiTheme="minorHAnsi" w:cstheme="minorHAnsi"/>
          <w:spacing w:val="-2"/>
        </w:rPr>
        <w:t>e finanční instituci</w:t>
      </w:r>
      <w:r w:rsidR="0088641A">
        <w:rPr>
          <w:rFonts w:asciiTheme="minorHAnsi" w:hAnsiTheme="minorHAnsi" w:cstheme="minorHAnsi"/>
          <w:spacing w:val="-2"/>
        </w:rPr>
        <w:t xml:space="preserve"> a</w:t>
      </w:r>
      <w:r w:rsidR="001336DC">
        <w:rPr>
          <w:rFonts w:asciiTheme="minorHAnsi" w:hAnsiTheme="minorHAnsi" w:cstheme="minorHAnsi"/>
          <w:spacing w:val="-2"/>
        </w:rPr>
        <w:t xml:space="preserve"> o</w:t>
      </w:r>
      <w:r w:rsidR="0088641A">
        <w:rPr>
          <w:rFonts w:asciiTheme="minorHAnsi" w:hAnsiTheme="minorHAnsi" w:cstheme="minorHAnsi"/>
          <w:spacing w:val="-2"/>
        </w:rPr>
        <w:t xml:space="preserve"> stav</w:t>
      </w:r>
      <w:r w:rsidR="001336DC">
        <w:rPr>
          <w:rFonts w:asciiTheme="minorHAnsi" w:hAnsiTheme="minorHAnsi" w:cstheme="minorHAnsi"/>
          <w:spacing w:val="-2"/>
        </w:rPr>
        <w:t>u</w:t>
      </w:r>
      <w:r w:rsidR="0088641A">
        <w:rPr>
          <w:rFonts w:asciiTheme="minorHAnsi" w:hAnsiTheme="minorHAnsi" w:cstheme="minorHAnsi"/>
          <w:spacing w:val="-2"/>
        </w:rPr>
        <w:t xml:space="preserve"> jistin z poskytnutých úvěrů)</w:t>
      </w:r>
      <w:r w:rsidR="001073F7">
        <w:rPr>
          <w:rFonts w:asciiTheme="minorHAnsi" w:hAnsiTheme="minorHAnsi" w:cstheme="minorHAnsi"/>
          <w:spacing w:val="-2"/>
        </w:rPr>
        <w:t xml:space="preserve"> </w:t>
      </w:r>
      <w:r>
        <w:rPr>
          <w:rFonts w:asciiTheme="minorHAnsi" w:hAnsiTheme="minorHAnsi" w:cstheme="minorHAnsi"/>
          <w:spacing w:val="-2"/>
        </w:rPr>
        <w:t>do účetnictví MPO</w:t>
      </w:r>
      <w:r w:rsidR="00442943">
        <w:rPr>
          <w:rFonts w:asciiTheme="minorHAnsi" w:hAnsiTheme="minorHAnsi" w:cstheme="minorHAnsi"/>
          <w:spacing w:val="-2"/>
        </w:rPr>
        <w:t xml:space="preserve"> ve výši </w:t>
      </w:r>
      <w:r w:rsidR="0088641A">
        <w:rPr>
          <w:rFonts w:asciiTheme="minorHAnsi" w:hAnsiTheme="minorHAnsi" w:cstheme="minorHAnsi"/>
          <w:spacing w:val="-2"/>
        </w:rPr>
        <w:t>4 mld</w:t>
      </w:r>
      <w:r w:rsidR="00442943">
        <w:rPr>
          <w:rFonts w:asciiTheme="minorHAnsi" w:hAnsiTheme="minorHAnsi" w:cstheme="minorHAnsi"/>
          <w:spacing w:val="-2"/>
        </w:rPr>
        <w:t xml:space="preserve">. Kč </w:t>
      </w:r>
      <w:r w:rsidR="007913A6">
        <w:rPr>
          <w:rFonts w:asciiTheme="minorHAnsi" w:hAnsiTheme="minorHAnsi" w:cstheme="minorHAnsi"/>
          <w:spacing w:val="-2"/>
        </w:rPr>
        <w:t>na</w:t>
      </w:r>
      <w:r w:rsidR="001073F7">
        <w:rPr>
          <w:rFonts w:asciiTheme="minorHAnsi" w:hAnsiTheme="minorHAnsi" w:cstheme="minorHAnsi"/>
          <w:spacing w:val="-2"/>
        </w:rPr>
        <w:t xml:space="preserve"> účtu 408 – </w:t>
      </w:r>
      <w:r w:rsidR="001073F7" w:rsidRPr="00324328">
        <w:rPr>
          <w:rFonts w:asciiTheme="minorHAnsi" w:hAnsiTheme="minorHAnsi" w:cstheme="minorHAnsi"/>
          <w:i/>
          <w:spacing w:val="-2"/>
        </w:rPr>
        <w:t>Opravy předcházejících účetních období</w:t>
      </w:r>
      <w:r w:rsidR="001073F7">
        <w:rPr>
          <w:rFonts w:asciiTheme="minorHAnsi" w:hAnsiTheme="minorHAnsi" w:cstheme="minorHAnsi"/>
          <w:spacing w:val="-2"/>
        </w:rPr>
        <w:t xml:space="preserve"> namísto účtu 401 – </w:t>
      </w:r>
      <w:r w:rsidR="001073F7" w:rsidRPr="00324328">
        <w:rPr>
          <w:rFonts w:asciiTheme="minorHAnsi" w:hAnsiTheme="minorHAnsi" w:cstheme="minorHAnsi"/>
          <w:i/>
          <w:spacing w:val="-2"/>
        </w:rPr>
        <w:t>Jmění účetní jednotk</w:t>
      </w:r>
      <w:r w:rsidR="0088641A">
        <w:rPr>
          <w:rFonts w:asciiTheme="minorHAnsi" w:hAnsiTheme="minorHAnsi" w:cstheme="minorHAnsi"/>
          <w:i/>
          <w:spacing w:val="-2"/>
        </w:rPr>
        <w:t>y</w:t>
      </w:r>
      <w:r w:rsidR="003D3B02">
        <w:rPr>
          <w:rFonts w:asciiTheme="minorHAnsi" w:hAnsiTheme="minorHAnsi" w:cstheme="minorHAnsi"/>
          <w:i/>
          <w:spacing w:val="-2"/>
        </w:rPr>
        <w:t>,</w:t>
      </w:r>
      <w:r w:rsidR="001073F7">
        <w:rPr>
          <w:rFonts w:asciiTheme="minorHAnsi" w:hAnsiTheme="minorHAnsi" w:cstheme="minorHAnsi"/>
          <w:spacing w:val="-2"/>
        </w:rPr>
        <w:t xml:space="preserve"> </w:t>
      </w:r>
    </w:p>
    <w:p w14:paraId="6E094BB7" w14:textId="77777777" w:rsidR="001073F7" w:rsidRPr="001073F7" w:rsidRDefault="001073F7" w:rsidP="0097495B">
      <w:pPr>
        <w:pStyle w:val="Odstavecseseznamem"/>
        <w:numPr>
          <w:ilvl w:val="0"/>
          <w:numId w:val="5"/>
        </w:numPr>
        <w:spacing w:after="0"/>
        <w:ind w:left="357" w:hanging="357"/>
        <w:contextualSpacing w:val="0"/>
        <w:jc w:val="both"/>
        <w:rPr>
          <w:rFonts w:asciiTheme="minorHAnsi" w:hAnsiTheme="minorHAnsi" w:cstheme="minorHAnsi"/>
          <w:spacing w:val="-2"/>
        </w:rPr>
      </w:pPr>
      <w:r>
        <w:rPr>
          <w:rFonts w:asciiTheme="minorHAnsi" w:hAnsiTheme="minorHAnsi" w:cstheme="minorHAnsi"/>
          <w:spacing w:val="-2"/>
        </w:rPr>
        <w:t xml:space="preserve">účtování peněžních prostředků </w:t>
      </w:r>
      <w:r w:rsidR="007913A6">
        <w:rPr>
          <w:rFonts w:asciiTheme="minorHAnsi" w:hAnsiTheme="minorHAnsi" w:cstheme="minorHAnsi"/>
          <w:spacing w:val="-2"/>
        </w:rPr>
        <w:t xml:space="preserve">přijatých </w:t>
      </w:r>
      <w:r>
        <w:rPr>
          <w:rFonts w:asciiTheme="minorHAnsi" w:hAnsiTheme="minorHAnsi" w:cstheme="minorHAnsi"/>
          <w:spacing w:val="-2"/>
        </w:rPr>
        <w:t>z likvidace státních podniků</w:t>
      </w:r>
      <w:r w:rsidR="003D3B02">
        <w:rPr>
          <w:rFonts w:asciiTheme="minorHAnsi" w:hAnsiTheme="minorHAnsi" w:cstheme="minorHAnsi"/>
          <w:spacing w:val="-2"/>
        </w:rPr>
        <w:t xml:space="preserve"> ve výši 171 mil. Kč</w:t>
      </w:r>
      <w:r>
        <w:rPr>
          <w:rFonts w:asciiTheme="minorHAnsi" w:hAnsiTheme="minorHAnsi" w:cstheme="minorHAnsi"/>
          <w:spacing w:val="-2"/>
        </w:rPr>
        <w:t xml:space="preserve"> jako o vlastních výnosech na účtu 669 – </w:t>
      </w:r>
      <w:r w:rsidRPr="007102F6">
        <w:rPr>
          <w:rFonts w:asciiTheme="minorHAnsi" w:hAnsiTheme="minorHAnsi" w:cstheme="minorHAnsi"/>
          <w:i/>
          <w:spacing w:val="-2"/>
        </w:rPr>
        <w:t>Ostatní finanční výnosy</w:t>
      </w:r>
      <w:r>
        <w:rPr>
          <w:rFonts w:asciiTheme="minorHAnsi" w:hAnsiTheme="minorHAnsi" w:cstheme="minorHAnsi"/>
          <w:spacing w:val="-2"/>
        </w:rPr>
        <w:t xml:space="preserve">, přestože se nejednalo o výnos </w:t>
      </w:r>
      <w:r w:rsidR="007913A6">
        <w:rPr>
          <w:rFonts w:asciiTheme="minorHAnsi" w:hAnsiTheme="minorHAnsi" w:cstheme="minorHAnsi"/>
          <w:spacing w:val="-2"/>
        </w:rPr>
        <w:t>M</w:t>
      </w:r>
      <w:r>
        <w:rPr>
          <w:rFonts w:asciiTheme="minorHAnsi" w:hAnsiTheme="minorHAnsi" w:cstheme="minorHAnsi"/>
          <w:spacing w:val="-2"/>
        </w:rPr>
        <w:t>PO</w:t>
      </w:r>
      <w:r w:rsidR="003D3B02">
        <w:rPr>
          <w:rFonts w:asciiTheme="minorHAnsi" w:hAnsiTheme="minorHAnsi" w:cstheme="minorHAnsi"/>
          <w:spacing w:val="-2"/>
        </w:rPr>
        <w:t xml:space="preserve">, ale o </w:t>
      </w:r>
      <w:r w:rsidR="007913A6">
        <w:rPr>
          <w:rFonts w:asciiTheme="minorHAnsi" w:hAnsiTheme="minorHAnsi" w:cstheme="minorHAnsi"/>
          <w:spacing w:val="-2"/>
        </w:rPr>
        <w:t xml:space="preserve">jeho </w:t>
      </w:r>
      <w:r w:rsidR="003D3B02">
        <w:rPr>
          <w:rFonts w:asciiTheme="minorHAnsi" w:hAnsiTheme="minorHAnsi" w:cstheme="minorHAnsi"/>
          <w:spacing w:val="-2"/>
        </w:rPr>
        <w:t xml:space="preserve">závazek ve vztahu ke kapitole státního rozpočtu </w:t>
      </w:r>
      <w:r w:rsidR="0088641A" w:rsidRPr="00F97677">
        <w:rPr>
          <w:rFonts w:asciiTheme="minorHAnsi" w:hAnsiTheme="minorHAnsi" w:cstheme="minorHAnsi"/>
          <w:i/>
          <w:spacing w:val="-2"/>
        </w:rPr>
        <w:t>Operace státních finančních aktiv</w:t>
      </w:r>
      <w:r w:rsidR="003D3B02">
        <w:rPr>
          <w:rFonts w:asciiTheme="minorHAnsi" w:hAnsiTheme="minorHAnsi" w:cstheme="minorHAnsi"/>
          <w:spacing w:val="-2"/>
        </w:rPr>
        <w:t xml:space="preserve"> (</w:t>
      </w:r>
      <w:r>
        <w:rPr>
          <w:rFonts w:asciiTheme="minorHAnsi" w:hAnsiTheme="minorHAnsi" w:cstheme="minorHAnsi"/>
          <w:spacing w:val="-2"/>
        </w:rPr>
        <w:t>systémový nedostatek),</w:t>
      </w:r>
    </w:p>
    <w:p w14:paraId="75AA8FF5" w14:textId="143237F2" w:rsidR="001073F7" w:rsidRDefault="001073F7" w:rsidP="0097495B">
      <w:pPr>
        <w:pStyle w:val="Odstavecseseznamem"/>
        <w:numPr>
          <w:ilvl w:val="0"/>
          <w:numId w:val="5"/>
        </w:numPr>
        <w:spacing w:after="0"/>
        <w:ind w:left="357" w:hanging="357"/>
        <w:contextualSpacing w:val="0"/>
        <w:jc w:val="both"/>
        <w:rPr>
          <w:rFonts w:asciiTheme="minorHAnsi" w:hAnsiTheme="minorHAnsi" w:cstheme="minorHAnsi"/>
          <w:spacing w:val="-2"/>
        </w:rPr>
      </w:pPr>
      <w:r>
        <w:rPr>
          <w:rFonts w:asciiTheme="minorHAnsi" w:hAnsiTheme="minorHAnsi" w:cstheme="minorHAnsi"/>
          <w:spacing w:val="-2"/>
        </w:rPr>
        <w:t xml:space="preserve">vykazování peněžních prostředků z ukončeného programu </w:t>
      </w:r>
      <w:proofErr w:type="spellStart"/>
      <w:r w:rsidRPr="00F97677">
        <w:rPr>
          <w:rFonts w:asciiTheme="minorHAnsi" w:hAnsiTheme="minorHAnsi" w:cstheme="minorHAnsi"/>
          <w:i/>
          <w:spacing w:val="-2"/>
        </w:rPr>
        <w:t>Inostart</w:t>
      </w:r>
      <w:proofErr w:type="spellEnd"/>
      <w:r w:rsidR="003D3B02">
        <w:rPr>
          <w:rFonts w:asciiTheme="minorHAnsi" w:hAnsiTheme="minorHAnsi" w:cstheme="minorHAnsi"/>
          <w:spacing w:val="-2"/>
        </w:rPr>
        <w:t xml:space="preserve"> ve výši 108 mil. Kč</w:t>
      </w:r>
      <w:r>
        <w:rPr>
          <w:rFonts w:asciiTheme="minorHAnsi" w:hAnsiTheme="minorHAnsi" w:cstheme="minorHAnsi"/>
          <w:spacing w:val="-2"/>
        </w:rPr>
        <w:t>, které MPO přijalo od Národního fondu v roce 2017</w:t>
      </w:r>
      <w:r w:rsidR="007913A6">
        <w:rPr>
          <w:rFonts w:asciiTheme="minorHAnsi" w:hAnsiTheme="minorHAnsi" w:cstheme="minorHAnsi"/>
          <w:spacing w:val="-2"/>
        </w:rPr>
        <w:t>,</w:t>
      </w:r>
      <w:r>
        <w:rPr>
          <w:rFonts w:asciiTheme="minorHAnsi" w:hAnsiTheme="minorHAnsi" w:cstheme="minorHAnsi"/>
          <w:spacing w:val="-2"/>
        </w:rPr>
        <w:t xml:space="preserve"> nesprávně na úč</w:t>
      </w:r>
      <w:r w:rsidR="007913A6">
        <w:rPr>
          <w:rFonts w:asciiTheme="minorHAnsi" w:hAnsiTheme="minorHAnsi" w:cstheme="minorHAnsi"/>
          <w:spacing w:val="-2"/>
        </w:rPr>
        <w:t>tu</w:t>
      </w:r>
      <w:r>
        <w:rPr>
          <w:rFonts w:asciiTheme="minorHAnsi" w:hAnsiTheme="minorHAnsi" w:cstheme="minorHAnsi"/>
          <w:spacing w:val="-2"/>
        </w:rPr>
        <w:t xml:space="preserve"> 384 – </w:t>
      </w:r>
      <w:r w:rsidR="00442943">
        <w:rPr>
          <w:rFonts w:asciiTheme="minorHAnsi" w:hAnsiTheme="minorHAnsi" w:cstheme="minorHAnsi"/>
          <w:i/>
          <w:spacing w:val="-2"/>
        </w:rPr>
        <w:t xml:space="preserve">Výnosy příštích </w:t>
      </w:r>
      <w:r w:rsidR="00442943">
        <w:rPr>
          <w:rFonts w:asciiTheme="minorHAnsi" w:hAnsiTheme="minorHAnsi" w:cstheme="minorHAnsi"/>
          <w:i/>
          <w:spacing w:val="-2"/>
        </w:rPr>
        <w:lastRenderedPageBreak/>
        <w:t>období</w:t>
      </w:r>
      <w:r w:rsidR="00442943" w:rsidRPr="00F97677">
        <w:rPr>
          <w:rFonts w:asciiTheme="minorHAnsi" w:hAnsiTheme="minorHAnsi" w:cstheme="minorHAnsi"/>
          <w:spacing w:val="-2"/>
        </w:rPr>
        <w:t>,</w:t>
      </w:r>
      <w:r w:rsidR="00442943">
        <w:rPr>
          <w:rFonts w:asciiTheme="minorHAnsi" w:hAnsiTheme="minorHAnsi" w:cstheme="minorHAnsi"/>
          <w:i/>
          <w:spacing w:val="-2"/>
        </w:rPr>
        <w:t xml:space="preserve"> </w:t>
      </w:r>
      <w:r w:rsidR="007913A6">
        <w:rPr>
          <w:rFonts w:asciiTheme="minorHAnsi" w:hAnsiTheme="minorHAnsi" w:cstheme="minorHAnsi"/>
          <w:spacing w:val="-2"/>
        </w:rPr>
        <w:t>přestože je</w:t>
      </w:r>
      <w:r w:rsidR="003D3B02">
        <w:rPr>
          <w:rFonts w:asciiTheme="minorHAnsi" w:hAnsiTheme="minorHAnsi" w:cstheme="minorHAnsi"/>
          <w:spacing w:val="-2"/>
        </w:rPr>
        <w:t xml:space="preserve"> </w:t>
      </w:r>
      <w:r>
        <w:rPr>
          <w:rFonts w:asciiTheme="minorHAnsi" w:hAnsiTheme="minorHAnsi" w:cstheme="minorHAnsi"/>
          <w:spacing w:val="-2"/>
        </w:rPr>
        <w:t xml:space="preserve">MPO </w:t>
      </w:r>
      <w:r w:rsidR="007913A6">
        <w:rPr>
          <w:rFonts w:asciiTheme="minorHAnsi" w:hAnsiTheme="minorHAnsi" w:cstheme="minorHAnsi"/>
          <w:spacing w:val="-2"/>
        </w:rPr>
        <w:t xml:space="preserve">správně </w:t>
      </w:r>
      <w:r w:rsidR="00442943">
        <w:rPr>
          <w:rFonts w:asciiTheme="minorHAnsi" w:hAnsiTheme="minorHAnsi" w:cstheme="minorHAnsi"/>
          <w:spacing w:val="-2"/>
        </w:rPr>
        <w:t xml:space="preserve">mělo </w:t>
      </w:r>
      <w:r>
        <w:rPr>
          <w:rFonts w:asciiTheme="minorHAnsi" w:hAnsiTheme="minorHAnsi" w:cstheme="minorHAnsi"/>
          <w:spacing w:val="-2"/>
        </w:rPr>
        <w:t>již v ro</w:t>
      </w:r>
      <w:r w:rsidR="00351258">
        <w:rPr>
          <w:rFonts w:asciiTheme="minorHAnsi" w:hAnsiTheme="minorHAnsi" w:cstheme="minorHAnsi"/>
          <w:spacing w:val="-2"/>
        </w:rPr>
        <w:t xml:space="preserve">ce 2017 </w:t>
      </w:r>
      <w:r w:rsidR="003D3B02">
        <w:rPr>
          <w:rFonts w:asciiTheme="minorHAnsi" w:hAnsiTheme="minorHAnsi" w:cstheme="minorHAnsi"/>
          <w:spacing w:val="-2"/>
        </w:rPr>
        <w:t xml:space="preserve">vykázat jako výnos </w:t>
      </w:r>
      <w:r>
        <w:rPr>
          <w:rFonts w:asciiTheme="minorHAnsi" w:hAnsiTheme="minorHAnsi" w:cstheme="minorHAnsi"/>
          <w:spacing w:val="-2"/>
        </w:rPr>
        <w:t>na účtu</w:t>
      </w:r>
      <w:r w:rsidR="00DA7A4E">
        <w:rPr>
          <w:rFonts w:asciiTheme="minorHAnsi" w:hAnsiTheme="minorHAnsi" w:cstheme="minorHAnsi"/>
          <w:spacing w:val="-2"/>
        </w:rPr>
        <w:br/>
      </w:r>
      <w:r>
        <w:rPr>
          <w:rFonts w:asciiTheme="minorHAnsi" w:hAnsiTheme="minorHAnsi" w:cstheme="minorHAnsi"/>
          <w:spacing w:val="-2"/>
        </w:rPr>
        <w:t xml:space="preserve">671 – </w:t>
      </w:r>
      <w:r w:rsidRPr="00324328">
        <w:rPr>
          <w:rFonts w:asciiTheme="minorHAnsi" w:hAnsiTheme="minorHAnsi" w:cstheme="minorHAnsi"/>
          <w:i/>
          <w:spacing w:val="-2"/>
        </w:rPr>
        <w:t>Výnosy vybraných ústředních vládních institucí z</w:t>
      </w:r>
      <w:r w:rsidR="00442943">
        <w:rPr>
          <w:rFonts w:asciiTheme="minorHAnsi" w:hAnsiTheme="minorHAnsi" w:cstheme="minorHAnsi"/>
          <w:i/>
          <w:spacing w:val="-2"/>
        </w:rPr>
        <w:t> </w:t>
      </w:r>
      <w:r w:rsidRPr="00324328">
        <w:rPr>
          <w:rFonts w:asciiTheme="minorHAnsi" w:hAnsiTheme="minorHAnsi" w:cstheme="minorHAnsi"/>
          <w:i/>
          <w:spacing w:val="-2"/>
        </w:rPr>
        <w:t>transferů</w:t>
      </w:r>
      <w:r w:rsidR="00442943">
        <w:rPr>
          <w:rFonts w:asciiTheme="minorHAnsi" w:hAnsiTheme="minorHAnsi" w:cstheme="minorHAnsi"/>
          <w:spacing w:val="-2"/>
        </w:rPr>
        <w:t xml:space="preserve"> a v účetní závěrce ve výkazu rozvaha vykázat na účtu hospodářského výsledku; oprava byla provedena </w:t>
      </w:r>
      <w:r w:rsidR="007913A6">
        <w:rPr>
          <w:rFonts w:asciiTheme="minorHAnsi" w:hAnsiTheme="minorHAnsi" w:cstheme="minorHAnsi"/>
          <w:spacing w:val="-2"/>
        </w:rPr>
        <w:t>prostřednictvím účtu</w:t>
      </w:r>
      <w:r w:rsidR="00442943">
        <w:rPr>
          <w:rFonts w:asciiTheme="minorHAnsi" w:hAnsiTheme="minorHAnsi" w:cstheme="minorHAnsi"/>
          <w:spacing w:val="-2"/>
        </w:rPr>
        <w:t xml:space="preserve"> 408</w:t>
      </w:r>
      <w:r w:rsidR="00165A9E">
        <w:rPr>
          <w:rFonts w:asciiTheme="minorHAnsi" w:hAnsiTheme="minorHAnsi" w:cstheme="minorHAnsi"/>
          <w:spacing w:val="-2"/>
        </w:rPr>
        <w:t xml:space="preserve"> –</w:t>
      </w:r>
      <w:r w:rsidR="00442943">
        <w:rPr>
          <w:rFonts w:asciiTheme="minorHAnsi" w:hAnsiTheme="minorHAnsi" w:cstheme="minorHAnsi"/>
          <w:spacing w:val="-2"/>
        </w:rPr>
        <w:t xml:space="preserve"> </w:t>
      </w:r>
      <w:r w:rsidR="00442943" w:rsidRPr="00442943">
        <w:rPr>
          <w:rFonts w:asciiTheme="minorHAnsi" w:hAnsiTheme="minorHAnsi" w:cstheme="minorHAnsi"/>
          <w:i/>
          <w:spacing w:val="-2"/>
        </w:rPr>
        <w:t>Opravy předcházejících účetních období</w:t>
      </w:r>
      <w:r>
        <w:rPr>
          <w:rFonts w:asciiTheme="minorHAnsi" w:hAnsiTheme="minorHAnsi" w:cstheme="minorHAnsi"/>
          <w:spacing w:val="-2"/>
        </w:rPr>
        <w:t>,</w:t>
      </w:r>
    </w:p>
    <w:p w14:paraId="2B619A2C" w14:textId="0A77E670" w:rsidR="001073F7" w:rsidRPr="00BA0D87" w:rsidRDefault="002D24AE" w:rsidP="0097495B">
      <w:pPr>
        <w:pStyle w:val="Odstavecseseznamem"/>
        <w:numPr>
          <w:ilvl w:val="0"/>
          <w:numId w:val="5"/>
        </w:numPr>
        <w:spacing w:after="0"/>
        <w:ind w:left="357" w:hanging="357"/>
        <w:contextualSpacing w:val="0"/>
        <w:jc w:val="both"/>
        <w:rPr>
          <w:rFonts w:asciiTheme="minorHAnsi" w:hAnsiTheme="minorHAnsi" w:cstheme="minorHAnsi"/>
          <w:spacing w:val="-2"/>
        </w:rPr>
      </w:pPr>
      <w:r>
        <w:rPr>
          <w:rFonts w:asciiTheme="minorHAnsi" w:hAnsiTheme="minorHAnsi" w:cstheme="minorHAnsi"/>
          <w:spacing w:val="-2"/>
        </w:rPr>
        <w:t>vykazování</w:t>
      </w:r>
      <w:r w:rsidR="001073F7">
        <w:rPr>
          <w:rFonts w:asciiTheme="minorHAnsi" w:hAnsiTheme="minorHAnsi" w:cstheme="minorHAnsi"/>
          <w:spacing w:val="-2"/>
        </w:rPr>
        <w:t xml:space="preserve"> dotací </w:t>
      </w:r>
      <w:r>
        <w:rPr>
          <w:rFonts w:asciiTheme="minorHAnsi" w:hAnsiTheme="minorHAnsi" w:cstheme="minorHAnsi"/>
          <w:spacing w:val="-2"/>
        </w:rPr>
        <w:t xml:space="preserve">poskytnutých zřízeným PO </w:t>
      </w:r>
      <w:r w:rsidR="001073F7">
        <w:rPr>
          <w:rFonts w:asciiTheme="minorHAnsi" w:hAnsiTheme="minorHAnsi" w:cstheme="minorHAnsi"/>
          <w:spacing w:val="-2"/>
        </w:rPr>
        <w:t>na pořízení dlouhodobého majetku</w:t>
      </w:r>
      <w:r w:rsidR="007A7388">
        <w:rPr>
          <w:rFonts w:asciiTheme="minorHAnsi" w:hAnsiTheme="minorHAnsi" w:cstheme="minorHAnsi"/>
          <w:spacing w:val="-2"/>
        </w:rPr>
        <w:t xml:space="preserve"> ve výši 41 </w:t>
      </w:r>
      <w:r>
        <w:rPr>
          <w:rFonts w:asciiTheme="minorHAnsi" w:hAnsiTheme="minorHAnsi" w:cstheme="minorHAnsi"/>
          <w:spacing w:val="-2"/>
        </w:rPr>
        <w:t>mil. Kč</w:t>
      </w:r>
      <w:r w:rsidR="001073F7">
        <w:rPr>
          <w:rFonts w:asciiTheme="minorHAnsi" w:hAnsiTheme="minorHAnsi" w:cstheme="minorHAnsi"/>
          <w:spacing w:val="-2"/>
        </w:rPr>
        <w:t xml:space="preserve">, které MPO </w:t>
      </w:r>
      <w:r>
        <w:rPr>
          <w:rFonts w:asciiTheme="minorHAnsi" w:hAnsiTheme="minorHAnsi" w:cstheme="minorHAnsi"/>
          <w:spacing w:val="-2"/>
        </w:rPr>
        <w:t xml:space="preserve">poskytlo </w:t>
      </w:r>
      <w:r w:rsidR="001073F7">
        <w:rPr>
          <w:rFonts w:asciiTheme="minorHAnsi" w:hAnsiTheme="minorHAnsi" w:cstheme="minorHAnsi"/>
          <w:spacing w:val="-2"/>
        </w:rPr>
        <w:t xml:space="preserve">v minulosti </w:t>
      </w:r>
      <w:r>
        <w:rPr>
          <w:rFonts w:asciiTheme="minorHAnsi" w:hAnsiTheme="minorHAnsi" w:cstheme="minorHAnsi"/>
          <w:spacing w:val="-2"/>
        </w:rPr>
        <w:t>a účtovalo je nesprávně do nákladů</w:t>
      </w:r>
      <w:r w:rsidR="00665672">
        <w:rPr>
          <w:rFonts w:asciiTheme="minorHAnsi" w:hAnsiTheme="minorHAnsi" w:cstheme="minorHAnsi"/>
          <w:spacing w:val="-2"/>
        </w:rPr>
        <w:t>,</w:t>
      </w:r>
      <w:r w:rsidR="00442943">
        <w:rPr>
          <w:rFonts w:asciiTheme="minorHAnsi" w:hAnsiTheme="minorHAnsi" w:cstheme="minorHAnsi"/>
          <w:spacing w:val="-2"/>
        </w:rPr>
        <w:t xml:space="preserve"> a v rozvaze </w:t>
      </w:r>
      <w:r w:rsidR="00F3073A">
        <w:rPr>
          <w:rFonts w:asciiTheme="minorHAnsi" w:hAnsiTheme="minorHAnsi" w:cstheme="minorHAnsi"/>
          <w:spacing w:val="-2"/>
        </w:rPr>
        <w:t xml:space="preserve">je </w:t>
      </w:r>
      <w:r w:rsidR="00442943">
        <w:rPr>
          <w:rFonts w:asciiTheme="minorHAnsi" w:hAnsiTheme="minorHAnsi" w:cstheme="minorHAnsi"/>
          <w:spacing w:val="-2"/>
        </w:rPr>
        <w:t>tak vykazovalo nesprávně na účtu hospodářského výsledku</w:t>
      </w:r>
      <w:r>
        <w:rPr>
          <w:rFonts w:asciiTheme="minorHAnsi" w:hAnsiTheme="minorHAnsi" w:cstheme="minorHAnsi"/>
          <w:spacing w:val="-2"/>
        </w:rPr>
        <w:t>, namísto</w:t>
      </w:r>
      <w:r w:rsidR="001073F7">
        <w:rPr>
          <w:rFonts w:asciiTheme="minorHAnsi" w:hAnsiTheme="minorHAnsi" w:cstheme="minorHAnsi"/>
          <w:spacing w:val="-2"/>
        </w:rPr>
        <w:t xml:space="preserve"> na účtu 401 – </w:t>
      </w:r>
      <w:r w:rsidR="001073F7" w:rsidRPr="001B7A5B">
        <w:rPr>
          <w:rFonts w:asciiTheme="minorHAnsi" w:hAnsiTheme="minorHAnsi" w:cstheme="minorHAnsi"/>
          <w:i/>
          <w:spacing w:val="-2"/>
        </w:rPr>
        <w:t>Jmění účetní jednotky</w:t>
      </w:r>
      <w:r w:rsidR="00E21EF6">
        <w:rPr>
          <w:rFonts w:asciiTheme="minorHAnsi" w:hAnsiTheme="minorHAnsi" w:cstheme="minorHAnsi"/>
          <w:spacing w:val="-2"/>
        </w:rPr>
        <w:t>,</w:t>
      </w:r>
    </w:p>
    <w:p w14:paraId="5A6460AD" w14:textId="77777777" w:rsidR="001073F7" w:rsidRPr="001073F7" w:rsidRDefault="001073F7" w:rsidP="0097495B">
      <w:pPr>
        <w:pStyle w:val="Odstavecseseznamem"/>
        <w:numPr>
          <w:ilvl w:val="0"/>
          <w:numId w:val="5"/>
        </w:numPr>
        <w:ind w:left="357" w:hanging="357"/>
        <w:contextualSpacing w:val="0"/>
        <w:jc w:val="both"/>
        <w:rPr>
          <w:rFonts w:asciiTheme="minorHAnsi" w:hAnsiTheme="minorHAnsi" w:cstheme="minorHAnsi"/>
          <w:spacing w:val="-2"/>
        </w:rPr>
      </w:pPr>
      <w:r w:rsidRPr="001073F7">
        <w:rPr>
          <w:rFonts w:asciiTheme="minorHAnsi" w:hAnsiTheme="minorHAnsi" w:cstheme="minorHAnsi"/>
          <w:spacing w:val="-2"/>
        </w:rPr>
        <w:t>algoritm</w:t>
      </w:r>
      <w:r>
        <w:rPr>
          <w:rFonts w:asciiTheme="minorHAnsi" w:hAnsiTheme="minorHAnsi" w:cstheme="minorHAnsi"/>
          <w:spacing w:val="-2"/>
        </w:rPr>
        <w:t>u</w:t>
      </w:r>
      <w:r w:rsidRPr="001073F7">
        <w:rPr>
          <w:rFonts w:asciiTheme="minorHAnsi" w:hAnsiTheme="minorHAnsi" w:cstheme="minorHAnsi"/>
          <w:spacing w:val="-2"/>
        </w:rPr>
        <w:t xml:space="preserve"> výpočtu položek přehledu o peněžních tocích, a to položky A.I.2. Změna stavu opravných položek, A.I.5. Výnosy z podílů na zisku, A.I.6. Ostatní úpravy o nepeněžní operace, A.IV. Přijaté podíly na zisku a B.I. Výdaje na pořízení dlouhodobých aktiv</w:t>
      </w:r>
      <w:r>
        <w:rPr>
          <w:rFonts w:asciiTheme="minorHAnsi" w:hAnsiTheme="minorHAnsi" w:cstheme="minorHAnsi"/>
          <w:spacing w:val="-2"/>
        </w:rPr>
        <w:t xml:space="preserve"> (systémový nedostatek).</w:t>
      </w:r>
    </w:p>
    <w:p w14:paraId="6E395522" w14:textId="77777777" w:rsidR="00BF110D" w:rsidRDefault="00B716BB" w:rsidP="0063452C">
      <w:pPr>
        <w:spacing w:after="0"/>
        <w:jc w:val="both"/>
        <w:rPr>
          <w:rFonts w:asciiTheme="minorHAnsi" w:hAnsiTheme="minorHAnsi" w:cstheme="minorHAnsi"/>
          <w:spacing w:val="-2"/>
        </w:rPr>
      </w:pPr>
      <w:r w:rsidRPr="001073F7">
        <w:rPr>
          <w:rFonts w:asciiTheme="minorHAnsi" w:hAnsiTheme="minorHAnsi" w:cstheme="minorHAnsi"/>
          <w:spacing w:val="-2"/>
        </w:rPr>
        <w:t xml:space="preserve">Následně MPO </w:t>
      </w:r>
      <w:r w:rsidR="00366859">
        <w:rPr>
          <w:rFonts w:asciiTheme="minorHAnsi" w:hAnsiTheme="minorHAnsi" w:cstheme="minorHAnsi"/>
          <w:spacing w:val="-2"/>
        </w:rPr>
        <w:t xml:space="preserve">sestavilo 1. března 2021 </w:t>
      </w:r>
      <w:r w:rsidRPr="001073F7">
        <w:rPr>
          <w:rFonts w:asciiTheme="minorHAnsi" w:hAnsiTheme="minorHAnsi" w:cstheme="minorHAnsi"/>
          <w:spacing w:val="-2"/>
        </w:rPr>
        <w:t xml:space="preserve">účetní závěrku k 31. </w:t>
      </w:r>
      <w:r w:rsidR="001073F7" w:rsidRPr="001073F7">
        <w:rPr>
          <w:rFonts w:asciiTheme="minorHAnsi" w:hAnsiTheme="minorHAnsi" w:cstheme="minorHAnsi"/>
          <w:spacing w:val="-2"/>
        </w:rPr>
        <w:t>prosinci</w:t>
      </w:r>
      <w:r w:rsidRPr="001073F7">
        <w:rPr>
          <w:rFonts w:asciiTheme="minorHAnsi" w:hAnsiTheme="minorHAnsi" w:cstheme="minorHAnsi"/>
          <w:spacing w:val="-2"/>
        </w:rPr>
        <w:t xml:space="preserve"> 2020. V této účetní závěrce NKÚ zjistil další významné nesprávnosti v celkové výši 1,9 mld. Kč, které se MPO rozhodlo rovněž opravit, a to způsobem dle </w:t>
      </w:r>
      <w:r w:rsidR="007A7388">
        <w:rPr>
          <w:rFonts w:asciiTheme="minorHAnsi" w:hAnsiTheme="minorHAnsi" w:cstheme="minorHAnsi"/>
          <w:spacing w:val="-2"/>
        </w:rPr>
        <w:t xml:space="preserve">ustanovení </w:t>
      </w:r>
      <w:r w:rsidRPr="001073F7">
        <w:rPr>
          <w:rFonts w:asciiTheme="minorHAnsi" w:hAnsiTheme="minorHAnsi" w:cstheme="minorHAnsi"/>
          <w:spacing w:val="-2"/>
        </w:rPr>
        <w:t xml:space="preserve">§ 17 odst. 7 </w:t>
      </w:r>
      <w:r w:rsidR="00BE7F32" w:rsidRPr="00BE7F32">
        <w:rPr>
          <w:rFonts w:asciiTheme="minorHAnsi" w:hAnsiTheme="minorHAnsi" w:cstheme="minorHAnsi"/>
          <w:spacing w:val="-2"/>
        </w:rPr>
        <w:t>zákona č. 563/1991 Sb.</w:t>
      </w:r>
      <w:r w:rsidRPr="001073F7">
        <w:rPr>
          <w:rFonts w:asciiTheme="minorHAnsi" w:hAnsiTheme="minorHAnsi" w:cstheme="minorHAnsi"/>
          <w:spacing w:val="-2"/>
        </w:rPr>
        <w:t xml:space="preserve">, kdy </w:t>
      </w:r>
      <w:r w:rsidRPr="008C7E5A">
        <w:rPr>
          <w:rFonts w:asciiTheme="minorHAnsi" w:hAnsiTheme="minorHAnsi" w:cstheme="minorHAnsi"/>
          <w:b/>
          <w:spacing w:val="-2"/>
        </w:rPr>
        <w:t>MPO</w:t>
      </w:r>
      <w:r w:rsidRPr="001073F7">
        <w:rPr>
          <w:rFonts w:asciiTheme="minorHAnsi" w:hAnsiTheme="minorHAnsi" w:cstheme="minorHAnsi"/>
          <w:spacing w:val="-2"/>
        </w:rPr>
        <w:t xml:space="preserve"> již uzavřené účetní knihy za účetní období 2020 otevřelo, provedlo opravné účetní zápisy a </w:t>
      </w:r>
      <w:r w:rsidRPr="008C7E5A">
        <w:rPr>
          <w:rFonts w:asciiTheme="minorHAnsi" w:hAnsiTheme="minorHAnsi" w:cstheme="minorHAnsi"/>
          <w:b/>
          <w:spacing w:val="-2"/>
        </w:rPr>
        <w:t>sestavilo novou účetní závěrku k 31. prosinci 2020 s datem sestavení 13. května 2021</w:t>
      </w:r>
      <w:r w:rsidRPr="00F97677">
        <w:rPr>
          <w:rFonts w:asciiTheme="minorHAnsi" w:hAnsiTheme="minorHAnsi" w:cstheme="minorHAnsi"/>
          <w:b/>
          <w:spacing w:val="-2"/>
        </w:rPr>
        <w:t>,</w:t>
      </w:r>
      <w:r w:rsidRPr="007E54C6">
        <w:rPr>
          <w:rFonts w:asciiTheme="minorHAnsi" w:hAnsiTheme="minorHAnsi" w:cstheme="minorHAnsi"/>
          <w:spacing w:val="-2"/>
        </w:rPr>
        <w:t xml:space="preserve"> </w:t>
      </w:r>
      <w:r w:rsidRPr="001073F7">
        <w:rPr>
          <w:rFonts w:asciiTheme="minorHAnsi" w:hAnsiTheme="minorHAnsi" w:cstheme="minorHAnsi"/>
          <w:spacing w:val="-2"/>
        </w:rPr>
        <w:t xml:space="preserve">která se tak stala účetní závěrkou dle </w:t>
      </w:r>
      <w:r w:rsidR="00BE7F32" w:rsidRPr="00BE7F32">
        <w:rPr>
          <w:rFonts w:asciiTheme="minorHAnsi" w:hAnsiTheme="minorHAnsi" w:cstheme="minorHAnsi"/>
          <w:spacing w:val="-2"/>
        </w:rPr>
        <w:t>zákona č. 563/1991 Sb.</w:t>
      </w:r>
      <w:r w:rsidR="008C51DA">
        <w:rPr>
          <w:rFonts w:asciiTheme="minorHAnsi" w:hAnsiTheme="minorHAnsi" w:cstheme="minorHAnsi"/>
          <w:spacing w:val="-2"/>
        </w:rPr>
        <w:t xml:space="preserve"> </w:t>
      </w:r>
      <w:r w:rsidR="00B64DD4">
        <w:rPr>
          <w:rFonts w:asciiTheme="minorHAnsi" w:hAnsiTheme="minorHAnsi" w:cstheme="minorHAnsi"/>
          <w:spacing w:val="-2"/>
        </w:rPr>
        <w:t>MPO tímto způsobem opravilo nesprávnosti v celkové výši 1,9 mld. Kč a jednalo se například o</w:t>
      </w:r>
      <w:r w:rsidR="008C7E5A">
        <w:rPr>
          <w:rFonts w:asciiTheme="minorHAnsi" w:hAnsiTheme="minorHAnsi" w:cstheme="minorHAnsi"/>
          <w:spacing w:val="-2"/>
        </w:rPr>
        <w:t xml:space="preserve"> opravu</w:t>
      </w:r>
      <w:r w:rsidR="00B64DD4">
        <w:rPr>
          <w:rFonts w:asciiTheme="minorHAnsi" w:hAnsiTheme="minorHAnsi" w:cstheme="minorHAnsi"/>
          <w:spacing w:val="-2"/>
        </w:rPr>
        <w:t>:</w:t>
      </w:r>
    </w:p>
    <w:p w14:paraId="2883DE35" w14:textId="77777777" w:rsidR="00B64DD4" w:rsidRDefault="00B64DD4" w:rsidP="00FE50B4">
      <w:pPr>
        <w:pStyle w:val="Odstavecseseznamem"/>
        <w:numPr>
          <w:ilvl w:val="0"/>
          <w:numId w:val="5"/>
        </w:numPr>
        <w:spacing w:after="0"/>
        <w:ind w:left="284" w:hanging="284"/>
        <w:contextualSpacing w:val="0"/>
        <w:jc w:val="both"/>
        <w:rPr>
          <w:rFonts w:asciiTheme="minorHAnsi" w:hAnsiTheme="minorHAnsi" w:cstheme="minorHAnsi"/>
          <w:spacing w:val="-2"/>
        </w:rPr>
      </w:pPr>
      <w:r>
        <w:rPr>
          <w:rFonts w:asciiTheme="minorHAnsi" w:hAnsiTheme="minorHAnsi" w:cstheme="minorHAnsi"/>
          <w:spacing w:val="-2"/>
        </w:rPr>
        <w:t>nesprávné</w:t>
      </w:r>
      <w:r w:rsidR="008C7E5A">
        <w:rPr>
          <w:rFonts w:asciiTheme="minorHAnsi" w:hAnsiTheme="minorHAnsi" w:cstheme="minorHAnsi"/>
          <w:spacing w:val="-2"/>
        </w:rPr>
        <w:t>ho</w:t>
      </w:r>
      <w:r>
        <w:rPr>
          <w:rFonts w:asciiTheme="minorHAnsi" w:hAnsiTheme="minorHAnsi" w:cstheme="minorHAnsi"/>
          <w:spacing w:val="-2"/>
        </w:rPr>
        <w:t xml:space="preserve"> </w:t>
      </w:r>
      <w:r w:rsidRPr="00AC43CC">
        <w:rPr>
          <w:rFonts w:asciiTheme="minorHAnsi" w:hAnsiTheme="minorHAnsi" w:cstheme="minorHAnsi"/>
          <w:b/>
          <w:spacing w:val="-2"/>
        </w:rPr>
        <w:t>účtování</w:t>
      </w:r>
      <w:r>
        <w:rPr>
          <w:rFonts w:asciiTheme="minorHAnsi" w:hAnsiTheme="minorHAnsi" w:cstheme="minorHAnsi"/>
          <w:spacing w:val="-2"/>
        </w:rPr>
        <w:t xml:space="preserve"> o očekávané</w:t>
      </w:r>
      <w:r w:rsidR="0087343A">
        <w:rPr>
          <w:rFonts w:asciiTheme="minorHAnsi" w:hAnsiTheme="minorHAnsi" w:cstheme="minorHAnsi"/>
          <w:spacing w:val="-2"/>
        </w:rPr>
        <w:t xml:space="preserve"> vratce dotace</w:t>
      </w:r>
      <w:r>
        <w:rPr>
          <w:rFonts w:asciiTheme="minorHAnsi" w:hAnsiTheme="minorHAnsi" w:cstheme="minorHAnsi"/>
          <w:spacing w:val="-2"/>
        </w:rPr>
        <w:t xml:space="preserve"> </w:t>
      </w:r>
      <w:r w:rsidR="0087343A">
        <w:rPr>
          <w:rFonts w:asciiTheme="minorHAnsi" w:hAnsiTheme="minorHAnsi" w:cstheme="minorHAnsi"/>
          <w:spacing w:val="-2"/>
        </w:rPr>
        <w:t xml:space="preserve">v odhadu ve výši </w:t>
      </w:r>
      <w:r w:rsidR="0087343A">
        <w:rPr>
          <w:rFonts w:asciiTheme="minorHAnsi" w:hAnsiTheme="minorHAnsi" w:cstheme="minorHAnsi"/>
          <w:b/>
          <w:spacing w:val="-2"/>
        </w:rPr>
        <w:t>960 mil. Kč</w:t>
      </w:r>
      <w:r w:rsidR="00AC43CC">
        <w:rPr>
          <w:rFonts w:asciiTheme="minorHAnsi" w:hAnsiTheme="minorHAnsi" w:cstheme="minorHAnsi"/>
          <w:b/>
          <w:spacing w:val="-2"/>
        </w:rPr>
        <w:t xml:space="preserve"> </w:t>
      </w:r>
      <w:r>
        <w:rPr>
          <w:rFonts w:asciiTheme="minorHAnsi" w:hAnsiTheme="minorHAnsi" w:cstheme="minorHAnsi"/>
          <w:spacing w:val="-2"/>
        </w:rPr>
        <w:t xml:space="preserve">poskytnuté dle zákona č. 165/2012 Sb. </w:t>
      </w:r>
      <w:r w:rsidRPr="00AC43CC">
        <w:rPr>
          <w:rFonts w:asciiTheme="minorHAnsi" w:hAnsiTheme="minorHAnsi" w:cstheme="minorHAnsi"/>
          <w:b/>
          <w:spacing w:val="-2"/>
        </w:rPr>
        <w:t>v aktivech</w:t>
      </w:r>
      <w:r>
        <w:rPr>
          <w:rFonts w:asciiTheme="minorHAnsi" w:hAnsiTheme="minorHAnsi" w:cstheme="minorHAnsi"/>
          <w:spacing w:val="-2"/>
        </w:rPr>
        <w:t xml:space="preserve"> na účtu 388 – </w:t>
      </w:r>
      <w:r w:rsidRPr="00B64DD4">
        <w:rPr>
          <w:rFonts w:asciiTheme="minorHAnsi" w:hAnsiTheme="minorHAnsi" w:cstheme="minorHAnsi"/>
          <w:i/>
          <w:spacing w:val="-2"/>
        </w:rPr>
        <w:t xml:space="preserve">Dohadné účty aktivní </w:t>
      </w:r>
      <w:r w:rsidRPr="00AC43CC">
        <w:rPr>
          <w:rFonts w:asciiTheme="minorHAnsi" w:hAnsiTheme="minorHAnsi" w:cstheme="minorHAnsi"/>
          <w:b/>
          <w:spacing w:val="-2"/>
        </w:rPr>
        <w:t>namísto v pasivech</w:t>
      </w:r>
      <w:r>
        <w:rPr>
          <w:rFonts w:asciiTheme="minorHAnsi" w:hAnsiTheme="minorHAnsi" w:cstheme="minorHAnsi"/>
          <w:spacing w:val="-2"/>
        </w:rPr>
        <w:t xml:space="preserve"> na účtu 389 – </w:t>
      </w:r>
      <w:r w:rsidRPr="00B64DD4">
        <w:rPr>
          <w:rFonts w:asciiTheme="minorHAnsi" w:hAnsiTheme="minorHAnsi" w:cstheme="minorHAnsi"/>
          <w:i/>
          <w:spacing w:val="-2"/>
        </w:rPr>
        <w:t>Dohadné účty pasivní</w:t>
      </w:r>
      <w:r>
        <w:rPr>
          <w:rFonts w:asciiTheme="minorHAnsi" w:hAnsiTheme="minorHAnsi" w:cstheme="minorHAnsi"/>
          <w:spacing w:val="-2"/>
        </w:rPr>
        <w:t xml:space="preserve"> (systémová nesprávnost)</w:t>
      </w:r>
      <w:r w:rsidR="00AF4181">
        <w:rPr>
          <w:rFonts w:asciiTheme="minorHAnsi" w:hAnsiTheme="minorHAnsi" w:cstheme="minorHAnsi"/>
          <w:spacing w:val="-2"/>
        </w:rPr>
        <w:t>,</w:t>
      </w:r>
    </w:p>
    <w:p w14:paraId="65F05D9C" w14:textId="77777777" w:rsidR="0082174C" w:rsidRPr="0082174C" w:rsidRDefault="00B64DD4" w:rsidP="00FE50B4">
      <w:pPr>
        <w:pStyle w:val="Odstavecseseznamem"/>
        <w:numPr>
          <w:ilvl w:val="0"/>
          <w:numId w:val="5"/>
        </w:numPr>
        <w:spacing w:after="0"/>
        <w:ind w:left="284" w:hanging="284"/>
        <w:contextualSpacing w:val="0"/>
        <w:jc w:val="both"/>
        <w:rPr>
          <w:rFonts w:asciiTheme="minorHAnsi" w:hAnsiTheme="minorHAnsi" w:cstheme="minorHAnsi"/>
          <w:spacing w:val="-2"/>
        </w:rPr>
      </w:pPr>
      <w:r>
        <w:rPr>
          <w:rFonts w:asciiTheme="minorHAnsi" w:hAnsiTheme="minorHAnsi" w:cstheme="minorHAnsi"/>
          <w:spacing w:val="-2"/>
        </w:rPr>
        <w:t>nesprávnost</w:t>
      </w:r>
      <w:r w:rsidR="008C7E5A">
        <w:rPr>
          <w:rFonts w:asciiTheme="minorHAnsi" w:hAnsiTheme="minorHAnsi" w:cstheme="minorHAnsi"/>
          <w:spacing w:val="-2"/>
        </w:rPr>
        <w:t>í</w:t>
      </w:r>
      <w:r>
        <w:rPr>
          <w:rFonts w:asciiTheme="minorHAnsi" w:hAnsiTheme="minorHAnsi" w:cstheme="minorHAnsi"/>
          <w:spacing w:val="-2"/>
        </w:rPr>
        <w:t xml:space="preserve"> na účtu 344 – </w:t>
      </w:r>
      <w:r w:rsidRPr="007E1669">
        <w:rPr>
          <w:rFonts w:asciiTheme="minorHAnsi" w:hAnsiTheme="minorHAnsi" w:cstheme="minorHAnsi"/>
          <w:i/>
          <w:spacing w:val="-2"/>
        </w:rPr>
        <w:t>Pohledávky za osobami mimo vybrané vládní instituce</w:t>
      </w:r>
      <w:r>
        <w:rPr>
          <w:rFonts w:asciiTheme="minorHAnsi" w:hAnsiTheme="minorHAnsi" w:cstheme="minorHAnsi"/>
          <w:spacing w:val="-2"/>
        </w:rPr>
        <w:t>, kdy MPO na tomto účtu vykazovalo</w:t>
      </w:r>
      <w:r w:rsidR="00AC43CC">
        <w:rPr>
          <w:rFonts w:asciiTheme="minorHAnsi" w:hAnsiTheme="minorHAnsi" w:cstheme="minorHAnsi"/>
          <w:spacing w:val="-2"/>
        </w:rPr>
        <w:t xml:space="preserve"> </w:t>
      </w:r>
      <w:r w:rsidR="00AC43CC" w:rsidRPr="00AC43CC">
        <w:rPr>
          <w:rFonts w:asciiTheme="minorHAnsi" w:hAnsiTheme="minorHAnsi" w:cstheme="minorHAnsi"/>
          <w:b/>
          <w:spacing w:val="-2"/>
        </w:rPr>
        <w:t>k</w:t>
      </w:r>
      <w:r w:rsidR="00FC6C42">
        <w:rPr>
          <w:rFonts w:asciiTheme="minorHAnsi" w:hAnsiTheme="minorHAnsi" w:cstheme="minorHAnsi"/>
          <w:b/>
          <w:spacing w:val="-2"/>
        </w:rPr>
        <w:t> 31. prosinci 2020</w:t>
      </w:r>
      <w:r w:rsidR="00AC43CC" w:rsidRPr="00AC43CC">
        <w:rPr>
          <w:rFonts w:asciiTheme="minorHAnsi" w:hAnsiTheme="minorHAnsi" w:cstheme="minorHAnsi"/>
          <w:b/>
          <w:spacing w:val="-2"/>
        </w:rPr>
        <w:t xml:space="preserve"> neexistující pohledávky </w:t>
      </w:r>
      <w:r w:rsidRPr="00AC43CC">
        <w:rPr>
          <w:rFonts w:asciiTheme="minorHAnsi" w:hAnsiTheme="minorHAnsi" w:cstheme="minorHAnsi"/>
          <w:b/>
          <w:spacing w:val="-2"/>
        </w:rPr>
        <w:t>za Národním fondem</w:t>
      </w:r>
      <w:r w:rsidR="00AC43CC" w:rsidRPr="00AC43CC">
        <w:rPr>
          <w:rFonts w:asciiTheme="minorHAnsi" w:hAnsiTheme="minorHAnsi" w:cstheme="minorHAnsi"/>
          <w:b/>
          <w:spacing w:val="-2"/>
        </w:rPr>
        <w:t xml:space="preserve"> v celkové výši </w:t>
      </w:r>
      <w:r w:rsidR="0082174C">
        <w:rPr>
          <w:rFonts w:asciiTheme="minorHAnsi" w:hAnsiTheme="minorHAnsi" w:cstheme="minorHAnsi"/>
          <w:b/>
          <w:spacing w:val="-2"/>
        </w:rPr>
        <w:t>77</w:t>
      </w:r>
      <w:r w:rsidR="00FC6C42">
        <w:rPr>
          <w:rFonts w:asciiTheme="minorHAnsi" w:hAnsiTheme="minorHAnsi" w:cstheme="minorHAnsi"/>
          <w:b/>
          <w:spacing w:val="-2"/>
        </w:rPr>
        <w:t>6</w:t>
      </w:r>
      <w:r w:rsidR="0082174C">
        <w:rPr>
          <w:rFonts w:asciiTheme="minorHAnsi" w:hAnsiTheme="minorHAnsi" w:cstheme="minorHAnsi"/>
          <w:b/>
          <w:spacing w:val="-2"/>
        </w:rPr>
        <w:t xml:space="preserve"> mil.</w:t>
      </w:r>
      <w:r w:rsidR="00AC43CC" w:rsidRPr="00AC43CC">
        <w:rPr>
          <w:rFonts w:asciiTheme="minorHAnsi" w:hAnsiTheme="minorHAnsi" w:cstheme="minorHAnsi"/>
          <w:b/>
          <w:spacing w:val="-2"/>
        </w:rPr>
        <w:t xml:space="preserve"> Kč</w:t>
      </w:r>
      <w:r w:rsidR="0082174C">
        <w:rPr>
          <w:rFonts w:asciiTheme="minorHAnsi" w:hAnsiTheme="minorHAnsi" w:cstheme="minorHAnsi"/>
          <w:b/>
          <w:spacing w:val="-2"/>
        </w:rPr>
        <w:t xml:space="preserve"> </w:t>
      </w:r>
      <w:r w:rsidR="0082174C" w:rsidRPr="0082174C">
        <w:rPr>
          <w:rFonts w:asciiTheme="minorHAnsi" w:hAnsiTheme="minorHAnsi" w:cstheme="minorHAnsi"/>
          <w:spacing w:val="-2"/>
        </w:rPr>
        <w:t>(systémová nesprávnost</w:t>
      </w:r>
      <w:r w:rsidR="0082174C">
        <w:rPr>
          <w:rFonts w:asciiTheme="minorHAnsi" w:hAnsiTheme="minorHAnsi" w:cstheme="minorHAnsi"/>
          <w:spacing w:val="-2"/>
        </w:rPr>
        <w:t xml:space="preserve">, v podrobnostech </w:t>
      </w:r>
      <w:r w:rsidR="0082174C" w:rsidRPr="0082174C">
        <w:rPr>
          <w:rFonts w:asciiTheme="minorHAnsi" w:hAnsiTheme="minorHAnsi" w:cstheme="minorHAnsi"/>
          <w:spacing w:val="-2"/>
        </w:rPr>
        <w:t>viz bod 5.1 kontrolního závěru)</w:t>
      </w:r>
      <w:r w:rsidR="00AF4181">
        <w:rPr>
          <w:rFonts w:asciiTheme="minorHAnsi" w:hAnsiTheme="minorHAnsi" w:cstheme="minorHAnsi"/>
          <w:spacing w:val="-2"/>
        </w:rPr>
        <w:t>,</w:t>
      </w:r>
    </w:p>
    <w:p w14:paraId="51441904" w14:textId="432104C2" w:rsidR="00B64DD4" w:rsidRDefault="00B64DD4" w:rsidP="00FE50B4">
      <w:pPr>
        <w:pStyle w:val="Odstavecseseznamem"/>
        <w:numPr>
          <w:ilvl w:val="0"/>
          <w:numId w:val="5"/>
        </w:numPr>
        <w:spacing w:after="0"/>
        <w:ind w:left="284" w:hanging="284"/>
        <w:contextualSpacing w:val="0"/>
        <w:jc w:val="both"/>
        <w:rPr>
          <w:rFonts w:asciiTheme="minorHAnsi" w:hAnsiTheme="minorHAnsi" w:cstheme="minorHAnsi"/>
          <w:spacing w:val="-2"/>
        </w:rPr>
      </w:pPr>
      <w:r w:rsidRPr="00AC43CC">
        <w:rPr>
          <w:rFonts w:asciiTheme="minorHAnsi" w:hAnsiTheme="minorHAnsi" w:cstheme="minorHAnsi"/>
          <w:b/>
          <w:spacing w:val="-2"/>
        </w:rPr>
        <w:t>nevykázání nákladů</w:t>
      </w:r>
      <w:r>
        <w:rPr>
          <w:rFonts w:asciiTheme="minorHAnsi" w:hAnsiTheme="minorHAnsi" w:cstheme="minorHAnsi"/>
          <w:spacing w:val="-2"/>
        </w:rPr>
        <w:t xml:space="preserve"> </w:t>
      </w:r>
      <w:r w:rsidR="005A4F48">
        <w:rPr>
          <w:rFonts w:asciiTheme="minorHAnsi" w:hAnsiTheme="minorHAnsi" w:cstheme="minorHAnsi"/>
          <w:spacing w:val="-2"/>
        </w:rPr>
        <w:t>ve výši</w:t>
      </w:r>
      <w:r w:rsidR="00A556C8">
        <w:rPr>
          <w:rFonts w:asciiTheme="minorHAnsi" w:hAnsiTheme="minorHAnsi" w:cstheme="minorHAnsi"/>
          <w:spacing w:val="-2"/>
        </w:rPr>
        <w:t xml:space="preserve"> 164 mil. Kč </w:t>
      </w:r>
      <w:r w:rsidRPr="00AC43CC">
        <w:rPr>
          <w:rFonts w:asciiTheme="minorHAnsi" w:hAnsiTheme="minorHAnsi" w:cstheme="minorHAnsi"/>
          <w:b/>
          <w:spacing w:val="-2"/>
        </w:rPr>
        <w:t>z titulu bezúplatného pozbytí</w:t>
      </w:r>
      <w:r>
        <w:rPr>
          <w:rFonts w:asciiTheme="minorHAnsi" w:hAnsiTheme="minorHAnsi" w:cstheme="minorHAnsi"/>
          <w:spacing w:val="-2"/>
        </w:rPr>
        <w:t xml:space="preserve"> zásob osobních ochranných pomůcek </w:t>
      </w:r>
      <w:r w:rsidRPr="0095162C">
        <w:rPr>
          <w:rFonts w:asciiTheme="minorHAnsi" w:hAnsiTheme="minorHAnsi" w:cstheme="minorHAnsi"/>
          <w:spacing w:val="-2"/>
        </w:rPr>
        <w:t>(dále „OOP“)</w:t>
      </w:r>
      <w:r>
        <w:rPr>
          <w:rFonts w:asciiTheme="minorHAnsi" w:hAnsiTheme="minorHAnsi" w:cstheme="minorHAnsi"/>
          <w:spacing w:val="-2"/>
        </w:rPr>
        <w:t xml:space="preserve"> ve prospěch jiných vybraných účetních jednotek a ve prospěch subjektů, které nejsou vybranými účetními jednotkami, jakožto i </w:t>
      </w:r>
      <w:r w:rsidRPr="00AC43CC">
        <w:rPr>
          <w:rFonts w:asciiTheme="minorHAnsi" w:hAnsiTheme="minorHAnsi" w:cstheme="minorHAnsi"/>
          <w:b/>
          <w:spacing w:val="-2"/>
        </w:rPr>
        <w:t>výnos</w:t>
      </w:r>
      <w:r w:rsidR="004C1496">
        <w:rPr>
          <w:rFonts w:asciiTheme="minorHAnsi" w:hAnsiTheme="minorHAnsi" w:cstheme="minorHAnsi"/>
          <w:b/>
          <w:spacing w:val="-2"/>
        </w:rPr>
        <w:t xml:space="preserve">ů </w:t>
      </w:r>
      <w:r w:rsidR="004C1496" w:rsidRPr="0095162C">
        <w:rPr>
          <w:rFonts w:asciiTheme="minorHAnsi" w:hAnsiTheme="minorHAnsi" w:cstheme="minorHAnsi"/>
          <w:spacing w:val="-2"/>
        </w:rPr>
        <w:t>ve výši</w:t>
      </w:r>
      <w:r w:rsidR="004C1496" w:rsidRPr="00F97677">
        <w:rPr>
          <w:rFonts w:asciiTheme="minorHAnsi" w:hAnsiTheme="minorHAnsi" w:cstheme="minorHAnsi"/>
          <w:spacing w:val="-2"/>
        </w:rPr>
        <w:t xml:space="preserve"> </w:t>
      </w:r>
      <w:r w:rsidR="004C1496" w:rsidRPr="0095162C">
        <w:rPr>
          <w:rFonts w:asciiTheme="minorHAnsi" w:hAnsiTheme="minorHAnsi" w:cstheme="minorHAnsi"/>
          <w:spacing w:val="-2"/>
        </w:rPr>
        <w:t>164</w:t>
      </w:r>
      <w:r w:rsidR="0063452C">
        <w:rPr>
          <w:rFonts w:asciiTheme="minorHAnsi" w:hAnsiTheme="minorHAnsi" w:cstheme="minorHAnsi"/>
          <w:spacing w:val="-2"/>
        </w:rPr>
        <w:t> </w:t>
      </w:r>
      <w:r w:rsidR="004C1496" w:rsidRPr="0095162C">
        <w:rPr>
          <w:rFonts w:asciiTheme="minorHAnsi" w:hAnsiTheme="minorHAnsi" w:cstheme="minorHAnsi"/>
          <w:spacing w:val="-2"/>
        </w:rPr>
        <w:t>mil.</w:t>
      </w:r>
      <w:r w:rsidR="0063452C">
        <w:rPr>
          <w:rFonts w:asciiTheme="minorHAnsi" w:hAnsiTheme="minorHAnsi" w:cstheme="minorHAnsi"/>
          <w:spacing w:val="-2"/>
        </w:rPr>
        <w:t> </w:t>
      </w:r>
      <w:r w:rsidR="004C1496" w:rsidRPr="0095162C">
        <w:rPr>
          <w:rFonts w:asciiTheme="minorHAnsi" w:hAnsiTheme="minorHAnsi" w:cstheme="minorHAnsi"/>
          <w:spacing w:val="-2"/>
        </w:rPr>
        <w:t>Kč</w:t>
      </w:r>
      <w:r w:rsidRPr="00AC43CC">
        <w:rPr>
          <w:rFonts w:asciiTheme="minorHAnsi" w:hAnsiTheme="minorHAnsi" w:cstheme="minorHAnsi"/>
          <w:b/>
          <w:spacing w:val="-2"/>
        </w:rPr>
        <w:t xml:space="preserve"> z bezúplatného nabytí </w:t>
      </w:r>
      <w:r>
        <w:rPr>
          <w:rFonts w:asciiTheme="minorHAnsi" w:hAnsiTheme="minorHAnsi" w:cstheme="minorHAnsi"/>
          <w:spacing w:val="-2"/>
        </w:rPr>
        <w:t>zásob OOP od Ministerstva vnitra (systémová nesprávnost),</w:t>
      </w:r>
    </w:p>
    <w:p w14:paraId="3C808525" w14:textId="77777777" w:rsidR="00B64DD4" w:rsidRDefault="00B64DD4" w:rsidP="00165E7D">
      <w:pPr>
        <w:pStyle w:val="Odstavecseseznamem"/>
        <w:numPr>
          <w:ilvl w:val="0"/>
          <w:numId w:val="5"/>
        </w:numPr>
        <w:ind w:hanging="357"/>
        <w:contextualSpacing w:val="0"/>
        <w:jc w:val="both"/>
        <w:rPr>
          <w:rFonts w:asciiTheme="minorHAnsi" w:hAnsiTheme="minorHAnsi" w:cstheme="minorHAnsi"/>
          <w:spacing w:val="-2"/>
        </w:rPr>
      </w:pPr>
      <w:r w:rsidRPr="00AC43CC">
        <w:rPr>
          <w:rFonts w:asciiTheme="minorHAnsi" w:hAnsiTheme="minorHAnsi" w:cstheme="minorHAnsi"/>
          <w:b/>
          <w:spacing w:val="-2"/>
        </w:rPr>
        <w:t>nesprávnost</w:t>
      </w:r>
      <w:r w:rsidR="008C7E5A">
        <w:rPr>
          <w:rFonts w:asciiTheme="minorHAnsi" w:hAnsiTheme="minorHAnsi" w:cstheme="minorHAnsi"/>
          <w:b/>
          <w:spacing w:val="-2"/>
        </w:rPr>
        <w:t>í</w:t>
      </w:r>
      <w:r w:rsidRPr="00AC43CC">
        <w:rPr>
          <w:rFonts w:asciiTheme="minorHAnsi" w:hAnsiTheme="minorHAnsi" w:cstheme="minorHAnsi"/>
          <w:b/>
          <w:spacing w:val="-2"/>
        </w:rPr>
        <w:t xml:space="preserve"> v přehledu o peněžních tocích</w:t>
      </w:r>
      <w:r w:rsidR="005A4F48">
        <w:rPr>
          <w:rFonts w:asciiTheme="minorHAnsi" w:hAnsiTheme="minorHAnsi" w:cstheme="minorHAnsi"/>
          <w:b/>
          <w:spacing w:val="-2"/>
        </w:rPr>
        <w:t xml:space="preserve"> </w:t>
      </w:r>
      <w:r w:rsidR="005A4F48" w:rsidRPr="00A556C8">
        <w:rPr>
          <w:rFonts w:asciiTheme="minorHAnsi" w:hAnsiTheme="minorHAnsi" w:cstheme="minorHAnsi"/>
          <w:spacing w:val="-2"/>
        </w:rPr>
        <w:t>v</w:t>
      </w:r>
      <w:r w:rsidR="00A556C8" w:rsidRPr="00A556C8">
        <w:rPr>
          <w:rFonts w:asciiTheme="minorHAnsi" w:hAnsiTheme="minorHAnsi" w:cstheme="minorHAnsi"/>
          <w:spacing w:val="-2"/>
        </w:rPr>
        <w:t xml:space="preserve"> celkové</w:t>
      </w:r>
      <w:r w:rsidR="005A4F48" w:rsidRPr="00A556C8">
        <w:rPr>
          <w:rFonts w:asciiTheme="minorHAnsi" w:hAnsiTheme="minorHAnsi" w:cstheme="minorHAnsi"/>
          <w:spacing w:val="-2"/>
        </w:rPr>
        <w:t xml:space="preserve"> výši </w:t>
      </w:r>
      <w:r w:rsidR="00A556C8" w:rsidRPr="00A556C8">
        <w:rPr>
          <w:rFonts w:asciiTheme="minorHAnsi" w:hAnsiTheme="minorHAnsi" w:cstheme="minorHAnsi"/>
          <w:spacing w:val="-2"/>
        </w:rPr>
        <w:t>26</w:t>
      </w:r>
      <w:r w:rsidR="007E54C6">
        <w:rPr>
          <w:rFonts w:asciiTheme="minorHAnsi" w:hAnsiTheme="minorHAnsi" w:cstheme="minorHAnsi"/>
          <w:spacing w:val="-2"/>
        </w:rPr>
        <w:t>3</w:t>
      </w:r>
      <w:r w:rsidR="00A556C8" w:rsidRPr="00A556C8">
        <w:rPr>
          <w:rFonts w:asciiTheme="minorHAnsi" w:hAnsiTheme="minorHAnsi" w:cstheme="minorHAnsi"/>
          <w:spacing w:val="-2"/>
        </w:rPr>
        <w:t xml:space="preserve"> mil. Kč</w:t>
      </w:r>
      <w:r w:rsidRPr="00AC43CC">
        <w:rPr>
          <w:rFonts w:asciiTheme="minorHAnsi" w:hAnsiTheme="minorHAnsi" w:cstheme="minorHAnsi"/>
          <w:b/>
          <w:spacing w:val="-2"/>
        </w:rPr>
        <w:t>,</w:t>
      </w:r>
      <w:r>
        <w:rPr>
          <w:rFonts w:asciiTheme="minorHAnsi" w:hAnsiTheme="minorHAnsi" w:cstheme="minorHAnsi"/>
          <w:spacing w:val="-2"/>
        </w:rPr>
        <w:t xml:space="preserve"> kdy MPO na:</w:t>
      </w:r>
    </w:p>
    <w:p w14:paraId="2980BC5A" w14:textId="46DEE2A0" w:rsidR="00B64DD4" w:rsidRDefault="00B64DD4" w:rsidP="0063452C">
      <w:pPr>
        <w:pStyle w:val="Odstavecseseznamem"/>
        <w:numPr>
          <w:ilvl w:val="0"/>
          <w:numId w:val="9"/>
        </w:numPr>
        <w:spacing w:after="0"/>
        <w:ind w:left="567" w:hanging="283"/>
        <w:contextualSpacing w:val="0"/>
        <w:jc w:val="both"/>
        <w:rPr>
          <w:rFonts w:asciiTheme="minorHAnsi" w:hAnsiTheme="minorHAnsi" w:cstheme="minorHAnsi"/>
          <w:spacing w:val="-2"/>
        </w:rPr>
      </w:pPr>
      <w:r>
        <w:rPr>
          <w:rFonts w:asciiTheme="minorHAnsi" w:hAnsiTheme="minorHAnsi" w:cstheme="minorHAnsi"/>
          <w:spacing w:val="-2"/>
        </w:rPr>
        <w:t xml:space="preserve">položce B.I. </w:t>
      </w:r>
      <w:r w:rsidRPr="00F97677">
        <w:rPr>
          <w:rFonts w:asciiTheme="minorHAnsi" w:hAnsiTheme="minorHAnsi" w:cstheme="minorHAnsi"/>
          <w:i/>
          <w:spacing w:val="-2"/>
        </w:rPr>
        <w:t>Výdaje na pořízení dlouhodobých aktiv</w:t>
      </w:r>
      <w:r>
        <w:rPr>
          <w:rFonts w:asciiTheme="minorHAnsi" w:hAnsiTheme="minorHAnsi" w:cstheme="minorHAnsi"/>
          <w:spacing w:val="-2"/>
        </w:rPr>
        <w:t xml:space="preserve"> nevykázalo veškeré výdaje související s vklady do fondů </w:t>
      </w:r>
      <w:r w:rsidR="00AD0CA8">
        <w:rPr>
          <w:rFonts w:asciiTheme="minorHAnsi" w:hAnsiTheme="minorHAnsi" w:cstheme="minorHAnsi"/>
          <w:spacing w:val="-2"/>
        </w:rPr>
        <w:t>finanční instituce</w:t>
      </w:r>
      <w:r>
        <w:rPr>
          <w:rFonts w:asciiTheme="minorHAnsi" w:hAnsiTheme="minorHAnsi" w:cstheme="minorHAnsi"/>
          <w:spacing w:val="-2"/>
        </w:rPr>
        <w:t xml:space="preserve"> a naopak zde vykázalo i výdaje, které nebyly způsobeny pořízením dlouhodobých aktiv (systémová nesprávnost)</w:t>
      </w:r>
      <w:r w:rsidR="00665672">
        <w:rPr>
          <w:rFonts w:asciiTheme="minorHAnsi" w:hAnsiTheme="minorHAnsi" w:cstheme="minorHAnsi"/>
          <w:spacing w:val="-2"/>
        </w:rPr>
        <w:t>;</w:t>
      </w:r>
    </w:p>
    <w:p w14:paraId="4AC68F5A" w14:textId="7E8B696C" w:rsidR="00B64DD4" w:rsidRPr="00697969" w:rsidRDefault="00B64DD4" w:rsidP="00A829E9">
      <w:pPr>
        <w:pStyle w:val="Odstavecseseznamem"/>
        <w:numPr>
          <w:ilvl w:val="0"/>
          <w:numId w:val="9"/>
        </w:numPr>
        <w:ind w:left="568" w:hanging="284"/>
        <w:contextualSpacing w:val="0"/>
        <w:jc w:val="both"/>
        <w:rPr>
          <w:rFonts w:asciiTheme="minorHAnsi" w:hAnsiTheme="minorHAnsi" w:cstheme="minorHAnsi"/>
          <w:spacing w:val="-2"/>
        </w:rPr>
      </w:pPr>
      <w:r>
        <w:rPr>
          <w:rFonts w:asciiTheme="minorHAnsi" w:hAnsiTheme="minorHAnsi" w:cstheme="minorHAnsi"/>
          <w:spacing w:val="-2"/>
        </w:rPr>
        <w:t xml:space="preserve">položce C.I. </w:t>
      </w:r>
      <w:r w:rsidRPr="00F97677">
        <w:rPr>
          <w:rFonts w:asciiTheme="minorHAnsi" w:hAnsiTheme="minorHAnsi" w:cstheme="minorHAnsi"/>
          <w:i/>
          <w:spacing w:val="-2"/>
        </w:rPr>
        <w:t>Peněžní toky vyplývající ze změny vlastního kapitálu</w:t>
      </w:r>
      <w:r>
        <w:rPr>
          <w:rFonts w:asciiTheme="minorHAnsi" w:hAnsiTheme="minorHAnsi" w:cstheme="minorHAnsi"/>
          <w:spacing w:val="-2"/>
        </w:rPr>
        <w:t xml:space="preserve"> vykázalo i účetní transakci, u níž nedošlo ke zvýšení či snížení stavu peněžních prostředků způsobeném</w:t>
      </w:r>
      <w:r w:rsidR="00665672">
        <w:rPr>
          <w:rFonts w:asciiTheme="minorHAnsi" w:hAnsiTheme="minorHAnsi" w:cstheme="minorHAnsi"/>
          <w:spacing w:val="-2"/>
        </w:rPr>
        <w:t>u</w:t>
      </w:r>
      <w:r>
        <w:rPr>
          <w:rFonts w:asciiTheme="minorHAnsi" w:hAnsiTheme="minorHAnsi" w:cstheme="minorHAnsi"/>
          <w:spacing w:val="-2"/>
        </w:rPr>
        <w:t xml:space="preserve"> změnou struktury a zvýšením či snížením stavu vlastního kapitálu (systémová nesprávnost).</w:t>
      </w:r>
    </w:p>
    <w:p w14:paraId="11A43C5F" w14:textId="77777777" w:rsidR="00B716BB" w:rsidRPr="008C51DA" w:rsidRDefault="006750E2" w:rsidP="0063452C">
      <w:pPr>
        <w:pStyle w:val="Nadpis2"/>
        <w:keepNext/>
        <w:numPr>
          <w:ilvl w:val="0"/>
          <w:numId w:val="0"/>
        </w:numPr>
        <w:spacing w:after="120" w:line="240" w:lineRule="auto"/>
        <w:contextualSpacing w:val="0"/>
        <w:jc w:val="left"/>
        <w:rPr>
          <w:rFonts w:ascii="Calibri" w:hAnsi="Calibri" w:cs="Calibri"/>
        </w:rPr>
      </w:pPr>
      <w:r>
        <w:rPr>
          <w:rFonts w:ascii="Calibri" w:hAnsi="Calibri" w:cs="Calibri"/>
        </w:rPr>
        <w:t xml:space="preserve">2.2 </w:t>
      </w:r>
      <w:r w:rsidR="008C51DA" w:rsidRPr="008C51DA">
        <w:rPr>
          <w:rFonts w:ascii="Calibri" w:hAnsi="Calibri" w:cs="Calibri"/>
        </w:rPr>
        <w:t>S</w:t>
      </w:r>
      <w:r w:rsidR="00B716BB" w:rsidRPr="008C51DA">
        <w:rPr>
          <w:rFonts w:ascii="Calibri" w:hAnsi="Calibri" w:cs="Calibri"/>
        </w:rPr>
        <w:t>polehlivost údajů ÚZ</w:t>
      </w:r>
      <w:r w:rsidR="008C51DA">
        <w:rPr>
          <w:rFonts w:ascii="Calibri" w:hAnsi="Calibri" w:cs="Calibri"/>
        </w:rPr>
        <w:t xml:space="preserve"> a její zveřejnění</w:t>
      </w:r>
    </w:p>
    <w:p w14:paraId="64ACC115" w14:textId="77777777" w:rsidR="00B716BB" w:rsidRPr="008C51DA" w:rsidRDefault="00B716BB" w:rsidP="0063452C">
      <w:pPr>
        <w:jc w:val="both"/>
        <w:rPr>
          <w:rFonts w:asciiTheme="minorHAnsi" w:hAnsiTheme="minorHAnsi" w:cstheme="minorHAnsi"/>
          <w:b/>
          <w:spacing w:val="-2"/>
        </w:rPr>
      </w:pPr>
      <w:r w:rsidRPr="008C51DA">
        <w:rPr>
          <w:rFonts w:asciiTheme="minorHAnsi" w:hAnsiTheme="minorHAnsi" w:cstheme="minorHAnsi"/>
          <w:spacing w:val="-2"/>
        </w:rPr>
        <w:t>V ÚZ</w:t>
      </w:r>
      <w:r w:rsidRPr="008C51DA">
        <w:rPr>
          <w:rFonts w:eastAsia="Calibri" w:cs="Calibri"/>
        </w:rPr>
        <w:t xml:space="preserve"> </w:t>
      </w:r>
      <w:r w:rsidRPr="008C51DA">
        <w:rPr>
          <w:rFonts w:asciiTheme="minorHAnsi" w:hAnsiTheme="minorHAnsi" w:cstheme="minorHAnsi"/>
          <w:spacing w:val="-2"/>
        </w:rPr>
        <w:t>bylo</w:t>
      </w:r>
      <w:r w:rsidR="008C51DA">
        <w:rPr>
          <w:rFonts w:asciiTheme="minorHAnsi" w:hAnsiTheme="minorHAnsi" w:cstheme="minorHAnsi"/>
          <w:spacing w:val="-2"/>
        </w:rPr>
        <w:t xml:space="preserve"> sice</w:t>
      </w:r>
      <w:r w:rsidRPr="008C51DA">
        <w:rPr>
          <w:rFonts w:asciiTheme="minorHAnsi" w:hAnsiTheme="minorHAnsi" w:cstheme="minorHAnsi"/>
          <w:spacing w:val="-2"/>
        </w:rPr>
        <w:t xml:space="preserve"> kontrolou zjištěno, že některé informace MPO nevykázalo v souladu s právními předpisy upravujícími vedení účetnictví, a to v údajích za běžné účetní období v celkové výši </w:t>
      </w:r>
      <w:r w:rsidR="005B4C04">
        <w:rPr>
          <w:rFonts w:asciiTheme="minorHAnsi" w:hAnsiTheme="minorHAnsi" w:cstheme="minorHAnsi"/>
          <w:b/>
          <w:spacing w:val="-2"/>
        </w:rPr>
        <w:t>14,8 </w:t>
      </w:r>
      <w:r w:rsidRPr="008C51DA">
        <w:rPr>
          <w:rFonts w:asciiTheme="minorHAnsi" w:hAnsiTheme="minorHAnsi" w:cstheme="minorHAnsi"/>
          <w:b/>
          <w:spacing w:val="-2"/>
        </w:rPr>
        <w:t>mil. Kč</w:t>
      </w:r>
      <w:r w:rsidR="008C51DA" w:rsidRPr="008C51DA">
        <w:rPr>
          <w:rFonts w:asciiTheme="minorHAnsi" w:hAnsiTheme="minorHAnsi" w:cstheme="minorHAnsi"/>
          <w:spacing w:val="-2"/>
        </w:rPr>
        <w:t xml:space="preserve"> v rozsahu tak, jak uvádí tabulka č. </w:t>
      </w:r>
      <w:r w:rsidR="0069486E">
        <w:rPr>
          <w:rFonts w:asciiTheme="minorHAnsi" w:hAnsiTheme="minorHAnsi" w:cstheme="minorHAnsi"/>
          <w:spacing w:val="-2"/>
        </w:rPr>
        <w:t>4</w:t>
      </w:r>
      <w:r w:rsidR="008C51DA" w:rsidRPr="008C51DA">
        <w:rPr>
          <w:rFonts w:asciiTheme="minorHAnsi" w:hAnsiTheme="minorHAnsi" w:cstheme="minorHAnsi"/>
          <w:spacing w:val="-2"/>
        </w:rPr>
        <w:t>.</w:t>
      </w:r>
    </w:p>
    <w:p w14:paraId="65B51015" w14:textId="77777777" w:rsidR="00B716BB" w:rsidRPr="008C51DA" w:rsidRDefault="00B716BB" w:rsidP="0063452C">
      <w:pPr>
        <w:keepNext/>
        <w:shd w:val="clear" w:color="auto" w:fill="FFFFFF" w:themeFill="background1"/>
        <w:tabs>
          <w:tab w:val="right" w:pos="9072"/>
        </w:tabs>
        <w:spacing w:after="40"/>
        <w:jc w:val="both"/>
        <w:rPr>
          <w:rFonts w:eastAsiaTheme="minorHAnsi" w:cs="Calibri"/>
          <w:b/>
        </w:rPr>
      </w:pPr>
      <w:r w:rsidRPr="008C51DA">
        <w:rPr>
          <w:rFonts w:eastAsiaTheme="minorHAnsi" w:cs="Calibri"/>
          <w:b/>
        </w:rPr>
        <w:lastRenderedPageBreak/>
        <w:t xml:space="preserve">Tabulka č. </w:t>
      </w:r>
      <w:r w:rsidR="0069486E">
        <w:rPr>
          <w:rFonts w:eastAsiaTheme="minorHAnsi" w:cs="Calibri"/>
          <w:b/>
        </w:rPr>
        <w:t>4</w:t>
      </w:r>
      <w:r w:rsidRPr="008C51DA">
        <w:rPr>
          <w:rFonts w:eastAsiaTheme="minorHAnsi" w:cs="Calibri"/>
          <w:b/>
        </w:rPr>
        <w:t>: Přehled vyčíslených nesprávností zjištěných v jednotlivých částech ÚZ (v Kč)</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000000" w:themeColor="text1"/>
          <w:insideV w:val="single" w:sz="8" w:space="0" w:color="auto"/>
        </w:tblBorders>
        <w:tblCellMar>
          <w:left w:w="0" w:type="dxa"/>
          <w:right w:w="0" w:type="dxa"/>
        </w:tblCellMar>
        <w:tblLook w:val="04A0" w:firstRow="1" w:lastRow="0" w:firstColumn="1" w:lastColumn="0" w:noHBand="0" w:noVBand="1"/>
      </w:tblPr>
      <w:tblGrid>
        <w:gridCol w:w="5160"/>
        <w:gridCol w:w="3912"/>
      </w:tblGrid>
      <w:tr w:rsidR="00B716BB" w:rsidRPr="008C51DA" w14:paraId="49D5C857" w14:textId="77777777" w:rsidTr="00224ECC">
        <w:trPr>
          <w:trHeight w:val="255"/>
        </w:trPr>
        <w:tc>
          <w:tcPr>
            <w:tcW w:w="9072" w:type="dxa"/>
            <w:gridSpan w:val="2"/>
            <w:tcBorders>
              <w:bottom w:val="single" w:sz="4" w:space="0" w:color="000000" w:themeColor="text1"/>
            </w:tcBorders>
            <w:shd w:val="clear" w:color="auto" w:fill="E5F1FF"/>
            <w:tcMar>
              <w:top w:w="0" w:type="dxa"/>
              <w:left w:w="70" w:type="dxa"/>
              <w:bottom w:w="0" w:type="dxa"/>
              <w:right w:w="70" w:type="dxa"/>
            </w:tcMar>
            <w:vAlign w:val="center"/>
            <w:hideMark/>
          </w:tcPr>
          <w:p w14:paraId="6E36DD54" w14:textId="77777777" w:rsidR="00B716BB" w:rsidRPr="008C51DA" w:rsidRDefault="00B716BB" w:rsidP="0063452C">
            <w:pPr>
              <w:keepNext/>
              <w:spacing w:after="0"/>
              <w:jc w:val="center"/>
              <w:rPr>
                <w:rFonts w:asciiTheme="minorHAnsi" w:eastAsiaTheme="minorHAnsi" w:hAnsiTheme="minorHAnsi" w:cs="Calibri"/>
                <w:b/>
                <w:bCs/>
                <w:color w:val="000000"/>
                <w:sz w:val="20"/>
                <w:szCs w:val="22"/>
                <w:lang w:eastAsia="cs-CZ"/>
              </w:rPr>
            </w:pPr>
            <w:r w:rsidRPr="008C51DA">
              <w:rPr>
                <w:rFonts w:asciiTheme="minorHAnsi" w:eastAsiaTheme="minorHAnsi" w:hAnsiTheme="minorHAnsi" w:cs="Calibri"/>
                <w:b/>
                <w:bCs/>
                <w:color w:val="000000"/>
                <w:sz w:val="20"/>
                <w:szCs w:val="22"/>
                <w:lang w:eastAsia="cs-CZ"/>
              </w:rPr>
              <w:t>Nesprávnost v účetní závěrce</w:t>
            </w:r>
          </w:p>
        </w:tc>
      </w:tr>
      <w:tr w:rsidR="00B716BB" w:rsidRPr="008C51DA" w14:paraId="4C0F04D2" w14:textId="77777777" w:rsidTr="00224ECC">
        <w:trPr>
          <w:trHeight w:val="255"/>
        </w:trPr>
        <w:tc>
          <w:tcPr>
            <w:tcW w:w="5160" w:type="dxa"/>
            <w:tcBorders>
              <w:top w:val="single" w:sz="4" w:space="0" w:color="000000" w:themeColor="text1"/>
              <w:bottom w:val="single" w:sz="4" w:space="0" w:color="000000" w:themeColor="text1"/>
              <w:right w:val="single" w:sz="4" w:space="0" w:color="000000" w:themeColor="text1"/>
            </w:tcBorders>
            <w:shd w:val="clear" w:color="auto" w:fill="E5F1FF"/>
            <w:vAlign w:val="center"/>
            <w:hideMark/>
          </w:tcPr>
          <w:p w14:paraId="29738FF1" w14:textId="77777777" w:rsidR="00B716BB" w:rsidRPr="008C51DA" w:rsidRDefault="00B716BB" w:rsidP="0063452C">
            <w:pPr>
              <w:keepNext/>
              <w:spacing w:after="0"/>
              <w:jc w:val="center"/>
              <w:rPr>
                <w:rFonts w:asciiTheme="minorHAnsi" w:eastAsiaTheme="minorHAnsi" w:hAnsiTheme="minorHAnsi" w:cs="Calibri"/>
                <w:bCs/>
                <w:color w:val="000000"/>
                <w:sz w:val="20"/>
                <w:szCs w:val="22"/>
                <w:lang w:eastAsia="cs-CZ"/>
              </w:rPr>
            </w:pPr>
            <w:r w:rsidRPr="008C51DA">
              <w:rPr>
                <w:rFonts w:asciiTheme="minorHAnsi" w:eastAsiaTheme="minorHAnsi" w:hAnsiTheme="minorHAnsi" w:cs="Calibri"/>
                <w:b/>
                <w:bCs/>
                <w:color w:val="000000"/>
                <w:sz w:val="20"/>
                <w:szCs w:val="22"/>
                <w:lang w:eastAsia="cs-CZ"/>
              </w:rPr>
              <w:t>Výkaz</w:t>
            </w:r>
          </w:p>
        </w:tc>
        <w:tc>
          <w:tcPr>
            <w:tcW w:w="3912" w:type="dxa"/>
            <w:tcBorders>
              <w:top w:val="single" w:sz="4" w:space="0" w:color="000000" w:themeColor="text1"/>
              <w:left w:val="single" w:sz="4" w:space="0" w:color="000000" w:themeColor="text1"/>
              <w:bottom w:val="single" w:sz="4" w:space="0" w:color="000000" w:themeColor="text1"/>
            </w:tcBorders>
            <w:shd w:val="clear" w:color="auto" w:fill="E5F1FF"/>
            <w:vAlign w:val="center"/>
            <w:hideMark/>
          </w:tcPr>
          <w:p w14:paraId="5165DE53" w14:textId="77777777" w:rsidR="00B716BB" w:rsidRPr="008C51DA" w:rsidRDefault="00B716BB" w:rsidP="0063452C">
            <w:pPr>
              <w:keepNext/>
              <w:spacing w:after="0"/>
              <w:jc w:val="center"/>
              <w:rPr>
                <w:rFonts w:asciiTheme="minorHAnsi" w:eastAsiaTheme="minorHAnsi" w:hAnsiTheme="minorHAnsi" w:cs="Calibri"/>
                <w:bCs/>
                <w:color w:val="000000"/>
                <w:sz w:val="20"/>
                <w:szCs w:val="22"/>
                <w:lang w:eastAsia="cs-CZ"/>
              </w:rPr>
            </w:pPr>
            <w:r w:rsidRPr="008C51DA">
              <w:rPr>
                <w:rFonts w:asciiTheme="minorHAnsi" w:eastAsiaTheme="minorHAnsi" w:hAnsiTheme="minorHAnsi" w:cs="Calibri"/>
                <w:b/>
                <w:bCs/>
                <w:color w:val="000000"/>
                <w:sz w:val="20"/>
                <w:szCs w:val="22"/>
                <w:lang w:eastAsia="cs-CZ"/>
              </w:rPr>
              <w:t>Celková nesprávnost</w:t>
            </w:r>
          </w:p>
        </w:tc>
      </w:tr>
      <w:tr w:rsidR="00B716BB" w:rsidRPr="008C51DA" w14:paraId="492F7401" w14:textId="77777777" w:rsidTr="00224ECC">
        <w:trPr>
          <w:trHeight w:val="255"/>
        </w:trPr>
        <w:tc>
          <w:tcPr>
            <w:tcW w:w="5160" w:type="dxa"/>
            <w:tcBorders>
              <w:top w:val="single" w:sz="4" w:space="0" w:color="000000" w:themeColor="text1"/>
              <w:bottom w:val="single" w:sz="4" w:space="0" w:color="000000" w:themeColor="text1"/>
              <w:right w:val="single" w:sz="4" w:space="0" w:color="000000" w:themeColor="text1"/>
            </w:tcBorders>
            <w:noWrap/>
            <w:tcMar>
              <w:top w:w="0" w:type="dxa"/>
              <w:left w:w="70" w:type="dxa"/>
              <w:bottom w:w="0" w:type="dxa"/>
              <w:right w:w="70" w:type="dxa"/>
            </w:tcMar>
            <w:vAlign w:val="center"/>
            <w:hideMark/>
          </w:tcPr>
          <w:p w14:paraId="7738D0FD" w14:textId="77777777" w:rsidR="00B716BB" w:rsidRPr="008C51DA" w:rsidRDefault="00B716BB" w:rsidP="0063452C">
            <w:pPr>
              <w:keepNext/>
              <w:spacing w:after="0"/>
              <w:rPr>
                <w:rFonts w:asciiTheme="minorHAnsi" w:eastAsiaTheme="minorHAnsi" w:hAnsiTheme="minorHAnsi" w:cs="Calibri"/>
                <w:b/>
                <w:bCs/>
                <w:color w:val="000000"/>
                <w:sz w:val="20"/>
                <w:szCs w:val="22"/>
                <w:lang w:eastAsia="cs-CZ"/>
              </w:rPr>
            </w:pPr>
            <w:r w:rsidRPr="008C51DA">
              <w:rPr>
                <w:rFonts w:asciiTheme="minorHAnsi" w:eastAsiaTheme="minorHAnsi" w:hAnsiTheme="minorHAnsi" w:cs="Calibri"/>
                <w:b/>
                <w:bCs/>
                <w:color w:val="000000"/>
                <w:sz w:val="20"/>
                <w:szCs w:val="22"/>
                <w:lang w:eastAsia="cs-CZ"/>
              </w:rPr>
              <w:t>CELKOVÁ NESPRÁVNOST V ÚČETNÍ ZÁVĚRCE</w:t>
            </w:r>
          </w:p>
        </w:tc>
        <w:tc>
          <w:tcPr>
            <w:tcW w:w="3912" w:type="dxa"/>
            <w:tcBorders>
              <w:top w:val="single" w:sz="4" w:space="0" w:color="000000" w:themeColor="text1"/>
              <w:left w:val="single" w:sz="4" w:space="0" w:color="000000" w:themeColor="text1"/>
              <w:bottom w:val="single" w:sz="4" w:space="0" w:color="000000" w:themeColor="text1"/>
            </w:tcBorders>
            <w:noWrap/>
            <w:tcMar>
              <w:top w:w="0" w:type="dxa"/>
              <w:left w:w="70" w:type="dxa"/>
              <w:bottom w:w="0" w:type="dxa"/>
              <w:right w:w="70" w:type="dxa"/>
            </w:tcMar>
            <w:vAlign w:val="center"/>
          </w:tcPr>
          <w:p w14:paraId="59B67EE8" w14:textId="77777777" w:rsidR="00B716BB" w:rsidRPr="008C51DA" w:rsidRDefault="00B716BB" w:rsidP="0063452C">
            <w:pPr>
              <w:keepNext/>
              <w:spacing w:after="0"/>
              <w:ind w:right="1057"/>
              <w:jc w:val="right"/>
              <w:rPr>
                <w:rFonts w:asciiTheme="minorHAnsi" w:eastAsiaTheme="minorHAnsi" w:hAnsiTheme="minorHAnsi" w:cs="Calibri"/>
                <w:b/>
                <w:bCs/>
                <w:color w:val="000000"/>
                <w:sz w:val="20"/>
                <w:szCs w:val="22"/>
                <w:lang w:eastAsia="cs-CZ"/>
              </w:rPr>
            </w:pPr>
            <w:r w:rsidRPr="008C51DA">
              <w:rPr>
                <w:rFonts w:asciiTheme="minorHAnsi" w:eastAsiaTheme="minorHAnsi" w:hAnsiTheme="minorHAnsi" w:cs="Calibri"/>
                <w:b/>
                <w:bCs/>
                <w:color w:val="000000"/>
                <w:sz w:val="20"/>
                <w:szCs w:val="22"/>
                <w:lang w:eastAsia="cs-CZ"/>
              </w:rPr>
              <w:t>14 799 354</w:t>
            </w:r>
          </w:p>
        </w:tc>
      </w:tr>
      <w:tr w:rsidR="00B716BB" w:rsidRPr="008C51DA" w14:paraId="7F11D330" w14:textId="77777777" w:rsidTr="00224ECC">
        <w:trPr>
          <w:trHeight w:val="255"/>
        </w:trPr>
        <w:tc>
          <w:tcPr>
            <w:tcW w:w="5160" w:type="dxa"/>
            <w:tcBorders>
              <w:top w:val="single" w:sz="4" w:space="0" w:color="000000" w:themeColor="text1"/>
              <w:bottom w:val="single" w:sz="4" w:space="0" w:color="000000" w:themeColor="text1"/>
              <w:right w:val="single" w:sz="4" w:space="0" w:color="000000" w:themeColor="text1"/>
            </w:tcBorders>
            <w:noWrap/>
            <w:tcMar>
              <w:top w:w="0" w:type="dxa"/>
              <w:left w:w="70" w:type="dxa"/>
              <w:bottom w:w="0" w:type="dxa"/>
              <w:right w:w="70" w:type="dxa"/>
            </w:tcMar>
            <w:vAlign w:val="center"/>
            <w:hideMark/>
          </w:tcPr>
          <w:p w14:paraId="3C822F84" w14:textId="77777777" w:rsidR="00B716BB" w:rsidRPr="008C51DA" w:rsidRDefault="00B716BB" w:rsidP="0063452C">
            <w:pPr>
              <w:keepNext/>
              <w:spacing w:after="0"/>
              <w:rPr>
                <w:rFonts w:asciiTheme="minorHAnsi" w:eastAsiaTheme="minorHAnsi" w:hAnsiTheme="minorHAnsi" w:cs="Calibri"/>
                <w:bCs/>
                <w:color w:val="000000"/>
                <w:sz w:val="20"/>
                <w:szCs w:val="22"/>
                <w:lang w:eastAsia="cs-CZ"/>
              </w:rPr>
            </w:pPr>
            <w:r w:rsidRPr="008C51DA">
              <w:rPr>
                <w:rFonts w:asciiTheme="minorHAnsi" w:eastAsiaTheme="minorHAnsi" w:hAnsiTheme="minorHAnsi" w:cs="Calibri"/>
                <w:bCs/>
                <w:color w:val="000000"/>
                <w:sz w:val="20"/>
                <w:szCs w:val="22"/>
                <w:lang w:eastAsia="cs-CZ"/>
              </w:rPr>
              <w:t>Rozvaha</w:t>
            </w:r>
          </w:p>
        </w:tc>
        <w:tc>
          <w:tcPr>
            <w:tcW w:w="3912" w:type="dxa"/>
            <w:tcBorders>
              <w:top w:val="single" w:sz="4" w:space="0" w:color="000000" w:themeColor="text1"/>
              <w:left w:val="single" w:sz="4" w:space="0" w:color="000000" w:themeColor="text1"/>
              <w:bottom w:val="single" w:sz="4" w:space="0" w:color="000000" w:themeColor="text1"/>
            </w:tcBorders>
            <w:noWrap/>
            <w:tcMar>
              <w:top w:w="0" w:type="dxa"/>
              <w:left w:w="70" w:type="dxa"/>
              <w:bottom w:w="0" w:type="dxa"/>
              <w:right w:w="70" w:type="dxa"/>
            </w:tcMar>
            <w:vAlign w:val="center"/>
          </w:tcPr>
          <w:p w14:paraId="6965BD08" w14:textId="77777777" w:rsidR="00B716BB" w:rsidRPr="008C51DA" w:rsidRDefault="00B716BB" w:rsidP="0063452C">
            <w:pPr>
              <w:keepNext/>
              <w:spacing w:after="0"/>
              <w:ind w:right="1057"/>
              <w:jc w:val="right"/>
              <w:rPr>
                <w:rFonts w:asciiTheme="minorHAnsi" w:eastAsiaTheme="minorHAnsi" w:hAnsiTheme="minorHAnsi" w:cs="Calibri"/>
                <w:bCs/>
                <w:color w:val="000000"/>
                <w:sz w:val="20"/>
                <w:szCs w:val="22"/>
                <w:lang w:eastAsia="cs-CZ"/>
              </w:rPr>
            </w:pPr>
            <w:r w:rsidRPr="008C51DA">
              <w:rPr>
                <w:rFonts w:asciiTheme="minorHAnsi" w:eastAsiaTheme="minorHAnsi" w:hAnsiTheme="minorHAnsi" w:cs="Calibri"/>
                <w:bCs/>
                <w:color w:val="000000"/>
                <w:sz w:val="20"/>
                <w:szCs w:val="22"/>
                <w:lang w:eastAsia="cs-CZ"/>
              </w:rPr>
              <w:t>13 697 269</w:t>
            </w:r>
          </w:p>
        </w:tc>
      </w:tr>
      <w:tr w:rsidR="00B716BB" w:rsidRPr="008C51DA" w14:paraId="7819FFE3" w14:textId="77777777" w:rsidTr="00224ECC">
        <w:trPr>
          <w:trHeight w:val="255"/>
        </w:trPr>
        <w:tc>
          <w:tcPr>
            <w:tcW w:w="5160" w:type="dxa"/>
            <w:tcBorders>
              <w:top w:val="single" w:sz="4" w:space="0" w:color="000000" w:themeColor="text1"/>
              <w:bottom w:val="single" w:sz="4" w:space="0" w:color="000000" w:themeColor="text1"/>
              <w:right w:val="single" w:sz="4" w:space="0" w:color="000000" w:themeColor="text1"/>
            </w:tcBorders>
            <w:noWrap/>
            <w:tcMar>
              <w:top w:w="0" w:type="dxa"/>
              <w:left w:w="70" w:type="dxa"/>
              <w:bottom w:w="0" w:type="dxa"/>
              <w:right w:w="70" w:type="dxa"/>
            </w:tcMar>
            <w:vAlign w:val="center"/>
            <w:hideMark/>
          </w:tcPr>
          <w:p w14:paraId="69DFDF3B" w14:textId="77777777" w:rsidR="00B716BB" w:rsidRPr="008C51DA" w:rsidRDefault="00B716BB" w:rsidP="0063452C">
            <w:pPr>
              <w:keepNext/>
              <w:spacing w:after="0"/>
              <w:rPr>
                <w:rFonts w:asciiTheme="minorHAnsi" w:eastAsiaTheme="minorHAnsi" w:hAnsiTheme="minorHAnsi" w:cs="Calibri"/>
                <w:bCs/>
                <w:color w:val="000000"/>
                <w:sz w:val="20"/>
                <w:szCs w:val="22"/>
                <w:lang w:eastAsia="cs-CZ"/>
              </w:rPr>
            </w:pPr>
            <w:r w:rsidRPr="008C51DA">
              <w:rPr>
                <w:rFonts w:asciiTheme="minorHAnsi" w:eastAsiaTheme="minorHAnsi" w:hAnsiTheme="minorHAnsi" w:cs="Calibri"/>
                <w:bCs/>
                <w:color w:val="000000"/>
                <w:sz w:val="20"/>
                <w:szCs w:val="22"/>
                <w:lang w:eastAsia="cs-CZ"/>
              </w:rPr>
              <w:t>Výkaz zisku a ztráty</w:t>
            </w:r>
          </w:p>
        </w:tc>
        <w:tc>
          <w:tcPr>
            <w:tcW w:w="3912" w:type="dxa"/>
            <w:tcBorders>
              <w:top w:val="single" w:sz="4" w:space="0" w:color="000000" w:themeColor="text1"/>
              <w:left w:val="single" w:sz="4" w:space="0" w:color="000000" w:themeColor="text1"/>
              <w:bottom w:val="single" w:sz="4" w:space="0" w:color="000000" w:themeColor="text1"/>
            </w:tcBorders>
            <w:noWrap/>
            <w:tcMar>
              <w:top w:w="0" w:type="dxa"/>
              <w:left w:w="70" w:type="dxa"/>
              <w:bottom w:w="0" w:type="dxa"/>
              <w:right w:w="70" w:type="dxa"/>
            </w:tcMar>
            <w:vAlign w:val="center"/>
          </w:tcPr>
          <w:p w14:paraId="4C83D1F2" w14:textId="77777777" w:rsidR="00B716BB" w:rsidRPr="008C51DA" w:rsidRDefault="00B716BB" w:rsidP="0063452C">
            <w:pPr>
              <w:keepNext/>
              <w:spacing w:after="0"/>
              <w:ind w:right="1057"/>
              <w:jc w:val="right"/>
              <w:rPr>
                <w:rFonts w:asciiTheme="minorHAnsi" w:eastAsiaTheme="minorHAnsi" w:hAnsiTheme="minorHAnsi" w:cs="Calibri"/>
                <w:bCs/>
                <w:color w:val="000000"/>
                <w:sz w:val="20"/>
                <w:szCs w:val="22"/>
                <w:lang w:eastAsia="cs-CZ"/>
              </w:rPr>
            </w:pPr>
            <w:r w:rsidRPr="008C51DA">
              <w:rPr>
                <w:rFonts w:asciiTheme="minorHAnsi" w:eastAsiaTheme="minorHAnsi" w:hAnsiTheme="minorHAnsi" w:cs="Calibri"/>
                <w:bCs/>
                <w:color w:val="000000"/>
                <w:sz w:val="20"/>
                <w:szCs w:val="22"/>
                <w:lang w:eastAsia="cs-CZ"/>
              </w:rPr>
              <w:t>1 102 085</w:t>
            </w:r>
          </w:p>
        </w:tc>
      </w:tr>
      <w:tr w:rsidR="00B716BB" w:rsidRPr="008C51DA" w14:paraId="11F2ABD8" w14:textId="77777777" w:rsidTr="00224ECC">
        <w:trPr>
          <w:trHeight w:val="255"/>
        </w:trPr>
        <w:tc>
          <w:tcPr>
            <w:tcW w:w="5160" w:type="dxa"/>
            <w:tcBorders>
              <w:top w:val="single" w:sz="4" w:space="0" w:color="000000" w:themeColor="text1"/>
              <w:bottom w:val="single" w:sz="4" w:space="0" w:color="000000" w:themeColor="text1"/>
              <w:right w:val="single" w:sz="4" w:space="0" w:color="000000" w:themeColor="text1"/>
            </w:tcBorders>
            <w:noWrap/>
            <w:tcMar>
              <w:top w:w="0" w:type="dxa"/>
              <w:left w:w="70" w:type="dxa"/>
              <w:bottom w:w="0" w:type="dxa"/>
              <w:right w:w="70" w:type="dxa"/>
            </w:tcMar>
            <w:vAlign w:val="center"/>
          </w:tcPr>
          <w:p w14:paraId="187A928A" w14:textId="77777777" w:rsidR="00B716BB" w:rsidRPr="008C51DA" w:rsidRDefault="00B716BB" w:rsidP="0063452C">
            <w:pPr>
              <w:keepNext/>
              <w:spacing w:after="0"/>
              <w:rPr>
                <w:rFonts w:asciiTheme="minorHAnsi" w:eastAsiaTheme="minorHAnsi" w:hAnsiTheme="minorHAnsi" w:cs="Calibri"/>
                <w:bCs/>
                <w:color w:val="000000"/>
                <w:sz w:val="20"/>
                <w:szCs w:val="22"/>
                <w:lang w:eastAsia="cs-CZ"/>
              </w:rPr>
            </w:pPr>
            <w:r w:rsidRPr="008C51DA">
              <w:rPr>
                <w:rFonts w:asciiTheme="minorHAnsi" w:eastAsiaTheme="minorHAnsi" w:hAnsiTheme="minorHAnsi" w:cs="Calibri"/>
                <w:bCs/>
                <w:color w:val="000000"/>
                <w:sz w:val="20"/>
                <w:szCs w:val="22"/>
                <w:lang w:eastAsia="cs-CZ"/>
              </w:rPr>
              <w:t>Přehled o peněžních tocích</w:t>
            </w:r>
          </w:p>
        </w:tc>
        <w:tc>
          <w:tcPr>
            <w:tcW w:w="3912" w:type="dxa"/>
            <w:tcBorders>
              <w:top w:val="single" w:sz="4" w:space="0" w:color="000000" w:themeColor="text1"/>
              <w:left w:val="single" w:sz="4" w:space="0" w:color="000000" w:themeColor="text1"/>
              <w:bottom w:val="single" w:sz="4" w:space="0" w:color="000000" w:themeColor="text1"/>
            </w:tcBorders>
            <w:noWrap/>
            <w:tcMar>
              <w:top w:w="0" w:type="dxa"/>
              <w:left w:w="70" w:type="dxa"/>
              <w:bottom w:w="0" w:type="dxa"/>
              <w:right w:w="70" w:type="dxa"/>
            </w:tcMar>
            <w:vAlign w:val="center"/>
          </w:tcPr>
          <w:p w14:paraId="31548157" w14:textId="77777777" w:rsidR="00B716BB" w:rsidRPr="008C51DA" w:rsidRDefault="00B716BB" w:rsidP="0063452C">
            <w:pPr>
              <w:keepNext/>
              <w:spacing w:after="0"/>
              <w:ind w:right="1057"/>
              <w:jc w:val="right"/>
              <w:rPr>
                <w:rFonts w:asciiTheme="minorHAnsi" w:eastAsiaTheme="minorHAnsi" w:hAnsiTheme="minorHAnsi" w:cs="Calibri"/>
                <w:bCs/>
                <w:color w:val="000000"/>
                <w:sz w:val="20"/>
                <w:szCs w:val="22"/>
                <w:lang w:eastAsia="cs-CZ"/>
              </w:rPr>
            </w:pPr>
            <w:r w:rsidRPr="008C51DA">
              <w:rPr>
                <w:rFonts w:asciiTheme="minorHAnsi" w:eastAsiaTheme="minorHAnsi" w:hAnsiTheme="minorHAnsi" w:cs="Calibri"/>
                <w:bCs/>
                <w:color w:val="000000"/>
                <w:sz w:val="20"/>
                <w:szCs w:val="22"/>
                <w:lang w:eastAsia="cs-CZ"/>
              </w:rPr>
              <w:t>0</w:t>
            </w:r>
          </w:p>
        </w:tc>
      </w:tr>
      <w:tr w:rsidR="00B716BB" w:rsidRPr="008C51DA" w14:paraId="413FE611" w14:textId="77777777" w:rsidTr="00224ECC">
        <w:trPr>
          <w:trHeight w:val="255"/>
        </w:trPr>
        <w:tc>
          <w:tcPr>
            <w:tcW w:w="5160" w:type="dxa"/>
            <w:tcBorders>
              <w:top w:val="single" w:sz="4" w:space="0" w:color="000000" w:themeColor="text1"/>
              <w:bottom w:val="single" w:sz="4" w:space="0" w:color="000000" w:themeColor="text1"/>
              <w:right w:val="single" w:sz="4" w:space="0" w:color="000000" w:themeColor="text1"/>
            </w:tcBorders>
            <w:noWrap/>
            <w:tcMar>
              <w:top w:w="0" w:type="dxa"/>
              <w:left w:w="70" w:type="dxa"/>
              <w:bottom w:w="0" w:type="dxa"/>
              <w:right w:w="70" w:type="dxa"/>
            </w:tcMar>
            <w:vAlign w:val="center"/>
            <w:hideMark/>
          </w:tcPr>
          <w:p w14:paraId="25B72AA7" w14:textId="77777777" w:rsidR="00B716BB" w:rsidRPr="008C51DA" w:rsidRDefault="00B716BB" w:rsidP="0063452C">
            <w:pPr>
              <w:keepNext/>
              <w:spacing w:after="0"/>
              <w:rPr>
                <w:rFonts w:asciiTheme="minorHAnsi" w:eastAsiaTheme="minorHAnsi" w:hAnsiTheme="minorHAnsi" w:cs="Calibri"/>
                <w:bCs/>
                <w:color w:val="000000"/>
                <w:sz w:val="20"/>
                <w:szCs w:val="22"/>
                <w:lang w:eastAsia="cs-CZ"/>
              </w:rPr>
            </w:pPr>
            <w:r w:rsidRPr="008C51DA">
              <w:rPr>
                <w:rFonts w:asciiTheme="minorHAnsi" w:eastAsiaTheme="minorHAnsi" w:hAnsiTheme="minorHAnsi" w:cs="Calibri"/>
                <w:bCs/>
                <w:color w:val="000000"/>
                <w:sz w:val="20"/>
                <w:szCs w:val="22"/>
                <w:lang w:eastAsia="cs-CZ"/>
              </w:rPr>
              <w:t>Přehled o změnách vlastního kapitálu</w:t>
            </w:r>
          </w:p>
        </w:tc>
        <w:tc>
          <w:tcPr>
            <w:tcW w:w="3912" w:type="dxa"/>
            <w:tcBorders>
              <w:top w:val="single" w:sz="4" w:space="0" w:color="000000" w:themeColor="text1"/>
              <w:left w:val="single" w:sz="4" w:space="0" w:color="000000" w:themeColor="text1"/>
              <w:bottom w:val="single" w:sz="4" w:space="0" w:color="000000" w:themeColor="text1"/>
            </w:tcBorders>
            <w:noWrap/>
            <w:tcMar>
              <w:top w:w="0" w:type="dxa"/>
              <w:left w:w="70" w:type="dxa"/>
              <w:bottom w:w="0" w:type="dxa"/>
              <w:right w:w="70" w:type="dxa"/>
            </w:tcMar>
            <w:vAlign w:val="center"/>
          </w:tcPr>
          <w:p w14:paraId="7EEC1072" w14:textId="77777777" w:rsidR="00B716BB" w:rsidRPr="008C51DA" w:rsidRDefault="00B716BB" w:rsidP="0063452C">
            <w:pPr>
              <w:keepNext/>
              <w:spacing w:after="0"/>
              <w:ind w:right="1057"/>
              <w:jc w:val="right"/>
              <w:rPr>
                <w:rFonts w:asciiTheme="minorHAnsi" w:eastAsiaTheme="minorHAnsi" w:hAnsiTheme="minorHAnsi" w:cs="Calibri"/>
                <w:bCs/>
                <w:color w:val="000000"/>
                <w:sz w:val="20"/>
                <w:szCs w:val="22"/>
                <w:lang w:eastAsia="cs-CZ"/>
              </w:rPr>
            </w:pPr>
            <w:r w:rsidRPr="008C51DA">
              <w:rPr>
                <w:rFonts w:asciiTheme="minorHAnsi" w:eastAsiaTheme="minorHAnsi" w:hAnsiTheme="minorHAnsi" w:cs="Calibri"/>
                <w:bCs/>
                <w:color w:val="000000"/>
                <w:sz w:val="20"/>
                <w:szCs w:val="22"/>
                <w:lang w:eastAsia="cs-CZ"/>
              </w:rPr>
              <w:t>0</w:t>
            </w:r>
          </w:p>
        </w:tc>
      </w:tr>
      <w:tr w:rsidR="00B716BB" w:rsidRPr="008C51DA" w14:paraId="331A72CB" w14:textId="77777777" w:rsidTr="00224ECC">
        <w:trPr>
          <w:trHeight w:val="255"/>
        </w:trPr>
        <w:tc>
          <w:tcPr>
            <w:tcW w:w="5160" w:type="dxa"/>
            <w:tcBorders>
              <w:top w:val="single" w:sz="4" w:space="0" w:color="000000" w:themeColor="text1"/>
              <w:bottom w:val="single" w:sz="4" w:space="0" w:color="auto"/>
              <w:right w:val="single" w:sz="4" w:space="0" w:color="000000" w:themeColor="text1"/>
            </w:tcBorders>
            <w:noWrap/>
            <w:tcMar>
              <w:top w:w="0" w:type="dxa"/>
              <w:left w:w="70" w:type="dxa"/>
              <w:bottom w:w="0" w:type="dxa"/>
              <w:right w:w="70" w:type="dxa"/>
            </w:tcMar>
            <w:vAlign w:val="center"/>
            <w:hideMark/>
          </w:tcPr>
          <w:p w14:paraId="4B69EF5E" w14:textId="77777777" w:rsidR="00B716BB" w:rsidRPr="008C51DA" w:rsidRDefault="00B716BB" w:rsidP="0063452C">
            <w:pPr>
              <w:keepNext/>
              <w:spacing w:after="0"/>
              <w:rPr>
                <w:rFonts w:asciiTheme="minorHAnsi" w:eastAsiaTheme="minorHAnsi" w:hAnsiTheme="minorHAnsi" w:cs="Calibri"/>
                <w:bCs/>
                <w:color w:val="000000"/>
                <w:sz w:val="20"/>
                <w:szCs w:val="22"/>
                <w:lang w:eastAsia="cs-CZ"/>
              </w:rPr>
            </w:pPr>
            <w:r w:rsidRPr="008C51DA">
              <w:rPr>
                <w:rFonts w:asciiTheme="minorHAnsi" w:eastAsiaTheme="minorHAnsi" w:hAnsiTheme="minorHAnsi" w:cs="Calibri"/>
                <w:bCs/>
                <w:color w:val="000000"/>
                <w:sz w:val="20"/>
                <w:szCs w:val="22"/>
                <w:lang w:eastAsia="cs-CZ"/>
              </w:rPr>
              <w:t>Příloha účetní závěrky (podrozvahové účty)</w:t>
            </w:r>
          </w:p>
        </w:tc>
        <w:tc>
          <w:tcPr>
            <w:tcW w:w="3912" w:type="dxa"/>
            <w:tcBorders>
              <w:top w:val="single" w:sz="4" w:space="0" w:color="000000" w:themeColor="text1"/>
              <w:left w:val="single" w:sz="4" w:space="0" w:color="000000" w:themeColor="text1"/>
              <w:bottom w:val="single" w:sz="4" w:space="0" w:color="auto"/>
            </w:tcBorders>
            <w:noWrap/>
            <w:tcMar>
              <w:top w:w="0" w:type="dxa"/>
              <w:left w:w="70" w:type="dxa"/>
              <w:bottom w:w="0" w:type="dxa"/>
              <w:right w:w="70" w:type="dxa"/>
            </w:tcMar>
            <w:vAlign w:val="center"/>
          </w:tcPr>
          <w:p w14:paraId="3A10D725" w14:textId="77777777" w:rsidR="00B716BB" w:rsidRPr="008C51DA" w:rsidRDefault="00B716BB" w:rsidP="0063452C">
            <w:pPr>
              <w:keepNext/>
              <w:spacing w:after="0"/>
              <w:ind w:right="1057"/>
              <w:jc w:val="right"/>
              <w:rPr>
                <w:rFonts w:asciiTheme="minorHAnsi" w:eastAsiaTheme="minorHAnsi" w:hAnsiTheme="minorHAnsi" w:cs="Calibri"/>
                <w:bCs/>
                <w:color w:val="000000"/>
                <w:sz w:val="20"/>
                <w:szCs w:val="22"/>
                <w:lang w:eastAsia="cs-CZ"/>
              </w:rPr>
            </w:pPr>
            <w:r w:rsidRPr="008C51DA">
              <w:rPr>
                <w:rFonts w:asciiTheme="minorHAnsi" w:eastAsiaTheme="minorHAnsi" w:hAnsiTheme="minorHAnsi" w:cs="Calibri"/>
                <w:bCs/>
                <w:color w:val="000000"/>
                <w:sz w:val="20"/>
                <w:szCs w:val="22"/>
                <w:lang w:eastAsia="cs-CZ"/>
              </w:rPr>
              <w:t xml:space="preserve"> 0</w:t>
            </w:r>
          </w:p>
        </w:tc>
      </w:tr>
    </w:tbl>
    <w:p w14:paraId="18B2B31C" w14:textId="77777777" w:rsidR="00B716BB" w:rsidRPr="008C51DA" w:rsidRDefault="00B716BB" w:rsidP="0063452C">
      <w:pPr>
        <w:spacing w:before="40"/>
        <w:rPr>
          <w:rFonts w:asciiTheme="minorHAnsi" w:eastAsiaTheme="minorHAnsi" w:hAnsiTheme="minorHAnsi" w:cs="Calibri"/>
          <w:sz w:val="20"/>
          <w:szCs w:val="20"/>
        </w:rPr>
      </w:pPr>
      <w:r w:rsidRPr="008C51DA">
        <w:rPr>
          <w:rFonts w:asciiTheme="minorHAnsi" w:eastAsiaTheme="minorHAnsi" w:hAnsiTheme="minorHAnsi" w:cs="Calibri"/>
          <w:b/>
          <w:sz w:val="20"/>
          <w:szCs w:val="20"/>
        </w:rPr>
        <w:t>Zdroj:</w:t>
      </w:r>
      <w:r w:rsidRPr="008C51DA">
        <w:rPr>
          <w:rFonts w:asciiTheme="minorHAnsi" w:eastAsiaTheme="minorHAnsi" w:hAnsiTheme="minorHAnsi" w:cs="Calibri"/>
          <w:sz w:val="20"/>
          <w:szCs w:val="20"/>
        </w:rPr>
        <w:t xml:space="preserve"> výpočet vypracoval NKÚ na základě dat získaných kontrolou.</w:t>
      </w:r>
    </w:p>
    <w:p w14:paraId="53999882" w14:textId="77777777" w:rsidR="00B716BB" w:rsidRPr="008C51DA" w:rsidRDefault="00DE3E98" w:rsidP="0063452C">
      <w:pPr>
        <w:jc w:val="both"/>
        <w:rPr>
          <w:rFonts w:cs="Calibri"/>
          <w:b/>
        </w:rPr>
      </w:pPr>
      <w:r>
        <w:rPr>
          <w:rFonts w:cs="Calibri"/>
        </w:rPr>
        <w:t>Nicméně p</w:t>
      </w:r>
      <w:r w:rsidR="00BF110D">
        <w:rPr>
          <w:rFonts w:cs="Calibri"/>
        </w:rPr>
        <w:t>r</w:t>
      </w:r>
      <w:r w:rsidR="00B716BB" w:rsidRPr="008C51DA">
        <w:rPr>
          <w:rFonts w:cs="Calibri"/>
        </w:rPr>
        <w:t xml:space="preserve">o posouzení spolehlivosti informací v ÚZ byla stanovena významnost neboli </w:t>
      </w:r>
      <w:proofErr w:type="spellStart"/>
      <w:r w:rsidR="00B716BB" w:rsidRPr="008C51DA">
        <w:rPr>
          <w:rFonts w:cs="Calibri"/>
        </w:rPr>
        <w:t>materialita</w:t>
      </w:r>
      <w:proofErr w:type="spellEnd"/>
      <w:r w:rsidR="00B716BB" w:rsidRPr="008C51DA">
        <w:rPr>
          <w:rStyle w:val="Znakapoznpodarou"/>
          <w:rFonts w:cs="Calibri"/>
        </w:rPr>
        <w:footnoteReference w:id="47"/>
      </w:r>
      <w:r w:rsidR="00B716BB" w:rsidRPr="008C51DA">
        <w:rPr>
          <w:rFonts w:cs="Calibri"/>
        </w:rPr>
        <w:t xml:space="preserve"> ve výši 1,1 mld. Kč</w:t>
      </w:r>
      <w:r w:rsidR="00B716BB" w:rsidRPr="008C51DA">
        <w:rPr>
          <w:rStyle w:val="Znakapoznpodarou"/>
          <w:rFonts w:cs="Calibri"/>
        </w:rPr>
        <w:footnoteReference w:id="48"/>
      </w:r>
      <w:r w:rsidR="00B716BB" w:rsidRPr="008C51DA">
        <w:rPr>
          <w:rFonts w:cs="Calibri"/>
        </w:rPr>
        <w:t xml:space="preserve">. </w:t>
      </w:r>
      <w:r w:rsidR="00B716BB" w:rsidRPr="008C51DA">
        <w:rPr>
          <w:rFonts w:cs="Calibri"/>
          <w:b/>
        </w:rPr>
        <w:t>Celková částka nesprávností,</w:t>
      </w:r>
      <w:r w:rsidR="00B716BB" w:rsidRPr="008C51DA">
        <w:rPr>
          <w:rFonts w:cs="Calibri"/>
        </w:rPr>
        <w:t xml:space="preserve"> které byly v této ÚZ zjištěny a vyčísleny, tak</w:t>
      </w:r>
      <w:r w:rsidR="00B716BB" w:rsidRPr="008C51DA">
        <w:rPr>
          <w:rFonts w:cs="Calibri"/>
          <w:b/>
        </w:rPr>
        <w:t xml:space="preserve"> není významná.</w:t>
      </w:r>
    </w:p>
    <w:p w14:paraId="34228C81" w14:textId="77777777" w:rsidR="00F36DC7" w:rsidRDefault="00B716BB" w:rsidP="0063452C">
      <w:pPr>
        <w:jc w:val="both"/>
        <w:rPr>
          <w:rFonts w:cs="Arial"/>
          <w:b/>
        </w:rPr>
      </w:pPr>
      <w:r w:rsidRPr="008C51DA">
        <w:rPr>
          <w:rFonts w:cs="Arial"/>
          <w:b/>
        </w:rPr>
        <w:t>Podle názoru NKÚ účetní závěrka MPO sestavená k 31. pros</w:t>
      </w:r>
      <w:r w:rsidR="005B4C04">
        <w:rPr>
          <w:rFonts w:cs="Arial"/>
          <w:b/>
        </w:rPr>
        <w:t>inci 2020 s datem sestavení 13. </w:t>
      </w:r>
      <w:r w:rsidRPr="008C51DA">
        <w:rPr>
          <w:rFonts w:cs="Arial"/>
          <w:b/>
        </w:rPr>
        <w:t>května 2021 podává věrný a poctivý obraz předmětu účetnictví a finanční situace účetní jednotky dle účetních předpisů pro některé vybrané účetní jednotky.</w:t>
      </w:r>
      <w:r w:rsidR="008B72E2">
        <w:rPr>
          <w:rFonts w:cs="Arial"/>
          <w:b/>
        </w:rPr>
        <w:t xml:space="preserve"> </w:t>
      </w:r>
    </w:p>
    <w:p w14:paraId="2C74F37A" w14:textId="77777777" w:rsidR="008C51DA" w:rsidRPr="008B72E2" w:rsidRDefault="008B72E2" w:rsidP="0063452C">
      <w:pPr>
        <w:jc w:val="both"/>
        <w:rPr>
          <w:rFonts w:cs="Arial"/>
        </w:rPr>
      </w:pPr>
      <w:r>
        <w:rPr>
          <w:rFonts w:cs="Arial"/>
          <w:b/>
        </w:rPr>
        <w:t>NKÚ přitom</w:t>
      </w:r>
      <w:r>
        <w:rPr>
          <w:rFonts w:asciiTheme="minorHAnsi" w:hAnsiTheme="minorHAnsi" w:cstheme="minorHAnsi"/>
          <w:b/>
        </w:rPr>
        <w:t xml:space="preserve"> upozorňuje na skutečnost </w:t>
      </w:r>
      <w:r w:rsidRPr="008B72E2">
        <w:rPr>
          <w:rFonts w:asciiTheme="minorHAnsi" w:hAnsiTheme="minorHAnsi" w:cstheme="minorHAnsi"/>
        </w:rPr>
        <w:t xml:space="preserve">uvedenou v příloze ÚZ v části </w:t>
      </w:r>
      <w:r w:rsidRPr="008B72E2">
        <w:rPr>
          <w:rFonts w:cs="Calibri"/>
          <w:i/>
        </w:rPr>
        <w:t>„E.1. Doplňující informace k položkám rozvahy“</w:t>
      </w:r>
      <w:r w:rsidRPr="008B72E2">
        <w:rPr>
          <w:rFonts w:cs="Calibri"/>
        </w:rPr>
        <w:t xml:space="preserve">, u položky A.III.6., </w:t>
      </w:r>
      <w:r w:rsidRPr="008B72E2">
        <w:rPr>
          <w:rFonts w:cs="Calibri"/>
          <w:b/>
        </w:rPr>
        <w:t>která popisuje problematiku finančních nástrojů a její dopad na</w:t>
      </w:r>
      <w:r w:rsidRPr="008B72E2">
        <w:rPr>
          <w:rFonts w:cs="Calibri"/>
        </w:rPr>
        <w:t xml:space="preserve"> </w:t>
      </w:r>
      <w:r w:rsidRPr="008B72E2">
        <w:rPr>
          <w:rFonts w:cs="Calibri"/>
          <w:b/>
        </w:rPr>
        <w:t>údaje</w:t>
      </w:r>
      <w:r w:rsidR="00F36DC7">
        <w:rPr>
          <w:rFonts w:cs="Calibri"/>
          <w:b/>
        </w:rPr>
        <w:t xml:space="preserve"> vykazované</w:t>
      </w:r>
      <w:r w:rsidRPr="008B72E2">
        <w:rPr>
          <w:rFonts w:cs="Calibri"/>
          <w:b/>
        </w:rPr>
        <w:t xml:space="preserve"> v ÚZ.</w:t>
      </w:r>
      <w:r w:rsidRPr="008B72E2">
        <w:rPr>
          <w:rFonts w:cs="Calibri"/>
        </w:rPr>
        <w:t xml:space="preserve"> </w:t>
      </w:r>
      <w:r w:rsidRPr="008B72E2">
        <w:rPr>
          <w:rFonts w:asciiTheme="minorHAnsi" w:hAnsiTheme="minorHAnsi" w:cstheme="minorHAnsi"/>
        </w:rPr>
        <w:t>Tato forma podpory</w:t>
      </w:r>
      <w:r w:rsidR="00351258">
        <w:rPr>
          <w:rFonts w:asciiTheme="minorHAnsi" w:hAnsiTheme="minorHAnsi" w:cstheme="minorHAnsi"/>
        </w:rPr>
        <w:t xml:space="preserve"> významně </w:t>
      </w:r>
      <w:r w:rsidRPr="008B72E2">
        <w:rPr>
          <w:rFonts w:asciiTheme="minorHAnsi" w:hAnsiTheme="minorHAnsi" w:cstheme="minorHAnsi"/>
        </w:rPr>
        <w:t>ovlivňuje údaje vykázané v</w:t>
      </w:r>
      <w:r w:rsidR="00351258">
        <w:rPr>
          <w:rFonts w:asciiTheme="minorHAnsi" w:hAnsiTheme="minorHAnsi" w:cstheme="minorHAnsi"/>
        </w:rPr>
        <w:t> ÚZ MPO</w:t>
      </w:r>
      <w:r w:rsidRPr="008B72E2">
        <w:rPr>
          <w:rFonts w:asciiTheme="minorHAnsi" w:hAnsiTheme="minorHAnsi" w:cstheme="minorHAnsi"/>
        </w:rPr>
        <w:t xml:space="preserve">. Účetní transakce související s realizací finančních nástrojů jsou kromě SÚ 222 – </w:t>
      </w:r>
      <w:r w:rsidRPr="008B72E2">
        <w:rPr>
          <w:rFonts w:asciiTheme="minorHAnsi" w:hAnsiTheme="minorHAnsi" w:cstheme="minorHAnsi"/>
          <w:i/>
        </w:rPr>
        <w:t>Příjmový účet organizačních složek státu</w:t>
      </w:r>
      <w:r w:rsidRPr="008B72E2">
        <w:rPr>
          <w:rFonts w:asciiTheme="minorHAnsi" w:hAnsiTheme="minorHAnsi" w:cstheme="minorHAnsi"/>
        </w:rPr>
        <w:t xml:space="preserve"> a 223 – </w:t>
      </w:r>
      <w:r w:rsidRPr="008B72E2">
        <w:rPr>
          <w:rFonts w:asciiTheme="minorHAnsi" w:hAnsiTheme="minorHAnsi" w:cstheme="minorHAnsi"/>
          <w:i/>
        </w:rPr>
        <w:t>Zvláštní výdajový účet</w:t>
      </w:r>
      <w:r w:rsidRPr="008B72E2">
        <w:rPr>
          <w:rFonts w:asciiTheme="minorHAnsi" w:hAnsiTheme="minorHAnsi" w:cstheme="minorHAnsi"/>
        </w:rPr>
        <w:t xml:space="preserve"> vykazovány zejména i na SÚ 069 – </w:t>
      </w:r>
      <w:r w:rsidRPr="008B72E2">
        <w:rPr>
          <w:rFonts w:asciiTheme="minorHAnsi" w:hAnsiTheme="minorHAnsi" w:cstheme="minorHAnsi"/>
          <w:i/>
        </w:rPr>
        <w:t>Ostatní dlouhodobý finanční majetek</w:t>
      </w:r>
      <w:r w:rsidRPr="008B72E2">
        <w:rPr>
          <w:rFonts w:asciiTheme="minorHAnsi" w:hAnsiTheme="minorHAnsi" w:cstheme="minorHAnsi"/>
        </w:rPr>
        <w:t xml:space="preserve">, 401 – </w:t>
      </w:r>
      <w:r w:rsidRPr="008B72E2">
        <w:rPr>
          <w:rFonts w:asciiTheme="minorHAnsi" w:hAnsiTheme="minorHAnsi" w:cstheme="minorHAnsi"/>
          <w:i/>
        </w:rPr>
        <w:t>Jmění účetní jednotky</w:t>
      </w:r>
      <w:r w:rsidRPr="008B72E2">
        <w:rPr>
          <w:rFonts w:asciiTheme="minorHAnsi" w:hAnsiTheme="minorHAnsi" w:cstheme="minorHAnsi"/>
        </w:rPr>
        <w:t xml:space="preserve"> a 972 – </w:t>
      </w:r>
      <w:r w:rsidRPr="008B72E2">
        <w:rPr>
          <w:rFonts w:asciiTheme="minorHAnsi" w:hAnsiTheme="minorHAnsi" w:cstheme="minorHAnsi"/>
          <w:i/>
        </w:rPr>
        <w:t>Dlouhodobé podmíněné závazky ze smluv o pořízení dlouhodobého majetku</w:t>
      </w:r>
      <w:r w:rsidRPr="008B72E2">
        <w:rPr>
          <w:rFonts w:asciiTheme="minorHAnsi" w:hAnsiTheme="minorHAnsi" w:cstheme="minorHAnsi"/>
        </w:rPr>
        <w:t xml:space="preserve">. </w:t>
      </w:r>
    </w:p>
    <w:p w14:paraId="1C033E08" w14:textId="760AD9F3" w:rsidR="001073F7" w:rsidRPr="00243A47" w:rsidRDefault="006750E2" w:rsidP="0063452C">
      <w:pPr>
        <w:pStyle w:val="Nadpis2"/>
        <w:keepNext/>
        <w:numPr>
          <w:ilvl w:val="0"/>
          <w:numId w:val="0"/>
        </w:numPr>
        <w:spacing w:after="120" w:line="240" w:lineRule="auto"/>
        <w:ind w:left="284" w:hanging="284"/>
        <w:contextualSpacing w:val="0"/>
        <w:jc w:val="left"/>
        <w:rPr>
          <w:rFonts w:ascii="Calibri" w:hAnsi="Calibri" w:cs="Calibri"/>
        </w:rPr>
      </w:pPr>
      <w:r>
        <w:rPr>
          <w:rFonts w:ascii="Calibri" w:hAnsi="Calibri" w:cs="Calibri"/>
        </w:rPr>
        <w:t xml:space="preserve">3. </w:t>
      </w:r>
      <w:r w:rsidR="0063452C">
        <w:rPr>
          <w:rFonts w:ascii="Calibri" w:hAnsi="Calibri" w:cs="Calibri"/>
        </w:rPr>
        <w:tab/>
      </w:r>
      <w:r w:rsidR="001073F7" w:rsidRPr="00243A47">
        <w:rPr>
          <w:rFonts w:ascii="Calibri" w:hAnsi="Calibri" w:cs="Calibri"/>
        </w:rPr>
        <w:t>Údaje předkládané Ministerstvem průmyslu a obchodu pro hodnocení plnění státního rozpočtu za rok 2020</w:t>
      </w:r>
      <w:r w:rsidR="001073F7" w:rsidRPr="00243A47">
        <w:rPr>
          <w:rFonts w:ascii="Calibri" w:hAnsi="Calibri" w:cs="Calibri"/>
          <w:vertAlign w:val="superscript"/>
        </w:rPr>
        <w:footnoteReference w:id="49"/>
      </w:r>
    </w:p>
    <w:p w14:paraId="436F6A5D" w14:textId="5F099158" w:rsidR="00AB5DF0" w:rsidRDefault="0037115E" w:rsidP="0063452C">
      <w:pPr>
        <w:jc w:val="both"/>
        <w:rPr>
          <w:b/>
        </w:rPr>
      </w:pPr>
      <w:r w:rsidRPr="00774E76">
        <w:rPr>
          <w:rFonts w:cs="Calibri"/>
          <w:b/>
          <w:bCs/>
          <w:lang w:eastAsia="cs-CZ"/>
        </w:rPr>
        <w:t xml:space="preserve">V údajích </w:t>
      </w:r>
      <w:r w:rsidR="00F76AE7" w:rsidRPr="00774E76">
        <w:rPr>
          <w:rFonts w:cs="Calibri"/>
          <w:b/>
          <w:bCs/>
          <w:lang w:eastAsia="cs-CZ"/>
        </w:rPr>
        <w:t>předložených MPO</w:t>
      </w:r>
      <w:r w:rsidRPr="00774E76">
        <w:rPr>
          <w:rFonts w:cs="Calibri"/>
          <w:b/>
          <w:bCs/>
          <w:lang w:eastAsia="cs-CZ"/>
        </w:rPr>
        <w:t xml:space="preserve"> </w:t>
      </w:r>
      <w:r w:rsidRPr="00774E76">
        <w:rPr>
          <w:b/>
        </w:rPr>
        <w:t>pro hodnocení plnění</w:t>
      </w:r>
      <w:r w:rsidR="00EA06A4" w:rsidRPr="00774E76">
        <w:rPr>
          <w:b/>
        </w:rPr>
        <w:t xml:space="preserve"> státního</w:t>
      </w:r>
      <w:r w:rsidRPr="00774E76">
        <w:rPr>
          <w:b/>
        </w:rPr>
        <w:t xml:space="preserve"> rozpočtu </w:t>
      </w:r>
      <w:r w:rsidR="00DC6D7B" w:rsidRPr="00774E76">
        <w:rPr>
          <w:b/>
        </w:rPr>
        <w:t xml:space="preserve">za rok </w:t>
      </w:r>
      <w:r w:rsidRPr="00774E76">
        <w:rPr>
          <w:b/>
        </w:rPr>
        <w:t>20</w:t>
      </w:r>
      <w:r w:rsidR="00F76AE7" w:rsidRPr="00774E76">
        <w:rPr>
          <w:b/>
        </w:rPr>
        <w:t xml:space="preserve">20 byla zjištěna nesprávnost v celkové </w:t>
      </w:r>
      <w:r w:rsidR="00774E76" w:rsidRPr="00774E76">
        <w:rPr>
          <w:b/>
        </w:rPr>
        <w:t>výši 1,2 mld. Kč</w:t>
      </w:r>
      <w:r w:rsidR="00774E76">
        <w:rPr>
          <w:b/>
        </w:rPr>
        <w:t>, z toho 1</w:t>
      </w:r>
      <w:r w:rsidR="00243A47">
        <w:rPr>
          <w:b/>
        </w:rPr>
        <w:t>,</w:t>
      </w:r>
      <w:r w:rsidR="007E1305">
        <w:rPr>
          <w:b/>
        </w:rPr>
        <w:t>1</w:t>
      </w:r>
      <w:r w:rsidR="00774E76">
        <w:rPr>
          <w:b/>
        </w:rPr>
        <w:t xml:space="preserve"> mld. Kč ve výdajích.</w:t>
      </w:r>
      <w:r w:rsidR="007603FF">
        <w:rPr>
          <w:b/>
        </w:rPr>
        <w:t xml:space="preserve"> Na této nesprávnosti má největší podíl nesprávné odvětvové zatřiďování</w:t>
      </w:r>
      <w:r w:rsidR="00D744E4">
        <w:rPr>
          <w:b/>
        </w:rPr>
        <w:t xml:space="preserve"> výdajů </w:t>
      </w:r>
      <w:r w:rsidR="00302C43">
        <w:rPr>
          <w:b/>
        </w:rPr>
        <w:t>o</w:t>
      </w:r>
      <w:r w:rsidR="007E1305" w:rsidRPr="007E1305">
        <w:rPr>
          <w:b/>
        </w:rPr>
        <w:t xml:space="preserve">peračního programu </w:t>
      </w:r>
      <w:r w:rsidR="007E1305" w:rsidRPr="00F97677">
        <w:rPr>
          <w:b/>
          <w:i/>
        </w:rPr>
        <w:t xml:space="preserve">Podnikání a inovace pro konkurenceschopnost </w:t>
      </w:r>
      <w:r w:rsidR="007E1305" w:rsidRPr="007E1305">
        <w:rPr>
          <w:b/>
        </w:rPr>
        <w:t>(dále „OP PIK“)</w:t>
      </w:r>
      <w:r w:rsidR="00D744E4">
        <w:rPr>
          <w:b/>
        </w:rPr>
        <w:t xml:space="preserve"> souvisejících s realizací projektů </w:t>
      </w:r>
      <w:r w:rsidR="00D744E4" w:rsidRPr="00F97677">
        <w:rPr>
          <w:b/>
          <w:i/>
        </w:rPr>
        <w:t>Technické pomoci</w:t>
      </w:r>
      <w:r w:rsidR="00D744E4">
        <w:rPr>
          <w:b/>
        </w:rPr>
        <w:t xml:space="preserve"> a</w:t>
      </w:r>
      <w:r w:rsidR="00F97677">
        <w:rPr>
          <w:b/>
        </w:rPr>
        <w:t xml:space="preserve"> s</w:t>
      </w:r>
      <w:r w:rsidR="00D744E4">
        <w:rPr>
          <w:b/>
        </w:rPr>
        <w:t xml:space="preserve"> poskytováním </w:t>
      </w:r>
      <w:r w:rsidR="008D2181">
        <w:rPr>
          <w:b/>
        </w:rPr>
        <w:t>podpory do odvětví energetiky (elektrické energie) paragrafem 2124</w:t>
      </w:r>
      <w:r w:rsidR="00B40E76">
        <w:rPr>
          <w:b/>
        </w:rPr>
        <w:t> </w:t>
      </w:r>
      <w:r w:rsidR="008D2181">
        <w:rPr>
          <w:b/>
        </w:rPr>
        <w:t>–</w:t>
      </w:r>
      <w:r w:rsidR="00B40E76">
        <w:rPr>
          <w:b/>
        </w:rPr>
        <w:t> </w:t>
      </w:r>
      <w:r w:rsidR="008D2181" w:rsidRPr="008D2181">
        <w:rPr>
          <w:b/>
          <w:i/>
        </w:rPr>
        <w:t>Opatření ke zvýšení konkurenceschopnosti průmyslových odvětví</w:t>
      </w:r>
      <w:r w:rsidR="008D2181">
        <w:rPr>
          <w:b/>
        </w:rPr>
        <w:t xml:space="preserve">. </w:t>
      </w:r>
    </w:p>
    <w:p w14:paraId="34784D12" w14:textId="060B1A2A" w:rsidR="00AB5DF0" w:rsidRDefault="00AB5DF0" w:rsidP="0063452C">
      <w:pPr>
        <w:jc w:val="both"/>
        <w:rPr>
          <w:rFonts w:asciiTheme="minorHAnsi" w:hAnsiTheme="minorHAnsi" w:cstheme="minorHAnsi"/>
          <w:bCs/>
          <w:iCs/>
        </w:rPr>
      </w:pPr>
      <w:r w:rsidRPr="00AB5DF0">
        <w:rPr>
          <w:rFonts w:asciiTheme="minorHAnsi" w:hAnsiTheme="minorHAnsi" w:cstheme="minorHAnsi"/>
        </w:rPr>
        <w:t xml:space="preserve">Dle ustanovení § 2 odst. 3 vyhlášky č. 323/2002 Sb. </w:t>
      </w:r>
      <w:r w:rsidR="00DA5790">
        <w:rPr>
          <w:rFonts w:asciiTheme="minorHAnsi" w:hAnsiTheme="minorHAnsi" w:cstheme="minorHAnsi"/>
        </w:rPr>
        <w:t>má</w:t>
      </w:r>
      <w:r w:rsidRPr="00AB5DF0">
        <w:rPr>
          <w:rFonts w:asciiTheme="minorHAnsi" w:hAnsiTheme="minorHAnsi" w:cstheme="minorHAnsi"/>
        </w:rPr>
        <w:t xml:space="preserve"> být při zatřídění výdajů zvolen paragraf rozpočtové skladby, který nejlépe odpovídá druhu činnosti, na kterou se výdaje vynakládají, nebo podle zaměření právního subjektu, jemuž se finanční prostředky za účelem podpory poskytují.</w:t>
      </w:r>
    </w:p>
    <w:p w14:paraId="31B4AFFE" w14:textId="71AED7AF" w:rsidR="00774E76" w:rsidRPr="00AB5DF0" w:rsidRDefault="00AB5DF0" w:rsidP="0063452C">
      <w:pPr>
        <w:jc w:val="both"/>
        <w:rPr>
          <w:b/>
        </w:rPr>
      </w:pPr>
      <w:r w:rsidRPr="00AB5DF0">
        <w:rPr>
          <w:rFonts w:asciiTheme="minorHAnsi" w:hAnsiTheme="minorHAnsi" w:cstheme="minorHAnsi"/>
          <w:bCs/>
          <w:iCs/>
        </w:rPr>
        <w:lastRenderedPageBreak/>
        <w:t>MPO v roce 2020 v rámci OP PIK realizovalo projekty prioritní osy 5</w:t>
      </w:r>
      <w:r w:rsidR="00302C43">
        <w:rPr>
          <w:rFonts w:asciiTheme="minorHAnsi" w:hAnsiTheme="minorHAnsi" w:cstheme="minorHAnsi"/>
          <w:bCs/>
          <w:iCs/>
        </w:rPr>
        <w:t xml:space="preserve"> </w:t>
      </w:r>
      <w:r w:rsidR="00302C43" w:rsidRPr="001A6252">
        <w:rPr>
          <w:rFonts w:asciiTheme="minorHAnsi" w:hAnsiTheme="minorHAnsi" w:cstheme="minorHAnsi"/>
        </w:rPr>
        <w:t>–</w:t>
      </w:r>
      <w:r w:rsidRPr="00AB5DF0">
        <w:rPr>
          <w:rFonts w:asciiTheme="minorHAnsi" w:hAnsiTheme="minorHAnsi" w:cstheme="minorHAnsi"/>
          <w:bCs/>
          <w:iCs/>
        </w:rPr>
        <w:t xml:space="preserve"> </w:t>
      </w:r>
      <w:r w:rsidRPr="00BF36FD">
        <w:rPr>
          <w:rFonts w:asciiTheme="minorHAnsi" w:hAnsiTheme="minorHAnsi" w:cstheme="minorHAnsi"/>
          <w:bCs/>
          <w:i/>
          <w:iCs/>
        </w:rPr>
        <w:t>Technická pomoc</w:t>
      </w:r>
      <w:r>
        <w:rPr>
          <w:rFonts w:asciiTheme="minorHAnsi" w:hAnsiTheme="minorHAnsi" w:cstheme="minorHAnsi"/>
          <w:bCs/>
          <w:iCs/>
        </w:rPr>
        <w:t xml:space="preserve"> a tedy projekty, které MPO </w:t>
      </w:r>
      <w:r w:rsidR="00931F13">
        <w:rPr>
          <w:rFonts w:asciiTheme="minorHAnsi" w:hAnsiTheme="minorHAnsi" w:cstheme="minorHAnsi"/>
          <w:bCs/>
          <w:iCs/>
        </w:rPr>
        <w:t>jako řídicí orgán OP PIK</w:t>
      </w:r>
      <w:r w:rsidR="00931F13">
        <w:rPr>
          <w:rStyle w:val="Znakapoznpodarou"/>
          <w:rFonts w:asciiTheme="minorHAnsi" w:hAnsiTheme="minorHAnsi" w:cstheme="minorHAnsi"/>
          <w:bCs/>
          <w:iCs/>
        </w:rPr>
        <w:footnoteReference w:id="50"/>
      </w:r>
      <w:r w:rsidR="00931F13">
        <w:rPr>
          <w:rFonts w:asciiTheme="minorHAnsi" w:hAnsiTheme="minorHAnsi" w:cstheme="minorHAnsi"/>
          <w:bCs/>
          <w:iCs/>
        </w:rPr>
        <w:t xml:space="preserve"> </w:t>
      </w:r>
      <w:r>
        <w:rPr>
          <w:rFonts w:asciiTheme="minorHAnsi" w:hAnsiTheme="minorHAnsi" w:cstheme="minorHAnsi"/>
          <w:bCs/>
          <w:iCs/>
        </w:rPr>
        <w:t>realizovalo v souvislosti s</w:t>
      </w:r>
      <w:r w:rsidR="00931F13">
        <w:rPr>
          <w:rFonts w:asciiTheme="minorHAnsi" w:hAnsiTheme="minorHAnsi" w:cstheme="minorHAnsi"/>
          <w:bCs/>
          <w:iCs/>
        </w:rPr>
        <w:t>e zajištěním řízení a</w:t>
      </w:r>
      <w:r w:rsidR="0062220D">
        <w:rPr>
          <w:rFonts w:asciiTheme="minorHAnsi" w:hAnsiTheme="minorHAnsi" w:cstheme="minorHAnsi"/>
          <w:bCs/>
          <w:iCs/>
        </w:rPr>
        <w:t> </w:t>
      </w:r>
      <w:r w:rsidR="00931F13">
        <w:rPr>
          <w:rFonts w:asciiTheme="minorHAnsi" w:hAnsiTheme="minorHAnsi" w:cstheme="minorHAnsi"/>
          <w:bCs/>
          <w:iCs/>
        </w:rPr>
        <w:t xml:space="preserve">administrace tohoto operačního programu. Jednalo se tedy o výdaje na činnost, kterou vykonává MPO </w:t>
      </w:r>
      <w:r w:rsidR="00931F13" w:rsidRPr="00931F13">
        <w:rPr>
          <w:rFonts w:asciiTheme="minorHAnsi" w:hAnsiTheme="minorHAnsi" w:cstheme="minorHAnsi"/>
          <w:bCs/>
          <w:iCs/>
        </w:rPr>
        <w:t>na základě ustanovení § 21 zákona č. 2/1969 Sb.</w:t>
      </w:r>
      <w:r w:rsidR="00931F13">
        <w:rPr>
          <w:rFonts w:asciiTheme="minorHAnsi" w:hAnsiTheme="minorHAnsi" w:cstheme="minorHAnsi"/>
          <w:bCs/>
          <w:iCs/>
        </w:rPr>
        <w:t xml:space="preserve">, a tedy o výdaje plynoucí z činnosti </w:t>
      </w:r>
      <w:r w:rsidR="00B57013">
        <w:rPr>
          <w:rFonts w:asciiTheme="minorHAnsi" w:hAnsiTheme="minorHAnsi" w:cstheme="minorHAnsi"/>
          <w:bCs/>
          <w:iCs/>
        </w:rPr>
        <w:t xml:space="preserve">státní správy, které se v případě MPO zatřiďují na paragraf </w:t>
      </w:r>
      <w:r w:rsidR="00B57013" w:rsidRPr="001A6252">
        <w:rPr>
          <w:rFonts w:asciiTheme="minorHAnsi" w:hAnsiTheme="minorHAnsi" w:cstheme="minorHAnsi"/>
        </w:rPr>
        <w:t>2161 –</w:t>
      </w:r>
      <w:r w:rsidR="00B57013" w:rsidRPr="00E769F5">
        <w:rPr>
          <w:rFonts w:asciiTheme="minorHAnsi" w:hAnsiTheme="minorHAnsi" w:cstheme="minorHAnsi"/>
          <w:i/>
        </w:rPr>
        <w:t xml:space="preserve"> Činnost ústředního orgánu státní správy v odvětví energetiky, průmyslu, stavebnictví, obchodu a služeb</w:t>
      </w:r>
      <w:r w:rsidR="00B57013" w:rsidRPr="00E769F5">
        <w:rPr>
          <w:rFonts w:asciiTheme="minorHAnsi" w:hAnsiTheme="minorHAnsi" w:cstheme="minorHAnsi"/>
        </w:rPr>
        <w:t>.</w:t>
      </w:r>
    </w:p>
    <w:p w14:paraId="082035ED" w14:textId="2A4E3F33" w:rsidR="00AA18A7" w:rsidRDefault="00AA18A7" w:rsidP="0063452C">
      <w:pPr>
        <w:jc w:val="both"/>
        <w:rPr>
          <w:rFonts w:cs="Calibri"/>
        </w:rPr>
      </w:pPr>
      <w:r w:rsidRPr="00AA18A7">
        <w:rPr>
          <w:rFonts w:cs="Calibri"/>
        </w:rPr>
        <w:t>MPO dále v roce 2020 v rámci OP PIK poskytovalo peněžní prostředky na projekty, které realizoval</w:t>
      </w:r>
      <w:r w:rsidR="00831FC3">
        <w:rPr>
          <w:rFonts w:cs="Calibri"/>
        </w:rPr>
        <w:t xml:space="preserve"> příjemce</w:t>
      </w:r>
      <w:r>
        <w:rPr>
          <w:rFonts w:cs="Calibri"/>
        </w:rPr>
        <w:t>, je</w:t>
      </w:r>
      <w:r w:rsidR="00831FC3">
        <w:rPr>
          <w:rFonts w:cs="Calibri"/>
        </w:rPr>
        <w:t>hož</w:t>
      </w:r>
      <w:r>
        <w:rPr>
          <w:rFonts w:cs="Calibri"/>
        </w:rPr>
        <w:t xml:space="preserve"> předmětem podnikání je přenos elektřiny</w:t>
      </w:r>
      <w:r w:rsidR="00831FC3">
        <w:rPr>
          <w:rFonts w:cs="Calibri"/>
        </w:rPr>
        <w:t xml:space="preserve"> a který</w:t>
      </w:r>
      <w:r w:rsidR="00EF284B">
        <w:rPr>
          <w:rFonts w:cs="Calibri"/>
        </w:rPr>
        <w:t xml:space="preserve"> působí na území ČR</w:t>
      </w:r>
      <w:r>
        <w:rPr>
          <w:rFonts w:cs="Calibri"/>
        </w:rPr>
        <w:t xml:space="preserve"> jako výhradní provozovatel přenosové soustavy</w:t>
      </w:r>
      <w:r w:rsidR="00831FC3">
        <w:rPr>
          <w:rFonts w:cs="Calibri"/>
        </w:rPr>
        <w:t>. Z vydaných rozhodnutí o poskytnutí dotace vyplývaly indikátory, které měly být naplněny, a to délka rekonstruovaných či modernizovaných vedení, délka nově vybudovaných vedení a počet rekonstruovaných či zmodernizovaných polí v rozvodnách. MPO tak v uvedených případech vynakládalo peněžní prostředky do odvětví energetiky a související výdaje mělo zatřídit na paragraf</w:t>
      </w:r>
      <w:r w:rsidR="0062220D">
        <w:rPr>
          <w:rFonts w:cs="Calibri"/>
        </w:rPr>
        <w:br/>
      </w:r>
      <w:r w:rsidR="00831FC3">
        <w:rPr>
          <w:rFonts w:cs="Calibri"/>
        </w:rPr>
        <w:t xml:space="preserve">2117 – </w:t>
      </w:r>
      <w:r w:rsidR="00831FC3" w:rsidRPr="00831FC3">
        <w:rPr>
          <w:rFonts w:cs="Calibri"/>
          <w:i/>
        </w:rPr>
        <w:t>Elektrická energie</w:t>
      </w:r>
      <w:r w:rsidR="00831FC3">
        <w:rPr>
          <w:rFonts w:cs="Calibri"/>
        </w:rPr>
        <w:t>.</w:t>
      </w:r>
    </w:p>
    <w:p w14:paraId="58A5A0C7" w14:textId="2C2D6043" w:rsidR="00831FC3" w:rsidRPr="00831FC3" w:rsidRDefault="00831FC3" w:rsidP="0063452C">
      <w:pPr>
        <w:jc w:val="both"/>
        <w:rPr>
          <w:rFonts w:eastAsia="Calibri"/>
          <w:szCs w:val="22"/>
        </w:rPr>
      </w:pPr>
      <w:r w:rsidRPr="00831FC3">
        <w:rPr>
          <w:rFonts w:eastAsia="Calibri"/>
          <w:szCs w:val="22"/>
        </w:rPr>
        <w:t>Ministerstvem zvolený paragraf 2124 je začleněn v pododdílu 212</w:t>
      </w:r>
      <w:r w:rsidR="0062220D">
        <w:rPr>
          <w:rFonts w:eastAsia="Calibri"/>
          <w:szCs w:val="22"/>
        </w:rPr>
        <w:t> </w:t>
      </w:r>
      <w:r w:rsidRPr="00831FC3">
        <w:rPr>
          <w:rFonts w:eastAsia="Calibri"/>
          <w:szCs w:val="22"/>
        </w:rPr>
        <w:t>–</w:t>
      </w:r>
      <w:r w:rsidR="0062220D">
        <w:rPr>
          <w:rFonts w:eastAsia="Calibri"/>
          <w:szCs w:val="22"/>
        </w:rPr>
        <w:t> </w:t>
      </w:r>
      <w:r w:rsidR="00256578">
        <w:rPr>
          <w:rFonts w:eastAsia="Calibri"/>
          <w:i/>
          <w:szCs w:val="22"/>
        </w:rPr>
        <w:t>Ostatní odvětvové a </w:t>
      </w:r>
      <w:r w:rsidRPr="00831FC3">
        <w:rPr>
          <w:rFonts w:eastAsia="Calibri"/>
          <w:i/>
          <w:szCs w:val="22"/>
        </w:rPr>
        <w:t>oborové záležitosti v průmyslu a stavebnictví</w:t>
      </w:r>
      <w:r w:rsidRPr="00831FC3">
        <w:rPr>
          <w:rFonts w:eastAsia="Calibri"/>
          <w:szCs w:val="22"/>
        </w:rPr>
        <w:t xml:space="preserve"> a měl by tedy, v souladu s principy rozpočtové skladby, zahrnovat pouze takové výdaje, které nelze v rámci oddílu 21 – </w:t>
      </w:r>
      <w:r w:rsidRPr="00831FC3">
        <w:rPr>
          <w:rFonts w:eastAsia="Calibri"/>
          <w:i/>
          <w:szCs w:val="22"/>
        </w:rPr>
        <w:t>Průmysl, stavebnictví, obchod a služby</w:t>
      </w:r>
      <w:r w:rsidRPr="00831FC3">
        <w:rPr>
          <w:rFonts w:eastAsia="Calibri"/>
          <w:szCs w:val="22"/>
        </w:rPr>
        <w:t xml:space="preserve"> sp</w:t>
      </w:r>
      <w:r w:rsidR="00E73779" w:rsidRPr="00E73779">
        <w:rPr>
          <w:rFonts w:eastAsia="Calibri"/>
          <w:szCs w:val="22"/>
        </w:rPr>
        <w:t>ecifikovat blíže</w:t>
      </w:r>
      <w:r w:rsidRPr="00831FC3">
        <w:rPr>
          <w:rFonts w:eastAsia="Calibri"/>
          <w:szCs w:val="22"/>
        </w:rPr>
        <w:t>.</w:t>
      </w:r>
    </w:p>
    <w:p w14:paraId="6515DD83" w14:textId="77777777" w:rsidR="00831FC3" w:rsidRPr="00831FC3" w:rsidRDefault="00E73779" w:rsidP="0063452C">
      <w:pPr>
        <w:jc w:val="both"/>
        <w:rPr>
          <w:rFonts w:eastAsia="Calibri"/>
          <w:szCs w:val="22"/>
        </w:rPr>
      </w:pPr>
      <w:r w:rsidRPr="00E73779">
        <w:rPr>
          <w:rFonts w:eastAsia="Calibri"/>
          <w:szCs w:val="22"/>
        </w:rPr>
        <w:t>MPO se nemůže rozhodovat</w:t>
      </w:r>
      <w:r w:rsidR="00831FC3" w:rsidRPr="00831FC3">
        <w:rPr>
          <w:rFonts w:eastAsia="Calibri"/>
          <w:szCs w:val="22"/>
        </w:rPr>
        <w:t xml:space="preserve"> při volbě odvětví, do kterého výdaje plynou, na základě zaměření daného operačního programu</w:t>
      </w:r>
      <w:r w:rsidRPr="00E73779">
        <w:rPr>
          <w:rFonts w:eastAsia="Calibri"/>
          <w:szCs w:val="22"/>
        </w:rPr>
        <w:t>, neboť takový přístup by vedl k tomu</w:t>
      </w:r>
      <w:r w:rsidR="00831FC3" w:rsidRPr="00831FC3">
        <w:rPr>
          <w:rFonts w:eastAsia="Calibri"/>
          <w:szCs w:val="22"/>
        </w:rPr>
        <w:t>, že většina výdajů souvisejících s daným operačním programem by byla vykazována pouze pod jedním paragrafem rozpočtové skladby</w:t>
      </w:r>
      <w:r w:rsidR="00B92D9A">
        <w:rPr>
          <w:rFonts w:eastAsia="Calibri"/>
          <w:szCs w:val="22"/>
        </w:rPr>
        <w:t xml:space="preserve"> (v tomto případě pod paragrafem </w:t>
      </w:r>
      <w:r w:rsidR="00B92D9A" w:rsidRPr="00B92D9A">
        <w:rPr>
          <w:rFonts w:eastAsia="Calibri"/>
          <w:szCs w:val="22"/>
        </w:rPr>
        <w:t xml:space="preserve">2124 – </w:t>
      </w:r>
      <w:r w:rsidR="00B92D9A" w:rsidRPr="00B92D9A">
        <w:rPr>
          <w:rFonts w:eastAsia="Calibri"/>
          <w:i/>
          <w:szCs w:val="22"/>
        </w:rPr>
        <w:t>Opatření ke zvýšení konkurenceschopnosti průmyslových odvětví</w:t>
      </w:r>
      <w:r w:rsidR="00B92D9A">
        <w:rPr>
          <w:rFonts w:eastAsia="Calibri"/>
          <w:szCs w:val="22"/>
        </w:rPr>
        <w:t xml:space="preserve">) </w:t>
      </w:r>
      <w:r w:rsidRPr="00E73779">
        <w:rPr>
          <w:rFonts w:eastAsia="Calibri"/>
          <w:szCs w:val="22"/>
        </w:rPr>
        <w:t>a</w:t>
      </w:r>
      <w:r w:rsidR="00831FC3" w:rsidRPr="00831FC3">
        <w:rPr>
          <w:rFonts w:eastAsia="Calibri"/>
          <w:szCs w:val="22"/>
        </w:rPr>
        <w:t xml:space="preserve"> odvětvové třídění rozpočtové skladby by poskytovalo značně omezené informace o tom, do jakého konkrétního odvětví byly finanční prostředky</w:t>
      </w:r>
      <w:r w:rsidRPr="00E73779">
        <w:rPr>
          <w:rFonts w:eastAsia="Calibri"/>
          <w:szCs w:val="22"/>
        </w:rPr>
        <w:t xml:space="preserve"> skutečně</w:t>
      </w:r>
      <w:r w:rsidR="00831FC3" w:rsidRPr="00831FC3">
        <w:rPr>
          <w:rFonts w:eastAsia="Calibri"/>
          <w:szCs w:val="22"/>
        </w:rPr>
        <w:t xml:space="preserve"> vynakládány. </w:t>
      </w:r>
      <w:r w:rsidRPr="00E73779">
        <w:rPr>
          <w:rFonts w:eastAsia="Calibri"/>
          <w:szCs w:val="22"/>
        </w:rPr>
        <w:t>Současně</w:t>
      </w:r>
      <w:r w:rsidR="00831FC3" w:rsidRPr="00831FC3">
        <w:rPr>
          <w:rFonts w:eastAsia="Calibri"/>
          <w:szCs w:val="22"/>
        </w:rPr>
        <w:t xml:space="preserve"> by se jednalo o duplicitní vykazování informací v rozpočtové skladbě, neboť pro vykazování výdajů dle oper</w:t>
      </w:r>
      <w:r w:rsidR="00256578">
        <w:rPr>
          <w:rFonts w:eastAsia="Calibri"/>
          <w:szCs w:val="22"/>
        </w:rPr>
        <w:t>ačních programů je vyhláškou č. </w:t>
      </w:r>
      <w:r w:rsidR="00831FC3" w:rsidRPr="00831FC3">
        <w:rPr>
          <w:rFonts w:eastAsia="Calibri"/>
          <w:szCs w:val="22"/>
        </w:rPr>
        <w:t xml:space="preserve">323/2002 Sb. určeno jiné hledisko třídění, a to nástrojové třídění, které třídí výdaje z hlediska původu jejich zdroje.  </w:t>
      </w:r>
    </w:p>
    <w:p w14:paraId="12DFE806" w14:textId="6D8FB52D" w:rsidR="00831FC3" w:rsidRDefault="00E73779" w:rsidP="0063452C">
      <w:pPr>
        <w:jc w:val="both"/>
        <w:rPr>
          <w:rFonts w:eastAsia="Calibri"/>
          <w:szCs w:val="22"/>
        </w:rPr>
      </w:pPr>
      <w:r w:rsidRPr="00E73779">
        <w:rPr>
          <w:rFonts w:eastAsia="Calibri"/>
          <w:szCs w:val="22"/>
        </w:rPr>
        <w:t xml:space="preserve">NKÚ </w:t>
      </w:r>
      <w:r w:rsidR="00831FC3" w:rsidRPr="00831FC3">
        <w:rPr>
          <w:rFonts w:eastAsia="Calibri"/>
          <w:szCs w:val="22"/>
        </w:rPr>
        <w:t>je toho názoru, že paragraf 2124 je ve vyhlášce č. 323/2002 Sb. uveden nesystémově</w:t>
      </w:r>
      <w:r w:rsidRPr="00E73779">
        <w:rPr>
          <w:rFonts w:eastAsia="Calibri"/>
          <w:szCs w:val="22"/>
        </w:rPr>
        <w:t xml:space="preserve">, neboť </w:t>
      </w:r>
      <w:r w:rsidR="00831FC3" w:rsidRPr="00831FC3">
        <w:rPr>
          <w:rFonts w:eastAsia="Calibri"/>
          <w:szCs w:val="22"/>
        </w:rPr>
        <w:t xml:space="preserve">nepředstavuje samotné odvětví ve smyslu </w:t>
      </w:r>
      <w:r w:rsidR="00256578">
        <w:rPr>
          <w:rFonts w:eastAsia="Calibri"/>
          <w:szCs w:val="22"/>
        </w:rPr>
        <w:t xml:space="preserve">ustanovení </w:t>
      </w:r>
      <w:r w:rsidR="00831FC3" w:rsidRPr="00831FC3">
        <w:rPr>
          <w:rFonts w:eastAsia="Calibri"/>
          <w:szCs w:val="22"/>
        </w:rPr>
        <w:t xml:space="preserve">§ 2 odst. 3 </w:t>
      </w:r>
      <w:r w:rsidR="003A61A5">
        <w:rPr>
          <w:rFonts w:eastAsia="Calibri"/>
          <w:szCs w:val="22"/>
        </w:rPr>
        <w:t>této vyhlášky</w:t>
      </w:r>
      <w:r w:rsidR="00831FC3" w:rsidRPr="00831FC3">
        <w:rPr>
          <w:rFonts w:eastAsia="Calibri"/>
          <w:szCs w:val="22"/>
        </w:rPr>
        <w:t>, do kterého by měly výdaje plynout, ale jde spíše o vyjádření obecného účelu, za jakým jsou peněžní prostředky vynakládány, tj. za účelem zvýšení konkurenceschopnosti.</w:t>
      </w:r>
    </w:p>
    <w:p w14:paraId="299E4427" w14:textId="77777777" w:rsidR="00EB57EB" w:rsidRDefault="00EB57EB" w:rsidP="0063452C">
      <w:pPr>
        <w:jc w:val="both"/>
        <w:rPr>
          <w:rFonts w:ascii="Times New Roman" w:hAnsi="Times New Roman"/>
          <w:lang w:eastAsia="cs-CZ"/>
        </w:rPr>
      </w:pPr>
      <w:r>
        <w:rPr>
          <w:rFonts w:cs="Calibri"/>
        </w:rPr>
        <w:t>Pro posouzení významnosti zjištěných nesprávností v údajích předkládaných MPO pro hodnocení plnění státního rozpočtu byla stanovena významnost ve výši 1,2 mld. Kč</w:t>
      </w:r>
      <w:r>
        <w:rPr>
          <w:rStyle w:val="Znakapoznpodarou"/>
        </w:rPr>
        <w:footnoteReference w:id="51"/>
      </w:r>
      <w:r>
        <w:rPr>
          <w:rFonts w:cs="Calibri"/>
        </w:rPr>
        <w:t>.</w:t>
      </w:r>
      <w:r>
        <w:rPr>
          <w:rFonts w:ascii="Times New Roman" w:hAnsi="Times New Roman"/>
          <w:lang w:eastAsia="cs-CZ"/>
        </w:rPr>
        <w:t xml:space="preserve"> </w:t>
      </w:r>
    </w:p>
    <w:p w14:paraId="2C43774F" w14:textId="77777777" w:rsidR="00243A47" w:rsidRPr="00243A47" w:rsidRDefault="00243A47" w:rsidP="0063452C">
      <w:pPr>
        <w:jc w:val="both"/>
        <w:rPr>
          <w:rFonts w:cs="Calibri"/>
          <w:b/>
        </w:rPr>
      </w:pPr>
      <w:r w:rsidRPr="00243A47">
        <w:rPr>
          <w:rFonts w:cs="Calibri"/>
          <w:b/>
        </w:rPr>
        <w:t>NKÚ nezjistil žádné skutečnosti svědčící o tom, že údaje předkládané Ministerstvem průmyslu a obchodu pro hodnocení plnění státního rozpočtu za rok 2020 by nebyly tříděny ve všech významných ohledech v souladu s vyhláškou č. 323/2002 Sb.</w:t>
      </w:r>
      <w:r w:rsidRPr="00243A47">
        <w:rPr>
          <w:rStyle w:val="Znakapoznpodarou"/>
          <w:rFonts w:cs="Calibri"/>
          <w:b/>
        </w:rPr>
        <w:footnoteReference w:id="52"/>
      </w:r>
      <w:r w:rsidRPr="00243A47">
        <w:rPr>
          <w:rFonts w:cs="Calibri"/>
          <w:b/>
        </w:rPr>
        <w:t>.</w:t>
      </w:r>
    </w:p>
    <w:p w14:paraId="723B8AC6" w14:textId="77777777" w:rsidR="00243A47" w:rsidRPr="00243A47" w:rsidRDefault="00243A47" w:rsidP="0063452C">
      <w:pPr>
        <w:jc w:val="both"/>
        <w:rPr>
          <w:rFonts w:cs="Calibri"/>
          <w:b/>
        </w:rPr>
      </w:pPr>
      <w:r w:rsidRPr="00243A47">
        <w:rPr>
          <w:rFonts w:eastAsia="Calibri"/>
          <w:b/>
          <w:szCs w:val="22"/>
        </w:rPr>
        <w:lastRenderedPageBreak/>
        <w:t>NKÚ doporučuje v</w:t>
      </w:r>
      <w:r w:rsidR="004007A1">
        <w:rPr>
          <w:rFonts w:eastAsia="Calibri"/>
          <w:b/>
          <w:szCs w:val="22"/>
        </w:rPr>
        <w:t xml:space="preserve"> tomto </w:t>
      </w:r>
      <w:r w:rsidRPr="00243A47">
        <w:rPr>
          <w:rFonts w:eastAsia="Calibri"/>
          <w:b/>
          <w:szCs w:val="22"/>
        </w:rPr>
        <w:t xml:space="preserve">právním předpisu </w:t>
      </w:r>
      <w:r>
        <w:rPr>
          <w:rFonts w:eastAsia="Calibri"/>
          <w:b/>
          <w:szCs w:val="22"/>
        </w:rPr>
        <w:t>e</w:t>
      </w:r>
      <w:r w:rsidRPr="00243A47">
        <w:rPr>
          <w:rFonts w:eastAsia="Calibri"/>
          <w:b/>
          <w:szCs w:val="22"/>
        </w:rPr>
        <w:t xml:space="preserve">liminovat případy paragrafů, které svým názvem vyjadřují účel vynaložení výdaje namísto odvětví, do kterého </w:t>
      </w:r>
      <w:r w:rsidR="004007A1">
        <w:rPr>
          <w:rFonts w:eastAsia="Calibri"/>
          <w:b/>
          <w:szCs w:val="22"/>
        </w:rPr>
        <w:t>byly</w:t>
      </w:r>
      <w:r w:rsidRPr="00243A47">
        <w:rPr>
          <w:rFonts w:eastAsia="Calibri"/>
          <w:b/>
          <w:szCs w:val="22"/>
        </w:rPr>
        <w:t xml:space="preserve"> výdaje vynalož</w:t>
      </w:r>
      <w:r w:rsidR="004007A1">
        <w:rPr>
          <w:rFonts w:eastAsia="Calibri"/>
          <w:b/>
          <w:szCs w:val="22"/>
        </w:rPr>
        <w:t>eny</w:t>
      </w:r>
      <w:r w:rsidRPr="00243A47">
        <w:rPr>
          <w:rFonts w:eastAsia="Calibri"/>
          <w:b/>
          <w:szCs w:val="22"/>
        </w:rPr>
        <w:t xml:space="preserve">. </w:t>
      </w:r>
    </w:p>
    <w:p w14:paraId="0F01F6DA" w14:textId="0099A7AA" w:rsidR="00141B7D" w:rsidRDefault="006750E2" w:rsidP="001529C4">
      <w:pPr>
        <w:pStyle w:val="Nadpis2"/>
        <w:keepNext/>
        <w:numPr>
          <w:ilvl w:val="0"/>
          <w:numId w:val="0"/>
        </w:numPr>
        <w:spacing w:after="120" w:line="240" w:lineRule="auto"/>
        <w:contextualSpacing w:val="0"/>
        <w:jc w:val="left"/>
        <w:rPr>
          <w:rFonts w:ascii="Calibri" w:hAnsi="Calibri" w:cs="Calibri"/>
          <w:lang w:eastAsia="cs-CZ"/>
        </w:rPr>
      </w:pPr>
      <w:r>
        <w:rPr>
          <w:rFonts w:ascii="Calibri" w:hAnsi="Calibri" w:cs="Calibri"/>
          <w:lang w:eastAsia="cs-CZ"/>
        </w:rPr>
        <w:t xml:space="preserve">4. </w:t>
      </w:r>
      <w:r w:rsidR="00BC6074" w:rsidRPr="00BC6074">
        <w:rPr>
          <w:rFonts w:ascii="Calibri" w:hAnsi="Calibri" w:cs="Calibri"/>
          <w:lang w:eastAsia="cs-CZ"/>
        </w:rPr>
        <w:t>Závěrečný účet kapitoly 322</w:t>
      </w:r>
      <w:r w:rsidR="00302C43">
        <w:rPr>
          <w:rFonts w:ascii="Calibri" w:hAnsi="Calibri" w:cs="Calibri"/>
          <w:lang w:eastAsia="cs-CZ"/>
        </w:rPr>
        <w:t xml:space="preserve"> –</w:t>
      </w:r>
      <w:r w:rsidR="00BC6074" w:rsidRPr="00BC6074">
        <w:rPr>
          <w:rFonts w:ascii="Calibri" w:hAnsi="Calibri" w:cs="Calibri"/>
          <w:lang w:eastAsia="cs-CZ"/>
        </w:rPr>
        <w:t xml:space="preserve"> </w:t>
      </w:r>
      <w:r w:rsidR="00BC6074" w:rsidRPr="003A61A5">
        <w:rPr>
          <w:rFonts w:ascii="Calibri" w:hAnsi="Calibri" w:cs="Calibri"/>
          <w:i/>
          <w:lang w:eastAsia="cs-CZ"/>
        </w:rPr>
        <w:t>M</w:t>
      </w:r>
      <w:r w:rsidR="003A61A5" w:rsidRPr="003A61A5">
        <w:rPr>
          <w:rFonts w:ascii="Calibri" w:hAnsi="Calibri" w:cs="Calibri"/>
          <w:i/>
          <w:lang w:eastAsia="cs-CZ"/>
        </w:rPr>
        <w:t>inisterstvo průmyslu a obchodu</w:t>
      </w:r>
      <w:r w:rsidR="00BC6074" w:rsidRPr="003A61A5">
        <w:rPr>
          <w:rFonts w:ascii="Calibri" w:hAnsi="Calibri" w:cs="Calibri"/>
          <w:i/>
          <w:lang w:eastAsia="cs-CZ"/>
        </w:rPr>
        <w:t xml:space="preserve"> </w:t>
      </w:r>
      <w:r w:rsidR="00BC6074" w:rsidRPr="00BC6074">
        <w:rPr>
          <w:rFonts w:ascii="Calibri" w:hAnsi="Calibri" w:cs="Calibri"/>
          <w:lang w:eastAsia="cs-CZ"/>
        </w:rPr>
        <w:t xml:space="preserve">za </w:t>
      </w:r>
      <w:r w:rsidR="00BC6074" w:rsidRPr="009E32D1">
        <w:rPr>
          <w:rFonts w:ascii="Calibri" w:hAnsi="Calibri" w:cs="Calibri"/>
          <w:lang w:eastAsia="cs-CZ"/>
        </w:rPr>
        <w:t>rok 2020</w:t>
      </w:r>
    </w:p>
    <w:p w14:paraId="5967C955" w14:textId="77777777" w:rsidR="009E32D1" w:rsidRPr="003A523F" w:rsidRDefault="006750E2" w:rsidP="001529C4">
      <w:pPr>
        <w:keepNext/>
        <w:jc w:val="both"/>
        <w:rPr>
          <w:rFonts w:cs="Calibri"/>
          <w:b/>
          <w:lang w:eastAsia="cs-CZ"/>
        </w:rPr>
      </w:pPr>
      <w:r w:rsidRPr="003A523F">
        <w:rPr>
          <w:rFonts w:cs="Calibri"/>
          <w:b/>
          <w:lang w:eastAsia="cs-CZ"/>
        </w:rPr>
        <w:t xml:space="preserve">4.1 </w:t>
      </w:r>
      <w:r w:rsidR="009E32D1" w:rsidRPr="003A523F">
        <w:rPr>
          <w:rFonts w:cs="Calibri"/>
          <w:b/>
          <w:lang w:eastAsia="cs-CZ"/>
        </w:rPr>
        <w:t>Kontrola závěrečného účtu na soulad s právními předpisy</w:t>
      </w:r>
    </w:p>
    <w:p w14:paraId="7DA3AE4C" w14:textId="6C9D331F" w:rsidR="00105C43" w:rsidRDefault="00A640AE" w:rsidP="00A829E9">
      <w:pPr>
        <w:jc w:val="both"/>
        <w:rPr>
          <w:rFonts w:cs="Calibri"/>
          <w:lang w:eastAsia="cs-CZ"/>
        </w:rPr>
      </w:pPr>
      <w:r w:rsidRPr="00105C43">
        <w:rPr>
          <w:rFonts w:cs="Calibri"/>
          <w:lang w:eastAsia="cs-CZ"/>
        </w:rPr>
        <w:t xml:space="preserve">Při kontrole </w:t>
      </w:r>
      <w:r w:rsidR="003A61A5">
        <w:rPr>
          <w:rFonts w:cs="Calibri"/>
          <w:lang w:eastAsia="cs-CZ"/>
        </w:rPr>
        <w:t>ZÚ</w:t>
      </w:r>
      <w:r w:rsidRPr="00105C43">
        <w:rPr>
          <w:rFonts w:cs="Calibri"/>
          <w:lang w:eastAsia="cs-CZ"/>
        </w:rPr>
        <w:t xml:space="preserve"> </w:t>
      </w:r>
      <w:r w:rsidR="00105C43" w:rsidRPr="00105C43">
        <w:rPr>
          <w:rFonts w:cs="Calibri"/>
          <w:lang w:eastAsia="cs-CZ"/>
        </w:rPr>
        <w:t>2020</w:t>
      </w:r>
      <w:r w:rsidRPr="00105C43">
        <w:rPr>
          <w:rFonts w:cs="Calibri"/>
          <w:lang w:eastAsia="cs-CZ"/>
        </w:rPr>
        <w:t xml:space="preserve"> byl</w:t>
      </w:r>
      <w:r w:rsidR="00105C43" w:rsidRPr="00105C43">
        <w:rPr>
          <w:rFonts w:cs="Calibri"/>
          <w:lang w:eastAsia="cs-CZ"/>
        </w:rPr>
        <w:t>o zjištěno, že MPO v průvodní zprávě a tabulkových přílohách stanovených vyhláškou č. 419/2001 Sb. neuvedlo některé skutečnosti správně a v případě zálohových plateb neuvedlo informace v souladu s</w:t>
      </w:r>
      <w:r w:rsidR="003A61A5">
        <w:rPr>
          <w:rFonts w:cs="Calibri"/>
          <w:lang w:eastAsia="cs-CZ"/>
        </w:rPr>
        <w:t xml:space="preserve"> touto</w:t>
      </w:r>
      <w:r w:rsidR="00105C43" w:rsidRPr="00105C43">
        <w:rPr>
          <w:rFonts w:cs="Calibri"/>
          <w:lang w:eastAsia="cs-CZ"/>
        </w:rPr>
        <w:t xml:space="preserve"> vyhláškou. Nesprávnosti v</w:t>
      </w:r>
      <w:r w:rsidR="003A61A5">
        <w:rPr>
          <w:rFonts w:cs="Calibri"/>
          <w:lang w:eastAsia="cs-CZ"/>
        </w:rPr>
        <w:t> ZÚ 2020</w:t>
      </w:r>
      <w:r w:rsidR="00105C43" w:rsidRPr="00105C43">
        <w:rPr>
          <w:rFonts w:cs="Calibri"/>
          <w:lang w:eastAsia="cs-CZ"/>
        </w:rPr>
        <w:t xml:space="preserve"> se vyskytovaly zejména v části týkající se zhodnocení rozpočtu výdajů </w:t>
      </w:r>
      <w:r w:rsidR="00927ABA">
        <w:rPr>
          <w:rFonts w:cs="Calibri"/>
          <w:lang w:eastAsia="cs-CZ"/>
        </w:rPr>
        <w:t>OSS</w:t>
      </w:r>
      <w:r w:rsidR="00105C43" w:rsidRPr="00105C43">
        <w:rPr>
          <w:rFonts w:cs="Calibri"/>
          <w:lang w:eastAsia="cs-CZ"/>
        </w:rPr>
        <w:t xml:space="preserve"> podřízených MPO, tj. v kapitole 2.2 </w:t>
      </w:r>
      <w:r w:rsidR="00B76C88">
        <w:rPr>
          <w:rFonts w:cs="Calibri"/>
          <w:lang w:eastAsia="cs-CZ"/>
        </w:rPr>
        <w:t xml:space="preserve">závěrečného účtu. </w:t>
      </w:r>
      <w:r w:rsidR="00105C43" w:rsidRPr="00105C43">
        <w:rPr>
          <w:rFonts w:cs="Calibri"/>
          <w:lang w:eastAsia="cs-CZ"/>
        </w:rPr>
        <w:t>V ostatních částech</w:t>
      </w:r>
      <w:r w:rsidR="00374646">
        <w:rPr>
          <w:rFonts w:cs="Calibri"/>
          <w:lang w:eastAsia="cs-CZ"/>
        </w:rPr>
        <w:t xml:space="preserve"> </w:t>
      </w:r>
      <w:r w:rsidR="003A61A5">
        <w:rPr>
          <w:rFonts w:cs="Calibri"/>
          <w:lang w:eastAsia="cs-CZ"/>
        </w:rPr>
        <w:t>ZÚ 2020</w:t>
      </w:r>
      <w:r w:rsidR="00105C43" w:rsidRPr="00105C43">
        <w:rPr>
          <w:rFonts w:cs="Calibri"/>
          <w:lang w:eastAsia="cs-CZ"/>
        </w:rPr>
        <w:t xml:space="preserve"> neměly identifikované nesprávnosti dopad na vypovídací schopnost ZÚ 2020</w:t>
      </w:r>
      <w:r w:rsidR="00374646">
        <w:rPr>
          <w:rFonts w:cs="Calibri"/>
          <w:lang w:eastAsia="cs-CZ"/>
        </w:rPr>
        <w:t>.</w:t>
      </w:r>
    </w:p>
    <w:p w14:paraId="5FBF3D60" w14:textId="39C0B93D" w:rsidR="00F44618" w:rsidRPr="003A523F" w:rsidRDefault="006750E2" w:rsidP="00A829E9">
      <w:pPr>
        <w:keepNext/>
        <w:ind w:left="426" w:hanging="426"/>
        <w:rPr>
          <w:rFonts w:cs="Calibri"/>
          <w:b/>
          <w:lang w:eastAsia="cs-CZ"/>
        </w:rPr>
      </w:pPr>
      <w:r>
        <w:rPr>
          <w:rFonts w:cs="Calibri"/>
          <w:b/>
          <w:lang w:eastAsia="cs-CZ"/>
        </w:rPr>
        <w:t>4.2</w:t>
      </w:r>
      <w:r w:rsidR="00A829E9">
        <w:rPr>
          <w:rFonts w:cs="Calibri"/>
          <w:b/>
          <w:lang w:eastAsia="cs-CZ"/>
        </w:rPr>
        <w:tab/>
      </w:r>
      <w:r w:rsidR="00F44618" w:rsidRPr="003A523F">
        <w:rPr>
          <w:rFonts w:cs="Calibri"/>
          <w:b/>
          <w:lang w:eastAsia="cs-CZ"/>
        </w:rPr>
        <w:t>Souhrnné údaje o hospodaření</w:t>
      </w:r>
      <w:r w:rsidR="00155BF6" w:rsidRPr="003A523F">
        <w:rPr>
          <w:rFonts w:cs="Calibri"/>
          <w:b/>
          <w:lang w:eastAsia="cs-CZ"/>
        </w:rPr>
        <w:t xml:space="preserve"> kapitoly</w:t>
      </w:r>
      <w:r w:rsidR="00E9361A" w:rsidRPr="003A523F">
        <w:rPr>
          <w:rFonts w:cs="Calibri"/>
          <w:b/>
          <w:lang w:eastAsia="cs-CZ"/>
        </w:rPr>
        <w:t xml:space="preserve"> státního rozpočtu </w:t>
      </w:r>
      <w:r w:rsidR="00A829E9">
        <w:rPr>
          <w:rFonts w:cs="Calibri"/>
          <w:b/>
          <w:lang w:eastAsia="cs-CZ"/>
        </w:rPr>
        <w:br/>
      </w:r>
      <w:r w:rsidR="0086013E">
        <w:rPr>
          <w:rFonts w:cs="Calibri"/>
          <w:b/>
          <w:lang w:eastAsia="cs-CZ"/>
        </w:rPr>
        <w:t>322</w:t>
      </w:r>
      <w:r w:rsidR="006A48EE">
        <w:rPr>
          <w:rFonts w:cs="Calibri"/>
          <w:b/>
          <w:lang w:eastAsia="cs-CZ"/>
        </w:rPr>
        <w:t xml:space="preserve"> –</w:t>
      </w:r>
      <w:r w:rsidR="0086013E">
        <w:rPr>
          <w:rFonts w:cs="Calibri"/>
          <w:b/>
          <w:lang w:eastAsia="cs-CZ"/>
        </w:rPr>
        <w:t xml:space="preserve"> </w:t>
      </w:r>
      <w:r w:rsidR="0086013E" w:rsidRPr="00BF36FD">
        <w:rPr>
          <w:rFonts w:cs="Calibri"/>
          <w:b/>
          <w:i/>
          <w:lang w:eastAsia="cs-CZ"/>
        </w:rPr>
        <w:t>Ministerstvo průmyslu a </w:t>
      </w:r>
      <w:r w:rsidR="00155BF6" w:rsidRPr="00BF36FD">
        <w:rPr>
          <w:rFonts w:cs="Calibri"/>
          <w:b/>
          <w:i/>
          <w:lang w:eastAsia="cs-CZ"/>
        </w:rPr>
        <w:t>obchodu</w:t>
      </w:r>
      <w:r w:rsidR="00155BF6" w:rsidRPr="003A523F">
        <w:rPr>
          <w:rFonts w:cs="Calibri"/>
          <w:b/>
          <w:lang w:eastAsia="cs-CZ"/>
        </w:rPr>
        <w:t xml:space="preserve"> </w:t>
      </w:r>
      <w:r w:rsidR="009E32D1" w:rsidRPr="003A523F">
        <w:rPr>
          <w:rFonts w:cs="Calibri"/>
          <w:b/>
          <w:lang w:eastAsia="cs-CZ"/>
        </w:rPr>
        <w:t xml:space="preserve"> </w:t>
      </w:r>
    </w:p>
    <w:p w14:paraId="61EAEF35" w14:textId="77777777" w:rsidR="00F44618" w:rsidRPr="003A523F" w:rsidRDefault="006750E2" w:rsidP="00A829E9">
      <w:pPr>
        <w:keepNext/>
        <w:jc w:val="both"/>
        <w:rPr>
          <w:rFonts w:cs="Calibri"/>
          <w:b/>
        </w:rPr>
      </w:pPr>
      <w:r>
        <w:rPr>
          <w:rFonts w:cs="Calibri"/>
          <w:b/>
        </w:rPr>
        <w:t xml:space="preserve">4.2.1 </w:t>
      </w:r>
      <w:r w:rsidR="00155BF6" w:rsidRPr="00A41FA0">
        <w:rPr>
          <w:rFonts w:cs="Calibri"/>
          <w:b/>
        </w:rPr>
        <w:t xml:space="preserve">Souhrnné údaje </w:t>
      </w:r>
      <w:r w:rsidR="00E9361A" w:rsidRPr="002F7564">
        <w:rPr>
          <w:rFonts w:cs="Calibri"/>
          <w:b/>
        </w:rPr>
        <w:t>o hospoda</w:t>
      </w:r>
      <w:r w:rsidR="00E9361A" w:rsidRPr="003D5FA9">
        <w:rPr>
          <w:rFonts w:cs="Calibri"/>
          <w:b/>
        </w:rPr>
        <w:t xml:space="preserve">ření a </w:t>
      </w:r>
      <w:r w:rsidR="00155BF6" w:rsidRPr="003D5FA9">
        <w:rPr>
          <w:rFonts w:cs="Calibri"/>
          <w:b/>
        </w:rPr>
        <w:t>jejich vývoj v čase</w:t>
      </w:r>
    </w:p>
    <w:p w14:paraId="0CE7AF8E" w14:textId="47DACD0B" w:rsidR="004868FA" w:rsidRPr="003F1244" w:rsidRDefault="003F1244" w:rsidP="00A829E9">
      <w:pPr>
        <w:jc w:val="both"/>
        <w:rPr>
          <w:b/>
        </w:rPr>
      </w:pPr>
      <w:r w:rsidRPr="003F1244">
        <w:t>O</w:t>
      </w:r>
      <w:r w:rsidR="00491675" w:rsidRPr="003F1244">
        <w:t>bsahem závěrečného účtu kapitoly státního rozpočtu mají být</w:t>
      </w:r>
      <w:r w:rsidRPr="003F1244">
        <w:t xml:space="preserve"> dle vyhlášky č. 419/2001 Sb.</w:t>
      </w:r>
      <w:r w:rsidR="00491675" w:rsidRPr="003F1244">
        <w:t xml:space="preserve"> údaje o výsledcích rozpočtového hospodaření</w:t>
      </w:r>
      <w:r w:rsidRPr="003F1244">
        <w:t>. Vyhláška</w:t>
      </w:r>
      <w:r w:rsidR="000E3FF6">
        <w:t>, jejímž tvůrcem je MF,</w:t>
      </w:r>
      <w:r w:rsidRPr="003F1244">
        <w:t xml:space="preserve"> ale </w:t>
      </w:r>
      <w:r w:rsidR="00491675" w:rsidRPr="003F1244">
        <w:t>nestanovuje</w:t>
      </w:r>
      <w:r w:rsidRPr="003F1244">
        <w:t xml:space="preserve"> v této oblasti konkrétní povinnost zveřejňovat o výsledcích tohoto hospodaření i</w:t>
      </w:r>
      <w:r w:rsidR="003564CB">
        <w:t> </w:t>
      </w:r>
      <w:r w:rsidRPr="003F1244">
        <w:t>údaje charakteru nákladů a výnosů, z jejichž rozdílu je možné určit výsledek tohoto hospodaření ve finančním účetnictví</w:t>
      </w:r>
      <w:r w:rsidR="00A52B92">
        <w:t xml:space="preserve">, </w:t>
      </w:r>
      <w:r w:rsidRPr="003F1244">
        <w:t>tj. na akruální</w:t>
      </w:r>
      <w:r>
        <w:t xml:space="preserve"> bázi.</w:t>
      </w:r>
      <w:r w:rsidRPr="00BF36FD">
        <w:t xml:space="preserve"> </w:t>
      </w:r>
      <w:r w:rsidR="004868FA" w:rsidRPr="003F1244">
        <w:t xml:space="preserve">Základní ekonomické charakteristiky související s hospodařením MPO jsou </w:t>
      </w:r>
      <w:r w:rsidR="0080282E" w:rsidRPr="003F1244">
        <w:t>pro informaci uvedeny v příloze č.</w:t>
      </w:r>
      <w:r w:rsidR="00852210" w:rsidRPr="003F1244">
        <w:t xml:space="preserve"> 1 </w:t>
      </w:r>
      <w:r w:rsidR="006A48EE">
        <w:t xml:space="preserve">tohoto </w:t>
      </w:r>
      <w:r w:rsidR="00852210" w:rsidRPr="003F1244">
        <w:t>kontrolního závěru</w:t>
      </w:r>
      <w:r w:rsidR="0080282E" w:rsidRPr="003F1244">
        <w:t xml:space="preserve">. </w:t>
      </w:r>
    </w:p>
    <w:p w14:paraId="1B7C2A64" w14:textId="77777777" w:rsidR="00F44618" w:rsidRDefault="00F44618" w:rsidP="00A829E9">
      <w:pPr>
        <w:keepNext/>
        <w:jc w:val="both"/>
        <w:rPr>
          <w:rFonts w:cs="Calibri"/>
          <w:b/>
        </w:rPr>
      </w:pPr>
      <w:r>
        <w:rPr>
          <w:rFonts w:cs="Calibri"/>
          <w:b/>
        </w:rPr>
        <w:t>4.2.2 Rozdíl mezi hospodářským výsledkem a saldem hospodaření</w:t>
      </w:r>
      <w:r w:rsidR="00155BF6">
        <w:rPr>
          <w:rFonts w:cs="Calibri"/>
          <w:b/>
        </w:rPr>
        <w:t xml:space="preserve"> u MPO</w:t>
      </w:r>
    </w:p>
    <w:p w14:paraId="0573121A" w14:textId="7C806625" w:rsidR="00852210" w:rsidRDefault="00852210" w:rsidP="00A829E9">
      <w:pPr>
        <w:jc w:val="both"/>
        <w:rPr>
          <w:rFonts w:cs="Calibri"/>
        </w:rPr>
      </w:pPr>
      <w:r w:rsidRPr="009E32D1">
        <w:rPr>
          <w:rFonts w:cs="Calibri"/>
          <w:b/>
        </w:rPr>
        <w:t>Porovnáním výsledku rozpočtového hospodaření MPO za rok 2020 na bázi peněžních toků a na akruální bázi byl zjišt</w:t>
      </w:r>
      <w:r w:rsidR="00F44618">
        <w:rPr>
          <w:rFonts w:cs="Calibri"/>
          <w:b/>
        </w:rPr>
        <w:t xml:space="preserve">ěn rozdíl ve výši 7,24 mld. Kč. </w:t>
      </w:r>
      <w:r w:rsidRPr="003A61A5">
        <w:rPr>
          <w:rFonts w:cs="Calibri"/>
        </w:rPr>
        <w:t>Výsledné saldo peněžních toků dle finančního výkazu byl deficit ve výši 34 mld. Kč a hospodářský výsledek běžného účetního období dle účetního výkazu zisku a ztráty byla ztráta ve výši −41,21 mld. Kč</w:t>
      </w:r>
      <w:r w:rsidR="009E32D1">
        <w:rPr>
          <w:rFonts w:cs="Calibri"/>
        </w:rPr>
        <w:t>.</w:t>
      </w:r>
    </w:p>
    <w:p w14:paraId="2A8A25C5" w14:textId="65BF14EF" w:rsidR="00EC2FB2" w:rsidRDefault="00EC2FB2" w:rsidP="00A829E9">
      <w:pPr>
        <w:jc w:val="both"/>
        <w:rPr>
          <w:rFonts w:cs="Calibri"/>
          <w:b/>
        </w:rPr>
      </w:pPr>
      <w:r>
        <w:rPr>
          <w:rFonts w:cs="Calibri"/>
        </w:rPr>
        <w:t>Rozdíl</w:t>
      </w:r>
      <w:r w:rsidR="00BA273E">
        <w:rPr>
          <w:rFonts w:cs="Calibri"/>
        </w:rPr>
        <w:t xml:space="preserve"> mezi saldem </w:t>
      </w:r>
      <w:r w:rsidR="00374646" w:rsidRPr="00BA273E">
        <w:rPr>
          <w:rFonts w:cs="Calibri"/>
        </w:rPr>
        <w:t>peněžních toků dle</w:t>
      </w:r>
      <w:r w:rsidR="003A61A5">
        <w:rPr>
          <w:rFonts w:cs="Calibri"/>
        </w:rPr>
        <w:t xml:space="preserve"> finanční</w:t>
      </w:r>
      <w:r w:rsidR="00374646" w:rsidRPr="00BA273E">
        <w:rPr>
          <w:rFonts w:cs="Calibri"/>
        </w:rPr>
        <w:t>h</w:t>
      </w:r>
      <w:r w:rsidR="003A61A5">
        <w:rPr>
          <w:rFonts w:cs="Calibri"/>
        </w:rPr>
        <w:t>o výkazu</w:t>
      </w:r>
      <w:r w:rsidR="00374646" w:rsidRPr="00BA273E">
        <w:rPr>
          <w:rFonts w:cs="Calibri"/>
        </w:rPr>
        <w:t xml:space="preserve"> a hospodářským výsledkem běžného účetního období dle výkazu zisku a ztráty </w:t>
      </w:r>
      <w:r w:rsidR="008B593C">
        <w:rPr>
          <w:rFonts w:cs="Calibri"/>
        </w:rPr>
        <w:t xml:space="preserve">vznikl např. tím, že </w:t>
      </w:r>
      <w:r w:rsidR="00000F8C" w:rsidRPr="008B593C">
        <w:rPr>
          <w:rFonts w:cs="Calibri"/>
        </w:rPr>
        <w:t xml:space="preserve">MPO vykázalo v roce 2020 náklady z titulu 4. splátky dotace dle zákona č. 165/2012 Sb. ve výši 5,79 mld. Kč, přičemž </w:t>
      </w:r>
      <w:r w:rsidR="00270EFB" w:rsidRPr="008B593C">
        <w:rPr>
          <w:rFonts w:cs="Calibri"/>
        </w:rPr>
        <w:t xml:space="preserve">tuto dotaci MPO vyplatilo (a realizovalo tak výdaj) </w:t>
      </w:r>
      <w:r w:rsidR="008033FE" w:rsidRPr="008B593C">
        <w:rPr>
          <w:rFonts w:cs="Calibri"/>
        </w:rPr>
        <w:t xml:space="preserve">až </w:t>
      </w:r>
      <w:r w:rsidR="00270EFB" w:rsidRPr="008B593C">
        <w:rPr>
          <w:rFonts w:cs="Calibri"/>
        </w:rPr>
        <w:t>v roce 2021</w:t>
      </w:r>
      <w:r w:rsidR="009E32D1">
        <w:rPr>
          <w:rFonts w:cs="Calibri"/>
        </w:rPr>
        <w:t xml:space="preserve">. Dále </w:t>
      </w:r>
      <w:r w:rsidR="00270EFB" w:rsidRPr="009E32D1">
        <w:rPr>
          <w:rFonts w:cs="Calibri"/>
        </w:rPr>
        <w:t>MPO v roce 2020</w:t>
      </w:r>
      <w:r w:rsidR="009E32D1">
        <w:rPr>
          <w:rFonts w:cs="Calibri"/>
        </w:rPr>
        <w:t xml:space="preserve"> odepsalo do nákladů</w:t>
      </w:r>
      <w:r w:rsidR="0085777C" w:rsidRPr="009E32D1">
        <w:rPr>
          <w:rFonts w:cs="Calibri"/>
        </w:rPr>
        <w:t xml:space="preserve"> pohledávky za </w:t>
      </w:r>
      <w:r w:rsidR="0045393E">
        <w:rPr>
          <w:rFonts w:cs="Calibri"/>
        </w:rPr>
        <w:t>Národním fondem</w:t>
      </w:r>
      <w:r w:rsidR="009E32D1">
        <w:rPr>
          <w:rFonts w:cs="Calibri"/>
        </w:rPr>
        <w:t xml:space="preserve"> </w:t>
      </w:r>
      <w:r w:rsidR="0085777C" w:rsidRPr="009E32D1">
        <w:rPr>
          <w:rFonts w:cs="Calibri"/>
        </w:rPr>
        <w:t xml:space="preserve">z </w:t>
      </w:r>
      <w:r w:rsidR="006A48EE">
        <w:rPr>
          <w:rFonts w:cs="Calibri"/>
        </w:rPr>
        <w:t>o</w:t>
      </w:r>
      <w:r w:rsidR="0085777C" w:rsidRPr="009E32D1">
        <w:rPr>
          <w:rFonts w:cs="Calibri"/>
        </w:rPr>
        <w:t xml:space="preserve">peračního programu </w:t>
      </w:r>
      <w:r w:rsidR="0085777C" w:rsidRPr="00BF36FD">
        <w:rPr>
          <w:rFonts w:cs="Calibri"/>
          <w:i/>
        </w:rPr>
        <w:t>Podnikání a inovace</w:t>
      </w:r>
      <w:r w:rsidR="0085777C" w:rsidRPr="009E32D1">
        <w:rPr>
          <w:rFonts w:cs="Calibri"/>
        </w:rPr>
        <w:t xml:space="preserve"> ve </w:t>
      </w:r>
      <w:r w:rsidR="0085777C" w:rsidRPr="009E32D1">
        <w:rPr>
          <w:rFonts w:cs="Calibri"/>
          <w:b/>
        </w:rPr>
        <w:t>výši 3,</w:t>
      </w:r>
      <w:r w:rsidR="007D3608">
        <w:rPr>
          <w:rFonts w:cs="Calibri"/>
          <w:b/>
        </w:rPr>
        <w:t>61 </w:t>
      </w:r>
      <w:r w:rsidR="0085777C" w:rsidRPr="009E32D1">
        <w:rPr>
          <w:rFonts w:cs="Calibri"/>
          <w:b/>
        </w:rPr>
        <w:t>mld. Kč</w:t>
      </w:r>
      <w:r w:rsidR="00B73640" w:rsidRPr="00BF36FD">
        <w:rPr>
          <w:rFonts w:cs="Calibri"/>
          <w:b/>
        </w:rPr>
        <w:t>,</w:t>
      </w:r>
      <w:r w:rsidR="0045393E" w:rsidRPr="005E63AE">
        <w:rPr>
          <w:rFonts w:cs="Calibri"/>
        </w:rPr>
        <w:t xml:space="preserve"> a to na</w:t>
      </w:r>
      <w:r w:rsidR="00007008">
        <w:rPr>
          <w:rFonts w:cs="Calibri"/>
        </w:rPr>
        <w:t xml:space="preserve"> základě</w:t>
      </w:r>
      <w:r w:rsidR="0045393E" w:rsidRPr="005E63AE">
        <w:rPr>
          <w:rFonts w:cs="Calibri"/>
        </w:rPr>
        <w:t xml:space="preserve"> </w:t>
      </w:r>
      <w:r w:rsidR="00C72B58">
        <w:rPr>
          <w:rFonts w:cs="Calibri"/>
        </w:rPr>
        <w:t>informace od</w:t>
      </w:r>
      <w:r w:rsidR="0045393E" w:rsidRPr="005E63AE">
        <w:rPr>
          <w:rFonts w:cs="Calibri"/>
        </w:rPr>
        <w:t xml:space="preserve"> MF</w:t>
      </w:r>
      <w:r w:rsidR="0045393E" w:rsidRPr="00BF36FD">
        <w:rPr>
          <w:rFonts w:cs="Calibri"/>
        </w:rPr>
        <w:t xml:space="preserve"> </w:t>
      </w:r>
      <w:r w:rsidR="00B73640" w:rsidRPr="00FA5821">
        <w:rPr>
          <w:rFonts w:cs="Calibri"/>
        </w:rPr>
        <w:t>ve věci vyřazení souhrnných žádostí z účetnictví MF v souvislosti s uzavřením programového období 2007</w:t>
      </w:r>
      <w:r w:rsidR="00B73640">
        <w:rPr>
          <w:rFonts w:cs="Calibri"/>
        </w:rPr>
        <w:t>–</w:t>
      </w:r>
      <w:r w:rsidR="00B73640" w:rsidRPr="00FA5821">
        <w:rPr>
          <w:rFonts w:cs="Calibri"/>
        </w:rPr>
        <w:t>2013</w:t>
      </w:r>
      <w:r w:rsidR="00B73640">
        <w:rPr>
          <w:rFonts w:cs="Calibri"/>
        </w:rPr>
        <w:t>.</w:t>
      </w:r>
      <w:r w:rsidR="00F84367" w:rsidRPr="009E32D1">
        <w:rPr>
          <w:rFonts w:cs="Calibri"/>
          <w:b/>
        </w:rPr>
        <w:t xml:space="preserve"> Odpisy pohledávek za </w:t>
      </w:r>
      <w:r w:rsidR="0045393E">
        <w:rPr>
          <w:rFonts w:cs="Calibri"/>
          <w:b/>
        </w:rPr>
        <w:t>Národním fondem na prostředky Evropské unie</w:t>
      </w:r>
      <w:r w:rsidR="00F84367" w:rsidRPr="009E32D1">
        <w:rPr>
          <w:rFonts w:cs="Calibri"/>
          <w:b/>
        </w:rPr>
        <w:t xml:space="preserve"> představ</w:t>
      </w:r>
      <w:r w:rsidR="009E32D1">
        <w:rPr>
          <w:rFonts w:cs="Calibri"/>
          <w:b/>
        </w:rPr>
        <w:t xml:space="preserve">ují riziko </w:t>
      </w:r>
      <w:r w:rsidR="00F84367" w:rsidRPr="009E32D1">
        <w:rPr>
          <w:rFonts w:cs="Calibri"/>
          <w:b/>
        </w:rPr>
        <w:t>zatížení státního rozpočtu v</w:t>
      </w:r>
      <w:r w:rsidR="009E32D1">
        <w:rPr>
          <w:rFonts w:cs="Calibri"/>
          <w:b/>
        </w:rPr>
        <w:t> </w:t>
      </w:r>
      <w:r w:rsidR="00F84367" w:rsidRPr="009E32D1">
        <w:rPr>
          <w:rFonts w:cs="Calibri"/>
          <w:b/>
        </w:rPr>
        <w:t>podobě</w:t>
      </w:r>
      <w:r w:rsidR="009E32D1">
        <w:rPr>
          <w:rFonts w:cs="Calibri"/>
          <w:b/>
        </w:rPr>
        <w:t xml:space="preserve"> neplánovaného</w:t>
      </w:r>
      <w:r w:rsidR="00F84367" w:rsidRPr="009E32D1">
        <w:rPr>
          <w:rFonts w:cs="Calibri"/>
          <w:b/>
        </w:rPr>
        <w:t xml:space="preserve"> zvýšení schodku s</w:t>
      </w:r>
      <w:r w:rsidR="009E32D1">
        <w:rPr>
          <w:rFonts w:cs="Calibri"/>
          <w:b/>
        </w:rPr>
        <w:t>tátního rozpočtu</w:t>
      </w:r>
      <w:r w:rsidR="0045393E">
        <w:rPr>
          <w:rFonts w:cs="Calibri"/>
          <w:b/>
        </w:rPr>
        <w:t>.</w:t>
      </w:r>
      <w:r w:rsidR="00C72B58">
        <w:rPr>
          <w:rFonts w:cs="Calibri"/>
          <w:b/>
        </w:rPr>
        <w:t xml:space="preserve"> </w:t>
      </w:r>
      <w:r w:rsidR="00C72B58">
        <w:t xml:space="preserve">Tato skutečnost dokresluje důvody vzniku vážných rozdílů mezi výsledkem hospodaření dle účetních údajů a saldem hospodaření dle rozpočtových výkazů </w:t>
      </w:r>
      <w:r w:rsidR="00C72B58" w:rsidRPr="005E63AE">
        <w:t>a není dávána k tíži těmto účetním jednotkám jako pochybení.</w:t>
      </w:r>
      <w:r w:rsidR="009E32D1">
        <w:rPr>
          <w:rFonts w:cs="Calibri"/>
          <w:b/>
        </w:rPr>
        <w:t xml:space="preserve"> </w:t>
      </w:r>
      <w:r w:rsidR="009E32D1" w:rsidRPr="009E32D1">
        <w:rPr>
          <w:rFonts w:cs="Calibri"/>
          <w:b/>
        </w:rPr>
        <w:t>D</w:t>
      </w:r>
      <w:r w:rsidR="00000F8C" w:rsidRPr="009E32D1">
        <w:rPr>
          <w:rFonts w:cs="Calibri"/>
          <w:b/>
        </w:rPr>
        <w:t>alší hlavní důvody rozdílů</w:t>
      </w:r>
      <w:r w:rsidR="00F84367">
        <w:rPr>
          <w:rFonts w:cs="Calibri"/>
        </w:rPr>
        <w:t xml:space="preserve"> mezi saldem peněžních toků a hospodářským výsledkem běžného účetního období</w:t>
      </w:r>
      <w:r w:rsidR="00000F8C" w:rsidRPr="00F84367">
        <w:rPr>
          <w:rFonts w:cs="Calibri"/>
        </w:rPr>
        <w:t xml:space="preserve"> jsou uvedeny </w:t>
      </w:r>
      <w:r w:rsidR="00000F8C" w:rsidRPr="009E32D1">
        <w:rPr>
          <w:rFonts w:cs="Calibri"/>
          <w:b/>
        </w:rPr>
        <w:t xml:space="preserve">v </w:t>
      </w:r>
      <w:r w:rsidRPr="009E32D1">
        <w:rPr>
          <w:rFonts w:cs="Calibri"/>
          <w:b/>
        </w:rPr>
        <w:t>příloze č. 2</w:t>
      </w:r>
      <w:r w:rsidR="0080282E" w:rsidRPr="009E32D1">
        <w:rPr>
          <w:rFonts w:cs="Calibri"/>
          <w:b/>
        </w:rPr>
        <w:t xml:space="preserve"> </w:t>
      </w:r>
      <w:r w:rsidR="006A48EE">
        <w:rPr>
          <w:rFonts w:cs="Calibri"/>
          <w:b/>
        </w:rPr>
        <w:t xml:space="preserve">tohoto </w:t>
      </w:r>
      <w:r w:rsidR="0080282E" w:rsidRPr="009E32D1">
        <w:rPr>
          <w:rFonts w:cs="Calibri"/>
          <w:b/>
        </w:rPr>
        <w:t>kontrolního závěru</w:t>
      </w:r>
      <w:r w:rsidRPr="009E32D1">
        <w:rPr>
          <w:rFonts w:cs="Calibri"/>
          <w:b/>
        </w:rPr>
        <w:t xml:space="preserve">. </w:t>
      </w:r>
    </w:p>
    <w:p w14:paraId="4099EC04" w14:textId="77777777" w:rsidR="00BA273E" w:rsidRPr="003A523F" w:rsidRDefault="006750E2" w:rsidP="00A829E9">
      <w:pPr>
        <w:keepNext/>
        <w:jc w:val="both"/>
        <w:rPr>
          <w:rFonts w:cs="Calibri"/>
          <w:b/>
        </w:rPr>
      </w:pPr>
      <w:r>
        <w:rPr>
          <w:rFonts w:cs="Calibri"/>
          <w:b/>
        </w:rPr>
        <w:t xml:space="preserve">4.2.3 </w:t>
      </w:r>
      <w:r w:rsidR="00F44618" w:rsidRPr="003A523F">
        <w:rPr>
          <w:rFonts w:cs="Calibri"/>
          <w:b/>
        </w:rPr>
        <w:t xml:space="preserve">Podmíněné závazky </w:t>
      </w:r>
      <w:r w:rsidR="00155BF6" w:rsidRPr="003A523F">
        <w:rPr>
          <w:rFonts w:cs="Calibri"/>
          <w:b/>
        </w:rPr>
        <w:t xml:space="preserve">MPO </w:t>
      </w:r>
      <w:r w:rsidR="00F44618" w:rsidRPr="003A523F">
        <w:rPr>
          <w:rFonts w:cs="Calibri"/>
          <w:b/>
        </w:rPr>
        <w:t>jako nároky na budoucí rozpočty</w:t>
      </w:r>
    </w:p>
    <w:p w14:paraId="6C0031EA" w14:textId="53A08846" w:rsidR="00374646" w:rsidRDefault="006B6CF2" w:rsidP="00A829E9">
      <w:pPr>
        <w:jc w:val="both"/>
        <w:rPr>
          <w:rFonts w:eastAsiaTheme="minorHAnsi" w:cs="Calibri"/>
          <w:b/>
        </w:rPr>
      </w:pPr>
      <w:r w:rsidRPr="00F44618">
        <w:rPr>
          <w:rFonts w:cs="Calibri"/>
          <w:b/>
        </w:rPr>
        <w:t>Dle ÚZ vykazuje</w:t>
      </w:r>
      <w:r w:rsidR="00374646" w:rsidRPr="00F44618">
        <w:rPr>
          <w:rFonts w:cs="Calibri"/>
          <w:b/>
        </w:rPr>
        <w:t xml:space="preserve"> </w:t>
      </w:r>
      <w:r w:rsidR="007774C3" w:rsidRPr="00F44618">
        <w:rPr>
          <w:rFonts w:cs="Calibri"/>
          <w:b/>
        </w:rPr>
        <w:t>MPO</w:t>
      </w:r>
      <w:r w:rsidR="00374646" w:rsidRPr="00F44618">
        <w:rPr>
          <w:rFonts w:cs="Calibri"/>
          <w:b/>
        </w:rPr>
        <w:t xml:space="preserve"> k rozvahovému dni p</w:t>
      </w:r>
      <w:r w:rsidR="00374646" w:rsidRPr="008B593C">
        <w:rPr>
          <w:rFonts w:cs="Calibri"/>
          <w:b/>
        </w:rPr>
        <w:t xml:space="preserve">odmíněné závazky ve výši </w:t>
      </w:r>
      <w:r w:rsidR="003A5587" w:rsidRPr="008B593C">
        <w:rPr>
          <w:rFonts w:cs="Calibri"/>
          <w:b/>
        </w:rPr>
        <w:t>42</w:t>
      </w:r>
      <w:r w:rsidR="00374646" w:rsidRPr="008B593C">
        <w:rPr>
          <w:rFonts w:cs="Calibri"/>
          <w:b/>
        </w:rPr>
        <w:t>,</w:t>
      </w:r>
      <w:r w:rsidR="003A5587" w:rsidRPr="008B593C">
        <w:rPr>
          <w:rFonts w:cs="Calibri"/>
          <w:b/>
        </w:rPr>
        <w:t>6</w:t>
      </w:r>
      <w:r w:rsidR="00374646" w:rsidRPr="008B593C">
        <w:rPr>
          <w:rFonts w:cs="Calibri"/>
          <w:b/>
        </w:rPr>
        <w:t xml:space="preserve"> mld. Kč</w:t>
      </w:r>
      <w:r w:rsidR="00374646" w:rsidRPr="00BF36FD">
        <w:rPr>
          <w:rFonts w:cs="Calibri"/>
          <w:b/>
        </w:rPr>
        <w:t>,</w:t>
      </w:r>
      <w:r w:rsidR="00374646" w:rsidRPr="001A4824">
        <w:rPr>
          <w:rFonts w:eastAsiaTheme="minorHAnsi" w:cs="Calibri"/>
        </w:rPr>
        <w:t xml:space="preserve"> </w:t>
      </w:r>
      <w:r w:rsidR="00374646" w:rsidRPr="001A4824">
        <w:t>které jsou tvořeny</w:t>
      </w:r>
      <w:r w:rsidR="00AE2EBB">
        <w:t xml:space="preserve"> </w:t>
      </w:r>
      <w:r w:rsidR="00374646" w:rsidRPr="001A4824">
        <w:t>z </w:t>
      </w:r>
      <w:r w:rsidR="003A5587" w:rsidRPr="001A4824">
        <w:t>79</w:t>
      </w:r>
      <w:r w:rsidR="00374646" w:rsidRPr="001A4824">
        <w:t>,</w:t>
      </w:r>
      <w:r w:rsidR="003A5587" w:rsidRPr="001A4824">
        <w:t>2</w:t>
      </w:r>
      <w:r w:rsidR="00374646" w:rsidRPr="001A4824">
        <w:t xml:space="preserve"> % dlouhodobými podmíněnými závazky z transferů z titulu již vydaných </w:t>
      </w:r>
      <w:r w:rsidR="00374646" w:rsidRPr="001A4824">
        <w:lastRenderedPageBreak/>
        <w:t>rozhodnutí o poskytnutí dotace, z </w:t>
      </w:r>
      <w:r w:rsidR="003A5587" w:rsidRPr="001A4824">
        <w:t>12</w:t>
      </w:r>
      <w:r w:rsidR="00374646" w:rsidRPr="001A4824">
        <w:t>,</w:t>
      </w:r>
      <w:r w:rsidR="003A5587" w:rsidRPr="001A4824">
        <w:t>9</w:t>
      </w:r>
      <w:r w:rsidR="00374646" w:rsidRPr="001A4824">
        <w:t xml:space="preserve"> % dlouhodobými podmíněnými závazky ze </w:t>
      </w:r>
      <w:r w:rsidR="007D3608">
        <w:t>smluv o </w:t>
      </w:r>
      <w:r w:rsidR="003A5587" w:rsidRPr="001A4824">
        <w:t>pořízení dlouhodobého majetku</w:t>
      </w:r>
      <w:r w:rsidR="006E0067" w:rsidRPr="001A4824">
        <w:t>,</w:t>
      </w:r>
      <w:r w:rsidR="003A5587" w:rsidRPr="001A4824">
        <w:t xml:space="preserve"> z 3,9 % dlouhodobými podmíněnými závazky z jiných smluv a</w:t>
      </w:r>
      <w:r w:rsidR="006E0067" w:rsidRPr="001A4824">
        <w:t xml:space="preserve"> z 3,9 %</w:t>
      </w:r>
      <w:r w:rsidR="003A5587" w:rsidRPr="001A4824">
        <w:t xml:space="preserve"> krátkodobými podmíněnými závazky z transferů</w:t>
      </w:r>
      <w:r w:rsidR="00374646" w:rsidRPr="001A4824">
        <w:t xml:space="preserve">. </w:t>
      </w:r>
      <w:r w:rsidR="00374646" w:rsidRPr="001A4824">
        <w:rPr>
          <w:rFonts w:eastAsiaTheme="minorHAnsi" w:cs="Calibri"/>
        </w:rPr>
        <w:t xml:space="preserve">Všechny tyto podmíněné závazky </w:t>
      </w:r>
      <w:r w:rsidR="00374646" w:rsidRPr="008B593C">
        <w:rPr>
          <w:rFonts w:eastAsiaTheme="minorHAnsi" w:cs="Calibri"/>
          <w:b/>
        </w:rPr>
        <w:t>představují potenciální nároky na rozpočty dalších období</w:t>
      </w:r>
      <w:r w:rsidR="00374646" w:rsidRPr="008B593C">
        <w:rPr>
          <w:rStyle w:val="Znakapoznpodarou"/>
          <w:rFonts w:eastAsiaTheme="minorHAnsi" w:cs="Calibri"/>
          <w:b/>
        </w:rPr>
        <w:footnoteReference w:id="53"/>
      </w:r>
      <w:r w:rsidR="008B593C" w:rsidRPr="008B593C">
        <w:rPr>
          <w:rFonts w:eastAsiaTheme="minorHAnsi" w:cs="Calibri"/>
          <w:b/>
        </w:rPr>
        <w:t xml:space="preserve">, </w:t>
      </w:r>
      <w:r w:rsidR="00F44618">
        <w:rPr>
          <w:rFonts w:eastAsiaTheme="minorHAnsi" w:cs="Calibri"/>
          <w:b/>
        </w:rPr>
        <w:t>ve kterých</w:t>
      </w:r>
      <w:r w:rsidR="008B593C" w:rsidRPr="008B593C">
        <w:rPr>
          <w:rFonts w:eastAsiaTheme="minorHAnsi" w:cs="Calibri"/>
          <w:b/>
        </w:rPr>
        <w:t xml:space="preserve"> budou realizovány s tím související peněžní toky.</w:t>
      </w:r>
      <w:r w:rsidR="00374646" w:rsidRPr="008B593C">
        <w:rPr>
          <w:rFonts w:eastAsiaTheme="minorHAnsi" w:cs="Calibri"/>
          <w:b/>
        </w:rPr>
        <w:t xml:space="preserve"> </w:t>
      </w:r>
    </w:p>
    <w:p w14:paraId="18798803" w14:textId="77777777" w:rsidR="00E95C11" w:rsidRPr="00D57AC8" w:rsidRDefault="006750E2" w:rsidP="00A829E9">
      <w:pPr>
        <w:pStyle w:val="Nadpis2"/>
        <w:keepNext/>
        <w:numPr>
          <w:ilvl w:val="0"/>
          <w:numId w:val="0"/>
        </w:numPr>
        <w:tabs>
          <w:tab w:val="center" w:pos="4535"/>
          <w:tab w:val="left" w:pos="5355"/>
          <w:tab w:val="left" w:pos="6525"/>
        </w:tabs>
        <w:spacing w:after="120" w:line="240" w:lineRule="auto"/>
        <w:contextualSpacing w:val="0"/>
        <w:rPr>
          <w:rFonts w:ascii="Calibri" w:hAnsi="Calibri" w:cs="Calibri"/>
        </w:rPr>
      </w:pPr>
      <w:r>
        <w:rPr>
          <w:rFonts w:ascii="Calibri" w:hAnsi="Calibri" w:cs="Calibri"/>
        </w:rPr>
        <w:t xml:space="preserve">5. </w:t>
      </w:r>
      <w:r w:rsidR="00366859" w:rsidRPr="00D57AC8">
        <w:rPr>
          <w:rFonts w:ascii="Calibri" w:hAnsi="Calibri" w:cs="Calibri"/>
        </w:rPr>
        <w:t>Vnit</w:t>
      </w:r>
      <w:r w:rsidR="00E95C11" w:rsidRPr="00D57AC8">
        <w:rPr>
          <w:rFonts w:ascii="Calibri" w:hAnsi="Calibri" w:cs="Calibri"/>
        </w:rPr>
        <w:t xml:space="preserve">řní kontrolní systém </w:t>
      </w:r>
    </w:p>
    <w:p w14:paraId="09639709" w14:textId="502239BF" w:rsidR="00E95C11" w:rsidRPr="00AB2BD3" w:rsidRDefault="00E95C11" w:rsidP="00A829E9">
      <w:pPr>
        <w:jc w:val="both"/>
        <w:rPr>
          <w:rFonts w:cs="Calibri"/>
          <w:b/>
        </w:rPr>
      </w:pPr>
      <w:r w:rsidRPr="00AB2BD3">
        <w:rPr>
          <w:rFonts w:cs="Calibri"/>
          <w:b/>
        </w:rPr>
        <w:t>Jedním z hlavních cílů finanční kontroly je zajistit správnost finančních a majetkových operací (tj. aby</w:t>
      </w:r>
      <w:r w:rsidR="0097145D">
        <w:rPr>
          <w:rFonts w:cs="Calibri"/>
          <w:b/>
        </w:rPr>
        <w:t xml:space="preserve"> mj.</w:t>
      </w:r>
      <w:r w:rsidRPr="00AB2BD3">
        <w:rPr>
          <w:rFonts w:cs="Calibri"/>
          <w:b/>
        </w:rPr>
        <w:t xml:space="preserve"> probíhaly v souladu s právními předpisy), průkaznost jejich účetního zpracování a spolehlivost informací o nich na výstupu. </w:t>
      </w:r>
    </w:p>
    <w:p w14:paraId="1584475F" w14:textId="1A304F83" w:rsidR="00E95C11" w:rsidRDefault="00E95C11" w:rsidP="00A829E9">
      <w:pPr>
        <w:jc w:val="both"/>
        <w:rPr>
          <w:rFonts w:cs="Calibri"/>
        </w:rPr>
      </w:pPr>
      <w:r w:rsidRPr="00AB2BD3">
        <w:rPr>
          <w:rFonts w:cs="Calibri"/>
          <w:b/>
        </w:rPr>
        <w:t>VKS v oblasti zajištění spolehlivosti informací na výstupu</w:t>
      </w:r>
      <w:r w:rsidRPr="00D57AC8">
        <w:rPr>
          <w:rFonts w:cs="Calibri"/>
        </w:rPr>
        <w:t xml:space="preserve"> </w:t>
      </w:r>
      <w:r w:rsidRPr="00AB2BD3">
        <w:rPr>
          <w:rFonts w:cs="Calibri"/>
          <w:b/>
        </w:rPr>
        <w:t>byl účinný pouze v omezeném</w:t>
      </w:r>
      <w:r w:rsidRPr="00D57AC8">
        <w:rPr>
          <w:rFonts w:cs="Calibri"/>
        </w:rPr>
        <w:t xml:space="preserve"> </w:t>
      </w:r>
      <w:r w:rsidRPr="00AB2BD3">
        <w:rPr>
          <w:rFonts w:cs="Calibri"/>
          <w:b/>
        </w:rPr>
        <w:t>rozsahu</w:t>
      </w:r>
      <w:r w:rsidR="00EC7499">
        <w:rPr>
          <w:rFonts w:cs="Calibri"/>
          <w:b/>
        </w:rPr>
        <w:t xml:space="preserve">. </w:t>
      </w:r>
      <w:r w:rsidR="00EC7499" w:rsidRPr="005E63AE">
        <w:rPr>
          <w:rFonts w:cs="Calibri"/>
        </w:rPr>
        <w:t>V rámci</w:t>
      </w:r>
      <w:r w:rsidR="00EC7499" w:rsidRPr="00BF36FD">
        <w:rPr>
          <w:rFonts w:cs="Calibri"/>
        </w:rPr>
        <w:t xml:space="preserve"> </w:t>
      </w:r>
      <w:r w:rsidR="00EC7499">
        <w:rPr>
          <w:rFonts w:cs="Calibri"/>
        </w:rPr>
        <w:t>VKS totiž nebyly identifikovány</w:t>
      </w:r>
      <w:r w:rsidRPr="00D57AC8">
        <w:rPr>
          <w:rFonts w:cs="Calibri"/>
        </w:rPr>
        <w:t xml:space="preserve"> nesprávnosti v ÚZ </w:t>
      </w:r>
      <w:r w:rsidRPr="00D57AC8">
        <w:rPr>
          <w:rFonts w:asciiTheme="minorHAnsi" w:hAnsiTheme="minorHAnsi" w:cstheme="minorHAnsi"/>
          <w:spacing w:val="-2"/>
        </w:rPr>
        <w:t>s datem sestavení 1. března 2021</w:t>
      </w:r>
      <w:r w:rsidRPr="00D57AC8">
        <w:rPr>
          <w:rFonts w:cs="Calibri"/>
        </w:rPr>
        <w:t xml:space="preserve"> v celkové výši 1,9 mld. Kč</w:t>
      </w:r>
      <w:r w:rsidR="00D57AC8">
        <w:rPr>
          <w:rFonts w:cs="Calibri"/>
        </w:rPr>
        <w:t xml:space="preserve"> (viz část IV.2</w:t>
      </w:r>
      <w:r w:rsidR="002C5FB0">
        <w:rPr>
          <w:rFonts w:cs="Calibri"/>
        </w:rPr>
        <w:t>.</w:t>
      </w:r>
      <w:r w:rsidR="00D57AC8">
        <w:rPr>
          <w:rFonts w:cs="Calibri"/>
        </w:rPr>
        <w:t xml:space="preserve"> </w:t>
      </w:r>
      <w:r w:rsidR="00BF1617">
        <w:rPr>
          <w:rFonts w:cs="Calibri"/>
        </w:rPr>
        <w:t xml:space="preserve">tohoto </w:t>
      </w:r>
      <w:r w:rsidR="00D57AC8">
        <w:rPr>
          <w:rFonts w:cs="Calibri"/>
        </w:rPr>
        <w:t>kontrolního závěru)</w:t>
      </w:r>
      <w:r w:rsidRPr="00D57AC8">
        <w:rPr>
          <w:rFonts w:cs="Calibri"/>
        </w:rPr>
        <w:t xml:space="preserve"> a nesprávnosti v ZÚ 2020, a</w:t>
      </w:r>
      <w:r w:rsidR="00D03D44">
        <w:rPr>
          <w:rFonts w:cs="Calibri"/>
        </w:rPr>
        <w:t> </w:t>
      </w:r>
      <w:r w:rsidRPr="00D57AC8">
        <w:rPr>
          <w:rFonts w:cs="Calibri"/>
        </w:rPr>
        <w:t>to zejména v části týkající se zhodnocení rozpočtu výdajů OSS podřízených MPO</w:t>
      </w:r>
      <w:r w:rsidR="00D57AC8">
        <w:rPr>
          <w:rFonts w:cs="Calibri"/>
        </w:rPr>
        <w:t xml:space="preserve"> (viz část IV.4</w:t>
      </w:r>
      <w:r w:rsidR="002C5FB0">
        <w:rPr>
          <w:rFonts w:cs="Calibri"/>
        </w:rPr>
        <w:t>.</w:t>
      </w:r>
      <w:r w:rsidR="00D57AC8">
        <w:rPr>
          <w:rFonts w:cs="Calibri"/>
        </w:rPr>
        <w:t xml:space="preserve"> </w:t>
      </w:r>
      <w:r w:rsidR="00BF1617">
        <w:rPr>
          <w:rFonts w:cs="Calibri"/>
        </w:rPr>
        <w:t xml:space="preserve">tohoto </w:t>
      </w:r>
      <w:r w:rsidR="00D57AC8">
        <w:rPr>
          <w:rFonts w:cs="Calibri"/>
        </w:rPr>
        <w:t>kontrolního závěru)</w:t>
      </w:r>
      <w:r w:rsidRPr="00D57AC8">
        <w:rPr>
          <w:rFonts w:cs="Calibri"/>
        </w:rPr>
        <w:t xml:space="preserve">.  </w:t>
      </w:r>
    </w:p>
    <w:p w14:paraId="78971AC5" w14:textId="4A671C25" w:rsidR="00D57AC8" w:rsidRPr="00AB2BD3" w:rsidRDefault="00D57AC8" w:rsidP="00A829E9">
      <w:pPr>
        <w:jc w:val="both"/>
        <w:rPr>
          <w:rFonts w:cs="Calibri"/>
          <w:b/>
        </w:rPr>
      </w:pPr>
      <w:r w:rsidRPr="00AB2BD3">
        <w:rPr>
          <w:rFonts w:cs="Calibri"/>
          <w:b/>
        </w:rPr>
        <w:t>VKS v oblasti průkaznosti účetnictví</w:t>
      </w:r>
      <w:r>
        <w:rPr>
          <w:rFonts w:cs="Calibri"/>
        </w:rPr>
        <w:t xml:space="preserve"> vykazoval nedostatky tak</w:t>
      </w:r>
      <w:r w:rsidR="00AB2BD3">
        <w:rPr>
          <w:rFonts w:cs="Calibri"/>
        </w:rPr>
        <w:t>, jak</w:t>
      </w:r>
      <w:r>
        <w:rPr>
          <w:rFonts w:cs="Calibri"/>
        </w:rPr>
        <w:t xml:space="preserve"> je uvedeno v bodě 5.1 t</w:t>
      </w:r>
      <w:r w:rsidR="00AB2BD3">
        <w:rPr>
          <w:rFonts w:cs="Calibri"/>
        </w:rPr>
        <w:t xml:space="preserve">éto části </w:t>
      </w:r>
      <w:r>
        <w:rPr>
          <w:rFonts w:cs="Calibri"/>
        </w:rPr>
        <w:t>kontrolního závěru</w:t>
      </w:r>
      <w:r w:rsidR="00AB2BD3">
        <w:rPr>
          <w:rFonts w:cs="Calibri"/>
        </w:rPr>
        <w:t xml:space="preserve"> a </w:t>
      </w:r>
      <w:r w:rsidR="00AB2BD3" w:rsidRPr="00AB2BD3">
        <w:rPr>
          <w:rFonts w:cs="Calibri"/>
          <w:b/>
        </w:rPr>
        <w:t>byl účinný jen v omezeném</w:t>
      </w:r>
      <w:r w:rsidR="00AB2BD3">
        <w:rPr>
          <w:rFonts w:cs="Calibri"/>
        </w:rPr>
        <w:t xml:space="preserve"> </w:t>
      </w:r>
      <w:r w:rsidR="00AB2BD3" w:rsidRPr="00AB2BD3">
        <w:rPr>
          <w:rFonts w:cs="Calibri"/>
          <w:b/>
        </w:rPr>
        <w:t>rozsahu</w:t>
      </w:r>
      <w:r w:rsidR="00AB2BD3">
        <w:rPr>
          <w:rFonts w:cs="Calibri"/>
          <w:b/>
        </w:rPr>
        <w:t>.</w:t>
      </w:r>
    </w:p>
    <w:p w14:paraId="6BDF95EF" w14:textId="70AFA330" w:rsidR="00E95C11" w:rsidRDefault="00E95C11" w:rsidP="00A829E9">
      <w:pPr>
        <w:jc w:val="both"/>
        <w:rPr>
          <w:rFonts w:cs="Calibri"/>
        </w:rPr>
      </w:pPr>
      <w:r w:rsidRPr="00AB2BD3">
        <w:rPr>
          <w:rFonts w:cs="Calibri"/>
          <w:b/>
        </w:rPr>
        <w:t>VKS v</w:t>
      </w:r>
      <w:r w:rsidR="00D57AC8" w:rsidRPr="00AB2BD3">
        <w:rPr>
          <w:rFonts w:cs="Calibri"/>
          <w:b/>
        </w:rPr>
        <w:t> </w:t>
      </w:r>
      <w:r w:rsidRPr="00AB2BD3">
        <w:rPr>
          <w:rFonts w:cs="Calibri"/>
          <w:b/>
        </w:rPr>
        <w:t>oblasti</w:t>
      </w:r>
      <w:r w:rsidR="00D57AC8" w:rsidRPr="00AB2BD3">
        <w:rPr>
          <w:rFonts w:cs="Calibri"/>
          <w:b/>
        </w:rPr>
        <w:t xml:space="preserve"> finančních operací</w:t>
      </w:r>
      <w:r w:rsidR="00D57AC8">
        <w:rPr>
          <w:rFonts w:cs="Calibri"/>
        </w:rPr>
        <w:t xml:space="preserve"> konkrétně při</w:t>
      </w:r>
      <w:r w:rsidRPr="00D57AC8">
        <w:rPr>
          <w:rFonts w:cs="Calibri"/>
        </w:rPr>
        <w:t xml:space="preserve"> </w:t>
      </w:r>
      <w:r w:rsidRPr="00AB2BD3">
        <w:rPr>
          <w:rFonts w:cs="Calibri"/>
          <w:b/>
        </w:rPr>
        <w:t>provádění řídi</w:t>
      </w:r>
      <w:r w:rsidR="00873821">
        <w:rPr>
          <w:rFonts w:cs="Calibri"/>
          <w:b/>
        </w:rPr>
        <w:t>cí kontroly po vzniku závazku u </w:t>
      </w:r>
      <w:r w:rsidRPr="00AB2BD3">
        <w:rPr>
          <w:rFonts w:cs="Calibri"/>
          <w:b/>
        </w:rPr>
        <w:t xml:space="preserve">finančních operací, které MPO zatřiďuje na rozpočtový paragraf 2161 – </w:t>
      </w:r>
      <w:r w:rsidRPr="00AB2BD3">
        <w:rPr>
          <w:rFonts w:cs="Calibri"/>
          <w:b/>
          <w:i/>
        </w:rPr>
        <w:t>Činnost ústředního orgánu státní správy v odvětví energetiky, průmyslu, stavebnictví, obchodu a služeb</w:t>
      </w:r>
      <w:r w:rsidR="00BF1617">
        <w:rPr>
          <w:rFonts w:cs="Calibri"/>
          <w:b/>
        </w:rPr>
        <w:t>,</w:t>
      </w:r>
      <w:r w:rsidRPr="00AB2BD3">
        <w:rPr>
          <w:rFonts w:cs="Calibri"/>
          <w:b/>
        </w:rPr>
        <w:t xml:space="preserve"> </w:t>
      </w:r>
      <w:r w:rsidRPr="00D57AC8">
        <w:rPr>
          <w:rFonts w:cs="Calibri"/>
        </w:rPr>
        <w:t xml:space="preserve">probíhal v rozporu se zákonem </w:t>
      </w:r>
      <w:r w:rsidR="007B589C">
        <w:rPr>
          <w:rFonts w:cs="Calibri"/>
        </w:rPr>
        <w:t>č. 320/2001 Sb.</w:t>
      </w:r>
      <w:r w:rsidRPr="00D57AC8">
        <w:rPr>
          <w:rFonts w:cs="Calibri"/>
        </w:rPr>
        <w:t>, když finanční operace MPO schvalovali z pozice hlavního účetního zaměstnanci jiného orgánu veřejné správy a nikoliv vlastní zaměstnanci MPO.</w:t>
      </w:r>
      <w:r w:rsidRPr="00BF36FD">
        <w:rPr>
          <w:rFonts w:cs="Calibri"/>
        </w:rPr>
        <w:t xml:space="preserve"> </w:t>
      </w:r>
      <w:r w:rsidRPr="00D57AC8">
        <w:rPr>
          <w:rFonts w:cs="Calibri"/>
        </w:rPr>
        <w:t>Dále byly zejména zjištěny případy finančních operací MPO, které byly schváleny z pozice hlavního účetního sice zaměstnancem MPO, který</w:t>
      </w:r>
      <w:r w:rsidR="00BF1617">
        <w:rPr>
          <w:rFonts w:cs="Calibri"/>
        </w:rPr>
        <w:t xml:space="preserve"> však</w:t>
      </w:r>
      <w:r w:rsidRPr="00D57AC8">
        <w:rPr>
          <w:rFonts w:cs="Calibri"/>
        </w:rPr>
        <w:t xml:space="preserve"> k tomuto úkonu nebyl vůbec pověřen. </w:t>
      </w:r>
      <w:r w:rsidR="00AB2BD3">
        <w:rPr>
          <w:rFonts w:cs="Calibri"/>
        </w:rPr>
        <w:t xml:space="preserve">Jedná se o </w:t>
      </w:r>
      <w:r w:rsidR="00AB2BD3" w:rsidRPr="00AB2BD3">
        <w:rPr>
          <w:rFonts w:cs="Calibri"/>
          <w:b/>
        </w:rPr>
        <w:t>systémový nedostatek</w:t>
      </w:r>
      <w:r w:rsidR="00AB2BD3">
        <w:rPr>
          <w:rFonts w:cs="Calibri"/>
        </w:rPr>
        <w:t xml:space="preserve"> v provádění této kontroly. </w:t>
      </w:r>
      <w:r w:rsidRPr="00D57AC8">
        <w:rPr>
          <w:rFonts w:cs="Calibri"/>
        </w:rPr>
        <w:t xml:space="preserve">V provádění řídicí kontroly před vznikem nároku, po vzniku nároku a před vznikem závazku nebyly zjištěny žádné nedostatky.  </w:t>
      </w:r>
    </w:p>
    <w:p w14:paraId="24A29ED0" w14:textId="77777777" w:rsidR="00D57AC8" w:rsidRPr="00D57AC8" w:rsidRDefault="00D57AC8" w:rsidP="00A829E9">
      <w:pPr>
        <w:jc w:val="both"/>
        <w:rPr>
          <w:rFonts w:cs="Calibri"/>
        </w:rPr>
      </w:pPr>
      <w:r w:rsidRPr="00AB2BD3">
        <w:rPr>
          <w:rFonts w:cs="Calibri"/>
          <w:b/>
        </w:rPr>
        <w:t>VKS v oblasti majetkových operací vykazoval některé individ</w:t>
      </w:r>
      <w:r w:rsidR="00AB2BD3" w:rsidRPr="00AB2BD3">
        <w:rPr>
          <w:rFonts w:cs="Calibri"/>
          <w:b/>
        </w:rPr>
        <w:t>u</w:t>
      </w:r>
      <w:r w:rsidRPr="00AB2BD3">
        <w:rPr>
          <w:rFonts w:cs="Calibri"/>
          <w:b/>
        </w:rPr>
        <w:t>ální nedostatk</w:t>
      </w:r>
      <w:r w:rsidRPr="00BF36FD">
        <w:rPr>
          <w:rFonts w:cs="Calibri"/>
          <w:b/>
        </w:rPr>
        <w:t>y</w:t>
      </w:r>
      <w:r>
        <w:rPr>
          <w:rFonts w:cs="Calibri"/>
        </w:rPr>
        <w:t xml:space="preserve"> tak, jak je uvedeno v bodě 5.</w:t>
      </w:r>
      <w:r w:rsidR="008724F0">
        <w:rPr>
          <w:rFonts w:cs="Calibri"/>
        </w:rPr>
        <w:t>3</w:t>
      </w:r>
      <w:r w:rsidR="00AB2BD3">
        <w:rPr>
          <w:rFonts w:cs="Calibri"/>
        </w:rPr>
        <w:t xml:space="preserve"> této části kontrolního závěru. </w:t>
      </w:r>
    </w:p>
    <w:p w14:paraId="34BF3C06" w14:textId="77777777" w:rsidR="001F4F92" w:rsidRPr="00006589" w:rsidRDefault="00366859" w:rsidP="0033700B">
      <w:pPr>
        <w:pStyle w:val="Nadpis2"/>
        <w:keepNext/>
        <w:numPr>
          <w:ilvl w:val="0"/>
          <w:numId w:val="0"/>
        </w:numPr>
        <w:spacing w:after="120" w:line="240" w:lineRule="auto"/>
        <w:contextualSpacing w:val="0"/>
        <w:rPr>
          <w:rFonts w:ascii="Calibri" w:hAnsi="Calibri" w:cs="Calibri"/>
          <w:lang w:eastAsia="cs-CZ"/>
        </w:rPr>
      </w:pPr>
      <w:r>
        <w:rPr>
          <w:rFonts w:ascii="Calibri" w:hAnsi="Calibri" w:cs="Calibri"/>
          <w:lang w:eastAsia="cs-CZ"/>
        </w:rPr>
        <w:t>5</w:t>
      </w:r>
      <w:r w:rsidR="001F4F92" w:rsidRPr="00006589">
        <w:rPr>
          <w:rFonts w:ascii="Calibri" w:hAnsi="Calibri" w:cs="Calibri"/>
          <w:lang w:eastAsia="cs-CZ"/>
        </w:rPr>
        <w:t>.1</w:t>
      </w:r>
      <w:r w:rsidR="00C90E95" w:rsidRPr="00006589">
        <w:rPr>
          <w:rFonts w:ascii="Calibri" w:hAnsi="Calibri" w:cs="Calibri"/>
          <w:lang w:eastAsia="cs-CZ"/>
        </w:rPr>
        <w:t xml:space="preserve"> </w:t>
      </w:r>
      <w:r w:rsidR="001F4F92" w:rsidRPr="00006589">
        <w:rPr>
          <w:rFonts w:ascii="Calibri" w:hAnsi="Calibri" w:cs="Calibri"/>
          <w:lang w:eastAsia="cs-CZ"/>
        </w:rPr>
        <w:t>Inventarizace</w:t>
      </w:r>
    </w:p>
    <w:p w14:paraId="276E935D" w14:textId="77777777" w:rsidR="00F34C02" w:rsidRPr="00F34C02" w:rsidRDefault="00F34C02" w:rsidP="0033700B">
      <w:pPr>
        <w:keepNext/>
        <w:jc w:val="both"/>
        <w:rPr>
          <w:rFonts w:asciiTheme="minorHAnsi" w:hAnsiTheme="minorHAnsi" w:cstheme="minorHAnsi"/>
          <w:b/>
        </w:rPr>
      </w:pPr>
      <w:r>
        <w:rPr>
          <w:rFonts w:asciiTheme="minorHAnsi" w:hAnsiTheme="minorHAnsi" w:cstheme="minorHAnsi"/>
          <w:b/>
        </w:rPr>
        <w:t>MPO</w:t>
      </w:r>
      <w:r w:rsidRPr="00E3593D">
        <w:rPr>
          <w:rFonts w:asciiTheme="minorHAnsi" w:hAnsiTheme="minorHAnsi" w:cstheme="minorHAnsi"/>
          <w:b/>
        </w:rPr>
        <w:t xml:space="preserve"> </w:t>
      </w:r>
      <w:r>
        <w:rPr>
          <w:rFonts w:asciiTheme="minorHAnsi" w:hAnsiTheme="minorHAnsi" w:cstheme="minorHAnsi"/>
          <w:b/>
        </w:rPr>
        <w:t>v případech, které jsou uvedeny dále</w:t>
      </w:r>
      <w:r w:rsidRPr="00E3593D">
        <w:rPr>
          <w:rFonts w:asciiTheme="minorHAnsi" w:hAnsiTheme="minorHAnsi" w:cstheme="minorHAnsi"/>
          <w:b/>
        </w:rPr>
        <w:t>,</w:t>
      </w:r>
      <w:r>
        <w:rPr>
          <w:rFonts w:asciiTheme="minorHAnsi" w:hAnsiTheme="minorHAnsi" w:cstheme="minorHAnsi"/>
          <w:b/>
        </w:rPr>
        <w:t xml:space="preserve"> </w:t>
      </w:r>
      <w:r w:rsidRPr="00E3593D">
        <w:rPr>
          <w:rFonts w:asciiTheme="minorHAnsi" w:hAnsiTheme="minorHAnsi" w:cstheme="minorHAnsi"/>
          <w:b/>
        </w:rPr>
        <w:t>nezjistil</w:t>
      </w:r>
      <w:r>
        <w:rPr>
          <w:rFonts w:asciiTheme="minorHAnsi" w:hAnsiTheme="minorHAnsi" w:cstheme="minorHAnsi"/>
          <w:b/>
        </w:rPr>
        <w:t>o</w:t>
      </w:r>
      <w:r w:rsidRPr="00E3593D">
        <w:rPr>
          <w:rFonts w:asciiTheme="minorHAnsi" w:hAnsiTheme="minorHAnsi" w:cstheme="minorHAnsi"/>
          <w:b/>
        </w:rPr>
        <w:t xml:space="preserve"> skutečný stav</w:t>
      </w:r>
      <w:r>
        <w:rPr>
          <w:rFonts w:asciiTheme="minorHAnsi" w:hAnsiTheme="minorHAnsi" w:cstheme="minorHAnsi"/>
          <w:b/>
        </w:rPr>
        <w:t xml:space="preserve"> majetku a závazků a ani n</w:t>
      </w:r>
      <w:r w:rsidRPr="00E3593D">
        <w:rPr>
          <w:rFonts w:asciiTheme="minorHAnsi" w:hAnsiTheme="minorHAnsi" w:cstheme="minorHAnsi"/>
          <w:b/>
        </w:rPr>
        <w:t>ásledně neověřil</w:t>
      </w:r>
      <w:r>
        <w:rPr>
          <w:rFonts w:asciiTheme="minorHAnsi" w:hAnsiTheme="minorHAnsi" w:cstheme="minorHAnsi"/>
          <w:b/>
        </w:rPr>
        <w:t>o</w:t>
      </w:r>
      <w:r w:rsidRPr="00E3593D">
        <w:rPr>
          <w:rFonts w:asciiTheme="minorHAnsi" w:hAnsiTheme="minorHAnsi" w:cstheme="minorHAnsi"/>
          <w:b/>
        </w:rPr>
        <w:t xml:space="preserve">, zda </w:t>
      </w:r>
      <w:r>
        <w:rPr>
          <w:rFonts w:asciiTheme="minorHAnsi" w:hAnsiTheme="minorHAnsi" w:cstheme="minorHAnsi"/>
          <w:b/>
        </w:rPr>
        <w:t xml:space="preserve">tento </w:t>
      </w:r>
      <w:r w:rsidRPr="00E3593D">
        <w:rPr>
          <w:rFonts w:asciiTheme="minorHAnsi" w:hAnsiTheme="minorHAnsi" w:cstheme="minorHAnsi"/>
          <w:b/>
        </w:rPr>
        <w:t>stav odpovídá stavu v</w:t>
      </w:r>
      <w:r>
        <w:rPr>
          <w:rFonts w:asciiTheme="minorHAnsi" w:hAnsiTheme="minorHAnsi" w:cstheme="minorHAnsi"/>
          <w:b/>
        </w:rPr>
        <w:t> </w:t>
      </w:r>
      <w:r w:rsidRPr="00E3593D">
        <w:rPr>
          <w:rFonts w:asciiTheme="minorHAnsi" w:hAnsiTheme="minorHAnsi" w:cstheme="minorHAnsi"/>
          <w:b/>
        </w:rPr>
        <w:t>účetnictví</w:t>
      </w:r>
      <w:r>
        <w:rPr>
          <w:rFonts w:asciiTheme="minorHAnsi" w:hAnsiTheme="minorHAnsi" w:cstheme="minorHAnsi"/>
          <w:b/>
        </w:rPr>
        <w:t>. MPO např.:</w:t>
      </w:r>
    </w:p>
    <w:p w14:paraId="581820D0" w14:textId="77777777" w:rsidR="005F4E99" w:rsidRPr="005F4E99" w:rsidRDefault="005F4E99" w:rsidP="001529C4">
      <w:pPr>
        <w:pStyle w:val="Odstavecseseznamem"/>
        <w:numPr>
          <w:ilvl w:val="0"/>
          <w:numId w:val="3"/>
        </w:numPr>
        <w:spacing w:after="0"/>
        <w:ind w:left="284" w:hanging="284"/>
        <w:contextualSpacing w:val="0"/>
        <w:jc w:val="both"/>
        <w:rPr>
          <w:rFonts w:cs="Calibri"/>
        </w:rPr>
      </w:pPr>
      <w:r w:rsidRPr="005F4E99">
        <w:rPr>
          <w:rFonts w:cs="Calibri"/>
          <w:b/>
        </w:rPr>
        <w:t xml:space="preserve">nezjistilo, že </w:t>
      </w:r>
      <w:r w:rsidR="001F4F92" w:rsidRPr="005F4E99">
        <w:rPr>
          <w:rFonts w:cs="Calibri"/>
          <w:b/>
        </w:rPr>
        <w:t>na účtu 34</w:t>
      </w:r>
      <w:r w:rsidRPr="005F4E99">
        <w:rPr>
          <w:rFonts w:cs="Calibri"/>
          <w:b/>
        </w:rPr>
        <w:t>4</w:t>
      </w:r>
      <w:r w:rsidRPr="005F4E99">
        <w:rPr>
          <w:rFonts w:cs="Calibri"/>
        </w:rPr>
        <w:t xml:space="preserve"> – </w:t>
      </w:r>
      <w:r w:rsidRPr="00146B0E">
        <w:rPr>
          <w:rFonts w:cs="Calibri"/>
          <w:i/>
        </w:rPr>
        <w:t>Pohledávky za osobami mimo vybrané vládní instituce</w:t>
      </w:r>
      <w:r w:rsidRPr="005F4E99">
        <w:rPr>
          <w:rFonts w:cs="Calibri"/>
        </w:rPr>
        <w:t xml:space="preserve"> </w:t>
      </w:r>
      <w:r w:rsidR="00146B0E">
        <w:rPr>
          <w:rFonts w:cs="Calibri"/>
          <w:b/>
        </w:rPr>
        <w:t>vykazuje</w:t>
      </w:r>
      <w:r w:rsidRPr="00BF36FD">
        <w:rPr>
          <w:rFonts w:cs="Calibri"/>
          <w:b/>
        </w:rPr>
        <w:t>:</w:t>
      </w:r>
    </w:p>
    <w:p w14:paraId="30AFB716" w14:textId="77777777" w:rsidR="001F4F92" w:rsidRPr="00146B0E" w:rsidRDefault="005F4E99" w:rsidP="0033700B">
      <w:pPr>
        <w:pStyle w:val="Odstavecseseznamem"/>
        <w:numPr>
          <w:ilvl w:val="0"/>
          <w:numId w:val="9"/>
        </w:numPr>
        <w:spacing w:after="0"/>
        <w:ind w:left="567" w:hanging="283"/>
        <w:contextualSpacing w:val="0"/>
        <w:jc w:val="both"/>
        <w:rPr>
          <w:rFonts w:cs="Calibri"/>
        </w:rPr>
      </w:pPr>
      <w:r w:rsidRPr="00146B0E">
        <w:rPr>
          <w:rFonts w:cs="Calibri"/>
          <w:b/>
        </w:rPr>
        <w:t>pohledávku</w:t>
      </w:r>
      <w:r w:rsidRPr="00146B0E">
        <w:rPr>
          <w:rFonts w:cs="Calibri"/>
        </w:rPr>
        <w:t xml:space="preserve"> za Národním fondem ve výši 690 mil. Kč</w:t>
      </w:r>
      <w:r w:rsidR="001F4F92" w:rsidRPr="00146B0E">
        <w:rPr>
          <w:rFonts w:cs="Calibri"/>
        </w:rPr>
        <w:t>,</w:t>
      </w:r>
      <w:r w:rsidRPr="00146B0E">
        <w:rPr>
          <w:rFonts w:cs="Calibri"/>
        </w:rPr>
        <w:t xml:space="preserve"> </w:t>
      </w:r>
      <w:r w:rsidRPr="00146B0E">
        <w:rPr>
          <w:rFonts w:cs="Calibri"/>
          <w:b/>
        </w:rPr>
        <w:t>která vznikla až v roce 2021</w:t>
      </w:r>
      <w:r w:rsidRPr="00BF36FD">
        <w:rPr>
          <w:rFonts w:cs="Calibri"/>
          <w:b/>
        </w:rPr>
        <w:t>,</w:t>
      </w:r>
    </w:p>
    <w:p w14:paraId="600F9391" w14:textId="1D1449EC" w:rsidR="005F4E99" w:rsidRPr="00146B0E" w:rsidRDefault="005F4E99" w:rsidP="0033700B">
      <w:pPr>
        <w:pStyle w:val="Odstavecseseznamem"/>
        <w:numPr>
          <w:ilvl w:val="0"/>
          <w:numId w:val="9"/>
        </w:numPr>
        <w:spacing w:after="0"/>
        <w:ind w:left="567" w:hanging="283"/>
        <w:contextualSpacing w:val="0"/>
        <w:jc w:val="both"/>
        <w:rPr>
          <w:rFonts w:cs="Calibri"/>
        </w:rPr>
      </w:pPr>
      <w:r w:rsidRPr="00146B0E">
        <w:rPr>
          <w:rFonts w:cs="Calibri"/>
          <w:b/>
        </w:rPr>
        <w:t>pohledávky</w:t>
      </w:r>
      <w:r w:rsidRPr="00146B0E">
        <w:rPr>
          <w:rFonts w:cs="Calibri"/>
        </w:rPr>
        <w:t xml:space="preserve"> za Národním fondem</w:t>
      </w:r>
      <w:r w:rsidR="00930576">
        <w:rPr>
          <w:rFonts w:cs="Calibri"/>
        </w:rPr>
        <w:t xml:space="preserve"> ve výši 58,6 mil. Kč z</w:t>
      </w:r>
      <w:r w:rsidR="002C62D6" w:rsidRPr="002C62D6">
        <w:t xml:space="preserve"> </w:t>
      </w:r>
      <w:r w:rsidR="00822D03">
        <w:rPr>
          <w:rFonts w:cs="Calibri"/>
        </w:rPr>
        <w:t>o</w:t>
      </w:r>
      <w:r w:rsidR="002C62D6" w:rsidRPr="002C62D6">
        <w:rPr>
          <w:rFonts w:cs="Calibri"/>
        </w:rPr>
        <w:t>perační</w:t>
      </w:r>
      <w:r w:rsidR="002C62D6">
        <w:rPr>
          <w:rFonts w:cs="Calibri"/>
        </w:rPr>
        <w:t>ho</w:t>
      </w:r>
      <w:r w:rsidR="002C62D6" w:rsidRPr="002C62D6">
        <w:rPr>
          <w:rFonts w:cs="Calibri"/>
        </w:rPr>
        <w:t xml:space="preserve"> program</w:t>
      </w:r>
      <w:r w:rsidR="002C62D6">
        <w:rPr>
          <w:rFonts w:cs="Calibri"/>
        </w:rPr>
        <w:t>u</w:t>
      </w:r>
      <w:r w:rsidR="002C62D6" w:rsidRPr="002C62D6">
        <w:rPr>
          <w:rFonts w:cs="Calibri"/>
        </w:rPr>
        <w:t xml:space="preserve"> </w:t>
      </w:r>
      <w:r w:rsidR="002C62D6" w:rsidRPr="00BF36FD">
        <w:rPr>
          <w:rFonts w:cs="Calibri"/>
          <w:i/>
        </w:rPr>
        <w:t>Průmysl a</w:t>
      </w:r>
      <w:r w:rsidR="0033700B" w:rsidRPr="00BF36FD">
        <w:rPr>
          <w:rFonts w:cs="Calibri"/>
          <w:i/>
        </w:rPr>
        <w:t> </w:t>
      </w:r>
      <w:r w:rsidR="002C62D6" w:rsidRPr="00BF36FD">
        <w:rPr>
          <w:rFonts w:cs="Calibri"/>
          <w:i/>
        </w:rPr>
        <w:t>podnikání</w:t>
      </w:r>
      <w:r w:rsidRPr="00146B0E">
        <w:rPr>
          <w:rFonts w:cs="Calibri"/>
        </w:rPr>
        <w:t xml:space="preserve">, </w:t>
      </w:r>
      <w:r w:rsidRPr="00146B0E">
        <w:rPr>
          <w:rFonts w:cs="Calibri"/>
          <w:b/>
        </w:rPr>
        <w:t>u kterých již nebyl předpoklad jejich úhrady</w:t>
      </w:r>
      <w:r w:rsidR="009F6022">
        <w:rPr>
          <w:rFonts w:cs="Calibri"/>
          <w:b/>
        </w:rPr>
        <w:t xml:space="preserve">, </w:t>
      </w:r>
      <w:r w:rsidR="009F6022" w:rsidRPr="009F6022">
        <w:rPr>
          <w:rFonts w:cs="Calibri"/>
        </w:rPr>
        <w:t>neboť ani</w:t>
      </w:r>
      <w:r w:rsidR="005F3E85">
        <w:rPr>
          <w:rFonts w:cs="Calibri"/>
        </w:rPr>
        <w:t xml:space="preserve"> M</w:t>
      </w:r>
      <w:r w:rsidR="007D1797">
        <w:rPr>
          <w:rFonts w:cs="Calibri"/>
        </w:rPr>
        <w:t>F</w:t>
      </w:r>
      <w:r w:rsidRPr="00146B0E">
        <w:rPr>
          <w:rFonts w:cs="Calibri"/>
        </w:rPr>
        <w:t xml:space="preserve"> již </w:t>
      </w:r>
      <w:r w:rsidR="00FD0106">
        <w:rPr>
          <w:rFonts w:cs="Calibri"/>
        </w:rPr>
        <w:t xml:space="preserve">nevykazovalo </w:t>
      </w:r>
      <w:r w:rsidRPr="00146B0E">
        <w:rPr>
          <w:rFonts w:cs="Calibri"/>
        </w:rPr>
        <w:t>z tohoto titulu související závazek vůči MPO</w:t>
      </w:r>
      <w:r w:rsidR="00FD0106">
        <w:rPr>
          <w:rStyle w:val="Znakapoznpodarou"/>
          <w:rFonts w:cs="Calibri"/>
        </w:rPr>
        <w:footnoteReference w:id="54"/>
      </w:r>
      <w:r w:rsidRPr="00146B0E">
        <w:rPr>
          <w:rFonts w:cs="Calibri"/>
        </w:rPr>
        <w:t xml:space="preserve"> a </w:t>
      </w:r>
    </w:p>
    <w:p w14:paraId="509D13F1" w14:textId="77777777" w:rsidR="005F4E99" w:rsidRDefault="005F4E99" w:rsidP="0033700B">
      <w:pPr>
        <w:pStyle w:val="Odstavecseseznamem"/>
        <w:numPr>
          <w:ilvl w:val="0"/>
          <w:numId w:val="9"/>
        </w:numPr>
        <w:spacing w:after="0"/>
        <w:ind w:left="567" w:hanging="283"/>
        <w:contextualSpacing w:val="0"/>
        <w:jc w:val="both"/>
        <w:rPr>
          <w:rFonts w:cs="Calibri"/>
        </w:rPr>
      </w:pPr>
      <w:r w:rsidRPr="00146B0E">
        <w:rPr>
          <w:rFonts w:cs="Calibri"/>
          <w:b/>
        </w:rPr>
        <w:t>pohledávky</w:t>
      </w:r>
      <w:r w:rsidR="00FD0106">
        <w:rPr>
          <w:rFonts w:cs="Calibri"/>
          <w:b/>
        </w:rPr>
        <w:t xml:space="preserve"> </w:t>
      </w:r>
      <w:r w:rsidR="00FD0106" w:rsidRPr="00647856">
        <w:rPr>
          <w:rFonts w:cs="Calibri"/>
        </w:rPr>
        <w:t>ve výši 28 mil.</w:t>
      </w:r>
      <w:r w:rsidR="009F6022" w:rsidRPr="00647856">
        <w:rPr>
          <w:rFonts w:cs="Calibri"/>
        </w:rPr>
        <w:t xml:space="preserve"> </w:t>
      </w:r>
      <w:r w:rsidR="00FD0106" w:rsidRPr="00647856">
        <w:rPr>
          <w:rFonts w:cs="Calibri"/>
        </w:rPr>
        <w:t>Kč</w:t>
      </w:r>
      <w:r w:rsidRPr="00647856">
        <w:rPr>
          <w:rFonts w:cs="Calibri"/>
        </w:rPr>
        <w:t>,</w:t>
      </w:r>
      <w:r w:rsidRPr="00146B0E">
        <w:rPr>
          <w:rFonts w:cs="Calibri"/>
          <w:b/>
        </w:rPr>
        <w:t xml:space="preserve"> které Ná</w:t>
      </w:r>
      <w:r w:rsidR="00146B0E" w:rsidRPr="00146B0E">
        <w:rPr>
          <w:rFonts w:cs="Calibri"/>
          <w:b/>
        </w:rPr>
        <w:t>rodní fond zamítl nebo vyloučil</w:t>
      </w:r>
      <w:r w:rsidR="00146B0E" w:rsidRPr="00BF36FD">
        <w:rPr>
          <w:rFonts w:cs="Calibri"/>
          <w:b/>
        </w:rPr>
        <w:t>.</w:t>
      </w:r>
    </w:p>
    <w:p w14:paraId="3512DE77" w14:textId="2E64A25A" w:rsidR="00146B0E" w:rsidRPr="00146B0E" w:rsidRDefault="00146B0E" w:rsidP="00672F55">
      <w:pPr>
        <w:ind w:left="284"/>
        <w:jc w:val="both"/>
        <w:rPr>
          <w:rFonts w:cs="Calibri"/>
        </w:rPr>
      </w:pPr>
      <w:r w:rsidRPr="00146B0E">
        <w:rPr>
          <w:rFonts w:cs="Calibri"/>
        </w:rPr>
        <w:lastRenderedPageBreak/>
        <w:t>Uvedené skutečnosti souvise</w:t>
      </w:r>
      <w:r>
        <w:rPr>
          <w:rFonts w:cs="Calibri"/>
        </w:rPr>
        <w:t>ly</w:t>
      </w:r>
      <w:r w:rsidRPr="00146B0E">
        <w:rPr>
          <w:rFonts w:cs="Calibri"/>
        </w:rPr>
        <w:t xml:space="preserve"> s tím, že </w:t>
      </w:r>
      <w:r w:rsidRPr="00672F55">
        <w:rPr>
          <w:rFonts w:cs="Calibri"/>
          <w:b/>
        </w:rPr>
        <w:t>MPO neprovádělo s Národním fondem vzájemné odsouhlasení pohledávek</w:t>
      </w:r>
      <w:r w:rsidRPr="00146B0E">
        <w:rPr>
          <w:rFonts w:cs="Calibri"/>
        </w:rPr>
        <w:t xml:space="preserve"> (uplatněných nároků na prostředky z rozpočtu EU, které mají být převedeny do státního rozpočtu) vykazovaných na účtu 344</w:t>
      </w:r>
      <w:r w:rsidR="00DD08C0">
        <w:rPr>
          <w:rFonts w:cs="Calibri"/>
        </w:rPr>
        <w:t xml:space="preserve"> </w:t>
      </w:r>
      <w:r w:rsidR="00DD08C0" w:rsidRPr="005F4E99">
        <w:rPr>
          <w:rFonts w:cs="Calibri"/>
        </w:rPr>
        <w:t>–</w:t>
      </w:r>
      <w:r w:rsidR="009F0126" w:rsidRPr="009F0126">
        <w:rPr>
          <w:rFonts w:cs="Calibri"/>
          <w:i/>
        </w:rPr>
        <w:t xml:space="preserve"> </w:t>
      </w:r>
      <w:r w:rsidR="009F0126" w:rsidRPr="00146B0E">
        <w:rPr>
          <w:rFonts w:cs="Calibri"/>
          <w:i/>
        </w:rPr>
        <w:t>Pohledávky za osobami mimo vybrané vládní instituce</w:t>
      </w:r>
      <w:r w:rsidRPr="00146B0E">
        <w:rPr>
          <w:rFonts w:cs="Calibri"/>
        </w:rPr>
        <w:t>, a to i p</w:t>
      </w:r>
      <w:r w:rsidR="00672F55">
        <w:rPr>
          <w:rFonts w:cs="Calibri"/>
        </w:rPr>
        <w:t>řesto, že se v případě MPO jednalo</w:t>
      </w:r>
      <w:r w:rsidRPr="00146B0E">
        <w:rPr>
          <w:rFonts w:cs="Calibri"/>
        </w:rPr>
        <w:t xml:space="preserve"> o významnou položku ÚZ</w:t>
      </w:r>
      <w:r w:rsidR="00822D03">
        <w:rPr>
          <w:rFonts w:cs="Calibri"/>
        </w:rPr>
        <w:t>;</w:t>
      </w:r>
    </w:p>
    <w:p w14:paraId="2FED53DF" w14:textId="77777777" w:rsidR="00827E24" w:rsidRPr="00827E24" w:rsidRDefault="00827E24" w:rsidP="001529C4">
      <w:pPr>
        <w:pStyle w:val="Odstavecseseznamem"/>
        <w:numPr>
          <w:ilvl w:val="0"/>
          <w:numId w:val="3"/>
        </w:numPr>
        <w:spacing w:after="0"/>
        <w:ind w:left="284" w:hanging="284"/>
        <w:contextualSpacing w:val="0"/>
        <w:jc w:val="both"/>
        <w:rPr>
          <w:rFonts w:cs="Calibri"/>
        </w:rPr>
      </w:pPr>
      <w:r>
        <w:rPr>
          <w:rFonts w:cs="Calibri"/>
          <w:b/>
        </w:rPr>
        <w:t>nezjistilo skutečný stav:</w:t>
      </w:r>
    </w:p>
    <w:p w14:paraId="3EB76748" w14:textId="7E24C48F" w:rsidR="001F4F92" w:rsidRPr="00827E24" w:rsidRDefault="00146B0E" w:rsidP="00822D03">
      <w:pPr>
        <w:pStyle w:val="Odstavecseseznamem"/>
        <w:numPr>
          <w:ilvl w:val="0"/>
          <w:numId w:val="19"/>
        </w:numPr>
        <w:spacing w:after="0"/>
        <w:ind w:left="567" w:hanging="283"/>
        <w:contextualSpacing w:val="0"/>
        <w:jc w:val="both"/>
        <w:rPr>
          <w:rFonts w:cs="Calibri"/>
        </w:rPr>
      </w:pPr>
      <w:r w:rsidRPr="00146B0E">
        <w:rPr>
          <w:rFonts w:cs="Calibri"/>
          <w:b/>
        </w:rPr>
        <w:t>podmíněných závazků z vydaných rozhodnutí</w:t>
      </w:r>
      <w:r w:rsidR="009F6022">
        <w:rPr>
          <w:rFonts w:cs="Calibri"/>
          <w:b/>
        </w:rPr>
        <w:t xml:space="preserve"> ve výši</w:t>
      </w:r>
      <w:r w:rsidR="00335B83">
        <w:rPr>
          <w:rFonts w:cs="Calibri"/>
          <w:b/>
        </w:rPr>
        <w:t xml:space="preserve"> téměř 15 mil. Kč</w:t>
      </w:r>
      <w:r w:rsidRPr="00BF36FD">
        <w:rPr>
          <w:rFonts w:cs="Calibri"/>
          <w:b/>
        </w:rPr>
        <w:t>,</w:t>
      </w:r>
      <w:r w:rsidRPr="00827E24">
        <w:rPr>
          <w:rFonts w:cs="Calibri"/>
        </w:rPr>
        <w:t xml:space="preserve"> které mělo MPO</w:t>
      </w:r>
      <w:r w:rsidR="009F6022">
        <w:rPr>
          <w:rFonts w:cs="Calibri"/>
        </w:rPr>
        <w:t xml:space="preserve"> k</w:t>
      </w:r>
      <w:r w:rsidR="001B480B">
        <w:rPr>
          <w:rFonts w:cs="Calibri"/>
        </w:rPr>
        <w:t xml:space="preserve"> 31. </w:t>
      </w:r>
      <w:r w:rsidR="0095162C">
        <w:rPr>
          <w:rFonts w:cs="Calibri"/>
        </w:rPr>
        <w:t>prosinci</w:t>
      </w:r>
      <w:r w:rsidR="001B480B">
        <w:rPr>
          <w:rFonts w:cs="Calibri"/>
        </w:rPr>
        <w:t xml:space="preserve"> 2020</w:t>
      </w:r>
      <w:r w:rsidRPr="00827E24">
        <w:rPr>
          <w:rFonts w:cs="Calibri"/>
        </w:rPr>
        <w:t xml:space="preserve"> vykázat </w:t>
      </w:r>
      <w:r w:rsidRPr="00146B0E">
        <w:rPr>
          <w:rFonts w:cs="Calibri"/>
          <w:b/>
        </w:rPr>
        <w:t>na ú</w:t>
      </w:r>
      <w:r w:rsidR="001F4F92" w:rsidRPr="00146B0E">
        <w:rPr>
          <w:rFonts w:cs="Calibri"/>
          <w:b/>
        </w:rPr>
        <w:t xml:space="preserve">čtu </w:t>
      </w:r>
      <w:r w:rsidRPr="00146B0E">
        <w:rPr>
          <w:rFonts w:cs="Calibri"/>
          <w:b/>
        </w:rPr>
        <w:t>916</w:t>
      </w:r>
      <w:r w:rsidR="007F42B0" w:rsidRPr="00827E24">
        <w:rPr>
          <w:rFonts w:cs="Calibri"/>
          <w:b/>
        </w:rPr>
        <w:t xml:space="preserve"> </w:t>
      </w:r>
      <w:r w:rsidR="007F42B0" w:rsidRPr="00827E24">
        <w:rPr>
          <w:rFonts w:cs="Calibri"/>
        </w:rPr>
        <w:t>–</w:t>
      </w:r>
      <w:r w:rsidR="001F4F92" w:rsidRPr="00827E24">
        <w:rPr>
          <w:rFonts w:cs="Calibri"/>
        </w:rPr>
        <w:t xml:space="preserve"> </w:t>
      </w:r>
      <w:r w:rsidR="001F4F92" w:rsidRPr="00827E24">
        <w:rPr>
          <w:rFonts w:cs="Calibri"/>
          <w:i/>
        </w:rPr>
        <w:t xml:space="preserve">Ostatní krátkodobé </w:t>
      </w:r>
      <w:r w:rsidRPr="00827E24">
        <w:rPr>
          <w:rFonts w:cs="Calibri"/>
          <w:i/>
        </w:rPr>
        <w:t>podmíněné závazky z</w:t>
      </w:r>
      <w:r w:rsidR="0033700B">
        <w:rPr>
          <w:rFonts w:cs="Calibri"/>
          <w:i/>
        </w:rPr>
        <w:t> </w:t>
      </w:r>
      <w:r w:rsidRPr="00827E24">
        <w:rPr>
          <w:rFonts w:cs="Calibri"/>
          <w:i/>
        </w:rPr>
        <w:t>transferů</w:t>
      </w:r>
      <w:r w:rsidR="001F4F92" w:rsidRPr="00827E24">
        <w:rPr>
          <w:rFonts w:cs="Calibri"/>
        </w:rPr>
        <w:t>,</w:t>
      </w:r>
    </w:p>
    <w:p w14:paraId="1D0203C2" w14:textId="77777777" w:rsidR="00146B0E" w:rsidRDefault="00146B0E" w:rsidP="00822D03">
      <w:pPr>
        <w:pStyle w:val="Odstavecseseznamem"/>
        <w:numPr>
          <w:ilvl w:val="0"/>
          <w:numId w:val="19"/>
        </w:numPr>
        <w:ind w:left="567" w:hanging="283"/>
        <w:contextualSpacing w:val="0"/>
        <w:jc w:val="both"/>
        <w:rPr>
          <w:rFonts w:cs="Calibri"/>
        </w:rPr>
      </w:pPr>
      <w:r w:rsidRPr="00672F55">
        <w:rPr>
          <w:rFonts w:cs="Calibri"/>
          <w:b/>
        </w:rPr>
        <w:t>krátkodobých podmíněných závazků z uzavřených smluv</w:t>
      </w:r>
      <w:r w:rsidR="009F6022">
        <w:rPr>
          <w:rFonts w:cs="Calibri"/>
          <w:b/>
        </w:rPr>
        <w:t xml:space="preserve"> ve výši</w:t>
      </w:r>
      <w:r w:rsidR="00335B83">
        <w:rPr>
          <w:rFonts w:cs="Calibri"/>
          <w:b/>
        </w:rPr>
        <w:t xml:space="preserve"> 30 mil. Kč</w:t>
      </w:r>
      <w:r w:rsidRPr="00BF36FD">
        <w:rPr>
          <w:rFonts w:cs="Calibri"/>
          <w:b/>
        </w:rPr>
        <w:t>,</w:t>
      </w:r>
      <w:r w:rsidRPr="00827E24">
        <w:rPr>
          <w:rFonts w:cs="Calibri"/>
        </w:rPr>
        <w:t xml:space="preserve"> které mělo MPO </w:t>
      </w:r>
      <w:r w:rsidR="009F6022">
        <w:rPr>
          <w:rFonts w:cs="Calibri"/>
        </w:rPr>
        <w:t>k</w:t>
      </w:r>
      <w:r w:rsidR="001B480B">
        <w:rPr>
          <w:rFonts w:cs="Calibri"/>
        </w:rPr>
        <w:t xml:space="preserve"> 31. </w:t>
      </w:r>
      <w:r w:rsidR="0095162C">
        <w:rPr>
          <w:rFonts w:cs="Calibri"/>
        </w:rPr>
        <w:t>prosinci</w:t>
      </w:r>
      <w:r w:rsidR="001B480B">
        <w:rPr>
          <w:rFonts w:cs="Calibri"/>
        </w:rPr>
        <w:t xml:space="preserve"> 2020</w:t>
      </w:r>
      <w:r w:rsidR="009F6022">
        <w:rPr>
          <w:rFonts w:cs="Calibri"/>
        </w:rPr>
        <w:t xml:space="preserve"> </w:t>
      </w:r>
      <w:r w:rsidRPr="00827E24">
        <w:rPr>
          <w:rFonts w:cs="Calibri"/>
        </w:rPr>
        <w:t xml:space="preserve">vykázat </w:t>
      </w:r>
      <w:r w:rsidR="009F6022" w:rsidRPr="009F6022">
        <w:rPr>
          <w:rFonts w:cs="Calibri"/>
          <w:b/>
        </w:rPr>
        <w:t>n</w:t>
      </w:r>
      <w:r w:rsidRPr="00672F55">
        <w:rPr>
          <w:rFonts w:cs="Calibri"/>
          <w:b/>
        </w:rPr>
        <w:t>a účtu 973</w:t>
      </w:r>
      <w:r w:rsidRPr="00827E24">
        <w:rPr>
          <w:rFonts w:cs="Calibri"/>
          <w:b/>
        </w:rPr>
        <w:t xml:space="preserve"> </w:t>
      </w:r>
      <w:r w:rsidRPr="00827E24">
        <w:rPr>
          <w:rFonts w:cs="Calibri"/>
        </w:rPr>
        <w:t xml:space="preserve">– </w:t>
      </w:r>
      <w:r w:rsidRPr="00827E24">
        <w:rPr>
          <w:rFonts w:cs="Calibri"/>
          <w:i/>
        </w:rPr>
        <w:t>Krátkodobé podmíněné závazky z jiných smluv</w:t>
      </w:r>
      <w:r w:rsidR="00672F55" w:rsidRPr="00827E24">
        <w:rPr>
          <w:rFonts w:cs="Calibri"/>
        </w:rPr>
        <w:t>.</w:t>
      </w:r>
    </w:p>
    <w:p w14:paraId="2F838A7E" w14:textId="404B1B81" w:rsidR="000333D7" w:rsidRPr="008B72E2" w:rsidRDefault="0075475D" w:rsidP="008B72E2">
      <w:pPr>
        <w:jc w:val="both"/>
        <w:rPr>
          <w:rFonts w:cs="Calibri"/>
          <w:b/>
        </w:rPr>
      </w:pPr>
      <w:r>
        <w:rPr>
          <w:rFonts w:cs="Calibri"/>
          <w:b/>
        </w:rPr>
        <w:t>MPO dále u</w:t>
      </w:r>
      <w:r w:rsidR="009F6022">
        <w:rPr>
          <w:rFonts w:cs="Calibri"/>
          <w:b/>
        </w:rPr>
        <w:t xml:space="preserve"> účtů 389</w:t>
      </w:r>
      <w:r w:rsidR="006750E2">
        <w:rPr>
          <w:rFonts w:cs="Calibri"/>
          <w:b/>
        </w:rPr>
        <w:t xml:space="preserve"> </w:t>
      </w:r>
      <w:r w:rsidR="006750E2" w:rsidRPr="003A523F">
        <w:rPr>
          <w:rFonts w:cs="Calibri"/>
          <w:b/>
        </w:rPr>
        <w:t>–</w:t>
      </w:r>
      <w:r w:rsidR="006750E2">
        <w:rPr>
          <w:rFonts w:cs="Calibri"/>
        </w:rPr>
        <w:t xml:space="preserve"> </w:t>
      </w:r>
      <w:r w:rsidR="009F6022" w:rsidRPr="00306821">
        <w:rPr>
          <w:rFonts w:cs="Calibri"/>
          <w:b/>
          <w:i/>
        </w:rPr>
        <w:t>Dohadné účty pasivní</w:t>
      </w:r>
      <w:r w:rsidR="00121228">
        <w:rPr>
          <w:rFonts w:cs="Calibri"/>
          <w:b/>
        </w:rPr>
        <w:t xml:space="preserve"> s vykázan</w:t>
      </w:r>
      <w:r w:rsidR="00873821">
        <w:rPr>
          <w:rFonts w:cs="Calibri"/>
          <w:b/>
        </w:rPr>
        <w:t>ým konečným zůstatkem ve výši 7 </w:t>
      </w:r>
      <w:r w:rsidR="00121228">
        <w:rPr>
          <w:rFonts w:cs="Calibri"/>
          <w:b/>
        </w:rPr>
        <w:t>mld. Kč</w:t>
      </w:r>
      <w:r w:rsidR="009F6022">
        <w:rPr>
          <w:rFonts w:cs="Calibri"/>
          <w:b/>
        </w:rPr>
        <w:t>, 905</w:t>
      </w:r>
      <w:r w:rsidR="006750E2">
        <w:rPr>
          <w:rFonts w:cs="Calibri"/>
          <w:b/>
        </w:rPr>
        <w:t xml:space="preserve"> </w:t>
      </w:r>
      <w:r w:rsidR="006750E2" w:rsidRPr="00EF192C">
        <w:rPr>
          <w:rFonts w:cs="Calibri"/>
          <w:b/>
        </w:rPr>
        <w:t>–</w:t>
      </w:r>
      <w:r w:rsidR="006750E2">
        <w:rPr>
          <w:rFonts w:cs="Calibri"/>
          <w:b/>
        </w:rPr>
        <w:t xml:space="preserve"> </w:t>
      </w:r>
      <w:r w:rsidR="009F6022" w:rsidRPr="00306821">
        <w:rPr>
          <w:rFonts w:cs="Calibri"/>
          <w:b/>
          <w:i/>
        </w:rPr>
        <w:t>Vyřazené pohledávky</w:t>
      </w:r>
      <w:r w:rsidR="00121228">
        <w:rPr>
          <w:rFonts w:cs="Calibri"/>
          <w:b/>
        </w:rPr>
        <w:t xml:space="preserve"> </w:t>
      </w:r>
      <w:r w:rsidR="00121228" w:rsidRPr="00121228">
        <w:rPr>
          <w:rFonts w:cs="Calibri"/>
        </w:rPr>
        <w:t>s vykázaným konečným zůstatkem ve výši 18,5 tis. Kč</w:t>
      </w:r>
      <w:r w:rsidR="00121228">
        <w:rPr>
          <w:rFonts w:cs="Calibri"/>
          <w:b/>
        </w:rPr>
        <w:t xml:space="preserve"> </w:t>
      </w:r>
      <w:r w:rsidR="009F6022">
        <w:rPr>
          <w:rFonts w:cs="Calibri"/>
          <w:b/>
        </w:rPr>
        <w:t>a 916</w:t>
      </w:r>
      <w:r w:rsidR="00D03D44">
        <w:rPr>
          <w:rFonts w:cs="Calibri"/>
          <w:b/>
        </w:rPr>
        <w:t> </w:t>
      </w:r>
      <w:r w:rsidR="006750E2" w:rsidRPr="00EF192C">
        <w:rPr>
          <w:rFonts w:cs="Calibri"/>
          <w:b/>
        </w:rPr>
        <w:t>–</w:t>
      </w:r>
      <w:r w:rsidR="00D03D44">
        <w:rPr>
          <w:rFonts w:cs="Calibri"/>
          <w:b/>
        </w:rPr>
        <w:t> </w:t>
      </w:r>
      <w:r w:rsidR="009F6022" w:rsidRPr="00306821">
        <w:rPr>
          <w:rFonts w:cs="Calibri"/>
          <w:b/>
          <w:i/>
        </w:rPr>
        <w:t>Ostatní krátkodobé podmíněné závazky z</w:t>
      </w:r>
      <w:r w:rsidR="00121228" w:rsidRPr="00306821">
        <w:rPr>
          <w:rFonts w:cs="Calibri"/>
          <w:b/>
          <w:i/>
        </w:rPr>
        <w:t> </w:t>
      </w:r>
      <w:r w:rsidR="009F6022" w:rsidRPr="00306821">
        <w:rPr>
          <w:rFonts w:cs="Calibri"/>
          <w:b/>
          <w:i/>
        </w:rPr>
        <w:t>transferů</w:t>
      </w:r>
      <w:r w:rsidR="00121228">
        <w:rPr>
          <w:rFonts w:cs="Calibri"/>
          <w:b/>
        </w:rPr>
        <w:t xml:space="preserve"> s vykázaným konečným zůstatkem 1,6 mld. Kč</w:t>
      </w:r>
      <w:r w:rsidR="009F6022">
        <w:rPr>
          <w:rFonts w:cs="Calibri"/>
          <w:b/>
        </w:rPr>
        <w:t xml:space="preserve"> </w:t>
      </w:r>
      <w:r>
        <w:rPr>
          <w:rFonts w:cs="Calibri"/>
          <w:b/>
        </w:rPr>
        <w:t>nezpracovalo</w:t>
      </w:r>
      <w:r w:rsidR="009F6022">
        <w:rPr>
          <w:rFonts w:cs="Calibri"/>
          <w:b/>
        </w:rPr>
        <w:t xml:space="preserve"> </w:t>
      </w:r>
      <w:r w:rsidR="008B72E2">
        <w:rPr>
          <w:rFonts w:cs="Calibri"/>
          <w:b/>
        </w:rPr>
        <w:t>i</w:t>
      </w:r>
      <w:r w:rsidR="008B72E2" w:rsidRPr="00BF7C8F">
        <w:rPr>
          <w:rFonts w:cs="Calibri"/>
          <w:b/>
        </w:rPr>
        <w:t xml:space="preserve">nventurní soupisy, jejich přílohy </w:t>
      </w:r>
      <w:r w:rsidR="009F6022">
        <w:rPr>
          <w:rFonts w:cs="Calibri"/>
          <w:b/>
        </w:rPr>
        <w:t>ani</w:t>
      </w:r>
      <w:r w:rsidR="008B72E2" w:rsidRPr="00BF7C8F">
        <w:rPr>
          <w:rFonts w:cs="Calibri"/>
          <w:b/>
        </w:rPr>
        <w:t xml:space="preserve"> inventarizační evidence </w:t>
      </w:r>
      <w:r w:rsidR="009F6022">
        <w:rPr>
          <w:rFonts w:cs="Calibri"/>
          <w:b/>
        </w:rPr>
        <w:t xml:space="preserve">tak, </w:t>
      </w:r>
      <w:r w:rsidR="001B480B">
        <w:rPr>
          <w:rFonts w:cs="Calibri"/>
          <w:b/>
        </w:rPr>
        <w:t xml:space="preserve">aby </w:t>
      </w:r>
      <w:r w:rsidR="009F6022">
        <w:rPr>
          <w:rFonts w:cs="Calibri"/>
          <w:b/>
        </w:rPr>
        <w:t>bylo možné jednoznačně určit</w:t>
      </w:r>
      <w:r w:rsidR="00121228">
        <w:rPr>
          <w:rFonts w:cs="Calibri"/>
          <w:b/>
        </w:rPr>
        <w:t xml:space="preserve"> všechny</w:t>
      </w:r>
      <w:r w:rsidR="009F6022">
        <w:rPr>
          <w:rFonts w:cs="Calibri"/>
          <w:b/>
        </w:rPr>
        <w:t xml:space="preserve"> jednotlivé položky, </w:t>
      </w:r>
      <w:r>
        <w:rPr>
          <w:rFonts w:cs="Calibri"/>
          <w:b/>
        </w:rPr>
        <w:t xml:space="preserve">ze kterých se </w:t>
      </w:r>
      <w:r w:rsidR="009F6022">
        <w:rPr>
          <w:rFonts w:cs="Calibri"/>
          <w:b/>
        </w:rPr>
        <w:t>celkový</w:t>
      </w:r>
      <w:r>
        <w:rPr>
          <w:rFonts w:cs="Calibri"/>
          <w:b/>
        </w:rPr>
        <w:t xml:space="preserve"> vykázaný</w:t>
      </w:r>
      <w:r w:rsidR="009F6022">
        <w:rPr>
          <w:rFonts w:cs="Calibri"/>
          <w:b/>
        </w:rPr>
        <w:t xml:space="preserve"> konečný zůstatek těchto účtů</w:t>
      </w:r>
      <w:r>
        <w:rPr>
          <w:rFonts w:cs="Calibri"/>
          <w:b/>
        </w:rPr>
        <w:t xml:space="preserve"> skládal. </w:t>
      </w:r>
      <w:r w:rsidR="009E5203">
        <w:rPr>
          <w:rFonts w:asciiTheme="minorHAnsi" w:hAnsiTheme="minorHAnsi" w:cstheme="minorHAnsi"/>
          <w:b/>
        </w:rPr>
        <w:t>MPO</w:t>
      </w:r>
      <w:r>
        <w:rPr>
          <w:rFonts w:asciiTheme="minorHAnsi" w:hAnsiTheme="minorHAnsi" w:cstheme="minorHAnsi"/>
          <w:b/>
        </w:rPr>
        <w:t xml:space="preserve"> </w:t>
      </w:r>
      <w:r w:rsidR="00822D03">
        <w:rPr>
          <w:rFonts w:asciiTheme="minorHAnsi" w:hAnsiTheme="minorHAnsi" w:cstheme="minorHAnsi"/>
          <w:b/>
        </w:rPr>
        <w:t>tedy</w:t>
      </w:r>
      <w:r w:rsidR="009E5203" w:rsidRPr="00E3593D">
        <w:rPr>
          <w:rFonts w:asciiTheme="minorHAnsi" w:hAnsiTheme="minorHAnsi" w:cstheme="minorHAnsi"/>
          <w:b/>
        </w:rPr>
        <w:t xml:space="preserve"> nevyhotovil</w:t>
      </w:r>
      <w:r w:rsidR="009E5203">
        <w:rPr>
          <w:rFonts w:asciiTheme="minorHAnsi" w:hAnsiTheme="minorHAnsi" w:cstheme="minorHAnsi"/>
          <w:b/>
        </w:rPr>
        <w:t>o</w:t>
      </w:r>
      <w:r w:rsidR="009E5203" w:rsidRPr="00E3593D">
        <w:rPr>
          <w:rFonts w:asciiTheme="minorHAnsi" w:hAnsiTheme="minorHAnsi" w:cstheme="minorHAnsi"/>
          <w:b/>
        </w:rPr>
        <w:t xml:space="preserve"> průkazné inventurní soupisy dle </w:t>
      </w:r>
      <w:r w:rsidR="00F64846" w:rsidRPr="00F64846">
        <w:rPr>
          <w:rFonts w:asciiTheme="minorHAnsi" w:hAnsiTheme="minorHAnsi" w:cstheme="minorHAnsi"/>
          <w:b/>
        </w:rPr>
        <w:t>zákona č. 563/1991 Sb</w:t>
      </w:r>
      <w:r>
        <w:rPr>
          <w:rFonts w:asciiTheme="minorHAnsi" w:hAnsiTheme="minorHAnsi" w:cstheme="minorHAnsi"/>
          <w:b/>
        </w:rPr>
        <w:t>.</w:t>
      </w:r>
      <w:r w:rsidR="009E5203" w:rsidRPr="00E3593D">
        <w:rPr>
          <w:rFonts w:asciiTheme="minorHAnsi" w:hAnsiTheme="minorHAnsi" w:cstheme="minorHAnsi"/>
          <w:b/>
        </w:rPr>
        <w:t xml:space="preserve"> </w:t>
      </w:r>
    </w:p>
    <w:p w14:paraId="6464C03D" w14:textId="206C847E" w:rsidR="00F34C02" w:rsidRPr="00F34C02" w:rsidRDefault="00F34C02" w:rsidP="0033700B">
      <w:pPr>
        <w:jc w:val="both"/>
        <w:rPr>
          <w:rFonts w:asciiTheme="minorHAnsi" w:hAnsiTheme="minorHAnsi" w:cstheme="minorHAnsi"/>
          <w:b/>
        </w:rPr>
      </w:pPr>
      <w:r>
        <w:rPr>
          <w:rFonts w:asciiTheme="minorHAnsi" w:hAnsiTheme="minorHAnsi" w:cstheme="minorHAnsi"/>
          <w:b/>
        </w:rPr>
        <w:t>Inventarizace majetku a závazků</w:t>
      </w:r>
      <w:r w:rsidR="008B72E2">
        <w:rPr>
          <w:rFonts w:asciiTheme="minorHAnsi" w:hAnsiTheme="minorHAnsi" w:cstheme="minorHAnsi"/>
          <w:b/>
        </w:rPr>
        <w:t xml:space="preserve"> </w:t>
      </w:r>
      <w:r>
        <w:rPr>
          <w:rFonts w:asciiTheme="minorHAnsi" w:hAnsiTheme="minorHAnsi" w:cstheme="minorHAnsi"/>
          <w:b/>
        </w:rPr>
        <w:t xml:space="preserve">v roce 2020 </w:t>
      </w:r>
      <w:r w:rsidR="000333D7">
        <w:rPr>
          <w:rFonts w:asciiTheme="minorHAnsi" w:hAnsiTheme="minorHAnsi" w:cstheme="minorHAnsi"/>
          <w:b/>
        </w:rPr>
        <w:t xml:space="preserve">tak </w:t>
      </w:r>
      <w:r>
        <w:rPr>
          <w:rFonts w:asciiTheme="minorHAnsi" w:hAnsiTheme="minorHAnsi" w:cstheme="minorHAnsi"/>
          <w:b/>
        </w:rPr>
        <w:t>nebyla</w:t>
      </w:r>
      <w:r w:rsidR="008B72E2">
        <w:rPr>
          <w:rFonts w:asciiTheme="minorHAnsi" w:hAnsiTheme="minorHAnsi" w:cstheme="minorHAnsi"/>
          <w:b/>
        </w:rPr>
        <w:t xml:space="preserve"> </w:t>
      </w:r>
      <w:r w:rsidR="0075475D">
        <w:rPr>
          <w:rFonts w:asciiTheme="minorHAnsi" w:hAnsiTheme="minorHAnsi" w:cstheme="minorHAnsi"/>
          <w:b/>
        </w:rPr>
        <w:t>u</w:t>
      </w:r>
      <w:r w:rsidR="008B72E2">
        <w:rPr>
          <w:rFonts w:asciiTheme="minorHAnsi" w:hAnsiTheme="minorHAnsi" w:cstheme="minorHAnsi"/>
          <w:b/>
        </w:rPr>
        <w:t xml:space="preserve"> MPO</w:t>
      </w:r>
      <w:r w:rsidR="00873821">
        <w:rPr>
          <w:rFonts w:asciiTheme="minorHAnsi" w:hAnsiTheme="minorHAnsi" w:cstheme="minorHAnsi"/>
          <w:b/>
        </w:rPr>
        <w:t xml:space="preserve"> v celém rozsahu majetku a </w:t>
      </w:r>
      <w:r w:rsidR="0075475D">
        <w:rPr>
          <w:rFonts w:asciiTheme="minorHAnsi" w:hAnsiTheme="minorHAnsi" w:cstheme="minorHAnsi"/>
          <w:b/>
        </w:rPr>
        <w:t>závazků</w:t>
      </w:r>
      <w:r>
        <w:rPr>
          <w:rFonts w:asciiTheme="minorHAnsi" w:hAnsiTheme="minorHAnsi" w:cstheme="minorHAnsi"/>
          <w:b/>
        </w:rPr>
        <w:t xml:space="preserve"> provedena v souladu se </w:t>
      </w:r>
      <w:r w:rsidR="00F64846" w:rsidRPr="00F64846">
        <w:rPr>
          <w:rFonts w:asciiTheme="minorHAnsi" w:hAnsiTheme="minorHAnsi" w:cstheme="minorHAnsi"/>
          <w:b/>
        </w:rPr>
        <w:t>zákon</w:t>
      </w:r>
      <w:r w:rsidR="00F64846">
        <w:rPr>
          <w:rFonts w:asciiTheme="minorHAnsi" w:hAnsiTheme="minorHAnsi" w:cstheme="minorHAnsi"/>
          <w:b/>
        </w:rPr>
        <w:t>em</w:t>
      </w:r>
      <w:r w:rsidR="00F64846" w:rsidRPr="00F64846">
        <w:rPr>
          <w:rFonts w:asciiTheme="minorHAnsi" w:hAnsiTheme="minorHAnsi" w:cstheme="minorHAnsi"/>
          <w:b/>
        </w:rPr>
        <w:t xml:space="preserve"> č. 563/1991 Sb.</w:t>
      </w:r>
      <w:r w:rsidR="00822D03">
        <w:rPr>
          <w:rFonts w:asciiTheme="minorHAnsi" w:hAnsiTheme="minorHAnsi" w:cstheme="minorHAnsi"/>
          <w:b/>
        </w:rPr>
        <w:t>,</w:t>
      </w:r>
      <w:r>
        <w:rPr>
          <w:rFonts w:asciiTheme="minorHAnsi" w:hAnsiTheme="minorHAnsi" w:cstheme="minorHAnsi"/>
          <w:b/>
        </w:rPr>
        <w:t xml:space="preserve"> a</w:t>
      </w:r>
      <w:r w:rsidRPr="00E3593D">
        <w:rPr>
          <w:rFonts w:asciiTheme="minorHAnsi" w:hAnsiTheme="minorHAnsi" w:cstheme="minorHAnsi"/>
          <w:b/>
        </w:rPr>
        <w:t> </w:t>
      </w:r>
      <w:r w:rsidR="009F6022">
        <w:rPr>
          <w:rFonts w:asciiTheme="minorHAnsi" w:hAnsiTheme="minorHAnsi" w:cstheme="minorHAnsi"/>
          <w:b/>
        </w:rPr>
        <w:t xml:space="preserve">v </w:t>
      </w:r>
      <w:r w:rsidRPr="00E3593D">
        <w:rPr>
          <w:rFonts w:asciiTheme="minorHAnsi" w:hAnsiTheme="minorHAnsi" w:cstheme="minorHAnsi"/>
          <w:b/>
        </w:rPr>
        <w:t xml:space="preserve">důsledku </w:t>
      </w:r>
      <w:r>
        <w:rPr>
          <w:rFonts w:asciiTheme="minorHAnsi" w:hAnsiTheme="minorHAnsi" w:cstheme="minorHAnsi"/>
          <w:b/>
        </w:rPr>
        <w:t xml:space="preserve">této </w:t>
      </w:r>
      <w:r w:rsidRPr="00E3593D">
        <w:rPr>
          <w:rFonts w:asciiTheme="minorHAnsi" w:hAnsiTheme="minorHAnsi" w:cstheme="minorHAnsi"/>
          <w:b/>
        </w:rPr>
        <w:t>skutečností nevedl</w:t>
      </w:r>
      <w:r>
        <w:rPr>
          <w:rFonts w:asciiTheme="minorHAnsi" w:hAnsiTheme="minorHAnsi" w:cstheme="minorHAnsi"/>
          <w:b/>
        </w:rPr>
        <w:t>o</w:t>
      </w:r>
      <w:r w:rsidR="008B72E2">
        <w:rPr>
          <w:rFonts w:asciiTheme="minorHAnsi" w:hAnsiTheme="minorHAnsi" w:cstheme="minorHAnsi"/>
          <w:b/>
        </w:rPr>
        <w:t xml:space="preserve"> MPO</w:t>
      </w:r>
      <w:r w:rsidRPr="00E3593D">
        <w:rPr>
          <w:rFonts w:asciiTheme="minorHAnsi" w:hAnsiTheme="minorHAnsi" w:cstheme="minorHAnsi"/>
          <w:b/>
        </w:rPr>
        <w:t xml:space="preserve"> </w:t>
      </w:r>
      <w:r>
        <w:rPr>
          <w:rFonts w:asciiTheme="minorHAnsi" w:hAnsiTheme="minorHAnsi" w:cstheme="minorHAnsi"/>
          <w:b/>
        </w:rPr>
        <w:t xml:space="preserve">v roce 2020 </w:t>
      </w:r>
      <w:r w:rsidRPr="00E3593D">
        <w:rPr>
          <w:rFonts w:asciiTheme="minorHAnsi" w:hAnsiTheme="minorHAnsi" w:cstheme="minorHAnsi"/>
          <w:b/>
        </w:rPr>
        <w:t>průkazné účetnictví dle</w:t>
      </w:r>
      <w:r w:rsidR="00873821">
        <w:rPr>
          <w:rFonts w:asciiTheme="minorHAnsi" w:hAnsiTheme="minorHAnsi" w:cstheme="minorHAnsi"/>
          <w:b/>
        </w:rPr>
        <w:t xml:space="preserve"> ustanovení </w:t>
      </w:r>
      <w:r w:rsidRPr="00E3593D">
        <w:rPr>
          <w:rFonts w:asciiTheme="minorHAnsi" w:hAnsiTheme="minorHAnsi" w:cstheme="minorHAnsi"/>
          <w:b/>
        </w:rPr>
        <w:t xml:space="preserve">§ 8 odst. 1 </w:t>
      </w:r>
      <w:r w:rsidR="00F64846" w:rsidRPr="00F64846">
        <w:rPr>
          <w:rFonts w:asciiTheme="minorHAnsi" w:hAnsiTheme="minorHAnsi" w:cstheme="minorHAnsi"/>
          <w:b/>
        </w:rPr>
        <w:t>zákona č.</w:t>
      </w:r>
      <w:r w:rsidR="00224ECC">
        <w:rPr>
          <w:rFonts w:asciiTheme="minorHAnsi" w:hAnsiTheme="minorHAnsi" w:cstheme="minorHAnsi"/>
          <w:b/>
        </w:rPr>
        <w:t> </w:t>
      </w:r>
      <w:r w:rsidR="00F64846" w:rsidRPr="00F64846">
        <w:rPr>
          <w:rFonts w:asciiTheme="minorHAnsi" w:hAnsiTheme="minorHAnsi" w:cstheme="minorHAnsi"/>
          <w:b/>
        </w:rPr>
        <w:t>563/1991</w:t>
      </w:r>
      <w:r w:rsidR="00224ECC">
        <w:rPr>
          <w:rFonts w:asciiTheme="minorHAnsi" w:hAnsiTheme="minorHAnsi" w:cstheme="minorHAnsi"/>
          <w:b/>
        </w:rPr>
        <w:t> </w:t>
      </w:r>
      <w:r w:rsidR="00F64846" w:rsidRPr="00F64846">
        <w:rPr>
          <w:rFonts w:asciiTheme="minorHAnsi" w:hAnsiTheme="minorHAnsi" w:cstheme="minorHAnsi"/>
          <w:b/>
        </w:rPr>
        <w:t>Sb</w:t>
      </w:r>
      <w:r w:rsidRPr="00E3593D">
        <w:rPr>
          <w:rFonts w:asciiTheme="minorHAnsi" w:hAnsiTheme="minorHAnsi" w:cstheme="minorHAnsi"/>
          <w:b/>
        </w:rPr>
        <w:t xml:space="preserve">. </w:t>
      </w:r>
    </w:p>
    <w:p w14:paraId="2DF45101" w14:textId="77777777" w:rsidR="001F4F92" w:rsidRPr="00006589" w:rsidRDefault="00366859" w:rsidP="0033700B">
      <w:pPr>
        <w:pStyle w:val="Nadpis2"/>
        <w:keepNext/>
        <w:numPr>
          <w:ilvl w:val="0"/>
          <w:numId w:val="0"/>
        </w:numPr>
        <w:spacing w:after="120" w:line="240" w:lineRule="auto"/>
        <w:contextualSpacing w:val="0"/>
        <w:rPr>
          <w:rFonts w:ascii="Calibri" w:hAnsi="Calibri" w:cs="Calibri"/>
          <w:lang w:eastAsia="cs-CZ"/>
        </w:rPr>
      </w:pPr>
      <w:r>
        <w:rPr>
          <w:rFonts w:ascii="Calibri" w:hAnsi="Calibri" w:cs="Calibri"/>
          <w:lang w:eastAsia="cs-CZ"/>
        </w:rPr>
        <w:t>5</w:t>
      </w:r>
      <w:r w:rsidR="001F4F92" w:rsidRPr="00006589">
        <w:rPr>
          <w:rFonts w:ascii="Calibri" w:hAnsi="Calibri" w:cs="Calibri"/>
          <w:lang w:eastAsia="cs-CZ"/>
        </w:rPr>
        <w:t>.</w:t>
      </w:r>
      <w:r w:rsidR="008724F0">
        <w:rPr>
          <w:rFonts w:ascii="Calibri" w:hAnsi="Calibri" w:cs="Calibri"/>
          <w:lang w:eastAsia="cs-CZ"/>
        </w:rPr>
        <w:t>2</w:t>
      </w:r>
      <w:r w:rsidR="001F4F92" w:rsidRPr="00006589">
        <w:rPr>
          <w:rFonts w:ascii="Calibri" w:hAnsi="Calibri" w:cs="Calibri"/>
          <w:lang w:eastAsia="cs-CZ"/>
        </w:rPr>
        <w:t xml:space="preserve"> Říd</w:t>
      </w:r>
      <w:r w:rsidR="00CB4ED4" w:rsidRPr="00006589">
        <w:rPr>
          <w:rFonts w:ascii="Calibri" w:hAnsi="Calibri" w:cs="Calibri"/>
          <w:lang w:eastAsia="cs-CZ"/>
        </w:rPr>
        <w:t>i</w:t>
      </w:r>
      <w:r w:rsidR="001F4F92" w:rsidRPr="00006589">
        <w:rPr>
          <w:rFonts w:ascii="Calibri" w:hAnsi="Calibri" w:cs="Calibri"/>
          <w:lang w:eastAsia="cs-CZ"/>
        </w:rPr>
        <w:t>cí kontrola</w:t>
      </w:r>
      <w:r w:rsidR="00624F83" w:rsidRPr="00006589">
        <w:rPr>
          <w:rFonts w:ascii="Calibri" w:hAnsi="Calibri" w:cs="Calibri"/>
          <w:lang w:eastAsia="cs-CZ"/>
        </w:rPr>
        <w:t xml:space="preserve"> po vzniku závazku</w:t>
      </w:r>
    </w:p>
    <w:p w14:paraId="10D4682F" w14:textId="77777777" w:rsidR="00A81C41" w:rsidRPr="00A81C41" w:rsidRDefault="00A81C41" w:rsidP="0033700B">
      <w:pPr>
        <w:spacing w:after="0"/>
        <w:jc w:val="both"/>
        <w:rPr>
          <w:rFonts w:cs="Calibri"/>
        </w:rPr>
      </w:pPr>
      <w:r>
        <w:rPr>
          <w:rFonts w:cs="Calibri"/>
        </w:rPr>
        <w:t xml:space="preserve">Kontrolou bylo </w:t>
      </w:r>
      <w:r w:rsidRPr="004B4AF0">
        <w:rPr>
          <w:rFonts w:cs="Calibri"/>
          <w:b/>
        </w:rPr>
        <w:t>prověřeno provádění předběžné řídicí kontroly při správě veřejných výdajů po vzniku závazku</w:t>
      </w:r>
      <w:r>
        <w:rPr>
          <w:rFonts w:cs="Calibri"/>
        </w:rPr>
        <w:t xml:space="preserve"> ve smyslu ustanovení § 14 vyhlášky č. 416/2004 Sb., a to v </w:t>
      </w:r>
      <w:r w:rsidR="00873821">
        <w:rPr>
          <w:rFonts w:cs="Calibri"/>
          <w:b/>
        </w:rPr>
        <w:t>rozsahu 170 </w:t>
      </w:r>
      <w:r w:rsidRPr="004B4AF0">
        <w:rPr>
          <w:rFonts w:cs="Calibri"/>
          <w:b/>
        </w:rPr>
        <w:t>finančních operací</w:t>
      </w:r>
      <w:r>
        <w:rPr>
          <w:rFonts w:cs="Calibri"/>
        </w:rPr>
        <w:t>. Bylo zjištěno, že</w:t>
      </w:r>
      <w:r w:rsidR="00EE1DA4">
        <w:rPr>
          <w:rFonts w:cs="Calibri"/>
        </w:rPr>
        <w:t>:</w:t>
      </w:r>
    </w:p>
    <w:p w14:paraId="3FAD9E3A" w14:textId="1C6AF4B7" w:rsidR="00A81C41" w:rsidRPr="005E63AE" w:rsidRDefault="00A81C41" w:rsidP="0033700B">
      <w:pPr>
        <w:pStyle w:val="Odstavecseseznamem"/>
        <w:numPr>
          <w:ilvl w:val="0"/>
          <w:numId w:val="6"/>
        </w:numPr>
        <w:spacing w:after="0"/>
        <w:ind w:left="284" w:hanging="284"/>
        <w:contextualSpacing w:val="0"/>
        <w:jc w:val="both"/>
        <w:rPr>
          <w:rFonts w:cs="Calibri"/>
          <w:b/>
        </w:rPr>
      </w:pPr>
      <w:r w:rsidRPr="004B4AF0">
        <w:rPr>
          <w:rFonts w:asciiTheme="minorHAnsi" w:hAnsiTheme="minorHAnsi" w:cstheme="minorHAnsi"/>
          <w:b/>
          <w:bCs/>
          <w:iCs/>
        </w:rPr>
        <w:t xml:space="preserve">MPO u výdajů, které </w:t>
      </w:r>
      <w:r w:rsidR="00A1236E">
        <w:rPr>
          <w:rFonts w:asciiTheme="minorHAnsi" w:hAnsiTheme="minorHAnsi" w:cstheme="minorHAnsi"/>
          <w:b/>
          <w:bCs/>
          <w:iCs/>
        </w:rPr>
        <w:t xml:space="preserve">v rozpočtové skladbě </w:t>
      </w:r>
      <w:r w:rsidRPr="004B4AF0">
        <w:rPr>
          <w:rFonts w:asciiTheme="minorHAnsi" w:hAnsiTheme="minorHAnsi" w:cstheme="minorHAnsi"/>
          <w:b/>
          <w:bCs/>
          <w:iCs/>
        </w:rPr>
        <w:t>zatřiďovalo</w:t>
      </w:r>
      <w:r w:rsidR="00744482" w:rsidRPr="004B4AF0">
        <w:rPr>
          <w:rFonts w:asciiTheme="minorHAnsi" w:hAnsiTheme="minorHAnsi" w:cstheme="minorHAnsi"/>
          <w:b/>
          <w:bCs/>
          <w:iCs/>
        </w:rPr>
        <w:t xml:space="preserve"> na paragraf 2161</w:t>
      </w:r>
      <w:r w:rsidR="00744482" w:rsidRPr="00A81C41">
        <w:rPr>
          <w:rFonts w:asciiTheme="minorHAnsi" w:hAnsiTheme="minorHAnsi" w:cstheme="minorHAnsi"/>
          <w:bCs/>
          <w:iCs/>
        </w:rPr>
        <w:t xml:space="preserve"> – </w:t>
      </w:r>
      <w:r w:rsidR="00744482" w:rsidRPr="00A81C41">
        <w:rPr>
          <w:rFonts w:asciiTheme="minorHAnsi" w:hAnsiTheme="minorHAnsi" w:cstheme="minorHAnsi"/>
          <w:bCs/>
          <w:i/>
          <w:iCs/>
        </w:rPr>
        <w:t>Činnost ústředního orgánu státní správy v odvětví energetiky, průmyslu, stavebnictví, obchodu a</w:t>
      </w:r>
      <w:r w:rsidR="00873821">
        <w:rPr>
          <w:rFonts w:asciiTheme="minorHAnsi" w:hAnsiTheme="minorHAnsi" w:cstheme="minorHAnsi"/>
          <w:bCs/>
          <w:i/>
          <w:iCs/>
        </w:rPr>
        <w:t> </w:t>
      </w:r>
      <w:r w:rsidR="00744482" w:rsidRPr="00A81C41">
        <w:rPr>
          <w:rFonts w:asciiTheme="minorHAnsi" w:hAnsiTheme="minorHAnsi" w:cstheme="minorHAnsi"/>
          <w:bCs/>
          <w:i/>
          <w:iCs/>
        </w:rPr>
        <w:t>služeb</w:t>
      </w:r>
      <w:r w:rsidRPr="00A81C41">
        <w:rPr>
          <w:rFonts w:asciiTheme="minorHAnsi" w:hAnsiTheme="minorHAnsi" w:cstheme="minorHAnsi"/>
          <w:bCs/>
          <w:iCs/>
        </w:rPr>
        <w:t xml:space="preserve"> </w:t>
      </w:r>
      <w:r w:rsidRPr="004B4AF0">
        <w:rPr>
          <w:rFonts w:asciiTheme="minorHAnsi" w:hAnsiTheme="minorHAnsi" w:cstheme="minorHAnsi"/>
          <w:b/>
          <w:bCs/>
          <w:iCs/>
        </w:rPr>
        <w:t>neprovádělo</w:t>
      </w:r>
      <w:r w:rsidR="00744482" w:rsidRPr="004B4AF0">
        <w:rPr>
          <w:rFonts w:asciiTheme="minorHAnsi" w:hAnsiTheme="minorHAnsi" w:cstheme="minorHAnsi"/>
          <w:b/>
          <w:bCs/>
          <w:iCs/>
        </w:rPr>
        <w:t xml:space="preserve"> předběžnou řídicí kontrolu po vzniku závazku z pozice hlavního účetního svými pověřenými zaměstnanci</w:t>
      </w:r>
      <w:r w:rsidR="00050BF8" w:rsidRPr="00BC5704">
        <w:rPr>
          <w:rFonts w:asciiTheme="minorHAnsi" w:hAnsiTheme="minorHAnsi" w:cstheme="minorHAnsi"/>
          <w:b/>
          <w:bCs/>
          <w:iCs/>
        </w:rPr>
        <w:t>,</w:t>
      </w:r>
      <w:r w:rsidR="00050BF8">
        <w:rPr>
          <w:rFonts w:asciiTheme="minorHAnsi" w:hAnsiTheme="minorHAnsi" w:cstheme="minorHAnsi"/>
          <w:bCs/>
          <w:iCs/>
        </w:rPr>
        <w:t xml:space="preserve"> nýbrž zaměstnanci PO</w:t>
      </w:r>
      <w:r w:rsidR="00744482" w:rsidRPr="00A81C41">
        <w:rPr>
          <w:rFonts w:asciiTheme="minorHAnsi" w:hAnsiTheme="minorHAnsi" w:cstheme="minorHAnsi"/>
          <w:bCs/>
          <w:iCs/>
        </w:rPr>
        <w:t xml:space="preserve"> Správa služeb MPO</w:t>
      </w:r>
      <w:r w:rsidR="00744482" w:rsidRPr="00BF36FD">
        <w:rPr>
          <w:rFonts w:asciiTheme="minorHAnsi" w:hAnsiTheme="minorHAnsi" w:cstheme="minorHAnsi"/>
          <w:bCs/>
          <w:iCs/>
        </w:rPr>
        <w:t>.</w:t>
      </w:r>
      <w:r w:rsidR="007D3B53" w:rsidRPr="00C406E6">
        <w:rPr>
          <w:rFonts w:asciiTheme="minorHAnsi" w:hAnsiTheme="minorHAnsi" w:cstheme="minorHAnsi"/>
          <w:b/>
          <w:bCs/>
          <w:iCs/>
        </w:rPr>
        <w:t xml:space="preserve"> </w:t>
      </w:r>
      <w:r w:rsidR="00873821">
        <w:rPr>
          <w:rFonts w:asciiTheme="minorHAnsi" w:hAnsiTheme="minorHAnsi" w:cstheme="minorHAnsi"/>
          <w:b/>
          <w:bCs/>
          <w:iCs/>
        </w:rPr>
        <w:t>K 1. </w:t>
      </w:r>
      <w:r w:rsidR="00C406E6" w:rsidRPr="00C406E6">
        <w:rPr>
          <w:rFonts w:asciiTheme="minorHAnsi" w:hAnsiTheme="minorHAnsi" w:cstheme="minorHAnsi"/>
          <w:b/>
          <w:bCs/>
          <w:iCs/>
        </w:rPr>
        <w:t>lednu 2020 došlo k převodu části agendy finanční účtárny MPO na</w:t>
      </w:r>
      <w:r w:rsidR="00C406E6">
        <w:rPr>
          <w:rFonts w:asciiTheme="minorHAnsi" w:hAnsiTheme="minorHAnsi" w:cstheme="minorHAnsi"/>
          <w:b/>
          <w:bCs/>
          <w:iCs/>
        </w:rPr>
        <w:t xml:space="preserve"> podřízenou </w:t>
      </w:r>
      <w:r w:rsidR="007D1797">
        <w:rPr>
          <w:rFonts w:asciiTheme="minorHAnsi" w:hAnsiTheme="minorHAnsi" w:cstheme="minorHAnsi"/>
          <w:b/>
          <w:bCs/>
          <w:iCs/>
        </w:rPr>
        <w:t>PO</w:t>
      </w:r>
      <w:r w:rsidR="00C406E6" w:rsidRPr="00C406E6">
        <w:rPr>
          <w:rFonts w:asciiTheme="minorHAnsi" w:hAnsiTheme="minorHAnsi" w:cstheme="minorHAnsi"/>
          <w:b/>
          <w:bCs/>
          <w:iCs/>
        </w:rPr>
        <w:t xml:space="preserve"> Správ</w:t>
      </w:r>
      <w:r w:rsidR="00C406E6">
        <w:rPr>
          <w:rFonts w:asciiTheme="minorHAnsi" w:hAnsiTheme="minorHAnsi" w:cstheme="minorHAnsi"/>
          <w:b/>
          <w:bCs/>
          <w:iCs/>
        </w:rPr>
        <w:t>a</w:t>
      </w:r>
      <w:r w:rsidR="00C406E6" w:rsidRPr="00C406E6">
        <w:rPr>
          <w:rFonts w:asciiTheme="minorHAnsi" w:hAnsiTheme="minorHAnsi" w:cstheme="minorHAnsi"/>
          <w:b/>
          <w:bCs/>
          <w:iCs/>
        </w:rPr>
        <w:t xml:space="preserve"> služeb MPO. Tímto převodem ale nemůže současně dojít k převodu funkce hlavní účetní. Takový postup je v rozporu s platnými právními předpisy, neboť jej</w:t>
      </w:r>
      <w:r w:rsidRPr="00C406E6">
        <w:rPr>
          <w:rFonts w:asciiTheme="minorHAnsi" w:hAnsiTheme="minorHAnsi" w:cstheme="minorHAnsi"/>
          <w:b/>
          <w:bCs/>
          <w:iCs/>
        </w:rPr>
        <w:t xml:space="preserve"> </w:t>
      </w:r>
      <w:r w:rsidR="00D96176" w:rsidRPr="00C406E6">
        <w:rPr>
          <w:rFonts w:asciiTheme="minorHAnsi" w:hAnsiTheme="minorHAnsi" w:cstheme="minorHAnsi"/>
          <w:b/>
          <w:bCs/>
          <w:iCs/>
        </w:rPr>
        <w:t>ne</w:t>
      </w:r>
      <w:r w:rsidR="004B4AF0" w:rsidRPr="00C406E6">
        <w:rPr>
          <w:rFonts w:asciiTheme="minorHAnsi" w:hAnsiTheme="minorHAnsi" w:cstheme="minorHAnsi"/>
          <w:b/>
          <w:bCs/>
          <w:iCs/>
        </w:rPr>
        <w:t xml:space="preserve">umožňuje </w:t>
      </w:r>
      <w:r w:rsidRPr="00C406E6">
        <w:rPr>
          <w:rFonts w:asciiTheme="minorHAnsi" w:hAnsiTheme="minorHAnsi" w:cstheme="minorHAnsi"/>
          <w:b/>
          <w:bCs/>
          <w:iCs/>
        </w:rPr>
        <w:t xml:space="preserve">zákon </w:t>
      </w:r>
      <w:r w:rsidR="007B589C">
        <w:rPr>
          <w:rFonts w:asciiTheme="minorHAnsi" w:hAnsiTheme="minorHAnsi" w:cstheme="minorHAnsi"/>
          <w:b/>
          <w:bCs/>
          <w:iCs/>
        </w:rPr>
        <w:t>č. 320/2001 Sb</w:t>
      </w:r>
      <w:r w:rsidR="00C406E6" w:rsidRPr="00C406E6">
        <w:rPr>
          <w:rFonts w:asciiTheme="minorHAnsi" w:hAnsiTheme="minorHAnsi" w:cstheme="minorHAnsi"/>
          <w:b/>
          <w:bCs/>
          <w:iCs/>
        </w:rPr>
        <w:t xml:space="preserve">. </w:t>
      </w:r>
      <w:r w:rsidR="00C406E6" w:rsidRPr="00300B43">
        <w:rPr>
          <w:rFonts w:asciiTheme="minorHAnsi" w:hAnsiTheme="minorHAnsi" w:cstheme="minorHAnsi"/>
          <w:b/>
          <w:bCs/>
          <w:iCs/>
        </w:rPr>
        <w:t>Předb</w:t>
      </w:r>
      <w:r w:rsidR="00744482" w:rsidRPr="00300B43">
        <w:rPr>
          <w:rFonts w:asciiTheme="minorHAnsi" w:hAnsiTheme="minorHAnsi" w:cstheme="minorHAnsi"/>
          <w:b/>
          <w:bCs/>
          <w:iCs/>
        </w:rPr>
        <w:t>ěžn</w:t>
      </w:r>
      <w:r w:rsidR="007D3B53" w:rsidRPr="00300B43">
        <w:rPr>
          <w:rFonts w:asciiTheme="minorHAnsi" w:hAnsiTheme="minorHAnsi" w:cstheme="minorHAnsi"/>
          <w:b/>
          <w:bCs/>
          <w:iCs/>
        </w:rPr>
        <w:t xml:space="preserve">ou </w:t>
      </w:r>
      <w:r w:rsidR="00744482" w:rsidRPr="00300B43">
        <w:rPr>
          <w:rFonts w:asciiTheme="minorHAnsi" w:hAnsiTheme="minorHAnsi" w:cstheme="minorHAnsi"/>
          <w:b/>
          <w:bCs/>
          <w:iCs/>
        </w:rPr>
        <w:t>řídicí kontrol</w:t>
      </w:r>
      <w:r w:rsidR="007D3B53" w:rsidRPr="00300B43">
        <w:rPr>
          <w:rFonts w:asciiTheme="minorHAnsi" w:hAnsiTheme="minorHAnsi" w:cstheme="minorHAnsi"/>
          <w:b/>
          <w:bCs/>
          <w:iCs/>
        </w:rPr>
        <w:t xml:space="preserve">u mohou dle </w:t>
      </w:r>
      <w:r w:rsidRPr="00300B43">
        <w:rPr>
          <w:rFonts w:asciiTheme="minorHAnsi" w:hAnsiTheme="minorHAnsi" w:cstheme="minorHAnsi"/>
          <w:b/>
          <w:bCs/>
          <w:iCs/>
        </w:rPr>
        <w:t xml:space="preserve">tohoto </w:t>
      </w:r>
      <w:r w:rsidR="007D3B53" w:rsidRPr="00300B43">
        <w:rPr>
          <w:rFonts w:asciiTheme="minorHAnsi" w:hAnsiTheme="minorHAnsi" w:cstheme="minorHAnsi"/>
          <w:b/>
          <w:bCs/>
          <w:iCs/>
        </w:rPr>
        <w:t xml:space="preserve">zákona vykonávat </w:t>
      </w:r>
      <w:r w:rsidRPr="00300B43">
        <w:rPr>
          <w:rFonts w:asciiTheme="minorHAnsi" w:hAnsiTheme="minorHAnsi" w:cstheme="minorHAnsi"/>
          <w:b/>
          <w:bCs/>
          <w:iCs/>
        </w:rPr>
        <w:t xml:space="preserve">výlučně zaměstnanci </w:t>
      </w:r>
      <w:r w:rsidR="007D3B53" w:rsidRPr="00300B43">
        <w:rPr>
          <w:rFonts w:asciiTheme="minorHAnsi" w:hAnsiTheme="minorHAnsi" w:cstheme="minorHAnsi"/>
          <w:b/>
          <w:bCs/>
          <w:iCs/>
        </w:rPr>
        <w:t>orgánu veřejné správy</w:t>
      </w:r>
      <w:r w:rsidRPr="00300B43">
        <w:rPr>
          <w:rFonts w:asciiTheme="minorHAnsi" w:hAnsiTheme="minorHAnsi" w:cstheme="minorHAnsi"/>
          <w:b/>
          <w:bCs/>
          <w:iCs/>
        </w:rPr>
        <w:t>, jehož finanční operace se takto schvalují</w:t>
      </w:r>
      <w:r w:rsidR="007D3B53" w:rsidRPr="00BC5704">
        <w:rPr>
          <w:rFonts w:asciiTheme="minorHAnsi" w:hAnsiTheme="minorHAnsi" w:cstheme="minorHAnsi"/>
          <w:b/>
          <w:bCs/>
          <w:iCs/>
        </w:rPr>
        <w:t>.</w:t>
      </w:r>
      <w:r w:rsidR="00C406E6" w:rsidRPr="00300B43">
        <w:rPr>
          <w:rFonts w:asciiTheme="minorHAnsi" w:hAnsiTheme="minorHAnsi" w:cstheme="minorHAnsi"/>
          <w:b/>
          <w:bCs/>
          <w:iCs/>
          <w:u w:val="single"/>
        </w:rPr>
        <w:t xml:space="preserve"> </w:t>
      </w:r>
      <w:r w:rsidR="00AA18A0" w:rsidRPr="005E63AE">
        <w:rPr>
          <w:rFonts w:asciiTheme="minorHAnsi" w:hAnsiTheme="minorHAnsi" w:cstheme="minorHAnsi"/>
          <w:b/>
          <w:bCs/>
          <w:iCs/>
        </w:rPr>
        <w:t xml:space="preserve">Zaměstnanec </w:t>
      </w:r>
      <w:r w:rsidR="00C406E6" w:rsidRPr="005E63AE">
        <w:rPr>
          <w:rFonts w:asciiTheme="minorHAnsi" w:hAnsiTheme="minorHAnsi" w:cstheme="minorHAnsi"/>
          <w:b/>
          <w:bCs/>
          <w:iCs/>
        </w:rPr>
        <w:t xml:space="preserve">podřízené </w:t>
      </w:r>
      <w:r w:rsidR="007D1797" w:rsidRPr="005E63AE">
        <w:rPr>
          <w:rFonts w:asciiTheme="minorHAnsi" w:hAnsiTheme="minorHAnsi" w:cstheme="minorHAnsi"/>
          <w:b/>
          <w:bCs/>
          <w:iCs/>
        </w:rPr>
        <w:t>PO</w:t>
      </w:r>
      <w:r w:rsidR="00C406E6" w:rsidRPr="005E63AE">
        <w:rPr>
          <w:rFonts w:asciiTheme="minorHAnsi" w:hAnsiTheme="minorHAnsi" w:cstheme="minorHAnsi"/>
          <w:b/>
          <w:bCs/>
          <w:iCs/>
        </w:rPr>
        <w:t xml:space="preserve"> nemůže být k takové kontrole pověřen.</w:t>
      </w:r>
      <w:r w:rsidR="008724F0" w:rsidRPr="005E63AE">
        <w:rPr>
          <w:rFonts w:asciiTheme="minorHAnsi" w:hAnsiTheme="minorHAnsi" w:cstheme="minorHAnsi"/>
          <w:b/>
          <w:bCs/>
          <w:iCs/>
        </w:rPr>
        <w:t xml:space="preserve"> Podpisový vzor</w:t>
      </w:r>
      <w:r w:rsidR="00C406E6" w:rsidRPr="005E63AE">
        <w:rPr>
          <w:rFonts w:asciiTheme="minorHAnsi" w:hAnsiTheme="minorHAnsi" w:cstheme="minorHAnsi"/>
          <w:b/>
          <w:bCs/>
          <w:iCs/>
        </w:rPr>
        <w:t xml:space="preserve"> pro pozici hlavní účetní jako zaměstnance </w:t>
      </w:r>
      <w:r w:rsidR="007D1797" w:rsidRPr="005E63AE">
        <w:rPr>
          <w:rFonts w:asciiTheme="minorHAnsi" w:hAnsiTheme="minorHAnsi" w:cstheme="minorHAnsi"/>
          <w:b/>
          <w:bCs/>
          <w:iCs/>
        </w:rPr>
        <w:t>PO</w:t>
      </w:r>
      <w:r w:rsidR="008724F0" w:rsidRPr="005E63AE">
        <w:rPr>
          <w:rFonts w:asciiTheme="minorHAnsi" w:hAnsiTheme="minorHAnsi" w:cstheme="minorHAnsi"/>
          <w:b/>
          <w:bCs/>
          <w:iCs/>
        </w:rPr>
        <w:t xml:space="preserve"> byl </w:t>
      </w:r>
      <w:r w:rsidR="00C406E6" w:rsidRPr="005E63AE">
        <w:rPr>
          <w:rFonts w:asciiTheme="minorHAnsi" w:hAnsiTheme="minorHAnsi" w:cstheme="minorHAnsi"/>
          <w:b/>
          <w:bCs/>
          <w:iCs/>
        </w:rPr>
        <w:t xml:space="preserve">přesto </w:t>
      </w:r>
      <w:r w:rsidR="008724F0" w:rsidRPr="005E63AE">
        <w:rPr>
          <w:rFonts w:asciiTheme="minorHAnsi" w:hAnsiTheme="minorHAnsi" w:cstheme="minorHAnsi"/>
          <w:b/>
          <w:bCs/>
          <w:iCs/>
        </w:rPr>
        <w:t>zpracován</w:t>
      </w:r>
      <w:r w:rsidR="00300B43" w:rsidRPr="005E63AE">
        <w:rPr>
          <w:rFonts w:asciiTheme="minorHAnsi" w:hAnsiTheme="minorHAnsi" w:cstheme="minorHAnsi"/>
          <w:b/>
          <w:bCs/>
          <w:iCs/>
        </w:rPr>
        <w:t>. N</w:t>
      </w:r>
      <w:r w:rsidR="00C406E6" w:rsidRPr="005E63AE">
        <w:rPr>
          <w:rFonts w:asciiTheme="minorHAnsi" w:hAnsiTheme="minorHAnsi" w:cstheme="minorHAnsi"/>
          <w:b/>
          <w:bCs/>
          <w:iCs/>
        </w:rPr>
        <w:t xml:space="preserve">ebyl </w:t>
      </w:r>
      <w:r w:rsidR="008724F0" w:rsidRPr="005E63AE">
        <w:rPr>
          <w:rFonts w:asciiTheme="minorHAnsi" w:hAnsiTheme="minorHAnsi" w:cstheme="minorHAnsi"/>
          <w:b/>
          <w:bCs/>
          <w:iCs/>
        </w:rPr>
        <w:t>ale</w:t>
      </w:r>
      <w:r w:rsidR="00C406E6" w:rsidRPr="005E63AE">
        <w:rPr>
          <w:rFonts w:asciiTheme="minorHAnsi" w:hAnsiTheme="minorHAnsi" w:cstheme="minorHAnsi"/>
          <w:b/>
          <w:bCs/>
          <w:iCs/>
        </w:rPr>
        <w:t xml:space="preserve"> s</w:t>
      </w:r>
      <w:r w:rsidR="008724F0" w:rsidRPr="005E63AE">
        <w:rPr>
          <w:rFonts w:asciiTheme="minorHAnsi" w:hAnsiTheme="minorHAnsi" w:cstheme="minorHAnsi"/>
          <w:b/>
          <w:bCs/>
          <w:iCs/>
        </w:rPr>
        <w:t>chválen ministrem</w:t>
      </w:r>
      <w:r w:rsidR="00300B43" w:rsidRPr="005E63AE">
        <w:rPr>
          <w:rFonts w:asciiTheme="minorHAnsi" w:hAnsiTheme="minorHAnsi" w:cstheme="minorHAnsi"/>
          <w:b/>
          <w:bCs/>
          <w:iCs/>
        </w:rPr>
        <w:t>, takže k pověření výkonu této kontroly nedošlo, přesto byla v praxi průběžně realizována</w:t>
      </w:r>
      <w:r w:rsidR="00822D03">
        <w:rPr>
          <w:rFonts w:asciiTheme="minorHAnsi" w:hAnsiTheme="minorHAnsi" w:cstheme="minorHAnsi"/>
          <w:b/>
          <w:bCs/>
          <w:iCs/>
        </w:rPr>
        <w:t>,</w:t>
      </w:r>
      <w:r w:rsidR="00F22491" w:rsidRPr="005E63AE">
        <w:rPr>
          <w:rFonts w:asciiTheme="minorHAnsi" w:hAnsiTheme="minorHAnsi" w:cstheme="minorHAnsi"/>
          <w:b/>
          <w:bCs/>
          <w:iCs/>
        </w:rPr>
        <w:t xml:space="preserve"> a</w:t>
      </w:r>
      <w:r w:rsidR="00F22491" w:rsidRPr="005E63AE">
        <w:rPr>
          <w:rFonts w:eastAsiaTheme="minorHAnsi" w:cs="Calibri"/>
          <w:b/>
        </w:rPr>
        <w:t xml:space="preserve"> schvalovala tak výdaje na vlastní činnost MPO v roce 2020.</w:t>
      </w:r>
    </w:p>
    <w:p w14:paraId="029BF808" w14:textId="03468DBB" w:rsidR="00D96176" w:rsidRPr="005E63AE" w:rsidRDefault="00C406E6" w:rsidP="0033700B">
      <w:pPr>
        <w:pStyle w:val="Odstavecseseznamem"/>
        <w:numPr>
          <w:ilvl w:val="0"/>
          <w:numId w:val="6"/>
        </w:numPr>
        <w:spacing w:after="0"/>
        <w:ind w:left="284" w:hanging="284"/>
        <w:contextualSpacing w:val="0"/>
        <w:jc w:val="both"/>
        <w:rPr>
          <w:rFonts w:cs="Calibri"/>
        </w:rPr>
      </w:pPr>
      <w:r w:rsidRPr="005E63AE">
        <w:rPr>
          <w:rFonts w:cs="Calibri"/>
          <w:b/>
        </w:rPr>
        <w:t>V</w:t>
      </w:r>
      <w:r w:rsidR="00D96176" w:rsidRPr="005E63AE">
        <w:rPr>
          <w:rFonts w:cs="Calibri"/>
          <w:b/>
        </w:rPr>
        <w:t xml:space="preserve"> jednom případě schválil z pozice příkazce operace a současně z pozice hlavního účetního veřejný výdaj MPO </w:t>
      </w:r>
      <w:r w:rsidR="00050BF8" w:rsidRPr="005E63AE">
        <w:rPr>
          <w:rFonts w:asciiTheme="minorHAnsi" w:hAnsiTheme="minorHAnsi" w:cstheme="minorHAnsi"/>
          <w:b/>
          <w:bCs/>
          <w:iCs/>
        </w:rPr>
        <w:t xml:space="preserve">zaměstnanec </w:t>
      </w:r>
      <w:r w:rsidR="007D1797" w:rsidRPr="005E63AE">
        <w:rPr>
          <w:rFonts w:asciiTheme="minorHAnsi" w:hAnsiTheme="minorHAnsi" w:cstheme="minorHAnsi"/>
          <w:b/>
          <w:bCs/>
          <w:iCs/>
        </w:rPr>
        <w:t>PO</w:t>
      </w:r>
      <w:r w:rsidR="00D96176" w:rsidRPr="005E63AE">
        <w:rPr>
          <w:rFonts w:asciiTheme="minorHAnsi" w:hAnsiTheme="minorHAnsi" w:cstheme="minorHAnsi"/>
          <w:bCs/>
          <w:iCs/>
        </w:rPr>
        <w:t xml:space="preserve"> </w:t>
      </w:r>
      <w:r w:rsidR="00D96176" w:rsidRPr="005E63AE">
        <w:rPr>
          <w:rFonts w:asciiTheme="minorHAnsi" w:hAnsiTheme="minorHAnsi" w:cstheme="minorHAnsi"/>
          <w:b/>
          <w:bCs/>
          <w:iCs/>
        </w:rPr>
        <w:t xml:space="preserve">Správa služeb MPO, </w:t>
      </w:r>
      <w:r w:rsidRPr="005E63AE">
        <w:rPr>
          <w:rFonts w:asciiTheme="minorHAnsi" w:hAnsiTheme="minorHAnsi" w:cstheme="minorHAnsi"/>
          <w:b/>
          <w:bCs/>
          <w:iCs/>
        </w:rPr>
        <w:t xml:space="preserve">který k takové kontrole nebyl </w:t>
      </w:r>
      <w:r w:rsidR="00300B43" w:rsidRPr="005E63AE">
        <w:rPr>
          <w:rFonts w:asciiTheme="minorHAnsi" w:hAnsiTheme="minorHAnsi" w:cstheme="minorHAnsi"/>
          <w:b/>
          <w:bCs/>
          <w:iCs/>
        </w:rPr>
        <w:t>pověřen</w:t>
      </w:r>
      <w:r w:rsidR="00822D03">
        <w:rPr>
          <w:rFonts w:asciiTheme="minorHAnsi" w:hAnsiTheme="minorHAnsi" w:cstheme="minorHAnsi"/>
          <w:b/>
          <w:bCs/>
          <w:iCs/>
        </w:rPr>
        <w:t>,</w:t>
      </w:r>
      <w:r w:rsidRPr="005E63AE">
        <w:rPr>
          <w:rFonts w:asciiTheme="minorHAnsi" w:hAnsiTheme="minorHAnsi" w:cstheme="minorHAnsi"/>
          <w:b/>
          <w:bCs/>
          <w:iCs/>
        </w:rPr>
        <w:t xml:space="preserve"> a navíc</w:t>
      </w:r>
      <w:r w:rsidR="00D96176" w:rsidRPr="005E63AE">
        <w:rPr>
          <w:rFonts w:asciiTheme="minorHAnsi" w:hAnsiTheme="minorHAnsi" w:cstheme="minorHAnsi"/>
          <w:b/>
          <w:bCs/>
          <w:iCs/>
        </w:rPr>
        <w:t xml:space="preserve"> došlo ke sloučení funkce příkazce operace a hlavního účetního</w:t>
      </w:r>
      <w:r w:rsidRPr="005E63AE">
        <w:rPr>
          <w:rFonts w:asciiTheme="minorHAnsi" w:hAnsiTheme="minorHAnsi" w:cstheme="minorHAnsi"/>
          <w:b/>
          <w:bCs/>
          <w:iCs/>
        </w:rPr>
        <w:t xml:space="preserve">, což je v rozporu se zákonem </w:t>
      </w:r>
      <w:r w:rsidR="007B589C" w:rsidRPr="005E63AE">
        <w:rPr>
          <w:rFonts w:asciiTheme="minorHAnsi" w:hAnsiTheme="minorHAnsi" w:cstheme="minorHAnsi"/>
          <w:b/>
          <w:bCs/>
          <w:iCs/>
        </w:rPr>
        <w:t>č. 320/2001 Sb</w:t>
      </w:r>
      <w:r w:rsidR="00D96176" w:rsidRPr="00BF36FD">
        <w:rPr>
          <w:rFonts w:asciiTheme="minorHAnsi" w:hAnsiTheme="minorHAnsi" w:cstheme="minorHAnsi"/>
          <w:b/>
          <w:bCs/>
          <w:iCs/>
        </w:rPr>
        <w:t>.</w:t>
      </w:r>
      <w:r w:rsidR="008724F0" w:rsidRPr="005E63AE">
        <w:rPr>
          <w:rFonts w:asciiTheme="minorHAnsi" w:hAnsiTheme="minorHAnsi" w:cstheme="minorHAnsi"/>
          <w:bCs/>
          <w:iCs/>
        </w:rPr>
        <w:t xml:space="preserve"> </w:t>
      </w:r>
    </w:p>
    <w:p w14:paraId="3A19046E" w14:textId="77777777" w:rsidR="00300B43" w:rsidRPr="005E63AE" w:rsidRDefault="00300B43" w:rsidP="0033700B">
      <w:pPr>
        <w:pStyle w:val="Odstavecseseznamem"/>
        <w:numPr>
          <w:ilvl w:val="0"/>
          <w:numId w:val="6"/>
        </w:numPr>
        <w:ind w:left="284" w:hanging="284"/>
        <w:contextualSpacing w:val="0"/>
        <w:jc w:val="both"/>
        <w:rPr>
          <w:rFonts w:cs="Calibri"/>
        </w:rPr>
      </w:pPr>
      <w:r w:rsidRPr="005E63AE">
        <w:rPr>
          <w:rFonts w:asciiTheme="minorHAnsi" w:hAnsiTheme="minorHAnsi" w:cstheme="minorHAnsi"/>
          <w:b/>
          <w:bCs/>
          <w:iCs/>
        </w:rPr>
        <w:lastRenderedPageBreak/>
        <w:t>V devíti případech schválil z pozice hlavního účetního veřejné výdaje zaměstnanec MPO</w:t>
      </w:r>
      <w:r w:rsidRPr="00BF36FD">
        <w:rPr>
          <w:rFonts w:asciiTheme="minorHAnsi" w:hAnsiTheme="minorHAnsi" w:cstheme="minorHAnsi"/>
          <w:b/>
          <w:bCs/>
          <w:iCs/>
        </w:rPr>
        <w:t>,</w:t>
      </w:r>
      <w:r w:rsidRPr="005E63AE">
        <w:rPr>
          <w:rFonts w:asciiTheme="minorHAnsi" w:hAnsiTheme="minorHAnsi" w:cstheme="minorHAnsi"/>
          <w:bCs/>
          <w:iCs/>
        </w:rPr>
        <w:t xml:space="preserve"> </w:t>
      </w:r>
      <w:r w:rsidRPr="005E63AE">
        <w:rPr>
          <w:rFonts w:asciiTheme="minorHAnsi" w:hAnsiTheme="minorHAnsi" w:cstheme="minorHAnsi"/>
          <w:b/>
          <w:bCs/>
          <w:iCs/>
        </w:rPr>
        <w:t>přestože</w:t>
      </w:r>
      <w:r w:rsidRPr="005E63AE">
        <w:rPr>
          <w:rFonts w:asciiTheme="minorHAnsi" w:hAnsiTheme="minorHAnsi" w:cstheme="minorHAnsi"/>
          <w:bCs/>
          <w:iCs/>
        </w:rPr>
        <w:t xml:space="preserve"> k výkonu této funkce </w:t>
      </w:r>
      <w:r w:rsidRPr="005E63AE">
        <w:rPr>
          <w:rFonts w:asciiTheme="minorHAnsi" w:hAnsiTheme="minorHAnsi" w:cstheme="minorHAnsi"/>
          <w:b/>
          <w:bCs/>
          <w:iCs/>
        </w:rPr>
        <w:t>nebyl pověřen</w:t>
      </w:r>
      <w:r w:rsidRPr="00BF36FD">
        <w:rPr>
          <w:rFonts w:asciiTheme="minorHAnsi" w:hAnsiTheme="minorHAnsi" w:cstheme="minorHAnsi"/>
          <w:b/>
          <w:bCs/>
          <w:iCs/>
        </w:rPr>
        <w:t>.</w:t>
      </w:r>
    </w:p>
    <w:p w14:paraId="62542045" w14:textId="77777777" w:rsidR="00AB129E" w:rsidRPr="00006589" w:rsidRDefault="00366859" w:rsidP="0033700B">
      <w:pPr>
        <w:pStyle w:val="Nadpis2"/>
        <w:keepNext/>
        <w:numPr>
          <w:ilvl w:val="0"/>
          <w:numId w:val="0"/>
        </w:numPr>
        <w:spacing w:after="120" w:line="240" w:lineRule="auto"/>
        <w:contextualSpacing w:val="0"/>
        <w:rPr>
          <w:rFonts w:ascii="Calibri" w:hAnsi="Calibri" w:cs="Calibri"/>
          <w:lang w:eastAsia="cs-CZ"/>
        </w:rPr>
      </w:pPr>
      <w:r>
        <w:rPr>
          <w:rFonts w:ascii="Calibri" w:hAnsi="Calibri" w:cs="Calibri"/>
          <w:lang w:eastAsia="cs-CZ"/>
        </w:rPr>
        <w:t>5</w:t>
      </w:r>
      <w:r w:rsidR="00AB129E" w:rsidRPr="00006589">
        <w:rPr>
          <w:rFonts w:ascii="Calibri" w:hAnsi="Calibri" w:cs="Calibri"/>
          <w:lang w:eastAsia="cs-CZ"/>
        </w:rPr>
        <w:t>.</w:t>
      </w:r>
      <w:r w:rsidR="008724F0">
        <w:rPr>
          <w:rFonts w:ascii="Calibri" w:hAnsi="Calibri" w:cs="Calibri"/>
          <w:lang w:eastAsia="cs-CZ"/>
        </w:rPr>
        <w:t>3</w:t>
      </w:r>
      <w:r w:rsidR="00AB129E" w:rsidRPr="00006589">
        <w:rPr>
          <w:rFonts w:ascii="Calibri" w:hAnsi="Calibri" w:cs="Calibri"/>
          <w:lang w:eastAsia="cs-CZ"/>
        </w:rPr>
        <w:t xml:space="preserve"> Kontrola </w:t>
      </w:r>
      <w:r w:rsidR="00466BA1" w:rsidRPr="00006589">
        <w:rPr>
          <w:rFonts w:ascii="Calibri" w:hAnsi="Calibri" w:cs="Calibri"/>
          <w:lang w:eastAsia="cs-CZ"/>
        </w:rPr>
        <w:t>vybraných</w:t>
      </w:r>
      <w:r w:rsidR="00AB129E" w:rsidRPr="00006589">
        <w:rPr>
          <w:rFonts w:ascii="Calibri" w:hAnsi="Calibri" w:cs="Calibri"/>
          <w:lang w:eastAsia="cs-CZ"/>
        </w:rPr>
        <w:t xml:space="preserve"> majetkových operací </w:t>
      </w:r>
      <w:r w:rsidR="00DB31F1" w:rsidRPr="00006589">
        <w:rPr>
          <w:rFonts w:ascii="Calibri" w:hAnsi="Calibri" w:cs="Calibri"/>
          <w:lang w:eastAsia="cs-CZ"/>
        </w:rPr>
        <w:t xml:space="preserve">na soulad s </w:t>
      </w:r>
      <w:r w:rsidR="00AB129E" w:rsidRPr="00006589">
        <w:rPr>
          <w:rFonts w:ascii="Calibri" w:hAnsi="Calibri" w:cs="Calibri"/>
          <w:lang w:eastAsia="cs-CZ"/>
        </w:rPr>
        <w:t>právními předpisy</w:t>
      </w:r>
    </w:p>
    <w:p w14:paraId="5066E955" w14:textId="77777777" w:rsidR="004C32C7" w:rsidRPr="004C32C7" w:rsidRDefault="00B16BE9" w:rsidP="0033700B">
      <w:pPr>
        <w:jc w:val="both"/>
        <w:rPr>
          <w:rFonts w:asciiTheme="minorHAnsi" w:eastAsiaTheme="minorHAnsi" w:hAnsiTheme="minorHAnsi" w:cstheme="minorHAnsi"/>
        </w:rPr>
      </w:pPr>
      <w:r>
        <w:rPr>
          <w:rFonts w:asciiTheme="minorHAnsi" w:eastAsiaTheme="minorHAnsi" w:hAnsiTheme="minorHAnsi" w:cstheme="minorHAnsi"/>
        </w:rPr>
        <w:t>VKS</w:t>
      </w:r>
      <w:r w:rsidR="00AB129E" w:rsidRPr="004B4AF0">
        <w:rPr>
          <w:rFonts w:asciiTheme="minorHAnsi" w:eastAsiaTheme="minorHAnsi" w:hAnsiTheme="minorHAnsi" w:cstheme="minorHAnsi"/>
        </w:rPr>
        <w:t xml:space="preserve"> </w:t>
      </w:r>
      <w:r w:rsidR="004B4AF0" w:rsidRPr="004B4AF0">
        <w:rPr>
          <w:rFonts w:asciiTheme="minorHAnsi" w:eastAsiaTheme="minorHAnsi" w:hAnsiTheme="minorHAnsi" w:cstheme="minorHAnsi"/>
        </w:rPr>
        <w:t>MPO</w:t>
      </w:r>
      <w:r w:rsidR="00AB129E" w:rsidRPr="004B4AF0">
        <w:rPr>
          <w:rFonts w:asciiTheme="minorHAnsi" w:eastAsiaTheme="minorHAnsi" w:hAnsiTheme="minorHAnsi" w:cstheme="minorHAnsi"/>
        </w:rPr>
        <w:t xml:space="preserve"> v</w:t>
      </w:r>
      <w:r w:rsidR="00366859">
        <w:rPr>
          <w:rFonts w:asciiTheme="minorHAnsi" w:eastAsiaTheme="minorHAnsi" w:hAnsiTheme="minorHAnsi" w:cstheme="minorHAnsi"/>
        </w:rPr>
        <w:t> níž</w:t>
      </w:r>
      <w:r w:rsidR="004C32C7">
        <w:rPr>
          <w:rFonts w:asciiTheme="minorHAnsi" w:eastAsiaTheme="minorHAnsi" w:hAnsiTheme="minorHAnsi" w:cstheme="minorHAnsi"/>
        </w:rPr>
        <w:t>e</w:t>
      </w:r>
      <w:r w:rsidR="00366859">
        <w:rPr>
          <w:rFonts w:asciiTheme="minorHAnsi" w:eastAsiaTheme="minorHAnsi" w:hAnsiTheme="minorHAnsi" w:cstheme="minorHAnsi"/>
        </w:rPr>
        <w:t xml:space="preserve"> uvedených případech nezabránil ne</w:t>
      </w:r>
      <w:r w:rsidR="00842B22" w:rsidRPr="00842B22">
        <w:rPr>
          <w:rFonts w:asciiTheme="minorHAnsi" w:eastAsiaTheme="minorHAnsi" w:hAnsiTheme="minorHAnsi" w:cstheme="minorHAnsi"/>
        </w:rPr>
        <w:t>dodrž</w:t>
      </w:r>
      <w:r w:rsidR="00842B22">
        <w:rPr>
          <w:rFonts w:asciiTheme="minorHAnsi" w:eastAsiaTheme="minorHAnsi" w:hAnsiTheme="minorHAnsi" w:cstheme="minorHAnsi"/>
        </w:rPr>
        <w:t>ování</w:t>
      </w:r>
      <w:r w:rsidR="00842B22" w:rsidRPr="00842B22">
        <w:rPr>
          <w:rFonts w:asciiTheme="minorHAnsi" w:eastAsiaTheme="minorHAnsi" w:hAnsiTheme="minorHAnsi" w:cstheme="minorHAnsi"/>
        </w:rPr>
        <w:t xml:space="preserve"> </w:t>
      </w:r>
      <w:r w:rsidR="00842B22">
        <w:rPr>
          <w:rFonts w:asciiTheme="minorHAnsi" w:eastAsiaTheme="minorHAnsi" w:hAnsiTheme="minorHAnsi" w:cstheme="minorHAnsi"/>
        </w:rPr>
        <w:t>některých</w:t>
      </w:r>
      <w:r w:rsidR="00842B22" w:rsidRPr="00842B22">
        <w:rPr>
          <w:rFonts w:asciiTheme="minorHAnsi" w:eastAsiaTheme="minorHAnsi" w:hAnsiTheme="minorHAnsi" w:cstheme="minorHAnsi"/>
        </w:rPr>
        <w:t xml:space="preserve"> povinností při hospodaření s majetkem státu</w:t>
      </w:r>
      <w:r w:rsidR="00AB129E" w:rsidRPr="00842B22">
        <w:rPr>
          <w:rFonts w:asciiTheme="minorHAnsi" w:eastAsiaTheme="minorHAnsi" w:hAnsiTheme="minorHAnsi" w:cstheme="minorHAnsi"/>
        </w:rPr>
        <w:t>.</w:t>
      </w:r>
      <w:r w:rsidR="004C32C7">
        <w:rPr>
          <w:rFonts w:asciiTheme="minorHAnsi" w:eastAsiaTheme="minorHAnsi" w:hAnsiTheme="minorHAnsi" w:cstheme="minorHAnsi"/>
        </w:rPr>
        <w:t xml:space="preserve"> </w:t>
      </w:r>
    </w:p>
    <w:p w14:paraId="318CB363" w14:textId="77777777" w:rsidR="004C32C7" w:rsidRPr="003A523F" w:rsidRDefault="006750E2" w:rsidP="0033700B">
      <w:pPr>
        <w:rPr>
          <w:b/>
        </w:rPr>
      </w:pPr>
      <w:r>
        <w:rPr>
          <w:b/>
        </w:rPr>
        <w:t xml:space="preserve">5.3.1 </w:t>
      </w:r>
      <w:r w:rsidR="004C32C7" w:rsidRPr="003A523F">
        <w:rPr>
          <w:b/>
        </w:rPr>
        <w:t>Nicotnost dohod o splátkách dluhu</w:t>
      </w:r>
    </w:p>
    <w:p w14:paraId="7DCAB23B" w14:textId="19D664F0" w:rsidR="004C32C7" w:rsidRPr="00851C2A" w:rsidRDefault="004C32C7" w:rsidP="0033700B">
      <w:pPr>
        <w:jc w:val="both"/>
        <w:rPr>
          <w:b/>
        </w:rPr>
      </w:pPr>
      <w:r w:rsidRPr="00F710D1">
        <w:t>NKÚ zjistil, že</w:t>
      </w:r>
      <w:r>
        <w:t xml:space="preserve"> pravomocným</w:t>
      </w:r>
      <w:r w:rsidRPr="00F710D1">
        <w:t xml:space="preserve"> rozsudkem Vrchního soudu </w:t>
      </w:r>
      <w:r>
        <w:t xml:space="preserve">v Praze </w:t>
      </w:r>
      <w:r w:rsidRPr="00F710D1">
        <w:t>byla dvěma fyzickým osobám uložena povinnost společně a nerozdílně zaplatit na náhradě škody</w:t>
      </w:r>
      <w:r>
        <w:t xml:space="preserve"> poškozenému MPO částku 39,3</w:t>
      </w:r>
      <w:r w:rsidRPr="00F710D1">
        <w:t xml:space="preserve"> mil. Kč. Jednalo se o dluh z titulu náhrady škody vzniklé trestnou činností. </w:t>
      </w:r>
      <w:r>
        <w:t xml:space="preserve">MPO přistoupilo na návrhy dlužníků a akceptovalo uzavření dohod </w:t>
      </w:r>
      <w:r w:rsidRPr="00765BC9">
        <w:t>o splátkách, na</w:t>
      </w:r>
      <w:r w:rsidR="00822D03">
        <w:t xml:space="preserve"> jejichž</w:t>
      </w:r>
      <w:r w:rsidRPr="00765BC9">
        <w:t xml:space="preserve"> základě by dlužníci spláceli MPO svůj dluh po dobu 272 let, resp. 1</w:t>
      </w:r>
      <w:r w:rsidR="00D4218A">
        <w:t> </w:t>
      </w:r>
      <w:r w:rsidRPr="00765BC9">
        <w:t>090 let. Postup ministerstva při uplatňování a vymáhání práv státu byl v těchto případech v r</w:t>
      </w:r>
      <w:r w:rsidR="00873821">
        <w:t>ozporu s ustanovením § 14 odst. </w:t>
      </w:r>
      <w:r w:rsidRPr="00765BC9">
        <w:t xml:space="preserve">5 zákona </w:t>
      </w:r>
      <w:r w:rsidR="005B4A83">
        <w:t>č. 219/2000 Sb.</w:t>
      </w:r>
      <w:r w:rsidRPr="00765BC9">
        <w:t>, neboť nelze vyloučit, že při současném přístupu MPO k</w:t>
      </w:r>
      <w:r w:rsidR="00D4218A">
        <w:t> </w:t>
      </w:r>
      <w:r w:rsidRPr="00765BC9">
        <w:t>vymáhání a</w:t>
      </w:r>
      <w:r w:rsidR="002F55DD">
        <w:t> </w:t>
      </w:r>
      <w:r w:rsidRPr="00765BC9">
        <w:t xml:space="preserve">uplatňování uvedených pohledávek dojde k jejich promlčení nebo zániku. </w:t>
      </w:r>
      <w:r w:rsidR="00873821">
        <w:rPr>
          <w:b/>
        </w:rPr>
        <w:t>Dohody o </w:t>
      </w:r>
      <w:r w:rsidRPr="00851C2A">
        <w:rPr>
          <w:b/>
        </w:rPr>
        <w:t xml:space="preserve">splátkách navíc v rozporu s ustanovením § 31 odst. 2 zákona </w:t>
      </w:r>
      <w:r w:rsidR="005B4A83">
        <w:rPr>
          <w:b/>
        </w:rPr>
        <w:t>č. 219/2000 Sb.</w:t>
      </w:r>
      <w:r w:rsidRPr="00851C2A">
        <w:rPr>
          <w:b/>
        </w:rPr>
        <w:t xml:space="preserve"> neobsahovaly všechny povinné náležitosti, neboť v dohodách o</w:t>
      </w:r>
      <w:r w:rsidR="00851C2A" w:rsidRPr="00851C2A">
        <w:rPr>
          <w:b/>
        </w:rPr>
        <w:t xml:space="preserve"> splátkách nebylo dohodnuto, že </w:t>
      </w:r>
      <w:r w:rsidRPr="00851C2A">
        <w:rPr>
          <w:b/>
        </w:rPr>
        <w:t xml:space="preserve">dlužník bude ve splátkách plnit též úroky z prodlení a </w:t>
      </w:r>
      <w:r w:rsidR="00851C2A">
        <w:rPr>
          <w:b/>
        </w:rPr>
        <w:t xml:space="preserve">že </w:t>
      </w:r>
      <w:r w:rsidRPr="00851C2A">
        <w:rPr>
          <w:rFonts w:eastAsia="Calibri" w:cs="Calibri"/>
          <w:b/>
        </w:rPr>
        <w:t>stát je v případě prokazatelného zlepšení majetkových poměrů dlužníka oprávněn od ujednání o dalších splátkách odstoupit.</w:t>
      </w:r>
    </w:p>
    <w:p w14:paraId="64247665" w14:textId="77777777" w:rsidR="004C32C7" w:rsidRPr="00F710D1" w:rsidRDefault="004C32C7" w:rsidP="0033700B">
      <w:pPr>
        <w:jc w:val="both"/>
      </w:pPr>
      <w:r w:rsidRPr="00765BC9">
        <w:rPr>
          <w:rFonts w:eastAsia="Calibri" w:cs="Calibri"/>
        </w:rPr>
        <w:t>V důsledku chybějících zákonem stanovených ujednání se</w:t>
      </w:r>
      <w:r w:rsidR="00873821">
        <w:rPr>
          <w:rFonts w:eastAsia="Calibri" w:cs="Calibri"/>
        </w:rPr>
        <w:t xml:space="preserve"> k takovému právnímu jednání, v </w:t>
      </w:r>
      <w:r w:rsidRPr="00765BC9">
        <w:rPr>
          <w:rFonts w:eastAsia="Calibri" w:cs="Calibri"/>
        </w:rPr>
        <w:t xml:space="preserve">souladu s ustanovením § 58a odst. 3 zákona </w:t>
      </w:r>
      <w:r w:rsidR="005B4A83">
        <w:rPr>
          <w:rFonts w:eastAsia="Calibri" w:cs="Calibri"/>
        </w:rPr>
        <w:t>č. 219/2000 Sb.</w:t>
      </w:r>
      <w:r w:rsidRPr="00765BC9">
        <w:rPr>
          <w:rFonts w:eastAsia="Calibri" w:cs="Calibri"/>
        </w:rPr>
        <w:t>, nepřihlíží</w:t>
      </w:r>
      <w:r w:rsidRPr="00EA6249">
        <w:rPr>
          <w:rFonts w:eastAsia="Calibri" w:cs="Calibri"/>
        </w:rPr>
        <w:t>.</w:t>
      </w:r>
      <w:r w:rsidRPr="00851C2A">
        <w:rPr>
          <w:rFonts w:eastAsia="Calibri" w:cs="Calibri"/>
          <w:b/>
        </w:rPr>
        <w:t xml:space="preserve"> Absence povinných ujednání způsobila nicotnost předmětného právního jednání </w:t>
      </w:r>
      <w:r w:rsidR="007D633C" w:rsidRPr="00851C2A">
        <w:rPr>
          <w:rFonts w:eastAsia="Calibri" w:cs="Calibri"/>
          <w:b/>
        </w:rPr>
        <w:t>tzn.</w:t>
      </w:r>
      <w:r w:rsidRPr="00851C2A">
        <w:rPr>
          <w:rFonts w:eastAsia="Calibri" w:cs="Calibri"/>
          <w:b/>
        </w:rPr>
        <w:t xml:space="preserve"> dohod o splátkách</w:t>
      </w:r>
      <w:r w:rsidRPr="00EA6249">
        <w:rPr>
          <w:rFonts w:eastAsia="Calibri" w:cs="Calibri"/>
          <w:b/>
        </w:rPr>
        <w:t>.</w:t>
      </w:r>
      <w:r>
        <w:t xml:space="preserve">  </w:t>
      </w:r>
    </w:p>
    <w:p w14:paraId="34918120" w14:textId="4B2C9B91" w:rsidR="004C32C7" w:rsidRDefault="007D633C" w:rsidP="00847833">
      <w:pPr>
        <w:ind w:left="567" w:hanging="567"/>
        <w:rPr>
          <w:b/>
        </w:rPr>
      </w:pPr>
      <w:r>
        <w:rPr>
          <w:b/>
        </w:rPr>
        <w:t>5.</w:t>
      </w:r>
      <w:r w:rsidR="008724F0">
        <w:rPr>
          <w:b/>
        </w:rPr>
        <w:t>3</w:t>
      </w:r>
      <w:r>
        <w:rPr>
          <w:b/>
        </w:rPr>
        <w:t>.2</w:t>
      </w:r>
      <w:r w:rsidR="004C32C7" w:rsidRPr="00795D3E">
        <w:rPr>
          <w:b/>
        </w:rPr>
        <w:t xml:space="preserve"> </w:t>
      </w:r>
      <w:r w:rsidR="004C32C7">
        <w:rPr>
          <w:b/>
        </w:rPr>
        <w:t>Nepřev</w:t>
      </w:r>
      <w:r>
        <w:rPr>
          <w:b/>
        </w:rPr>
        <w:t xml:space="preserve">edení </w:t>
      </w:r>
      <w:r w:rsidR="004C32C7">
        <w:rPr>
          <w:b/>
        </w:rPr>
        <w:t>likvidačníh</w:t>
      </w:r>
      <w:r>
        <w:rPr>
          <w:b/>
        </w:rPr>
        <w:t>o</w:t>
      </w:r>
      <w:r w:rsidR="004C32C7">
        <w:rPr>
          <w:b/>
        </w:rPr>
        <w:t xml:space="preserve"> zůstatk</w:t>
      </w:r>
      <w:r>
        <w:rPr>
          <w:b/>
        </w:rPr>
        <w:t>u</w:t>
      </w:r>
      <w:r w:rsidR="004C32C7">
        <w:rPr>
          <w:b/>
        </w:rPr>
        <w:t xml:space="preserve"> státníh</w:t>
      </w:r>
      <w:r>
        <w:rPr>
          <w:b/>
        </w:rPr>
        <w:t>o</w:t>
      </w:r>
      <w:r w:rsidR="004C32C7">
        <w:rPr>
          <w:b/>
        </w:rPr>
        <w:t xml:space="preserve"> podnik</w:t>
      </w:r>
      <w:r>
        <w:rPr>
          <w:b/>
        </w:rPr>
        <w:t>u</w:t>
      </w:r>
      <w:r w:rsidR="004C32C7">
        <w:rPr>
          <w:b/>
        </w:rPr>
        <w:t xml:space="preserve"> do státního rozpočtu</w:t>
      </w:r>
      <w:r>
        <w:rPr>
          <w:b/>
        </w:rPr>
        <w:t xml:space="preserve"> </w:t>
      </w:r>
      <w:r w:rsidR="00847833">
        <w:rPr>
          <w:b/>
        </w:rPr>
        <w:br/>
      </w:r>
      <w:r>
        <w:rPr>
          <w:b/>
        </w:rPr>
        <w:t>v zákonem stanovené lhůtě</w:t>
      </w:r>
    </w:p>
    <w:p w14:paraId="4D138742" w14:textId="77777777" w:rsidR="008B593C" w:rsidRPr="00D57AC8" w:rsidRDefault="004C32C7" w:rsidP="0033700B">
      <w:pPr>
        <w:jc w:val="both"/>
      </w:pPr>
      <w:r w:rsidRPr="0004614B">
        <w:t>MPO přijalo v lednu 2020 na svůj příjmový bankovní účet likvidační zůstatky</w:t>
      </w:r>
      <w:r>
        <w:t xml:space="preserve"> v celkové výši přes 171 mil. Kč</w:t>
      </w:r>
      <w:r w:rsidRPr="0004614B">
        <w:t xml:space="preserve"> v souvislosti s likvidací státníh</w:t>
      </w:r>
      <w:r>
        <w:t>o</w:t>
      </w:r>
      <w:r w:rsidRPr="0004614B">
        <w:t xml:space="preserve"> podnik</w:t>
      </w:r>
      <w:r>
        <w:t>u</w:t>
      </w:r>
      <w:r w:rsidRPr="0004614B">
        <w:t xml:space="preserve"> v působnosti MPO</w:t>
      </w:r>
      <w:r>
        <w:t xml:space="preserve">. </w:t>
      </w:r>
      <w:r w:rsidRPr="0004614B">
        <w:t xml:space="preserve">Dle ustanovení § 15 odst. 1 písm. j) </w:t>
      </w:r>
      <w:r w:rsidR="007D633C">
        <w:t>zákona</w:t>
      </w:r>
      <w:r w:rsidRPr="0004614B">
        <w:t xml:space="preserve"> </w:t>
      </w:r>
      <w:r w:rsidR="007B589C">
        <w:t>č. 77/1997 Sb.</w:t>
      </w:r>
      <w:r w:rsidRPr="0004614B">
        <w:t xml:space="preserve"> zakladatel</w:t>
      </w:r>
      <w:r>
        <w:t xml:space="preserve">, v tomto případě MPO, </w:t>
      </w:r>
      <w:r w:rsidRPr="00765BC9">
        <w:t xml:space="preserve">přebírá likvidační zůstatek v případě zrušení státního podniku likvidací a tento zůstatek je zakladatel povinen bez zbytečného odkladu převést do státních finančních aktiv. Závěrečnou zprávu o ukončení likvidace vydal likvidátor v únoru 2020 a výmaz státního podniku z obchodního rejstříku </w:t>
      </w:r>
      <w:r w:rsidR="007D633C">
        <w:t>byl realizován</w:t>
      </w:r>
      <w:r w:rsidRPr="00765BC9">
        <w:t xml:space="preserve"> v dubnu 2020. </w:t>
      </w:r>
      <w:r w:rsidRPr="00851C2A">
        <w:rPr>
          <w:b/>
        </w:rPr>
        <w:t>MPO likvidační zůstatky v celkové výši přes 171 mil. Kč převedlo do státních finančních aktiv až na základě upozornění NKÚ v prosinci 2020.</w:t>
      </w:r>
      <w:r w:rsidRPr="00765BC9">
        <w:t xml:space="preserve"> MPO</w:t>
      </w:r>
      <w:r w:rsidR="007D633C">
        <w:t xml:space="preserve"> tak</w:t>
      </w:r>
      <w:r w:rsidRPr="00765BC9">
        <w:t xml:space="preserve"> porušilo povinnost stanovenou v</w:t>
      </w:r>
      <w:r w:rsidR="00873821">
        <w:t xml:space="preserve"> ustanovení </w:t>
      </w:r>
      <w:r w:rsidRPr="00765BC9">
        <w:t>§ 15 odst. 1 písm. j) zák</w:t>
      </w:r>
      <w:r w:rsidR="007D633C">
        <w:t xml:space="preserve">ona </w:t>
      </w:r>
      <w:r w:rsidR="007B589C">
        <w:t>č. 77/1997 Sb</w:t>
      </w:r>
      <w:r w:rsidRPr="00765BC9">
        <w:t>.</w:t>
      </w:r>
    </w:p>
    <w:p w14:paraId="7CDB504E" w14:textId="77777777" w:rsidR="008B593C" w:rsidRPr="00243A47" w:rsidRDefault="006750E2" w:rsidP="00847833">
      <w:pPr>
        <w:pStyle w:val="Nadpis2"/>
        <w:keepNext/>
        <w:numPr>
          <w:ilvl w:val="0"/>
          <w:numId w:val="0"/>
        </w:numPr>
        <w:spacing w:after="120" w:line="240" w:lineRule="auto"/>
        <w:contextualSpacing w:val="0"/>
        <w:jc w:val="left"/>
        <w:rPr>
          <w:rFonts w:ascii="Calibri" w:hAnsi="Calibri" w:cs="Calibri"/>
          <w:lang w:eastAsia="cs-CZ"/>
        </w:rPr>
      </w:pPr>
      <w:r>
        <w:rPr>
          <w:rFonts w:ascii="Calibri" w:hAnsi="Calibri" w:cs="Calibri"/>
        </w:rPr>
        <w:t xml:space="preserve">6. </w:t>
      </w:r>
      <w:r w:rsidR="008B593C" w:rsidRPr="00243A47">
        <w:rPr>
          <w:rFonts w:ascii="Calibri" w:hAnsi="Calibri" w:cs="Calibri"/>
        </w:rPr>
        <w:t>Vyhodnocení opatření přijatých k nápravě nedostatků z KA č. 16/25</w:t>
      </w:r>
    </w:p>
    <w:p w14:paraId="04A4CCE8" w14:textId="719355CD" w:rsidR="008B593C" w:rsidRPr="00DC68F7" w:rsidRDefault="008B593C" w:rsidP="00847833">
      <w:pPr>
        <w:keepNext/>
        <w:jc w:val="both"/>
        <w:rPr>
          <w:b/>
          <w:highlight w:val="yellow"/>
        </w:rPr>
      </w:pPr>
      <w:r w:rsidRPr="009E0447">
        <w:rPr>
          <w:rFonts w:cs="Calibri"/>
        </w:rPr>
        <w:t xml:space="preserve">Vláda ČR stanovila usnesením ze dne </w:t>
      </w:r>
      <w:r w:rsidRPr="0002359A">
        <w:rPr>
          <w:rFonts w:cs="Calibri"/>
        </w:rPr>
        <w:t>19. června 2018 č. 388</w:t>
      </w:r>
      <w:r w:rsidR="00D4218A">
        <w:rPr>
          <w:rFonts w:cs="Calibri"/>
        </w:rPr>
        <w:t>,</w:t>
      </w:r>
      <w:r w:rsidRPr="0002359A">
        <w:rPr>
          <w:rFonts w:cs="Calibri"/>
        </w:rPr>
        <w:t xml:space="preserve"> </w:t>
      </w:r>
      <w:r w:rsidRPr="00EA6249">
        <w:rPr>
          <w:rFonts w:cs="Calibri"/>
          <w:i/>
        </w:rPr>
        <w:t>ke kontrolnímu závěru Nejvyššího kontrolního úřadu z KA č. 16/25</w:t>
      </w:r>
      <w:r w:rsidR="00D4218A">
        <w:rPr>
          <w:rFonts w:cs="Calibri"/>
        </w:rPr>
        <w:t>,</w:t>
      </w:r>
      <w:r w:rsidRPr="009E0447">
        <w:rPr>
          <w:rFonts w:cs="Calibri"/>
        </w:rPr>
        <w:t xml:space="preserve"> pro MPO 12 opatření přijatých k nápravě nedostatků. </w:t>
      </w:r>
      <w:r w:rsidRPr="009E0447">
        <w:rPr>
          <w:rFonts w:eastAsiaTheme="minorHAnsi" w:cs="Calibri"/>
          <w:b/>
          <w:bCs/>
        </w:rPr>
        <w:t xml:space="preserve">MPO z celkem 12 opatření přijatých k nápravě nedostatků realizovalo úplně a správně 10 opatření a 2 opatření realizovalo částečně. </w:t>
      </w:r>
      <w:r w:rsidRPr="0002359A">
        <w:rPr>
          <w:rFonts w:eastAsiaTheme="minorHAnsi" w:cs="Calibri"/>
          <w:bCs/>
        </w:rPr>
        <w:t>V roce 2020 přetrvávaly nedostatky v</w:t>
      </w:r>
      <w:r>
        <w:rPr>
          <w:rFonts w:eastAsiaTheme="minorHAnsi" w:cs="Calibri"/>
          <w:bCs/>
        </w:rPr>
        <w:t>e vykazování</w:t>
      </w:r>
      <w:r w:rsidR="00D4218A">
        <w:rPr>
          <w:rFonts w:eastAsiaTheme="minorHAnsi" w:cs="Calibri"/>
          <w:bCs/>
        </w:rPr>
        <w:t xml:space="preserve"> </w:t>
      </w:r>
      <w:r w:rsidRPr="0002359A">
        <w:rPr>
          <w:rFonts w:eastAsiaTheme="minorHAnsi" w:cs="Calibri"/>
          <w:bCs/>
        </w:rPr>
        <w:t>peněžních prostředků uložených na bankovních účtech v</w:t>
      </w:r>
      <w:r w:rsidR="00AD0CA8">
        <w:rPr>
          <w:rFonts w:eastAsiaTheme="minorHAnsi" w:cs="Calibri"/>
          <w:bCs/>
        </w:rPr>
        <w:t>e</w:t>
      </w:r>
      <w:r>
        <w:rPr>
          <w:rFonts w:eastAsiaTheme="minorHAnsi" w:cs="Calibri"/>
          <w:bCs/>
        </w:rPr>
        <w:t> </w:t>
      </w:r>
      <w:r w:rsidR="00AD0CA8">
        <w:rPr>
          <w:rFonts w:eastAsiaTheme="minorHAnsi" w:cs="Calibri"/>
          <w:bCs/>
        </w:rPr>
        <w:t>finanční instituci</w:t>
      </w:r>
      <w:r>
        <w:rPr>
          <w:rFonts w:eastAsiaTheme="minorHAnsi" w:cs="Calibri"/>
          <w:bCs/>
        </w:rPr>
        <w:t xml:space="preserve"> (viz část IV.</w:t>
      </w:r>
      <w:r w:rsidR="0062480A">
        <w:rPr>
          <w:rFonts w:eastAsiaTheme="minorHAnsi" w:cs="Calibri"/>
          <w:bCs/>
        </w:rPr>
        <w:t>1</w:t>
      </w:r>
      <w:r>
        <w:rPr>
          <w:rFonts w:eastAsiaTheme="minorHAnsi" w:cs="Calibri"/>
          <w:bCs/>
        </w:rPr>
        <w:t xml:space="preserve"> </w:t>
      </w:r>
      <w:r w:rsidR="00D4218A">
        <w:rPr>
          <w:rFonts w:eastAsiaTheme="minorHAnsi" w:cs="Calibri"/>
          <w:bCs/>
        </w:rPr>
        <w:t xml:space="preserve">tohoto </w:t>
      </w:r>
      <w:r>
        <w:rPr>
          <w:rFonts w:eastAsiaTheme="minorHAnsi" w:cs="Calibri"/>
          <w:bCs/>
        </w:rPr>
        <w:t>kontrolního závěru)</w:t>
      </w:r>
      <w:r w:rsidRPr="0002359A">
        <w:rPr>
          <w:rFonts w:eastAsiaTheme="minorHAnsi" w:cs="Calibri"/>
          <w:bCs/>
        </w:rPr>
        <w:t xml:space="preserve"> a v údajích v ZÚ 2020</w:t>
      </w:r>
      <w:r>
        <w:rPr>
          <w:rFonts w:eastAsiaTheme="minorHAnsi" w:cs="Calibri"/>
          <w:bCs/>
        </w:rPr>
        <w:t xml:space="preserve"> (viz část IV.4 </w:t>
      </w:r>
      <w:r w:rsidR="00D4218A">
        <w:rPr>
          <w:rFonts w:eastAsiaTheme="minorHAnsi" w:cs="Calibri"/>
          <w:bCs/>
        </w:rPr>
        <w:t xml:space="preserve">tohoto </w:t>
      </w:r>
      <w:r>
        <w:rPr>
          <w:rFonts w:eastAsiaTheme="minorHAnsi" w:cs="Calibri"/>
          <w:bCs/>
        </w:rPr>
        <w:t>kontrolního závěru)</w:t>
      </w:r>
      <w:r w:rsidRPr="0002359A">
        <w:rPr>
          <w:rFonts w:eastAsiaTheme="minorHAnsi" w:cs="Calibri"/>
          <w:bCs/>
        </w:rPr>
        <w:t>.</w:t>
      </w:r>
    </w:p>
    <w:p w14:paraId="555E0DE6" w14:textId="07D734B8" w:rsidR="003E79F3" w:rsidRPr="00243A47" w:rsidRDefault="003E79F3" w:rsidP="00847833">
      <w:pPr>
        <w:pStyle w:val="Nadpis2"/>
        <w:keepNext/>
        <w:numPr>
          <w:ilvl w:val="0"/>
          <w:numId w:val="0"/>
        </w:numPr>
        <w:spacing w:after="120" w:line="240" w:lineRule="auto"/>
        <w:contextualSpacing w:val="0"/>
        <w:jc w:val="left"/>
        <w:rPr>
          <w:rFonts w:ascii="Calibri" w:hAnsi="Calibri" w:cs="Calibri"/>
          <w:lang w:eastAsia="cs-CZ"/>
        </w:rPr>
      </w:pPr>
      <w:r>
        <w:rPr>
          <w:rFonts w:ascii="Calibri" w:hAnsi="Calibri" w:cs="Calibri"/>
        </w:rPr>
        <w:t xml:space="preserve">7. </w:t>
      </w:r>
      <w:r w:rsidRPr="00243A47">
        <w:rPr>
          <w:rFonts w:ascii="Calibri" w:hAnsi="Calibri" w:cs="Calibri"/>
        </w:rPr>
        <w:t>Vy</w:t>
      </w:r>
      <w:r>
        <w:rPr>
          <w:rFonts w:ascii="Calibri" w:hAnsi="Calibri" w:cs="Calibri"/>
        </w:rPr>
        <w:t>užívání účetních informací</w:t>
      </w:r>
    </w:p>
    <w:p w14:paraId="6C94525C" w14:textId="3C4F8EE3" w:rsidR="0013359B" w:rsidRDefault="003E79F3" w:rsidP="00847833">
      <w:pPr>
        <w:jc w:val="both"/>
        <w:rPr>
          <w:rFonts w:asciiTheme="minorHAnsi" w:eastAsiaTheme="minorHAnsi" w:hAnsiTheme="minorHAnsi" w:cstheme="minorHAnsi"/>
          <w:b/>
        </w:rPr>
      </w:pPr>
      <w:r w:rsidRPr="005E63AE">
        <w:rPr>
          <w:rFonts w:asciiTheme="minorHAnsi" w:hAnsiTheme="minorHAnsi" w:cstheme="minorHAnsi"/>
          <w:bCs/>
        </w:rPr>
        <w:t xml:space="preserve">V kontrole </w:t>
      </w:r>
      <w:r w:rsidRPr="005E63AE">
        <w:rPr>
          <w:rFonts w:asciiTheme="minorHAnsi" w:eastAsiaTheme="minorHAnsi" w:hAnsiTheme="minorHAnsi" w:cstheme="minorHAnsi"/>
        </w:rPr>
        <w:t>bylo zjišťováno, zda a jak MPO využívá účetní informace</w:t>
      </w:r>
      <w:r w:rsidRPr="00EA6249">
        <w:rPr>
          <w:rFonts w:asciiTheme="minorHAnsi" w:eastAsiaTheme="minorHAnsi" w:hAnsiTheme="minorHAnsi" w:cstheme="minorHAnsi"/>
        </w:rPr>
        <w:t xml:space="preserve">. </w:t>
      </w:r>
      <w:r w:rsidRPr="005E63AE">
        <w:rPr>
          <w:rFonts w:asciiTheme="minorHAnsi" w:eastAsiaTheme="minorHAnsi" w:hAnsiTheme="minorHAnsi" w:cstheme="minorHAnsi"/>
        </w:rPr>
        <w:t>Na MPO je primární rozpočtový pohled</w:t>
      </w:r>
      <w:r w:rsidR="00D4218A">
        <w:rPr>
          <w:rFonts w:asciiTheme="minorHAnsi" w:eastAsiaTheme="minorHAnsi" w:hAnsiTheme="minorHAnsi" w:cstheme="minorHAnsi"/>
        </w:rPr>
        <w:t>,</w:t>
      </w:r>
      <w:r w:rsidRPr="005E63AE">
        <w:rPr>
          <w:rFonts w:asciiTheme="minorHAnsi" w:eastAsiaTheme="minorHAnsi" w:hAnsiTheme="minorHAnsi" w:cstheme="minorHAnsi"/>
        </w:rPr>
        <w:t xml:space="preserve"> a to s ohledem na specifický charakter kapitoly, kdy převážná většina </w:t>
      </w:r>
      <w:r w:rsidRPr="005E63AE">
        <w:rPr>
          <w:rFonts w:asciiTheme="minorHAnsi" w:eastAsiaTheme="minorHAnsi" w:hAnsiTheme="minorHAnsi" w:cstheme="minorHAnsi"/>
        </w:rPr>
        <w:lastRenderedPageBreak/>
        <w:t>finančních prostředků je určena na transfery.</w:t>
      </w:r>
      <w:r>
        <w:rPr>
          <w:rFonts w:asciiTheme="minorHAnsi" w:eastAsiaTheme="minorHAnsi" w:hAnsiTheme="minorHAnsi" w:cstheme="minorHAnsi"/>
          <w:b/>
        </w:rPr>
        <w:t xml:space="preserve"> MPO využívá účetní in</w:t>
      </w:r>
      <w:r w:rsidR="0013359B">
        <w:rPr>
          <w:rFonts w:asciiTheme="minorHAnsi" w:eastAsiaTheme="minorHAnsi" w:hAnsiTheme="minorHAnsi" w:cstheme="minorHAnsi"/>
          <w:b/>
        </w:rPr>
        <w:t xml:space="preserve">formace OSS a PO </w:t>
      </w:r>
      <w:r w:rsidR="006676B0">
        <w:rPr>
          <w:rFonts w:asciiTheme="minorHAnsi" w:eastAsiaTheme="minorHAnsi" w:hAnsiTheme="minorHAnsi" w:cstheme="minorHAnsi"/>
          <w:b/>
        </w:rPr>
        <w:t>v rozpočtové kapitole</w:t>
      </w:r>
      <w:r w:rsidR="0013359B">
        <w:rPr>
          <w:rFonts w:asciiTheme="minorHAnsi" w:eastAsiaTheme="minorHAnsi" w:hAnsiTheme="minorHAnsi" w:cstheme="minorHAnsi"/>
          <w:b/>
        </w:rPr>
        <w:t xml:space="preserve"> MPO zejména za účelem zpracování souhrnných účetních výkazů za </w:t>
      </w:r>
      <w:r w:rsidR="006676B0">
        <w:rPr>
          <w:rFonts w:asciiTheme="minorHAnsi" w:eastAsiaTheme="minorHAnsi" w:hAnsiTheme="minorHAnsi" w:cstheme="minorHAnsi"/>
          <w:b/>
        </w:rPr>
        <w:t xml:space="preserve">tuto </w:t>
      </w:r>
      <w:r w:rsidR="0013359B">
        <w:rPr>
          <w:rFonts w:asciiTheme="minorHAnsi" w:eastAsiaTheme="minorHAnsi" w:hAnsiTheme="minorHAnsi" w:cstheme="minorHAnsi"/>
          <w:b/>
        </w:rPr>
        <w:t>kapitolu</w:t>
      </w:r>
      <w:r w:rsidR="006676B0">
        <w:rPr>
          <w:rFonts w:asciiTheme="minorHAnsi" w:eastAsiaTheme="minorHAnsi" w:hAnsiTheme="minorHAnsi" w:cstheme="minorHAnsi"/>
          <w:b/>
        </w:rPr>
        <w:t xml:space="preserve"> státního rozpočtu</w:t>
      </w:r>
      <w:r w:rsidR="00051D13">
        <w:rPr>
          <w:rFonts w:asciiTheme="minorHAnsi" w:eastAsiaTheme="minorHAnsi" w:hAnsiTheme="minorHAnsi" w:cstheme="minorHAnsi"/>
          <w:b/>
        </w:rPr>
        <w:t>.</w:t>
      </w:r>
    </w:p>
    <w:p w14:paraId="6B5572BE" w14:textId="3254CBF7" w:rsidR="00B05876" w:rsidRDefault="00B05876" w:rsidP="00847833">
      <w:pPr>
        <w:keepNext/>
        <w:jc w:val="both"/>
        <w:rPr>
          <w:rFonts w:asciiTheme="minorHAnsi" w:eastAsiaTheme="minorHAnsi" w:hAnsiTheme="minorHAnsi" w:cstheme="minorHAnsi"/>
          <w:b/>
        </w:rPr>
      </w:pPr>
      <w:r>
        <w:rPr>
          <w:rFonts w:asciiTheme="minorHAnsi" w:eastAsiaTheme="minorHAnsi" w:hAnsiTheme="minorHAnsi" w:cstheme="minorHAnsi"/>
          <w:b/>
        </w:rPr>
        <w:t xml:space="preserve">8. Vliv </w:t>
      </w:r>
      <w:r w:rsidR="00CA6CBC">
        <w:rPr>
          <w:rFonts w:asciiTheme="minorHAnsi" w:eastAsiaTheme="minorHAnsi" w:hAnsiTheme="minorHAnsi" w:cstheme="minorHAnsi"/>
          <w:b/>
        </w:rPr>
        <w:t>covidu</w:t>
      </w:r>
      <w:r w:rsidR="00D537E1">
        <w:rPr>
          <w:rFonts w:asciiTheme="minorHAnsi" w:eastAsiaTheme="minorHAnsi" w:hAnsiTheme="minorHAnsi" w:cstheme="minorHAnsi"/>
          <w:b/>
        </w:rPr>
        <w:t>-19</w:t>
      </w:r>
      <w:r>
        <w:rPr>
          <w:rFonts w:asciiTheme="minorHAnsi" w:eastAsiaTheme="minorHAnsi" w:hAnsiTheme="minorHAnsi" w:cstheme="minorHAnsi"/>
          <w:b/>
        </w:rPr>
        <w:t xml:space="preserve"> na účetnictví</w:t>
      </w:r>
      <w:r w:rsidR="00051D13">
        <w:rPr>
          <w:rFonts w:asciiTheme="minorHAnsi" w:eastAsiaTheme="minorHAnsi" w:hAnsiTheme="minorHAnsi" w:cstheme="minorHAnsi"/>
          <w:b/>
        </w:rPr>
        <w:t xml:space="preserve"> a výkaznictví</w:t>
      </w:r>
      <w:r>
        <w:rPr>
          <w:rFonts w:asciiTheme="minorHAnsi" w:eastAsiaTheme="minorHAnsi" w:hAnsiTheme="minorHAnsi" w:cstheme="minorHAnsi"/>
          <w:b/>
        </w:rPr>
        <w:t xml:space="preserve"> MPO</w:t>
      </w:r>
    </w:p>
    <w:p w14:paraId="432676F2" w14:textId="7EA9A9B3" w:rsidR="00143AB8" w:rsidRDefault="00437752" w:rsidP="00847833">
      <w:pPr>
        <w:keepNext/>
        <w:jc w:val="both"/>
        <w:rPr>
          <w:rFonts w:eastAsiaTheme="minorHAnsi"/>
        </w:rPr>
      </w:pPr>
      <w:r w:rsidRPr="005E63AE">
        <w:rPr>
          <w:rFonts w:asciiTheme="minorHAnsi" w:eastAsiaTheme="minorHAnsi" w:hAnsiTheme="minorHAnsi" w:cstheme="minorHAnsi"/>
          <w:b/>
        </w:rPr>
        <w:t>Účetnictví a výkaznictví MPO bylo v roce 2020 významně ovlivněno</w:t>
      </w:r>
      <w:r w:rsidR="00051D13">
        <w:rPr>
          <w:rFonts w:asciiTheme="minorHAnsi" w:eastAsiaTheme="minorHAnsi" w:hAnsiTheme="minorHAnsi" w:cstheme="minorHAnsi"/>
          <w:b/>
        </w:rPr>
        <w:t xml:space="preserve"> skutečnostmi souvisejícími s</w:t>
      </w:r>
      <w:r w:rsidRPr="005E63AE">
        <w:rPr>
          <w:rFonts w:asciiTheme="minorHAnsi" w:eastAsiaTheme="minorHAnsi" w:hAnsiTheme="minorHAnsi" w:cstheme="minorHAnsi"/>
          <w:b/>
        </w:rPr>
        <w:t xml:space="preserve"> </w:t>
      </w:r>
      <w:r w:rsidR="00CA6CBC">
        <w:rPr>
          <w:rFonts w:asciiTheme="minorHAnsi" w:eastAsiaTheme="minorHAnsi" w:hAnsiTheme="minorHAnsi" w:cstheme="minorHAnsi"/>
          <w:b/>
        </w:rPr>
        <w:t>covidem</w:t>
      </w:r>
      <w:r w:rsidR="00D537E1">
        <w:rPr>
          <w:rFonts w:asciiTheme="minorHAnsi" w:eastAsiaTheme="minorHAnsi" w:hAnsiTheme="minorHAnsi" w:cstheme="minorHAnsi"/>
          <w:b/>
        </w:rPr>
        <w:t>-19</w:t>
      </w:r>
      <w:r w:rsidRPr="00EA6249">
        <w:rPr>
          <w:rFonts w:asciiTheme="minorHAnsi" w:eastAsiaTheme="minorHAnsi" w:hAnsiTheme="minorHAnsi" w:cstheme="minorHAnsi"/>
          <w:b/>
        </w:rPr>
        <w:t>.</w:t>
      </w:r>
      <w:r>
        <w:rPr>
          <w:rFonts w:asciiTheme="minorHAnsi" w:eastAsiaTheme="minorHAnsi" w:hAnsiTheme="minorHAnsi" w:cstheme="minorHAnsi"/>
        </w:rPr>
        <w:t xml:space="preserve"> </w:t>
      </w:r>
      <w:r w:rsidRPr="005E63AE">
        <w:rPr>
          <w:rFonts w:asciiTheme="minorHAnsi" w:eastAsiaTheme="minorHAnsi" w:hAnsiTheme="minorHAnsi" w:cstheme="minorHAnsi"/>
          <w:b/>
        </w:rPr>
        <w:t xml:space="preserve">MPO realizovalo </w:t>
      </w:r>
      <w:r w:rsidR="00FD148C" w:rsidRPr="005E63AE">
        <w:rPr>
          <w:rFonts w:asciiTheme="minorHAnsi" w:eastAsiaTheme="minorHAnsi" w:hAnsiTheme="minorHAnsi" w:cstheme="minorHAnsi"/>
        </w:rPr>
        <w:t>zejména</w:t>
      </w:r>
      <w:r w:rsidR="00FD148C">
        <w:rPr>
          <w:rFonts w:asciiTheme="minorHAnsi" w:eastAsiaTheme="minorHAnsi" w:hAnsiTheme="minorHAnsi" w:cstheme="minorHAnsi"/>
          <w:b/>
        </w:rPr>
        <w:t xml:space="preserve"> </w:t>
      </w:r>
      <w:r w:rsidRPr="005E63AE">
        <w:rPr>
          <w:rFonts w:asciiTheme="minorHAnsi" w:eastAsiaTheme="minorHAnsi" w:hAnsiTheme="minorHAnsi" w:cstheme="minorHAnsi"/>
          <w:b/>
        </w:rPr>
        <w:t>řadu programů</w:t>
      </w:r>
      <w:r>
        <w:rPr>
          <w:rFonts w:asciiTheme="minorHAnsi" w:eastAsiaTheme="minorHAnsi" w:hAnsiTheme="minorHAnsi" w:cstheme="minorHAnsi"/>
        </w:rPr>
        <w:t xml:space="preserve"> za účelem podpory oblastí hospodářství, na které měl</w:t>
      </w:r>
      <w:r w:rsidR="00FD148C">
        <w:rPr>
          <w:rFonts w:asciiTheme="minorHAnsi" w:eastAsiaTheme="minorHAnsi" w:hAnsiTheme="minorHAnsi" w:cstheme="minorHAnsi"/>
        </w:rPr>
        <w:t>a</w:t>
      </w:r>
      <w:r>
        <w:rPr>
          <w:rFonts w:asciiTheme="minorHAnsi" w:eastAsiaTheme="minorHAnsi" w:hAnsiTheme="minorHAnsi" w:cstheme="minorHAnsi"/>
        </w:rPr>
        <w:t xml:space="preserve"> dopad vládní protiepidemická opatření.</w:t>
      </w:r>
      <w:r w:rsidR="00051D13">
        <w:rPr>
          <w:rFonts w:asciiTheme="minorHAnsi" w:eastAsiaTheme="minorHAnsi" w:hAnsiTheme="minorHAnsi" w:cstheme="minorHAnsi"/>
        </w:rPr>
        <w:t xml:space="preserve"> </w:t>
      </w:r>
      <w:r w:rsidRPr="005E63AE">
        <w:rPr>
          <w:rFonts w:asciiTheme="minorHAnsi" w:eastAsiaTheme="minorHAnsi" w:hAnsiTheme="minorHAnsi" w:cstheme="minorHAnsi"/>
          <w:b/>
        </w:rPr>
        <w:t>MPO v účetním období 2020 zaúčtovalo</w:t>
      </w:r>
      <w:r>
        <w:rPr>
          <w:rFonts w:asciiTheme="minorHAnsi" w:eastAsiaTheme="minorHAnsi" w:hAnsiTheme="minorHAnsi" w:cstheme="minorHAnsi"/>
        </w:rPr>
        <w:t xml:space="preserve"> (bez počátečních stavů a závěrkových operací) </w:t>
      </w:r>
      <w:r w:rsidRPr="005E63AE">
        <w:rPr>
          <w:rFonts w:asciiTheme="minorHAnsi" w:eastAsiaTheme="minorHAnsi" w:hAnsiTheme="minorHAnsi" w:cstheme="minorHAnsi"/>
          <w:b/>
        </w:rPr>
        <w:t xml:space="preserve">přes </w:t>
      </w:r>
      <w:r w:rsidR="00CA6CBC">
        <w:rPr>
          <w:rFonts w:asciiTheme="minorHAnsi" w:eastAsiaTheme="minorHAnsi" w:hAnsiTheme="minorHAnsi" w:cstheme="minorHAnsi"/>
          <w:b/>
        </w:rPr>
        <w:t>dva miliony</w:t>
      </w:r>
      <w:r w:rsidRPr="005E63AE">
        <w:rPr>
          <w:rFonts w:asciiTheme="minorHAnsi" w:eastAsiaTheme="minorHAnsi" w:hAnsiTheme="minorHAnsi" w:cstheme="minorHAnsi"/>
          <w:b/>
        </w:rPr>
        <w:t xml:space="preserve"> účetních obratů</w:t>
      </w:r>
      <w:r w:rsidR="00051D13">
        <w:rPr>
          <w:rFonts w:asciiTheme="minorHAnsi" w:eastAsiaTheme="minorHAnsi" w:hAnsiTheme="minorHAnsi" w:cstheme="minorHAnsi"/>
          <w:b/>
        </w:rPr>
        <w:t>. Oproti tomu</w:t>
      </w:r>
      <w:r>
        <w:rPr>
          <w:rFonts w:asciiTheme="minorHAnsi" w:eastAsiaTheme="minorHAnsi" w:hAnsiTheme="minorHAnsi" w:cstheme="minorHAnsi"/>
        </w:rPr>
        <w:t xml:space="preserve"> </w:t>
      </w:r>
      <w:r w:rsidRPr="005E63AE">
        <w:rPr>
          <w:rFonts w:asciiTheme="minorHAnsi" w:eastAsiaTheme="minorHAnsi" w:hAnsiTheme="minorHAnsi" w:cstheme="minorHAnsi"/>
          <w:b/>
        </w:rPr>
        <w:t>v</w:t>
      </w:r>
      <w:r>
        <w:rPr>
          <w:rFonts w:asciiTheme="minorHAnsi" w:eastAsiaTheme="minorHAnsi" w:hAnsiTheme="minorHAnsi" w:cstheme="minorHAnsi"/>
        </w:rPr>
        <w:t xml:space="preserve"> předchozím účetním </w:t>
      </w:r>
      <w:r w:rsidRPr="005E63AE">
        <w:rPr>
          <w:rFonts w:asciiTheme="minorHAnsi" w:eastAsiaTheme="minorHAnsi" w:hAnsiTheme="minorHAnsi" w:cstheme="minorHAnsi"/>
          <w:b/>
        </w:rPr>
        <w:t>období 2019 to bylo</w:t>
      </w:r>
      <w:r>
        <w:rPr>
          <w:rFonts w:asciiTheme="minorHAnsi" w:eastAsiaTheme="minorHAnsi" w:hAnsiTheme="minorHAnsi" w:cstheme="minorHAnsi"/>
        </w:rPr>
        <w:t xml:space="preserve"> necelých </w:t>
      </w:r>
      <w:r w:rsidRPr="005E63AE">
        <w:rPr>
          <w:rFonts w:asciiTheme="minorHAnsi" w:eastAsiaTheme="minorHAnsi" w:hAnsiTheme="minorHAnsi" w:cstheme="minorHAnsi"/>
          <w:b/>
        </w:rPr>
        <w:t>120 tis</w:t>
      </w:r>
      <w:r w:rsidR="00CA6CBC">
        <w:rPr>
          <w:rFonts w:asciiTheme="minorHAnsi" w:eastAsiaTheme="minorHAnsi" w:hAnsiTheme="minorHAnsi" w:cstheme="minorHAnsi"/>
          <w:b/>
        </w:rPr>
        <w:t>íc</w:t>
      </w:r>
      <w:r>
        <w:rPr>
          <w:rFonts w:asciiTheme="minorHAnsi" w:eastAsiaTheme="minorHAnsi" w:hAnsiTheme="minorHAnsi" w:cstheme="minorHAnsi"/>
        </w:rPr>
        <w:t xml:space="preserve"> účetních </w:t>
      </w:r>
      <w:r w:rsidR="00051D13">
        <w:rPr>
          <w:rFonts w:asciiTheme="minorHAnsi" w:eastAsiaTheme="minorHAnsi" w:hAnsiTheme="minorHAnsi" w:cstheme="minorHAnsi"/>
        </w:rPr>
        <w:t xml:space="preserve">obratů. </w:t>
      </w:r>
      <w:r w:rsidR="00BF0D25" w:rsidRPr="005E63AE">
        <w:rPr>
          <w:rFonts w:asciiTheme="minorHAnsi" w:eastAsiaTheme="minorHAnsi" w:hAnsiTheme="minorHAnsi" w:cstheme="minorHAnsi"/>
          <w:b/>
        </w:rPr>
        <w:t>Celkové výdaje za</w:t>
      </w:r>
      <w:r w:rsidR="00BF0D25">
        <w:rPr>
          <w:rFonts w:asciiTheme="minorHAnsi" w:eastAsiaTheme="minorHAnsi" w:hAnsiTheme="minorHAnsi" w:cstheme="minorHAnsi"/>
        </w:rPr>
        <w:t xml:space="preserve"> všechny </w:t>
      </w:r>
      <w:proofErr w:type="spellStart"/>
      <w:r w:rsidR="00CA6CBC" w:rsidRPr="005E63AE">
        <w:rPr>
          <w:rFonts w:asciiTheme="minorHAnsi" w:eastAsiaTheme="minorHAnsi" w:hAnsiTheme="minorHAnsi" w:cstheme="minorHAnsi"/>
          <w:b/>
        </w:rPr>
        <w:t>covid</w:t>
      </w:r>
      <w:r w:rsidR="00CA6CBC">
        <w:rPr>
          <w:rFonts w:asciiTheme="minorHAnsi" w:eastAsiaTheme="minorHAnsi" w:hAnsiTheme="minorHAnsi" w:cstheme="minorHAnsi"/>
          <w:b/>
        </w:rPr>
        <w:t>ové</w:t>
      </w:r>
      <w:proofErr w:type="spellEnd"/>
      <w:r w:rsidR="00BF0D25" w:rsidRPr="005E63AE">
        <w:rPr>
          <w:rFonts w:asciiTheme="minorHAnsi" w:eastAsiaTheme="minorHAnsi" w:hAnsiTheme="minorHAnsi" w:cstheme="minorHAnsi"/>
          <w:b/>
        </w:rPr>
        <w:t xml:space="preserve"> programy</w:t>
      </w:r>
      <w:r w:rsidR="00BF0D25">
        <w:rPr>
          <w:rFonts w:asciiTheme="minorHAnsi" w:eastAsiaTheme="minorHAnsi" w:hAnsiTheme="minorHAnsi" w:cstheme="minorHAnsi"/>
        </w:rPr>
        <w:t xml:space="preserve"> realizované MPO k 31.</w:t>
      </w:r>
      <w:r w:rsidR="00502271">
        <w:rPr>
          <w:rFonts w:asciiTheme="minorHAnsi" w:eastAsiaTheme="minorHAnsi" w:hAnsiTheme="minorHAnsi" w:cstheme="minorHAnsi"/>
        </w:rPr>
        <w:t> </w:t>
      </w:r>
      <w:r w:rsidR="00051D13">
        <w:rPr>
          <w:rFonts w:asciiTheme="minorHAnsi" w:eastAsiaTheme="minorHAnsi" w:hAnsiTheme="minorHAnsi" w:cstheme="minorHAnsi"/>
        </w:rPr>
        <w:t>prosinci</w:t>
      </w:r>
      <w:r w:rsidR="00BF0D25">
        <w:rPr>
          <w:rFonts w:asciiTheme="minorHAnsi" w:eastAsiaTheme="minorHAnsi" w:hAnsiTheme="minorHAnsi" w:cstheme="minorHAnsi"/>
        </w:rPr>
        <w:t xml:space="preserve"> 2020 </w:t>
      </w:r>
      <w:r w:rsidR="00BF0D25" w:rsidRPr="005E63AE">
        <w:rPr>
          <w:rFonts w:asciiTheme="minorHAnsi" w:eastAsiaTheme="minorHAnsi" w:hAnsiTheme="minorHAnsi" w:cstheme="minorHAnsi"/>
          <w:b/>
        </w:rPr>
        <w:t>byly vyčísleny ve výši přes 13 mld. Kč</w:t>
      </w:r>
      <w:r w:rsidR="00BF0D25" w:rsidRPr="00EA6249">
        <w:rPr>
          <w:rFonts w:asciiTheme="minorHAnsi" w:eastAsiaTheme="minorHAnsi" w:hAnsiTheme="minorHAnsi" w:cstheme="minorHAnsi"/>
          <w:b/>
        </w:rPr>
        <w:t>,</w:t>
      </w:r>
      <w:r w:rsidR="00BF0D25">
        <w:rPr>
          <w:rFonts w:asciiTheme="minorHAnsi" w:eastAsiaTheme="minorHAnsi" w:hAnsiTheme="minorHAnsi" w:cstheme="minorHAnsi"/>
        </w:rPr>
        <w:t xml:space="preserve"> což představuje přibližně </w:t>
      </w:r>
      <w:r w:rsidR="00BF0D25" w:rsidRPr="005E63AE">
        <w:rPr>
          <w:rFonts w:asciiTheme="minorHAnsi" w:eastAsiaTheme="minorHAnsi" w:hAnsiTheme="minorHAnsi" w:cstheme="minorHAnsi"/>
          <w:b/>
        </w:rPr>
        <w:t>22,4 % celkových výdajů MPO</w:t>
      </w:r>
      <w:r w:rsidR="00BF0D25">
        <w:rPr>
          <w:rFonts w:asciiTheme="minorHAnsi" w:eastAsiaTheme="minorHAnsi" w:hAnsiTheme="minorHAnsi" w:cstheme="minorHAnsi"/>
        </w:rPr>
        <w:t xml:space="preserve"> </w:t>
      </w:r>
      <w:r w:rsidR="00051D13">
        <w:rPr>
          <w:rFonts w:asciiTheme="minorHAnsi" w:eastAsiaTheme="minorHAnsi" w:hAnsiTheme="minorHAnsi" w:cstheme="minorHAnsi"/>
        </w:rPr>
        <w:t xml:space="preserve">vykázaných </w:t>
      </w:r>
      <w:r w:rsidR="00BF0D25">
        <w:rPr>
          <w:rFonts w:asciiTheme="minorHAnsi" w:eastAsiaTheme="minorHAnsi" w:hAnsiTheme="minorHAnsi" w:cstheme="minorHAnsi"/>
        </w:rPr>
        <w:t xml:space="preserve">k 31. </w:t>
      </w:r>
      <w:r w:rsidR="00051D13">
        <w:rPr>
          <w:rFonts w:asciiTheme="minorHAnsi" w:eastAsiaTheme="minorHAnsi" w:hAnsiTheme="minorHAnsi" w:cstheme="minorHAnsi"/>
        </w:rPr>
        <w:t>prosinci</w:t>
      </w:r>
      <w:r w:rsidR="00BF0D25">
        <w:rPr>
          <w:rFonts w:asciiTheme="minorHAnsi" w:eastAsiaTheme="minorHAnsi" w:hAnsiTheme="minorHAnsi" w:cstheme="minorHAnsi"/>
        </w:rPr>
        <w:t xml:space="preserve"> 2020.</w:t>
      </w:r>
    </w:p>
    <w:p w14:paraId="6F5AC460" w14:textId="6F16E5D1" w:rsidR="00143AB8" w:rsidRDefault="00143AB8" w:rsidP="00463ED9">
      <w:pPr>
        <w:spacing w:after="60"/>
        <w:rPr>
          <w:rFonts w:eastAsiaTheme="minorHAnsi"/>
        </w:rPr>
      </w:pPr>
    </w:p>
    <w:p w14:paraId="5C7B6AC6" w14:textId="77777777" w:rsidR="00A8572C" w:rsidRPr="005E63AE" w:rsidRDefault="00A8572C" w:rsidP="00463ED9">
      <w:pPr>
        <w:spacing w:after="60"/>
        <w:rPr>
          <w:rFonts w:eastAsiaTheme="minorHAnsi"/>
        </w:rPr>
      </w:pPr>
    </w:p>
    <w:p w14:paraId="35BE3B27" w14:textId="77777777" w:rsidR="00112642" w:rsidRPr="00BC6074" w:rsidRDefault="00A640AE" w:rsidP="00463ED9">
      <w:pPr>
        <w:keepNext/>
        <w:spacing w:after="60"/>
        <w:rPr>
          <w:rFonts w:asciiTheme="minorHAnsi" w:eastAsiaTheme="minorHAnsi" w:hAnsiTheme="minorHAnsi" w:cstheme="minorHAnsi"/>
          <w:b/>
        </w:rPr>
      </w:pPr>
      <w:r w:rsidRPr="00BC6074">
        <w:rPr>
          <w:rFonts w:asciiTheme="minorHAnsi" w:eastAsiaTheme="minorHAnsi" w:hAnsiTheme="minorHAnsi" w:cstheme="minorHAnsi"/>
          <w:b/>
        </w:rPr>
        <w:t>Seznam zkratek</w:t>
      </w:r>
    </w:p>
    <w:p w14:paraId="5DF00ECC" w14:textId="6E76452B" w:rsidR="005F3E85" w:rsidRPr="005F3E85" w:rsidRDefault="005F3E85" w:rsidP="00463ED9">
      <w:pPr>
        <w:keepNext/>
        <w:spacing w:after="60"/>
        <w:ind w:left="2268" w:hanging="2268"/>
        <w:rPr>
          <w:rFonts w:asciiTheme="minorHAnsi" w:eastAsiaTheme="minorHAnsi" w:hAnsiTheme="minorHAnsi" w:cstheme="minorHAnsi"/>
        </w:rPr>
      </w:pPr>
      <w:r w:rsidRPr="005F3E85">
        <w:rPr>
          <w:rFonts w:asciiTheme="minorHAnsi" w:eastAsiaTheme="minorHAnsi" w:hAnsiTheme="minorHAnsi" w:cstheme="minorHAnsi"/>
        </w:rPr>
        <w:t>CSÚIS</w:t>
      </w:r>
      <w:r w:rsidRPr="005F3E85">
        <w:rPr>
          <w:rFonts w:asciiTheme="minorHAnsi" w:eastAsiaTheme="minorHAnsi" w:hAnsiTheme="minorHAnsi" w:cstheme="minorHAnsi"/>
        </w:rPr>
        <w:tab/>
      </w:r>
      <w:r w:rsidRPr="00EA6249">
        <w:rPr>
          <w:rFonts w:asciiTheme="minorHAnsi" w:eastAsiaTheme="minorHAnsi" w:hAnsiTheme="minorHAnsi" w:cstheme="minorHAnsi"/>
          <w:i/>
        </w:rPr>
        <w:t>Centrální systém účetních informací státu</w:t>
      </w:r>
    </w:p>
    <w:p w14:paraId="5D646E03" w14:textId="2B8DD2F6" w:rsidR="005C3BCA" w:rsidRDefault="005C3BCA" w:rsidP="00463ED9">
      <w:pPr>
        <w:keepNext/>
        <w:spacing w:after="60"/>
        <w:ind w:left="2268" w:hanging="2268"/>
        <w:rPr>
          <w:rFonts w:asciiTheme="minorHAnsi" w:eastAsiaTheme="minorHAnsi" w:hAnsiTheme="minorHAnsi" w:cstheme="minorHAnsi"/>
        </w:rPr>
      </w:pPr>
      <w:r>
        <w:rPr>
          <w:rFonts w:asciiTheme="minorHAnsi" w:eastAsiaTheme="minorHAnsi" w:hAnsiTheme="minorHAnsi" w:cstheme="minorHAnsi"/>
        </w:rPr>
        <w:t>ČNB</w:t>
      </w:r>
      <w:r>
        <w:rPr>
          <w:rFonts w:asciiTheme="minorHAnsi" w:eastAsiaTheme="minorHAnsi" w:hAnsiTheme="minorHAnsi" w:cstheme="minorHAnsi"/>
        </w:rPr>
        <w:tab/>
        <w:t>Česká národní banka</w:t>
      </w:r>
    </w:p>
    <w:p w14:paraId="70DD4F5D" w14:textId="5DB1E9F8" w:rsidR="00155F56" w:rsidRPr="00842B22" w:rsidRDefault="00155F56" w:rsidP="00463ED9">
      <w:pPr>
        <w:keepNext/>
        <w:spacing w:after="60"/>
        <w:ind w:left="2268" w:hanging="2268"/>
        <w:rPr>
          <w:rFonts w:asciiTheme="minorHAnsi" w:eastAsiaTheme="minorHAnsi" w:hAnsiTheme="minorHAnsi" w:cstheme="minorHAnsi"/>
        </w:rPr>
      </w:pPr>
      <w:r w:rsidRPr="00927ABA">
        <w:rPr>
          <w:rFonts w:asciiTheme="minorHAnsi" w:eastAsiaTheme="minorHAnsi" w:hAnsiTheme="minorHAnsi" w:cstheme="minorHAnsi"/>
        </w:rPr>
        <w:t>ČR</w:t>
      </w:r>
      <w:r w:rsidRPr="00927ABA">
        <w:rPr>
          <w:rFonts w:asciiTheme="minorHAnsi" w:eastAsiaTheme="minorHAnsi" w:hAnsiTheme="minorHAnsi" w:cstheme="minorHAnsi"/>
        </w:rPr>
        <w:tab/>
        <w:t>Česká republika</w:t>
      </w:r>
      <w:r w:rsidRPr="00842B22">
        <w:rPr>
          <w:rFonts w:asciiTheme="minorHAnsi" w:eastAsiaTheme="minorHAnsi" w:hAnsiTheme="minorHAnsi" w:cstheme="minorHAnsi"/>
        </w:rPr>
        <w:t xml:space="preserve"> </w:t>
      </w:r>
    </w:p>
    <w:p w14:paraId="753AA0A9" w14:textId="688CCB87" w:rsidR="005F3E85" w:rsidRPr="005F3E85" w:rsidRDefault="005F3E85" w:rsidP="00463ED9">
      <w:pPr>
        <w:keepNext/>
        <w:spacing w:after="60"/>
        <w:ind w:left="2268" w:hanging="2268"/>
        <w:rPr>
          <w:rFonts w:asciiTheme="minorHAnsi" w:eastAsiaTheme="minorHAnsi" w:hAnsiTheme="minorHAnsi" w:cstheme="minorHAnsi"/>
        </w:rPr>
      </w:pPr>
      <w:r w:rsidRPr="005F3E85">
        <w:rPr>
          <w:rFonts w:asciiTheme="minorHAnsi" w:eastAsiaTheme="minorHAnsi" w:hAnsiTheme="minorHAnsi" w:cstheme="minorHAnsi"/>
        </w:rPr>
        <w:t>ČÚS</w:t>
      </w:r>
      <w:r w:rsidRPr="005F3E85">
        <w:rPr>
          <w:rFonts w:asciiTheme="minorHAnsi" w:eastAsiaTheme="minorHAnsi" w:hAnsiTheme="minorHAnsi" w:cstheme="minorHAnsi"/>
        </w:rPr>
        <w:tab/>
        <w:t>české účetní standardy pro některé vybrané účetní jednotky</w:t>
      </w:r>
    </w:p>
    <w:p w14:paraId="65327997" w14:textId="2CDAFF9C" w:rsidR="005C3BCA" w:rsidRDefault="005C3BCA" w:rsidP="00463ED9">
      <w:pPr>
        <w:keepNext/>
        <w:spacing w:after="60"/>
        <w:ind w:left="2268" w:hanging="2268"/>
        <w:rPr>
          <w:rFonts w:asciiTheme="minorHAnsi" w:eastAsiaTheme="minorHAnsi" w:hAnsiTheme="minorHAnsi" w:cstheme="minorHAnsi"/>
        </w:rPr>
      </w:pPr>
      <w:r>
        <w:rPr>
          <w:rFonts w:asciiTheme="minorHAnsi" w:eastAsiaTheme="minorHAnsi" w:hAnsiTheme="minorHAnsi" w:cstheme="minorHAnsi"/>
        </w:rPr>
        <w:t>EU</w:t>
      </w:r>
      <w:r>
        <w:rPr>
          <w:rFonts w:asciiTheme="minorHAnsi" w:eastAsiaTheme="minorHAnsi" w:hAnsiTheme="minorHAnsi" w:cstheme="minorHAnsi"/>
        </w:rPr>
        <w:tab/>
        <w:t>Evropská unie</w:t>
      </w:r>
    </w:p>
    <w:p w14:paraId="5C6F7BFB" w14:textId="7069FB4F" w:rsidR="005C3BCA" w:rsidRPr="005C3BCA" w:rsidRDefault="005C3BCA" w:rsidP="00463ED9">
      <w:pPr>
        <w:keepNext/>
        <w:spacing w:after="60"/>
        <w:ind w:left="2268" w:hanging="2268"/>
        <w:rPr>
          <w:rFonts w:asciiTheme="minorHAnsi" w:eastAsiaTheme="minorHAnsi" w:hAnsiTheme="minorHAnsi" w:cstheme="minorHAnsi"/>
        </w:rPr>
      </w:pPr>
      <w:r w:rsidRPr="005C3BCA">
        <w:rPr>
          <w:rFonts w:asciiTheme="minorHAnsi" w:eastAsiaTheme="minorHAnsi" w:hAnsiTheme="minorHAnsi" w:cstheme="minorHAnsi"/>
        </w:rPr>
        <w:t>finanční nástroje, FN</w:t>
      </w:r>
      <w:r w:rsidRPr="005C3BCA">
        <w:rPr>
          <w:rFonts w:asciiTheme="minorHAnsi" w:eastAsiaTheme="minorHAnsi" w:hAnsiTheme="minorHAnsi" w:cstheme="minorHAnsi"/>
        </w:rPr>
        <w:tab/>
        <w:t>peněžní prostředky vložené do záručních fondů, úvěrových fondů, IPO fondu a fondu fondů</w:t>
      </w:r>
      <w:r>
        <w:rPr>
          <w:rFonts w:asciiTheme="minorHAnsi" w:eastAsiaTheme="minorHAnsi" w:hAnsiTheme="minorHAnsi" w:cstheme="minorHAnsi"/>
        </w:rPr>
        <w:t>, které jsou tvořeny soustavou bankovních účtů</w:t>
      </w:r>
    </w:p>
    <w:p w14:paraId="3BF43C21" w14:textId="4DE021E7" w:rsidR="002C62D6" w:rsidRDefault="002C62D6" w:rsidP="00463ED9">
      <w:pPr>
        <w:keepNext/>
        <w:spacing w:after="60"/>
        <w:ind w:left="2268" w:hanging="2268"/>
        <w:rPr>
          <w:rFonts w:asciiTheme="minorHAnsi" w:eastAsiaTheme="minorHAnsi" w:hAnsiTheme="minorHAnsi" w:cstheme="minorHAnsi"/>
        </w:rPr>
      </w:pPr>
      <w:r>
        <w:rPr>
          <w:rFonts w:asciiTheme="minorHAnsi" w:eastAsiaTheme="minorHAnsi" w:hAnsiTheme="minorHAnsi" w:cstheme="minorHAnsi"/>
        </w:rPr>
        <w:t>IISSP</w:t>
      </w:r>
      <w:r>
        <w:rPr>
          <w:rFonts w:asciiTheme="minorHAnsi" w:eastAsiaTheme="minorHAnsi" w:hAnsiTheme="minorHAnsi" w:cstheme="minorHAnsi"/>
        </w:rPr>
        <w:tab/>
      </w:r>
      <w:r w:rsidRPr="00EA6249">
        <w:rPr>
          <w:rFonts w:asciiTheme="minorHAnsi" w:eastAsiaTheme="minorHAnsi" w:hAnsiTheme="minorHAnsi" w:cstheme="minorHAnsi"/>
          <w:i/>
        </w:rPr>
        <w:t xml:space="preserve">Integrovaný informační systém </w:t>
      </w:r>
      <w:r w:rsidR="007F1C88" w:rsidRPr="00EA6249">
        <w:rPr>
          <w:rFonts w:asciiTheme="minorHAnsi" w:eastAsiaTheme="minorHAnsi" w:hAnsiTheme="minorHAnsi" w:cstheme="minorHAnsi"/>
          <w:i/>
        </w:rPr>
        <w:t>S</w:t>
      </w:r>
      <w:r w:rsidRPr="00EA6249">
        <w:rPr>
          <w:rFonts w:asciiTheme="minorHAnsi" w:eastAsiaTheme="minorHAnsi" w:hAnsiTheme="minorHAnsi" w:cstheme="minorHAnsi"/>
          <w:i/>
        </w:rPr>
        <w:t>tátní pokladny</w:t>
      </w:r>
    </w:p>
    <w:p w14:paraId="23B37FB4" w14:textId="7B4F6B0F" w:rsidR="00155F56" w:rsidRPr="00842B22" w:rsidRDefault="00155F56" w:rsidP="00463ED9">
      <w:pPr>
        <w:keepNext/>
        <w:spacing w:after="60"/>
        <w:ind w:left="2268" w:hanging="2268"/>
        <w:rPr>
          <w:rFonts w:asciiTheme="minorHAnsi" w:eastAsiaTheme="minorHAnsi" w:hAnsiTheme="minorHAnsi" w:cstheme="minorHAnsi"/>
        </w:rPr>
      </w:pPr>
      <w:r w:rsidRPr="00842B22">
        <w:rPr>
          <w:rFonts w:asciiTheme="minorHAnsi" w:eastAsiaTheme="minorHAnsi" w:hAnsiTheme="minorHAnsi" w:cstheme="minorHAnsi"/>
        </w:rPr>
        <w:t>KA</w:t>
      </w:r>
      <w:r w:rsidRPr="00842B22">
        <w:rPr>
          <w:rFonts w:asciiTheme="minorHAnsi" w:eastAsiaTheme="minorHAnsi" w:hAnsiTheme="minorHAnsi" w:cstheme="minorHAnsi"/>
        </w:rPr>
        <w:tab/>
      </w:r>
      <w:r w:rsidR="003B23D8" w:rsidRPr="00842B22">
        <w:rPr>
          <w:rFonts w:asciiTheme="minorHAnsi" w:eastAsiaTheme="minorHAnsi" w:hAnsiTheme="minorHAnsi" w:cstheme="minorHAnsi"/>
        </w:rPr>
        <w:t>k</w:t>
      </w:r>
      <w:r w:rsidRPr="00842B22">
        <w:rPr>
          <w:rFonts w:asciiTheme="minorHAnsi" w:eastAsiaTheme="minorHAnsi" w:hAnsiTheme="minorHAnsi" w:cstheme="minorHAnsi"/>
        </w:rPr>
        <w:t>ontrolní akce</w:t>
      </w:r>
      <w:r w:rsidR="003B23D8" w:rsidRPr="00842B22">
        <w:rPr>
          <w:rFonts w:asciiTheme="minorHAnsi" w:eastAsiaTheme="minorHAnsi" w:hAnsiTheme="minorHAnsi" w:cstheme="minorHAnsi"/>
        </w:rPr>
        <w:t xml:space="preserve"> Nejvyššího kontrolního úřadu</w:t>
      </w:r>
    </w:p>
    <w:p w14:paraId="3836DB55" w14:textId="704810AA" w:rsidR="00155F56" w:rsidRPr="005F3E85" w:rsidRDefault="00155F56" w:rsidP="00463ED9">
      <w:pPr>
        <w:keepNext/>
        <w:spacing w:after="60"/>
        <w:ind w:left="2268" w:hanging="2268"/>
        <w:rPr>
          <w:rFonts w:cs="Calibri"/>
          <w:color w:val="000000"/>
          <w:lang w:eastAsia="cs-CZ"/>
        </w:rPr>
      </w:pPr>
      <w:r w:rsidRPr="005F3E85">
        <w:rPr>
          <w:rFonts w:cs="Calibri"/>
          <w:color w:val="000000"/>
          <w:lang w:eastAsia="cs-CZ"/>
        </w:rPr>
        <w:t xml:space="preserve">MF </w:t>
      </w:r>
      <w:r w:rsidRPr="005F3E85">
        <w:rPr>
          <w:rFonts w:cs="Calibri"/>
          <w:color w:val="000000"/>
          <w:lang w:eastAsia="cs-CZ"/>
        </w:rPr>
        <w:tab/>
        <w:t>Ministerstvo financí</w:t>
      </w:r>
    </w:p>
    <w:p w14:paraId="2B891589" w14:textId="1D35C3DF" w:rsidR="00EF284B" w:rsidRDefault="00EF284B" w:rsidP="00463ED9">
      <w:pPr>
        <w:keepNext/>
        <w:spacing w:after="60"/>
        <w:ind w:left="2268" w:hanging="2268"/>
        <w:rPr>
          <w:rFonts w:cs="Calibri"/>
          <w:color w:val="000000"/>
          <w:lang w:eastAsia="cs-CZ"/>
        </w:rPr>
      </w:pPr>
      <w:r>
        <w:rPr>
          <w:rFonts w:cs="Calibri"/>
          <w:color w:val="000000"/>
          <w:lang w:eastAsia="cs-CZ"/>
        </w:rPr>
        <w:t>Monitoring</w:t>
      </w:r>
      <w:r>
        <w:rPr>
          <w:rFonts w:cs="Calibri"/>
          <w:color w:val="000000"/>
          <w:lang w:eastAsia="cs-CZ"/>
        </w:rPr>
        <w:tab/>
        <w:t>zprávy o hospodaření s prostředky finančních nástrojů</w:t>
      </w:r>
    </w:p>
    <w:p w14:paraId="450BF173" w14:textId="3FF0BF68" w:rsidR="00155F56" w:rsidRPr="00842B22" w:rsidRDefault="00155F56" w:rsidP="00463ED9">
      <w:pPr>
        <w:keepNext/>
        <w:spacing w:after="60"/>
        <w:ind w:left="2268" w:hanging="2268"/>
        <w:rPr>
          <w:rFonts w:cs="Calibri"/>
          <w:color w:val="000000"/>
          <w:lang w:eastAsia="cs-CZ"/>
        </w:rPr>
      </w:pPr>
      <w:r w:rsidRPr="00842B22">
        <w:rPr>
          <w:rFonts w:cs="Calibri"/>
          <w:color w:val="000000"/>
          <w:lang w:eastAsia="cs-CZ"/>
        </w:rPr>
        <w:t>M</w:t>
      </w:r>
      <w:r w:rsidR="00842B22" w:rsidRPr="00842B22">
        <w:rPr>
          <w:rFonts w:cs="Calibri"/>
          <w:color w:val="000000"/>
          <w:lang w:eastAsia="cs-CZ"/>
        </w:rPr>
        <w:t xml:space="preserve">PO </w:t>
      </w:r>
      <w:r w:rsidR="00842B22" w:rsidRPr="00842B22">
        <w:rPr>
          <w:rFonts w:cs="Calibri"/>
          <w:color w:val="000000"/>
          <w:lang w:eastAsia="cs-CZ"/>
        </w:rPr>
        <w:tab/>
        <w:t>Ministerstvo průmyslu a obchodu</w:t>
      </w:r>
    </w:p>
    <w:p w14:paraId="763AA9F5" w14:textId="1E2B0C6F" w:rsidR="00155F56" w:rsidRPr="00842B22" w:rsidRDefault="00155F56" w:rsidP="00463ED9">
      <w:pPr>
        <w:keepNext/>
        <w:spacing w:after="60"/>
        <w:ind w:left="2268" w:hanging="2268"/>
        <w:rPr>
          <w:rFonts w:asciiTheme="minorHAnsi" w:eastAsiaTheme="minorHAnsi" w:hAnsiTheme="minorHAnsi" w:cstheme="minorHAnsi"/>
        </w:rPr>
      </w:pPr>
      <w:r w:rsidRPr="00842B22">
        <w:rPr>
          <w:rFonts w:asciiTheme="minorHAnsi" w:eastAsiaTheme="minorHAnsi" w:hAnsiTheme="minorHAnsi" w:cstheme="minorHAnsi"/>
        </w:rPr>
        <w:t>NKÚ</w:t>
      </w:r>
      <w:r w:rsidRPr="00842B22">
        <w:rPr>
          <w:rFonts w:asciiTheme="minorHAnsi" w:eastAsiaTheme="minorHAnsi" w:hAnsiTheme="minorHAnsi" w:cstheme="minorHAnsi"/>
        </w:rPr>
        <w:tab/>
        <w:t>Nejvyšší kontrolní úřad</w:t>
      </w:r>
    </w:p>
    <w:p w14:paraId="43970C65" w14:textId="759D11D5" w:rsidR="005C3BCA" w:rsidRDefault="005C3BCA" w:rsidP="00463ED9">
      <w:pPr>
        <w:keepNext/>
        <w:spacing w:after="60"/>
        <w:ind w:left="2268" w:hanging="2268"/>
        <w:rPr>
          <w:rFonts w:asciiTheme="minorHAnsi" w:eastAsiaTheme="minorHAnsi" w:hAnsiTheme="minorHAnsi" w:cstheme="minorHAnsi"/>
        </w:rPr>
      </w:pPr>
      <w:r>
        <w:rPr>
          <w:rFonts w:asciiTheme="minorHAnsi" w:eastAsiaTheme="minorHAnsi" w:hAnsiTheme="minorHAnsi" w:cstheme="minorHAnsi"/>
        </w:rPr>
        <w:t>OOP</w:t>
      </w:r>
      <w:r>
        <w:rPr>
          <w:rFonts w:asciiTheme="minorHAnsi" w:eastAsiaTheme="minorHAnsi" w:hAnsiTheme="minorHAnsi" w:cstheme="minorHAnsi"/>
        </w:rPr>
        <w:tab/>
        <w:t>osobní ochranné pomůcky</w:t>
      </w:r>
    </w:p>
    <w:p w14:paraId="14C36A37" w14:textId="2A8167B9" w:rsidR="005F3E85" w:rsidRPr="005F3E85" w:rsidRDefault="005F3E85" w:rsidP="00463ED9">
      <w:pPr>
        <w:keepNext/>
        <w:spacing w:after="60"/>
        <w:ind w:left="2268" w:hanging="2268"/>
        <w:rPr>
          <w:rFonts w:asciiTheme="minorHAnsi" w:eastAsiaTheme="minorHAnsi" w:hAnsiTheme="minorHAnsi" w:cstheme="minorHAnsi"/>
        </w:rPr>
      </w:pPr>
      <w:r w:rsidRPr="005F3E85">
        <w:rPr>
          <w:rFonts w:asciiTheme="minorHAnsi" w:eastAsiaTheme="minorHAnsi" w:hAnsiTheme="minorHAnsi" w:cstheme="minorHAnsi"/>
        </w:rPr>
        <w:t>OP PIK</w:t>
      </w:r>
      <w:r w:rsidRPr="005F3E85">
        <w:rPr>
          <w:rFonts w:asciiTheme="minorHAnsi" w:eastAsiaTheme="minorHAnsi" w:hAnsiTheme="minorHAnsi" w:cstheme="minorHAnsi"/>
        </w:rPr>
        <w:tab/>
      </w:r>
      <w:r w:rsidR="007F1C88">
        <w:rPr>
          <w:rFonts w:asciiTheme="minorHAnsi" w:eastAsiaTheme="minorHAnsi" w:hAnsiTheme="minorHAnsi" w:cstheme="minorHAnsi"/>
        </w:rPr>
        <w:t>o</w:t>
      </w:r>
      <w:r w:rsidRPr="005F3E85">
        <w:rPr>
          <w:rFonts w:asciiTheme="minorHAnsi" w:eastAsiaTheme="minorHAnsi" w:hAnsiTheme="minorHAnsi" w:cstheme="minorHAnsi"/>
        </w:rPr>
        <w:t xml:space="preserve">perační program </w:t>
      </w:r>
      <w:r w:rsidRPr="00EA6249">
        <w:rPr>
          <w:rFonts w:asciiTheme="minorHAnsi" w:eastAsiaTheme="minorHAnsi" w:hAnsiTheme="minorHAnsi" w:cstheme="minorHAnsi"/>
          <w:i/>
        </w:rPr>
        <w:t>Podnikání a inovace pro konkurenceschopnost</w:t>
      </w:r>
      <w:r w:rsidRPr="005F3E85">
        <w:rPr>
          <w:rFonts w:asciiTheme="minorHAnsi" w:eastAsiaTheme="minorHAnsi" w:hAnsiTheme="minorHAnsi" w:cstheme="minorHAnsi"/>
        </w:rPr>
        <w:t xml:space="preserve"> </w:t>
      </w:r>
    </w:p>
    <w:p w14:paraId="27CE8C8F" w14:textId="7B39CB20" w:rsidR="00155F56" w:rsidRPr="00927ABA" w:rsidRDefault="00155F56" w:rsidP="00463ED9">
      <w:pPr>
        <w:keepNext/>
        <w:spacing w:after="60"/>
        <w:ind w:left="2268" w:hanging="2268"/>
        <w:rPr>
          <w:rFonts w:asciiTheme="minorHAnsi" w:eastAsiaTheme="minorHAnsi" w:hAnsiTheme="minorHAnsi" w:cstheme="minorHAnsi"/>
        </w:rPr>
      </w:pPr>
      <w:r w:rsidRPr="00927ABA">
        <w:rPr>
          <w:rFonts w:asciiTheme="minorHAnsi" w:eastAsiaTheme="minorHAnsi" w:hAnsiTheme="minorHAnsi" w:cstheme="minorHAnsi"/>
        </w:rPr>
        <w:t>OSS</w:t>
      </w:r>
      <w:r w:rsidRPr="00927ABA">
        <w:rPr>
          <w:rFonts w:asciiTheme="minorHAnsi" w:eastAsiaTheme="minorHAnsi" w:hAnsiTheme="minorHAnsi" w:cstheme="minorHAnsi"/>
        </w:rPr>
        <w:tab/>
        <w:t>organizační složka/</w:t>
      </w:r>
      <w:r w:rsidR="005121AE" w:rsidRPr="00927ABA">
        <w:rPr>
          <w:rFonts w:asciiTheme="minorHAnsi" w:eastAsiaTheme="minorHAnsi" w:hAnsiTheme="minorHAnsi" w:cstheme="minorHAnsi"/>
        </w:rPr>
        <w:t>složk</w:t>
      </w:r>
      <w:r w:rsidRPr="00927ABA">
        <w:rPr>
          <w:rFonts w:asciiTheme="minorHAnsi" w:eastAsiaTheme="minorHAnsi" w:hAnsiTheme="minorHAnsi" w:cstheme="minorHAnsi"/>
        </w:rPr>
        <w:t>y státu</w:t>
      </w:r>
    </w:p>
    <w:p w14:paraId="39F315DA" w14:textId="2CBB48CA" w:rsidR="00155F56" w:rsidRPr="00050BF8" w:rsidRDefault="00155F56" w:rsidP="00463ED9">
      <w:pPr>
        <w:keepNext/>
        <w:spacing w:after="60"/>
        <w:ind w:left="2268" w:hanging="2268"/>
        <w:rPr>
          <w:rFonts w:asciiTheme="minorHAnsi" w:eastAsiaTheme="minorHAnsi" w:hAnsiTheme="minorHAnsi" w:cstheme="minorHAnsi"/>
        </w:rPr>
      </w:pPr>
      <w:r w:rsidRPr="00050BF8">
        <w:rPr>
          <w:rFonts w:asciiTheme="minorHAnsi" w:eastAsiaTheme="minorHAnsi" w:hAnsiTheme="minorHAnsi" w:cstheme="minorHAnsi"/>
        </w:rPr>
        <w:t>PO</w:t>
      </w:r>
      <w:r w:rsidRPr="00050BF8">
        <w:rPr>
          <w:rFonts w:asciiTheme="minorHAnsi" w:eastAsiaTheme="minorHAnsi" w:hAnsiTheme="minorHAnsi" w:cstheme="minorHAnsi"/>
        </w:rPr>
        <w:tab/>
        <w:t>příspěvková</w:t>
      </w:r>
      <w:r w:rsidR="005121AE" w:rsidRPr="00050BF8">
        <w:rPr>
          <w:rFonts w:asciiTheme="minorHAnsi" w:eastAsiaTheme="minorHAnsi" w:hAnsiTheme="minorHAnsi" w:cstheme="minorHAnsi"/>
        </w:rPr>
        <w:t>/příspěvkové</w:t>
      </w:r>
      <w:r w:rsidRPr="00050BF8">
        <w:rPr>
          <w:rFonts w:asciiTheme="minorHAnsi" w:eastAsiaTheme="minorHAnsi" w:hAnsiTheme="minorHAnsi" w:cstheme="minorHAnsi"/>
        </w:rPr>
        <w:t xml:space="preserve"> organizace</w:t>
      </w:r>
    </w:p>
    <w:p w14:paraId="3D9A261C" w14:textId="7EBA47ED" w:rsidR="00155F56" w:rsidRDefault="00155F56" w:rsidP="00463ED9">
      <w:pPr>
        <w:keepNext/>
        <w:spacing w:after="60"/>
        <w:ind w:left="2268" w:hanging="2268"/>
        <w:rPr>
          <w:rFonts w:asciiTheme="minorHAnsi" w:eastAsiaTheme="minorHAnsi" w:hAnsiTheme="minorHAnsi" w:cstheme="minorHAnsi"/>
        </w:rPr>
      </w:pPr>
      <w:r w:rsidRPr="00255EB2">
        <w:rPr>
          <w:rFonts w:asciiTheme="minorHAnsi" w:eastAsiaTheme="minorHAnsi" w:hAnsiTheme="minorHAnsi" w:cstheme="minorHAnsi"/>
        </w:rPr>
        <w:t>ÚZ</w:t>
      </w:r>
      <w:r w:rsidRPr="00255EB2">
        <w:rPr>
          <w:rFonts w:asciiTheme="minorHAnsi" w:eastAsiaTheme="minorHAnsi" w:hAnsiTheme="minorHAnsi" w:cstheme="minorHAnsi"/>
        </w:rPr>
        <w:tab/>
        <w:t xml:space="preserve">účetní závěrka </w:t>
      </w:r>
      <w:r w:rsidR="00842B22" w:rsidRPr="00255EB2">
        <w:rPr>
          <w:rFonts w:asciiTheme="minorHAnsi" w:eastAsiaTheme="minorHAnsi" w:hAnsiTheme="minorHAnsi" w:cstheme="minorHAnsi"/>
        </w:rPr>
        <w:t>MPO</w:t>
      </w:r>
      <w:r w:rsidRPr="00255EB2">
        <w:rPr>
          <w:rFonts w:asciiTheme="minorHAnsi" w:eastAsiaTheme="minorHAnsi" w:hAnsiTheme="minorHAnsi" w:cstheme="minorHAnsi"/>
        </w:rPr>
        <w:t xml:space="preserve"> sestavená k 31. prosinci 20</w:t>
      </w:r>
      <w:r w:rsidR="00842B22" w:rsidRPr="00255EB2">
        <w:rPr>
          <w:rFonts w:asciiTheme="minorHAnsi" w:eastAsiaTheme="minorHAnsi" w:hAnsiTheme="minorHAnsi" w:cstheme="minorHAnsi"/>
        </w:rPr>
        <w:t>20</w:t>
      </w:r>
      <w:r w:rsidR="00056F1A" w:rsidRPr="00255EB2">
        <w:rPr>
          <w:rFonts w:asciiTheme="minorHAnsi" w:eastAsiaTheme="minorHAnsi" w:hAnsiTheme="minorHAnsi" w:cstheme="minorHAnsi"/>
        </w:rPr>
        <w:t xml:space="preserve"> s datem sestavení </w:t>
      </w:r>
      <w:r w:rsidR="002A706D" w:rsidRPr="002A706D">
        <w:rPr>
          <w:rFonts w:asciiTheme="minorHAnsi" w:eastAsiaTheme="minorHAnsi" w:hAnsiTheme="minorHAnsi" w:cstheme="minorHAnsi"/>
        </w:rPr>
        <w:t xml:space="preserve">13. </w:t>
      </w:r>
      <w:r w:rsidR="00056F1A" w:rsidRPr="002A706D">
        <w:rPr>
          <w:rFonts w:asciiTheme="minorHAnsi" w:eastAsiaTheme="minorHAnsi" w:hAnsiTheme="minorHAnsi" w:cstheme="minorHAnsi"/>
        </w:rPr>
        <w:t>květn</w:t>
      </w:r>
      <w:r w:rsidR="002A706D" w:rsidRPr="002A706D">
        <w:rPr>
          <w:rFonts w:asciiTheme="minorHAnsi" w:eastAsiaTheme="minorHAnsi" w:hAnsiTheme="minorHAnsi" w:cstheme="minorHAnsi"/>
        </w:rPr>
        <w:t>a</w:t>
      </w:r>
      <w:r w:rsidR="00056F1A" w:rsidRPr="002A706D">
        <w:rPr>
          <w:rFonts w:asciiTheme="minorHAnsi" w:eastAsiaTheme="minorHAnsi" w:hAnsiTheme="minorHAnsi" w:cstheme="minorHAnsi"/>
        </w:rPr>
        <w:t xml:space="preserve"> 2</w:t>
      </w:r>
      <w:r w:rsidR="00056F1A" w:rsidRPr="00255EB2">
        <w:rPr>
          <w:rFonts w:asciiTheme="minorHAnsi" w:eastAsiaTheme="minorHAnsi" w:hAnsiTheme="minorHAnsi" w:cstheme="minorHAnsi"/>
        </w:rPr>
        <w:t>021</w:t>
      </w:r>
    </w:p>
    <w:p w14:paraId="5DB4D8D0" w14:textId="3128A121" w:rsidR="00B53D75" w:rsidRPr="00927ABA" w:rsidRDefault="00155F56" w:rsidP="00463ED9">
      <w:pPr>
        <w:keepNext/>
        <w:spacing w:after="60"/>
        <w:ind w:left="2268" w:hanging="2268"/>
        <w:rPr>
          <w:rFonts w:asciiTheme="minorHAnsi" w:eastAsiaTheme="minorHAnsi" w:hAnsiTheme="minorHAnsi" w:cstheme="minorHAnsi"/>
          <w:sz w:val="22"/>
          <w:szCs w:val="22"/>
        </w:rPr>
      </w:pPr>
      <w:r w:rsidRPr="00927ABA">
        <w:rPr>
          <w:rFonts w:asciiTheme="minorHAnsi" w:eastAsiaTheme="minorHAnsi" w:hAnsiTheme="minorHAnsi" w:cstheme="minorHAnsi"/>
        </w:rPr>
        <w:t>výkaz FIN 1-12 OSS</w:t>
      </w:r>
      <w:r w:rsidRPr="00927ABA">
        <w:rPr>
          <w:rFonts w:asciiTheme="minorHAnsi" w:eastAsiaTheme="minorHAnsi" w:hAnsiTheme="minorHAnsi" w:cstheme="minorHAnsi"/>
        </w:rPr>
        <w:tab/>
        <w:t>výkaz pro hodnocení plnění rozpočtu správců kapitol a organizačních složek státu</w:t>
      </w:r>
      <w:r w:rsidR="00927ABA" w:rsidRPr="00927ABA">
        <w:rPr>
          <w:rFonts w:asciiTheme="minorHAnsi" w:eastAsiaTheme="minorHAnsi" w:hAnsiTheme="minorHAnsi" w:cstheme="minorHAnsi"/>
        </w:rPr>
        <w:t xml:space="preserve"> MPO</w:t>
      </w:r>
      <w:r w:rsidR="00786390" w:rsidRPr="00927ABA">
        <w:rPr>
          <w:rFonts w:asciiTheme="minorHAnsi" w:eastAsiaTheme="minorHAnsi" w:hAnsiTheme="minorHAnsi" w:cstheme="minorHAnsi"/>
        </w:rPr>
        <w:t xml:space="preserve"> za rok </w:t>
      </w:r>
      <w:r w:rsidR="00842B22" w:rsidRPr="00927ABA">
        <w:rPr>
          <w:rFonts w:asciiTheme="minorHAnsi" w:eastAsiaTheme="minorHAnsi" w:hAnsiTheme="minorHAnsi" w:cstheme="minorHAnsi"/>
        </w:rPr>
        <w:t>2020</w:t>
      </w:r>
    </w:p>
    <w:p w14:paraId="7DEE78D4" w14:textId="7964F56F" w:rsidR="00183D64" w:rsidRPr="00927ABA" w:rsidRDefault="00800204" w:rsidP="00463ED9">
      <w:pPr>
        <w:keepNext/>
        <w:spacing w:after="60"/>
        <w:ind w:left="2268" w:hanging="2268"/>
        <w:rPr>
          <w:rFonts w:asciiTheme="minorHAnsi" w:eastAsiaTheme="minorHAnsi" w:hAnsiTheme="minorHAnsi" w:cstheme="minorHAnsi"/>
        </w:rPr>
      </w:pPr>
      <w:r w:rsidRPr="00927ABA">
        <w:rPr>
          <w:rFonts w:asciiTheme="minorHAnsi" w:eastAsiaTheme="minorHAnsi" w:hAnsiTheme="minorHAnsi" w:cstheme="minorHAnsi"/>
        </w:rPr>
        <w:t>VKS</w:t>
      </w:r>
      <w:r w:rsidR="0004593F" w:rsidRPr="00927ABA">
        <w:rPr>
          <w:rFonts w:asciiTheme="minorHAnsi" w:eastAsiaTheme="minorHAnsi" w:hAnsiTheme="minorHAnsi" w:cstheme="minorHAnsi"/>
        </w:rPr>
        <w:tab/>
      </w:r>
      <w:r w:rsidRPr="00927ABA">
        <w:rPr>
          <w:rFonts w:asciiTheme="minorHAnsi" w:eastAsiaTheme="minorHAnsi" w:hAnsiTheme="minorHAnsi" w:cstheme="minorHAnsi"/>
        </w:rPr>
        <w:t>vnitřní kontrolní systém</w:t>
      </w:r>
    </w:p>
    <w:p w14:paraId="409E51FB" w14:textId="4174DEA7" w:rsidR="005F3E85" w:rsidRDefault="005F3E85" w:rsidP="00463ED9">
      <w:pPr>
        <w:keepNext/>
        <w:spacing w:after="60"/>
        <w:ind w:left="2268" w:hanging="2268"/>
        <w:rPr>
          <w:rFonts w:asciiTheme="minorHAnsi" w:eastAsiaTheme="minorHAnsi" w:hAnsiTheme="minorHAnsi" w:cstheme="minorHAnsi"/>
        </w:rPr>
      </w:pPr>
      <w:r w:rsidRPr="00927ABA">
        <w:rPr>
          <w:rFonts w:asciiTheme="minorHAnsi" w:eastAsiaTheme="minorHAnsi" w:hAnsiTheme="minorHAnsi" w:cstheme="minorHAnsi"/>
        </w:rPr>
        <w:t>ZÚ 2020</w:t>
      </w:r>
      <w:r w:rsidRPr="00927ABA">
        <w:rPr>
          <w:rFonts w:asciiTheme="minorHAnsi" w:eastAsiaTheme="minorHAnsi" w:hAnsiTheme="minorHAnsi" w:cstheme="minorHAnsi"/>
        </w:rPr>
        <w:tab/>
      </w:r>
      <w:r w:rsidR="007F1C88">
        <w:rPr>
          <w:rFonts w:asciiTheme="minorHAnsi" w:eastAsiaTheme="minorHAnsi" w:hAnsiTheme="minorHAnsi" w:cstheme="minorHAnsi"/>
        </w:rPr>
        <w:t>z</w:t>
      </w:r>
      <w:r w:rsidRPr="00927ABA">
        <w:rPr>
          <w:rFonts w:asciiTheme="minorHAnsi" w:eastAsiaTheme="minorHAnsi" w:hAnsiTheme="minorHAnsi" w:cstheme="minorHAnsi"/>
        </w:rPr>
        <w:t>ávěrečný účet kapit</w:t>
      </w:r>
      <w:r w:rsidR="00590D08">
        <w:rPr>
          <w:rFonts w:asciiTheme="minorHAnsi" w:eastAsiaTheme="minorHAnsi" w:hAnsiTheme="minorHAnsi" w:cstheme="minorHAnsi"/>
        </w:rPr>
        <w:t>oly 322</w:t>
      </w:r>
      <w:r w:rsidR="007F1C88">
        <w:rPr>
          <w:rFonts w:asciiTheme="minorHAnsi" w:eastAsiaTheme="minorHAnsi" w:hAnsiTheme="minorHAnsi" w:cstheme="minorHAnsi"/>
        </w:rPr>
        <w:t xml:space="preserve"> –</w:t>
      </w:r>
      <w:r w:rsidR="00590D08">
        <w:rPr>
          <w:rFonts w:asciiTheme="minorHAnsi" w:eastAsiaTheme="minorHAnsi" w:hAnsiTheme="minorHAnsi" w:cstheme="minorHAnsi"/>
        </w:rPr>
        <w:t xml:space="preserve"> </w:t>
      </w:r>
      <w:r w:rsidR="00590D08" w:rsidRPr="00EA6249">
        <w:rPr>
          <w:rFonts w:asciiTheme="minorHAnsi" w:eastAsiaTheme="minorHAnsi" w:hAnsiTheme="minorHAnsi" w:cstheme="minorHAnsi"/>
          <w:i/>
        </w:rPr>
        <w:t>Ministerstvo průmyslu a </w:t>
      </w:r>
      <w:r w:rsidRPr="00EA6249">
        <w:rPr>
          <w:rFonts w:asciiTheme="minorHAnsi" w:eastAsiaTheme="minorHAnsi" w:hAnsiTheme="minorHAnsi" w:cstheme="minorHAnsi"/>
          <w:i/>
        </w:rPr>
        <w:t>obchodu</w:t>
      </w:r>
      <w:r w:rsidRPr="00927ABA">
        <w:rPr>
          <w:rFonts w:asciiTheme="minorHAnsi" w:eastAsiaTheme="minorHAnsi" w:hAnsiTheme="minorHAnsi" w:cstheme="minorHAnsi"/>
        </w:rPr>
        <w:t xml:space="preserve"> za rok 2020</w:t>
      </w:r>
    </w:p>
    <w:p w14:paraId="689445D6" w14:textId="57A2F9FA" w:rsidR="00B57597" w:rsidRDefault="00B57597" w:rsidP="00463ED9">
      <w:pPr>
        <w:spacing w:after="60"/>
        <w:rPr>
          <w:rFonts w:asciiTheme="minorHAnsi" w:eastAsiaTheme="minorHAnsi" w:hAnsiTheme="minorHAnsi" w:cstheme="minorHAnsi"/>
        </w:rPr>
      </w:pPr>
      <w:r>
        <w:rPr>
          <w:rFonts w:asciiTheme="minorHAnsi" w:eastAsiaTheme="minorHAnsi" w:hAnsiTheme="minorHAnsi" w:cstheme="minorHAnsi"/>
        </w:rPr>
        <w:br w:type="page"/>
      </w:r>
    </w:p>
    <w:p w14:paraId="0F870082" w14:textId="528374D4" w:rsidR="00B57597" w:rsidRPr="002564D1" w:rsidRDefault="00B57597" w:rsidP="002564D1">
      <w:pPr>
        <w:jc w:val="right"/>
        <w:rPr>
          <w:rFonts w:eastAsia="Calibri" w:cs="Calibri"/>
          <w:b/>
        </w:rPr>
      </w:pPr>
      <w:r w:rsidRPr="002564D1">
        <w:rPr>
          <w:rFonts w:eastAsia="Calibri" w:cs="Calibri"/>
          <w:b/>
        </w:rPr>
        <w:lastRenderedPageBreak/>
        <w:t>Příloha č. 1</w:t>
      </w:r>
    </w:p>
    <w:p w14:paraId="492B367F" w14:textId="77777777" w:rsidR="00B57597" w:rsidRPr="002564D1" w:rsidRDefault="00B57597" w:rsidP="002564D1">
      <w:pPr>
        <w:jc w:val="center"/>
        <w:rPr>
          <w:rFonts w:cs="Calibri"/>
        </w:rPr>
      </w:pPr>
      <w:r w:rsidRPr="002564D1">
        <w:rPr>
          <w:rFonts w:eastAsia="Calibri" w:cs="Calibri"/>
          <w:b/>
        </w:rPr>
        <w:t>Souhrn ekonomických ukazatelů</w:t>
      </w:r>
    </w:p>
    <w:p w14:paraId="531E20D5" w14:textId="77777777" w:rsidR="00B57597" w:rsidRPr="002564D1" w:rsidRDefault="00B57597" w:rsidP="002564D1">
      <w:pPr>
        <w:jc w:val="both"/>
        <w:rPr>
          <w:rFonts w:cs="Calibri"/>
        </w:rPr>
      </w:pPr>
      <w:r w:rsidRPr="002564D1">
        <w:rPr>
          <w:rFonts w:cs="Calibri"/>
        </w:rPr>
        <w:t>Příloha obsahuje výsledky rozpočtového hospodaření za rok 2020 vykázané v rámci kapitoly 322 MPO na peněžní a akruální bázi. Informace níže uvedené vychází z finančních výkazů a účetních závěrek za roky 2016–2020.</w:t>
      </w:r>
    </w:p>
    <w:p w14:paraId="45DE5A34" w14:textId="77777777" w:rsidR="00B57597" w:rsidRPr="002564D1" w:rsidRDefault="00B57597" w:rsidP="002564D1">
      <w:pPr>
        <w:rPr>
          <w:rFonts w:cs="Calibri"/>
          <w:b/>
          <w:highlight w:val="yellow"/>
        </w:rPr>
      </w:pPr>
    </w:p>
    <w:p w14:paraId="7E375A06" w14:textId="77777777" w:rsidR="00B57597" w:rsidRPr="002564D1" w:rsidRDefault="00B57597" w:rsidP="002564D1">
      <w:pPr>
        <w:pStyle w:val="Nadpis1"/>
        <w:spacing w:after="120" w:line="240" w:lineRule="auto"/>
        <w:ind w:left="432" w:hanging="432"/>
        <w:rPr>
          <w:rFonts w:ascii="Calibri" w:hAnsi="Calibri" w:cs="Calibri"/>
          <w:sz w:val="24"/>
          <w:szCs w:val="24"/>
        </w:rPr>
      </w:pPr>
      <w:bookmarkStart w:id="2" w:name="_Toc519242396"/>
      <w:bookmarkStart w:id="3" w:name="_Toc17204900"/>
      <w:bookmarkStart w:id="4" w:name="_Toc71514615"/>
      <w:r w:rsidRPr="002564D1">
        <w:rPr>
          <w:rFonts w:ascii="Calibri" w:hAnsi="Calibri" w:cs="Calibri"/>
          <w:sz w:val="24"/>
          <w:szCs w:val="24"/>
        </w:rPr>
        <w:t>A. OSS rozpočtové kapitoly 3</w:t>
      </w:r>
      <w:bookmarkEnd w:id="2"/>
      <w:bookmarkEnd w:id="3"/>
      <w:r w:rsidRPr="002564D1">
        <w:rPr>
          <w:rFonts w:ascii="Calibri" w:hAnsi="Calibri" w:cs="Calibri"/>
          <w:sz w:val="24"/>
          <w:szCs w:val="24"/>
        </w:rPr>
        <w:t>22</w:t>
      </w:r>
      <w:bookmarkEnd w:id="4"/>
      <w:r w:rsidRPr="002564D1">
        <w:rPr>
          <w:rFonts w:ascii="Calibri" w:hAnsi="Calibri" w:cs="Calibri"/>
          <w:sz w:val="24"/>
          <w:szCs w:val="24"/>
        </w:rPr>
        <w:t xml:space="preserve"> MPO</w:t>
      </w:r>
    </w:p>
    <w:p w14:paraId="1AEEE80A" w14:textId="176BD372" w:rsidR="00B57597" w:rsidRPr="004311BC" w:rsidRDefault="00B57597" w:rsidP="00B57597">
      <w:pPr>
        <w:pStyle w:val="Titulek1"/>
        <w:rPr>
          <w:sz w:val="24"/>
        </w:rPr>
      </w:pPr>
      <w:bookmarkStart w:id="5" w:name="_Toc520714310"/>
      <w:bookmarkStart w:id="6" w:name="_Toc8984517"/>
      <w:bookmarkStart w:id="7" w:name="_Toc72157453"/>
      <w:r w:rsidRPr="004311BC">
        <w:rPr>
          <w:sz w:val="24"/>
        </w:rPr>
        <w:t xml:space="preserve">Tabulka č. </w:t>
      </w:r>
      <w:r w:rsidR="008038A2" w:rsidRPr="004311BC">
        <w:rPr>
          <w:sz w:val="24"/>
        </w:rPr>
        <w:fldChar w:fldCharType="begin"/>
      </w:r>
      <w:r w:rsidR="008038A2" w:rsidRPr="004311BC">
        <w:rPr>
          <w:sz w:val="24"/>
        </w:rPr>
        <w:instrText xml:space="preserve"> SEQ Tabulka \* ARABIC </w:instrText>
      </w:r>
      <w:r w:rsidR="008038A2" w:rsidRPr="004311BC">
        <w:rPr>
          <w:sz w:val="24"/>
        </w:rPr>
        <w:fldChar w:fldCharType="separate"/>
      </w:r>
      <w:r w:rsidR="00E544AA">
        <w:rPr>
          <w:noProof/>
          <w:sz w:val="24"/>
        </w:rPr>
        <w:t>1</w:t>
      </w:r>
      <w:r w:rsidR="008038A2" w:rsidRPr="004311BC">
        <w:rPr>
          <w:noProof/>
          <w:sz w:val="24"/>
        </w:rPr>
        <w:fldChar w:fldCharType="end"/>
      </w:r>
      <w:r w:rsidRPr="004311BC">
        <w:rPr>
          <w:sz w:val="24"/>
        </w:rPr>
        <w:t>: OSS v rámci kapitoly 3</w:t>
      </w:r>
      <w:bookmarkEnd w:id="5"/>
      <w:bookmarkEnd w:id="6"/>
      <w:r w:rsidRPr="004311BC">
        <w:rPr>
          <w:sz w:val="24"/>
        </w:rPr>
        <w:t>22</w:t>
      </w:r>
      <w:bookmarkEnd w:id="7"/>
    </w:p>
    <w:tbl>
      <w:tblPr>
        <w:tblW w:w="9142" w:type="dxa"/>
        <w:tblLayout w:type="fixed"/>
        <w:tblCellMar>
          <w:left w:w="70" w:type="dxa"/>
          <w:right w:w="70" w:type="dxa"/>
        </w:tblCellMar>
        <w:tblLook w:val="04A0" w:firstRow="1" w:lastRow="0" w:firstColumn="1" w:lastColumn="0" w:noHBand="0" w:noVBand="1"/>
      </w:tblPr>
      <w:tblGrid>
        <w:gridCol w:w="2338"/>
        <w:gridCol w:w="6804"/>
      </w:tblGrid>
      <w:tr w:rsidR="00B57597" w:rsidRPr="004311BC" w14:paraId="408EB46A" w14:textId="77777777" w:rsidTr="004311BC">
        <w:trPr>
          <w:trHeight w:val="255"/>
          <w:tblHeader/>
        </w:trPr>
        <w:tc>
          <w:tcPr>
            <w:tcW w:w="233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5A488DEA" w14:textId="77777777" w:rsidR="00B57597" w:rsidRPr="004311BC" w:rsidRDefault="00B57597" w:rsidP="004311BC">
            <w:pPr>
              <w:spacing w:after="0"/>
              <w:jc w:val="center"/>
              <w:rPr>
                <w:rFonts w:cs="Calibri"/>
                <w:b/>
                <w:bCs/>
                <w:color w:val="000000"/>
                <w:sz w:val="20"/>
                <w:szCs w:val="20"/>
                <w:lang w:eastAsia="cs-CZ"/>
              </w:rPr>
            </w:pPr>
            <w:r w:rsidRPr="004311BC">
              <w:rPr>
                <w:rFonts w:cs="Calibri"/>
                <w:b/>
                <w:bCs/>
                <w:color w:val="000000"/>
                <w:sz w:val="20"/>
                <w:szCs w:val="20"/>
                <w:lang w:eastAsia="cs-CZ"/>
              </w:rPr>
              <w:t>IČO</w:t>
            </w:r>
          </w:p>
        </w:tc>
        <w:tc>
          <w:tcPr>
            <w:tcW w:w="6804" w:type="dxa"/>
            <w:tcBorders>
              <w:top w:val="single" w:sz="4" w:space="0" w:color="auto"/>
              <w:left w:val="nil"/>
              <w:bottom w:val="single" w:sz="4" w:space="0" w:color="auto"/>
              <w:right w:val="single" w:sz="4" w:space="0" w:color="auto"/>
            </w:tcBorders>
            <w:shd w:val="clear" w:color="DDEBF7" w:fill="DDEBF7"/>
            <w:noWrap/>
            <w:vAlign w:val="center"/>
            <w:hideMark/>
          </w:tcPr>
          <w:p w14:paraId="2C793262" w14:textId="77777777" w:rsidR="00B57597" w:rsidRPr="004311BC" w:rsidRDefault="00B57597" w:rsidP="004311BC">
            <w:pPr>
              <w:spacing w:after="0"/>
              <w:jc w:val="center"/>
              <w:rPr>
                <w:rFonts w:cs="Calibri"/>
                <w:b/>
                <w:bCs/>
                <w:color w:val="000000"/>
                <w:sz w:val="20"/>
                <w:szCs w:val="20"/>
                <w:lang w:eastAsia="cs-CZ"/>
              </w:rPr>
            </w:pPr>
            <w:r w:rsidRPr="004311BC">
              <w:rPr>
                <w:rFonts w:cs="Calibri"/>
                <w:b/>
                <w:bCs/>
                <w:color w:val="000000"/>
                <w:sz w:val="20"/>
                <w:szCs w:val="20"/>
                <w:lang w:eastAsia="cs-CZ"/>
              </w:rPr>
              <w:t>Účetní jednotka</w:t>
            </w:r>
          </w:p>
        </w:tc>
      </w:tr>
      <w:tr w:rsidR="00B57597" w:rsidRPr="004311BC" w14:paraId="722A1771" w14:textId="77777777" w:rsidTr="004311BC">
        <w:trPr>
          <w:trHeight w:val="25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3DAC260B" w14:textId="77777777" w:rsidR="00B57597" w:rsidRPr="004311BC" w:rsidRDefault="00B57597" w:rsidP="004311BC">
            <w:pPr>
              <w:spacing w:after="0"/>
              <w:rPr>
                <w:rFonts w:cs="Calibri"/>
                <w:color w:val="000000"/>
                <w:sz w:val="20"/>
                <w:szCs w:val="20"/>
                <w:lang w:eastAsia="cs-CZ"/>
              </w:rPr>
            </w:pPr>
            <w:r w:rsidRPr="004311BC">
              <w:rPr>
                <w:rFonts w:cs="Calibri"/>
                <w:color w:val="000000"/>
                <w:sz w:val="20"/>
                <w:szCs w:val="20"/>
                <w:lang w:eastAsia="cs-CZ"/>
              </w:rPr>
              <w:t>00020869</w:t>
            </w:r>
          </w:p>
        </w:tc>
        <w:tc>
          <w:tcPr>
            <w:tcW w:w="6804" w:type="dxa"/>
            <w:tcBorders>
              <w:top w:val="nil"/>
              <w:left w:val="nil"/>
              <w:bottom w:val="single" w:sz="4" w:space="0" w:color="auto"/>
              <w:right w:val="single" w:sz="4" w:space="0" w:color="auto"/>
            </w:tcBorders>
            <w:shd w:val="clear" w:color="auto" w:fill="auto"/>
            <w:noWrap/>
            <w:vAlign w:val="center"/>
            <w:hideMark/>
          </w:tcPr>
          <w:p w14:paraId="103C3E2E" w14:textId="77777777" w:rsidR="00B57597" w:rsidRPr="004311BC" w:rsidRDefault="00B57597" w:rsidP="004311BC">
            <w:pPr>
              <w:spacing w:after="0"/>
              <w:rPr>
                <w:rFonts w:cs="Calibri"/>
                <w:color w:val="000000"/>
                <w:sz w:val="20"/>
                <w:szCs w:val="20"/>
                <w:lang w:eastAsia="cs-CZ"/>
              </w:rPr>
            </w:pPr>
            <w:r w:rsidRPr="004311BC">
              <w:rPr>
                <w:rFonts w:cs="Calibri"/>
                <w:color w:val="000000"/>
                <w:sz w:val="20"/>
                <w:szCs w:val="20"/>
                <w:lang w:eastAsia="cs-CZ"/>
              </w:rPr>
              <w:t>Česká obchodní inspekce</w:t>
            </w:r>
          </w:p>
        </w:tc>
      </w:tr>
      <w:tr w:rsidR="00B57597" w:rsidRPr="004311BC" w14:paraId="71512049" w14:textId="77777777" w:rsidTr="004311BC">
        <w:trPr>
          <w:trHeight w:val="25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53D234BF" w14:textId="77777777" w:rsidR="00B57597" w:rsidRPr="004311BC" w:rsidRDefault="00B57597" w:rsidP="004311BC">
            <w:pPr>
              <w:spacing w:after="0"/>
              <w:rPr>
                <w:rFonts w:cs="Calibri"/>
                <w:color w:val="000000"/>
                <w:sz w:val="20"/>
                <w:szCs w:val="20"/>
                <w:lang w:eastAsia="cs-CZ"/>
              </w:rPr>
            </w:pPr>
            <w:r w:rsidRPr="004311BC">
              <w:rPr>
                <w:rFonts w:cs="Calibri"/>
                <w:color w:val="000000"/>
                <w:sz w:val="20"/>
                <w:szCs w:val="20"/>
                <w:lang w:eastAsia="cs-CZ"/>
              </w:rPr>
              <w:t>70844844</w:t>
            </w:r>
          </w:p>
        </w:tc>
        <w:tc>
          <w:tcPr>
            <w:tcW w:w="6804" w:type="dxa"/>
            <w:tcBorders>
              <w:top w:val="nil"/>
              <w:left w:val="nil"/>
              <w:bottom w:val="single" w:sz="4" w:space="0" w:color="auto"/>
              <w:right w:val="single" w:sz="4" w:space="0" w:color="auto"/>
            </w:tcBorders>
            <w:shd w:val="clear" w:color="auto" w:fill="auto"/>
            <w:noWrap/>
            <w:vAlign w:val="center"/>
            <w:hideMark/>
          </w:tcPr>
          <w:p w14:paraId="423E7667" w14:textId="77777777" w:rsidR="00B57597" w:rsidRPr="004311BC" w:rsidRDefault="00B57597" w:rsidP="004311BC">
            <w:pPr>
              <w:spacing w:after="0"/>
              <w:rPr>
                <w:rFonts w:cs="Calibri"/>
                <w:color w:val="000000"/>
                <w:sz w:val="20"/>
                <w:szCs w:val="20"/>
                <w:lang w:eastAsia="cs-CZ"/>
              </w:rPr>
            </w:pPr>
            <w:r w:rsidRPr="004311BC">
              <w:rPr>
                <w:rFonts w:cs="Calibri"/>
                <w:color w:val="000000"/>
                <w:sz w:val="20"/>
                <w:szCs w:val="20"/>
                <w:lang w:eastAsia="cs-CZ"/>
              </w:rPr>
              <w:t>Český úřad pro zkoušení zbraní a střeliva</w:t>
            </w:r>
          </w:p>
        </w:tc>
      </w:tr>
      <w:tr w:rsidR="00B57597" w:rsidRPr="004311BC" w14:paraId="341E4CE7" w14:textId="77777777" w:rsidTr="004311BC">
        <w:trPr>
          <w:trHeight w:val="25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50508CAD" w14:textId="77777777" w:rsidR="00B57597" w:rsidRPr="004311BC" w:rsidRDefault="00B57597" w:rsidP="004311BC">
            <w:pPr>
              <w:spacing w:after="0"/>
              <w:rPr>
                <w:rFonts w:cs="Calibri"/>
                <w:color w:val="000000"/>
                <w:sz w:val="20"/>
                <w:szCs w:val="20"/>
                <w:lang w:eastAsia="cs-CZ"/>
              </w:rPr>
            </w:pPr>
            <w:r w:rsidRPr="004311BC">
              <w:rPr>
                <w:rFonts w:cs="Calibri"/>
                <w:color w:val="000000"/>
                <w:sz w:val="20"/>
                <w:szCs w:val="20"/>
                <w:lang w:eastAsia="cs-CZ"/>
              </w:rPr>
              <w:t>47609109</w:t>
            </w:r>
          </w:p>
        </w:tc>
        <w:tc>
          <w:tcPr>
            <w:tcW w:w="6804" w:type="dxa"/>
            <w:tcBorders>
              <w:top w:val="nil"/>
              <w:left w:val="nil"/>
              <w:bottom w:val="single" w:sz="4" w:space="0" w:color="auto"/>
              <w:right w:val="single" w:sz="4" w:space="0" w:color="auto"/>
            </w:tcBorders>
            <w:shd w:val="clear" w:color="auto" w:fill="auto"/>
            <w:noWrap/>
            <w:vAlign w:val="center"/>
            <w:hideMark/>
          </w:tcPr>
          <w:p w14:paraId="3D31A1F0" w14:textId="77777777" w:rsidR="00B57597" w:rsidRPr="004311BC" w:rsidRDefault="00B57597" w:rsidP="004311BC">
            <w:pPr>
              <w:spacing w:after="0"/>
              <w:rPr>
                <w:rFonts w:cs="Calibri"/>
                <w:color w:val="000000"/>
                <w:sz w:val="20"/>
                <w:szCs w:val="20"/>
                <w:lang w:eastAsia="cs-CZ"/>
              </w:rPr>
            </w:pPr>
            <w:r w:rsidRPr="004311BC">
              <w:rPr>
                <w:rFonts w:cs="Calibri"/>
                <w:color w:val="000000"/>
                <w:sz w:val="20"/>
                <w:szCs w:val="20"/>
                <w:lang w:eastAsia="cs-CZ"/>
              </w:rPr>
              <w:t>Ministerstvo průmyslu a obchodu</w:t>
            </w:r>
          </w:p>
        </w:tc>
      </w:tr>
      <w:tr w:rsidR="00B57597" w:rsidRPr="004311BC" w14:paraId="7A0686B1" w14:textId="77777777" w:rsidTr="004311BC">
        <w:trPr>
          <w:trHeight w:val="25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09791629" w14:textId="77777777" w:rsidR="00B57597" w:rsidRPr="004311BC" w:rsidRDefault="00B57597" w:rsidP="004311BC">
            <w:pPr>
              <w:spacing w:after="0"/>
              <w:rPr>
                <w:rFonts w:cs="Calibri"/>
                <w:color w:val="000000"/>
                <w:sz w:val="20"/>
                <w:szCs w:val="20"/>
                <w:lang w:eastAsia="cs-CZ"/>
              </w:rPr>
            </w:pPr>
            <w:r w:rsidRPr="004311BC">
              <w:rPr>
                <w:rFonts w:cs="Calibri"/>
                <w:color w:val="000000"/>
                <w:sz w:val="20"/>
                <w:szCs w:val="20"/>
                <w:lang w:eastAsia="cs-CZ"/>
              </w:rPr>
              <w:t>00002542</w:t>
            </w:r>
          </w:p>
        </w:tc>
        <w:tc>
          <w:tcPr>
            <w:tcW w:w="6804" w:type="dxa"/>
            <w:tcBorders>
              <w:top w:val="nil"/>
              <w:left w:val="nil"/>
              <w:bottom w:val="single" w:sz="4" w:space="0" w:color="auto"/>
              <w:right w:val="single" w:sz="4" w:space="0" w:color="auto"/>
            </w:tcBorders>
            <w:shd w:val="clear" w:color="auto" w:fill="auto"/>
            <w:noWrap/>
            <w:vAlign w:val="center"/>
            <w:hideMark/>
          </w:tcPr>
          <w:p w14:paraId="0553C704" w14:textId="77777777" w:rsidR="00B57597" w:rsidRPr="004311BC" w:rsidRDefault="00B57597" w:rsidP="004311BC">
            <w:pPr>
              <w:spacing w:after="0"/>
              <w:rPr>
                <w:rFonts w:cs="Calibri"/>
                <w:color w:val="000000"/>
                <w:sz w:val="20"/>
                <w:szCs w:val="20"/>
                <w:lang w:eastAsia="cs-CZ"/>
              </w:rPr>
            </w:pPr>
            <w:r w:rsidRPr="004311BC">
              <w:rPr>
                <w:rFonts w:cs="Calibri"/>
                <w:color w:val="000000"/>
                <w:sz w:val="20"/>
                <w:szCs w:val="20"/>
                <w:lang w:eastAsia="cs-CZ"/>
              </w:rPr>
              <w:t>Puncovní úřad</w:t>
            </w:r>
          </w:p>
        </w:tc>
      </w:tr>
      <w:tr w:rsidR="00B57597" w:rsidRPr="004311BC" w14:paraId="499A149D" w14:textId="77777777" w:rsidTr="004311BC">
        <w:trPr>
          <w:trHeight w:val="25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676A34E0" w14:textId="77777777" w:rsidR="00B57597" w:rsidRPr="004311BC" w:rsidRDefault="00B57597" w:rsidP="004311BC">
            <w:pPr>
              <w:spacing w:after="0"/>
              <w:rPr>
                <w:rFonts w:cs="Calibri"/>
                <w:color w:val="000000"/>
                <w:sz w:val="20"/>
                <w:szCs w:val="20"/>
                <w:lang w:eastAsia="cs-CZ"/>
              </w:rPr>
            </w:pPr>
            <w:r w:rsidRPr="004311BC">
              <w:rPr>
                <w:rFonts w:cs="Calibri"/>
                <w:color w:val="000000"/>
                <w:sz w:val="20"/>
                <w:szCs w:val="20"/>
                <w:lang w:eastAsia="cs-CZ"/>
              </w:rPr>
              <w:t>66000769</w:t>
            </w:r>
          </w:p>
        </w:tc>
        <w:tc>
          <w:tcPr>
            <w:tcW w:w="6804" w:type="dxa"/>
            <w:tcBorders>
              <w:top w:val="nil"/>
              <w:left w:val="nil"/>
              <w:bottom w:val="single" w:sz="4" w:space="0" w:color="auto"/>
              <w:right w:val="single" w:sz="4" w:space="0" w:color="auto"/>
            </w:tcBorders>
            <w:shd w:val="clear" w:color="auto" w:fill="auto"/>
            <w:noWrap/>
            <w:vAlign w:val="center"/>
            <w:hideMark/>
          </w:tcPr>
          <w:p w14:paraId="707B69E3" w14:textId="77777777" w:rsidR="00B57597" w:rsidRPr="004311BC" w:rsidRDefault="00B57597" w:rsidP="004311BC">
            <w:pPr>
              <w:spacing w:after="0"/>
              <w:rPr>
                <w:rFonts w:cs="Calibri"/>
                <w:color w:val="000000"/>
                <w:sz w:val="20"/>
                <w:szCs w:val="20"/>
                <w:lang w:eastAsia="cs-CZ"/>
              </w:rPr>
            </w:pPr>
            <w:r w:rsidRPr="004311BC">
              <w:rPr>
                <w:rFonts w:cs="Calibri"/>
                <w:color w:val="000000"/>
                <w:sz w:val="20"/>
                <w:szCs w:val="20"/>
                <w:lang w:eastAsia="cs-CZ"/>
              </w:rPr>
              <w:t>Správa úložišť radioaktivních odpadů</w:t>
            </w:r>
          </w:p>
        </w:tc>
      </w:tr>
      <w:tr w:rsidR="00B57597" w:rsidRPr="004311BC" w14:paraId="50776EBE" w14:textId="77777777" w:rsidTr="004311BC">
        <w:trPr>
          <w:trHeight w:val="25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37159B49" w14:textId="77777777" w:rsidR="00B57597" w:rsidRPr="004311BC" w:rsidRDefault="00B57597" w:rsidP="004311BC">
            <w:pPr>
              <w:spacing w:after="0"/>
              <w:rPr>
                <w:rFonts w:cs="Calibri"/>
                <w:color w:val="000000"/>
                <w:sz w:val="20"/>
                <w:szCs w:val="20"/>
                <w:lang w:eastAsia="cs-CZ"/>
              </w:rPr>
            </w:pPr>
            <w:r w:rsidRPr="004311BC">
              <w:rPr>
                <w:rFonts w:cs="Calibri"/>
                <w:color w:val="000000"/>
                <w:sz w:val="20"/>
                <w:szCs w:val="20"/>
                <w:lang w:eastAsia="cs-CZ"/>
              </w:rPr>
              <w:t>61387584</w:t>
            </w:r>
          </w:p>
        </w:tc>
        <w:tc>
          <w:tcPr>
            <w:tcW w:w="6804" w:type="dxa"/>
            <w:tcBorders>
              <w:top w:val="nil"/>
              <w:left w:val="nil"/>
              <w:bottom w:val="single" w:sz="4" w:space="0" w:color="auto"/>
              <w:right w:val="single" w:sz="4" w:space="0" w:color="auto"/>
            </w:tcBorders>
            <w:shd w:val="clear" w:color="auto" w:fill="auto"/>
            <w:noWrap/>
            <w:vAlign w:val="center"/>
            <w:hideMark/>
          </w:tcPr>
          <w:p w14:paraId="52F3079A" w14:textId="77777777" w:rsidR="00B57597" w:rsidRPr="004311BC" w:rsidRDefault="00B57597" w:rsidP="004311BC">
            <w:pPr>
              <w:spacing w:after="0"/>
              <w:rPr>
                <w:rFonts w:cs="Calibri"/>
                <w:color w:val="000000"/>
                <w:sz w:val="20"/>
                <w:szCs w:val="20"/>
                <w:lang w:eastAsia="cs-CZ"/>
              </w:rPr>
            </w:pPr>
            <w:r w:rsidRPr="004311BC">
              <w:rPr>
                <w:rFonts w:cs="Calibri"/>
                <w:color w:val="000000"/>
                <w:sz w:val="20"/>
                <w:szCs w:val="20"/>
                <w:lang w:eastAsia="cs-CZ"/>
              </w:rPr>
              <w:t>Státní energetická inspekce</w:t>
            </w:r>
          </w:p>
        </w:tc>
      </w:tr>
      <w:tr w:rsidR="00B57597" w:rsidRPr="004311BC" w14:paraId="7E98A45A" w14:textId="77777777" w:rsidTr="004311BC">
        <w:trPr>
          <w:trHeight w:val="25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10E05A06" w14:textId="77777777" w:rsidR="00B57597" w:rsidRPr="004311BC" w:rsidRDefault="00B57597" w:rsidP="004311BC">
            <w:pPr>
              <w:spacing w:after="0"/>
              <w:rPr>
                <w:rFonts w:cs="Calibri"/>
                <w:color w:val="000000"/>
                <w:sz w:val="20"/>
                <w:szCs w:val="20"/>
                <w:lang w:eastAsia="cs-CZ"/>
              </w:rPr>
            </w:pPr>
            <w:r w:rsidRPr="004311BC">
              <w:rPr>
                <w:rFonts w:cs="Calibri"/>
                <w:color w:val="000000"/>
                <w:sz w:val="20"/>
                <w:szCs w:val="20"/>
                <w:lang w:eastAsia="cs-CZ"/>
              </w:rPr>
              <w:t>48135267</w:t>
            </w:r>
          </w:p>
        </w:tc>
        <w:tc>
          <w:tcPr>
            <w:tcW w:w="6804" w:type="dxa"/>
            <w:tcBorders>
              <w:top w:val="nil"/>
              <w:left w:val="nil"/>
              <w:bottom w:val="single" w:sz="4" w:space="0" w:color="auto"/>
              <w:right w:val="single" w:sz="4" w:space="0" w:color="auto"/>
            </w:tcBorders>
            <w:shd w:val="clear" w:color="auto" w:fill="auto"/>
            <w:noWrap/>
            <w:vAlign w:val="center"/>
            <w:hideMark/>
          </w:tcPr>
          <w:p w14:paraId="09EA5A58" w14:textId="77777777" w:rsidR="00B57597" w:rsidRPr="004311BC" w:rsidRDefault="00B57597" w:rsidP="004311BC">
            <w:pPr>
              <w:spacing w:after="0"/>
              <w:rPr>
                <w:rFonts w:cs="Calibri"/>
                <w:color w:val="000000"/>
                <w:sz w:val="20"/>
                <w:szCs w:val="20"/>
                <w:lang w:eastAsia="cs-CZ"/>
              </w:rPr>
            </w:pPr>
            <w:r w:rsidRPr="004311BC">
              <w:rPr>
                <w:rFonts w:cs="Calibri"/>
                <w:color w:val="000000"/>
                <w:sz w:val="20"/>
                <w:szCs w:val="20"/>
                <w:lang w:eastAsia="cs-CZ"/>
              </w:rPr>
              <w:t>Úřad pro technickou normalizaci, metrologii a státní zkušebnictví</w:t>
            </w:r>
          </w:p>
        </w:tc>
      </w:tr>
    </w:tbl>
    <w:p w14:paraId="40E60E5A" w14:textId="77777777" w:rsidR="00B57597" w:rsidRPr="00716C19" w:rsidRDefault="00B57597" w:rsidP="00B57597">
      <w:pPr>
        <w:spacing w:before="40"/>
        <w:rPr>
          <w:rFonts w:cs="Calibri"/>
          <w:color w:val="000000"/>
          <w:sz w:val="20"/>
          <w:szCs w:val="20"/>
          <w:lang w:eastAsia="cs-CZ"/>
        </w:rPr>
      </w:pPr>
      <w:r w:rsidRPr="00716C19">
        <w:rPr>
          <w:rFonts w:cs="Calibri"/>
          <w:b/>
          <w:color w:val="000000"/>
          <w:sz w:val="20"/>
          <w:szCs w:val="20"/>
          <w:lang w:eastAsia="cs-CZ"/>
        </w:rPr>
        <w:t xml:space="preserve">Zdroj: </w:t>
      </w:r>
      <w:r w:rsidRPr="00716C19">
        <w:rPr>
          <w:rFonts w:cs="Calibri"/>
          <w:color w:val="000000"/>
          <w:sz w:val="20"/>
          <w:szCs w:val="20"/>
          <w:lang w:eastAsia="cs-CZ"/>
        </w:rPr>
        <w:t>informační portál MONITOR.</w:t>
      </w:r>
    </w:p>
    <w:p w14:paraId="54C15DB3" w14:textId="77777777" w:rsidR="00B57597" w:rsidRPr="00B567F4" w:rsidRDefault="00B57597" w:rsidP="00B57597">
      <w:pPr>
        <w:rPr>
          <w:rFonts w:asciiTheme="minorHAnsi" w:hAnsiTheme="minorHAnsi" w:cstheme="minorHAnsi"/>
          <w:b/>
          <w:highlight w:val="yellow"/>
        </w:rPr>
      </w:pPr>
    </w:p>
    <w:p w14:paraId="19346F0D" w14:textId="77777777" w:rsidR="00B57597" w:rsidRPr="00E67165" w:rsidRDefault="00B57597" w:rsidP="004311BC">
      <w:pPr>
        <w:pStyle w:val="Nadpis2"/>
        <w:numPr>
          <w:ilvl w:val="0"/>
          <w:numId w:val="0"/>
        </w:numPr>
        <w:spacing w:after="120" w:line="240" w:lineRule="auto"/>
        <w:ind w:left="578" w:hanging="578"/>
        <w:contextualSpacing w:val="0"/>
        <w:jc w:val="center"/>
      </w:pPr>
      <w:bookmarkStart w:id="8" w:name="_Toc17204901"/>
      <w:bookmarkStart w:id="9" w:name="_Toc71514616"/>
      <w:r w:rsidRPr="00E67165">
        <w:t xml:space="preserve">Oddíl I. Příjmy v rozpočtové kapitole 322 </w:t>
      </w:r>
      <w:r>
        <w:t>v letech 2016–</w:t>
      </w:r>
      <w:r w:rsidRPr="00E67165">
        <w:t>20</w:t>
      </w:r>
      <w:bookmarkEnd w:id="8"/>
      <w:r w:rsidRPr="00E67165">
        <w:t>20</w:t>
      </w:r>
      <w:bookmarkEnd w:id="9"/>
    </w:p>
    <w:p w14:paraId="0B950318" w14:textId="69E8ACB1" w:rsidR="00B57597" w:rsidRPr="004311BC" w:rsidRDefault="00B57597" w:rsidP="00B57597">
      <w:pPr>
        <w:pStyle w:val="Titulek1"/>
        <w:rPr>
          <w:sz w:val="24"/>
        </w:rPr>
      </w:pPr>
      <w:bookmarkStart w:id="10" w:name="_Toc520714311"/>
      <w:bookmarkStart w:id="11" w:name="_Toc8984518"/>
      <w:bookmarkStart w:id="12" w:name="_Toc72157454"/>
      <w:r w:rsidRPr="004311BC">
        <w:rPr>
          <w:sz w:val="24"/>
        </w:rPr>
        <w:t xml:space="preserve">Tabulka č. </w:t>
      </w:r>
      <w:r w:rsidR="008038A2" w:rsidRPr="004311BC">
        <w:rPr>
          <w:sz w:val="24"/>
        </w:rPr>
        <w:fldChar w:fldCharType="begin"/>
      </w:r>
      <w:r w:rsidR="008038A2" w:rsidRPr="004311BC">
        <w:rPr>
          <w:sz w:val="24"/>
        </w:rPr>
        <w:instrText xml:space="preserve"> SEQ Tabulka \* ARABIC </w:instrText>
      </w:r>
      <w:r w:rsidR="008038A2" w:rsidRPr="004311BC">
        <w:rPr>
          <w:sz w:val="24"/>
        </w:rPr>
        <w:fldChar w:fldCharType="separate"/>
      </w:r>
      <w:r w:rsidR="00E544AA">
        <w:rPr>
          <w:noProof/>
          <w:sz w:val="24"/>
        </w:rPr>
        <w:t>2</w:t>
      </w:r>
      <w:r w:rsidR="008038A2" w:rsidRPr="004311BC">
        <w:rPr>
          <w:noProof/>
          <w:sz w:val="24"/>
        </w:rPr>
        <w:fldChar w:fldCharType="end"/>
      </w:r>
      <w:r w:rsidRPr="004311BC">
        <w:rPr>
          <w:sz w:val="24"/>
        </w:rPr>
        <w:t>: Příjmy rozpočtové kapitoly 322 (v Kč)</w:t>
      </w:r>
      <w:bookmarkEnd w:id="10"/>
      <w:bookmarkEnd w:id="11"/>
      <w:bookmarkEnd w:id="12"/>
    </w:p>
    <w:tbl>
      <w:tblPr>
        <w:tblW w:w="0" w:type="auto"/>
        <w:tblLayout w:type="fixed"/>
        <w:tblCellMar>
          <w:left w:w="70" w:type="dxa"/>
          <w:right w:w="70" w:type="dxa"/>
        </w:tblCellMar>
        <w:tblLook w:val="04A0" w:firstRow="1" w:lastRow="0" w:firstColumn="1" w:lastColumn="0" w:noHBand="0" w:noVBand="1"/>
      </w:tblPr>
      <w:tblGrid>
        <w:gridCol w:w="1773"/>
        <w:gridCol w:w="1446"/>
        <w:gridCol w:w="1446"/>
        <w:gridCol w:w="1446"/>
        <w:gridCol w:w="1446"/>
        <w:gridCol w:w="1446"/>
      </w:tblGrid>
      <w:tr w:rsidR="00B57597" w:rsidRPr="004311BC" w14:paraId="45483CAE" w14:textId="77777777" w:rsidTr="00DD79C6">
        <w:trPr>
          <w:trHeight w:val="255"/>
        </w:trPr>
        <w:tc>
          <w:tcPr>
            <w:tcW w:w="1773"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6EA45A20" w14:textId="77777777" w:rsidR="00B57597" w:rsidRPr="004311BC" w:rsidRDefault="00B57597" w:rsidP="004311BC">
            <w:pPr>
              <w:spacing w:after="0"/>
              <w:rPr>
                <w:rFonts w:cs="Calibri"/>
                <w:b/>
                <w:bCs/>
                <w:color w:val="000000"/>
                <w:sz w:val="18"/>
                <w:szCs w:val="18"/>
                <w:lang w:eastAsia="cs-CZ"/>
              </w:rPr>
            </w:pPr>
            <w:r w:rsidRPr="004311BC">
              <w:rPr>
                <w:rFonts w:cs="Calibri"/>
                <w:b/>
                <w:bCs/>
                <w:color w:val="000000"/>
                <w:sz w:val="18"/>
                <w:szCs w:val="18"/>
              </w:rPr>
              <w:t>Rozpočet</w:t>
            </w:r>
          </w:p>
        </w:tc>
        <w:tc>
          <w:tcPr>
            <w:tcW w:w="1446" w:type="dxa"/>
            <w:tcBorders>
              <w:top w:val="single" w:sz="4" w:space="0" w:color="auto"/>
              <w:left w:val="nil"/>
              <w:bottom w:val="single" w:sz="4" w:space="0" w:color="auto"/>
              <w:right w:val="single" w:sz="4" w:space="0" w:color="auto"/>
            </w:tcBorders>
            <w:shd w:val="clear" w:color="auto" w:fill="E5F1FF"/>
            <w:noWrap/>
            <w:vAlign w:val="center"/>
            <w:hideMark/>
          </w:tcPr>
          <w:p w14:paraId="3222767C" w14:textId="77777777" w:rsidR="00B57597" w:rsidRPr="004311BC" w:rsidRDefault="00B57597" w:rsidP="004311BC">
            <w:pPr>
              <w:spacing w:after="0"/>
              <w:jc w:val="center"/>
              <w:rPr>
                <w:rFonts w:cs="Calibri"/>
                <w:b/>
                <w:bCs/>
                <w:color w:val="000000"/>
                <w:sz w:val="18"/>
                <w:szCs w:val="18"/>
                <w:lang w:eastAsia="cs-CZ"/>
              </w:rPr>
            </w:pPr>
            <w:r w:rsidRPr="004311BC">
              <w:rPr>
                <w:rFonts w:cs="Calibri"/>
                <w:b/>
                <w:bCs/>
                <w:color w:val="000000"/>
                <w:sz w:val="18"/>
                <w:szCs w:val="18"/>
              </w:rPr>
              <w:t>2016</w:t>
            </w:r>
          </w:p>
        </w:tc>
        <w:tc>
          <w:tcPr>
            <w:tcW w:w="1446" w:type="dxa"/>
            <w:tcBorders>
              <w:top w:val="single" w:sz="4" w:space="0" w:color="auto"/>
              <w:left w:val="nil"/>
              <w:bottom w:val="single" w:sz="4" w:space="0" w:color="auto"/>
              <w:right w:val="single" w:sz="4" w:space="0" w:color="auto"/>
            </w:tcBorders>
            <w:shd w:val="clear" w:color="auto" w:fill="E5F1FF"/>
            <w:noWrap/>
            <w:vAlign w:val="center"/>
            <w:hideMark/>
          </w:tcPr>
          <w:p w14:paraId="6F284C6F" w14:textId="77777777" w:rsidR="00B57597" w:rsidRPr="004311BC" w:rsidRDefault="00B57597" w:rsidP="004311BC">
            <w:pPr>
              <w:spacing w:after="0"/>
              <w:jc w:val="center"/>
              <w:rPr>
                <w:rFonts w:cs="Calibri"/>
                <w:b/>
                <w:bCs/>
                <w:color w:val="000000"/>
                <w:sz w:val="18"/>
                <w:szCs w:val="18"/>
                <w:lang w:eastAsia="cs-CZ"/>
              </w:rPr>
            </w:pPr>
            <w:r w:rsidRPr="004311BC">
              <w:rPr>
                <w:rFonts w:cs="Calibri"/>
                <w:b/>
                <w:bCs/>
                <w:color w:val="000000"/>
                <w:sz w:val="18"/>
                <w:szCs w:val="18"/>
              </w:rPr>
              <w:t>2017</w:t>
            </w:r>
          </w:p>
        </w:tc>
        <w:tc>
          <w:tcPr>
            <w:tcW w:w="1446" w:type="dxa"/>
            <w:tcBorders>
              <w:top w:val="single" w:sz="4" w:space="0" w:color="auto"/>
              <w:left w:val="nil"/>
              <w:bottom w:val="single" w:sz="4" w:space="0" w:color="auto"/>
              <w:right w:val="single" w:sz="4" w:space="0" w:color="auto"/>
            </w:tcBorders>
            <w:shd w:val="clear" w:color="auto" w:fill="E5F1FF"/>
            <w:noWrap/>
            <w:vAlign w:val="center"/>
            <w:hideMark/>
          </w:tcPr>
          <w:p w14:paraId="780932E9" w14:textId="77777777" w:rsidR="00B57597" w:rsidRPr="004311BC" w:rsidRDefault="00B57597" w:rsidP="004311BC">
            <w:pPr>
              <w:spacing w:after="0"/>
              <w:jc w:val="center"/>
              <w:rPr>
                <w:rFonts w:cs="Calibri"/>
                <w:b/>
                <w:bCs/>
                <w:color w:val="000000"/>
                <w:sz w:val="18"/>
                <w:szCs w:val="18"/>
                <w:lang w:eastAsia="cs-CZ"/>
              </w:rPr>
            </w:pPr>
            <w:r w:rsidRPr="004311BC">
              <w:rPr>
                <w:rFonts w:cs="Calibri"/>
                <w:b/>
                <w:bCs/>
                <w:color w:val="000000"/>
                <w:sz w:val="18"/>
                <w:szCs w:val="18"/>
              </w:rPr>
              <w:t>2018</w:t>
            </w:r>
          </w:p>
        </w:tc>
        <w:tc>
          <w:tcPr>
            <w:tcW w:w="1446" w:type="dxa"/>
            <w:tcBorders>
              <w:top w:val="single" w:sz="4" w:space="0" w:color="auto"/>
              <w:left w:val="nil"/>
              <w:bottom w:val="single" w:sz="4" w:space="0" w:color="auto"/>
              <w:right w:val="single" w:sz="4" w:space="0" w:color="auto"/>
            </w:tcBorders>
            <w:shd w:val="clear" w:color="auto" w:fill="E5F1FF"/>
            <w:noWrap/>
            <w:vAlign w:val="center"/>
            <w:hideMark/>
          </w:tcPr>
          <w:p w14:paraId="13F306C3" w14:textId="77777777" w:rsidR="00B57597" w:rsidRPr="004311BC" w:rsidRDefault="00B57597" w:rsidP="004311BC">
            <w:pPr>
              <w:spacing w:after="0"/>
              <w:jc w:val="center"/>
              <w:rPr>
                <w:rFonts w:cs="Calibri"/>
                <w:b/>
                <w:bCs/>
                <w:color w:val="000000"/>
                <w:sz w:val="18"/>
                <w:szCs w:val="18"/>
                <w:lang w:eastAsia="cs-CZ"/>
              </w:rPr>
            </w:pPr>
            <w:r w:rsidRPr="004311BC">
              <w:rPr>
                <w:rFonts w:cs="Calibri"/>
                <w:b/>
                <w:bCs/>
                <w:color w:val="000000"/>
                <w:sz w:val="18"/>
                <w:szCs w:val="18"/>
              </w:rPr>
              <w:t>2019</w:t>
            </w:r>
          </w:p>
        </w:tc>
        <w:tc>
          <w:tcPr>
            <w:tcW w:w="1446" w:type="dxa"/>
            <w:tcBorders>
              <w:top w:val="single" w:sz="4" w:space="0" w:color="auto"/>
              <w:left w:val="nil"/>
              <w:bottom w:val="single" w:sz="4" w:space="0" w:color="auto"/>
              <w:right w:val="single" w:sz="4" w:space="0" w:color="auto"/>
            </w:tcBorders>
            <w:shd w:val="clear" w:color="auto" w:fill="E5F1FF"/>
            <w:vAlign w:val="center"/>
          </w:tcPr>
          <w:p w14:paraId="6D5732E4" w14:textId="77777777" w:rsidR="00B57597" w:rsidRPr="004311BC" w:rsidRDefault="00B57597" w:rsidP="004311BC">
            <w:pPr>
              <w:spacing w:after="0"/>
              <w:jc w:val="center"/>
              <w:rPr>
                <w:rFonts w:cs="Calibri"/>
                <w:b/>
                <w:bCs/>
                <w:color w:val="000000"/>
                <w:sz w:val="18"/>
                <w:szCs w:val="18"/>
                <w:lang w:eastAsia="cs-CZ"/>
              </w:rPr>
            </w:pPr>
            <w:r w:rsidRPr="004311BC">
              <w:rPr>
                <w:rFonts w:cs="Calibri"/>
                <w:b/>
                <w:bCs/>
                <w:color w:val="000000"/>
                <w:sz w:val="18"/>
                <w:szCs w:val="18"/>
              </w:rPr>
              <w:t>2020</w:t>
            </w:r>
          </w:p>
        </w:tc>
      </w:tr>
      <w:tr w:rsidR="00B57597" w:rsidRPr="004311BC" w14:paraId="5FA14619" w14:textId="77777777" w:rsidTr="00DD79C6">
        <w:trPr>
          <w:trHeight w:val="255"/>
        </w:trPr>
        <w:tc>
          <w:tcPr>
            <w:tcW w:w="1773" w:type="dxa"/>
            <w:tcBorders>
              <w:top w:val="nil"/>
              <w:left w:val="single" w:sz="4" w:space="0" w:color="auto"/>
              <w:bottom w:val="single" w:sz="4" w:space="0" w:color="auto"/>
              <w:right w:val="single" w:sz="4" w:space="0" w:color="auto"/>
            </w:tcBorders>
            <w:shd w:val="clear" w:color="auto" w:fill="auto"/>
            <w:noWrap/>
            <w:vAlign w:val="center"/>
            <w:hideMark/>
          </w:tcPr>
          <w:p w14:paraId="7F4CAFC1" w14:textId="77777777" w:rsidR="00B57597" w:rsidRPr="004311BC" w:rsidRDefault="00B57597" w:rsidP="004311BC">
            <w:pPr>
              <w:spacing w:after="0"/>
              <w:rPr>
                <w:rFonts w:cs="Calibri"/>
                <w:b/>
                <w:bCs/>
                <w:color w:val="000000"/>
                <w:sz w:val="18"/>
                <w:szCs w:val="18"/>
                <w:lang w:eastAsia="cs-CZ"/>
              </w:rPr>
            </w:pPr>
            <w:r w:rsidRPr="004311BC">
              <w:rPr>
                <w:rFonts w:cs="Calibri"/>
                <w:b/>
                <w:bCs/>
                <w:color w:val="000000"/>
                <w:sz w:val="18"/>
                <w:szCs w:val="18"/>
              </w:rPr>
              <w:t>Schválený rozpočet</w:t>
            </w:r>
          </w:p>
        </w:tc>
        <w:tc>
          <w:tcPr>
            <w:tcW w:w="1446" w:type="dxa"/>
            <w:tcBorders>
              <w:top w:val="nil"/>
              <w:left w:val="nil"/>
              <w:bottom w:val="single" w:sz="4" w:space="0" w:color="auto"/>
              <w:right w:val="single" w:sz="4" w:space="0" w:color="auto"/>
            </w:tcBorders>
            <w:shd w:val="clear" w:color="auto" w:fill="auto"/>
            <w:noWrap/>
            <w:vAlign w:val="center"/>
            <w:hideMark/>
          </w:tcPr>
          <w:p w14:paraId="3BFF896E" w14:textId="77777777" w:rsidR="00B57597" w:rsidRPr="00DD79C6" w:rsidRDefault="00B57597" w:rsidP="004311BC">
            <w:pPr>
              <w:spacing w:after="0"/>
              <w:jc w:val="right"/>
              <w:rPr>
                <w:rFonts w:eastAsia="Calibri" w:cs="Calibri"/>
                <w:color w:val="000000"/>
                <w:sz w:val="17"/>
                <w:szCs w:val="17"/>
              </w:rPr>
            </w:pPr>
            <w:r w:rsidRPr="00DD79C6">
              <w:rPr>
                <w:rFonts w:cs="Calibri"/>
                <w:color w:val="000000"/>
                <w:sz w:val="17"/>
                <w:szCs w:val="17"/>
              </w:rPr>
              <w:t>13 290 883 431,00</w:t>
            </w:r>
          </w:p>
        </w:tc>
        <w:tc>
          <w:tcPr>
            <w:tcW w:w="1446" w:type="dxa"/>
            <w:tcBorders>
              <w:top w:val="nil"/>
              <w:left w:val="nil"/>
              <w:bottom w:val="single" w:sz="4" w:space="0" w:color="auto"/>
              <w:right w:val="single" w:sz="4" w:space="0" w:color="auto"/>
            </w:tcBorders>
            <w:shd w:val="clear" w:color="auto" w:fill="auto"/>
            <w:noWrap/>
            <w:vAlign w:val="center"/>
            <w:hideMark/>
          </w:tcPr>
          <w:p w14:paraId="554826CA" w14:textId="77777777" w:rsidR="00B57597" w:rsidRPr="00DD79C6" w:rsidRDefault="00B57597" w:rsidP="004311BC">
            <w:pPr>
              <w:spacing w:after="0"/>
              <w:jc w:val="right"/>
              <w:rPr>
                <w:rFonts w:eastAsia="Calibri" w:cs="Calibri"/>
                <w:color w:val="000000"/>
                <w:sz w:val="17"/>
                <w:szCs w:val="17"/>
              </w:rPr>
            </w:pPr>
            <w:r w:rsidRPr="00DD79C6">
              <w:rPr>
                <w:rFonts w:cs="Calibri"/>
                <w:color w:val="000000"/>
                <w:sz w:val="17"/>
                <w:szCs w:val="17"/>
              </w:rPr>
              <w:t>5 637 529 192,00</w:t>
            </w:r>
          </w:p>
        </w:tc>
        <w:tc>
          <w:tcPr>
            <w:tcW w:w="1446" w:type="dxa"/>
            <w:tcBorders>
              <w:top w:val="nil"/>
              <w:left w:val="nil"/>
              <w:bottom w:val="single" w:sz="4" w:space="0" w:color="auto"/>
              <w:right w:val="single" w:sz="4" w:space="0" w:color="auto"/>
            </w:tcBorders>
            <w:shd w:val="clear" w:color="auto" w:fill="auto"/>
            <w:noWrap/>
            <w:vAlign w:val="center"/>
            <w:hideMark/>
          </w:tcPr>
          <w:p w14:paraId="4C04E774" w14:textId="77777777" w:rsidR="00B57597" w:rsidRPr="00DD79C6" w:rsidRDefault="00B57597" w:rsidP="004311BC">
            <w:pPr>
              <w:spacing w:after="0"/>
              <w:jc w:val="right"/>
              <w:rPr>
                <w:rFonts w:eastAsia="Calibri" w:cs="Calibri"/>
                <w:color w:val="000000"/>
                <w:sz w:val="17"/>
                <w:szCs w:val="17"/>
              </w:rPr>
            </w:pPr>
            <w:r w:rsidRPr="00DD79C6">
              <w:rPr>
                <w:rFonts w:cs="Calibri"/>
                <w:color w:val="000000"/>
                <w:sz w:val="17"/>
                <w:szCs w:val="17"/>
              </w:rPr>
              <w:t>3 327 246 900,00</w:t>
            </w:r>
          </w:p>
        </w:tc>
        <w:tc>
          <w:tcPr>
            <w:tcW w:w="1446" w:type="dxa"/>
            <w:tcBorders>
              <w:top w:val="nil"/>
              <w:left w:val="nil"/>
              <w:bottom w:val="single" w:sz="4" w:space="0" w:color="auto"/>
              <w:right w:val="single" w:sz="4" w:space="0" w:color="auto"/>
            </w:tcBorders>
            <w:shd w:val="clear" w:color="auto" w:fill="auto"/>
            <w:noWrap/>
            <w:vAlign w:val="center"/>
            <w:hideMark/>
          </w:tcPr>
          <w:p w14:paraId="73301F56" w14:textId="77777777" w:rsidR="00B57597" w:rsidRPr="00DD79C6" w:rsidRDefault="00B57597" w:rsidP="004311BC">
            <w:pPr>
              <w:spacing w:after="0"/>
              <w:jc w:val="right"/>
              <w:rPr>
                <w:rFonts w:eastAsia="Calibri" w:cs="Calibri"/>
                <w:color w:val="000000"/>
                <w:sz w:val="17"/>
                <w:szCs w:val="17"/>
              </w:rPr>
            </w:pPr>
            <w:r w:rsidRPr="00DD79C6">
              <w:rPr>
                <w:rFonts w:cs="Calibri"/>
                <w:color w:val="000000"/>
                <w:sz w:val="17"/>
                <w:szCs w:val="17"/>
              </w:rPr>
              <w:t>6 397 656 448,00</w:t>
            </w:r>
          </w:p>
        </w:tc>
        <w:tc>
          <w:tcPr>
            <w:tcW w:w="1446" w:type="dxa"/>
            <w:tcBorders>
              <w:top w:val="nil"/>
              <w:left w:val="nil"/>
              <w:bottom w:val="single" w:sz="4" w:space="0" w:color="auto"/>
              <w:right w:val="single" w:sz="4" w:space="0" w:color="auto"/>
            </w:tcBorders>
            <w:vAlign w:val="center"/>
          </w:tcPr>
          <w:p w14:paraId="182F0A0D" w14:textId="77777777" w:rsidR="00B57597" w:rsidRPr="00DD79C6" w:rsidRDefault="00B57597" w:rsidP="004311BC">
            <w:pPr>
              <w:spacing w:after="0"/>
              <w:jc w:val="right"/>
              <w:rPr>
                <w:rFonts w:eastAsia="Calibri" w:cs="Calibri"/>
                <w:color w:val="000000"/>
                <w:sz w:val="17"/>
                <w:szCs w:val="17"/>
              </w:rPr>
            </w:pPr>
            <w:r w:rsidRPr="00DD79C6">
              <w:rPr>
                <w:rFonts w:cs="Calibri"/>
                <w:color w:val="000000"/>
                <w:sz w:val="17"/>
                <w:szCs w:val="17"/>
              </w:rPr>
              <w:t>15 635 602 519,00</w:t>
            </w:r>
          </w:p>
        </w:tc>
      </w:tr>
      <w:tr w:rsidR="00B57597" w:rsidRPr="004311BC" w14:paraId="063BECD2" w14:textId="77777777" w:rsidTr="00DD79C6">
        <w:trPr>
          <w:trHeight w:val="255"/>
        </w:trPr>
        <w:tc>
          <w:tcPr>
            <w:tcW w:w="1773" w:type="dxa"/>
            <w:tcBorders>
              <w:top w:val="nil"/>
              <w:left w:val="single" w:sz="4" w:space="0" w:color="auto"/>
              <w:bottom w:val="single" w:sz="4" w:space="0" w:color="auto"/>
              <w:right w:val="single" w:sz="4" w:space="0" w:color="auto"/>
            </w:tcBorders>
            <w:shd w:val="clear" w:color="auto" w:fill="auto"/>
            <w:noWrap/>
            <w:vAlign w:val="center"/>
            <w:hideMark/>
          </w:tcPr>
          <w:p w14:paraId="490B21D2" w14:textId="77777777" w:rsidR="00B57597" w:rsidRPr="004311BC" w:rsidRDefault="00B57597" w:rsidP="004311BC">
            <w:pPr>
              <w:spacing w:after="0"/>
              <w:rPr>
                <w:rFonts w:cs="Calibri"/>
                <w:b/>
                <w:bCs/>
                <w:color w:val="000000"/>
                <w:sz w:val="18"/>
                <w:szCs w:val="18"/>
                <w:lang w:eastAsia="cs-CZ"/>
              </w:rPr>
            </w:pPr>
            <w:r w:rsidRPr="004311BC">
              <w:rPr>
                <w:rFonts w:cs="Calibri"/>
                <w:b/>
                <w:bCs/>
                <w:color w:val="000000"/>
                <w:sz w:val="18"/>
                <w:szCs w:val="18"/>
              </w:rPr>
              <w:t>Rozpočet po změnách</w:t>
            </w:r>
          </w:p>
        </w:tc>
        <w:tc>
          <w:tcPr>
            <w:tcW w:w="1446" w:type="dxa"/>
            <w:tcBorders>
              <w:top w:val="nil"/>
              <w:left w:val="nil"/>
              <w:bottom w:val="single" w:sz="4" w:space="0" w:color="auto"/>
              <w:right w:val="single" w:sz="4" w:space="0" w:color="auto"/>
            </w:tcBorders>
            <w:shd w:val="clear" w:color="auto" w:fill="auto"/>
            <w:noWrap/>
            <w:vAlign w:val="center"/>
            <w:hideMark/>
          </w:tcPr>
          <w:p w14:paraId="4B1D4EFA" w14:textId="77777777" w:rsidR="00B57597" w:rsidRPr="00DD79C6" w:rsidRDefault="00B57597" w:rsidP="004311BC">
            <w:pPr>
              <w:spacing w:after="0"/>
              <w:jc w:val="right"/>
              <w:rPr>
                <w:rFonts w:eastAsia="Calibri" w:cs="Calibri"/>
                <w:color w:val="000000"/>
                <w:sz w:val="17"/>
                <w:szCs w:val="17"/>
              </w:rPr>
            </w:pPr>
            <w:r w:rsidRPr="00DD79C6">
              <w:rPr>
                <w:rFonts w:cs="Calibri"/>
                <w:color w:val="000000"/>
                <w:sz w:val="17"/>
                <w:szCs w:val="17"/>
              </w:rPr>
              <w:t>13 290 883 431,00</w:t>
            </w:r>
          </w:p>
        </w:tc>
        <w:tc>
          <w:tcPr>
            <w:tcW w:w="1446" w:type="dxa"/>
            <w:tcBorders>
              <w:top w:val="nil"/>
              <w:left w:val="nil"/>
              <w:bottom w:val="single" w:sz="4" w:space="0" w:color="auto"/>
              <w:right w:val="single" w:sz="4" w:space="0" w:color="auto"/>
            </w:tcBorders>
            <w:shd w:val="clear" w:color="auto" w:fill="auto"/>
            <w:noWrap/>
            <w:vAlign w:val="center"/>
            <w:hideMark/>
          </w:tcPr>
          <w:p w14:paraId="3E6BB6EB" w14:textId="77777777" w:rsidR="00B57597" w:rsidRPr="00DD79C6" w:rsidRDefault="00B57597" w:rsidP="004311BC">
            <w:pPr>
              <w:spacing w:after="0"/>
              <w:jc w:val="right"/>
              <w:rPr>
                <w:rFonts w:eastAsia="Calibri" w:cs="Calibri"/>
                <w:color w:val="000000"/>
                <w:sz w:val="17"/>
                <w:szCs w:val="17"/>
              </w:rPr>
            </w:pPr>
            <w:r w:rsidRPr="00DD79C6">
              <w:rPr>
                <w:rFonts w:cs="Calibri"/>
                <w:color w:val="000000"/>
                <w:sz w:val="17"/>
                <w:szCs w:val="17"/>
              </w:rPr>
              <w:t>5 638 842 949,00</w:t>
            </w:r>
          </w:p>
        </w:tc>
        <w:tc>
          <w:tcPr>
            <w:tcW w:w="1446" w:type="dxa"/>
            <w:tcBorders>
              <w:top w:val="nil"/>
              <w:left w:val="nil"/>
              <w:bottom w:val="single" w:sz="4" w:space="0" w:color="auto"/>
              <w:right w:val="single" w:sz="4" w:space="0" w:color="auto"/>
            </w:tcBorders>
            <w:shd w:val="clear" w:color="auto" w:fill="auto"/>
            <w:noWrap/>
            <w:vAlign w:val="center"/>
            <w:hideMark/>
          </w:tcPr>
          <w:p w14:paraId="45553701" w14:textId="77777777" w:rsidR="00B57597" w:rsidRPr="00DD79C6" w:rsidRDefault="00B57597" w:rsidP="004311BC">
            <w:pPr>
              <w:spacing w:after="0"/>
              <w:jc w:val="right"/>
              <w:rPr>
                <w:rFonts w:eastAsia="Calibri" w:cs="Calibri"/>
                <w:color w:val="000000"/>
                <w:sz w:val="17"/>
                <w:szCs w:val="17"/>
              </w:rPr>
            </w:pPr>
            <w:r w:rsidRPr="00DD79C6">
              <w:rPr>
                <w:rFonts w:cs="Calibri"/>
                <w:color w:val="000000"/>
                <w:sz w:val="17"/>
                <w:szCs w:val="17"/>
              </w:rPr>
              <w:t>5 827 246 900,00</w:t>
            </w:r>
          </w:p>
        </w:tc>
        <w:tc>
          <w:tcPr>
            <w:tcW w:w="1446" w:type="dxa"/>
            <w:tcBorders>
              <w:top w:val="nil"/>
              <w:left w:val="nil"/>
              <w:bottom w:val="single" w:sz="4" w:space="0" w:color="auto"/>
              <w:right w:val="single" w:sz="4" w:space="0" w:color="auto"/>
            </w:tcBorders>
            <w:shd w:val="clear" w:color="auto" w:fill="auto"/>
            <w:noWrap/>
            <w:vAlign w:val="center"/>
            <w:hideMark/>
          </w:tcPr>
          <w:p w14:paraId="712BEED6" w14:textId="77777777" w:rsidR="00B57597" w:rsidRPr="00DD79C6" w:rsidRDefault="00B57597" w:rsidP="004311BC">
            <w:pPr>
              <w:spacing w:after="0"/>
              <w:jc w:val="right"/>
              <w:rPr>
                <w:rFonts w:eastAsia="Calibri" w:cs="Calibri"/>
                <w:color w:val="000000"/>
                <w:sz w:val="17"/>
                <w:szCs w:val="17"/>
              </w:rPr>
            </w:pPr>
            <w:r w:rsidRPr="00DD79C6">
              <w:rPr>
                <w:rFonts w:cs="Calibri"/>
                <w:color w:val="000000"/>
                <w:sz w:val="17"/>
                <w:szCs w:val="17"/>
              </w:rPr>
              <w:t>13 624 951 448,00</w:t>
            </w:r>
          </w:p>
        </w:tc>
        <w:tc>
          <w:tcPr>
            <w:tcW w:w="1446" w:type="dxa"/>
            <w:tcBorders>
              <w:top w:val="nil"/>
              <w:left w:val="nil"/>
              <w:bottom w:val="single" w:sz="4" w:space="0" w:color="auto"/>
              <w:right w:val="single" w:sz="4" w:space="0" w:color="auto"/>
            </w:tcBorders>
            <w:vAlign w:val="center"/>
          </w:tcPr>
          <w:p w14:paraId="3D7680E7" w14:textId="77777777" w:rsidR="00B57597" w:rsidRPr="00DD79C6" w:rsidRDefault="00B57597" w:rsidP="004311BC">
            <w:pPr>
              <w:spacing w:after="0"/>
              <w:jc w:val="right"/>
              <w:rPr>
                <w:rFonts w:eastAsia="Calibri" w:cs="Calibri"/>
                <w:color w:val="000000"/>
                <w:sz w:val="17"/>
                <w:szCs w:val="17"/>
              </w:rPr>
            </w:pPr>
            <w:r w:rsidRPr="00DD79C6">
              <w:rPr>
                <w:rFonts w:cs="Calibri"/>
                <w:color w:val="000000"/>
                <w:sz w:val="17"/>
                <w:szCs w:val="17"/>
              </w:rPr>
              <w:t>24 837 969 914,00</w:t>
            </w:r>
          </w:p>
        </w:tc>
      </w:tr>
      <w:tr w:rsidR="00B57597" w:rsidRPr="004311BC" w14:paraId="025FBF8D" w14:textId="77777777" w:rsidTr="00DD79C6">
        <w:trPr>
          <w:trHeight w:val="255"/>
        </w:trPr>
        <w:tc>
          <w:tcPr>
            <w:tcW w:w="1773" w:type="dxa"/>
            <w:tcBorders>
              <w:top w:val="nil"/>
              <w:left w:val="single" w:sz="4" w:space="0" w:color="auto"/>
              <w:bottom w:val="single" w:sz="4" w:space="0" w:color="auto"/>
              <w:right w:val="single" w:sz="4" w:space="0" w:color="auto"/>
            </w:tcBorders>
            <w:shd w:val="clear" w:color="auto" w:fill="auto"/>
            <w:noWrap/>
            <w:vAlign w:val="center"/>
            <w:hideMark/>
          </w:tcPr>
          <w:p w14:paraId="43F8F208" w14:textId="77777777" w:rsidR="00B57597" w:rsidRPr="004311BC" w:rsidRDefault="00B57597" w:rsidP="004311BC">
            <w:pPr>
              <w:spacing w:after="0"/>
              <w:rPr>
                <w:rFonts w:cs="Calibri"/>
                <w:b/>
                <w:bCs/>
                <w:color w:val="000000"/>
                <w:sz w:val="18"/>
                <w:szCs w:val="18"/>
                <w:lang w:eastAsia="cs-CZ"/>
              </w:rPr>
            </w:pPr>
            <w:r w:rsidRPr="004311BC">
              <w:rPr>
                <w:rFonts w:cs="Calibri"/>
                <w:b/>
                <w:bCs/>
                <w:color w:val="000000"/>
                <w:sz w:val="18"/>
                <w:szCs w:val="18"/>
              </w:rPr>
              <w:t>Skutečnost</w:t>
            </w:r>
          </w:p>
        </w:tc>
        <w:tc>
          <w:tcPr>
            <w:tcW w:w="1446" w:type="dxa"/>
            <w:tcBorders>
              <w:top w:val="nil"/>
              <w:left w:val="nil"/>
              <w:bottom w:val="single" w:sz="4" w:space="0" w:color="auto"/>
              <w:right w:val="single" w:sz="4" w:space="0" w:color="auto"/>
            </w:tcBorders>
            <w:shd w:val="clear" w:color="auto" w:fill="auto"/>
            <w:noWrap/>
            <w:vAlign w:val="center"/>
            <w:hideMark/>
          </w:tcPr>
          <w:p w14:paraId="4069EA28" w14:textId="77777777" w:rsidR="00B57597" w:rsidRPr="00DD79C6" w:rsidRDefault="00B57597" w:rsidP="004311BC">
            <w:pPr>
              <w:spacing w:after="0"/>
              <w:jc w:val="right"/>
              <w:rPr>
                <w:rFonts w:eastAsia="Calibri" w:cs="Calibri"/>
                <w:color w:val="000000"/>
                <w:sz w:val="17"/>
                <w:szCs w:val="17"/>
              </w:rPr>
            </w:pPr>
            <w:r w:rsidRPr="00DD79C6">
              <w:rPr>
                <w:rFonts w:cs="Calibri"/>
                <w:color w:val="000000"/>
                <w:sz w:val="17"/>
                <w:szCs w:val="17"/>
              </w:rPr>
              <w:t>11 220 720 400,72</w:t>
            </w:r>
          </w:p>
        </w:tc>
        <w:tc>
          <w:tcPr>
            <w:tcW w:w="1446" w:type="dxa"/>
            <w:tcBorders>
              <w:top w:val="nil"/>
              <w:left w:val="nil"/>
              <w:bottom w:val="single" w:sz="4" w:space="0" w:color="auto"/>
              <w:right w:val="single" w:sz="4" w:space="0" w:color="auto"/>
            </w:tcBorders>
            <w:shd w:val="clear" w:color="auto" w:fill="auto"/>
            <w:noWrap/>
            <w:vAlign w:val="center"/>
            <w:hideMark/>
          </w:tcPr>
          <w:p w14:paraId="3A48E4C9" w14:textId="77777777" w:rsidR="00B57597" w:rsidRPr="00DD79C6" w:rsidRDefault="00B57597" w:rsidP="004311BC">
            <w:pPr>
              <w:spacing w:after="0"/>
              <w:jc w:val="right"/>
              <w:rPr>
                <w:rFonts w:eastAsia="Calibri" w:cs="Calibri"/>
                <w:color w:val="000000"/>
                <w:sz w:val="17"/>
                <w:szCs w:val="17"/>
              </w:rPr>
            </w:pPr>
            <w:r w:rsidRPr="00DD79C6">
              <w:rPr>
                <w:rFonts w:cs="Calibri"/>
                <w:color w:val="000000"/>
                <w:sz w:val="17"/>
                <w:szCs w:val="17"/>
              </w:rPr>
              <w:t>8 251 911 947,16</w:t>
            </w:r>
          </w:p>
        </w:tc>
        <w:tc>
          <w:tcPr>
            <w:tcW w:w="1446" w:type="dxa"/>
            <w:tcBorders>
              <w:top w:val="nil"/>
              <w:left w:val="nil"/>
              <w:bottom w:val="single" w:sz="4" w:space="0" w:color="auto"/>
              <w:right w:val="single" w:sz="4" w:space="0" w:color="auto"/>
            </w:tcBorders>
            <w:shd w:val="clear" w:color="auto" w:fill="auto"/>
            <w:noWrap/>
            <w:vAlign w:val="center"/>
            <w:hideMark/>
          </w:tcPr>
          <w:p w14:paraId="197DCE36" w14:textId="77777777" w:rsidR="00B57597" w:rsidRPr="00DD79C6" w:rsidRDefault="00B57597" w:rsidP="004311BC">
            <w:pPr>
              <w:spacing w:after="0"/>
              <w:jc w:val="right"/>
              <w:rPr>
                <w:rFonts w:eastAsia="Calibri" w:cs="Calibri"/>
                <w:color w:val="000000"/>
                <w:sz w:val="17"/>
                <w:szCs w:val="17"/>
              </w:rPr>
            </w:pPr>
            <w:r w:rsidRPr="00DD79C6">
              <w:rPr>
                <w:rFonts w:cs="Calibri"/>
                <w:color w:val="000000"/>
                <w:sz w:val="17"/>
                <w:szCs w:val="17"/>
              </w:rPr>
              <w:t>7 631 491 652,58</w:t>
            </w:r>
          </w:p>
        </w:tc>
        <w:tc>
          <w:tcPr>
            <w:tcW w:w="1446" w:type="dxa"/>
            <w:tcBorders>
              <w:top w:val="nil"/>
              <w:left w:val="nil"/>
              <w:bottom w:val="single" w:sz="4" w:space="0" w:color="auto"/>
              <w:right w:val="single" w:sz="4" w:space="0" w:color="auto"/>
            </w:tcBorders>
            <w:shd w:val="clear" w:color="auto" w:fill="auto"/>
            <w:noWrap/>
            <w:vAlign w:val="center"/>
            <w:hideMark/>
          </w:tcPr>
          <w:p w14:paraId="0A5CA345" w14:textId="77777777" w:rsidR="00B57597" w:rsidRPr="00DD79C6" w:rsidRDefault="00B57597" w:rsidP="004311BC">
            <w:pPr>
              <w:spacing w:after="0"/>
              <w:jc w:val="right"/>
              <w:rPr>
                <w:rFonts w:eastAsia="Calibri" w:cs="Calibri"/>
                <w:color w:val="000000"/>
                <w:sz w:val="17"/>
                <w:szCs w:val="17"/>
              </w:rPr>
            </w:pPr>
            <w:r w:rsidRPr="00DD79C6">
              <w:rPr>
                <w:rFonts w:cs="Calibri"/>
                <w:color w:val="000000"/>
                <w:sz w:val="17"/>
                <w:szCs w:val="17"/>
              </w:rPr>
              <w:t>20 553 597 117,74</w:t>
            </w:r>
          </w:p>
        </w:tc>
        <w:tc>
          <w:tcPr>
            <w:tcW w:w="1446" w:type="dxa"/>
            <w:tcBorders>
              <w:top w:val="nil"/>
              <w:left w:val="nil"/>
              <w:bottom w:val="single" w:sz="4" w:space="0" w:color="auto"/>
              <w:right w:val="single" w:sz="4" w:space="0" w:color="auto"/>
            </w:tcBorders>
            <w:vAlign w:val="center"/>
          </w:tcPr>
          <w:p w14:paraId="1EF043A4" w14:textId="77777777" w:rsidR="00B57597" w:rsidRPr="00DD79C6" w:rsidRDefault="00B57597" w:rsidP="004311BC">
            <w:pPr>
              <w:spacing w:after="0"/>
              <w:jc w:val="right"/>
              <w:rPr>
                <w:rFonts w:eastAsia="Calibri" w:cs="Calibri"/>
                <w:color w:val="000000"/>
                <w:sz w:val="17"/>
                <w:szCs w:val="17"/>
              </w:rPr>
            </w:pPr>
            <w:r w:rsidRPr="00DD79C6">
              <w:rPr>
                <w:rFonts w:cs="Calibri"/>
                <w:color w:val="000000"/>
                <w:sz w:val="17"/>
                <w:szCs w:val="17"/>
              </w:rPr>
              <w:t>25 783 422 417,90</w:t>
            </w:r>
          </w:p>
        </w:tc>
      </w:tr>
    </w:tbl>
    <w:p w14:paraId="2E4436F3" w14:textId="77777777" w:rsidR="00B57597" w:rsidRPr="007D36E3" w:rsidRDefault="00B57597" w:rsidP="00B57597">
      <w:pPr>
        <w:spacing w:before="40"/>
        <w:rPr>
          <w:rFonts w:cs="Calibri"/>
          <w:color w:val="000000"/>
          <w:sz w:val="20"/>
          <w:szCs w:val="20"/>
          <w:lang w:eastAsia="cs-CZ"/>
        </w:rPr>
      </w:pPr>
      <w:r w:rsidRPr="007D36E3">
        <w:rPr>
          <w:rFonts w:cs="Calibri"/>
          <w:b/>
          <w:color w:val="000000"/>
          <w:sz w:val="20"/>
          <w:szCs w:val="20"/>
          <w:lang w:eastAsia="cs-CZ"/>
        </w:rPr>
        <w:t xml:space="preserve">Zdroj: </w:t>
      </w:r>
      <w:r w:rsidRPr="007D36E3">
        <w:rPr>
          <w:rFonts w:cs="Calibri"/>
          <w:color w:val="000000"/>
          <w:sz w:val="20"/>
          <w:szCs w:val="20"/>
          <w:lang w:eastAsia="cs-CZ"/>
        </w:rPr>
        <w:t>informační portál MONITOR.</w:t>
      </w:r>
    </w:p>
    <w:p w14:paraId="45506383" w14:textId="77777777" w:rsidR="00B57597" w:rsidRPr="00E67165" w:rsidRDefault="00B57597" w:rsidP="00B57597">
      <w:pPr>
        <w:jc w:val="both"/>
        <w:rPr>
          <w:rFonts w:asciiTheme="minorHAnsi" w:hAnsiTheme="minorHAnsi" w:cstheme="minorHAnsi"/>
        </w:rPr>
      </w:pPr>
      <w:r w:rsidRPr="00E67165">
        <w:rPr>
          <w:rFonts w:asciiTheme="minorHAnsi" w:hAnsiTheme="minorHAnsi" w:cstheme="minorHAnsi"/>
        </w:rPr>
        <w:t>Příjmy (skutečnost) rozpočtové kapitoly 322 vykazují ve sledovaném období spíše rostoucí tendenci, přičemž v roce 2019 a 2020 překročily hranici 20 mld. Kč. V celém sledovaném období tvoří příjmy MPO (skutečnost) většinu příjmů všech OSS rozpočtové kapitoly 322 (skutečnost). Procentně představují příjmy MPO 99,38 % skutečných příjmů kapitoly 322 v roce 2020.</w:t>
      </w:r>
    </w:p>
    <w:p w14:paraId="6C775F93" w14:textId="77777777" w:rsidR="00B57597" w:rsidRPr="00E67165" w:rsidRDefault="00B57597" w:rsidP="00B57597">
      <w:pPr>
        <w:jc w:val="both"/>
        <w:rPr>
          <w:rFonts w:asciiTheme="minorHAnsi" w:hAnsiTheme="minorHAnsi" w:cstheme="minorHAnsi"/>
        </w:rPr>
      </w:pPr>
      <w:r w:rsidRPr="00E67165">
        <w:rPr>
          <w:rFonts w:asciiTheme="minorHAnsi" w:hAnsiTheme="minorHAnsi" w:cstheme="minorHAnsi"/>
        </w:rPr>
        <w:t>Rozpočtované příjmy kapitoly 322 byly v průběhu roku 2020</w:t>
      </w:r>
      <w:r>
        <w:rPr>
          <w:rFonts w:asciiTheme="minorHAnsi" w:hAnsiTheme="minorHAnsi" w:cstheme="minorHAnsi"/>
        </w:rPr>
        <w:t xml:space="preserve"> měněny. Skutečné příjmy byly o </w:t>
      </w:r>
      <w:r w:rsidRPr="00E67165">
        <w:rPr>
          <w:rFonts w:asciiTheme="minorHAnsi" w:hAnsiTheme="minorHAnsi" w:cstheme="minorHAnsi"/>
        </w:rPr>
        <w:t>64,9 % vyšší než schválený rozpočet, v absolutním vyjádření byl schválený rozpočet příjmů překročen o 10,14 mld. Kč. Rozhodující část příjmů (85,81 %) v roce 2020 představovaly investiční a neinvestiční transfery z Národního fondu na společné programy státního rozpočtu ČR a rozpočtu Evropské unie.</w:t>
      </w:r>
    </w:p>
    <w:p w14:paraId="55CFAD89" w14:textId="26B719A0" w:rsidR="00B57597" w:rsidRPr="004311BC" w:rsidRDefault="00B57597" w:rsidP="00B57597">
      <w:pPr>
        <w:pStyle w:val="Titulek1"/>
        <w:rPr>
          <w:sz w:val="24"/>
        </w:rPr>
      </w:pPr>
      <w:bookmarkStart w:id="13" w:name="_Toc8984519"/>
      <w:bookmarkStart w:id="14" w:name="_Toc72157455"/>
      <w:r w:rsidRPr="004311BC">
        <w:rPr>
          <w:sz w:val="24"/>
        </w:rPr>
        <w:t xml:space="preserve">Tabulka č. </w:t>
      </w:r>
      <w:r w:rsidR="008038A2" w:rsidRPr="004311BC">
        <w:rPr>
          <w:sz w:val="24"/>
        </w:rPr>
        <w:fldChar w:fldCharType="begin"/>
      </w:r>
      <w:r w:rsidR="008038A2" w:rsidRPr="004311BC">
        <w:rPr>
          <w:sz w:val="24"/>
        </w:rPr>
        <w:instrText xml:space="preserve"> SEQ Tabulka \* ARABIC </w:instrText>
      </w:r>
      <w:r w:rsidR="008038A2" w:rsidRPr="004311BC">
        <w:rPr>
          <w:sz w:val="24"/>
        </w:rPr>
        <w:fldChar w:fldCharType="separate"/>
      </w:r>
      <w:r w:rsidR="00E544AA">
        <w:rPr>
          <w:noProof/>
          <w:sz w:val="24"/>
        </w:rPr>
        <w:t>3</w:t>
      </w:r>
      <w:r w:rsidR="008038A2" w:rsidRPr="004311BC">
        <w:rPr>
          <w:noProof/>
          <w:sz w:val="24"/>
        </w:rPr>
        <w:fldChar w:fldCharType="end"/>
      </w:r>
      <w:r w:rsidRPr="004311BC">
        <w:rPr>
          <w:sz w:val="24"/>
        </w:rPr>
        <w:t>: Příjmy MPO (v Kč)</w:t>
      </w:r>
      <w:bookmarkEnd w:id="13"/>
      <w:bookmarkEnd w:id="14"/>
    </w:p>
    <w:tbl>
      <w:tblPr>
        <w:tblW w:w="4974" w:type="pct"/>
        <w:tblCellMar>
          <w:left w:w="70" w:type="dxa"/>
          <w:right w:w="70" w:type="dxa"/>
        </w:tblCellMar>
        <w:tblLook w:val="04A0" w:firstRow="1" w:lastRow="0" w:firstColumn="1" w:lastColumn="0" w:noHBand="0" w:noVBand="1"/>
      </w:tblPr>
      <w:tblGrid>
        <w:gridCol w:w="1783"/>
        <w:gridCol w:w="1446"/>
        <w:gridCol w:w="1446"/>
        <w:gridCol w:w="1446"/>
        <w:gridCol w:w="1446"/>
        <w:gridCol w:w="1446"/>
      </w:tblGrid>
      <w:tr w:rsidR="00B57597" w:rsidRPr="00E67165" w14:paraId="3DDB65E9" w14:textId="77777777" w:rsidTr="00DD79C6">
        <w:trPr>
          <w:trHeight w:val="255"/>
        </w:trPr>
        <w:tc>
          <w:tcPr>
            <w:tcW w:w="989"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1B415702" w14:textId="77777777" w:rsidR="00B57597" w:rsidRPr="00E67165" w:rsidRDefault="00B57597" w:rsidP="00B31C3D">
            <w:pPr>
              <w:spacing w:after="0"/>
              <w:rPr>
                <w:rFonts w:cs="Calibri"/>
                <w:b/>
                <w:bCs/>
                <w:color w:val="000000"/>
                <w:sz w:val="18"/>
                <w:szCs w:val="18"/>
                <w:lang w:eastAsia="cs-CZ"/>
              </w:rPr>
            </w:pPr>
            <w:r w:rsidRPr="00E67165">
              <w:rPr>
                <w:b/>
                <w:bCs/>
                <w:color w:val="000000"/>
                <w:sz w:val="18"/>
                <w:szCs w:val="18"/>
              </w:rPr>
              <w:t>Rozpočet</w:t>
            </w:r>
          </w:p>
        </w:tc>
        <w:tc>
          <w:tcPr>
            <w:tcW w:w="802" w:type="pct"/>
            <w:tcBorders>
              <w:top w:val="single" w:sz="4" w:space="0" w:color="auto"/>
              <w:left w:val="nil"/>
              <w:bottom w:val="single" w:sz="4" w:space="0" w:color="auto"/>
              <w:right w:val="single" w:sz="4" w:space="0" w:color="auto"/>
            </w:tcBorders>
            <w:shd w:val="clear" w:color="auto" w:fill="E5F1FF"/>
            <w:noWrap/>
            <w:vAlign w:val="center"/>
            <w:hideMark/>
          </w:tcPr>
          <w:p w14:paraId="34B3B355" w14:textId="77777777" w:rsidR="00B57597" w:rsidRPr="00E67165" w:rsidRDefault="00B57597" w:rsidP="00B31C3D">
            <w:pPr>
              <w:spacing w:after="0"/>
              <w:jc w:val="center"/>
              <w:rPr>
                <w:rFonts w:cs="Calibri"/>
                <w:b/>
                <w:bCs/>
                <w:color w:val="000000"/>
                <w:sz w:val="18"/>
                <w:szCs w:val="18"/>
                <w:lang w:eastAsia="cs-CZ"/>
              </w:rPr>
            </w:pPr>
            <w:r w:rsidRPr="00E67165">
              <w:rPr>
                <w:b/>
                <w:bCs/>
                <w:color w:val="000000"/>
                <w:sz w:val="18"/>
                <w:szCs w:val="18"/>
              </w:rPr>
              <w:t>2016</w:t>
            </w:r>
          </w:p>
        </w:tc>
        <w:tc>
          <w:tcPr>
            <w:tcW w:w="802" w:type="pct"/>
            <w:tcBorders>
              <w:top w:val="single" w:sz="4" w:space="0" w:color="auto"/>
              <w:left w:val="nil"/>
              <w:bottom w:val="single" w:sz="4" w:space="0" w:color="auto"/>
              <w:right w:val="single" w:sz="4" w:space="0" w:color="auto"/>
            </w:tcBorders>
            <w:shd w:val="clear" w:color="auto" w:fill="E5F1FF"/>
            <w:noWrap/>
            <w:vAlign w:val="center"/>
            <w:hideMark/>
          </w:tcPr>
          <w:p w14:paraId="6CF381EB" w14:textId="77777777" w:rsidR="00B57597" w:rsidRPr="00E67165" w:rsidRDefault="00B57597" w:rsidP="00B31C3D">
            <w:pPr>
              <w:spacing w:after="0"/>
              <w:jc w:val="center"/>
              <w:rPr>
                <w:rFonts w:cs="Calibri"/>
                <w:b/>
                <w:bCs/>
                <w:color w:val="000000"/>
                <w:sz w:val="18"/>
                <w:szCs w:val="18"/>
                <w:lang w:eastAsia="cs-CZ"/>
              </w:rPr>
            </w:pPr>
            <w:r w:rsidRPr="00E67165">
              <w:rPr>
                <w:b/>
                <w:bCs/>
                <w:color w:val="000000"/>
                <w:sz w:val="18"/>
                <w:szCs w:val="18"/>
              </w:rPr>
              <w:t>2017</w:t>
            </w:r>
          </w:p>
        </w:tc>
        <w:tc>
          <w:tcPr>
            <w:tcW w:w="802" w:type="pct"/>
            <w:tcBorders>
              <w:top w:val="single" w:sz="4" w:space="0" w:color="auto"/>
              <w:left w:val="nil"/>
              <w:bottom w:val="single" w:sz="4" w:space="0" w:color="auto"/>
              <w:right w:val="single" w:sz="4" w:space="0" w:color="auto"/>
            </w:tcBorders>
            <w:shd w:val="clear" w:color="auto" w:fill="E5F1FF"/>
            <w:noWrap/>
            <w:vAlign w:val="center"/>
            <w:hideMark/>
          </w:tcPr>
          <w:p w14:paraId="54CBFD7F" w14:textId="77777777" w:rsidR="00B57597" w:rsidRPr="00E67165" w:rsidRDefault="00B57597" w:rsidP="00B31C3D">
            <w:pPr>
              <w:spacing w:after="0"/>
              <w:jc w:val="center"/>
              <w:rPr>
                <w:rFonts w:cs="Calibri"/>
                <w:b/>
                <w:bCs/>
                <w:color w:val="000000"/>
                <w:sz w:val="18"/>
                <w:szCs w:val="18"/>
                <w:lang w:eastAsia="cs-CZ"/>
              </w:rPr>
            </w:pPr>
            <w:r w:rsidRPr="00E67165">
              <w:rPr>
                <w:b/>
                <w:bCs/>
                <w:color w:val="000000"/>
                <w:sz w:val="18"/>
                <w:szCs w:val="18"/>
              </w:rPr>
              <w:t>2018</w:t>
            </w:r>
          </w:p>
        </w:tc>
        <w:tc>
          <w:tcPr>
            <w:tcW w:w="802" w:type="pct"/>
            <w:tcBorders>
              <w:top w:val="single" w:sz="4" w:space="0" w:color="auto"/>
              <w:left w:val="nil"/>
              <w:bottom w:val="single" w:sz="4" w:space="0" w:color="auto"/>
              <w:right w:val="single" w:sz="4" w:space="0" w:color="auto"/>
            </w:tcBorders>
            <w:shd w:val="clear" w:color="auto" w:fill="E5F1FF"/>
            <w:noWrap/>
            <w:vAlign w:val="center"/>
            <w:hideMark/>
          </w:tcPr>
          <w:p w14:paraId="30C8C4FC" w14:textId="77777777" w:rsidR="00B57597" w:rsidRPr="00E67165" w:rsidRDefault="00B57597" w:rsidP="00B31C3D">
            <w:pPr>
              <w:spacing w:after="0"/>
              <w:jc w:val="center"/>
              <w:rPr>
                <w:rFonts w:cs="Calibri"/>
                <w:b/>
                <w:bCs/>
                <w:color w:val="000000"/>
                <w:sz w:val="18"/>
                <w:szCs w:val="18"/>
                <w:lang w:eastAsia="cs-CZ"/>
              </w:rPr>
            </w:pPr>
            <w:r w:rsidRPr="00E67165">
              <w:rPr>
                <w:b/>
                <w:bCs/>
                <w:color w:val="000000"/>
                <w:sz w:val="18"/>
                <w:szCs w:val="18"/>
              </w:rPr>
              <w:t>2019</w:t>
            </w:r>
          </w:p>
        </w:tc>
        <w:tc>
          <w:tcPr>
            <w:tcW w:w="802" w:type="pct"/>
            <w:tcBorders>
              <w:top w:val="single" w:sz="4" w:space="0" w:color="auto"/>
              <w:left w:val="nil"/>
              <w:bottom w:val="single" w:sz="4" w:space="0" w:color="auto"/>
              <w:right w:val="single" w:sz="4" w:space="0" w:color="auto"/>
            </w:tcBorders>
            <w:shd w:val="clear" w:color="auto" w:fill="E5F1FF"/>
            <w:vAlign w:val="center"/>
          </w:tcPr>
          <w:p w14:paraId="2139B4D7" w14:textId="77777777" w:rsidR="00B57597" w:rsidRPr="00E67165" w:rsidRDefault="00B57597" w:rsidP="00B31C3D">
            <w:pPr>
              <w:spacing w:after="0"/>
              <w:jc w:val="center"/>
              <w:rPr>
                <w:rFonts w:cs="Calibri"/>
                <w:b/>
                <w:bCs/>
                <w:color w:val="000000"/>
                <w:sz w:val="18"/>
                <w:szCs w:val="18"/>
                <w:lang w:eastAsia="cs-CZ"/>
              </w:rPr>
            </w:pPr>
            <w:r w:rsidRPr="00E67165">
              <w:rPr>
                <w:b/>
                <w:bCs/>
                <w:color w:val="000000"/>
                <w:sz w:val="18"/>
                <w:szCs w:val="18"/>
              </w:rPr>
              <w:t>2020</w:t>
            </w:r>
          </w:p>
        </w:tc>
      </w:tr>
      <w:tr w:rsidR="00B57597" w:rsidRPr="00E67165" w14:paraId="28D49B1F" w14:textId="77777777" w:rsidTr="00DD79C6">
        <w:trPr>
          <w:trHeight w:val="255"/>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14:paraId="24E17243" w14:textId="77777777" w:rsidR="00B57597" w:rsidRPr="00E67165" w:rsidRDefault="00B57597" w:rsidP="00B31C3D">
            <w:pPr>
              <w:spacing w:after="0"/>
              <w:rPr>
                <w:rFonts w:cs="Calibri"/>
                <w:b/>
                <w:bCs/>
                <w:color w:val="000000"/>
                <w:sz w:val="18"/>
                <w:szCs w:val="18"/>
                <w:lang w:eastAsia="cs-CZ"/>
              </w:rPr>
            </w:pPr>
            <w:r w:rsidRPr="00E67165">
              <w:rPr>
                <w:b/>
                <w:bCs/>
                <w:color w:val="000000"/>
                <w:sz w:val="18"/>
                <w:szCs w:val="18"/>
              </w:rPr>
              <w:t>Schválený rozpočet</w:t>
            </w:r>
          </w:p>
        </w:tc>
        <w:tc>
          <w:tcPr>
            <w:tcW w:w="802" w:type="pct"/>
            <w:tcBorders>
              <w:top w:val="nil"/>
              <w:left w:val="nil"/>
              <w:bottom w:val="single" w:sz="4" w:space="0" w:color="auto"/>
              <w:right w:val="single" w:sz="4" w:space="0" w:color="auto"/>
            </w:tcBorders>
            <w:shd w:val="clear" w:color="auto" w:fill="auto"/>
            <w:noWrap/>
            <w:vAlign w:val="center"/>
            <w:hideMark/>
          </w:tcPr>
          <w:p w14:paraId="77E94D47" w14:textId="77777777" w:rsidR="00B57597" w:rsidRPr="00DD79C6" w:rsidRDefault="00B57597" w:rsidP="00B31C3D">
            <w:pPr>
              <w:spacing w:after="0"/>
              <w:jc w:val="right"/>
              <w:rPr>
                <w:rFonts w:eastAsia="Calibri" w:cs="Calibri"/>
                <w:color w:val="000000"/>
                <w:sz w:val="17"/>
                <w:szCs w:val="17"/>
              </w:rPr>
            </w:pPr>
            <w:r w:rsidRPr="00DD79C6">
              <w:rPr>
                <w:color w:val="000000"/>
                <w:sz w:val="17"/>
                <w:szCs w:val="17"/>
              </w:rPr>
              <w:t>13 073 283 431,00</w:t>
            </w:r>
          </w:p>
        </w:tc>
        <w:tc>
          <w:tcPr>
            <w:tcW w:w="802" w:type="pct"/>
            <w:tcBorders>
              <w:top w:val="nil"/>
              <w:left w:val="nil"/>
              <w:bottom w:val="single" w:sz="4" w:space="0" w:color="auto"/>
              <w:right w:val="single" w:sz="4" w:space="0" w:color="auto"/>
            </w:tcBorders>
            <w:shd w:val="clear" w:color="auto" w:fill="auto"/>
            <w:noWrap/>
            <w:vAlign w:val="center"/>
            <w:hideMark/>
          </w:tcPr>
          <w:p w14:paraId="4C468DEF" w14:textId="77777777" w:rsidR="00B57597" w:rsidRPr="00DD79C6" w:rsidRDefault="00B57597" w:rsidP="00B31C3D">
            <w:pPr>
              <w:spacing w:after="0"/>
              <w:jc w:val="right"/>
              <w:rPr>
                <w:rFonts w:eastAsia="Calibri" w:cs="Calibri"/>
                <w:color w:val="000000"/>
                <w:sz w:val="17"/>
                <w:szCs w:val="17"/>
              </w:rPr>
            </w:pPr>
            <w:r w:rsidRPr="00DD79C6">
              <w:rPr>
                <w:color w:val="000000"/>
                <w:sz w:val="17"/>
                <w:szCs w:val="17"/>
              </w:rPr>
              <w:t>5 413 529 192,00</w:t>
            </w:r>
          </w:p>
        </w:tc>
        <w:tc>
          <w:tcPr>
            <w:tcW w:w="802" w:type="pct"/>
            <w:tcBorders>
              <w:top w:val="nil"/>
              <w:left w:val="nil"/>
              <w:bottom w:val="single" w:sz="4" w:space="0" w:color="auto"/>
              <w:right w:val="single" w:sz="4" w:space="0" w:color="auto"/>
            </w:tcBorders>
            <w:shd w:val="clear" w:color="auto" w:fill="auto"/>
            <w:noWrap/>
            <w:vAlign w:val="center"/>
            <w:hideMark/>
          </w:tcPr>
          <w:p w14:paraId="49BFEE74" w14:textId="77777777" w:rsidR="00B57597" w:rsidRPr="00DD79C6" w:rsidRDefault="00B57597" w:rsidP="00B31C3D">
            <w:pPr>
              <w:spacing w:after="0"/>
              <w:jc w:val="right"/>
              <w:rPr>
                <w:rFonts w:eastAsia="Calibri" w:cs="Calibri"/>
                <w:color w:val="000000"/>
                <w:sz w:val="17"/>
                <w:szCs w:val="17"/>
              </w:rPr>
            </w:pPr>
            <w:r w:rsidRPr="00DD79C6">
              <w:rPr>
                <w:color w:val="000000"/>
                <w:sz w:val="17"/>
                <w:szCs w:val="17"/>
              </w:rPr>
              <w:t>3 103 246 900,00</w:t>
            </w:r>
          </w:p>
        </w:tc>
        <w:tc>
          <w:tcPr>
            <w:tcW w:w="802" w:type="pct"/>
            <w:tcBorders>
              <w:top w:val="nil"/>
              <w:left w:val="nil"/>
              <w:bottom w:val="single" w:sz="4" w:space="0" w:color="auto"/>
              <w:right w:val="single" w:sz="4" w:space="0" w:color="auto"/>
            </w:tcBorders>
            <w:shd w:val="clear" w:color="auto" w:fill="auto"/>
            <w:noWrap/>
            <w:vAlign w:val="center"/>
            <w:hideMark/>
          </w:tcPr>
          <w:p w14:paraId="632BAFCE" w14:textId="77777777" w:rsidR="00B57597" w:rsidRPr="00DD79C6" w:rsidRDefault="00B57597" w:rsidP="00B31C3D">
            <w:pPr>
              <w:spacing w:after="0"/>
              <w:jc w:val="right"/>
              <w:rPr>
                <w:rFonts w:eastAsia="Calibri" w:cs="Calibri"/>
                <w:color w:val="000000"/>
                <w:sz w:val="17"/>
                <w:szCs w:val="17"/>
              </w:rPr>
            </w:pPr>
            <w:r w:rsidRPr="00DD79C6">
              <w:rPr>
                <w:color w:val="000000"/>
                <w:sz w:val="17"/>
                <w:szCs w:val="17"/>
              </w:rPr>
              <w:t>6 266 356 448,00</w:t>
            </w:r>
          </w:p>
        </w:tc>
        <w:tc>
          <w:tcPr>
            <w:tcW w:w="802" w:type="pct"/>
            <w:tcBorders>
              <w:top w:val="nil"/>
              <w:left w:val="nil"/>
              <w:bottom w:val="single" w:sz="4" w:space="0" w:color="auto"/>
              <w:right w:val="single" w:sz="4" w:space="0" w:color="auto"/>
            </w:tcBorders>
            <w:vAlign w:val="center"/>
          </w:tcPr>
          <w:p w14:paraId="1E045F9C" w14:textId="77777777" w:rsidR="00B57597" w:rsidRPr="00DD79C6" w:rsidRDefault="00B57597" w:rsidP="00B31C3D">
            <w:pPr>
              <w:spacing w:after="0"/>
              <w:jc w:val="right"/>
              <w:rPr>
                <w:rFonts w:eastAsia="Calibri" w:cs="Calibri"/>
                <w:color w:val="000000"/>
                <w:sz w:val="17"/>
                <w:szCs w:val="17"/>
              </w:rPr>
            </w:pPr>
            <w:r w:rsidRPr="00DD79C6">
              <w:rPr>
                <w:color w:val="000000"/>
                <w:sz w:val="17"/>
                <w:szCs w:val="17"/>
              </w:rPr>
              <w:t>15 501 329 642,00</w:t>
            </w:r>
          </w:p>
        </w:tc>
      </w:tr>
      <w:tr w:rsidR="00B57597" w:rsidRPr="00E67165" w14:paraId="0E85C930" w14:textId="77777777" w:rsidTr="00DD79C6">
        <w:trPr>
          <w:trHeight w:val="255"/>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14:paraId="7F4FB79E" w14:textId="77777777" w:rsidR="00B57597" w:rsidRPr="00E67165" w:rsidRDefault="00B57597" w:rsidP="00B31C3D">
            <w:pPr>
              <w:spacing w:after="0"/>
              <w:rPr>
                <w:rFonts w:cs="Calibri"/>
                <w:b/>
                <w:bCs/>
                <w:color w:val="000000"/>
                <w:sz w:val="18"/>
                <w:szCs w:val="18"/>
                <w:lang w:eastAsia="cs-CZ"/>
              </w:rPr>
            </w:pPr>
            <w:r w:rsidRPr="00E67165">
              <w:rPr>
                <w:b/>
                <w:bCs/>
                <w:color w:val="000000"/>
                <w:sz w:val="18"/>
                <w:szCs w:val="18"/>
              </w:rPr>
              <w:t>Rozpočet po změnách</w:t>
            </w:r>
          </w:p>
        </w:tc>
        <w:tc>
          <w:tcPr>
            <w:tcW w:w="802" w:type="pct"/>
            <w:tcBorders>
              <w:top w:val="nil"/>
              <w:left w:val="nil"/>
              <w:bottom w:val="single" w:sz="4" w:space="0" w:color="auto"/>
              <w:right w:val="single" w:sz="4" w:space="0" w:color="auto"/>
            </w:tcBorders>
            <w:shd w:val="clear" w:color="auto" w:fill="auto"/>
            <w:noWrap/>
            <w:vAlign w:val="center"/>
            <w:hideMark/>
          </w:tcPr>
          <w:p w14:paraId="304433EB" w14:textId="77777777" w:rsidR="00B57597" w:rsidRPr="00DD79C6" w:rsidRDefault="00B57597" w:rsidP="00B31C3D">
            <w:pPr>
              <w:spacing w:after="0"/>
              <w:jc w:val="right"/>
              <w:rPr>
                <w:rFonts w:eastAsia="Calibri" w:cs="Calibri"/>
                <w:color w:val="000000"/>
                <w:sz w:val="17"/>
                <w:szCs w:val="17"/>
              </w:rPr>
            </w:pPr>
            <w:r w:rsidRPr="00DD79C6">
              <w:rPr>
                <w:color w:val="000000"/>
                <w:sz w:val="17"/>
                <w:szCs w:val="17"/>
              </w:rPr>
              <w:t>13 073 283 431,00</w:t>
            </w:r>
          </w:p>
        </w:tc>
        <w:tc>
          <w:tcPr>
            <w:tcW w:w="802" w:type="pct"/>
            <w:tcBorders>
              <w:top w:val="nil"/>
              <w:left w:val="nil"/>
              <w:bottom w:val="single" w:sz="4" w:space="0" w:color="auto"/>
              <w:right w:val="single" w:sz="4" w:space="0" w:color="auto"/>
            </w:tcBorders>
            <w:shd w:val="clear" w:color="auto" w:fill="auto"/>
            <w:noWrap/>
            <w:vAlign w:val="center"/>
            <w:hideMark/>
          </w:tcPr>
          <w:p w14:paraId="43887A3D" w14:textId="77777777" w:rsidR="00B57597" w:rsidRPr="00DD79C6" w:rsidRDefault="00B57597" w:rsidP="00B31C3D">
            <w:pPr>
              <w:spacing w:after="0"/>
              <w:jc w:val="right"/>
              <w:rPr>
                <w:rFonts w:eastAsia="Calibri" w:cs="Calibri"/>
                <w:color w:val="000000"/>
                <w:sz w:val="17"/>
                <w:szCs w:val="17"/>
              </w:rPr>
            </w:pPr>
            <w:r w:rsidRPr="00DD79C6">
              <w:rPr>
                <w:color w:val="000000"/>
                <w:sz w:val="17"/>
                <w:szCs w:val="17"/>
              </w:rPr>
              <w:t>5 414 842 949,00</w:t>
            </w:r>
          </w:p>
        </w:tc>
        <w:tc>
          <w:tcPr>
            <w:tcW w:w="802" w:type="pct"/>
            <w:tcBorders>
              <w:top w:val="nil"/>
              <w:left w:val="nil"/>
              <w:bottom w:val="single" w:sz="4" w:space="0" w:color="auto"/>
              <w:right w:val="single" w:sz="4" w:space="0" w:color="auto"/>
            </w:tcBorders>
            <w:shd w:val="clear" w:color="auto" w:fill="auto"/>
            <w:noWrap/>
            <w:vAlign w:val="center"/>
            <w:hideMark/>
          </w:tcPr>
          <w:p w14:paraId="65C65504" w14:textId="77777777" w:rsidR="00B57597" w:rsidRPr="00DD79C6" w:rsidRDefault="00B57597" w:rsidP="00B31C3D">
            <w:pPr>
              <w:spacing w:after="0"/>
              <w:jc w:val="right"/>
              <w:rPr>
                <w:rFonts w:eastAsia="Calibri" w:cs="Calibri"/>
                <w:color w:val="000000"/>
                <w:sz w:val="17"/>
                <w:szCs w:val="17"/>
              </w:rPr>
            </w:pPr>
            <w:r w:rsidRPr="00DD79C6">
              <w:rPr>
                <w:color w:val="000000"/>
                <w:sz w:val="17"/>
                <w:szCs w:val="17"/>
              </w:rPr>
              <w:t>5 603 246 900,00</w:t>
            </w:r>
          </w:p>
        </w:tc>
        <w:tc>
          <w:tcPr>
            <w:tcW w:w="802" w:type="pct"/>
            <w:tcBorders>
              <w:top w:val="nil"/>
              <w:left w:val="nil"/>
              <w:bottom w:val="single" w:sz="4" w:space="0" w:color="auto"/>
              <w:right w:val="single" w:sz="4" w:space="0" w:color="auto"/>
            </w:tcBorders>
            <w:shd w:val="clear" w:color="auto" w:fill="auto"/>
            <w:noWrap/>
            <w:vAlign w:val="center"/>
            <w:hideMark/>
          </w:tcPr>
          <w:p w14:paraId="04B87903" w14:textId="77777777" w:rsidR="00B57597" w:rsidRPr="00DD79C6" w:rsidRDefault="00B57597" w:rsidP="00B31C3D">
            <w:pPr>
              <w:spacing w:after="0"/>
              <w:jc w:val="right"/>
              <w:rPr>
                <w:rFonts w:eastAsia="Calibri" w:cs="Calibri"/>
                <w:color w:val="000000"/>
                <w:sz w:val="17"/>
                <w:szCs w:val="17"/>
              </w:rPr>
            </w:pPr>
            <w:r w:rsidRPr="00DD79C6">
              <w:rPr>
                <w:color w:val="000000"/>
                <w:sz w:val="17"/>
                <w:szCs w:val="17"/>
              </w:rPr>
              <w:t>13 492 389 867,00</w:t>
            </w:r>
          </w:p>
        </w:tc>
        <w:tc>
          <w:tcPr>
            <w:tcW w:w="802" w:type="pct"/>
            <w:tcBorders>
              <w:top w:val="nil"/>
              <w:left w:val="nil"/>
              <w:bottom w:val="single" w:sz="4" w:space="0" w:color="auto"/>
              <w:right w:val="single" w:sz="4" w:space="0" w:color="auto"/>
            </w:tcBorders>
            <w:vAlign w:val="center"/>
          </w:tcPr>
          <w:p w14:paraId="3407138D" w14:textId="77777777" w:rsidR="00B57597" w:rsidRPr="00DD79C6" w:rsidRDefault="00B57597" w:rsidP="00B31C3D">
            <w:pPr>
              <w:spacing w:after="0"/>
              <w:jc w:val="right"/>
              <w:rPr>
                <w:rFonts w:eastAsia="Calibri" w:cs="Calibri"/>
                <w:color w:val="000000"/>
                <w:sz w:val="17"/>
                <w:szCs w:val="17"/>
              </w:rPr>
            </w:pPr>
            <w:r w:rsidRPr="00DD79C6">
              <w:rPr>
                <w:color w:val="000000"/>
                <w:sz w:val="17"/>
                <w:szCs w:val="17"/>
              </w:rPr>
              <w:t>24 710 697 037,00</w:t>
            </w:r>
          </w:p>
        </w:tc>
      </w:tr>
      <w:tr w:rsidR="00B57597" w:rsidRPr="00E67165" w14:paraId="1B5A6653" w14:textId="77777777" w:rsidTr="00DD79C6">
        <w:trPr>
          <w:trHeight w:val="255"/>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14:paraId="3D83FC6C" w14:textId="77777777" w:rsidR="00B57597" w:rsidRPr="00E67165" w:rsidRDefault="00B57597" w:rsidP="00B31C3D">
            <w:pPr>
              <w:spacing w:after="0"/>
              <w:rPr>
                <w:rFonts w:cs="Calibri"/>
                <w:b/>
                <w:bCs/>
                <w:color w:val="000000"/>
                <w:sz w:val="18"/>
                <w:szCs w:val="18"/>
                <w:lang w:eastAsia="cs-CZ"/>
              </w:rPr>
            </w:pPr>
            <w:r w:rsidRPr="00E67165">
              <w:rPr>
                <w:b/>
                <w:bCs/>
                <w:color w:val="000000"/>
                <w:sz w:val="18"/>
                <w:szCs w:val="18"/>
              </w:rPr>
              <w:t>Skutečnost</w:t>
            </w:r>
          </w:p>
        </w:tc>
        <w:tc>
          <w:tcPr>
            <w:tcW w:w="802" w:type="pct"/>
            <w:tcBorders>
              <w:top w:val="nil"/>
              <w:left w:val="nil"/>
              <w:bottom w:val="single" w:sz="4" w:space="0" w:color="auto"/>
              <w:right w:val="single" w:sz="4" w:space="0" w:color="auto"/>
            </w:tcBorders>
            <w:shd w:val="clear" w:color="auto" w:fill="auto"/>
            <w:noWrap/>
            <w:vAlign w:val="center"/>
            <w:hideMark/>
          </w:tcPr>
          <w:p w14:paraId="0B7787BD" w14:textId="77777777" w:rsidR="00B57597" w:rsidRPr="00DD79C6" w:rsidRDefault="00B57597" w:rsidP="00B31C3D">
            <w:pPr>
              <w:spacing w:after="0"/>
              <w:jc w:val="right"/>
              <w:rPr>
                <w:rFonts w:eastAsia="Calibri" w:cs="Calibri"/>
                <w:color w:val="000000"/>
                <w:sz w:val="17"/>
                <w:szCs w:val="17"/>
              </w:rPr>
            </w:pPr>
            <w:r w:rsidRPr="00DD79C6">
              <w:rPr>
                <w:color w:val="000000"/>
                <w:sz w:val="17"/>
                <w:szCs w:val="17"/>
              </w:rPr>
              <w:t>10 916 364 571,98</w:t>
            </w:r>
          </w:p>
        </w:tc>
        <w:tc>
          <w:tcPr>
            <w:tcW w:w="802" w:type="pct"/>
            <w:tcBorders>
              <w:top w:val="nil"/>
              <w:left w:val="nil"/>
              <w:bottom w:val="single" w:sz="4" w:space="0" w:color="auto"/>
              <w:right w:val="single" w:sz="4" w:space="0" w:color="auto"/>
            </w:tcBorders>
            <w:shd w:val="clear" w:color="auto" w:fill="auto"/>
            <w:noWrap/>
            <w:vAlign w:val="center"/>
            <w:hideMark/>
          </w:tcPr>
          <w:p w14:paraId="039F2299" w14:textId="77777777" w:rsidR="00B57597" w:rsidRPr="00DD79C6" w:rsidRDefault="00B57597" w:rsidP="00B31C3D">
            <w:pPr>
              <w:spacing w:after="0"/>
              <w:jc w:val="right"/>
              <w:rPr>
                <w:rFonts w:eastAsia="Calibri" w:cs="Calibri"/>
                <w:color w:val="000000"/>
                <w:sz w:val="17"/>
                <w:szCs w:val="17"/>
              </w:rPr>
            </w:pPr>
            <w:r w:rsidRPr="00DD79C6">
              <w:rPr>
                <w:color w:val="000000"/>
                <w:sz w:val="17"/>
                <w:szCs w:val="17"/>
              </w:rPr>
              <w:t>7 967 400 074,64</w:t>
            </w:r>
          </w:p>
        </w:tc>
        <w:tc>
          <w:tcPr>
            <w:tcW w:w="802" w:type="pct"/>
            <w:tcBorders>
              <w:top w:val="nil"/>
              <w:left w:val="nil"/>
              <w:bottom w:val="single" w:sz="4" w:space="0" w:color="auto"/>
              <w:right w:val="single" w:sz="4" w:space="0" w:color="auto"/>
            </w:tcBorders>
            <w:shd w:val="clear" w:color="auto" w:fill="auto"/>
            <w:noWrap/>
            <w:vAlign w:val="center"/>
            <w:hideMark/>
          </w:tcPr>
          <w:p w14:paraId="0AFEFF42" w14:textId="77777777" w:rsidR="00B57597" w:rsidRPr="00DD79C6" w:rsidRDefault="00B57597" w:rsidP="00B31C3D">
            <w:pPr>
              <w:spacing w:after="0"/>
              <w:jc w:val="right"/>
              <w:rPr>
                <w:rFonts w:eastAsia="Calibri" w:cs="Calibri"/>
                <w:color w:val="000000"/>
                <w:sz w:val="17"/>
                <w:szCs w:val="17"/>
              </w:rPr>
            </w:pPr>
            <w:r w:rsidRPr="00DD79C6">
              <w:rPr>
                <w:color w:val="000000"/>
                <w:sz w:val="17"/>
                <w:szCs w:val="17"/>
              </w:rPr>
              <w:t>7 398 559 561,12</w:t>
            </w:r>
          </w:p>
        </w:tc>
        <w:tc>
          <w:tcPr>
            <w:tcW w:w="802" w:type="pct"/>
            <w:tcBorders>
              <w:top w:val="nil"/>
              <w:left w:val="nil"/>
              <w:bottom w:val="single" w:sz="4" w:space="0" w:color="auto"/>
              <w:right w:val="single" w:sz="4" w:space="0" w:color="auto"/>
            </w:tcBorders>
            <w:shd w:val="clear" w:color="auto" w:fill="auto"/>
            <w:noWrap/>
            <w:vAlign w:val="center"/>
            <w:hideMark/>
          </w:tcPr>
          <w:p w14:paraId="739338E0" w14:textId="77777777" w:rsidR="00B57597" w:rsidRPr="00DD79C6" w:rsidRDefault="00B57597" w:rsidP="00B31C3D">
            <w:pPr>
              <w:spacing w:after="0"/>
              <w:jc w:val="right"/>
              <w:rPr>
                <w:rFonts w:eastAsia="Calibri" w:cs="Calibri"/>
                <w:color w:val="000000"/>
                <w:sz w:val="17"/>
                <w:szCs w:val="17"/>
              </w:rPr>
            </w:pPr>
            <w:r w:rsidRPr="00DD79C6">
              <w:rPr>
                <w:color w:val="000000"/>
                <w:sz w:val="17"/>
                <w:szCs w:val="17"/>
              </w:rPr>
              <w:t>20 337 846 937,99</w:t>
            </w:r>
          </w:p>
        </w:tc>
        <w:tc>
          <w:tcPr>
            <w:tcW w:w="802" w:type="pct"/>
            <w:tcBorders>
              <w:top w:val="nil"/>
              <w:left w:val="nil"/>
              <w:bottom w:val="single" w:sz="4" w:space="0" w:color="auto"/>
              <w:right w:val="single" w:sz="4" w:space="0" w:color="auto"/>
            </w:tcBorders>
            <w:vAlign w:val="center"/>
          </w:tcPr>
          <w:p w14:paraId="71F9E887" w14:textId="77777777" w:rsidR="00B57597" w:rsidRPr="00DD79C6" w:rsidRDefault="00B57597" w:rsidP="00B31C3D">
            <w:pPr>
              <w:spacing w:after="0"/>
              <w:jc w:val="right"/>
              <w:rPr>
                <w:rFonts w:eastAsia="Calibri" w:cs="Calibri"/>
                <w:color w:val="000000"/>
                <w:sz w:val="17"/>
                <w:szCs w:val="17"/>
              </w:rPr>
            </w:pPr>
            <w:r w:rsidRPr="00DD79C6">
              <w:rPr>
                <w:color w:val="000000"/>
                <w:sz w:val="17"/>
                <w:szCs w:val="17"/>
              </w:rPr>
              <w:t>25 623 005 721,47</w:t>
            </w:r>
          </w:p>
        </w:tc>
      </w:tr>
    </w:tbl>
    <w:p w14:paraId="76144B8D" w14:textId="77777777" w:rsidR="00B57597" w:rsidRPr="007D36E3" w:rsidRDefault="00B57597" w:rsidP="00B57597">
      <w:pPr>
        <w:spacing w:before="40"/>
        <w:rPr>
          <w:rFonts w:cs="Calibri"/>
          <w:color w:val="000000"/>
          <w:sz w:val="20"/>
          <w:szCs w:val="20"/>
          <w:lang w:eastAsia="cs-CZ"/>
        </w:rPr>
      </w:pPr>
      <w:r w:rsidRPr="007D36E3">
        <w:rPr>
          <w:rFonts w:cs="Calibri"/>
          <w:b/>
          <w:color w:val="000000"/>
          <w:sz w:val="20"/>
          <w:szCs w:val="20"/>
          <w:lang w:eastAsia="cs-CZ"/>
        </w:rPr>
        <w:t xml:space="preserve">Zdroj: </w:t>
      </w:r>
      <w:r w:rsidRPr="007D36E3">
        <w:rPr>
          <w:rFonts w:cs="Calibri"/>
          <w:color w:val="000000"/>
          <w:sz w:val="20"/>
          <w:szCs w:val="20"/>
          <w:lang w:eastAsia="cs-CZ"/>
        </w:rPr>
        <w:t>informační portál MONITOR.</w:t>
      </w:r>
    </w:p>
    <w:p w14:paraId="2B9D7F74" w14:textId="77777777" w:rsidR="00B57597" w:rsidRPr="00E67165" w:rsidRDefault="00B57597" w:rsidP="00B57597">
      <w:pPr>
        <w:jc w:val="both"/>
        <w:rPr>
          <w:rFonts w:asciiTheme="minorHAnsi" w:hAnsiTheme="minorHAnsi" w:cstheme="minorHAnsi"/>
        </w:rPr>
      </w:pPr>
      <w:r w:rsidRPr="00E67165">
        <w:rPr>
          <w:rFonts w:asciiTheme="minorHAnsi" w:hAnsiTheme="minorHAnsi" w:cstheme="minorHAnsi"/>
        </w:rPr>
        <w:t xml:space="preserve">Vývoj skutečných příjmů MPO ve sledovaném období v podstatě kopíruje vývoj příjmů celé kapitoly. Nejnižší byly příjmy v roce 2018 v hodnotě 7,4 mld. Kč, nejvyšší v roce 2020 </w:t>
      </w:r>
      <w:r w:rsidRPr="00E67165">
        <w:rPr>
          <w:rFonts w:asciiTheme="minorHAnsi" w:hAnsiTheme="minorHAnsi" w:cstheme="minorHAnsi"/>
        </w:rPr>
        <w:lastRenderedPageBreak/>
        <w:t xml:space="preserve">v hodnotě 25,62 mld. Kč. Schválený rozpočet a rozpočet po změnách se ve sledovaném období rovná pouze v roce 2016, v ostatních letech došlo v průběhu roku k úpravě rozpočtovaných příjmů, přičemž počínaje rokem 2018 jsou tyto úpravy v řádu desítek procent. </w:t>
      </w:r>
    </w:p>
    <w:p w14:paraId="38CBAFD0" w14:textId="77777777" w:rsidR="00B57597" w:rsidRPr="00E67165" w:rsidRDefault="00B57597" w:rsidP="00B57597">
      <w:pPr>
        <w:jc w:val="both"/>
        <w:rPr>
          <w:rFonts w:asciiTheme="minorHAnsi" w:hAnsiTheme="minorHAnsi" w:cstheme="minorHAnsi"/>
          <w:b/>
        </w:rPr>
      </w:pPr>
      <w:r w:rsidRPr="00E67165">
        <w:rPr>
          <w:rFonts w:asciiTheme="minorHAnsi" w:hAnsiTheme="minorHAnsi" w:cstheme="minorHAnsi"/>
        </w:rPr>
        <w:t>Z hlediska celkového plnění příjmů k rozpočtu po změnách v roce 2020 vykazovaly nejlepší plnění přijaté transfery a nedaňové příjmy. Přijaté transfery obsahovaly významnou část přijatých investičních a neinvestičních transferů z Národního fondu na společné programy státního rozpočtu ČR a rozpočtu Evropské unie a tvořily 91,33 % celkových příjmů. Dalším významným příjmem (7,51 %) byly příjmy z podílů na zisku a dividend.</w:t>
      </w:r>
    </w:p>
    <w:p w14:paraId="0ACF666A" w14:textId="5AA565B3" w:rsidR="00B57597" w:rsidRPr="004E3690" w:rsidRDefault="00B57597" w:rsidP="00B57597">
      <w:pPr>
        <w:pStyle w:val="Titulek1"/>
        <w:tabs>
          <w:tab w:val="clear" w:pos="9356"/>
          <w:tab w:val="right" w:pos="9072"/>
        </w:tabs>
      </w:pPr>
      <w:bookmarkStart w:id="15" w:name="_Toc8984520"/>
      <w:bookmarkStart w:id="16" w:name="_Toc72157456"/>
      <w:r w:rsidRPr="004E3690">
        <w:t xml:space="preserve">Tabulka č. </w:t>
      </w:r>
      <w:fldSimple w:instr=" SEQ Tabulka \* ARABIC ">
        <w:r w:rsidR="00E544AA">
          <w:rPr>
            <w:noProof/>
          </w:rPr>
          <w:t>4</w:t>
        </w:r>
      </w:fldSimple>
      <w:r w:rsidRPr="004E3690">
        <w:t>: Příjmy OSS rozpočtové kapitoly 322 (bez MPO</w:t>
      </w:r>
      <w:r w:rsidR="007F1C88">
        <w:t>;</w:t>
      </w:r>
      <w:r w:rsidRPr="004E3690">
        <w:t xml:space="preserve"> v Kč)</w:t>
      </w:r>
      <w:bookmarkEnd w:id="15"/>
      <w:bookmarkEnd w:id="16"/>
    </w:p>
    <w:tbl>
      <w:tblPr>
        <w:tblW w:w="5000" w:type="pct"/>
        <w:tblCellMar>
          <w:left w:w="70" w:type="dxa"/>
          <w:right w:w="70" w:type="dxa"/>
        </w:tblCellMar>
        <w:tblLook w:val="04A0" w:firstRow="1" w:lastRow="0" w:firstColumn="1" w:lastColumn="0" w:noHBand="0" w:noVBand="1"/>
      </w:tblPr>
      <w:tblGrid>
        <w:gridCol w:w="1780"/>
        <w:gridCol w:w="1456"/>
        <w:gridCol w:w="1455"/>
        <w:gridCol w:w="1455"/>
        <w:gridCol w:w="1457"/>
        <w:gridCol w:w="1457"/>
      </w:tblGrid>
      <w:tr w:rsidR="00B57597" w:rsidRPr="004E3690" w14:paraId="2128E743" w14:textId="77777777" w:rsidTr="00B57597">
        <w:trPr>
          <w:trHeight w:val="255"/>
        </w:trPr>
        <w:tc>
          <w:tcPr>
            <w:tcW w:w="982"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198A615" w14:textId="77777777" w:rsidR="00B57597" w:rsidRPr="004E3690" w:rsidRDefault="00B57597" w:rsidP="00A6331F">
            <w:pPr>
              <w:spacing w:after="0"/>
              <w:rPr>
                <w:rFonts w:cs="Calibri"/>
                <w:b/>
                <w:bCs/>
                <w:color w:val="000000"/>
                <w:sz w:val="18"/>
                <w:szCs w:val="18"/>
                <w:lang w:eastAsia="cs-CZ"/>
              </w:rPr>
            </w:pPr>
            <w:r w:rsidRPr="004E3690">
              <w:rPr>
                <w:b/>
                <w:bCs/>
                <w:color w:val="000000"/>
                <w:sz w:val="18"/>
                <w:szCs w:val="18"/>
              </w:rPr>
              <w:t>Rozpočet</w:t>
            </w:r>
          </w:p>
        </w:tc>
        <w:tc>
          <w:tcPr>
            <w:tcW w:w="803" w:type="pct"/>
            <w:tcBorders>
              <w:top w:val="single" w:sz="4" w:space="0" w:color="auto"/>
              <w:left w:val="nil"/>
              <w:bottom w:val="single" w:sz="4" w:space="0" w:color="auto"/>
              <w:right w:val="single" w:sz="4" w:space="0" w:color="auto"/>
            </w:tcBorders>
            <w:shd w:val="clear" w:color="auto" w:fill="E5F1FF"/>
            <w:noWrap/>
            <w:vAlign w:val="center"/>
            <w:hideMark/>
          </w:tcPr>
          <w:p w14:paraId="68284898" w14:textId="77777777" w:rsidR="00B57597" w:rsidRPr="004E3690" w:rsidRDefault="00B57597" w:rsidP="00A6331F">
            <w:pPr>
              <w:spacing w:after="0"/>
              <w:jc w:val="center"/>
              <w:rPr>
                <w:rFonts w:cs="Calibri"/>
                <w:b/>
                <w:bCs/>
                <w:color w:val="000000"/>
                <w:sz w:val="18"/>
                <w:szCs w:val="18"/>
                <w:lang w:eastAsia="cs-CZ"/>
              </w:rPr>
            </w:pPr>
            <w:r w:rsidRPr="004E3690">
              <w:rPr>
                <w:b/>
                <w:bCs/>
                <w:color w:val="000000"/>
                <w:sz w:val="18"/>
                <w:szCs w:val="18"/>
              </w:rPr>
              <w:t>2016</w:t>
            </w:r>
          </w:p>
        </w:tc>
        <w:tc>
          <w:tcPr>
            <w:tcW w:w="803" w:type="pct"/>
            <w:tcBorders>
              <w:top w:val="single" w:sz="4" w:space="0" w:color="auto"/>
              <w:left w:val="nil"/>
              <w:bottom w:val="single" w:sz="4" w:space="0" w:color="auto"/>
              <w:right w:val="single" w:sz="4" w:space="0" w:color="auto"/>
            </w:tcBorders>
            <w:shd w:val="clear" w:color="auto" w:fill="E5F1FF"/>
            <w:noWrap/>
            <w:vAlign w:val="center"/>
            <w:hideMark/>
          </w:tcPr>
          <w:p w14:paraId="6C75EEAB" w14:textId="77777777" w:rsidR="00B57597" w:rsidRPr="004E3690" w:rsidRDefault="00B57597" w:rsidP="00A6331F">
            <w:pPr>
              <w:spacing w:after="0"/>
              <w:jc w:val="center"/>
              <w:rPr>
                <w:rFonts w:cs="Calibri"/>
                <w:b/>
                <w:bCs/>
                <w:color w:val="000000"/>
                <w:sz w:val="18"/>
                <w:szCs w:val="18"/>
                <w:lang w:eastAsia="cs-CZ"/>
              </w:rPr>
            </w:pPr>
            <w:r w:rsidRPr="004E3690">
              <w:rPr>
                <w:b/>
                <w:bCs/>
                <w:color w:val="000000"/>
                <w:sz w:val="18"/>
                <w:szCs w:val="18"/>
              </w:rPr>
              <w:t>2017</w:t>
            </w:r>
          </w:p>
        </w:tc>
        <w:tc>
          <w:tcPr>
            <w:tcW w:w="803" w:type="pct"/>
            <w:tcBorders>
              <w:top w:val="single" w:sz="4" w:space="0" w:color="auto"/>
              <w:left w:val="nil"/>
              <w:bottom w:val="single" w:sz="4" w:space="0" w:color="auto"/>
              <w:right w:val="single" w:sz="4" w:space="0" w:color="auto"/>
            </w:tcBorders>
            <w:shd w:val="clear" w:color="auto" w:fill="E5F1FF"/>
            <w:noWrap/>
            <w:vAlign w:val="center"/>
            <w:hideMark/>
          </w:tcPr>
          <w:p w14:paraId="03521534" w14:textId="77777777" w:rsidR="00B57597" w:rsidRPr="004E3690" w:rsidRDefault="00B57597" w:rsidP="00A6331F">
            <w:pPr>
              <w:spacing w:after="0"/>
              <w:jc w:val="center"/>
              <w:rPr>
                <w:rFonts w:cs="Calibri"/>
                <w:b/>
                <w:bCs/>
                <w:color w:val="000000"/>
                <w:sz w:val="18"/>
                <w:szCs w:val="18"/>
                <w:lang w:eastAsia="cs-CZ"/>
              </w:rPr>
            </w:pPr>
            <w:r w:rsidRPr="004E3690">
              <w:rPr>
                <w:b/>
                <w:bCs/>
                <w:color w:val="000000"/>
                <w:sz w:val="18"/>
                <w:szCs w:val="18"/>
              </w:rPr>
              <w:t>2018</w:t>
            </w:r>
          </w:p>
        </w:tc>
        <w:tc>
          <w:tcPr>
            <w:tcW w:w="804" w:type="pct"/>
            <w:tcBorders>
              <w:top w:val="single" w:sz="4" w:space="0" w:color="auto"/>
              <w:left w:val="nil"/>
              <w:bottom w:val="single" w:sz="4" w:space="0" w:color="auto"/>
              <w:right w:val="single" w:sz="4" w:space="0" w:color="auto"/>
            </w:tcBorders>
            <w:shd w:val="clear" w:color="auto" w:fill="E5F1FF"/>
            <w:noWrap/>
            <w:vAlign w:val="center"/>
            <w:hideMark/>
          </w:tcPr>
          <w:p w14:paraId="7F0421C3" w14:textId="77777777" w:rsidR="00B57597" w:rsidRPr="004E3690" w:rsidRDefault="00B57597" w:rsidP="00A6331F">
            <w:pPr>
              <w:spacing w:after="0"/>
              <w:jc w:val="center"/>
              <w:rPr>
                <w:rFonts w:cs="Calibri"/>
                <w:b/>
                <w:bCs/>
                <w:color w:val="000000"/>
                <w:sz w:val="18"/>
                <w:szCs w:val="18"/>
                <w:lang w:eastAsia="cs-CZ"/>
              </w:rPr>
            </w:pPr>
            <w:r w:rsidRPr="004E3690">
              <w:rPr>
                <w:b/>
                <w:bCs/>
                <w:color w:val="000000"/>
                <w:sz w:val="18"/>
                <w:szCs w:val="18"/>
              </w:rPr>
              <w:t>2019</w:t>
            </w:r>
          </w:p>
        </w:tc>
        <w:tc>
          <w:tcPr>
            <w:tcW w:w="804" w:type="pct"/>
            <w:tcBorders>
              <w:top w:val="single" w:sz="4" w:space="0" w:color="auto"/>
              <w:left w:val="nil"/>
              <w:bottom w:val="single" w:sz="4" w:space="0" w:color="auto"/>
              <w:right w:val="single" w:sz="4" w:space="0" w:color="auto"/>
            </w:tcBorders>
            <w:shd w:val="clear" w:color="auto" w:fill="E5F1FF"/>
            <w:vAlign w:val="center"/>
          </w:tcPr>
          <w:p w14:paraId="5C9026AF" w14:textId="77777777" w:rsidR="00B57597" w:rsidRPr="004E3690" w:rsidRDefault="00B57597" w:rsidP="00A6331F">
            <w:pPr>
              <w:spacing w:after="0"/>
              <w:jc w:val="center"/>
              <w:rPr>
                <w:rFonts w:cs="Calibri"/>
                <w:b/>
                <w:bCs/>
                <w:color w:val="000000"/>
                <w:sz w:val="18"/>
                <w:szCs w:val="18"/>
                <w:lang w:eastAsia="cs-CZ"/>
              </w:rPr>
            </w:pPr>
            <w:r w:rsidRPr="004E3690">
              <w:rPr>
                <w:b/>
                <w:bCs/>
                <w:color w:val="000000"/>
                <w:sz w:val="18"/>
                <w:szCs w:val="18"/>
              </w:rPr>
              <w:t>2020</w:t>
            </w:r>
          </w:p>
        </w:tc>
      </w:tr>
      <w:tr w:rsidR="00B57597" w:rsidRPr="004E3690" w14:paraId="3DA1111B" w14:textId="77777777" w:rsidTr="00B57597">
        <w:trPr>
          <w:trHeight w:val="255"/>
        </w:trPr>
        <w:tc>
          <w:tcPr>
            <w:tcW w:w="982" w:type="pct"/>
            <w:tcBorders>
              <w:top w:val="nil"/>
              <w:left w:val="single" w:sz="4" w:space="0" w:color="auto"/>
              <w:bottom w:val="single" w:sz="4" w:space="0" w:color="auto"/>
              <w:right w:val="single" w:sz="4" w:space="0" w:color="auto"/>
            </w:tcBorders>
            <w:shd w:val="clear" w:color="auto" w:fill="auto"/>
            <w:noWrap/>
            <w:vAlign w:val="center"/>
            <w:hideMark/>
          </w:tcPr>
          <w:p w14:paraId="393CA718" w14:textId="77777777" w:rsidR="00B57597" w:rsidRPr="004E3690" w:rsidRDefault="00B57597" w:rsidP="00A6331F">
            <w:pPr>
              <w:spacing w:after="0"/>
              <w:rPr>
                <w:rFonts w:cs="Calibri"/>
                <w:b/>
                <w:bCs/>
                <w:color w:val="000000"/>
                <w:sz w:val="18"/>
                <w:szCs w:val="18"/>
                <w:lang w:eastAsia="cs-CZ"/>
              </w:rPr>
            </w:pPr>
            <w:r w:rsidRPr="004E3690">
              <w:rPr>
                <w:b/>
                <w:bCs/>
                <w:color w:val="000000"/>
                <w:sz w:val="18"/>
                <w:szCs w:val="18"/>
              </w:rPr>
              <w:t>Schválený rozpočet</w:t>
            </w:r>
          </w:p>
        </w:tc>
        <w:tc>
          <w:tcPr>
            <w:tcW w:w="803" w:type="pct"/>
            <w:tcBorders>
              <w:top w:val="nil"/>
              <w:left w:val="nil"/>
              <w:bottom w:val="single" w:sz="4" w:space="0" w:color="auto"/>
              <w:right w:val="single" w:sz="4" w:space="0" w:color="auto"/>
            </w:tcBorders>
            <w:shd w:val="clear" w:color="auto" w:fill="auto"/>
            <w:noWrap/>
            <w:vAlign w:val="center"/>
            <w:hideMark/>
          </w:tcPr>
          <w:p w14:paraId="66E30E92" w14:textId="77777777" w:rsidR="00B57597" w:rsidRPr="004E3690" w:rsidRDefault="00B57597" w:rsidP="00A6331F">
            <w:pPr>
              <w:spacing w:after="0"/>
              <w:jc w:val="right"/>
              <w:rPr>
                <w:rFonts w:eastAsia="Calibri"/>
                <w:color w:val="000000"/>
                <w:sz w:val="18"/>
                <w:szCs w:val="18"/>
              </w:rPr>
            </w:pPr>
            <w:r w:rsidRPr="004E3690">
              <w:rPr>
                <w:color w:val="000000"/>
                <w:sz w:val="18"/>
                <w:szCs w:val="18"/>
              </w:rPr>
              <w:t>217 600 000,00</w:t>
            </w:r>
          </w:p>
        </w:tc>
        <w:tc>
          <w:tcPr>
            <w:tcW w:w="803" w:type="pct"/>
            <w:tcBorders>
              <w:top w:val="nil"/>
              <w:left w:val="nil"/>
              <w:bottom w:val="single" w:sz="4" w:space="0" w:color="auto"/>
              <w:right w:val="single" w:sz="4" w:space="0" w:color="auto"/>
            </w:tcBorders>
            <w:shd w:val="clear" w:color="auto" w:fill="auto"/>
            <w:noWrap/>
            <w:vAlign w:val="center"/>
            <w:hideMark/>
          </w:tcPr>
          <w:p w14:paraId="2FB2E27D" w14:textId="77777777" w:rsidR="00B57597" w:rsidRPr="004E3690" w:rsidRDefault="00B57597" w:rsidP="00A6331F">
            <w:pPr>
              <w:spacing w:after="0"/>
              <w:jc w:val="right"/>
              <w:rPr>
                <w:rFonts w:eastAsia="Calibri"/>
                <w:color w:val="000000"/>
                <w:sz w:val="18"/>
                <w:szCs w:val="18"/>
              </w:rPr>
            </w:pPr>
            <w:r w:rsidRPr="004E3690">
              <w:rPr>
                <w:color w:val="000000"/>
                <w:sz w:val="18"/>
                <w:szCs w:val="18"/>
              </w:rPr>
              <w:t>224 000 000,00</w:t>
            </w:r>
          </w:p>
        </w:tc>
        <w:tc>
          <w:tcPr>
            <w:tcW w:w="803" w:type="pct"/>
            <w:tcBorders>
              <w:top w:val="nil"/>
              <w:left w:val="nil"/>
              <w:bottom w:val="single" w:sz="4" w:space="0" w:color="auto"/>
              <w:right w:val="single" w:sz="4" w:space="0" w:color="auto"/>
            </w:tcBorders>
            <w:shd w:val="clear" w:color="auto" w:fill="auto"/>
            <w:noWrap/>
            <w:vAlign w:val="center"/>
            <w:hideMark/>
          </w:tcPr>
          <w:p w14:paraId="7CA79B04" w14:textId="77777777" w:rsidR="00B57597" w:rsidRPr="004E3690" w:rsidRDefault="00B57597" w:rsidP="00A6331F">
            <w:pPr>
              <w:spacing w:after="0"/>
              <w:jc w:val="right"/>
              <w:rPr>
                <w:rFonts w:eastAsia="Calibri"/>
                <w:color w:val="000000"/>
                <w:sz w:val="18"/>
                <w:szCs w:val="18"/>
              </w:rPr>
            </w:pPr>
            <w:r w:rsidRPr="004E3690">
              <w:rPr>
                <w:color w:val="000000"/>
                <w:sz w:val="18"/>
                <w:szCs w:val="18"/>
              </w:rPr>
              <w:t>224 000 000,00</w:t>
            </w:r>
          </w:p>
        </w:tc>
        <w:tc>
          <w:tcPr>
            <w:tcW w:w="804" w:type="pct"/>
            <w:tcBorders>
              <w:top w:val="nil"/>
              <w:left w:val="nil"/>
              <w:bottom w:val="single" w:sz="4" w:space="0" w:color="auto"/>
              <w:right w:val="single" w:sz="4" w:space="0" w:color="auto"/>
            </w:tcBorders>
            <w:shd w:val="clear" w:color="auto" w:fill="auto"/>
            <w:noWrap/>
            <w:vAlign w:val="center"/>
            <w:hideMark/>
          </w:tcPr>
          <w:p w14:paraId="44F2DED7" w14:textId="77777777" w:rsidR="00B57597" w:rsidRPr="004E3690" w:rsidRDefault="00B57597" w:rsidP="00A6331F">
            <w:pPr>
              <w:spacing w:after="0"/>
              <w:jc w:val="right"/>
              <w:rPr>
                <w:rFonts w:eastAsia="Calibri"/>
                <w:color w:val="000000"/>
                <w:sz w:val="18"/>
                <w:szCs w:val="18"/>
              </w:rPr>
            </w:pPr>
            <w:r w:rsidRPr="004E3690">
              <w:rPr>
                <w:color w:val="000000"/>
                <w:sz w:val="18"/>
                <w:szCs w:val="18"/>
              </w:rPr>
              <w:t>131 300 000,00</w:t>
            </w:r>
          </w:p>
        </w:tc>
        <w:tc>
          <w:tcPr>
            <w:tcW w:w="804" w:type="pct"/>
            <w:tcBorders>
              <w:top w:val="nil"/>
              <w:left w:val="nil"/>
              <w:bottom w:val="single" w:sz="4" w:space="0" w:color="auto"/>
              <w:right w:val="single" w:sz="4" w:space="0" w:color="auto"/>
            </w:tcBorders>
            <w:vAlign w:val="center"/>
          </w:tcPr>
          <w:p w14:paraId="345BB7A5" w14:textId="77777777" w:rsidR="00B57597" w:rsidRPr="004E3690" w:rsidRDefault="00B57597" w:rsidP="00A6331F">
            <w:pPr>
              <w:spacing w:after="0"/>
              <w:jc w:val="right"/>
              <w:rPr>
                <w:rFonts w:eastAsia="Calibri"/>
                <w:color w:val="000000"/>
                <w:sz w:val="18"/>
                <w:szCs w:val="18"/>
              </w:rPr>
            </w:pPr>
            <w:r w:rsidRPr="004E3690">
              <w:rPr>
                <w:color w:val="000000"/>
                <w:sz w:val="18"/>
                <w:szCs w:val="18"/>
              </w:rPr>
              <w:t>134 272 877,00</w:t>
            </w:r>
          </w:p>
        </w:tc>
      </w:tr>
      <w:tr w:rsidR="00B57597" w:rsidRPr="004E3690" w14:paraId="21E85CA2" w14:textId="77777777" w:rsidTr="00B57597">
        <w:trPr>
          <w:trHeight w:val="255"/>
        </w:trPr>
        <w:tc>
          <w:tcPr>
            <w:tcW w:w="982" w:type="pct"/>
            <w:tcBorders>
              <w:top w:val="nil"/>
              <w:left w:val="single" w:sz="4" w:space="0" w:color="auto"/>
              <w:bottom w:val="single" w:sz="4" w:space="0" w:color="auto"/>
              <w:right w:val="single" w:sz="4" w:space="0" w:color="auto"/>
            </w:tcBorders>
            <w:shd w:val="clear" w:color="auto" w:fill="auto"/>
            <w:noWrap/>
            <w:vAlign w:val="center"/>
            <w:hideMark/>
          </w:tcPr>
          <w:p w14:paraId="6719FC51" w14:textId="77777777" w:rsidR="00B57597" w:rsidRPr="004E3690" w:rsidRDefault="00B57597" w:rsidP="00A6331F">
            <w:pPr>
              <w:spacing w:after="0"/>
              <w:rPr>
                <w:rFonts w:cs="Calibri"/>
                <w:b/>
                <w:bCs/>
                <w:color w:val="000000"/>
                <w:sz w:val="18"/>
                <w:szCs w:val="18"/>
                <w:lang w:eastAsia="cs-CZ"/>
              </w:rPr>
            </w:pPr>
            <w:r w:rsidRPr="004E3690">
              <w:rPr>
                <w:b/>
                <w:bCs/>
                <w:color w:val="000000"/>
                <w:sz w:val="18"/>
                <w:szCs w:val="18"/>
              </w:rPr>
              <w:t>Rozpočet po změnách</w:t>
            </w:r>
          </w:p>
        </w:tc>
        <w:tc>
          <w:tcPr>
            <w:tcW w:w="803" w:type="pct"/>
            <w:tcBorders>
              <w:top w:val="nil"/>
              <w:left w:val="nil"/>
              <w:bottom w:val="single" w:sz="4" w:space="0" w:color="auto"/>
              <w:right w:val="single" w:sz="4" w:space="0" w:color="auto"/>
            </w:tcBorders>
            <w:shd w:val="clear" w:color="auto" w:fill="auto"/>
            <w:noWrap/>
            <w:vAlign w:val="center"/>
            <w:hideMark/>
          </w:tcPr>
          <w:p w14:paraId="6AF1A283" w14:textId="77777777" w:rsidR="00B57597" w:rsidRPr="004E3690" w:rsidRDefault="00B57597" w:rsidP="00A6331F">
            <w:pPr>
              <w:spacing w:after="0"/>
              <w:jc w:val="right"/>
              <w:rPr>
                <w:rFonts w:eastAsia="Calibri"/>
                <w:color w:val="000000"/>
                <w:sz w:val="18"/>
                <w:szCs w:val="18"/>
              </w:rPr>
            </w:pPr>
            <w:r w:rsidRPr="004E3690">
              <w:rPr>
                <w:color w:val="000000"/>
                <w:sz w:val="18"/>
                <w:szCs w:val="18"/>
              </w:rPr>
              <w:t>217 600 000,00</w:t>
            </w:r>
          </w:p>
        </w:tc>
        <w:tc>
          <w:tcPr>
            <w:tcW w:w="803" w:type="pct"/>
            <w:tcBorders>
              <w:top w:val="nil"/>
              <w:left w:val="nil"/>
              <w:bottom w:val="single" w:sz="4" w:space="0" w:color="auto"/>
              <w:right w:val="single" w:sz="4" w:space="0" w:color="auto"/>
            </w:tcBorders>
            <w:shd w:val="clear" w:color="auto" w:fill="auto"/>
            <w:noWrap/>
            <w:vAlign w:val="center"/>
            <w:hideMark/>
          </w:tcPr>
          <w:p w14:paraId="52F47BCB" w14:textId="77777777" w:rsidR="00B57597" w:rsidRPr="004E3690" w:rsidRDefault="00B57597" w:rsidP="00A6331F">
            <w:pPr>
              <w:spacing w:after="0"/>
              <w:jc w:val="right"/>
              <w:rPr>
                <w:rFonts w:eastAsia="Calibri"/>
                <w:color w:val="000000"/>
                <w:sz w:val="18"/>
                <w:szCs w:val="18"/>
              </w:rPr>
            </w:pPr>
            <w:r w:rsidRPr="004E3690">
              <w:rPr>
                <w:color w:val="000000"/>
                <w:sz w:val="18"/>
                <w:szCs w:val="18"/>
              </w:rPr>
              <w:t>224 000 000,00</w:t>
            </w:r>
          </w:p>
        </w:tc>
        <w:tc>
          <w:tcPr>
            <w:tcW w:w="803" w:type="pct"/>
            <w:tcBorders>
              <w:top w:val="nil"/>
              <w:left w:val="nil"/>
              <w:bottom w:val="single" w:sz="4" w:space="0" w:color="auto"/>
              <w:right w:val="single" w:sz="4" w:space="0" w:color="auto"/>
            </w:tcBorders>
            <w:shd w:val="clear" w:color="auto" w:fill="auto"/>
            <w:noWrap/>
            <w:vAlign w:val="center"/>
            <w:hideMark/>
          </w:tcPr>
          <w:p w14:paraId="083DEC7F" w14:textId="77777777" w:rsidR="00B57597" w:rsidRPr="004E3690" w:rsidRDefault="00B57597" w:rsidP="00A6331F">
            <w:pPr>
              <w:spacing w:after="0"/>
              <w:jc w:val="right"/>
              <w:rPr>
                <w:rFonts w:eastAsia="Calibri"/>
                <w:color w:val="000000"/>
                <w:sz w:val="18"/>
                <w:szCs w:val="18"/>
              </w:rPr>
            </w:pPr>
            <w:r w:rsidRPr="004E3690">
              <w:rPr>
                <w:color w:val="000000"/>
                <w:sz w:val="18"/>
                <w:szCs w:val="18"/>
              </w:rPr>
              <w:t>224 000 000,00</w:t>
            </w:r>
          </w:p>
        </w:tc>
        <w:tc>
          <w:tcPr>
            <w:tcW w:w="804" w:type="pct"/>
            <w:tcBorders>
              <w:top w:val="nil"/>
              <w:left w:val="nil"/>
              <w:bottom w:val="single" w:sz="4" w:space="0" w:color="auto"/>
              <w:right w:val="single" w:sz="4" w:space="0" w:color="auto"/>
            </w:tcBorders>
            <w:shd w:val="clear" w:color="auto" w:fill="auto"/>
            <w:noWrap/>
            <w:vAlign w:val="center"/>
            <w:hideMark/>
          </w:tcPr>
          <w:p w14:paraId="4AA67E22" w14:textId="77777777" w:rsidR="00B57597" w:rsidRPr="004E3690" w:rsidRDefault="00B57597" w:rsidP="00A6331F">
            <w:pPr>
              <w:spacing w:after="0"/>
              <w:jc w:val="right"/>
              <w:rPr>
                <w:rFonts w:eastAsia="Calibri"/>
                <w:color w:val="000000"/>
                <w:sz w:val="18"/>
                <w:szCs w:val="18"/>
              </w:rPr>
            </w:pPr>
            <w:r w:rsidRPr="004E3690">
              <w:rPr>
                <w:color w:val="000000"/>
                <w:sz w:val="18"/>
                <w:szCs w:val="18"/>
              </w:rPr>
              <w:t>132 561 581,00</w:t>
            </w:r>
          </w:p>
        </w:tc>
        <w:tc>
          <w:tcPr>
            <w:tcW w:w="804" w:type="pct"/>
            <w:tcBorders>
              <w:top w:val="nil"/>
              <w:left w:val="nil"/>
              <w:bottom w:val="single" w:sz="4" w:space="0" w:color="auto"/>
              <w:right w:val="single" w:sz="4" w:space="0" w:color="auto"/>
            </w:tcBorders>
            <w:vAlign w:val="center"/>
          </w:tcPr>
          <w:p w14:paraId="7041A874" w14:textId="77777777" w:rsidR="00B57597" w:rsidRPr="004E3690" w:rsidRDefault="00B57597" w:rsidP="00A6331F">
            <w:pPr>
              <w:spacing w:after="0"/>
              <w:jc w:val="right"/>
              <w:rPr>
                <w:rFonts w:eastAsia="Calibri"/>
                <w:color w:val="000000"/>
                <w:sz w:val="18"/>
                <w:szCs w:val="18"/>
              </w:rPr>
            </w:pPr>
            <w:r w:rsidRPr="004E3690">
              <w:rPr>
                <w:color w:val="000000"/>
                <w:sz w:val="18"/>
                <w:szCs w:val="18"/>
              </w:rPr>
              <w:t>127 272 877,00</w:t>
            </w:r>
          </w:p>
        </w:tc>
      </w:tr>
      <w:tr w:rsidR="00B57597" w:rsidRPr="004E3690" w14:paraId="769D71B2" w14:textId="77777777" w:rsidTr="00B57597">
        <w:trPr>
          <w:trHeight w:val="255"/>
        </w:trPr>
        <w:tc>
          <w:tcPr>
            <w:tcW w:w="982" w:type="pct"/>
            <w:tcBorders>
              <w:top w:val="nil"/>
              <w:left w:val="single" w:sz="4" w:space="0" w:color="auto"/>
              <w:bottom w:val="single" w:sz="4" w:space="0" w:color="auto"/>
              <w:right w:val="single" w:sz="4" w:space="0" w:color="auto"/>
            </w:tcBorders>
            <w:shd w:val="clear" w:color="auto" w:fill="auto"/>
            <w:noWrap/>
            <w:vAlign w:val="center"/>
            <w:hideMark/>
          </w:tcPr>
          <w:p w14:paraId="6A367B4E" w14:textId="77777777" w:rsidR="00B57597" w:rsidRPr="004E3690" w:rsidRDefault="00B57597" w:rsidP="00A6331F">
            <w:pPr>
              <w:spacing w:after="0"/>
              <w:rPr>
                <w:rFonts w:cs="Calibri"/>
                <w:b/>
                <w:bCs/>
                <w:color w:val="000000"/>
                <w:sz w:val="18"/>
                <w:szCs w:val="18"/>
                <w:lang w:eastAsia="cs-CZ"/>
              </w:rPr>
            </w:pPr>
            <w:r w:rsidRPr="004E3690">
              <w:rPr>
                <w:b/>
                <w:bCs/>
                <w:color w:val="000000"/>
                <w:sz w:val="18"/>
                <w:szCs w:val="18"/>
              </w:rPr>
              <w:t>Skutečnost</w:t>
            </w:r>
          </w:p>
        </w:tc>
        <w:tc>
          <w:tcPr>
            <w:tcW w:w="803" w:type="pct"/>
            <w:tcBorders>
              <w:top w:val="nil"/>
              <w:left w:val="nil"/>
              <w:bottom w:val="single" w:sz="4" w:space="0" w:color="auto"/>
              <w:right w:val="single" w:sz="4" w:space="0" w:color="auto"/>
            </w:tcBorders>
            <w:shd w:val="clear" w:color="auto" w:fill="auto"/>
            <w:noWrap/>
            <w:vAlign w:val="center"/>
          </w:tcPr>
          <w:p w14:paraId="472551FA" w14:textId="77777777" w:rsidR="00B57597" w:rsidRPr="004E3690" w:rsidRDefault="00B57597" w:rsidP="00A6331F">
            <w:pPr>
              <w:spacing w:after="0"/>
              <w:jc w:val="right"/>
              <w:rPr>
                <w:rFonts w:eastAsia="Calibri"/>
                <w:color w:val="000000"/>
                <w:sz w:val="18"/>
                <w:szCs w:val="18"/>
              </w:rPr>
            </w:pPr>
            <w:r w:rsidRPr="004E3690">
              <w:rPr>
                <w:color w:val="000000"/>
                <w:sz w:val="18"/>
                <w:szCs w:val="18"/>
              </w:rPr>
              <w:t>304 355 828,74</w:t>
            </w:r>
          </w:p>
        </w:tc>
        <w:tc>
          <w:tcPr>
            <w:tcW w:w="803" w:type="pct"/>
            <w:tcBorders>
              <w:top w:val="nil"/>
              <w:left w:val="nil"/>
              <w:bottom w:val="single" w:sz="4" w:space="0" w:color="auto"/>
              <w:right w:val="single" w:sz="4" w:space="0" w:color="auto"/>
            </w:tcBorders>
            <w:shd w:val="clear" w:color="auto" w:fill="auto"/>
            <w:noWrap/>
            <w:vAlign w:val="center"/>
          </w:tcPr>
          <w:p w14:paraId="7DC6BA36" w14:textId="77777777" w:rsidR="00B57597" w:rsidRPr="004E3690" w:rsidRDefault="00B57597" w:rsidP="00A6331F">
            <w:pPr>
              <w:spacing w:after="0"/>
              <w:jc w:val="right"/>
              <w:rPr>
                <w:rFonts w:eastAsia="Calibri"/>
                <w:color w:val="000000"/>
                <w:sz w:val="18"/>
                <w:szCs w:val="18"/>
              </w:rPr>
            </w:pPr>
            <w:r w:rsidRPr="004E3690">
              <w:rPr>
                <w:color w:val="000000"/>
                <w:sz w:val="18"/>
                <w:szCs w:val="18"/>
              </w:rPr>
              <w:t>284 511 872,52</w:t>
            </w:r>
          </w:p>
        </w:tc>
        <w:tc>
          <w:tcPr>
            <w:tcW w:w="803" w:type="pct"/>
            <w:tcBorders>
              <w:top w:val="nil"/>
              <w:left w:val="nil"/>
              <w:bottom w:val="single" w:sz="4" w:space="0" w:color="auto"/>
              <w:right w:val="single" w:sz="4" w:space="0" w:color="auto"/>
            </w:tcBorders>
            <w:shd w:val="clear" w:color="auto" w:fill="auto"/>
            <w:noWrap/>
            <w:vAlign w:val="center"/>
          </w:tcPr>
          <w:p w14:paraId="4BE29404" w14:textId="77777777" w:rsidR="00B57597" w:rsidRPr="004E3690" w:rsidRDefault="00B57597" w:rsidP="00A6331F">
            <w:pPr>
              <w:spacing w:after="0"/>
              <w:jc w:val="right"/>
              <w:rPr>
                <w:rFonts w:eastAsia="Calibri"/>
                <w:color w:val="000000"/>
                <w:sz w:val="18"/>
                <w:szCs w:val="18"/>
              </w:rPr>
            </w:pPr>
            <w:r w:rsidRPr="004E3690">
              <w:rPr>
                <w:color w:val="000000"/>
                <w:sz w:val="18"/>
                <w:szCs w:val="18"/>
              </w:rPr>
              <w:t>232 932 091,46</w:t>
            </w:r>
          </w:p>
        </w:tc>
        <w:tc>
          <w:tcPr>
            <w:tcW w:w="804" w:type="pct"/>
            <w:tcBorders>
              <w:top w:val="nil"/>
              <w:left w:val="nil"/>
              <w:bottom w:val="single" w:sz="4" w:space="0" w:color="auto"/>
              <w:right w:val="single" w:sz="4" w:space="0" w:color="auto"/>
            </w:tcBorders>
            <w:shd w:val="clear" w:color="auto" w:fill="auto"/>
            <w:noWrap/>
            <w:vAlign w:val="center"/>
          </w:tcPr>
          <w:p w14:paraId="4E553498" w14:textId="77777777" w:rsidR="00B57597" w:rsidRPr="004E3690" w:rsidRDefault="00B57597" w:rsidP="00A6331F">
            <w:pPr>
              <w:spacing w:after="0"/>
              <w:jc w:val="right"/>
              <w:rPr>
                <w:rFonts w:eastAsia="Calibri"/>
                <w:color w:val="000000"/>
                <w:sz w:val="18"/>
                <w:szCs w:val="18"/>
              </w:rPr>
            </w:pPr>
            <w:r w:rsidRPr="004E3690">
              <w:rPr>
                <w:color w:val="000000"/>
                <w:sz w:val="18"/>
                <w:szCs w:val="18"/>
              </w:rPr>
              <w:t>215 750 179,75</w:t>
            </w:r>
          </w:p>
        </w:tc>
        <w:tc>
          <w:tcPr>
            <w:tcW w:w="804" w:type="pct"/>
            <w:tcBorders>
              <w:top w:val="nil"/>
              <w:left w:val="nil"/>
              <w:bottom w:val="single" w:sz="4" w:space="0" w:color="auto"/>
              <w:right w:val="single" w:sz="4" w:space="0" w:color="auto"/>
            </w:tcBorders>
            <w:vAlign w:val="center"/>
          </w:tcPr>
          <w:p w14:paraId="35CF8E93" w14:textId="77777777" w:rsidR="00B57597" w:rsidRPr="004E3690" w:rsidRDefault="00B57597" w:rsidP="00A6331F">
            <w:pPr>
              <w:spacing w:after="0"/>
              <w:jc w:val="right"/>
              <w:rPr>
                <w:rFonts w:eastAsia="Calibri" w:cs="Calibri"/>
                <w:color w:val="000000"/>
                <w:sz w:val="18"/>
                <w:szCs w:val="18"/>
              </w:rPr>
            </w:pPr>
            <w:r w:rsidRPr="004E3690">
              <w:rPr>
                <w:color w:val="000000"/>
                <w:sz w:val="18"/>
                <w:szCs w:val="18"/>
              </w:rPr>
              <w:t>160 416 696,43</w:t>
            </w:r>
          </w:p>
        </w:tc>
      </w:tr>
    </w:tbl>
    <w:p w14:paraId="111FA0C5" w14:textId="77777777" w:rsidR="00B57597" w:rsidRPr="007D36E3" w:rsidRDefault="00B57597" w:rsidP="00B57597">
      <w:pPr>
        <w:spacing w:before="40"/>
        <w:rPr>
          <w:rFonts w:cs="Calibri"/>
          <w:color w:val="000000"/>
          <w:sz w:val="20"/>
          <w:szCs w:val="20"/>
          <w:lang w:eastAsia="cs-CZ"/>
        </w:rPr>
      </w:pPr>
      <w:bookmarkStart w:id="17" w:name="_Toc520714925"/>
      <w:r w:rsidRPr="007D36E3">
        <w:rPr>
          <w:rFonts w:cs="Calibri"/>
          <w:b/>
          <w:color w:val="000000"/>
          <w:sz w:val="20"/>
          <w:szCs w:val="20"/>
          <w:lang w:eastAsia="cs-CZ"/>
        </w:rPr>
        <w:t xml:space="preserve">Zdroj: </w:t>
      </w:r>
      <w:r w:rsidRPr="007D36E3">
        <w:rPr>
          <w:rFonts w:cs="Calibri"/>
          <w:color w:val="000000"/>
          <w:sz w:val="20"/>
          <w:szCs w:val="20"/>
          <w:lang w:eastAsia="cs-CZ"/>
        </w:rPr>
        <w:t>informační portál MONITOR.</w:t>
      </w:r>
    </w:p>
    <w:bookmarkEnd w:id="17"/>
    <w:p w14:paraId="6873D0CE" w14:textId="77777777" w:rsidR="00B57597" w:rsidRPr="004E3690" w:rsidRDefault="00B57597" w:rsidP="00B57597">
      <w:pPr>
        <w:jc w:val="both"/>
        <w:rPr>
          <w:rFonts w:eastAsia="Calibri" w:cs="Calibri"/>
          <w:szCs w:val="22"/>
        </w:rPr>
      </w:pPr>
      <w:r w:rsidRPr="004E3690">
        <w:rPr>
          <w:rFonts w:eastAsia="Calibri" w:cs="Calibri"/>
          <w:szCs w:val="22"/>
        </w:rPr>
        <w:t>Ve sledovaném období došlo u ostatních OSS (mimo MPO) pouze v letech 2019 a 2020 k úpravám schváleného rozpočtu příjmů, a to v řádu jednotek procent. V celém sledovaném období vykazují skutečné příjmy klesající tendenci, přičemž mezi roky 2016 a 2020 došlo k jejich poklesu o 143,94 mil. Kč, tj. 47,29 %.</w:t>
      </w:r>
    </w:p>
    <w:p w14:paraId="2D498A54" w14:textId="46E9141A" w:rsidR="00B57597" w:rsidRPr="004E3690" w:rsidRDefault="00B57597" w:rsidP="00B57597">
      <w:pPr>
        <w:jc w:val="both"/>
        <w:rPr>
          <w:rFonts w:eastAsia="Calibri" w:cs="Calibri"/>
          <w:szCs w:val="22"/>
        </w:rPr>
      </w:pPr>
      <w:r w:rsidRPr="004E3690">
        <w:rPr>
          <w:rFonts w:eastAsia="Calibri" w:cs="Calibri"/>
          <w:szCs w:val="22"/>
        </w:rPr>
        <w:t>Nejvyšších skutečných příjmů v roce 2020 dosáhla OSS ČÚZZS</w:t>
      </w:r>
      <w:r>
        <w:rPr>
          <w:rFonts w:eastAsia="Calibri" w:cs="Calibri"/>
          <w:szCs w:val="22"/>
        </w:rPr>
        <w:t xml:space="preserve"> (62,52 mil. Kč) a OSS ČOI (61, </w:t>
      </w:r>
      <w:r w:rsidRPr="004E3690">
        <w:rPr>
          <w:rFonts w:eastAsia="Calibri" w:cs="Calibri"/>
          <w:szCs w:val="22"/>
        </w:rPr>
        <w:t>65</w:t>
      </w:r>
      <w:r w:rsidR="00DD79C6">
        <w:rPr>
          <w:rFonts w:eastAsia="Calibri" w:cs="Calibri"/>
          <w:szCs w:val="22"/>
        </w:rPr>
        <w:t> </w:t>
      </w:r>
      <w:r w:rsidRPr="004E3690">
        <w:rPr>
          <w:rFonts w:eastAsia="Calibri" w:cs="Calibri"/>
          <w:szCs w:val="22"/>
        </w:rPr>
        <w:t>mil.</w:t>
      </w:r>
      <w:r w:rsidR="00DD79C6">
        <w:rPr>
          <w:rFonts w:eastAsia="Calibri" w:cs="Calibri"/>
          <w:szCs w:val="22"/>
        </w:rPr>
        <w:t> </w:t>
      </w:r>
      <w:r w:rsidRPr="004E3690">
        <w:rPr>
          <w:rFonts w:eastAsia="Calibri" w:cs="Calibri"/>
          <w:szCs w:val="22"/>
        </w:rPr>
        <w:t>Kč). Nejnižších příjmů v kapitole dosáhla OSS SÚRAO, která v roce 2020 nevykázala žádné příjmy.</w:t>
      </w:r>
    </w:p>
    <w:p w14:paraId="794C81DE" w14:textId="77777777" w:rsidR="00B57597" w:rsidRPr="00B567F4" w:rsidRDefault="00B57597" w:rsidP="00B57597">
      <w:pPr>
        <w:rPr>
          <w:rFonts w:eastAsia="Calibri"/>
          <w:szCs w:val="22"/>
          <w:highlight w:val="yellow"/>
        </w:rPr>
      </w:pPr>
    </w:p>
    <w:p w14:paraId="071F1B30" w14:textId="77777777" w:rsidR="00B57597" w:rsidRPr="004E3690" w:rsidRDefault="00B57597" w:rsidP="00B57597">
      <w:pPr>
        <w:pStyle w:val="Nadpis2"/>
        <w:numPr>
          <w:ilvl w:val="0"/>
          <w:numId w:val="0"/>
        </w:numPr>
        <w:ind w:left="576" w:hanging="576"/>
        <w:jc w:val="center"/>
      </w:pPr>
      <w:bookmarkStart w:id="18" w:name="_Toc519242398"/>
      <w:bookmarkStart w:id="19" w:name="_Toc17204902"/>
      <w:bookmarkStart w:id="20" w:name="_Toc71514618"/>
      <w:r w:rsidRPr="004E3690">
        <w:t>Oddíl II. Výdaje v rozpoč</w:t>
      </w:r>
      <w:r>
        <w:t>tové kapitole 322 v letech 2016–</w:t>
      </w:r>
      <w:r w:rsidRPr="004E3690">
        <w:t>20</w:t>
      </w:r>
      <w:bookmarkEnd w:id="18"/>
      <w:bookmarkEnd w:id="19"/>
      <w:r w:rsidRPr="004E3690">
        <w:t>20</w:t>
      </w:r>
      <w:bookmarkEnd w:id="20"/>
    </w:p>
    <w:p w14:paraId="4F62A587" w14:textId="23199779" w:rsidR="00B57597" w:rsidRPr="0008695C" w:rsidRDefault="00B57597" w:rsidP="00B57597">
      <w:pPr>
        <w:pStyle w:val="Titulek1"/>
        <w:rPr>
          <w:sz w:val="24"/>
        </w:rPr>
      </w:pPr>
      <w:bookmarkStart w:id="21" w:name="_Toc520714314"/>
      <w:bookmarkStart w:id="22" w:name="_Toc8984521"/>
      <w:bookmarkStart w:id="23" w:name="_Toc72157460"/>
      <w:r w:rsidRPr="0008695C">
        <w:rPr>
          <w:sz w:val="24"/>
        </w:rPr>
        <w:t xml:space="preserve">Tabulka č. </w:t>
      </w:r>
      <w:r w:rsidR="001529C4" w:rsidRPr="0008695C">
        <w:rPr>
          <w:sz w:val="24"/>
        </w:rPr>
        <w:fldChar w:fldCharType="begin"/>
      </w:r>
      <w:r w:rsidR="001529C4" w:rsidRPr="0008695C">
        <w:rPr>
          <w:sz w:val="24"/>
        </w:rPr>
        <w:instrText xml:space="preserve"> SEQ Tabulka \* ARABIC </w:instrText>
      </w:r>
      <w:r w:rsidR="001529C4" w:rsidRPr="0008695C">
        <w:rPr>
          <w:sz w:val="24"/>
        </w:rPr>
        <w:fldChar w:fldCharType="separate"/>
      </w:r>
      <w:r w:rsidR="00E544AA">
        <w:rPr>
          <w:noProof/>
          <w:sz w:val="24"/>
        </w:rPr>
        <w:t>5</w:t>
      </w:r>
      <w:r w:rsidR="001529C4" w:rsidRPr="0008695C">
        <w:rPr>
          <w:noProof/>
          <w:sz w:val="24"/>
        </w:rPr>
        <w:fldChar w:fldCharType="end"/>
      </w:r>
      <w:r w:rsidRPr="0008695C">
        <w:rPr>
          <w:sz w:val="24"/>
        </w:rPr>
        <w:t>: Výdaje rozpočtové kapitoly 322 (v Kč)</w:t>
      </w:r>
      <w:bookmarkEnd w:id="21"/>
      <w:bookmarkEnd w:id="22"/>
      <w:bookmarkEnd w:id="23"/>
    </w:p>
    <w:tbl>
      <w:tblPr>
        <w:tblW w:w="4972" w:type="pct"/>
        <w:tblCellMar>
          <w:left w:w="70" w:type="dxa"/>
          <w:right w:w="70" w:type="dxa"/>
        </w:tblCellMar>
        <w:tblLook w:val="04A0" w:firstRow="1" w:lastRow="0" w:firstColumn="1" w:lastColumn="0" w:noHBand="0" w:noVBand="1"/>
      </w:tblPr>
      <w:tblGrid>
        <w:gridCol w:w="1778"/>
        <w:gridCol w:w="1447"/>
        <w:gridCol w:w="1447"/>
        <w:gridCol w:w="1447"/>
        <w:gridCol w:w="1447"/>
        <w:gridCol w:w="1443"/>
      </w:tblGrid>
      <w:tr w:rsidR="00B57597" w:rsidRPr="004E3690" w14:paraId="75CC745D" w14:textId="77777777" w:rsidTr="006C69DB">
        <w:trPr>
          <w:trHeight w:val="255"/>
        </w:trPr>
        <w:tc>
          <w:tcPr>
            <w:tcW w:w="987"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16750283" w14:textId="77777777" w:rsidR="00B57597" w:rsidRPr="004E3690" w:rsidRDefault="00B57597" w:rsidP="006C69DB">
            <w:pPr>
              <w:spacing w:after="0"/>
              <w:rPr>
                <w:rFonts w:cs="Calibri"/>
                <w:b/>
                <w:bCs/>
                <w:color w:val="000000"/>
                <w:sz w:val="18"/>
                <w:szCs w:val="18"/>
                <w:lang w:eastAsia="cs-CZ"/>
              </w:rPr>
            </w:pPr>
            <w:r w:rsidRPr="004E3690">
              <w:rPr>
                <w:b/>
                <w:bCs/>
                <w:color w:val="000000"/>
                <w:sz w:val="18"/>
                <w:szCs w:val="18"/>
              </w:rPr>
              <w:t>Rozpočet</w:t>
            </w:r>
          </w:p>
        </w:tc>
        <w:tc>
          <w:tcPr>
            <w:tcW w:w="803" w:type="pct"/>
            <w:tcBorders>
              <w:top w:val="single" w:sz="4" w:space="0" w:color="auto"/>
              <w:left w:val="nil"/>
              <w:bottom w:val="single" w:sz="4" w:space="0" w:color="auto"/>
              <w:right w:val="single" w:sz="4" w:space="0" w:color="auto"/>
            </w:tcBorders>
            <w:shd w:val="clear" w:color="auto" w:fill="E5F1FF"/>
            <w:noWrap/>
            <w:vAlign w:val="center"/>
            <w:hideMark/>
          </w:tcPr>
          <w:p w14:paraId="21EE2698" w14:textId="77777777" w:rsidR="00B57597" w:rsidRPr="004E3690" w:rsidRDefault="00B57597" w:rsidP="006C69DB">
            <w:pPr>
              <w:spacing w:after="0"/>
              <w:jc w:val="center"/>
              <w:rPr>
                <w:rFonts w:cs="Calibri"/>
                <w:b/>
                <w:bCs/>
                <w:color w:val="000000"/>
                <w:sz w:val="18"/>
                <w:szCs w:val="18"/>
                <w:lang w:eastAsia="cs-CZ"/>
              </w:rPr>
            </w:pPr>
            <w:r w:rsidRPr="004E3690">
              <w:rPr>
                <w:b/>
                <w:bCs/>
                <w:color w:val="000000"/>
                <w:sz w:val="18"/>
                <w:szCs w:val="18"/>
              </w:rPr>
              <w:t>2016</w:t>
            </w:r>
          </w:p>
        </w:tc>
        <w:tc>
          <w:tcPr>
            <w:tcW w:w="803" w:type="pct"/>
            <w:tcBorders>
              <w:top w:val="single" w:sz="4" w:space="0" w:color="auto"/>
              <w:left w:val="nil"/>
              <w:bottom w:val="single" w:sz="4" w:space="0" w:color="auto"/>
              <w:right w:val="single" w:sz="4" w:space="0" w:color="auto"/>
            </w:tcBorders>
            <w:shd w:val="clear" w:color="auto" w:fill="E5F1FF"/>
            <w:noWrap/>
            <w:vAlign w:val="center"/>
            <w:hideMark/>
          </w:tcPr>
          <w:p w14:paraId="484B683D" w14:textId="77777777" w:rsidR="00B57597" w:rsidRPr="004E3690" w:rsidRDefault="00B57597" w:rsidP="006C69DB">
            <w:pPr>
              <w:spacing w:after="0"/>
              <w:jc w:val="center"/>
              <w:rPr>
                <w:rFonts w:cs="Calibri"/>
                <w:b/>
                <w:bCs/>
                <w:color w:val="000000"/>
                <w:sz w:val="18"/>
                <w:szCs w:val="18"/>
                <w:lang w:eastAsia="cs-CZ"/>
              </w:rPr>
            </w:pPr>
            <w:r w:rsidRPr="004E3690">
              <w:rPr>
                <w:b/>
                <w:bCs/>
                <w:color w:val="000000"/>
                <w:sz w:val="18"/>
                <w:szCs w:val="18"/>
              </w:rPr>
              <w:t>2017</w:t>
            </w:r>
          </w:p>
        </w:tc>
        <w:tc>
          <w:tcPr>
            <w:tcW w:w="803" w:type="pct"/>
            <w:tcBorders>
              <w:top w:val="single" w:sz="4" w:space="0" w:color="auto"/>
              <w:left w:val="nil"/>
              <w:bottom w:val="single" w:sz="4" w:space="0" w:color="auto"/>
              <w:right w:val="single" w:sz="4" w:space="0" w:color="auto"/>
            </w:tcBorders>
            <w:shd w:val="clear" w:color="auto" w:fill="E5F1FF"/>
            <w:noWrap/>
            <w:vAlign w:val="center"/>
            <w:hideMark/>
          </w:tcPr>
          <w:p w14:paraId="0FEACFE5" w14:textId="77777777" w:rsidR="00B57597" w:rsidRPr="004E3690" w:rsidRDefault="00B57597" w:rsidP="006C69DB">
            <w:pPr>
              <w:spacing w:after="0"/>
              <w:jc w:val="center"/>
              <w:rPr>
                <w:rFonts w:cs="Calibri"/>
                <w:b/>
                <w:bCs/>
                <w:color w:val="000000"/>
                <w:sz w:val="18"/>
                <w:szCs w:val="18"/>
                <w:lang w:eastAsia="cs-CZ"/>
              </w:rPr>
            </w:pPr>
            <w:r w:rsidRPr="004E3690">
              <w:rPr>
                <w:b/>
                <w:bCs/>
                <w:color w:val="000000"/>
                <w:sz w:val="18"/>
                <w:szCs w:val="18"/>
              </w:rPr>
              <w:t>2018</w:t>
            </w:r>
          </w:p>
        </w:tc>
        <w:tc>
          <w:tcPr>
            <w:tcW w:w="803" w:type="pct"/>
            <w:tcBorders>
              <w:top w:val="single" w:sz="4" w:space="0" w:color="auto"/>
              <w:left w:val="nil"/>
              <w:bottom w:val="single" w:sz="4" w:space="0" w:color="auto"/>
              <w:right w:val="single" w:sz="4" w:space="0" w:color="auto"/>
            </w:tcBorders>
            <w:shd w:val="clear" w:color="auto" w:fill="E5F1FF"/>
            <w:noWrap/>
            <w:vAlign w:val="center"/>
            <w:hideMark/>
          </w:tcPr>
          <w:p w14:paraId="3E362E9A" w14:textId="77777777" w:rsidR="00B57597" w:rsidRPr="004E3690" w:rsidRDefault="00B57597" w:rsidP="006C69DB">
            <w:pPr>
              <w:spacing w:after="0"/>
              <w:jc w:val="center"/>
              <w:rPr>
                <w:rFonts w:cs="Calibri"/>
                <w:b/>
                <w:bCs/>
                <w:color w:val="000000"/>
                <w:sz w:val="18"/>
                <w:szCs w:val="18"/>
                <w:lang w:eastAsia="cs-CZ"/>
              </w:rPr>
            </w:pPr>
            <w:r w:rsidRPr="004E3690">
              <w:rPr>
                <w:b/>
                <w:bCs/>
                <w:color w:val="000000"/>
                <w:sz w:val="18"/>
                <w:szCs w:val="18"/>
              </w:rPr>
              <w:t>2019</w:t>
            </w:r>
          </w:p>
        </w:tc>
        <w:tc>
          <w:tcPr>
            <w:tcW w:w="803" w:type="pct"/>
            <w:tcBorders>
              <w:top w:val="single" w:sz="4" w:space="0" w:color="auto"/>
              <w:left w:val="nil"/>
              <w:bottom w:val="single" w:sz="4" w:space="0" w:color="auto"/>
              <w:right w:val="single" w:sz="4" w:space="0" w:color="auto"/>
            </w:tcBorders>
            <w:shd w:val="clear" w:color="auto" w:fill="E5F1FF"/>
            <w:vAlign w:val="center"/>
          </w:tcPr>
          <w:p w14:paraId="3FA69C71" w14:textId="77777777" w:rsidR="00B57597" w:rsidRPr="004E3690" w:rsidRDefault="00B57597" w:rsidP="006C69DB">
            <w:pPr>
              <w:spacing w:after="0"/>
              <w:jc w:val="center"/>
              <w:rPr>
                <w:rFonts w:cs="Calibri"/>
                <w:b/>
                <w:bCs/>
                <w:color w:val="000000"/>
                <w:sz w:val="18"/>
                <w:szCs w:val="18"/>
                <w:lang w:eastAsia="cs-CZ"/>
              </w:rPr>
            </w:pPr>
            <w:r w:rsidRPr="004E3690">
              <w:rPr>
                <w:b/>
                <w:bCs/>
                <w:color w:val="000000"/>
                <w:sz w:val="18"/>
                <w:szCs w:val="18"/>
              </w:rPr>
              <w:t>2020</w:t>
            </w:r>
          </w:p>
        </w:tc>
      </w:tr>
      <w:tr w:rsidR="00B57597" w:rsidRPr="004E3690" w14:paraId="53594909" w14:textId="77777777" w:rsidTr="006C69DB">
        <w:trPr>
          <w:trHeight w:val="255"/>
        </w:trPr>
        <w:tc>
          <w:tcPr>
            <w:tcW w:w="987" w:type="pct"/>
            <w:tcBorders>
              <w:top w:val="nil"/>
              <w:left w:val="single" w:sz="4" w:space="0" w:color="auto"/>
              <w:bottom w:val="single" w:sz="4" w:space="0" w:color="auto"/>
              <w:right w:val="single" w:sz="4" w:space="0" w:color="auto"/>
            </w:tcBorders>
            <w:shd w:val="clear" w:color="auto" w:fill="auto"/>
            <w:noWrap/>
            <w:vAlign w:val="center"/>
            <w:hideMark/>
          </w:tcPr>
          <w:p w14:paraId="3F990168" w14:textId="77777777" w:rsidR="00B57597" w:rsidRPr="004E3690" w:rsidRDefault="00B57597" w:rsidP="006C69DB">
            <w:pPr>
              <w:spacing w:after="0"/>
              <w:rPr>
                <w:rFonts w:cs="Calibri"/>
                <w:b/>
                <w:bCs/>
                <w:color w:val="000000"/>
                <w:sz w:val="18"/>
                <w:szCs w:val="18"/>
                <w:lang w:eastAsia="cs-CZ"/>
              </w:rPr>
            </w:pPr>
            <w:r w:rsidRPr="004E3690">
              <w:rPr>
                <w:b/>
                <w:bCs/>
                <w:color w:val="000000"/>
                <w:sz w:val="18"/>
                <w:szCs w:val="18"/>
              </w:rPr>
              <w:t>Schválený rozpočet</w:t>
            </w:r>
          </w:p>
        </w:tc>
        <w:tc>
          <w:tcPr>
            <w:tcW w:w="803" w:type="pct"/>
            <w:tcBorders>
              <w:top w:val="nil"/>
              <w:left w:val="nil"/>
              <w:bottom w:val="single" w:sz="4" w:space="0" w:color="auto"/>
              <w:right w:val="single" w:sz="4" w:space="0" w:color="auto"/>
            </w:tcBorders>
            <w:shd w:val="clear" w:color="auto" w:fill="auto"/>
            <w:noWrap/>
            <w:vAlign w:val="center"/>
          </w:tcPr>
          <w:p w14:paraId="6BD7C2BA" w14:textId="77777777" w:rsidR="00B57597" w:rsidRPr="006C69DB" w:rsidRDefault="00B57597" w:rsidP="006C69DB">
            <w:pPr>
              <w:spacing w:after="0"/>
              <w:jc w:val="right"/>
              <w:rPr>
                <w:rFonts w:eastAsia="Calibri"/>
                <w:color w:val="000000"/>
                <w:sz w:val="17"/>
                <w:szCs w:val="17"/>
              </w:rPr>
            </w:pPr>
            <w:r w:rsidRPr="006C69DB">
              <w:rPr>
                <w:color w:val="000000"/>
                <w:sz w:val="17"/>
                <w:szCs w:val="17"/>
              </w:rPr>
              <w:t>40 240 865 364,00</w:t>
            </w:r>
          </w:p>
        </w:tc>
        <w:tc>
          <w:tcPr>
            <w:tcW w:w="803" w:type="pct"/>
            <w:tcBorders>
              <w:top w:val="nil"/>
              <w:left w:val="nil"/>
              <w:bottom w:val="single" w:sz="4" w:space="0" w:color="auto"/>
              <w:right w:val="single" w:sz="4" w:space="0" w:color="auto"/>
            </w:tcBorders>
            <w:shd w:val="clear" w:color="auto" w:fill="auto"/>
            <w:noWrap/>
            <w:vAlign w:val="center"/>
          </w:tcPr>
          <w:p w14:paraId="4F565281" w14:textId="77777777" w:rsidR="00B57597" w:rsidRPr="006C69DB" w:rsidRDefault="00B57597" w:rsidP="006C69DB">
            <w:pPr>
              <w:spacing w:after="0"/>
              <w:jc w:val="right"/>
              <w:rPr>
                <w:rFonts w:eastAsia="Calibri"/>
                <w:color w:val="000000"/>
                <w:sz w:val="17"/>
                <w:szCs w:val="17"/>
              </w:rPr>
            </w:pPr>
            <w:r w:rsidRPr="006C69DB">
              <w:rPr>
                <w:color w:val="000000"/>
                <w:sz w:val="17"/>
                <w:szCs w:val="17"/>
              </w:rPr>
              <w:t>38 348 684 259,00</w:t>
            </w:r>
          </w:p>
        </w:tc>
        <w:tc>
          <w:tcPr>
            <w:tcW w:w="803" w:type="pct"/>
            <w:tcBorders>
              <w:top w:val="nil"/>
              <w:left w:val="nil"/>
              <w:bottom w:val="single" w:sz="4" w:space="0" w:color="auto"/>
              <w:right w:val="single" w:sz="4" w:space="0" w:color="auto"/>
            </w:tcBorders>
            <w:shd w:val="clear" w:color="auto" w:fill="auto"/>
            <w:noWrap/>
            <w:vAlign w:val="center"/>
          </w:tcPr>
          <w:p w14:paraId="3DA7FF4C" w14:textId="77777777" w:rsidR="00B57597" w:rsidRPr="006C69DB" w:rsidRDefault="00B57597" w:rsidP="006C69DB">
            <w:pPr>
              <w:spacing w:after="0"/>
              <w:jc w:val="right"/>
              <w:rPr>
                <w:rFonts w:eastAsia="Calibri"/>
                <w:color w:val="000000"/>
                <w:sz w:val="17"/>
                <w:szCs w:val="17"/>
              </w:rPr>
            </w:pPr>
            <w:r w:rsidRPr="006C69DB">
              <w:rPr>
                <w:color w:val="000000"/>
                <w:sz w:val="17"/>
                <w:szCs w:val="17"/>
              </w:rPr>
              <w:t>37 581 728 636,00</w:t>
            </w:r>
          </w:p>
        </w:tc>
        <w:tc>
          <w:tcPr>
            <w:tcW w:w="803" w:type="pct"/>
            <w:tcBorders>
              <w:top w:val="nil"/>
              <w:left w:val="nil"/>
              <w:bottom w:val="single" w:sz="4" w:space="0" w:color="auto"/>
              <w:right w:val="single" w:sz="4" w:space="0" w:color="auto"/>
            </w:tcBorders>
            <w:shd w:val="clear" w:color="auto" w:fill="auto"/>
            <w:noWrap/>
            <w:vAlign w:val="center"/>
          </w:tcPr>
          <w:p w14:paraId="70F9D7AE" w14:textId="77777777" w:rsidR="00B57597" w:rsidRPr="006C69DB" w:rsidRDefault="00B57597" w:rsidP="006C69DB">
            <w:pPr>
              <w:spacing w:after="0"/>
              <w:jc w:val="right"/>
              <w:rPr>
                <w:rFonts w:eastAsia="Calibri"/>
                <w:color w:val="000000"/>
                <w:sz w:val="17"/>
                <w:szCs w:val="17"/>
              </w:rPr>
            </w:pPr>
            <w:r w:rsidRPr="006C69DB">
              <w:rPr>
                <w:color w:val="000000"/>
                <w:sz w:val="17"/>
                <w:szCs w:val="17"/>
              </w:rPr>
              <w:t>39 596 672 278,00</w:t>
            </w:r>
          </w:p>
        </w:tc>
        <w:tc>
          <w:tcPr>
            <w:tcW w:w="803" w:type="pct"/>
            <w:tcBorders>
              <w:top w:val="nil"/>
              <w:left w:val="nil"/>
              <w:bottom w:val="single" w:sz="4" w:space="0" w:color="auto"/>
              <w:right w:val="single" w:sz="4" w:space="0" w:color="auto"/>
            </w:tcBorders>
            <w:vAlign w:val="center"/>
          </w:tcPr>
          <w:p w14:paraId="3BD41C95" w14:textId="77777777" w:rsidR="00B57597" w:rsidRPr="006C69DB" w:rsidRDefault="00B57597" w:rsidP="006C69DB">
            <w:pPr>
              <w:spacing w:after="0"/>
              <w:jc w:val="right"/>
              <w:rPr>
                <w:rFonts w:eastAsia="Calibri"/>
                <w:color w:val="000000"/>
                <w:sz w:val="17"/>
                <w:szCs w:val="17"/>
              </w:rPr>
            </w:pPr>
            <w:r w:rsidRPr="006C69DB">
              <w:rPr>
                <w:color w:val="000000"/>
                <w:sz w:val="17"/>
                <w:szCs w:val="17"/>
              </w:rPr>
              <w:t>49 104 100 259,00</w:t>
            </w:r>
          </w:p>
        </w:tc>
      </w:tr>
      <w:tr w:rsidR="00B57597" w:rsidRPr="004E3690" w14:paraId="33316E21" w14:textId="77777777" w:rsidTr="006C69DB">
        <w:trPr>
          <w:trHeight w:val="255"/>
        </w:trPr>
        <w:tc>
          <w:tcPr>
            <w:tcW w:w="987" w:type="pct"/>
            <w:tcBorders>
              <w:top w:val="nil"/>
              <w:left w:val="single" w:sz="4" w:space="0" w:color="auto"/>
              <w:bottom w:val="single" w:sz="4" w:space="0" w:color="auto"/>
              <w:right w:val="single" w:sz="4" w:space="0" w:color="auto"/>
            </w:tcBorders>
            <w:shd w:val="clear" w:color="auto" w:fill="auto"/>
            <w:noWrap/>
            <w:vAlign w:val="center"/>
            <w:hideMark/>
          </w:tcPr>
          <w:p w14:paraId="2353ADFF" w14:textId="77777777" w:rsidR="00B57597" w:rsidRPr="004E3690" w:rsidRDefault="00B57597" w:rsidP="006C69DB">
            <w:pPr>
              <w:spacing w:after="0"/>
              <w:rPr>
                <w:rFonts w:cs="Calibri"/>
                <w:b/>
                <w:bCs/>
                <w:color w:val="000000"/>
                <w:sz w:val="18"/>
                <w:szCs w:val="18"/>
                <w:lang w:eastAsia="cs-CZ"/>
              </w:rPr>
            </w:pPr>
            <w:r w:rsidRPr="004E3690">
              <w:rPr>
                <w:b/>
                <w:bCs/>
                <w:color w:val="000000"/>
                <w:sz w:val="18"/>
                <w:szCs w:val="18"/>
              </w:rPr>
              <w:t>Rozpočet po změnách</w:t>
            </w:r>
          </w:p>
        </w:tc>
        <w:tc>
          <w:tcPr>
            <w:tcW w:w="803" w:type="pct"/>
            <w:tcBorders>
              <w:top w:val="nil"/>
              <w:left w:val="nil"/>
              <w:bottom w:val="single" w:sz="4" w:space="0" w:color="auto"/>
              <w:right w:val="single" w:sz="4" w:space="0" w:color="auto"/>
            </w:tcBorders>
            <w:shd w:val="clear" w:color="auto" w:fill="auto"/>
            <w:noWrap/>
            <w:vAlign w:val="center"/>
          </w:tcPr>
          <w:p w14:paraId="5C46CD4D" w14:textId="77777777" w:rsidR="00B57597" w:rsidRPr="006C69DB" w:rsidRDefault="00B57597" w:rsidP="006C69DB">
            <w:pPr>
              <w:spacing w:after="0"/>
              <w:jc w:val="right"/>
              <w:rPr>
                <w:rFonts w:eastAsia="Calibri"/>
                <w:color w:val="000000"/>
                <w:sz w:val="17"/>
                <w:szCs w:val="17"/>
              </w:rPr>
            </w:pPr>
            <w:r w:rsidRPr="006C69DB">
              <w:rPr>
                <w:color w:val="000000"/>
                <w:sz w:val="17"/>
                <w:szCs w:val="17"/>
              </w:rPr>
              <w:t>40 319 032 093,00</w:t>
            </w:r>
          </w:p>
        </w:tc>
        <w:tc>
          <w:tcPr>
            <w:tcW w:w="803" w:type="pct"/>
            <w:tcBorders>
              <w:top w:val="nil"/>
              <w:left w:val="nil"/>
              <w:bottom w:val="single" w:sz="4" w:space="0" w:color="auto"/>
              <w:right w:val="single" w:sz="4" w:space="0" w:color="auto"/>
            </w:tcBorders>
            <w:shd w:val="clear" w:color="auto" w:fill="auto"/>
            <w:noWrap/>
            <w:vAlign w:val="center"/>
          </w:tcPr>
          <w:p w14:paraId="233EEF9F" w14:textId="77777777" w:rsidR="00B57597" w:rsidRPr="006C69DB" w:rsidRDefault="00B57597" w:rsidP="006C69DB">
            <w:pPr>
              <w:spacing w:after="0"/>
              <w:jc w:val="right"/>
              <w:rPr>
                <w:rFonts w:eastAsia="Calibri"/>
                <w:color w:val="000000"/>
                <w:sz w:val="17"/>
                <w:szCs w:val="17"/>
              </w:rPr>
            </w:pPr>
            <w:r w:rsidRPr="006C69DB">
              <w:rPr>
                <w:color w:val="000000"/>
                <w:sz w:val="17"/>
                <w:szCs w:val="17"/>
              </w:rPr>
              <w:t>38 775 129 207,00</w:t>
            </w:r>
          </w:p>
        </w:tc>
        <w:tc>
          <w:tcPr>
            <w:tcW w:w="803" w:type="pct"/>
            <w:tcBorders>
              <w:top w:val="nil"/>
              <w:left w:val="nil"/>
              <w:bottom w:val="single" w:sz="4" w:space="0" w:color="auto"/>
              <w:right w:val="single" w:sz="4" w:space="0" w:color="auto"/>
            </w:tcBorders>
            <w:shd w:val="clear" w:color="auto" w:fill="auto"/>
            <w:noWrap/>
            <w:vAlign w:val="center"/>
          </w:tcPr>
          <w:p w14:paraId="407B68C6" w14:textId="77777777" w:rsidR="00B57597" w:rsidRPr="006C69DB" w:rsidRDefault="00B57597" w:rsidP="006C69DB">
            <w:pPr>
              <w:spacing w:after="0"/>
              <w:jc w:val="right"/>
              <w:rPr>
                <w:rFonts w:eastAsia="Calibri"/>
                <w:color w:val="000000"/>
                <w:sz w:val="17"/>
                <w:szCs w:val="17"/>
              </w:rPr>
            </w:pPr>
            <w:r w:rsidRPr="006C69DB">
              <w:rPr>
                <w:color w:val="000000"/>
                <w:sz w:val="17"/>
                <w:szCs w:val="17"/>
              </w:rPr>
              <w:t>39 847 087 679,00</w:t>
            </w:r>
          </w:p>
        </w:tc>
        <w:tc>
          <w:tcPr>
            <w:tcW w:w="803" w:type="pct"/>
            <w:tcBorders>
              <w:top w:val="nil"/>
              <w:left w:val="nil"/>
              <w:bottom w:val="single" w:sz="4" w:space="0" w:color="auto"/>
              <w:right w:val="single" w:sz="4" w:space="0" w:color="auto"/>
            </w:tcBorders>
            <w:shd w:val="clear" w:color="auto" w:fill="auto"/>
            <w:noWrap/>
            <w:vAlign w:val="center"/>
          </w:tcPr>
          <w:p w14:paraId="596F4EBE" w14:textId="77777777" w:rsidR="00B57597" w:rsidRPr="006C69DB" w:rsidRDefault="00B57597" w:rsidP="006C69DB">
            <w:pPr>
              <w:spacing w:after="0"/>
              <w:jc w:val="right"/>
              <w:rPr>
                <w:rFonts w:eastAsia="Calibri"/>
                <w:color w:val="000000"/>
                <w:sz w:val="17"/>
                <w:szCs w:val="17"/>
              </w:rPr>
            </w:pPr>
            <w:r w:rsidRPr="006C69DB">
              <w:rPr>
                <w:color w:val="000000"/>
                <w:sz w:val="17"/>
                <w:szCs w:val="17"/>
              </w:rPr>
              <w:t>46 958 097 844,00</w:t>
            </w:r>
          </w:p>
        </w:tc>
        <w:tc>
          <w:tcPr>
            <w:tcW w:w="803" w:type="pct"/>
            <w:tcBorders>
              <w:top w:val="nil"/>
              <w:left w:val="nil"/>
              <w:bottom w:val="single" w:sz="4" w:space="0" w:color="auto"/>
              <w:right w:val="single" w:sz="4" w:space="0" w:color="auto"/>
            </w:tcBorders>
            <w:vAlign w:val="center"/>
          </w:tcPr>
          <w:p w14:paraId="1E2CAE8F" w14:textId="77777777" w:rsidR="00B57597" w:rsidRPr="006C69DB" w:rsidRDefault="00B57597" w:rsidP="006C69DB">
            <w:pPr>
              <w:spacing w:after="0"/>
              <w:jc w:val="right"/>
              <w:rPr>
                <w:rFonts w:eastAsia="Calibri"/>
                <w:color w:val="000000"/>
                <w:sz w:val="17"/>
                <w:szCs w:val="17"/>
              </w:rPr>
            </w:pPr>
            <w:r w:rsidRPr="006C69DB">
              <w:rPr>
                <w:color w:val="000000"/>
                <w:sz w:val="17"/>
                <w:szCs w:val="17"/>
              </w:rPr>
              <w:t>78 043 284 386,00</w:t>
            </w:r>
          </w:p>
        </w:tc>
      </w:tr>
      <w:tr w:rsidR="00B57597" w:rsidRPr="004E3690" w14:paraId="26945BB4" w14:textId="77777777" w:rsidTr="006C69DB">
        <w:trPr>
          <w:trHeight w:val="255"/>
        </w:trPr>
        <w:tc>
          <w:tcPr>
            <w:tcW w:w="987" w:type="pct"/>
            <w:tcBorders>
              <w:top w:val="nil"/>
              <w:left w:val="single" w:sz="4" w:space="0" w:color="auto"/>
              <w:bottom w:val="single" w:sz="4" w:space="0" w:color="auto"/>
              <w:right w:val="single" w:sz="4" w:space="0" w:color="auto"/>
            </w:tcBorders>
            <w:shd w:val="clear" w:color="auto" w:fill="auto"/>
            <w:noWrap/>
            <w:vAlign w:val="center"/>
          </w:tcPr>
          <w:p w14:paraId="0A5ABB16" w14:textId="77777777" w:rsidR="00B57597" w:rsidRPr="004E3690" w:rsidRDefault="00B57597" w:rsidP="006C69DB">
            <w:pPr>
              <w:spacing w:after="0"/>
              <w:rPr>
                <w:rFonts w:cs="Calibri"/>
                <w:b/>
                <w:bCs/>
                <w:color w:val="000000"/>
                <w:sz w:val="18"/>
                <w:szCs w:val="18"/>
                <w:lang w:eastAsia="cs-CZ"/>
              </w:rPr>
            </w:pPr>
            <w:r w:rsidRPr="004E3690">
              <w:rPr>
                <w:b/>
                <w:bCs/>
                <w:color w:val="000000"/>
                <w:sz w:val="18"/>
                <w:szCs w:val="18"/>
              </w:rPr>
              <w:t>Konečný rozpočet</w:t>
            </w:r>
          </w:p>
        </w:tc>
        <w:tc>
          <w:tcPr>
            <w:tcW w:w="803" w:type="pct"/>
            <w:tcBorders>
              <w:top w:val="nil"/>
              <w:left w:val="nil"/>
              <w:bottom w:val="single" w:sz="4" w:space="0" w:color="auto"/>
              <w:right w:val="single" w:sz="4" w:space="0" w:color="auto"/>
            </w:tcBorders>
            <w:shd w:val="clear" w:color="auto" w:fill="auto"/>
            <w:noWrap/>
            <w:vAlign w:val="center"/>
          </w:tcPr>
          <w:p w14:paraId="55C7FF53" w14:textId="77777777" w:rsidR="00B57597" w:rsidRPr="006C69DB" w:rsidRDefault="00B57597" w:rsidP="006C69DB">
            <w:pPr>
              <w:spacing w:after="0"/>
              <w:jc w:val="right"/>
              <w:rPr>
                <w:rFonts w:eastAsia="Calibri"/>
                <w:color w:val="000000"/>
                <w:sz w:val="17"/>
                <w:szCs w:val="17"/>
              </w:rPr>
            </w:pPr>
            <w:r w:rsidRPr="006C69DB">
              <w:rPr>
                <w:color w:val="000000"/>
                <w:sz w:val="17"/>
                <w:szCs w:val="17"/>
              </w:rPr>
              <w:t>47 995 698 329,86</w:t>
            </w:r>
          </w:p>
        </w:tc>
        <w:tc>
          <w:tcPr>
            <w:tcW w:w="803" w:type="pct"/>
            <w:tcBorders>
              <w:top w:val="nil"/>
              <w:left w:val="nil"/>
              <w:bottom w:val="single" w:sz="4" w:space="0" w:color="auto"/>
              <w:right w:val="single" w:sz="4" w:space="0" w:color="auto"/>
            </w:tcBorders>
            <w:shd w:val="clear" w:color="auto" w:fill="auto"/>
            <w:noWrap/>
            <w:vAlign w:val="center"/>
          </w:tcPr>
          <w:p w14:paraId="749B062A" w14:textId="77777777" w:rsidR="00B57597" w:rsidRPr="006C69DB" w:rsidRDefault="00B57597" w:rsidP="006C69DB">
            <w:pPr>
              <w:spacing w:after="0"/>
              <w:jc w:val="right"/>
              <w:rPr>
                <w:rFonts w:eastAsia="Calibri"/>
                <w:color w:val="000000"/>
                <w:sz w:val="17"/>
                <w:szCs w:val="17"/>
              </w:rPr>
            </w:pPr>
            <w:r w:rsidRPr="006C69DB">
              <w:rPr>
                <w:color w:val="000000"/>
                <w:sz w:val="17"/>
                <w:szCs w:val="17"/>
              </w:rPr>
              <w:t>53 736 124 812,19</w:t>
            </w:r>
          </w:p>
        </w:tc>
        <w:tc>
          <w:tcPr>
            <w:tcW w:w="803" w:type="pct"/>
            <w:tcBorders>
              <w:top w:val="nil"/>
              <w:left w:val="nil"/>
              <w:bottom w:val="single" w:sz="4" w:space="0" w:color="auto"/>
              <w:right w:val="single" w:sz="4" w:space="0" w:color="auto"/>
            </w:tcBorders>
            <w:shd w:val="clear" w:color="auto" w:fill="auto"/>
            <w:noWrap/>
            <w:vAlign w:val="center"/>
          </w:tcPr>
          <w:p w14:paraId="7A48727D" w14:textId="77777777" w:rsidR="00B57597" w:rsidRPr="006C69DB" w:rsidRDefault="00B57597" w:rsidP="006C69DB">
            <w:pPr>
              <w:spacing w:after="0"/>
              <w:jc w:val="right"/>
              <w:rPr>
                <w:rFonts w:eastAsia="Calibri"/>
                <w:color w:val="000000"/>
                <w:sz w:val="17"/>
                <w:szCs w:val="17"/>
              </w:rPr>
            </w:pPr>
            <w:r w:rsidRPr="006C69DB">
              <w:rPr>
                <w:color w:val="000000"/>
                <w:sz w:val="17"/>
                <w:szCs w:val="17"/>
              </w:rPr>
              <w:t>53 019 075 227,57</w:t>
            </w:r>
          </w:p>
        </w:tc>
        <w:tc>
          <w:tcPr>
            <w:tcW w:w="803" w:type="pct"/>
            <w:tcBorders>
              <w:top w:val="nil"/>
              <w:left w:val="nil"/>
              <w:bottom w:val="single" w:sz="4" w:space="0" w:color="auto"/>
              <w:right w:val="single" w:sz="4" w:space="0" w:color="auto"/>
            </w:tcBorders>
            <w:shd w:val="clear" w:color="auto" w:fill="auto"/>
            <w:noWrap/>
            <w:vAlign w:val="center"/>
          </w:tcPr>
          <w:p w14:paraId="485D21B7" w14:textId="77777777" w:rsidR="00B57597" w:rsidRPr="006C69DB" w:rsidRDefault="00B57597" w:rsidP="006C69DB">
            <w:pPr>
              <w:spacing w:after="0"/>
              <w:jc w:val="right"/>
              <w:rPr>
                <w:rFonts w:eastAsia="Calibri"/>
                <w:color w:val="000000"/>
                <w:sz w:val="17"/>
                <w:szCs w:val="17"/>
              </w:rPr>
            </w:pPr>
            <w:r w:rsidRPr="006C69DB">
              <w:rPr>
                <w:color w:val="000000"/>
                <w:sz w:val="17"/>
                <w:szCs w:val="17"/>
              </w:rPr>
              <w:t>53 858 581 077,68</w:t>
            </w:r>
          </w:p>
        </w:tc>
        <w:tc>
          <w:tcPr>
            <w:tcW w:w="803" w:type="pct"/>
            <w:tcBorders>
              <w:top w:val="nil"/>
              <w:left w:val="nil"/>
              <w:bottom w:val="single" w:sz="4" w:space="0" w:color="auto"/>
              <w:right w:val="single" w:sz="4" w:space="0" w:color="auto"/>
            </w:tcBorders>
            <w:vAlign w:val="center"/>
          </w:tcPr>
          <w:p w14:paraId="37E35082" w14:textId="77777777" w:rsidR="00B57597" w:rsidRPr="006C69DB" w:rsidRDefault="00B57597" w:rsidP="006C69DB">
            <w:pPr>
              <w:spacing w:after="0"/>
              <w:jc w:val="right"/>
              <w:rPr>
                <w:rFonts w:eastAsia="Calibri"/>
                <w:color w:val="000000"/>
                <w:sz w:val="17"/>
                <w:szCs w:val="17"/>
              </w:rPr>
            </w:pPr>
            <w:r w:rsidRPr="006C69DB">
              <w:rPr>
                <w:color w:val="000000"/>
                <w:sz w:val="17"/>
                <w:szCs w:val="17"/>
              </w:rPr>
              <w:t>81 952 320 957,07</w:t>
            </w:r>
          </w:p>
        </w:tc>
      </w:tr>
      <w:tr w:rsidR="00B57597" w:rsidRPr="004E3690" w14:paraId="6D97BFB5" w14:textId="77777777" w:rsidTr="006C69DB">
        <w:trPr>
          <w:trHeight w:val="255"/>
        </w:trPr>
        <w:tc>
          <w:tcPr>
            <w:tcW w:w="987" w:type="pct"/>
            <w:tcBorders>
              <w:top w:val="nil"/>
              <w:left w:val="single" w:sz="4" w:space="0" w:color="auto"/>
              <w:bottom w:val="single" w:sz="4" w:space="0" w:color="auto"/>
              <w:right w:val="single" w:sz="4" w:space="0" w:color="auto"/>
            </w:tcBorders>
            <w:shd w:val="clear" w:color="auto" w:fill="auto"/>
            <w:noWrap/>
            <w:vAlign w:val="center"/>
            <w:hideMark/>
          </w:tcPr>
          <w:p w14:paraId="248EBF04" w14:textId="77777777" w:rsidR="00B57597" w:rsidRPr="004E3690" w:rsidRDefault="00B57597" w:rsidP="006C69DB">
            <w:pPr>
              <w:spacing w:after="0"/>
              <w:rPr>
                <w:rFonts w:cs="Calibri"/>
                <w:b/>
                <w:bCs/>
                <w:color w:val="000000"/>
                <w:sz w:val="18"/>
                <w:szCs w:val="18"/>
                <w:lang w:eastAsia="cs-CZ"/>
              </w:rPr>
            </w:pPr>
            <w:r w:rsidRPr="004E3690">
              <w:rPr>
                <w:b/>
                <w:bCs/>
                <w:color w:val="000000"/>
                <w:sz w:val="18"/>
                <w:szCs w:val="18"/>
              </w:rPr>
              <w:t>Skutečnost</w:t>
            </w:r>
          </w:p>
        </w:tc>
        <w:tc>
          <w:tcPr>
            <w:tcW w:w="803" w:type="pct"/>
            <w:tcBorders>
              <w:top w:val="nil"/>
              <w:left w:val="nil"/>
              <w:bottom w:val="single" w:sz="4" w:space="0" w:color="auto"/>
              <w:right w:val="single" w:sz="4" w:space="0" w:color="auto"/>
            </w:tcBorders>
            <w:shd w:val="clear" w:color="auto" w:fill="auto"/>
            <w:noWrap/>
            <w:vAlign w:val="center"/>
          </w:tcPr>
          <w:p w14:paraId="1342BFE4" w14:textId="77777777" w:rsidR="00B57597" w:rsidRPr="006C69DB" w:rsidRDefault="00B57597" w:rsidP="006C69DB">
            <w:pPr>
              <w:spacing w:after="0"/>
              <w:jc w:val="right"/>
              <w:rPr>
                <w:rFonts w:eastAsia="Calibri"/>
                <w:color w:val="000000"/>
                <w:sz w:val="17"/>
                <w:szCs w:val="17"/>
              </w:rPr>
            </w:pPr>
            <w:r w:rsidRPr="006C69DB">
              <w:rPr>
                <w:color w:val="000000"/>
                <w:sz w:val="17"/>
                <w:szCs w:val="17"/>
              </w:rPr>
              <w:t>27 735 040 663,39</w:t>
            </w:r>
          </w:p>
        </w:tc>
        <w:tc>
          <w:tcPr>
            <w:tcW w:w="803" w:type="pct"/>
            <w:tcBorders>
              <w:top w:val="nil"/>
              <w:left w:val="nil"/>
              <w:bottom w:val="single" w:sz="4" w:space="0" w:color="auto"/>
              <w:right w:val="single" w:sz="4" w:space="0" w:color="auto"/>
            </w:tcBorders>
            <w:shd w:val="clear" w:color="auto" w:fill="auto"/>
            <w:noWrap/>
            <w:vAlign w:val="center"/>
          </w:tcPr>
          <w:p w14:paraId="02C85397" w14:textId="77777777" w:rsidR="00B57597" w:rsidRPr="006C69DB" w:rsidRDefault="00B57597" w:rsidP="006C69DB">
            <w:pPr>
              <w:spacing w:after="0"/>
              <w:jc w:val="right"/>
              <w:rPr>
                <w:rFonts w:eastAsia="Calibri"/>
                <w:color w:val="000000"/>
                <w:sz w:val="17"/>
                <w:szCs w:val="17"/>
              </w:rPr>
            </w:pPr>
            <w:r w:rsidRPr="006C69DB">
              <w:rPr>
                <w:color w:val="000000"/>
                <w:sz w:val="17"/>
                <w:szCs w:val="17"/>
              </w:rPr>
              <w:t>40 668 626 010,17</w:t>
            </w:r>
          </w:p>
        </w:tc>
        <w:tc>
          <w:tcPr>
            <w:tcW w:w="803" w:type="pct"/>
            <w:tcBorders>
              <w:top w:val="nil"/>
              <w:left w:val="nil"/>
              <w:bottom w:val="single" w:sz="4" w:space="0" w:color="auto"/>
              <w:right w:val="single" w:sz="4" w:space="0" w:color="auto"/>
            </w:tcBorders>
            <w:shd w:val="clear" w:color="auto" w:fill="auto"/>
            <w:noWrap/>
            <w:vAlign w:val="center"/>
          </w:tcPr>
          <w:p w14:paraId="5A3B7F73" w14:textId="77777777" w:rsidR="00B57597" w:rsidRPr="006C69DB" w:rsidRDefault="00B57597" w:rsidP="006C69DB">
            <w:pPr>
              <w:spacing w:after="0"/>
              <w:jc w:val="right"/>
              <w:rPr>
                <w:rFonts w:eastAsia="Calibri"/>
                <w:color w:val="000000"/>
                <w:sz w:val="17"/>
                <w:szCs w:val="17"/>
              </w:rPr>
            </w:pPr>
            <w:r w:rsidRPr="006C69DB">
              <w:rPr>
                <w:color w:val="000000"/>
                <w:sz w:val="17"/>
                <w:szCs w:val="17"/>
              </w:rPr>
              <w:t>45 387 949 250,63</w:t>
            </w:r>
          </w:p>
        </w:tc>
        <w:tc>
          <w:tcPr>
            <w:tcW w:w="803" w:type="pct"/>
            <w:tcBorders>
              <w:top w:val="nil"/>
              <w:left w:val="nil"/>
              <w:bottom w:val="single" w:sz="4" w:space="0" w:color="auto"/>
              <w:right w:val="single" w:sz="4" w:space="0" w:color="auto"/>
            </w:tcBorders>
            <w:shd w:val="clear" w:color="auto" w:fill="auto"/>
            <w:noWrap/>
            <w:vAlign w:val="center"/>
          </w:tcPr>
          <w:p w14:paraId="37955671" w14:textId="77777777" w:rsidR="00B57597" w:rsidRPr="006C69DB" w:rsidRDefault="00B57597" w:rsidP="006C69DB">
            <w:pPr>
              <w:spacing w:after="0"/>
              <w:jc w:val="right"/>
              <w:rPr>
                <w:rFonts w:eastAsia="Calibri"/>
                <w:color w:val="000000"/>
                <w:sz w:val="17"/>
                <w:szCs w:val="17"/>
              </w:rPr>
            </w:pPr>
            <w:r w:rsidRPr="006C69DB">
              <w:rPr>
                <w:color w:val="000000"/>
                <w:sz w:val="17"/>
                <w:szCs w:val="17"/>
              </w:rPr>
              <w:t>47 649 101 069,25</w:t>
            </w:r>
          </w:p>
        </w:tc>
        <w:tc>
          <w:tcPr>
            <w:tcW w:w="803" w:type="pct"/>
            <w:tcBorders>
              <w:top w:val="nil"/>
              <w:left w:val="nil"/>
              <w:bottom w:val="single" w:sz="4" w:space="0" w:color="auto"/>
              <w:right w:val="single" w:sz="4" w:space="0" w:color="auto"/>
            </w:tcBorders>
            <w:vAlign w:val="center"/>
          </w:tcPr>
          <w:p w14:paraId="7721FA99" w14:textId="77777777" w:rsidR="00B57597" w:rsidRPr="006C69DB" w:rsidRDefault="00B57597" w:rsidP="006C69DB">
            <w:pPr>
              <w:spacing w:after="0"/>
              <w:jc w:val="right"/>
              <w:rPr>
                <w:rFonts w:eastAsia="Calibri"/>
                <w:color w:val="000000"/>
                <w:sz w:val="17"/>
                <w:szCs w:val="17"/>
              </w:rPr>
            </w:pPr>
            <w:r w:rsidRPr="006C69DB">
              <w:rPr>
                <w:color w:val="000000"/>
                <w:sz w:val="17"/>
                <w:szCs w:val="17"/>
              </w:rPr>
              <w:t>60 904 644 446,39</w:t>
            </w:r>
          </w:p>
        </w:tc>
      </w:tr>
    </w:tbl>
    <w:p w14:paraId="71A273F8" w14:textId="77777777" w:rsidR="00B57597" w:rsidRPr="007D36E3" w:rsidRDefault="00B57597" w:rsidP="00B57597">
      <w:pPr>
        <w:spacing w:before="40"/>
        <w:rPr>
          <w:rFonts w:cs="Calibri"/>
          <w:color w:val="000000"/>
          <w:sz w:val="20"/>
          <w:szCs w:val="20"/>
          <w:lang w:eastAsia="cs-CZ"/>
        </w:rPr>
      </w:pPr>
      <w:r w:rsidRPr="007D36E3">
        <w:rPr>
          <w:rFonts w:cs="Calibri"/>
          <w:b/>
          <w:color w:val="000000"/>
          <w:sz w:val="20"/>
          <w:szCs w:val="20"/>
          <w:lang w:eastAsia="cs-CZ"/>
        </w:rPr>
        <w:t xml:space="preserve">Zdroj: </w:t>
      </w:r>
      <w:r w:rsidRPr="007D36E3">
        <w:rPr>
          <w:rFonts w:cs="Calibri"/>
          <w:color w:val="000000"/>
          <w:sz w:val="20"/>
          <w:szCs w:val="20"/>
          <w:lang w:eastAsia="cs-CZ"/>
        </w:rPr>
        <w:t>informační portál MONITOR.</w:t>
      </w:r>
    </w:p>
    <w:p w14:paraId="5FE7660C" w14:textId="11EC4CE1" w:rsidR="00B57597" w:rsidRPr="004E3690" w:rsidRDefault="00B57597" w:rsidP="00B57597">
      <w:pPr>
        <w:jc w:val="both"/>
        <w:rPr>
          <w:rFonts w:asciiTheme="minorHAnsi" w:hAnsiTheme="minorHAnsi" w:cstheme="minorHAnsi"/>
        </w:rPr>
      </w:pPr>
      <w:r w:rsidRPr="004E3690">
        <w:rPr>
          <w:rFonts w:asciiTheme="minorHAnsi" w:hAnsiTheme="minorHAnsi" w:cstheme="minorHAnsi"/>
        </w:rPr>
        <w:t xml:space="preserve">Výdaje rozpočtové kapitoly 322 </w:t>
      </w:r>
      <w:r w:rsidR="001E3234" w:rsidRPr="004E3690">
        <w:rPr>
          <w:rFonts w:asciiTheme="minorHAnsi" w:hAnsiTheme="minorHAnsi" w:cstheme="minorHAnsi"/>
        </w:rPr>
        <w:t xml:space="preserve">(skutečnost) </w:t>
      </w:r>
      <w:r w:rsidRPr="004E3690">
        <w:rPr>
          <w:rFonts w:asciiTheme="minorHAnsi" w:hAnsiTheme="minorHAnsi" w:cstheme="minorHAnsi"/>
        </w:rPr>
        <w:t>vykazují ve sledovaném období jasně rostoucí tendenci. Mezi rokem 2020 a 2016 došlo k nárůstu skutečných výdajů o</w:t>
      </w:r>
      <w:r w:rsidR="001E3234">
        <w:rPr>
          <w:rFonts w:asciiTheme="minorHAnsi" w:hAnsiTheme="minorHAnsi" w:cstheme="minorHAnsi"/>
        </w:rPr>
        <w:t> </w:t>
      </w:r>
      <w:r w:rsidRPr="004E3690">
        <w:rPr>
          <w:rFonts w:asciiTheme="minorHAnsi" w:hAnsiTheme="minorHAnsi" w:cstheme="minorHAnsi"/>
        </w:rPr>
        <w:t>33,17</w:t>
      </w:r>
      <w:r w:rsidR="001E3234">
        <w:rPr>
          <w:rFonts w:asciiTheme="minorHAnsi" w:hAnsiTheme="minorHAnsi" w:cstheme="minorHAnsi"/>
        </w:rPr>
        <w:t> </w:t>
      </w:r>
      <w:r w:rsidRPr="004E3690">
        <w:rPr>
          <w:rFonts w:asciiTheme="minorHAnsi" w:hAnsiTheme="minorHAnsi" w:cstheme="minorHAnsi"/>
        </w:rPr>
        <w:t>mld.</w:t>
      </w:r>
      <w:r w:rsidR="001E3234">
        <w:rPr>
          <w:rFonts w:asciiTheme="minorHAnsi" w:hAnsiTheme="minorHAnsi" w:cstheme="minorHAnsi"/>
        </w:rPr>
        <w:t> </w:t>
      </w:r>
      <w:r w:rsidRPr="004E3690">
        <w:rPr>
          <w:rFonts w:asciiTheme="minorHAnsi" w:hAnsiTheme="minorHAnsi" w:cstheme="minorHAnsi"/>
        </w:rPr>
        <w:t>Kč, tj. o</w:t>
      </w:r>
      <w:r>
        <w:rPr>
          <w:rFonts w:asciiTheme="minorHAnsi" w:hAnsiTheme="minorHAnsi" w:cstheme="minorHAnsi"/>
        </w:rPr>
        <w:t> </w:t>
      </w:r>
      <w:r w:rsidRPr="004E3690">
        <w:rPr>
          <w:rFonts w:asciiTheme="minorHAnsi" w:hAnsiTheme="minorHAnsi" w:cstheme="minorHAnsi"/>
        </w:rPr>
        <w:t>119,59 %. Stejně jako u příjmů tvoří v celém sledovaném období výdaje MPO (skutečnost) většinu výdajů všech OSS rozpočtové kapitoly 322 (skutečnost). Procentně představují výdaje MPO 97,84 % skutečných výdajů kapitoly 322 v roce 2020.</w:t>
      </w:r>
    </w:p>
    <w:p w14:paraId="5DBC5265" w14:textId="2F2C3DC2" w:rsidR="00B57597" w:rsidRPr="004E3690" w:rsidRDefault="00B57597" w:rsidP="00B57597">
      <w:pPr>
        <w:spacing w:before="40"/>
        <w:jc w:val="both"/>
        <w:rPr>
          <w:rFonts w:cs="Calibri"/>
          <w:color w:val="000000"/>
          <w:szCs w:val="20"/>
          <w:lang w:eastAsia="cs-CZ"/>
        </w:rPr>
      </w:pPr>
      <w:r w:rsidRPr="004E3690">
        <w:rPr>
          <w:rFonts w:cs="Calibri"/>
          <w:color w:val="000000"/>
          <w:szCs w:val="20"/>
          <w:lang w:eastAsia="cs-CZ"/>
        </w:rPr>
        <w:t xml:space="preserve">Převážnou většinu (84,38 %) skutečných výdajů kapitoly 322 v roce 2020 představovaly běžné výdaje v částce 51,39 mld. Kč, přičemž nejvíce z nich bylo vynaloženo v rámci rozpočtové položky 5213 – </w:t>
      </w:r>
      <w:r w:rsidRPr="004E3690">
        <w:rPr>
          <w:rFonts w:cs="Calibri"/>
          <w:i/>
          <w:color w:val="000000"/>
          <w:szCs w:val="20"/>
          <w:lang w:eastAsia="cs-CZ"/>
        </w:rPr>
        <w:t>Neinvestiční transfery nefinančním podnikatelským subjektům-právnickým osobám</w:t>
      </w:r>
      <w:r w:rsidRPr="004E3690">
        <w:rPr>
          <w:rFonts w:cs="Calibri"/>
          <w:color w:val="000000"/>
          <w:szCs w:val="20"/>
          <w:lang w:eastAsia="cs-CZ"/>
        </w:rPr>
        <w:t xml:space="preserve">, a to 37,84 mld. Kč. Kapitálové výdaje činily 9,52 mld. Kč a z nich </w:t>
      </w:r>
      <w:r w:rsidR="001E3234">
        <w:rPr>
          <w:rFonts w:cs="Calibri"/>
          <w:color w:val="000000"/>
          <w:szCs w:val="20"/>
          <w:lang w:eastAsia="cs-CZ"/>
        </w:rPr>
        <w:br/>
      </w:r>
      <w:r w:rsidRPr="004E3690">
        <w:rPr>
          <w:rFonts w:cs="Calibri"/>
          <w:color w:val="000000"/>
          <w:szCs w:val="20"/>
          <w:lang w:eastAsia="cs-CZ"/>
        </w:rPr>
        <w:t xml:space="preserve">nejvýznamnější byla rozpočtová položka </w:t>
      </w:r>
      <w:r>
        <w:rPr>
          <w:rFonts w:cs="Calibri"/>
          <w:color w:val="000000"/>
          <w:szCs w:val="20"/>
          <w:lang w:eastAsia="cs-CZ"/>
        </w:rPr>
        <w:t>6313 </w:t>
      </w:r>
      <w:r w:rsidRPr="004E3690">
        <w:rPr>
          <w:rFonts w:cs="Calibri"/>
          <w:color w:val="000000"/>
          <w:szCs w:val="20"/>
          <w:lang w:eastAsia="cs-CZ"/>
        </w:rPr>
        <w:t>–</w:t>
      </w:r>
      <w:r>
        <w:rPr>
          <w:rFonts w:cs="Calibri"/>
          <w:color w:val="000000"/>
          <w:szCs w:val="20"/>
          <w:lang w:eastAsia="cs-CZ"/>
        </w:rPr>
        <w:t> </w:t>
      </w:r>
      <w:r w:rsidRPr="004E3690">
        <w:rPr>
          <w:rFonts w:cs="Calibri"/>
          <w:i/>
          <w:color w:val="000000"/>
          <w:szCs w:val="20"/>
          <w:lang w:eastAsia="cs-CZ"/>
        </w:rPr>
        <w:t>Investiční transfery nefinančním podnikatelským subjektům-právnickým osobám</w:t>
      </w:r>
      <w:r w:rsidRPr="004E3690">
        <w:rPr>
          <w:rFonts w:cs="Calibri"/>
          <w:color w:val="000000"/>
          <w:szCs w:val="20"/>
          <w:lang w:eastAsia="cs-CZ"/>
        </w:rPr>
        <w:t xml:space="preserve"> s hodnotou 8,56 mld. Kč.</w:t>
      </w:r>
    </w:p>
    <w:p w14:paraId="7002488F" w14:textId="6378D274" w:rsidR="00B57597" w:rsidRPr="006C69DB" w:rsidRDefault="00B57597" w:rsidP="006C69DB">
      <w:pPr>
        <w:pStyle w:val="Titulek1"/>
        <w:rPr>
          <w:sz w:val="24"/>
        </w:rPr>
      </w:pPr>
      <w:bookmarkStart w:id="24" w:name="_Toc520714315"/>
      <w:bookmarkStart w:id="25" w:name="_Toc8984522"/>
      <w:bookmarkStart w:id="26" w:name="_Toc72157461"/>
      <w:r w:rsidRPr="006C69DB">
        <w:rPr>
          <w:sz w:val="24"/>
        </w:rPr>
        <w:lastRenderedPageBreak/>
        <w:t xml:space="preserve">Tabulka č. </w:t>
      </w:r>
      <w:r w:rsidR="001529C4" w:rsidRPr="006C69DB">
        <w:rPr>
          <w:sz w:val="24"/>
        </w:rPr>
        <w:fldChar w:fldCharType="begin"/>
      </w:r>
      <w:r w:rsidR="001529C4" w:rsidRPr="006C69DB">
        <w:rPr>
          <w:sz w:val="24"/>
        </w:rPr>
        <w:instrText xml:space="preserve"> SEQ Tabulka \* ARABIC </w:instrText>
      </w:r>
      <w:r w:rsidR="001529C4" w:rsidRPr="006C69DB">
        <w:rPr>
          <w:sz w:val="24"/>
        </w:rPr>
        <w:fldChar w:fldCharType="separate"/>
      </w:r>
      <w:r w:rsidR="00E544AA">
        <w:rPr>
          <w:noProof/>
          <w:sz w:val="24"/>
        </w:rPr>
        <w:t>6</w:t>
      </w:r>
      <w:r w:rsidR="001529C4" w:rsidRPr="006C69DB">
        <w:rPr>
          <w:noProof/>
          <w:sz w:val="24"/>
        </w:rPr>
        <w:fldChar w:fldCharType="end"/>
      </w:r>
      <w:r w:rsidRPr="006C69DB">
        <w:rPr>
          <w:sz w:val="24"/>
        </w:rPr>
        <w:t>: Výdaje MPO (v Kč)</w:t>
      </w:r>
      <w:bookmarkEnd w:id="24"/>
      <w:bookmarkEnd w:id="25"/>
      <w:bookmarkEnd w:id="26"/>
    </w:p>
    <w:tbl>
      <w:tblPr>
        <w:tblW w:w="4973" w:type="pct"/>
        <w:tblCellMar>
          <w:left w:w="70" w:type="dxa"/>
          <w:right w:w="70" w:type="dxa"/>
        </w:tblCellMar>
        <w:tblLook w:val="04A0" w:firstRow="1" w:lastRow="0" w:firstColumn="1" w:lastColumn="0" w:noHBand="0" w:noVBand="1"/>
      </w:tblPr>
      <w:tblGrid>
        <w:gridCol w:w="1782"/>
        <w:gridCol w:w="1446"/>
        <w:gridCol w:w="1446"/>
        <w:gridCol w:w="1446"/>
        <w:gridCol w:w="1446"/>
        <w:gridCol w:w="1445"/>
      </w:tblGrid>
      <w:tr w:rsidR="00B57597" w:rsidRPr="004E3690" w14:paraId="249CCBD4" w14:textId="77777777" w:rsidTr="006C69DB">
        <w:trPr>
          <w:trHeight w:val="255"/>
        </w:trPr>
        <w:tc>
          <w:tcPr>
            <w:tcW w:w="988"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22A697E1" w14:textId="77777777" w:rsidR="00B57597" w:rsidRPr="004E3690" w:rsidRDefault="00B57597" w:rsidP="006C69DB">
            <w:pPr>
              <w:keepNext/>
              <w:spacing w:after="0"/>
              <w:rPr>
                <w:rFonts w:cs="Calibri"/>
                <w:b/>
                <w:bCs/>
                <w:color w:val="000000"/>
                <w:sz w:val="18"/>
                <w:szCs w:val="18"/>
                <w:lang w:eastAsia="cs-CZ"/>
              </w:rPr>
            </w:pPr>
            <w:r w:rsidRPr="004E3690">
              <w:rPr>
                <w:b/>
                <w:bCs/>
                <w:color w:val="000000"/>
                <w:sz w:val="18"/>
                <w:szCs w:val="18"/>
              </w:rPr>
              <w:t>Rozpočet</w:t>
            </w:r>
          </w:p>
        </w:tc>
        <w:tc>
          <w:tcPr>
            <w:tcW w:w="802" w:type="pct"/>
            <w:tcBorders>
              <w:top w:val="single" w:sz="4" w:space="0" w:color="auto"/>
              <w:left w:val="nil"/>
              <w:bottom w:val="single" w:sz="4" w:space="0" w:color="auto"/>
              <w:right w:val="single" w:sz="4" w:space="0" w:color="auto"/>
            </w:tcBorders>
            <w:shd w:val="clear" w:color="auto" w:fill="E5F1FF"/>
            <w:noWrap/>
            <w:vAlign w:val="center"/>
            <w:hideMark/>
          </w:tcPr>
          <w:p w14:paraId="6C1D4503" w14:textId="77777777" w:rsidR="00B57597" w:rsidRPr="004E3690" w:rsidRDefault="00B57597" w:rsidP="006C69DB">
            <w:pPr>
              <w:keepNext/>
              <w:spacing w:after="0"/>
              <w:jc w:val="center"/>
              <w:rPr>
                <w:rFonts w:cs="Calibri"/>
                <w:b/>
                <w:bCs/>
                <w:color w:val="000000"/>
                <w:sz w:val="18"/>
                <w:szCs w:val="18"/>
                <w:lang w:eastAsia="cs-CZ"/>
              </w:rPr>
            </w:pPr>
            <w:r w:rsidRPr="004E3690">
              <w:rPr>
                <w:b/>
                <w:bCs/>
                <w:color w:val="000000"/>
                <w:sz w:val="18"/>
                <w:szCs w:val="18"/>
              </w:rPr>
              <w:t>2016</w:t>
            </w:r>
          </w:p>
        </w:tc>
        <w:tc>
          <w:tcPr>
            <w:tcW w:w="802" w:type="pct"/>
            <w:tcBorders>
              <w:top w:val="single" w:sz="4" w:space="0" w:color="auto"/>
              <w:left w:val="nil"/>
              <w:bottom w:val="single" w:sz="4" w:space="0" w:color="auto"/>
              <w:right w:val="single" w:sz="4" w:space="0" w:color="auto"/>
            </w:tcBorders>
            <w:shd w:val="clear" w:color="auto" w:fill="E5F1FF"/>
            <w:noWrap/>
            <w:vAlign w:val="center"/>
            <w:hideMark/>
          </w:tcPr>
          <w:p w14:paraId="39ED7FB9" w14:textId="77777777" w:rsidR="00B57597" w:rsidRPr="004E3690" w:rsidRDefault="00B57597" w:rsidP="006C69DB">
            <w:pPr>
              <w:keepNext/>
              <w:spacing w:after="0"/>
              <w:jc w:val="center"/>
              <w:rPr>
                <w:rFonts w:cs="Calibri"/>
                <w:b/>
                <w:bCs/>
                <w:color w:val="000000"/>
                <w:sz w:val="18"/>
                <w:szCs w:val="18"/>
                <w:lang w:eastAsia="cs-CZ"/>
              </w:rPr>
            </w:pPr>
            <w:r w:rsidRPr="004E3690">
              <w:rPr>
                <w:b/>
                <w:bCs/>
                <w:color w:val="000000"/>
                <w:sz w:val="18"/>
                <w:szCs w:val="18"/>
              </w:rPr>
              <w:t>2017</w:t>
            </w:r>
          </w:p>
        </w:tc>
        <w:tc>
          <w:tcPr>
            <w:tcW w:w="802" w:type="pct"/>
            <w:tcBorders>
              <w:top w:val="single" w:sz="4" w:space="0" w:color="auto"/>
              <w:left w:val="nil"/>
              <w:bottom w:val="single" w:sz="4" w:space="0" w:color="auto"/>
              <w:right w:val="single" w:sz="4" w:space="0" w:color="auto"/>
            </w:tcBorders>
            <w:shd w:val="clear" w:color="auto" w:fill="E5F1FF"/>
            <w:noWrap/>
            <w:vAlign w:val="center"/>
            <w:hideMark/>
          </w:tcPr>
          <w:p w14:paraId="6749AAF4" w14:textId="77777777" w:rsidR="00B57597" w:rsidRPr="004E3690" w:rsidRDefault="00B57597" w:rsidP="006C69DB">
            <w:pPr>
              <w:keepNext/>
              <w:spacing w:after="0"/>
              <w:jc w:val="center"/>
              <w:rPr>
                <w:rFonts w:cs="Calibri"/>
                <w:b/>
                <w:bCs/>
                <w:color w:val="000000"/>
                <w:sz w:val="18"/>
                <w:szCs w:val="18"/>
                <w:lang w:eastAsia="cs-CZ"/>
              </w:rPr>
            </w:pPr>
            <w:r w:rsidRPr="004E3690">
              <w:rPr>
                <w:b/>
                <w:bCs/>
                <w:color w:val="000000"/>
                <w:sz w:val="18"/>
                <w:szCs w:val="18"/>
              </w:rPr>
              <w:t>2018</w:t>
            </w:r>
          </w:p>
        </w:tc>
        <w:tc>
          <w:tcPr>
            <w:tcW w:w="802" w:type="pct"/>
            <w:tcBorders>
              <w:top w:val="single" w:sz="4" w:space="0" w:color="auto"/>
              <w:left w:val="nil"/>
              <w:bottom w:val="single" w:sz="4" w:space="0" w:color="auto"/>
              <w:right w:val="single" w:sz="4" w:space="0" w:color="auto"/>
            </w:tcBorders>
            <w:shd w:val="clear" w:color="auto" w:fill="E5F1FF"/>
            <w:noWrap/>
            <w:vAlign w:val="center"/>
            <w:hideMark/>
          </w:tcPr>
          <w:p w14:paraId="10304F2D" w14:textId="77777777" w:rsidR="00B57597" w:rsidRPr="004E3690" w:rsidRDefault="00B57597" w:rsidP="006C69DB">
            <w:pPr>
              <w:keepNext/>
              <w:spacing w:after="0"/>
              <w:jc w:val="center"/>
              <w:rPr>
                <w:rFonts w:cs="Calibri"/>
                <w:b/>
                <w:bCs/>
                <w:color w:val="000000"/>
                <w:sz w:val="18"/>
                <w:szCs w:val="18"/>
                <w:lang w:eastAsia="cs-CZ"/>
              </w:rPr>
            </w:pPr>
            <w:r w:rsidRPr="004E3690">
              <w:rPr>
                <w:b/>
                <w:bCs/>
                <w:color w:val="000000"/>
                <w:sz w:val="18"/>
                <w:szCs w:val="18"/>
              </w:rPr>
              <w:t>2019</w:t>
            </w:r>
          </w:p>
        </w:tc>
        <w:tc>
          <w:tcPr>
            <w:tcW w:w="802" w:type="pct"/>
            <w:tcBorders>
              <w:top w:val="single" w:sz="4" w:space="0" w:color="auto"/>
              <w:left w:val="nil"/>
              <w:bottom w:val="single" w:sz="4" w:space="0" w:color="auto"/>
              <w:right w:val="single" w:sz="4" w:space="0" w:color="auto"/>
            </w:tcBorders>
            <w:shd w:val="clear" w:color="auto" w:fill="E5F1FF"/>
            <w:vAlign w:val="center"/>
          </w:tcPr>
          <w:p w14:paraId="285A207B" w14:textId="77777777" w:rsidR="00B57597" w:rsidRPr="004E3690" w:rsidRDefault="00B57597" w:rsidP="006C69DB">
            <w:pPr>
              <w:keepNext/>
              <w:spacing w:after="0"/>
              <w:jc w:val="center"/>
              <w:rPr>
                <w:rFonts w:cs="Calibri"/>
                <w:b/>
                <w:bCs/>
                <w:color w:val="000000"/>
                <w:sz w:val="18"/>
                <w:szCs w:val="18"/>
                <w:lang w:eastAsia="cs-CZ"/>
              </w:rPr>
            </w:pPr>
            <w:r w:rsidRPr="004E3690">
              <w:rPr>
                <w:b/>
                <w:bCs/>
                <w:color w:val="000000"/>
                <w:sz w:val="18"/>
                <w:szCs w:val="18"/>
              </w:rPr>
              <w:t>2020</w:t>
            </w:r>
          </w:p>
        </w:tc>
      </w:tr>
      <w:tr w:rsidR="00B57597" w:rsidRPr="004E3690" w14:paraId="331CE4DA" w14:textId="77777777" w:rsidTr="006C69DB">
        <w:trPr>
          <w:trHeight w:val="255"/>
        </w:trPr>
        <w:tc>
          <w:tcPr>
            <w:tcW w:w="988" w:type="pct"/>
            <w:tcBorders>
              <w:top w:val="nil"/>
              <w:left w:val="single" w:sz="4" w:space="0" w:color="auto"/>
              <w:bottom w:val="single" w:sz="4" w:space="0" w:color="auto"/>
              <w:right w:val="single" w:sz="4" w:space="0" w:color="auto"/>
            </w:tcBorders>
            <w:shd w:val="clear" w:color="auto" w:fill="auto"/>
            <w:noWrap/>
            <w:vAlign w:val="center"/>
            <w:hideMark/>
          </w:tcPr>
          <w:p w14:paraId="2E443FE2" w14:textId="77777777" w:rsidR="00B57597" w:rsidRPr="004E3690" w:rsidRDefault="00B57597" w:rsidP="006C69DB">
            <w:pPr>
              <w:keepNext/>
              <w:spacing w:after="0"/>
              <w:rPr>
                <w:rFonts w:cs="Calibri"/>
                <w:b/>
                <w:bCs/>
                <w:color w:val="000000"/>
                <w:sz w:val="18"/>
                <w:szCs w:val="18"/>
                <w:lang w:eastAsia="cs-CZ"/>
              </w:rPr>
            </w:pPr>
            <w:r w:rsidRPr="004E3690">
              <w:rPr>
                <w:b/>
                <w:bCs/>
                <w:color w:val="000000"/>
                <w:sz w:val="18"/>
                <w:szCs w:val="18"/>
              </w:rPr>
              <w:t>Schválený rozpočet</w:t>
            </w:r>
          </w:p>
        </w:tc>
        <w:tc>
          <w:tcPr>
            <w:tcW w:w="802" w:type="pct"/>
            <w:tcBorders>
              <w:top w:val="nil"/>
              <w:left w:val="nil"/>
              <w:bottom w:val="single" w:sz="4" w:space="0" w:color="auto"/>
              <w:right w:val="single" w:sz="4" w:space="0" w:color="auto"/>
            </w:tcBorders>
            <w:shd w:val="clear" w:color="auto" w:fill="auto"/>
            <w:noWrap/>
            <w:vAlign w:val="center"/>
          </w:tcPr>
          <w:p w14:paraId="0B539FF7" w14:textId="77777777" w:rsidR="00B57597" w:rsidRPr="006C69DB" w:rsidRDefault="00B57597" w:rsidP="006C69DB">
            <w:pPr>
              <w:keepNext/>
              <w:spacing w:after="0"/>
              <w:jc w:val="right"/>
              <w:rPr>
                <w:rFonts w:eastAsia="Calibri"/>
                <w:color w:val="000000"/>
                <w:sz w:val="17"/>
                <w:szCs w:val="17"/>
              </w:rPr>
            </w:pPr>
            <w:r w:rsidRPr="006C69DB">
              <w:rPr>
                <w:color w:val="000000"/>
                <w:sz w:val="17"/>
                <w:szCs w:val="17"/>
              </w:rPr>
              <w:t>39 536 611 978,00</w:t>
            </w:r>
          </w:p>
        </w:tc>
        <w:tc>
          <w:tcPr>
            <w:tcW w:w="802" w:type="pct"/>
            <w:tcBorders>
              <w:top w:val="nil"/>
              <w:left w:val="nil"/>
              <w:bottom w:val="single" w:sz="4" w:space="0" w:color="auto"/>
              <w:right w:val="single" w:sz="4" w:space="0" w:color="auto"/>
            </w:tcBorders>
            <w:shd w:val="clear" w:color="auto" w:fill="auto"/>
            <w:noWrap/>
            <w:vAlign w:val="center"/>
          </w:tcPr>
          <w:p w14:paraId="222C788F" w14:textId="77777777" w:rsidR="00B57597" w:rsidRPr="006C69DB" w:rsidRDefault="00B57597" w:rsidP="006C69DB">
            <w:pPr>
              <w:keepNext/>
              <w:spacing w:after="0"/>
              <w:jc w:val="right"/>
              <w:rPr>
                <w:rFonts w:eastAsia="Calibri"/>
                <w:color w:val="000000"/>
                <w:sz w:val="17"/>
                <w:szCs w:val="17"/>
              </w:rPr>
            </w:pPr>
            <w:r w:rsidRPr="006C69DB">
              <w:rPr>
                <w:color w:val="000000"/>
                <w:sz w:val="17"/>
                <w:szCs w:val="17"/>
              </w:rPr>
              <w:t>37 055 398 895,00</w:t>
            </w:r>
          </w:p>
        </w:tc>
        <w:tc>
          <w:tcPr>
            <w:tcW w:w="802" w:type="pct"/>
            <w:tcBorders>
              <w:top w:val="nil"/>
              <w:left w:val="nil"/>
              <w:bottom w:val="single" w:sz="4" w:space="0" w:color="auto"/>
              <w:right w:val="single" w:sz="4" w:space="0" w:color="auto"/>
            </w:tcBorders>
            <w:shd w:val="clear" w:color="auto" w:fill="auto"/>
            <w:noWrap/>
            <w:vAlign w:val="center"/>
          </w:tcPr>
          <w:p w14:paraId="1F19D7C6" w14:textId="77777777" w:rsidR="00B57597" w:rsidRPr="006C69DB" w:rsidRDefault="00B57597" w:rsidP="006C69DB">
            <w:pPr>
              <w:keepNext/>
              <w:spacing w:after="0"/>
              <w:jc w:val="right"/>
              <w:rPr>
                <w:rFonts w:eastAsia="Calibri"/>
                <w:color w:val="000000"/>
                <w:sz w:val="17"/>
                <w:szCs w:val="17"/>
              </w:rPr>
            </w:pPr>
            <w:r w:rsidRPr="006C69DB">
              <w:rPr>
                <w:color w:val="000000"/>
                <w:sz w:val="17"/>
                <w:szCs w:val="17"/>
              </w:rPr>
              <w:t>35 959 033 163,00</w:t>
            </w:r>
          </w:p>
        </w:tc>
        <w:tc>
          <w:tcPr>
            <w:tcW w:w="802" w:type="pct"/>
            <w:tcBorders>
              <w:top w:val="nil"/>
              <w:left w:val="nil"/>
              <w:bottom w:val="single" w:sz="4" w:space="0" w:color="auto"/>
              <w:right w:val="single" w:sz="4" w:space="0" w:color="auto"/>
            </w:tcBorders>
            <w:shd w:val="clear" w:color="auto" w:fill="auto"/>
            <w:noWrap/>
            <w:vAlign w:val="center"/>
          </w:tcPr>
          <w:p w14:paraId="3D7787E5" w14:textId="77777777" w:rsidR="00B57597" w:rsidRPr="006C69DB" w:rsidRDefault="00B57597" w:rsidP="006C69DB">
            <w:pPr>
              <w:keepNext/>
              <w:spacing w:after="0"/>
              <w:jc w:val="right"/>
              <w:rPr>
                <w:rFonts w:eastAsia="Calibri"/>
                <w:color w:val="000000"/>
                <w:sz w:val="17"/>
                <w:szCs w:val="17"/>
              </w:rPr>
            </w:pPr>
            <w:r w:rsidRPr="006C69DB">
              <w:rPr>
                <w:color w:val="000000"/>
                <w:sz w:val="17"/>
                <w:szCs w:val="17"/>
              </w:rPr>
              <w:t>38 033 890 214,00</w:t>
            </w:r>
          </w:p>
        </w:tc>
        <w:tc>
          <w:tcPr>
            <w:tcW w:w="802" w:type="pct"/>
            <w:tcBorders>
              <w:top w:val="nil"/>
              <w:left w:val="nil"/>
              <w:bottom w:val="single" w:sz="4" w:space="0" w:color="auto"/>
              <w:right w:val="single" w:sz="4" w:space="0" w:color="auto"/>
            </w:tcBorders>
            <w:vAlign w:val="center"/>
          </w:tcPr>
          <w:p w14:paraId="2DA5222D" w14:textId="77777777" w:rsidR="00B57597" w:rsidRPr="006C69DB" w:rsidRDefault="00B57597" w:rsidP="006C69DB">
            <w:pPr>
              <w:keepNext/>
              <w:spacing w:after="0"/>
              <w:jc w:val="right"/>
              <w:rPr>
                <w:rFonts w:eastAsia="Calibri"/>
                <w:color w:val="000000"/>
                <w:sz w:val="17"/>
                <w:szCs w:val="17"/>
              </w:rPr>
            </w:pPr>
            <w:r w:rsidRPr="006C69DB">
              <w:rPr>
                <w:color w:val="000000"/>
                <w:sz w:val="17"/>
                <w:szCs w:val="17"/>
              </w:rPr>
              <w:t>47 725 646 394,00</w:t>
            </w:r>
          </w:p>
        </w:tc>
      </w:tr>
      <w:tr w:rsidR="00B57597" w:rsidRPr="004E3690" w14:paraId="17C77667" w14:textId="77777777" w:rsidTr="006C69DB">
        <w:trPr>
          <w:trHeight w:val="255"/>
        </w:trPr>
        <w:tc>
          <w:tcPr>
            <w:tcW w:w="988" w:type="pct"/>
            <w:tcBorders>
              <w:top w:val="nil"/>
              <w:left w:val="single" w:sz="4" w:space="0" w:color="auto"/>
              <w:bottom w:val="single" w:sz="4" w:space="0" w:color="auto"/>
              <w:right w:val="single" w:sz="4" w:space="0" w:color="auto"/>
            </w:tcBorders>
            <w:shd w:val="clear" w:color="auto" w:fill="auto"/>
            <w:noWrap/>
            <w:vAlign w:val="center"/>
            <w:hideMark/>
          </w:tcPr>
          <w:p w14:paraId="76844420" w14:textId="77777777" w:rsidR="00B57597" w:rsidRPr="004E3690" w:rsidRDefault="00B57597" w:rsidP="006C69DB">
            <w:pPr>
              <w:keepNext/>
              <w:spacing w:after="0"/>
              <w:rPr>
                <w:rFonts w:cs="Calibri"/>
                <w:b/>
                <w:bCs/>
                <w:color w:val="000000"/>
                <w:sz w:val="18"/>
                <w:szCs w:val="18"/>
                <w:lang w:eastAsia="cs-CZ"/>
              </w:rPr>
            </w:pPr>
            <w:r w:rsidRPr="004E3690">
              <w:rPr>
                <w:b/>
                <w:bCs/>
                <w:color w:val="000000"/>
                <w:sz w:val="18"/>
                <w:szCs w:val="18"/>
              </w:rPr>
              <w:t>Rozpočet po změnách</w:t>
            </w:r>
          </w:p>
        </w:tc>
        <w:tc>
          <w:tcPr>
            <w:tcW w:w="802" w:type="pct"/>
            <w:tcBorders>
              <w:top w:val="nil"/>
              <w:left w:val="nil"/>
              <w:bottom w:val="single" w:sz="4" w:space="0" w:color="auto"/>
              <w:right w:val="single" w:sz="4" w:space="0" w:color="auto"/>
            </w:tcBorders>
            <w:shd w:val="clear" w:color="auto" w:fill="auto"/>
            <w:noWrap/>
            <w:vAlign w:val="center"/>
          </w:tcPr>
          <w:p w14:paraId="4B368406" w14:textId="77777777" w:rsidR="00B57597" w:rsidRPr="006C69DB" w:rsidRDefault="00B57597" w:rsidP="006C69DB">
            <w:pPr>
              <w:keepNext/>
              <w:spacing w:after="0"/>
              <w:jc w:val="right"/>
              <w:rPr>
                <w:rFonts w:eastAsia="Calibri"/>
                <w:color w:val="000000"/>
                <w:sz w:val="17"/>
                <w:szCs w:val="17"/>
              </w:rPr>
            </w:pPr>
            <w:r w:rsidRPr="006C69DB">
              <w:rPr>
                <w:color w:val="000000"/>
                <w:sz w:val="17"/>
                <w:szCs w:val="17"/>
              </w:rPr>
              <w:t>39 586 291 901,00</w:t>
            </w:r>
          </w:p>
        </w:tc>
        <w:tc>
          <w:tcPr>
            <w:tcW w:w="802" w:type="pct"/>
            <w:tcBorders>
              <w:top w:val="nil"/>
              <w:left w:val="nil"/>
              <w:bottom w:val="single" w:sz="4" w:space="0" w:color="auto"/>
              <w:right w:val="single" w:sz="4" w:space="0" w:color="auto"/>
            </w:tcBorders>
            <w:shd w:val="clear" w:color="auto" w:fill="auto"/>
            <w:noWrap/>
            <w:vAlign w:val="center"/>
          </w:tcPr>
          <w:p w14:paraId="0573B286" w14:textId="77777777" w:rsidR="00B57597" w:rsidRPr="006C69DB" w:rsidRDefault="00B57597" w:rsidP="006C69DB">
            <w:pPr>
              <w:keepNext/>
              <w:spacing w:after="0"/>
              <w:jc w:val="right"/>
              <w:rPr>
                <w:rFonts w:eastAsia="Calibri"/>
                <w:color w:val="000000"/>
                <w:sz w:val="17"/>
                <w:szCs w:val="17"/>
              </w:rPr>
            </w:pPr>
            <w:r w:rsidRPr="006C69DB">
              <w:rPr>
                <w:color w:val="000000"/>
                <w:sz w:val="17"/>
                <w:szCs w:val="17"/>
              </w:rPr>
              <w:t>37 428 335 330,00</w:t>
            </w:r>
          </w:p>
        </w:tc>
        <w:tc>
          <w:tcPr>
            <w:tcW w:w="802" w:type="pct"/>
            <w:tcBorders>
              <w:top w:val="nil"/>
              <w:left w:val="nil"/>
              <w:bottom w:val="single" w:sz="4" w:space="0" w:color="auto"/>
              <w:right w:val="single" w:sz="4" w:space="0" w:color="auto"/>
            </w:tcBorders>
            <w:shd w:val="clear" w:color="auto" w:fill="auto"/>
            <w:noWrap/>
            <w:vAlign w:val="center"/>
          </w:tcPr>
          <w:p w14:paraId="42947813" w14:textId="77777777" w:rsidR="00B57597" w:rsidRPr="006C69DB" w:rsidRDefault="00B57597" w:rsidP="006C69DB">
            <w:pPr>
              <w:keepNext/>
              <w:spacing w:after="0"/>
              <w:jc w:val="right"/>
              <w:rPr>
                <w:rFonts w:eastAsia="Calibri"/>
                <w:color w:val="000000"/>
                <w:sz w:val="17"/>
                <w:szCs w:val="17"/>
              </w:rPr>
            </w:pPr>
            <w:r w:rsidRPr="006C69DB">
              <w:rPr>
                <w:color w:val="000000"/>
                <w:sz w:val="17"/>
                <w:szCs w:val="17"/>
              </w:rPr>
              <w:t>38 173 560 556,00</w:t>
            </w:r>
          </w:p>
        </w:tc>
        <w:tc>
          <w:tcPr>
            <w:tcW w:w="802" w:type="pct"/>
            <w:tcBorders>
              <w:top w:val="nil"/>
              <w:left w:val="nil"/>
              <w:bottom w:val="single" w:sz="4" w:space="0" w:color="auto"/>
              <w:right w:val="single" w:sz="4" w:space="0" w:color="auto"/>
            </w:tcBorders>
            <w:shd w:val="clear" w:color="auto" w:fill="auto"/>
            <w:noWrap/>
            <w:vAlign w:val="center"/>
          </w:tcPr>
          <w:p w14:paraId="54CF4FFC" w14:textId="77777777" w:rsidR="00B57597" w:rsidRPr="006C69DB" w:rsidRDefault="00B57597" w:rsidP="006C69DB">
            <w:pPr>
              <w:keepNext/>
              <w:spacing w:after="0"/>
              <w:jc w:val="right"/>
              <w:rPr>
                <w:rFonts w:eastAsia="Calibri"/>
                <w:color w:val="000000"/>
                <w:sz w:val="17"/>
                <w:szCs w:val="17"/>
              </w:rPr>
            </w:pPr>
            <w:r w:rsidRPr="006C69DB">
              <w:rPr>
                <w:color w:val="000000"/>
                <w:sz w:val="17"/>
                <w:szCs w:val="17"/>
              </w:rPr>
              <w:t>45 170 661 185,51</w:t>
            </w:r>
          </w:p>
        </w:tc>
        <w:tc>
          <w:tcPr>
            <w:tcW w:w="802" w:type="pct"/>
            <w:tcBorders>
              <w:top w:val="nil"/>
              <w:left w:val="nil"/>
              <w:bottom w:val="single" w:sz="4" w:space="0" w:color="auto"/>
              <w:right w:val="single" w:sz="4" w:space="0" w:color="auto"/>
            </w:tcBorders>
            <w:vAlign w:val="center"/>
          </w:tcPr>
          <w:p w14:paraId="303C63A5" w14:textId="77777777" w:rsidR="00B57597" w:rsidRPr="006C69DB" w:rsidRDefault="00B57597" w:rsidP="006C69DB">
            <w:pPr>
              <w:keepNext/>
              <w:spacing w:after="0"/>
              <w:jc w:val="right"/>
              <w:rPr>
                <w:rFonts w:eastAsia="Calibri"/>
                <w:color w:val="000000"/>
                <w:sz w:val="17"/>
                <w:szCs w:val="17"/>
              </w:rPr>
            </w:pPr>
            <w:r w:rsidRPr="006C69DB">
              <w:rPr>
                <w:color w:val="000000"/>
                <w:sz w:val="17"/>
                <w:szCs w:val="17"/>
              </w:rPr>
              <w:t>76 593 656 103,00</w:t>
            </w:r>
          </w:p>
        </w:tc>
      </w:tr>
      <w:tr w:rsidR="00B57597" w:rsidRPr="004E3690" w14:paraId="7AC0F69E" w14:textId="77777777" w:rsidTr="006C69DB">
        <w:trPr>
          <w:trHeight w:val="255"/>
        </w:trPr>
        <w:tc>
          <w:tcPr>
            <w:tcW w:w="988" w:type="pct"/>
            <w:tcBorders>
              <w:top w:val="nil"/>
              <w:left w:val="single" w:sz="4" w:space="0" w:color="auto"/>
              <w:bottom w:val="single" w:sz="4" w:space="0" w:color="auto"/>
              <w:right w:val="single" w:sz="4" w:space="0" w:color="auto"/>
            </w:tcBorders>
            <w:shd w:val="clear" w:color="auto" w:fill="auto"/>
            <w:noWrap/>
            <w:vAlign w:val="center"/>
          </w:tcPr>
          <w:p w14:paraId="5A160F81" w14:textId="77777777" w:rsidR="00B57597" w:rsidRPr="004E3690" w:rsidRDefault="00B57597" w:rsidP="006C69DB">
            <w:pPr>
              <w:keepNext/>
              <w:spacing w:after="0"/>
              <w:rPr>
                <w:rFonts w:cs="Calibri"/>
                <w:b/>
                <w:bCs/>
                <w:color w:val="000000"/>
                <w:sz w:val="18"/>
                <w:szCs w:val="18"/>
                <w:lang w:eastAsia="cs-CZ"/>
              </w:rPr>
            </w:pPr>
            <w:r w:rsidRPr="004E3690">
              <w:rPr>
                <w:b/>
                <w:bCs/>
                <w:color w:val="000000"/>
                <w:sz w:val="18"/>
                <w:szCs w:val="18"/>
              </w:rPr>
              <w:t>Konečný rozpočet</w:t>
            </w:r>
          </w:p>
        </w:tc>
        <w:tc>
          <w:tcPr>
            <w:tcW w:w="802" w:type="pct"/>
            <w:tcBorders>
              <w:top w:val="nil"/>
              <w:left w:val="nil"/>
              <w:bottom w:val="single" w:sz="4" w:space="0" w:color="auto"/>
              <w:right w:val="single" w:sz="4" w:space="0" w:color="auto"/>
            </w:tcBorders>
            <w:shd w:val="clear" w:color="auto" w:fill="auto"/>
            <w:noWrap/>
            <w:vAlign w:val="center"/>
          </w:tcPr>
          <w:p w14:paraId="1B5DA9A6" w14:textId="77777777" w:rsidR="00B57597" w:rsidRPr="006C69DB" w:rsidRDefault="00B57597" w:rsidP="006C69DB">
            <w:pPr>
              <w:keepNext/>
              <w:spacing w:after="0"/>
              <w:jc w:val="right"/>
              <w:rPr>
                <w:rFonts w:eastAsia="Calibri"/>
                <w:color w:val="000000"/>
                <w:sz w:val="17"/>
                <w:szCs w:val="17"/>
              </w:rPr>
            </w:pPr>
            <w:r w:rsidRPr="006C69DB">
              <w:rPr>
                <w:color w:val="000000"/>
                <w:sz w:val="17"/>
                <w:szCs w:val="17"/>
              </w:rPr>
              <w:t>47 219 206 601,10</w:t>
            </w:r>
          </w:p>
        </w:tc>
        <w:tc>
          <w:tcPr>
            <w:tcW w:w="802" w:type="pct"/>
            <w:tcBorders>
              <w:top w:val="nil"/>
              <w:left w:val="nil"/>
              <w:bottom w:val="single" w:sz="4" w:space="0" w:color="auto"/>
              <w:right w:val="single" w:sz="4" w:space="0" w:color="auto"/>
            </w:tcBorders>
            <w:shd w:val="clear" w:color="auto" w:fill="auto"/>
            <w:noWrap/>
            <w:vAlign w:val="center"/>
          </w:tcPr>
          <w:p w14:paraId="7341FA5A" w14:textId="77777777" w:rsidR="00B57597" w:rsidRPr="006C69DB" w:rsidRDefault="00B57597" w:rsidP="006C69DB">
            <w:pPr>
              <w:keepNext/>
              <w:spacing w:after="0"/>
              <w:jc w:val="right"/>
              <w:rPr>
                <w:rFonts w:eastAsia="Calibri"/>
                <w:color w:val="000000"/>
                <w:sz w:val="17"/>
                <w:szCs w:val="17"/>
              </w:rPr>
            </w:pPr>
            <w:r w:rsidRPr="006C69DB">
              <w:rPr>
                <w:color w:val="000000"/>
                <w:sz w:val="17"/>
                <w:szCs w:val="17"/>
              </w:rPr>
              <w:t>52 297 857 644,38</w:t>
            </w:r>
          </w:p>
        </w:tc>
        <w:tc>
          <w:tcPr>
            <w:tcW w:w="802" w:type="pct"/>
            <w:tcBorders>
              <w:top w:val="nil"/>
              <w:left w:val="nil"/>
              <w:bottom w:val="single" w:sz="4" w:space="0" w:color="auto"/>
              <w:right w:val="single" w:sz="4" w:space="0" w:color="auto"/>
            </w:tcBorders>
            <w:shd w:val="clear" w:color="auto" w:fill="auto"/>
            <w:noWrap/>
            <w:vAlign w:val="center"/>
          </w:tcPr>
          <w:p w14:paraId="452E3F9D" w14:textId="77777777" w:rsidR="00B57597" w:rsidRPr="006C69DB" w:rsidRDefault="00B57597" w:rsidP="006C69DB">
            <w:pPr>
              <w:keepNext/>
              <w:spacing w:after="0"/>
              <w:jc w:val="right"/>
              <w:rPr>
                <w:rFonts w:eastAsia="Calibri"/>
                <w:color w:val="000000"/>
                <w:sz w:val="17"/>
                <w:szCs w:val="17"/>
              </w:rPr>
            </w:pPr>
            <w:r w:rsidRPr="006C69DB">
              <w:rPr>
                <w:color w:val="000000"/>
                <w:sz w:val="17"/>
                <w:szCs w:val="17"/>
              </w:rPr>
              <w:t>51 287 023 511,08</w:t>
            </w:r>
          </w:p>
        </w:tc>
        <w:tc>
          <w:tcPr>
            <w:tcW w:w="802" w:type="pct"/>
            <w:tcBorders>
              <w:top w:val="nil"/>
              <w:left w:val="nil"/>
              <w:bottom w:val="single" w:sz="4" w:space="0" w:color="auto"/>
              <w:right w:val="single" w:sz="4" w:space="0" w:color="auto"/>
            </w:tcBorders>
            <w:shd w:val="clear" w:color="auto" w:fill="auto"/>
            <w:noWrap/>
            <w:vAlign w:val="center"/>
          </w:tcPr>
          <w:p w14:paraId="1A4B39B0" w14:textId="77777777" w:rsidR="00B57597" w:rsidRPr="006C69DB" w:rsidRDefault="00B57597" w:rsidP="006C69DB">
            <w:pPr>
              <w:keepNext/>
              <w:spacing w:after="0"/>
              <w:jc w:val="right"/>
              <w:rPr>
                <w:rFonts w:eastAsia="Calibri"/>
                <w:color w:val="000000"/>
                <w:sz w:val="17"/>
                <w:szCs w:val="17"/>
              </w:rPr>
            </w:pPr>
            <w:r w:rsidRPr="006C69DB">
              <w:rPr>
                <w:color w:val="000000"/>
                <w:sz w:val="17"/>
                <w:szCs w:val="17"/>
              </w:rPr>
              <w:t>51 887 117 144,02</w:t>
            </w:r>
          </w:p>
        </w:tc>
        <w:tc>
          <w:tcPr>
            <w:tcW w:w="802" w:type="pct"/>
            <w:tcBorders>
              <w:top w:val="nil"/>
              <w:left w:val="nil"/>
              <w:bottom w:val="single" w:sz="4" w:space="0" w:color="auto"/>
              <w:right w:val="single" w:sz="4" w:space="0" w:color="auto"/>
            </w:tcBorders>
            <w:vAlign w:val="center"/>
          </w:tcPr>
          <w:p w14:paraId="52F0CBA2" w14:textId="77777777" w:rsidR="00B57597" w:rsidRPr="006C69DB" w:rsidRDefault="00B57597" w:rsidP="006C69DB">
            <w:pPr>
              <w:keepNext/>
              <w:spacing w:after="0"/>
              <w:jc w:val="right"/>
              <w:rPr>
                <w:rFonts w:eastAsia="Calibri"/>
                <w:color w:val="000000"/>
                <w:sz w:val="17"/>
                <w:szCs w:val="17"/>
              </w:rPr>
            </w:pPr>
            <w:r w:rsidRPr="006C69DB">
              <w:rPr>
                <w:color w:val="000000"/>
                <w:sz w:val="17"/>
                <w:szCs w:val="17"/>
              </w:rPr>
              <w:t>80 139 185 298,34</w:t>
            </w:r>
          </w:p>
        </w:tc>
      </w:tr>
      <w:tr w:rsidR="00B57597" w:rsidRPr="004E3690" w14:paraId="5B06D865" w14:textId="77777777" w:rsidTr="006C69DB">
        <w:trPr>
          <w:trHeight w:val="255"/>
        </w:trPr>
        <w:tc>
          <w:tcPr>
            <w:tcW w:w="988" w:type="pct"/>
            <w:tcBorders>
              <w:top w:val="nil"/>
              <w:left w:val="single" w:sz="4" w:space="0" w:color="auto"/>
              <w:bottom w:val="single" w:sz="4" w:space="0" w:color="auto"/>
              <w:right w:val="single" w:sz="4" w:space="0" w:color="auto"/>
            </w:tcBorders>
            <w:shd w:val="clear" w:color="auto" w:fill="auto"/>
            <w:noWrap/>
            <w:vAlign w:val="center"/>
            <w:hideMark/>
          </w:tcPr>
          <w:p w14:paraId="57C1F366" w14:textId="77777777" w:rsidR="00B57597" w:rsidRPr="004E3690" w:rsidRDefault="00B57597" w:rsidP="006C69DB">
            <w:pPr>
              <w:keepNext/>
              <w:spacing w:after="0"/>
              <w:rPr>
                <w:rFonts w:cs="Calibri"/>
                <w:b/>
                <w:bCs/>
                <w:color w:val="000000"/>
                <w:sz w:val="18"/>
                <w:szCs w:val="18"/>
                <w:lang w:eastAsia="cs-CZ"/>
              </w:rPr>
            </w:pPr>
            <w:r w:rsidRPr="004E3690">
              <w:rPr>
                <w:b/>
                <w:bCs/>
                <w:color w:val="000000"/>
                <w:sz w:val="18"/>
                <w:szCs w:val="18"/>
              </w:rPr>
              <w:t>Skutečnost</w:t>
            </w:r>
          </w:p>
        </w:tc>
        <w:tc>
          <w:tcPr>
            <w:tcW w:w="802" w:type="pct"/>
            <w:tcBorders>
              <w:top w:val="nil"/>
              <w:left w:val="nil"/>
              <w:bottom w:val="single" w:sz="4" w:space="0" w:color="auto"/>
              <w:right w:val="single" w:sz="4" w:space="0" w:color="auto"/>
            </w:tcBorders>
            <w:shd w:val="clear" w:color="auto" w:fill="auto"/>
            <w:noWrap/>
            <w:vAlign w:val="center"/>
          </w:tcPr>
          <w:p w14:paraId="46A36E64" w14:textId="77777777" w:rsidR="00B57597" w:rsidRPr="006C69DB" w:rsidRDefault="00B57597" w:rsidP="006C69DB">
            <w:pPr>
              <w:keepNext/>
              <w:spacing w:after="0"/>
              <w:jc w:val="right"/>
              <w:rPr>
                <w:rFonts w:eastAsia="Calibri"/>
                <w:color w:val="000000"/>
                <w:sz w:val="17"/>
                <w:szCs w:val="17"/>
              </w:rPr>
            </w:pPr>
            <w:r w:rsidRPr="006C69DB">
              <w:rPr>
                <w:color w:val="000000"/>
                <w:sz w:val="17"/>
                <w:szCs w:val="17"/>
              </w:rPr>
              <w:t>27 048 707 684,17</w:t>
            </w:r>
          </w:p>
        </w:tc>
        <w:tc>
          <w:tcPr>
            <w:tcW w:w="802" w:type="pct"/>
            <w:tcBorders>
              <w:top w:val="nil"/>
              <w:left w:val="nil"/>
              <w:bottom w:val="single" w:sz="4" w:space="0" w:color="auto"/>
              <w:right w:val="single" w:sz="4" w:space="0" w:color="auto"/>
            </w:tcBorders>
            <w:shd w:val="clear" w:color="auto" w:fill="auto"/>
            <w:noWrap/>
            <w:vAlign w:val="center"/>
          </w:tcPr>
          <w:p w14:paraId="06CEC01C" w14:textId="77777777" w:rsidR="00B57597" w:rsidRPr="006C69DB" w:rsidRDefault="00B57597" w:rsidP="006C69DB">
            <w:pPr>
              <w:keepNext/>
              <w:spacing w:after="0"/>
              <w:jc w:val="right"/>
              <w:rPr>
                <w:rFonts w:eastAsia="Calibri"/>
                <w:color w:val="000000"/>
                <w:sz w:val="17"/>
                <w:szCs w:val="17"/>
              </w:rPr>
            </w:pPr>
            <w:r w:rsidRPr="006C69DB">
              <w:rPr>
                <w:color w:val="000000"/>
                <w:sz w:val="17"/>
                <w:szCs w:val="17"/>
              </w:rPr>
              <w:t>39 395 050 924,00</w:t>
            </w:r>
          </w:p>
        </w:tc>
        <w:tc>
          <w:tcPr>
            <w:tcW w:w="802" w:type="pct"/>
            <w:tcBorders>
              <w:top w:val="nil"/>
              <w:left w:val="nil"/>
              <w:bottom w:val="single" w:sz="4" w:space="0" w:color="auto"/>
              <w:right w:val="single" w:sz="4" w:space="0" w:color="auto"/>
            </w:tcBorders>
            <w:shd w:val="clear" w:color="auto" w:fill="auto"/>
            <w:noWrap/>
            <w:vAlign w:val="center"/>
          </w:tcPr>
          <w:p w14:paraId="44AC941D" w14:textId="77777777" w:rsidR="00B57597" w:rsidRPr="006C69DB" w:rsidRDefault="00B57597" w:rsidP="006C69DB">
            <w:pPr>
              <w:keepNext/>
              <w:spacing w:after="0"/>
              <w:jc w:val="right"/>
              <w:rPr>
                <w:rFonts w:eastAsia="Calibri"/>
                <w:color w:val="000000"/>
                <w:sz w:val="17"/>
                <w:szCs w:val="17"/>
              </w:rPr>
            </w:pPr>
            <w:r w:rsidRPr="006C69DB">
              <w:rPr>
                <w:color w:val="000000"/>
                <w:sz w:val="17"/>
                <w:szCs w:val="17"/>
              </w:rPr>
              <w:t>44 093 685 396,14</w:t>
            </w:r>
          </w:p>
        </w:tc>
        <w:tc>
          <w:tcPr>
            <w:tcW w:w="802" w:type="pct"/>
            <w:tcBorders>
              <w:top w:val="nil"/>
              <w:left w:val="nil"/>
              <w:bottom w:val="single" w:sz="4" w:space="0" w:color="auto"/>
              <w:right w:val="single" w:sz="4" w:space="0" w:color="auto"/>
            </w:tcBorders>
            <w:shd w:val="clear" w:color="auto" w:fill="auto"/>
            <w:noWrap/>
            <w:vAlign w:val="center"/>
          </w:tcPr>
          <w:p w14:paraId="2BBB013E" w14:textId="77777777" w:rsidR="00B57597" w:rsidRPr="006C69DB" w:rsidRDefault="00B57597" w:rsidP="006C69DB">
            <w:pPr>
              <w:keepNext/>
              <w:spacing w:after="0"/>
              <w:jc w:val="right"/>
              <w:rPr>
                <w:rFonts w:eastAsia="Calibri"/>
                <w:color w:val="000000"/>
                <w:sz w:val="17"/>
                <w:szCs w:val="17"/>
              </w:rPr>
            </w:pPr>
            <w:r w:rsidRPr="006C69DB">
              <w:rPr>
                <w:color w:val="000000"/>
                <w:sz w:val="17"/>
                <w:szCs w:val="17"/>
              </w:rPr>
              <w:t>46 306 957 140,93</w:t>
            </w:r>
          </w:p>
        </w:tc>
        <w:tc>
          <w:tcPr>
            <w:tcW w:w="802" w:type="pct"/>
            <w:tcBorders>
              <w:top w:val="nil"/>
              <w:left w:val="nil"/>
              <w:bottom w:val="single" w:sz="4" w:space="0" w:color="auto"/>
              <w:right w:val="single" w:sz="4" w:space="0" w:color="auto"/>
            </w:tcBorders>
            <w:vAlign w:val="center"/>
          </w:tcPr>
          <w:p w14:paraId="402B5FCB" w14:textId="77777777" w:rsidR="00B57597" w:rsidRPr="006C69DB" w:rsidRDefault="00B57597" w:rsidP="006C69DB">
            <w:pPr>
              <w:keepNext/>
              <w:spacing w:after="0"/>
              <w:jc w:val="right"/>
              <w:rPr>
                <w:rFonts w:eastAsia="Calibri"/>
                <w:color w:val="000000"/>
                <w:sz w:val="17"/>
                <w:szCs w:val="17"/>
              </w:rPr>
            </w:pPr>
            <w:r w:rsidRPr="006C69DB">
              <w:rPr>
                <w:color w:val="000000"/>
                <w:sz w:val="17"/>
                <w:szCs w:val="17"/>
              </w:rPr>
              <w:t>59 589 141 370,27</w:t>
            </w:r>
          </w:p>
        </w:tc>
      </w:tr>
    </w:tbl>
    <w:p w14:paraId="30A878E1" w14:textId="77777777" w:rsidR="00B57597" w:rsidRPr="007D36E3" w:rsidRDefault="00B57597" w:rsidP="00B57597">
      <w:pPr>
        <w:spacing w:before="40"/>
        <w:rPr>
          <w:rFonts w:cs="Calibri"/>
          <w:color w:val="000000"/>
          <w:sz w:val="20"/>
          <w:szCs w:val="20"/>
          <w:lang w:eastAsia="cs-CZ"/>
        </w:rPr>
      </w:pPr>
      <w:r w:rsidRPr="007D36E3">
        <w:rPr>
          <w:rFonts w:cs="Calibri"/>
          <w:b/>
          <w:color w:val="000000"/>
          <w:sz w:val="20"/>
          <w:szCs w:val="20"/>
          <w:lang w:eastAsia="cs-CZ"/>
        </w:rPr>
        <w:t xml:space="preserve">Zdroj: </w:t>
      </w:r>
      <w:r w:rsidRPr="007D36E3">
        <w:rPr>
          <w:rFonts w:cs="Calibri"/>
          <w:color w:val="000000"/>
          <w:sz w:val="20"/>
          <w:szCs w:val="20"/>
          <w:lang w:eastAsia="cs-CZ"/>
        </w:rPr>
        <w:t>informační portál MONITOR.</w:t>
      </w:r>
    </w:p>
    <w:p w14:paraId="7D8C714F" w14:textId="314E0AE3" w:rsidR="00B57597" w:rsidRPr="004E3690" w:rsidRDefault="00B57597" w:rsidP="00B57597">
      <w:pPr>
        <w:jc w:val="both"/>
        <w:rPr>
          <w:rFonts w:asciiTheme="minorHAnsi" w:hAnsiTheme="minorHAnsi" w:cstheme="minorHAnsi"/>
        </w:rPr>
      </w:pPr>
      <w:r w:rsidRPr="004E3690">
        <w:rPr>
          <w:rFonts w:asciiTheme="minorHAnsi" w:hAnsiTheme="minorHAnsi" w:cstheme="minorHAnsi"/>
        </w:rPr>
        <w:t xml:space="preserve">Vývoj skutečných výdajů MPO ve sledovaném období v podstatě kopíruje vývoj výdajů celé kapitoly. Při porovnání skutečných výdajů s rozpočtem po změnách lze vidět kolísavou tendenci. V roce 2016 byly skutečné výdaje o 12,54 mld. Kč nižší než rozpočet po změnách, v roce 2020 dokonce o 17 mld. Kč. V roce 2018 naopak skutečnost převýšila rozpočet po změnách o 5,92 mld. Kč. </w:t>
      </w:r>
    </w:p>
    <w:p w14:paraId="362EF548" w14:textId="11B08B46" w:rsidR="00B57597" w:rsidRDefault="00B57597" w:rsidP="00B57597">
      <w:pPr>
        <w:jc w:val="both"/>
        <w:rPr>
          <w:rFonts w:cs="Calibri"/>
          <w:color w:val="212529"/>
          <w:shd w:val="clear" w:color="auto" w:fill="FFFFFF"/>
        </w:rPr>
      </w:pPr>
      <w:r w:rsidRPr="004E3690">
        <w:rPr>
          <w:rFonts w:asciiTheme="minorHAnsi" w:hAnsiTheme="minorHAnsi" w:cstheme="minorHAnsi"/>
        </w:rPr>
        <w:t xml:space="preserve">Schválený rozpočet a rozpočet po změnách vykazují rozdíly zejména v roce 2020, kdy se při plánování rozpočtu na rok 2020 nepočítalo s výdaji spojenými s pandemií </w:t>
      </w:r>
      <w:proofErr w:type="spellStart"/>
      <w:r w:rsidRPr="004E3690">
        <w:rPr>
          <w:rFonts w:asciiTheme="minorHAnsi" w:hAnsiTheme="minorHAnsi" w:cstheme="minorHAnsi"/>
        </w:rPr>
        <w:t>koronaviru</w:t>
      </w:r>
      <w:proofErr w:type="spellEnd"/>
      <w:r w:rsidRPr="004E3690">
        <w:rPr>
          <w:rFonts w:asciiTheme="minorHAnsi" w:hAnsiTheme="minorHAnsi" w:cstheme="minorHAnsi"/>
        </w:rPr>
        <w:t>. V souvislosti s </w:t>
      </w:r>
      <w:proofErr w:type="spellStart"/>
      <w:r w:rsidRPr="004E3690">
        <w:rPr>
          <w:rFonts w:asciiTheme="minorHAnsi" w:hAnsiTheme="minorHAnsi" w:cstheme="minorHAnsi"/>
        </w:rPr>
        <w:t>covidovými</w:t>
      </w:r>
      <w:proofErr w:type="spellEnd"/>
      <w:r w:rsidRPr="004E3690">
        <w:rPr>
          <w:rFonts w:asciiTheme="minorHAnsi" w:hAnsiTheme="minorHAnsi" w:cstheme="minorHAnsi"/>
        </w:rPr>
        <w:t xml:space="preserve"> programy vynaložilo MPO v roc</w:t>
      </w:r>
      <w:r>
        <w:rPr>
          <w:rFonts w:asciiTheme="minorHAnsi" w:hAnsiTheme="minorHAnsi" w:cstheme="minorHAnsi"/>
        </w:rPr>
        <w:t>e 2020 částku přesahující 13,36 </w:t>
      </w:r>
      <w:r w:rsidRPr="004E3690">
        <w:rPr>
          <w:rFonts w:asciiTheme="minorHAnsi" w:hAnsiTheme="minorHAnsi" w:cstheme="minorHAnsi"/>
        </w:rPr>
        <w:t>mld.</w:t>
      </w:r>
      <w:r w:rsidR="006C69DB">
        <w:rPr>
          <w:rFonts w:asciiTheme="minorHAnsi" w:hAnsiTheme="minorHAnsi" w:cstheme="minorHAnsi"/>
        </w:rPr>
        <w:t> </w:t>
      </w:r>
      <w:r w:rsidRPr="004E3690">
        <w:rPr>
          <w:rFonts w:asciiTheme="minorHAnsi" w:hAnsiTheme="minorHAnsi" w:cstheme="minorHAnsi"/>
        </w:rPr>
        <w:t xml:space="preserve">Kč, což představuje 22,43 % celkových výdajů MPO. Z hlediska rozpočtové skladby je rozložení výdajů MPO obdobné rozložení výdajů celé kapitoly 322, tudíž nejvíce (77,87% celkových výdajů MPO) bylo vynaloženo </w:t>
      </w:r>
      <w:r w:rsidRPr="004E3690">
        <w:rPr>
          <w:rFonts w:cs="Calibri"/>
        </w:rPr>
        <w:t xml:space="preserve">na investiční a </w:t>
      </w:r>
      <w:r w:rsidRPr="004E3690">
        <w:rPr>
          <w:rFonts w:cs="Calibri"/>
          <w:color w:val="212529"/>
          <w:shd w:val="clear" w:color="auto" w:fill="FFFFFF"/>
        </w:rPr>
        <w:t xml:space="preserve">neinvestiční transfery nefinančním podnikatelským subjektům-právnickým osobám, a to i kvůli výdajům vynaloženým v rámci </w:t>
      </w:r>
      <w:proofErr w:type="spellStart"/>
      <w:r w:rsidRPr="004E3690">
        <w:rPr>
          <w:rFonts w:cs="Calibri"/>
          <w:color w:val="212529"/>
          <w:shd w:val="clear" w:color="auto" w:fill="FFFFFF"/>
        </w:rPr>
        <w:t>covidových</w:t>
      </w:r>
      <w:proofErr w:type="spellEnd"/>
      <w:r w:rsidRPr="004E3690">
        <w:rPr>
          <w:rFonts w:cs="Calibri"/>
          <w:color w:val="212529"/>
          <w:shd w:val="clear" w:color="auto" w:fill="FFFFFF"/>
        </w:rPr>
        <w:t xml:space="preserve"> programů MPO.</w:t>
      </w:r>
    </w:p>
    <w:p w14:paraId="74DD4644" w14:textId="4250EEA4" w:rsidR="00B57597" w:rsidRPr="006C69DB" w:rsidRDefault="00B57597" w:rsidP="00B57597">
      <w:pPr>
        <w:pStyle w:val="Titulek1"/>
        <w:rPr>
          <w:sz w:val="24"/>
        </w:rPr>
      </w:pPr>
      <w:r w:rsidRPr="006C69DB">
        <w:rPr>
          <w:sz w:val="24"/>
        </w:rPr>
        <w:t xml:space="preserve">Tabulka č. </w:t>
      </w:r>
      <w:r w:rsidR="001529C4" w:rsidRPr="006C69DB">
        <w:rPr>
          <w:sz w:val="24"/>
        </w:rPr>
        <w:fldChar w:fldCharType="begin"/>
      </w:r>
      <w:r w:rsidR="001529C4" w:rsidRPr="006C69DB">
        <w:rPr>
          <w:sz w:val="24"/>
        </w:rPr>
        <w:instrText xml:space="preserve"> SEQ Tabulka \* ARABIC </w:instrText>
      </w:r>
      <w:r w:rsidR="001529C4" w:rsidRPr="006C69DB">
        <w:rPr>
          <w:sz w:val="24"/>
        </w:rPr>
        <w:fldChar w:fldCharType="separate"/>
      </w:r>
      <w:r w:rsidR="00E544AA">
        <w:rPr>
          <w:noProof/>
          <w:sz w:val="24"/>
        </w:rPr>
        <w:t>7</w:t>
      </w:r>
      <w:r w:rsidR="001529C4" w:rsidRPr="006C69DB">
        <w:rPr>
          <w:noProof/>
          <w:sz w:val="24"/>
        </w:rPr>
        <w:fldChar w:fldCharType="end"/>
      </w:r>
      <w:r w:rsidRPr="006C69DB">
        <w:rPr>
          <w:sz w:val="24"/>
        </w:rPr>
        <w:t>: Výdaje OSS rozpočtové kapitoly 322 (bez MPO</w:t>
      </w:r>
      <w:r w:rsidR="0004392B">
        <w:rPr>
          <w:sz w:val="24"/>
        </w:rPr>
        <w:t>;</w:t>
      </w:r>
      <w:r w:rsidRPr="006C69DB">
        <w:rPr>
          <w:sz w:val="24"/>
        </w:rPr>
        <w:t xml:space="preserve"> v Kč)</w:t>
      </w:r>
    </w:p>
    <w:tbl>
      <w:tblPr>
        <w:tblW w:w="4972" w:type="pct"/>
        <w:tblCellMar>
          <w:left w:w="70" w:type="dxa"/>
          <w:right w:w="70" w:type="dxa"/>
        </w:tblCellMar>
        <w:tblLook w:val="04A0" w:firstRow="1" w:lastRow="0" w:firstColumn="1" w:lastColumn="0" w:noHBand="0" w:noVBand="1"/>
      </w:tblPr>
      <w:tblGrid>
        <w:gridCol w:w="1781"/>
        <w:gridCol w:w="1446"/>
        <w:gridCol w:w="1446"/>
        <w:gridCol w:w="1446"/>
        <w:gridCol w:w="1445"/>
        <w:gridCol w:w="1445"/>
      </w:tblGrid>
      <w:tr w:rsidR="00B57597" w:rsidRPr="004E3690" w14:paraId="1863925E" w14:textId="77777777" w:rsidTr="006C69DB">
        <w:trPr>
          <w:trHeight w:val="255"/>
        </w:trPr>
        <w:tc>
          <w:tcPr>
            <w:tcW w:w="988"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67DD8281" w14:textId="77777777" w:rsidR="00B57597" w:rsidRPr="004E3690" w:rsidRDefault="00B57597" w:rsidP="006C69DB">
            <w:pPr>
              <w:spacing w:after="0"/>
              <w:rPr>
                <w:rFonts w:cs="Calibri"/>
                <w:b/>
                <w:bCs/>
                <w:color w:val="000000"/>
                <w:sz w:val="18"/>
                <w:szCs w:val="18"/>
                <w:lang w:eastAsia="cs-CZ"/>
              </w:rPr>
            </w:pPr>
            <w:r w:rsidRPr="004E3690">
              <w:rPr>
                <w:b/>
                <w:bCs/>
                <w:color w:val="000000"/>
                <w:sz w:val="18"/>
                <w:szCs w:val="18"/>
              </w:rPr>
              <w:t>Rozpočet</w:t>
            </w:r>
          </w:p>
        </w:tc>
        <w:tc>
          <w:tcPr>
            <w:tcW w:w="802" w:type="pct"/>
            <w:tcBorders>
              <w:top w:val="single" w:sz="4" w:space="0" w:color="auto"/>
              <w:left w:val="nil"/>
              <w:bottom w:val="single" w:sz="4" w:space="0" w:color="auto"/>
              <w:right w:val="single" w:sz="4" w:space="0" w:color="auto"/>
            </w:tcBorders>
            <w:shd w:val="clear" w:color="auto" w:fill="E5F1FF"/>
            <w:noWrap/>
            <w:vAlign w:val="center"/>
            <w:hideMark/>
          </w:tcPr>
          <w:p w14:paraId="37E48CF8" w14:textId="77777777" w:rsidR="00B57597" w:rsidRPr="004E3690" w:rsidRDefault="00B57597" w:rsidP="006C69DB">
            <w:pPr>
              <w:spacing w:after="0"/>
              <w:jc w:val="center"/>
              <w:rPr>
                <w:rFonts w:cs="Calibri"/>
                <w:b/>
                <w:bCs/>
                <w:color w:val="000000"/>
                <w:sz w:val="18"/>
                <w:szCs w:val="18"/>
                <w:lang w:eastAsia="cs-CZ"/>
              </w:rPr>
            </w:pPr>
            <w:r w:rsidRPr="004E3690">
              <w:rPr>
                <w:b/>
                <w:bCs/>
                <w:color w:val="000000"/>
                <w:sz w:val="18"/>
                <w:szCs w:val="18"/>
              </w:rPr>
              <w:t>2016</w:t>
            </w:r>
          </w:p>
        </w:tc>
        <w:tc>
          <w:tcPr>
            <w:tcW w:w="802" w:type="pct"/>
            <w:tcBorders>
              <w:top w:val="single" w:sz="4" w:space="0" w:color="auto"/>
              <w:left w:val="nil"/>
              <w:bottom w:val="single" w:sz="4" w:space="0" w:color="auto"/>
              <w:right w:val="single" w:sz="4" w:space="0" w:color="auto"/>
            </w:tcBorders>
            <w:shd w:val="clear" w:color="auto" w:fill="E5F1FF"/>
            <w:noWrap/>
            <w:vAlign w:val="center"/>
            <w:hideMark/>
          </w:tcPr>
          <w:p w14:paraId="5600D478" w14:textId="77777777" w:rsidR="00B57597" w:rsidRPr="004E3690" w:rsidRDefault="00B57597" w:rsidP="006C69DB">
            <w:pPr>
              <w:spacing w:after="0"/>
              <w:jc w:val="center"/>
              <w:rPr>
                <w:rFonts w:cs="Calibri"/>
                <w:b/>
                <w:bCs/>
                <w:color w:val="000000"/>
                <w:sz w:val="18"/>
                <w:szCs w:val="18"/>
                <w:lang w:eastAsia="cs-CZ"/>
              </w:rPr>
            </w:pPr>
            <w:r w:rsidRPr="004E3690">
              <w:rPr>
                <w:b/>
                <w:bCs/>
                <w:color w:val="000000"/>
                <w:sz w:val="18"/>
                <w:szCs w:val="18"/>
              </w:rPr>
              <w:t>2017</w:t>
            </w:r>
          </w:p>
        </w:tc>
        <w:tc>
          <w:tcPr>
            <w:tcW w:w="802" w:type="pct"/>
            <w:tcBorders>
              <w:top w:val="single" w:sz="4" w:space="0" w:color="auto"/>
              <w:left w:val="nil"/>
              <w:bottom w:val="single" w:sz="4" w:space="0" w:color="auto"/>
              <w:right w:val="single" w:sz="4" w:space="0" w:color="auto"/>
            </w:tcBorders>
            <w:shd w:val="clear" w:color="auto" w:fill="E5F1FF"/>
            <w:noWrap/>
            <w:vAlign w:val="center"/>
            <w:hideMark/>
          </w:tcPr>
          <w:p w14:paraId="78E3D948" w14:textId="77777777" w:rsidR="00B57597" w:rsidRPr="004E3690" w:rsidRDefault="00B57597" w:rsidP="006C69DB">
            <w:pPr>
              <w:spacing w:after="0"/>
              <w:jc w:val="center"/>
              <w:rPr>
                <w:rFonts w:cs="Calibri"/>
                <w:b/>
                <w:bCs/>
                <w:color w:val="000000"/>
                <w:sz w:val="18"/>
                <w:szCs w:val="18"/>
                <w:lang w:eastAsia="cs-CZ"/>
              </w:rPr>
            </w:pPr>
            <w:r w:rsidRPr="004E3690">
              <w:rPr>
                <w:b/>
                <w:bCs/>
                <w:color w:val="000000"/>
                <w:sz w:val="18"/>
                <w:szCs w:val="18"/>
              </w:rPr>
              <w:t>2018</w:t>
            </w:r>
          </w:p>
        </w:tc>
        <w:tc>
          <w:tcPr>
            <w:tcW w:w="802" w:type="pct"/>
            <w:tcBorders>
              <w:top w:val="single" w:sz="4" w:space="0" w:color="auto"/>
              <w:left w:val="nil"/>
              <w:bottom w:val="single" w:sz="4" w:space="0" w:color="auto"/>
              <w:right w:val="single" w:sz="4" w:space="0" w:color="auto"/>
            </w:tcBorders>
            <w:shd w:val="clear" w:color="auto" w:fill="E5F1FF"/>
            <w:noWrap/>
            <w:vAlign w:val="center"/>
            <w:hideMark/>
          </w:tcPr>
          <w:p w14:paraId="58138941" w14:textId="77777777" w:rsidR="00B57597" w:rsidRPr="004E3690" w:rsidRDefault="00B57597" w:rsidP="006C69DB">
            <w:pPr>
              <w:spacing w:after="0"/>
              <w:jc w:val="center"/>
              <w:rPr>
                <w:rFonts w:cs="Calibri"/>
                <w:b/>
                <w:bCs/>
                <w:color w:val="000000"/>
                <w:sz w:val="18"/>
                <w:szCs w:val="18"/>
                <w:lang w:eastAsia="cs-CZ"/>
              </w:rPr>
            </w:pPr>
            <w:r w:rsidRPr="004E3690">
              <w:rPr>
                <w:b/>
                <w:bCs/>
                <w:color w:val="000000"/>
                <w:sz w:val="18"/>
                <w:szCs w:val="18"/>
              </w:rPr>
              <w:t>2019</w:t>
            </w:r>
          </w:p>
        </w:tc>
        <w:tc>
          <w:tcPr>
            <w:tcW w:w="802" w:type="pct"/>
            <w:tcBorders>
              <w:top w:val="single" w:sz="4" w:space="0" w:color="auto"/>
              <w:left w:val="nil"/>
              <w:bottom w:val="single" w:sz="4" w:space="0" w:color="auto"/>
              <w:right w:val="single" w:sz="4" w:space="0" w:color="auto"/>
            </w:tcBorders>
            <w:shd w:val="clear" w:color="auto" w:fill="E5F1FF"/>
            <w:vAlign w:val="center"/>
          </w:tcPr>
          <w:p w14:paraId="00856440" w14:textId="77777777" w:rsidR="00B57597" w:rsidRPr="004E3690" w:rsidRDefault="00B57597" w:rsidP="006C69DB">
            <w:pPr>
              <w:spacing w:after="0"/>
              <w:jc w:val="center"/>
              <w:rPr>
                <w:rFonts w:cs="Calibri"/>
                <w:b/>
                <w:bCs/>
                <w:color w:val="000000"/>
                <w:sz w:val="18"/>
                <w:szCs w:val="18"/>
                <w:lang w:eastAsia="cs-CZ"/>
              </w:rPr>
            </w:pPr>
            <w:r w:rsidRPr="004E3690">
              <w:rPr>
                <w:b/>
                <w:bCs/>
                <w:color w:val="000000"/>
                <w:sz w:val="18"/>
                <w:szCs w:val="18"/>
              </w:rPr>
              <w:t>2020</w:t>
            </w:r>
          </w:p>
        </w:tc>
      </w:tr>
      <w:tr w:rsidR="00B57597" w:rsidRPr="004E3690" w14:paraId="43FDD6CE" w14:textId="77777777" w:rsidTr="006C69DB">
        <w:trPr>
          <w:trHeight w:val="255"/>
        </w:trPr>
        <w:tc>
          <w:tcPr>
            <w:tcW w:w="988" w:type="pct"/>
            <w:tcBorders>
              <w:top w:val="nil"/>
              <w:left w:val="single" w:sz="4" w:space="0" w:color="auto"/>
              <w:bottom w:val="single" w:sz="4" w:space="0" w:color="auto"/>
              <w:right w:val="single" w:sz="4" w:space="0" w:color="auto"/>
            </w:tcBorders>
            <w:shd w:val="clear" w:color="auto" w:fill="auto"/>
            <w:noWrap/>
            <w:vAlign w:val="center"/>
            <w:hideMark/>
          </w:tcPr>
          <w:p w14:paraId="3EF2CC95" w14:textId="77777777" w:rsidR="00B57597" w:rsidRPr="004E3690" w:rsidRDefault="00B57597" w:rsidP="006C69DB">
            <w:pPr>
              <w:spacing w:after="0"/>
              <w:rPr>
                <w:rFonts w:cs="Calibri"/>
                <w:b/>
                <w:bCs/>
                <w:color w:val="000000"/>
                <w:sz w:val="18"/>
                <w:szCs w:val="18"/>
                <w:lang w:eastAsia="cs-CZ"/>
              </w:rPr>
            </w:pPr>
            <w:r w:rsidRPr="004E3690">
              <w:rPr>
                <w:b/>
                <w:bCs/>
                <w:color w:val="000000"/>
                <w:sz w:val="18"/>
                <w:szCs w:val="18"/>
              </w:rPr>
              <w:t>Schválený rozpočet</w:t>
            </w:r>
          </w:p>
        </w:tc>
        <w:tc>
          <w:tcPr>
            <w:tcW w:w="802" w:type="pct"/>
            <w:tcBorders>
              <w:top w:val="nil"/>
              <w:left w:val="nil"/>
              <w:bottom w:val="single" w:sz="4" w:space="0" w:color="auto"/>
              <w:right w:val="single" w:sz="4" w:space="0" w:color="auto"/>
            </w:tcBorders>
            <w:shd w:val="clear" w:color="auto" w:fill="auto"/>
            <w:noWrap/>
            <w:vAlign w:val="center"/>
          </w:tcPr>
          <w:p w14:paraId="039F4A75" w14:textId="77777777" w:rsidR="00B57597" w:rsidRPr="006C69DB" w:rsidRDefault="00B57597" w:rsidP="006C69DB">
            <w:pPr>
              <w:spacing w:after="0"/>
              <w:jc w:val="right"/>
              <w:rPr>
                <w:rFonts w:eastAsia="Calibri" w:cs="Calibri"/>
                <w:color w:val="000000"/>
                <w:sz w:val="17"/>
                <w:szCs w:val="17"/>
              </w:rPr>
            </w:pPr>
            <w:r w:rsidRPr="006C69DB">
              <w:rPr>
                <w:color w:val="000000"/>
                <w:sz w:val="17"/>
                <w:szCs w:val="17"/>
              </w:rPr>
              <w:t>704 253 386,00</w:t>
            </w:r>
          </w:p>
        </w:tc>
        <w:tc>
          <w:tcPr>
            <w:tcW w:w="802" w:type="pct"/>
            <w:tcBorders>
              <w:top w:val="nil"/>
              <w:left w:val="nil"/>
              <w:bottom w:val="single" w:sz="4" w:space="0" w:color="auto"/>
              <w:right w:val="single" w:sz="4" w:space="0" w:color="auto"/>
            </w:tcBorders>
            <w:shd w:val="clear" w:color="auto" w:fill="auto"/>
            <w:noWrap/>
            <w:vAlign w:val="center"/>
          </w:tcPr>
          <w:p w14:paraId="10F82FE4" w14:textId="77777777" w:rsidR="00B57597" w:rsidRPr="006C69DB" w:rsidRDefault="00B57597" w:rsidP="006C69DB">
            <w:pPr>
              <w:spacing w:after="0"/>
              <w:jc w:val="right"/>
              <w:rPr>
                <w:rFonts w:eastAsia="Calibri" w:cs="Calibri"/>
                <w:color w:val="000000"/>
                <w:sz w:val="17"/>
                <w:szCs w:val="17"/>
              </w:rPr>
            </w:pPr>
            <w:r w:rsidRPr="006C69DB">
              <w:rPr>
                <w:color w:val="000000"/>
                <w:sz w:val="17"/>
                <w:szCs w:val="17"/>
              </w:rPr>
              <w:t>1 293 285 364,00</w:t>
            </w:r>
          </w:p>
        </w:tc>
        <w:tc>
          <w:tcPr>
            <w:tcW w:w="802" w:type="pct"/>
            <w:tcBorders>
              <w:top w:val="nil"/>
              <w:left w:val="nil"/>
              <w:bottom w:val="single" w:sz="4" w:space="0" w:color="auto"/>
              <w:right w:val="single" w:sz="4" w:space="0" w:color="auto"/>
            </w:tcBorders>
            <w:shd w:val="clear" w:color="auto" w:fill="auto"/>
            <w:noWrap/>
            <w:vAlign w:val="center"/>
          </w:tcPr>
          <w:p w14:paraId="1C51F8F3" w14:textId="77777777" w:rsidR="00B57597" w:rsidRPr="006C69DB" w:rsidRDefault="00B57597" w:rsidP="006C69DB">
            <w:pPr>
              <w:spacing w:after="0"/>
              <w:jc w:val="right"/>
              <w:rPr>
                <w:rFonts w:eastAsia="Calibri" w:cs="Calibri"/>
                <w:color w:val="000000"/>
                <w:sz w:val="17"/>
                <w:szCs w:val="17"/>
              </w:rPr>
            </w:pPr>
            <w:r w:rsidRPr="006C69DB">
              <w:rPr>
                <w:color w:val="000000"/>
                <w:sz w:val="17"/>
                <w:szCs w:val="17"/>
              </w:rPr>
              <w:t>1 622 695 473,00</w:t>
            </w:r>
          </w:p>
        </w:tc>
        <w:tc>
          <w:tcPr>
            <w:tcW w:w="802" w:type="pct"/>
            <w:tcBorders>
              <w:top w:val="nil"/>
              <w:left w:val="nil"/>
              <w:bottom w:val="single" w:sz="4" w:space="0" w:color="auto"/>
              <w:right w:val="single" w:sz="4" w:space="0" w:color="auto"/>
            </w:tcBorders>
            <w:shd w:val="clear" w:color="auto" w:fill="auto"/>
            <w:noWrap/>
            <w:vAlign w:val="center"/>
          </w:tcPr>
          <w:p w14:paraId="0FC841D2" w14:textId="77777777" w:rsidR="00B57597" w:rsidRPr="006C69DB" w:rsidRDefault="00B57597" w:rsidP="006C69DB">
            <w:pPr>
              <w:spacing w:after="0"/>
              <w:jc w:val="right"/>
              <w:rPr>
                <w:rFonts w:eastAsia="Calibri" w:cs="Calibri"/>
                <w:color w:val="000000"/>
                <w:sz w:val="17"/>
                <w:szCs w:val="17"/>
              </w:rPr>
            </w:pPr>
            <w:r w:rsidRPr="006C69DB">
              <w:rPr>
                <w:color w:val="000000"/>
                <w:sz w:val="17"/>
                <w:szCs w:val="17"/>
              </w:rPr>
              <w:t>1 562 782 064,00</w:t>
            </w:r>
          </w:p>
        </w:tc>
        <w:tc>
          <w:tcPr>
            <w:tcW w:w="802" w:type="pct"/>
            <w:tcBorders>
              <w:top w:val="nil"/>
              <w:left w:val="nil"/>
              <w:bottom w:val="single" w:sz="4" w:space="0" w:color="auto"/>
              <w:right w:val="single" w:sz="4" w:space="0" w:color="auto"/>
            </w:tcBorders>
            <w:vAlign w:val="center"/>
          </w:tcPr>
          <w:p w14:paraId="1091C9F8" w14:textId="77777777" w:rsidR="00B57597" w:rsidRPr="006C69DB" w:rsidRDefault="00B57597" w:rsidP="006C69DB">
            <w:pPr>
              <w:spacing w:after="0"/>
              <w:jc w:val="right"/>
              <w:rPr>
                <w:rFonts w:eastAsia="Calibri" w:cs="Calibri"/>
                <w:color w:val="000000"/>
                <w:sz w:val="17"/>
                <w:szCs w:val="17"/>
              </w:rPr>
            </w:pPr>
            <w:r w:rsidRPr="006C69DB">
              <w:rPr>
                <w:color w:val="000000"/>
                <w:sz w:val="17"/>
                <w:szCs w:val="17"/>
              </w:rPr>
              <w:t>1 378 453 865,00</w:t>
            </w:r>
          </w:p>
        </w:tc>
      </w:tr>
      <w:tr w:rsidR="00B57597" w:rsidRPr="004E3690" w14:paraId="6C5E14BB" w14:textId="77777777" w:rsidTr="006C69DB">
        <w:trPr>
          <w:trHeight w:val="255"/>
        </w:trPr>
        <w:tc>
          <w:tcPr>
            <w:tcW w:w="988" w:type="pct"/>
            <w:tcBorders>
              <w:top w:val="nil"/>
              <w:left w:val="single" w:sz="4" w:space="0" w:color="auto"/>
              <w:bottom w:val="single" w:sz="4" w:space="0" w:color="auto"/>
              <w:right w:val="single" w:sz="4" w:space="0" w:color="auto"/>
            </w:tcBorders>
            <w:shd w:val="clear" w:color="auto" w:fill="auto"/>
            <w:noWrap/>
            <w:vAlign w:val="center"/>
            <w:hideMark/>
          </w:tcPr>
          <w:p w14:paraId="7C268103" w14:textId="77777777" w:rsidR="00B57597" w:rsidRPr="004E3690" w:rsidRDefault="00B57597" w:rsidP="006C69DB">
            <w:pPr>
              <w:spacing w:after="0"/>
              <w:rPr>
                <w:rFonts w:cs="Calibri"/>
                <w:b/>
                <w:bCs/>
                <w:color w:val="000000"/>
                <w:sz w:val="18"/>
                <w:szCs w:val="18"/>
                <w:lang w:eastAsia="cs-CZ"/>
              </w:rPr>
            </w:pPr>
            <w:r w:rsidRPr="004E3690">
              <w:rPr>
                <w:b/>
                <w:bCs/>
                <w:color w:val="000000"/>
                <w:sz w:val="18"/>
                <w:szCs w:val="18"/>
              </w:rPr>
              <w:t>Rozpočet po změnách</w:t>
            </w:r>
          </w:p>
        </w:tc>
        <w:tc>
          <w:tcPr>
            <w:tcW w:w="802" w:type="pct"/>
            <w:tcBorders>
              <w:top w:val="nil"/>
              <w:left w:val="nil"/>
              <w:bottom w:val="single" w:sz="4" w:space="0" w:color="auto"/>
              <w:right w:val="single" w:sz="4" w:space="0" w:color="auto"/>
            </w:tcBorders>
            <w:shd w:val="clear" w:color="auto" w:fill="auto"/>
            <w:noWrap/>
            <w:vAlign w:val="center"/>
          </w:tcPr>
          <w:p w14:paraId="6C304AAC" w14:textId="77777777" w:rsidR="00B57597" w:rsidRPr="006C69DB" w:rsidRDefault="00B57597" w:rsidP="006C69DB">
            <w:pPr>
              <w:spacing w:after="0"/>
              <w:jc w:val="right"/>
              <w:rPr>
                <w:rFonts w:eastAsia="Calibri" w:cs="Calibri"/>
                <w:color w:val="000000"/>
                <w:sz w:val="17"/>
                <w:szCs w:val="17"/>
              </w:rPr>
            </w:pPr>
            <w:r w:rsidRPr="006C69DB">
              <w:rPr>
                <w:color w:val="000000"/>
                <w:sz w:val="17"/>
                <w:szCs w:val="17"/>
              </w:rPr>
              <w:t>732 740 192,00</w:t>
            </w:r>
          </w:p>
        </w:tc>
        <w:tc>
          <w:tcPr>
            <w:tcW w:w="802" w:type="pct"/>
            <w:tcBorders>
              <w:top w:val="nil"/>
              <w:left w:val="nil"/>
              <w:bottom w:val="single" w:sz="4" w:space="0" w:color="auto"/>
              <w:right w:val="single" w:sz="4" w:space="0" w:color="auto"/>
            </w:tcBorders>
            <w:shd w:val="clear" w:color="auto" w:fill="auto"/>
            <w:noWrap/>
            <w:vAlign w:val="center"/>
          </w:tcPr>
          <w:p w14:paraId="13AD889F" w14:textId="77777777" w:rsidR="00B57597" w:rsidRPr="006C69DB" w:rsidRDefault="00B57597" w:rsidP="006C69DB">
            <w:pPr>
              <w:spacing w:after="0"/>
              <w:jc w:val="right"/>
              <w:rPr>
                <w:rFonts w:eastAsia="Calibri" w:cs="Calibri"/>
                <w:color w:val="000000"/>
                <w:sz w:val="17"/>
                <w:szCs w:val="17"/>
              </w:rPr>
            </w:pPr>
            <w:r w:rsidRPr="006C69DB">
              <w:rPr>
                <w:color w:val="000000"/>
                <w:sz w:val="17"/>
                <w:szCs w:val="17"/>
              </w:rPr>
              <w:t>1 346 793 877,00</w:t>
            </w:r>
          </w:p>
        </w:tc>
        <w:tc>
          <w:tcPr>
            <w:tcW w:w="802" w:type="pct"/>
            <w:tcBorders>
              <w:top w:val="nil"/>
              <w:left w:val="nil"/>
              <w:bottom w:val="single" w:sz="4" w:space="0" w:color="auto"/>
              <w:right w:val="single" w:sz="4" w:space="0" w:color="auto"/>
            </w:tcBorders>
            <w:shd w:val="clear" w:color="auto" w:fill="auto"/>
            <w:noWrap/>
            <w:vAlign w:val="center"/>
          </w:tcPr>
          <w:p w14:paraId="035EF10A" w14:textId="77777777" w:rsidR="00B57597" w:rsidRPr="006C69DB" w:rsidRDefault="00B57597" w:rsidP="006C69DB">
            <w:pPr>
              <w:spacing w:after="0"/>
              <w:jc w:val="right"/>
              <w:rPr>
                <w:rFonts w:eastAsia="Calibri" w:cs="Calibri"/>
                <w:color w:val="000000"/>
                <w:sz w:val="17"/>
                <w:szCs w:val="17"/>
              </w:rPr>
            </w:pPr>
            <w:r w:rsidRPr="006C69DB">
              <w:rPr>
                <w:color w:val="000000"/>
                <w:sz w:val="17"/>
                <w:szCs w:val="17"/>
              </w:rPr>
              <w:t>1 673 527 123,00</w:t>
            </w:r>
          </w:p>
        </w:tc>
        <w:tc>
          <w:tcPr>
            <w:tcW w:w="802" w:type="pct"/>
            <w:tcBorders>
              <w:top w:val="nil"/>
              <w:left w:val="nil"/>
              <w:bottom w:val="single" w:sz="4" w:space="0" w:color="auto"/>
              <w:right w:val="single" w:sz="4" w:space="0" w:color="auto"/>
            </w:tcBorders>
            <w:shd w:val="clear" w:color="auto" w:fill="auto"/>
            <w:noWrap/>
            <w:vAlign w:val="center"/>
          </w:tcPr>
          <w:p w14:paraId="6C51C5BA" w14:textId="77777777" w:rsidR="00B57597" w:rsidRPr="006C69DB" w:rsidRDefault="00B57597" w:rsidP="006C69DB">
            <w:pPr>
              <w:spacing w:after="0"/>
              <w:jc w:val="right"/>
              <w:rPr>
                <w:rFonts w:eastAsia="Calibri" w:cs="Calibri"/>
                <w:color w:val="000000"/>
                <w:sz w:val="17"/>
                <w:szCs w:val="17"/>
              </w:rPr>
            </w:pPr>
            <w:r w:rsidRPr="006C69DB">
              <w:rPr>
                <w:color w:val="000000"/>
                <w:sz w:val="17"/>
                <w:szCs w:val="17"/>
              </w:rPr>
              <w:t>1 787 436 658,49</w:t>
            </w:r>
          </w:p>
        </w:tc>
        <w:tc>
          <w:tcPr>
            <w:tcW w:w="802" w:type="pct"/>
            <w:tcBorders>
              <w:top w:val="nil"/>
              <w:left w:val="nil"/>
              <w:bottom w:val="single" w:sz="4" w:space="0" w:color="auto"/>
              <w:right w:val="single" w:sz="4" w:space="0" w:color="auto"/>
            </w:tcBorders>
            <w:vAlign w:val="center"/>
          </w:tcPr>
          <w:p w14:paraId="181B5A26" w14:textId="77777777" w:rsidR="00B57597" w:rsidRPr="006C69DB" w:rsidRDefault="00B57597" w:rsidP="006C69DB">
            <w:pPr>
              <w:spacing w:after="0"/>
              <w:jc w:val="right"/>
              <w:rPr>
                <w:rFonts w:eastAsia="Calibri" w:cs="Calibri"/>
                <w:color w:val="000000"/>
                <w:sz w:val="17"/>
                <w:szCs w:val="17"/>
              </w:rPr>
            </w:pPr>
            <w:r w:rsidRPr="006C69DB">
              <w:rPr>
                <w:color w:val="000000"/>
                <w:sz w:val="17"/>
                <w:szCs w:val="17"/>
              </w:rPr>
              <w:t>1 449 628 283,00</w:t>
            </w:r>
          </w:p>
        </w:tc>
      </w:tr>
      <w:tr w:rsidR="00B57597" w:rsidRPr="004E3690" w14:paraId="01632E4D" w14:textId="77777777" w:rsidTr="006C69DB">
        <w:trPr>
          <w:trHeight w:val="255"/>
        </w:trPr>
        <w:tc>
          <w:tcPr>
            <w:tcW w:w="988" w:type="pct"/>
            <w:tcBorders>
              <w:top w:val="nil"/>
              <w:left w:val="single" w:sz="4" w:space="0" w:color="auto"/>
              <w:bottom w:val="single" w:sz="4" w:space="0" w:color="auto"/>
              <w:right w:val="single" w:sz="4" w:space="0" w:color="auto"/>
            </w:tcBorders>
            <w:shd w:val="clear" w:color="auto" w:fill="auto"/>
            <w:noWrap/>
            <w:vAlign w:val="center"/>
          </w:tcPr>
          <w:p w14:paraId="704E3B39" w14:textId="77777777" w:rsidR="00B57597" w:rsidRPr="004E3690" w:rsidRDefault="00B57597" w:rsidP="006C69DB">
            <w:pPr>
              <w:spacing w:after="0"/>
              <w:rPr>
                <w:rFonts w:cs="Calibri"/>
                <w:b/>
                <w:bCs/>
                <w:color w:val="000000"/>
                <w:sz w:val="18"/>
                <w:szCs w:val="18"/>
                <w:lang w:eastAsia="cs-CZ"/>
              </w:rPr>
            </w:pPr>
            <w:r w:rsidRPr="004E3690">
              <w:rPr>
                <w:b/>
                <w:bCs/>
                <w:color w:val="000000"/>
                <w:sz w:val="18"/>
                <w:szCs w:val="18"/>
              </w:rPr>
              <w:t>Konečný rozpočet</w:t>
            </w:r>
          </w:p>
        </w:tc>
        <w:tc>
          <w:tcPr>
            <w:tcW w:w="802" w:type="pct"/>
            <w:tcBorders>
              <w:top w:val="nil"/>
              <w:left w:val="nil"/>
              <w:bottom w:val="single" w:sz="4" w:space="0" w:color="auto"/>
              <w:right w:val="single" w:sz="4" w:space="0" w:color="auto"/>
            </w:tcBorders>
            <w:shd w:val="clear" w:color="auto" w:fill="auto"/>
            <w:noWrap/>
            <w:vAlign w:val="center"/>
          </w:tcPr>
          <w:p w14:paraId="0442EC20" w14:textId="77777777" w:rsidR="00B57597" w:rsidRPr="006C69DB" w:rsidRDefault="00B57597" w:rsidP="006C69DB">
            <w:pPr>
              <w:spacing w:after="0"/>
              <w:jc w:val="right"/>
              <w:rPr>
                <w:rFonts w:eastAsia="Calibri" w:cs="Calibri"/>
                <w:color w:val="000000"/>
                <w:sz w:val="17"/>
                <w:szCs w:val="17"/>
              </w:rPr>
            </w:pPr>
            <w:r w:rsidRPr="006C69DB">
              <w:rPr>
                <w:color w:val="000000"/>
                <w:sz w:val="17"/>
                <w:szCs w:val="17"/>
              </w:rPr>
              <w:t>776 491 728,76</w:t>
            </w:r>
          </w:p>
        </w:tc>
        <w:tc>
          <w:tcPr>
            <w:tcW w:w="802" w:type="pct"/>
            <w:tcBorders>
              <w:top w:val="nil"/>
              <w:left w:val="nil"/>
              <w:bottom w:val="single" w:sz="4" w:space="0" w:color="auto"/>
              <w:right w:val="single" w:sz="4" w:space="0" w:color="auto"/>
            </w:tcBorders>
            <w:shd w:val="clear" w:color="auto" w:fill="auto"/>
            <w:noWrap/>
            <w:vAlign w:val="center"/>
          </w:tcPr>
          <w:p w14:paraId="16694931" w14:textId="77777777" w:rsidR="00B57597" w:rsidRPr="006C69DB" w:rsidRDefault="00B57597" w:rsidP="006C69DB">
            <w:pPr>
              <w:spacing w:after="0"/>
              <w:jc w:val="right"/>
              <w:rPr>
                <w:rFonts w:eastAsia="Calibri" w:cs="Calibri"/>
                <w:color w:val="000000"/>
                <w:sz w:val="17"/>
                <w:szCs w:val="17"/>
              </w:rPr>
            </w:pPr>
            <w:r w:rsidRPr="006C69DB">
              <w:rPr>
                <w:color w:val="000000"/>
                <w:sz w:val="17"/>
                <w:szCs w:val="17"/>
              </w:rPr>
              <w:t>1 438 267 167,81</w:t>
            </w:r>
          </w:p>
        </w:tc>
        <w:tc>
          <w:tcPr>
            <w:tcW w:w="802" w:type="pct"/>
            <w:tcBorders>
              <w:top w:val="nil"/>
              <w:left w:val="nil"/>
              <w:bottom w:val="single" w:sz="4" w:space="0" w:color="auto"/>
              <w:right w:val="single" w:sz="4" w:space="0" w:color="auto"/>
            </w:tcBorders>
            <w:shd w:val="clear" w:color="auto" w:fill="auto"/>
            <w:noWrap/>
            <w:vAlign w:val="center"/>
          </w:tcPr>
          <w:p w14:paraId="60298DCD" w14:textId="77777777" w:rsidR="00B57597" w:rsidRPr="006C69DB" w:rsidRDefault="00B57597" w:rsidP="006C69DB">
            <w:pPr>
              <w:spacing w:after="0"/>
              <w:jc w:val="right"/>
              <w:rPr>
                <w:rFonts w:eastAsia="Calibri" w:cs="Calibri"/>
                <w:color w:val="000000"/>
                <w:sz w:val="17"/>
                <w:szCs w:val="17"/>
              </w:rPr>
            </w:pPr>
            <w:r w:rsidRPr="006C69DB">
              <w:rPr>
                <w:color w:val="000000"/>
                <w:sz w:val="17"/>
                <w:szCs w:val="17"/>
              </w:rPr>
              <w:t>1 732 051 716,49</w:t>
            </w:r>
          </w:p>
        </w:tc>
        <w:tc>
          <w:tcPr>
            <w:tcW w:w="802" w:type="pct"/>
            <w:tcBorders>
              <w:top w:val="nil"/>
              <w:left w:val="nil"/>
              <w:bottom w:val="single" w:sz="4" w:space="0" w:color="auto"/>
              <w:right w:val="single" w:sz="4" w:space="0" w:color="auto"/>
            </w:tcBorders>
            <w:shd w:val="clear" w:color="auto" w:fill="auto"/>
            <w:noWrap/>
            <w:vAlign w:val="center"/>
          </w:tcPr>
          <w:p w14:paraId="3531E9BC" w14:textId="77777777" w:rsidR="00B57597" w:rsidRPr="006C69DB" w:rsidRDefault="00B57597" w:rsidP="006C69DB">
            <w:pPr>
              <w:spacing w:after="0"/>
              <w:jc w:val="right"/>
              <w:rPr>
                <w:rFonts w:eastAsia="Calibri" w:cs="Calibri"/>
                <w:color w:val="000000"/>
                <w:sz w:val="17"/>
                <w:szCs w:val="17"/>
              </w:rPr>
            </w:pPr>
            <w:r w:rsidRPr="006C69DB">
              <w:rPr>
                <w:color w:val="000000"/>
                <w:sz w:val="17"/>
                <w:szCs w:val="17"/>
              </w:rPr>
              <w:t>1 971 463 933,66</w:t>
            </w:r>
          </w:p>
        </w:tc>
        <w:tc>
          <w:tcPr>
            <w:tcW w:w="802" w:type="pct"/>
            <w:tcBorders>
              <w:top w:val="nil"/>
              <w:left w:val="nil"/>
              <w:bottom w:val="single" w:sz="4" w:space="0" w:color="auto"/>
              <w:right w:val="single" w:sz="4" w:space="0" w:color="auto"/>
            </w:tcBorders>
            <w:vAlign w:val="center"/>
          </w:tcPr>
          <w:p w14:paraId="56E0993A" w14:textId="77777777" w:rsidR="00B57597" w:rsidRPr="006C69DB" w:rsidRDefault="00B57597" w:rsidP="006C69DB">
            <w:pPr>
              <w:spacing w:after="0"/>
              <w:jc w:val="right"/>
              <w:rPr>
                <w:rFonts w:eastAsia="Calibri" w:cs="Calibri"/>
                <w:color w:val="000000"/>
                <w:sz w:val="17"/>
                <w:szCs w:val="17"/>
              </w:rPr>
            </w:pPr>
            <w:r w:rsidRPr="006C69DB">
              <w:rPr>
                <w:color w:val="000000"/>
                <w:sz w:val="17"/>
                <w:szCs w:val="17"/>
              </w:rPr>
              <w:t>1 813 135 658,73</w:t>
            </w:r>
          </w:p>
        </w:tc>
      </w:tr>
      <w:tr w:rsidR="00B57597" w:rsidRPr="004E3690" w14:paraId="17750289" w14:textId="77777777" w:rsidTr="006C69DB">
        <w:trPr>
          <w:trHeight w:val="255"/>
        </w:trPr>
        <w:tc>
          <w:tcPr>
            <w:tcW w:w="988" w:type="pct"/>
            <w:tcBorders>
              <w:top w:val="nil"/>
              <w:left w:val="single" w:sz="4" w:space="0" w:color="auto"/>
              <w:bottom w:val="single" w:sz="4" w:space="0" w:color="auto"/>
              <w:right w:val="single" w:sz="4" w:space="0" w:color="auto"/>
            </w:tcBorders>
            <w:shd w:val="clear" w:color="auto" w:fill="auto"/>
            <w:noWrap/>
            <w:vAlign w:val="center"/>
            <w:hideMark/>
          </w:tcPr>
          <w:p w14:paraId="54F3E67C" w14:textId="77777777" w:rsidR="00B57597" w:rsidRPr="004E3690" w:rsidRDefault="00B57597" w:rsidP="006C69DB">
            <w:pPr>
              <w:spacing w:after="0"/>
              <w:rPr>
                <w:rFonts w:cs="Calibri"/>
                <w:b/>
                <w:bCs/>
                <w:color w:val="000000"/>
                <w:sz w:val="18"/>
                <w:szCs w:val="18"/>
                <w:lang w:eastAsia="cs-CZ"/>
              </w:rPr>
            </w:pPr>
            <w:r w:rsidRPr="004E3690">
              <w:rPr>
                <w:b/>
                <w:bCs/>
                <w:color w:val="000000"/>
                <w:sz w:val="18"/>
                <w:szCs w:val="18"/>
              </w:rPr>
              <w:t>Skutečnost</w:t>
            </w:r>
          </w:p>
        </w:tc>
        <w:tc>
          <w:tcPr>
            <w:tcW w:w="802" w:type="pct"/>
            <w:tcBorders>
              <w:top w:val="nil"/>
              <w:left w:val="nil"/>
              <w:bottom w:val="single" w:sz="4" w:space="0" w:color="auto"/>
              <w:right w:val="single" w:sz="4" w:space="0" w:color="auto"/>
            </w:tcBorders>
            <w:shd w:val="clear" w:color="auto" w:fill="auto"/>
            <w:noWrap/>
            <w:vAlign w:val="center"/>
          </w:tcPr>
          <w:p w14:paraId="2BDE0AD3" w14:textId="77777777" w:rsidR="00B57597" w:rsidRPr="006C69DB" w:rsidRDefault="00B57597" w:rsidP="006C69DB">
            <w:pPr>
              <w:spacing w:after="0"/>
              <w:jc w:val="right"/>
              <w:rPr>
                <w:rFonts w:eastAsia="Calibri" w:cs="Calibri"/>
                <w:color w:val="000000"/>
                <w:sz w:val="17"/>
                <w:szCs w:val="17"/>
              </w:rPr>
            </w:pPr>
            <w:r w:rsidRPr="006C69DB">
              <w:rPr>
                <w:color w:val="000000"/>
                <w:sz w:val="17"/>
                <w:szCs w:val="17"/>
              </w:rPr>
              <w:t>686 332 979,22</w:t>
            </w:r>
          </w:p>
        </w:tc>
        <w:tc>
          <w:tcPr>
            <w:tcW w:w="802" w:type="pct"/>
            <w:tcBorders>
              <w:top w:val="nil"/>
              <w:left w:val="nil"/>
              <w:bottom w:val="single" w:sz="4" w:space="0" w:color="auto"/>
              <w:right w:val="single" w:sz="4" w:space="0" w:color="auto"/>
            </w:tcBorders>
            <w:shd w:val="clear" w:color="auto" w:fill="auto"/>
            <w:noWrap/>
            <w:vAlign w:val="center"/>
          </w:tcPr>
          <w:p w14:paraId="0052158D" w14:textId="77777777" w:rsidR="00B57597" w:rsidRPr="006C69DB" w:rsidRDefault="00B57597" w:rsidP="006C69DB">
            <w:pPr>
              <w:spacing w:after="0"/>
              <w:jc w:val="right"/>
              <w:rPr>
                <w:rFonts w:eastAsia="Calibri" w:cs="Calibri"/>
                <w:color w:val="000000"/>
                <w:sz w:val="17"/>
                <w:szCs w:val="17"/>
              </w:rPr>
            </w:pPr>
            <w:r w:rsidRPr="006C69DB">
              <w:rPr>
                <w:color w:val="000000"/>
                <w:sz w:val="17"/>
                <w:szCs w:val="17"/>
              </w:rPr>
              <w:t>1 273 575 086,17</w:t>
            </w:r>
          </w:p>
        </w:tc>
        <w:tc>
          <w:tcPr>
            <w:tcW w:w="802" w:type="pct"/>
            <w:tcBorders>
              <w:top w:val="nil"/>
              <w:left w:val="nil"/>
              <w:bottom w:val="single" w:sz="4" w:space="0" w:color="auto"/>
              <w:right w:val="single" w:sz="4" w:space="0" w:color="auto"/>
            </w:tcBorders>
            <w:shd w:val="clear" w:color="auto" w:fill="auto"/>
            <w:noWrap/>
            <w:vAlign w:val="center"/>
          </w:tcPr>
          <w:p w14:paraId="68116DFB" w14:textId="77777777" w:rsidR="00B57597" w:rsidRPr="006C69DB" w:rsidRDefault="00B57597" w:rsidP="006C69DB">
            <w:pPr>
              <w:spacing w:after="0"/>
              <w:jc w:val="right"/>
              <w:rPr>
                <w:rFonts w:eastAsia="Calibri" w:cs="Calibri"/>
                <w:color w:val="000000"/>
                <w:sz w:val="17"/>
                <w:szCs w:val="17"/>
              </w:rPr>
            </w:pPr>
            <w:r w:rsidRPr="006C69DB">
              <w:rPr>
                <w:color w:val="000000"/>
                <w:sz w:val="17"/>
                <w:szCs w:val="17"/>
              </w:rPr>
              <w:t>1 294 263 854,49</w:t>
            </w:r>
          </w:p>
        </w:tc>
        <w:tc>
          <w:tcPr>
            <w:tcW w:w="802" w:type="pct"/>
            <w:tcBorders>
              <w:top w:val="nil"/>
              <w:left w:val="nil"/>
              <w:bottom w:val="single" w:sz="4" w:space="0" w:color="auto"/>
              <w:right w:val="single" w:sz="4" w:space="0" w:color="auto"/>
            </w:tcBorders>
            <w:shd w:val="clear" w:color="auto" w:fill="auto"/>
            <w:noWrap/>
            <w:vAlign w:val="center"/>
          </w:tcPr>
          <w:p w14:paraId="7FB51305" w14:textId="77777777" w:rsidR="00B57597" w:rsidRPr="006C69DB" w:rsidRDefault="00B57597" w:rsidP="006C69DB">
            <w:pPr>
              <w:spacing w:after="0"/>
              <w:jc w:val="right"/>
              <w:rPr>
                <w:rFonts w:eastAsia="Calibri" w:cs="Calibri"/>
                <w:color w:val="000000"/>
                <w:sz w:val="17"/>
                <w:szCs w:val="17"/>
              </w:rPr>
            </w:pPr>
            <w:r w:rsidRPr="006C69DB">
              <w:rPr>
                <w:color w:val="000000"/>
                <w:sz w:val="17"/>
                <w:szCs w:val="17"/>
              </w:rPr>
              <w:t>1 342 143 928,32</w:t>
            </w:r>
          </w:p>
        </w:tc>
        <w:tc>
          <w:tcPr>
            <w:tcW w:w="802" w:type="pct"/>
            <w:tcBorders>
              <w:top w:val="nil"/>
              <w:left w:val="nil"/>
              <w:bottom w:val="single" w:sz="4" w:space="0" w:color="auto"/>
              <w:right w:val="single" w:sz="4" w:space="0" w:color="auto"/>
            </w:tcBorders>
            <w:vAlign w:val="center"/>
          </w:tcPr>
          <w:p w14:paraId="60A79110" w14:textId="77777777" w:rsidR="00B57597" w:rsidRPr="006C69DB" w:rsidRDefault="00B57597" w:rsidP="006C69DB">
            <w:pPr>
              <w:spacing w:after="0"/>
              <w:jc w:val="right"/>
              <w:rPr>
                <w:rFonts w:eastAsia="Calibri" w:cs="Calibri"/>
                <w:color w:val="000000"/>
                <w:sz w:val="17"/>
                <w:szCs w:val="17"/>
              </w:rPr>
            </w:pPr>
            <w:r w:rsidRPr="006C69DB">
              <w:rPr>
                <w:color w:val="000000"/>
                <w:sz w:val="17"/>
                <w:szCs w:val="17"/>
              </w:rPr>
              <w:t>1 315 503 076,12</w:t>
            </w:r>
          </w:p>
        </w:tc>
      </w:tr>
    </w:tbl>
    <w:p w14:paraId="7EEEEE93" w14:textId="77777777" w:rsidR="00B57597" w:rsidRPr="007D36E3" w:rsidRDefault="00B57597" w:rsidP="00B57597">
      <w:pPr>
        <w:spacing w:before="40"/>
        <w:rPr>
          <w:rFonts w:cs="Calibri"/>
          <w:color w:val="000000"/>
          <w:sz w:val="20"/>
          <w:szCs w:val="20"/>
          <w:lang w:eastAsia="cs-CZ"/>
        </w:rPr>
      </w:pPr>
      <w:bookmarkStart w:id="27" w:name="_Toc520714928"/>
      <w:r w:rsidRPr="007D36E3">
        <w:rPr>
          <w:rFonts w:cs="Calibri"/>
          <w:b/>
          <w:color w:val="000000"/>
          <w:sz w:val="20"/>
          <w:szCs w:val="20"/>
          <w:lang w:eastAsia="cs-CZ"/>
        </w:rPr>
        <w:t xml:space="preserve">Zdroj: </w:t>
      </w:r>
      <w:r w:rsidRPr="007D36E3">
        <w:rPr>
          <w:rFonts w:cs="Calibri"/>
          <w:color w:val="000000"/>
          <w:sz w:val="20"/>
          <w:szCs w:val="20"/>
          <w:lang w:eastAsia="cs-CZ"/>
        </w:rPr>
        <w:t>informační portál MONITOR.</w:t>
      </w:r>
    </w:p>
    <w:bookmarkEnd w:id="27"/>
    <w:p w14:paraId="4908CE25" w14:textId="77777777" w:rsidR="00B57597" w:rsidRPr="004E3690" w:rsidRDefault="00B57597" w:rsidP="00B57597">
      <w:pPr>
        <w:jc w:val="both"/>
        <w:rPr>
          <w:rFonts w:eastAsia="Calibri" w:cs="Calibri"/>
          <w:szCs w:val="22"/>
        </w:rPr>
      </w:pPr>
      <w:r w:rsidRPr="004E3690">
        <w:rPr>
          <w:rFonts w:eastAsia="Calibri" w:cs="Calibri"/>
          <w:szCs w:val="22"/>
        </w:rPr>
        <w:t>Ve sledovaném období byly skutečné výdaje u OSS (bez MPO) vždy nižší než rozpočet po změnách. V celém sledovaném období vykazují skutečné výdaje rostoucí tendenci, přičemž mezi roky 2016 a 2020 došlo k jejich nárůstu o 629,17 mil. Kč, tj. 91,67 %.</w:t>
      </w:r>
    </w:p>
    <w:p w14:paraId="35D26A2F" w14:textId="77777777" w:rsidR="00B57597" w:rsidRPr="004E3690" w:rsidRDefault="00B57597" w:rsidP="00B57597">
      <w:pPr>
        <w:jc w:val="both"/>
        <w:rPr>
          <w:rFonts w:eastAsia="Calibri" w:cs="Calibri"/>
          <w:szCs w:val="22"/>
        </w:rPr>
      </w:pPr>
      <w:r w:rsidRPr="004E3690">
        <w:rPr>
          <w:rFonts w:eastAsia="Calibri" w:cs="Calibri"/>
          <w:szCs w:val="22"/>
        </w:rPr>
        <w:t xml:space="preserve">Nejvyšších skutečných výdajů v roce 2020 dosáhla OSS SÚRAO (491,08 mil. Kč) a OSS ČOI (388,81 mil. Kč). Nejnižších výdajů v kapitole dosáhla OSS </w:t>
      </w:r>
      <w:r w:rsidRPr="004E3690">
        <w:rPr>
          <w:rFonts w:asciiTheme="minorHAnsi" w:hAnsiTheme="minorHAnsi" w:cstheme="minorHAnsi"/>
        </w:rPr>
        <w:t>ČÚZZS</w:t>
      </w:r>
      <w:r w:rsidRPr="004E3690">
        <w:rPr>
          <w:rFonts w:eastAsia="Calibri" w:cs="Calibri"/>
          <w:szCs w:val="22"/>
        </w:rPr>
        <w:t xml:space="preserve"> (55,7 mil. Kč).</w:t>
      </w:r>
    </w:p>
    <w:p w14:paraId="4B3C5565" w14:textId="77777777" w:rsidR="00B57597" w:rsidRDefault="00B57597" w:rsidP="00B57597">
      <w:pPr>
        <w:jc w:val="both"/>
        <w:rPr>
          <w:rFonts w:cs="Calibri"/>
          <w:color w:val="212529"/>
          <w:shd w:val="clear" w:color="auto" w:fill="FFFFFF"/>
        </w:rPr>
      </w:pPr>
    </w:p>
    <w:p w14:paraId="64A4EA6B" w14:textId="77777777" w:rsidR="00B57597" w:rsidRPr="004E3690" w:rsidRDefault="00B57597" w:rsidP="006C69DB">
      <w:pPr>
        <w:pStyle w:val="Nadpis3"/>
        <w:numPr>
          <w:ilvl w:val="0"/>
          <w:numId w:val="0"/>
        </w:numPr>
        <w:spacing w:after="120"/>
        <w:ind w:left="720" w:hanging="720"/>
        <w:contextualSpacing w:val="0"/>
        <w:jc w:val="center"/>
      </w:pPr>
      <w:bookmarkStart w:id="28" w:name="_Toc519242399"/>
      <w:bookmarkStart w:id="29" w:name="_Toc17204903"/>
      <w:bookmarkStart w:id="30" w:name="_Toc71514617"/>
      <w:bookmarkStart w:id="31" w:name="_Toc8984523"/>
      <w:bookmarkStart w:id="32" w:name="_Toc72157462"/>
      <w:r w:rsidRPr="004E3690">
        <w:t>Oddíl III. Porovnání příjmů a výnosů v rozpočtové kapitole 3</w:t>
      </w:r>
      <w:bookmarkEnd w:id="28"/>
      <w:bookmarkEnd w:id="29"/>
      <w:r w:rsidRPr="004E3690">
        <w:t>22</w:t>
      </w:r>
      <w:bookmarkEnd w:id="30"/>
      <w:r>
        <w:t xml:space="preserve"> v letech 2016–2020</w:t>
      </w:r>
    </w:p>
    <w:p w14:paraId="25C1E5D6" w14:textId="07D7119D" w:rsidR="00B57597" w:rsidRPr="006C69DB" w:rsidRDefault="00B57597" w:rsidP="006C69DB">
      <w:pPr>
        <w:pStyle w:val="Titulek1"/>
        <w:tabs>
          <w:tab w:val="clear" w:pos="1134"/>
          <w:tab w:val="clear" w:pos="9356"/>
          <w:tab w:val="left" w:pos="1418"/>
          <w:tab w:val="right" w:pos="9072"/>
        </w:tabs>
        <w:ind w:left="1418" w:hanging="1418"/>
        <w:rPr>
          <w:sz w:val="24"/>
        </w:rPr>
      </w:pPr>
      <w:bookmarkStart w:id="33" w:name="_Toc520714317"/>
      <w:bookmarkStart w:id="34" w:name="_Toc8984524"/>
      <w:bookmarkStart w:id="35" w:name="_Toc72157457"/>
      <w:r w:rsidRPr="006C69DB">
        <w:rPr>
          <w:sz w:val="24"/>
        </w:rPr>
        <w:t xml:space="preserve">Tabulka č. </w:t>
      </w:r>
      <w:r w:rsidR="001529C4" w:rsidRPr="006C69DB">
        <w:rPr>
          <w:sz w:val="24"/>
        </w:rPr>
        <w:fldChar w:fldCharType="begin"/>
      </w:r>
      <w:r w:rsidR="001529C4" w:rsidRPr="006C69DB">
        <w:rPr>
          <w:sz w:val="24"/>
        </w:rPr>
        <w:instrText xml:space="preserve"> SEQ Tabulka \* ARABIC </w:instrText>
      </w:r>
      <w:r w:rsidR="001529C4" w:rsidRPr="006C69DB">
        <w:rPr>
          <w:sz w:val="24"/>
        </w:rPr>
        <w:fldChar w:fldCharType="separate"/>
      </w:r>
      <w:r w:rsidR="00E544AA">
        <w:rPr>
          <w:noProof/>
          <w:sz w:val="24"/>
        </w:rPr>
        <w:t>8</w:t>
      </w:r>
      <w:r w:rsidR="001529C4" w:rsidRPr="006C69DB">
        <w:rPr>
          <w:noProof/>
          <w:sz w:val="24"/>
        </w:rPr>
        <w:fldChar w:fldCharType="end"/>
      </w:r>
      <w:r w:rsidRPr="006C69DB">
        <w:rPr>
          <w:sz w:val="24"/>
        </w:rPr>
        <w:t xml:space="preserve">: </w:t>
      </w:r>
      <w:r w:rsidR="003857F0">
        <w:rPr>
          <w:sz w:val="24"/>
        </w:rPr>
        <w:tab/>
      </w:r>
      <w:r w:rsidRPr="006C69DB">
        <w:rPr>
          <w:sz w:val="24"/>
        </w:rPr>
        <w:t>Porovnání příjmů a výnosů za všechny OSS v rozpočtové kapitole 322 vč. MPO (v Kč)</w:t>
      </w:r>
      <w:bookmarkEnd w:id="33"/>
      <w:bookmarkEnd w:id="34"/>
      <w:bookmarkEnd w:id="35"/>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2"/>
        <w:gridCol w:w="1474"/>
        <w:gridCol w:w="1474"/>
        <w:gridCol w:w="1474"/>
        <w:gridCol w:w="1474"/>
        <w:gridCol w:w="1474"/>
      </w:tblGrid>
      <w:tr w:rsidR="00B57597" w:rsidRPr="004E3690" w14:paraId="2F573C2F" w14:textId="77777777" w:rsidTr="003857F0">
        <w:trPr>
          <w:trHeight w:val="255"/>
        </w:trPr>
        <w:tc>
          <w:tcPr>
            <w:tcW w:w="925" w:type="pct"/>
            <w:shd w:val="clear" w:color="auto" w:fill="E5F1FF"/>
            <w:noWrap/>
            <w:vAlign w:val="center"/>
            <w:hideMark/>
          </w:tcPr>
          <w:p w14:paraId="1A9B09DA" w14:textId="77777777" w:rsidR="00B57597" w:rsidRPr="004E3690" w:rsidRDefault="00B57597" w:rsidP="003857F0">
            <w:pPr>
              <w:spacing w:after="0"/>
              <w:rPr>
                <w:rFonts w:cs="Calibri"/>
                <w:b/>
                <w:bCs/>
                <w:color w:val="000000"/>
                <w:sz w:val="18"/>
                <w:szCs w:val="18"/>
                <w:lang w:eastAsia="cs-CZ"/>
              </w:rPr>
            </w:pPr>
            <w:r w:rsidRPr="004E3690">
              <w:rPr>
                <w:b/>
                <w:bCs/>
                <w:color w:val="000000"/>
                <w:sz w:val="18"/>
                <w:szCs w:val="18"/>
              </w:rPr>
              <w:t>Ukazatel</w:t>
            </w:r>
          </w:p>
        </w:tc>
        <w:tc>
          <w:tcPr>
            <w:tcW w:w="815" w:type="pct"/>
            <w:shd w:val="clear" w:color="auto" w:fill="E5F1FF"/>
            <w:noWrap/>
            <w:vAlign w:val="center"/>
            <w:hideMark/>
          </w:tcPr>
          <w:p w14:paraId="48D5B222" w14:textId="77777777" w:rsidR="00B57597" w:rsidRPr="004E3690" w:rsidRDefault="00B57597" w:rsidP="003857F0">
            <w:pPr>
              <w:spacing w:after="0"/>
              <w:jc w:val="center"/>
              <w:rPr>
                <w:rFonts w:cs="Calibri"/>
                <w:b/>
                <w:bCs/>
                <w:color w:val="000000"/>
                <w:sz w:val="18"/>
                <w:szCs w:val="18"/>
                <w:lang w:eastAsia="cs-CZ"/>
              </w:rPr>
            </w:pPr>
            <w:r w:rsidRPr="004E3690">
              <w:rPr>
                <w:b/>
                <w:bCs/>
                <w:color w:val="000000"/>
                <w:sz w:val="18"/>
                <w:szCs w:val="18"/>
              </w:rPr>
              <w:t>2016</w:t>
            </w:r>
          </w:p>
        </w:tc>
        <w:tc>
          <w:tcPr>
            <w:tcW w:w="815" w:type="pct"/>
            <w:shd w:val="clear" w:color="auto" w:fill="E5F1FF"/>
            <w:noWrap/>
            <w:vAlign w:val="center"/>
            <w:hideMark/>
          </w:tcPr>
          <w:p w14:paraId="491F9632" w14:textId="77777777" w:rsidR="00B57597" w:rsidRPr="004E3690" w:rsidRDefault="00B57597" w:rsidP="003857F0">
            <w:pPr>
              <w:spacing w:after="0"/>
              <w:jc w:val="center"/>
              <w:rPr>
                <w:rFonts w:cs="Calibri"/>
                <w:b/>
                <w:bCs/>
                <w:color w:val="000000"/>
                <w:sz w:val="18"/>
                <w:szCs w:val="18"/>
                <w:lang w:eastAsia="cs-CZ"/>
              </w:rPr>
            </w:pPr>
            <w:r w:rsidRPr="004E3690">
              <w:rPr>
                <w:b/>
                <w:bCs/>
                <w:color w:val="000000"/>
                <w:sz w:val="18"/>
                <w:szCs w:val="18"/>
              </w:rPr>
              <w:t>2017</w:t>
            </w:r>
          </w:p>
        </w:tc>
        <w:tc>
          <w:tcPr>
            <w:tcW w:w="815" w:type="pct"/>
            <w:shd w:val="clear" w:color="auto" w:fill="E5F1FF"/>
            <w:noWrap/>
            <w:vAlign w:val="center"/>
            <w:hideMark/>
          </w:tcPr>
          <w:p w14:paraId="5BD1DFD1" w14:textId="77777777" w:rsidR="00B57597" w:rsidRPr="004E3690" w:rsidRDefault="00B57597" w:rsidP="003857F0">
            <w:pPr>
              <w:spacing w:after="0"/>
              <w:jc w:val="center"/>
              <w:rPr>
                <w:rFonts w:cs="Calibri"/>
                <w:b/>
                <w:bCs/>
                <w:color w:val="000000"/>
                <w:sz w:val="18"/>
                <w:szCs w:val="18"/>
                <w:lang w:eastAsia="cs-CZ"/>
              </w:rPr>
            </w:pPr>
            <w:r w:rsidRPr="004E3690">
              <w:rPr>
                <w:b/>
                <w:bCs/>
                <w:color w:val="000000"/>
                <w:sz w:val="18"/>
                <w:szCs w:val="18"/>
              </w:rPr>
              <w:t>2018</w:t>
            </w:r>
          </w:p>
        </w:tc>
        <w:tc>
          <w:tcPr>
            <w:tcW w:w="815" w:type="pct"/>
            <w:shd w:val="clear" w:color="auto" w:fill="E5F1FF"/>
            <w:noWrap/>
            <w:vAlign w:val="center"/>
            <w:hideMark/>
          </w:tcPr>
          <w:p w14:paraId="1D844519" w14:textId="77777777" w:rsidR="00B57597" w:rsidRPr="004E3690" w:rsidRDefault="00B57597" w:rsidP="003857F0">
            <w:pPr>
              <w:spacing w:after="0"/>
              <w:jc w:val="center"/>
              <w:rPr>
                <w:rFonts w:cs="Calibri"/>
                <w:b/>
                <w:bCs/>
                <w:color w:val="000000"/>
                <w:sz w:val="18"/>
                <w:szCs w:val="18"/>
                <w:lang w:eastAsia="cs-CZ"/>
              </w:rPr>
            </w:pPr>
            <w:r w:rsidRPr="004E3690">
              <w:rPr>
                <w:b/>
                <w:bCs/>
                <w:color w:val="000000"/>
                <w:sz w:val="18"/>
                <w:szCs w:val="18"/>
              </w:rPr>
              <w:t>2019</w:t>
            </w:r>
          </w:p>
        </w:tc>
        <w:tc>
          <w:tcPr>
            <w:tcW w:w="815" w:type="pct"/>
            <w:shd w:val="clear" w:color="auto" w:fill="E5F1FF"/>
            <w:vAlign w:val="center"/>
          </w:tcPr>
          <w:p w14:paraId="765B8055" w14:textId="77777777" w:rsidR="00B57597" w:rsidRPr="004E3690" w:rsidRDefault="00B57597" w:rsidP="003857F0">
            <w:pPr>
              <w:spacing w:after="0"/>
              <w:jc w:val="center"/>
              <w:rPr>
                <w:rFonts w:cs="Calibri"/>
                <w:b/>
                <w:bCs/>
                <w:color w:val="000000"/>
                <w:sz w:val="18"/>
                <w:szCs w:val="18"/>
                <w:lang w:eastAsia="cs-CZ"/>
              </w:rPr>
            </w:pPr>
            <w:r w:rsidRPr="004E3690">
              <w:rPr>
                <w:b/>
                <w:bCs/>
                <w:color w:val="000000"/>
                <w:sz w:val="18"/>
                <w:szCs w:val="18"/>
              </w:rPr>
              <w:t>2020</w:t>
            </w:r>
          </w:p>
        </w:tc>
      </w:tr>
      <w:tr w:rsidR="00B57597" w:rsidRPr="004E3690" w14:paraId="05CA5036" w14:textId="77777777" w:rsidTr="003857F0">
        <w:trPr>
          <w:trHeight w:val="255"/>
        </w:trPr>
        <w:tc>
          <w:tcPr>
            <w:tcW w:w="925" w:type="pct"/>
            <w:shd w:val="clear" w:color="auto" w:fill="auto"/>
            <w:noWrap/>
            <w:vAlign w:val="center"/>
          </w:tcPr>
          <w:p w14:paraId="40ACA1EE" w14:textId="77777777" w:rsidR="00B57597" w:rsidRPr="004E3690" w:rsidRDefault="00B57597" w:rsidP="003857F0">
            <w:pPr>
              <w:spacing w:after="0"/>
              <w:rPr>
                <w:rFonts w:cs="Calibri"/>
                <w:b/>
                <w:bCs/>
                <w:color w:val="000000"/>
                <w:sz w:val="18"/>
                <w:szCs w:val="18"/>
                <w:lang w:eastAsia="cs-CZ"/>
              </w:rPr>
            </w:pPr>
            <w:r w:rsidRPr="004E3690">
              <w:rPr>
                <w:b/>
                <w:bCs/>
                <w:color w:val="000000"/>
                <w:sz w:val="18"/>
                <w:szCs w:val="18"/>
              </w:rPr>
              <w:t>Příjmy (skutečnost)</w:t>
            </w:r>
          </w:p>
        </w:tc>
        <w:tc>
          <w:tcPr>
            <w:tcW w:w="815" w:type="pct"/>
            <w:shd w:val="clear" w:color="auto" w:fill="auto"/>
            <w:noWrap/>
            <w:vAlign w:val="center"/>
          </w:tcPr>
          <w:p w14:paraId="39CCEC8C" w14:textId="77777777" w:rsidR="00B57597" w:rsidRPr="003857F0" w:rsidRDefault="00B57597" w:rsidP="003857F0">
            <w:pPr>
              <w:spacing w:after="0"/>
              <w:jc w:val="right"/>
              <w:rPr>
                <w:rFonts w:eastAsia="Calibri" w:cs="Calibri"/>
                <w:color w:val="000000"/>
                <w:sz w:val="17"/>
                <w:szCs w:val="17"/>
              </w:rPr>
            </w:pPr>
            <w:r w:rsidRPr="003857F0">
              <w:rPr>
                <w:rFonts w:cs="Calibri"/>
                <w:color w:val="000000"/>
                <w:sz w:val="17"/>
                <w:szCs w:val="17"/>
              </w:rPr>
              <w:t>11 220 720 400,72</w:t>
            </w:r>
          </w:p>
        </w:tc>
        <w:tc>
          <w:tcPr>
            <w:tcW w:w="815" w:type="pct"/>
            <w:shd w:val="clear" w:color="auto" w:fill="auto"/>
            <w:noWrap/>
            <w:vAlign w:val="center"/>
          </w:tcPr>
          <w:p w14:paraId="059B7C79" w14:textId="77777777" w:rsidR="00B57597" w:rsidRPr="003857F0" w:rsidRDefault="00B57597" w:rsidP="003857F0">
            <w:pPr>
              <w:spacing w:after="0"/>
              <w:jc w:val="right"/>
              <w:rPr>
                <w:rFonts w:eastAsia="Calibri" w:cs="Calibri"/>
                <w:color w:val="000000"/>
                <w:sz w:val="17"/>
                <w:szCs w:val="17"/>
              </w:rPr>
            </w:pPr>
            <w:r w:rsidRPr="003857F0">
              <w:rPr>
                <w:rFonts w:cs="Calibri"/>
                <w:color w:val="000000"/>
                <w:sz w:val="17"/>
                <w:szCs w:val="17"/>
              </w:rPr>
              <w:t>8 251 911 947,16</w:t>
            </w:r>
          </w:p>
        </w:tc>
        <w:tc>
          <w:tcPr>
            <w:tcW w:w="815" w:type="pct"/>
            <w:shd w:val="clear" w:color="auto" w:fill="auto"/>
            <w:noWrap/>
            <w:vAlign w:val="center"/>
          </w:tcPr>
          <w:p w14:paraId="3902D79E" w14:textId="77777777" w:rsidR="00B57597" w:rsidRPr="003857F0" w:rsidRDefault="00B57597" w:rsidP="003857F0">
            <w:pPr>
              <w:spacing w:after="0"/>
              <w:jc w:val="right"/>
              <w:rPr>
                <w:rFonts w:eastAsia="Calibri" w:cs="Calibri"/>
                <w:color w:val="000000"/>
                <w:sz w:val="17"/>
                <w:szCs w:val="17"/>
              </w:rPr>
            </w:pPr>
            <w:r w:rsidRPr="003857F0">
              <w:rPr>
                <w:rFonts w:cs="Calibri"/>
                <w:color w:val="000000"/>
                <w:sz w:val="17"/>
                <w:szCs w:val="17"/>
              </w:rPr>
              <w:t>7 631 491 652,58</w:t>
            </w:r>
          </w:p>
        </w:tc>
        <w:tc>
          <w:tcPr>
            <w:tcW w:w="815" w:type="pct"/>
            <w:shd w:val="clear" w:color="auto" w:fill="auto"/>
            <w:noWrap/>
            <w:vAlign w:val="center"/>
          </w:tcPr>
          <w:p w14:paraId="3D16A1F0" w14:textId="77777777" w:rsidR="00B57597" w:rsidRPr="003857F0" w:rsidRDefault="00B57597" w:rsidP="003857F0">
            <w:pPr>
              <w:spacing w:after="0"/>
              <w:jc w:val="right"/>
              <w:rPr>
                <w:rFonts w:eastAsia="Calibri" w:cs="Calibri"/>
                <w:color w:val="000000"/>
                <w:sz w:val="17"/>
                <w:szCs w:val="17"/>
              </w:rPr>
            </w:pPr>
            <w:r w:rsidRPr="003857F0">
              <w:rPr>
                <w:rFonts w:cs="Calibri"/>
                <w:color w:val="000000"/>
                <w:sz w:val="17"/>
                <w:szCs w:val="17"/>
              </w:rPr>
              <w:t>20 553 597 117,74</w:t>
            </w:r>
          </w:p>
        </w:tc>
        <w:tc>
          <w:tcPr>
            <w:tcW w:w="815" w:type="pct"/>
            <w:vAlign w:val="center"/>
          </w:tcPr>
          <w:p w14:paraId="284F505A" w14:textId="77777777" w:rsidR="00B57597" w:rsidRPr="003857F0" w:rsidRDefault="00B57597" w:rsidP="003857F0">
            <w:pPr>
              <w:spacing w:after="0"/>
              <w:jc w:val="right"/>
              <w:rPr>
                <w:rFonts w:eastAsia="Calibri" w:cs="Calibri"/>
                <w:color w:val="000000"/>
                <w:sz w:val="17"/>
                <w:szCs w:val="17"/>
              </w:rPr>
            </w:pPr>
            <w:r w:rsidRPr="003857F0">
              <w:rPr>
                <w:rFonts w:cs="Calibri"/>
                <w:color w:val="000000"/>
                <w:sz w:val="17"/>
                <w:szCs w:val="17"/>
              </w:rPr>
              <w:t>25 783 422 417,90</w:t>
            </w:r>
          </w:p>
        </w:tc>
      </w:tr>
      <w:tr w:rsidR="00B57597" w:rsidRPr="004E3690" w14:paraId="1E6FA0EE" w14:textId="77777777" w:rsidTr="003857F0">
        <w:trPr>
          <w:trHeight w:val="255"/>
        </w:trPr>
        <w:tc>
          <w:tcPr>
            <w:tcW w:w="925" w:type="pct"/>
            <w:shd w:val="clear" w:color="auto" w:fill="auto"/>
            <w:noWrap/>
            <w:vAlign w:val="center"/>
          </w:tcPr>
          <w:p w14:paraId="3D73CDFB" w14:textId="77777777" w:rsidR="00B57597" w:rsidRPr="004E3690" w:rsidRDefault="00B57597" w:rsidP="003857F0">
            <w:pPr>
              <w:spacing w:after="0"/>
              <w:rPr>
                <w:rFonts w:cs="Calibri"/>
                <w:b/>
                <w:bCs/>
                <w:color w:val="000000"/>
                <w:sz w:val="18"/>
                <w:szCs w:val="18"/>
                <w:lang w:eastAsia="cs-CZ"/>
              </w:rPr>
            </w:pPr>
            <w:r w:rsidRPr="004E3690">
              <w:rPr>
                <w:b/>
                <w:bCs/>
                <w:color w:val="000000"/>
                <w:sz w:val="18"/>
                <w:szCs w:val="18"/>
              </w:rPr>
              <w:t>Výnosy celkem</w:t>
            </w:r>
          </w:p>
        </w:tc>
        <w:tc>
          <w:tcPr>
            <w:tcW w:w="815" w:type="pct"/>
            <w:shd w:val="clear" w:color="auto" w:fill="auto"/>
            <w:noWrap/>
            <w:vAlign w:val="center"/>
          </w:tcPr>
          <w:p w14:paraId="1EB1F006" w14:textId="77777777" w:rsidR="00B57597" w:rsidRPr="003857F0" w:rsidRDefault="00B57597" w:rsidP="003857F0">
            <w:pPr>
              <w:spacing w:after="0"/>
              <w:jc w:val="right"/>
              <w:rPr>
                <w:rFonts w:eastAsia="Calibri" w:cs="Calibri"/>
                <w:color w:val="000000"/>
                <w:sz w:val="17"/>
                <w:szCs w:val="17"/>
              </w:rPr>
            </w:pPr>
            <w:r w:rsidRPr="003857F0">
              <w:rPr>
                <w:rFonts w:cs="Calibri"/>
                <w:color w:val="000000"/>
                <w:sz w:val="17"/>
                <w:szCs w:val="17"/>
              </w:rPr>
              <w:t>2 845 058 042,39</w:t>
            </w:r>
          </w:p>
        </w:tc>
        <w:tc>
          <w:tcPr>
            <w:tcW w:w="815" w:type="pct"/>
            <w:shd w:val="clear" w:color="auto" w:fill="auto"/>
            <w:noWrap/>
            <w:vAlign w:val="center"/>
          </w:tcPr>
          <w:p w14:paraId="2B51E7DA" w14:textId="77777777" w:rsidR="00B57597" w:rsidRPr="003857F0" w:rsidRDefault="00B57597" w:rsidP="003857F0">
            <w:pPr>
              <w:spacing w:after="0"/>
              <w:jc w:val="right"/>
              <w:rPr>
                <w:rFonts w:eastAsia="Calibri" w:cs="Calibri"/>
                <w:color w:val="000000"/>
                <w:sz w:val="17"/>
                <w:szCs w:val="17"/>
              </w:rPr>
            </w:pPr>
            <w:r w:rsidRPr="003857F0">
              <w:rPr>
                <w:rFonts w:cs="Calibri"/>
                <w:color w:val="000000"/>
                <w:sz w:val="17"/>
                <w:szCs w:val="17"/>
              </w:rPr>
              <w:t>6 026 450 968,70</w:t>
            </w:r>
          </w:p>
        </w:tc>
        <w:tc>
          <w:tcPr>
            <w:tcW w:w="815" w:type="pct"/>
            <w:shd w:val="clear" w:color="auto" w:fill="auto"/>
            <w:noWrap/>
            <w:vAlign w:val="center"/>
          </w:tcPr>
          <w:p w14:paraId="00386F97" w14:textId="77777777" w:rsidR="00B57597" w:rsidRPr="003857F0" w:rsidRDefault="00B57597" w:rsidP="003857F0">
            <w:pPr>
              <w:spacing w:after="0"/>
              <w:jc w:val="right"/>
              <w:rPr>
                <w:rFonts w:eastAsia="Calibri" w:cs="Calibri"/>
                <w:color w:val="000000"/>
                <w:sz w:val="17"/>
                <w:szCs w:val="17"/>
              </w:rPr>
            </w:pPr>
            <w:r w:rsidRPr="003857F0">
              <w:rPr>
                <w:rFonts w:cs="Calibri"/>
                <w:color w:val="000000"/>
                <w:sz w:val="17"/>
                <w:szCs w:val="17"/>
              </w:rPr>
              <w:t>11 960 436 882,45</w:t>
            </w:r>
          </w:p>
        </w:tc>
        <w:tc>
          <w:tcPr>
            <w:tcW w:w="815" w:type="pct"/>
            <w:shd w:val="clear" w:color="auto" w:fill="auto"/>
            <w:noWrap/>
            <w:vAlign w:val="center"/>
          </w:tcPr>
          <w:p w14:paraId="101D9BB8" w14:textId="77777777" w:rsidR="00B57597" w:rsidRPr="003857F0" w:rsidRDefault="00B57597" w:rsidP="003857F0">
            <w:pPr>
              <w:spacing w:after="0"/>
              <w:jc w:val="right"/>
              <w:rPr>
                <w:rFonts w:eastAsia="Calibri" w:cs="Calibri"/>
                <w:color w:val="000000"/>
                <w:sz w:val="17"/>
                <w:szCs w:val="17"/>
              </w:rPr>
            </w:pPr>
            <w:r w:rsidRPr="003857F0">
              <w:rPr>
                <w:rFonts w:cs="Calibri"/>
                <w:color w:val="000000"/>
                <w:sz w:val="17"/>
                <w:szCs w:val="17"/>
              </w:rPr>
              <w:t>10 798 529 116,99</w:t>
            </w:r>
          </w:p>
        </w:tc>
        <w:tc>
          <w:tcPr>
            <w:tcW w:w="815" w:type="pct"/>
            <w:vAlign w:val="center"/>
          </w:tcPr>
          <w:p w14:paraId="5AEBAD99" w14:textId="77777777" w:rsidR="00B57597" w:rsidRPr="003857F0" w:rsidRDefault="00B57597" w:rsidP="003857F0">
            <w:pPr>
              <w:spacing w:after="0"/>
              <w:jc w:val="right"/>
              <w:rPr>
                <w:rFonts w:eastAsia="Calibri" w:cs="Calibri"/>
                <w:color w:val="000000"/>
                <w:sz w:val="17"/>
                <w:szCs w:val="17"/>
              </w:rPr>
            </w:pPr>
            <w:r w:rsidRPr="003857F0">
              <w:rPr>
                <w:rFonts w:cs="Calibri"/>
                <w:color w:val="000000"/>
                <w:sz w:val="17"/>
                <w:szCs w:val="17"/>
              </w:rPr>
              <w:t>15 109 454 298,73</w:t>
            </w:r>
          </w:p>
        </w:tc>
      </w:tr>
    </w:tbl>
    <w:p w14:paraId="3B7D880D" w14:textId="77777777" w:rsidR="00B57597" w:rsidRPr="00D12789" w:rsidRDefault="00B57597" w:rsidP="00B57597">
      <w:pPr>
        <w:spacing w:before="40"/>
        <w:rPr>
          <w:rFonts w:cs="Calibri"/>
          <w:color w:val="000000"/>
          <w:sz w:val="20"/>
          <w:szCs w:val="20"/>
          <w:lang w:eastAsia="cs-CZ"/>
        </w:rPr>
      </w:pPr>
      <w:r w:rsidRPr="007D36E3">
        <w:rPr>
          <w:rFonts w:cs="Calibri"/>
          <w:b/>
          <w:color w:val="000000"/>
          <w:sz w:val="20"/>
          <w:szCs w:val="20"/>
          <w:lang w:eastAsia="cs-CZ"/>
        </w:rPr>
        <w:t xml:space="preserve">Zdroj: </w:t>
      </w:r>
      <w:r w:rsidRPr="007D36E3">
        <w:rPr>
          <w:rFonts w:cs="Calibri"/>
          <w:color w:val="000000"/>
          <w:sz w:val="20"/>
          <w:szCs w:val="20"/>
          <w:lang w:eastAsia="cs-CZ"/>
        </w:rPr>
        <w:t>informační portál MONITOR</w:t>
      </w:r>
      <w:r w:rsidRPr="003856D6">
        <w:rPr>
          <w:rFonts w:cs="Calibri"/>
          <w:color w:val="000000"/>
          <w:sz w:val="20"/>
          <w:szCs w:val="20"/>
          <w:lang w:eastAsia="cs-CZ"/>
        </w:rPr>
        <w:t>.</w:t>
      </w:r>
    </w:p>
    <w:p w14:paraId="7E88758C" w14:textId="77777777" w:rsidR="00B57597" w:rsidRPr="004E3690" w:rsidRDefault="00B57597" w:rsidP="00B57597">
      <w:pPr>
        <w:jc w:val="both"/>
        <w:rPr>
          <w:rFonts w:asciiTheme="minorHAnsi" w:hAnsiTheme="minorHAnsi" w:cstheme="minorHAnsi"/>
        </w:rPr>
      </w:pPr>
      <w:r w:rsidRPr="004E3690">
        <w:rPr>
          <w:rFonts w:asciiTheme="minorHAnsi" w:hAnsiTheme="minorHAnsi" w:cstheme="minorHAnsi"/>
        </w:rPr>
        <w:t>Příjmy a výnosy kapitoly 322 se ve sledovaném období vyvíjely velice rozdílně. V roce 2016 převyšovaly příjmy nad výnosy o 8,38 mld. Kč, v roce 2020 dokonce o 10,67 mld. Kč. Rok</w:t>
      </w:r>
      <w:r>
        <w:rPr>
          <w:rFonts w:asciiTheme="minorHAnsi" w:hAnsiTheme="minorHAnsi" w:cstheme="minorHAnsi"/>
        </w:rPr>
        <w:t> </w:t>
      </w:r>
      <w:r w:rsidRPr="004E3690">
        <w:rPr>
          <w:rFonts w:asciiTheme="minorHAnsi" w:hAnsiTheme="minorHAnsi" w:cstheme="minorHAnsi"/>
        </w:rPr>
        <w:t>2018 byl jediným rokem, kdy výnosy převyšovaly na příjmy, a to o 4,33 mld. Kč.</w:t>
      </w:r>
    </w:p>
    <w:p w14:paraId="64454286" w14:textId="77777777" w:rsidR="00B57597" w:rsidRPr="004E3690" w:rsidRDefault="00B57597" w:rsidP="00B57597">
      <w:pPr>
        <w:jc w:val="both"/>
        <w:rPr>
          <w:rFonts w:asciiTheme="minorHAnsi" w:hAnsiTheme="minorHAnsi" w:cstheme="minorHAnsi"/>
        </w:rPr>
      </w:pPr>
      <w:r w:rsidRPr="004E3690">
        <w:rPr>
          <w:rFonts w:asciiTheme="minorHAnsi" w:hAnsiTheme="minorHAnsi" w:cstheme="minorHAnsi"/>
        </w:rPr>
        <w:lastRenderedPageBreak/>
        <w:t xml:space="preserve">Největší podíl výnosů (82,44 %) tvořily v roce 2020 výnosy z transferů, a to zejména zůstatek účtu 675 – </w:t>
      </w:r>
      <w:r w:rsidRPr="004E3690">
        <w:rPr>
          <w:rFonts w:asciiTheme="minorHAnsi" w:hAnsiTheme="minorHAnsi" w:cstheme="minorHAnsi"/>
          <w:i/>
        </w:rPr>
        <w:t>Výnosy vybraných ústředních vládních institucí z předfinancování transferů</w:t>
      </w:r>
      <w:r w:rsidRPr="004E3690">
        <w:rPr>
          <w:rFonts w:asciiTheme="minorHAnsi" w:hAnsiTheme="minorHAnsi" w:cstheme="minorHAnsi"/>
        </w:rPr>
        <w:t xml:space="preserve">, který zaujímal částku ve výši 11 114 285 022,05 Kč, tj. 73,56 % celkových výnosů. Další významný výnos byl vykázán na účtu 665 – </w:t>
      </w:r>
      <w:r w:rsidRPr="004E3690">
        <w:rPr>
          <w:rFonts w:asciiTheme="minorHAnsi" w:hAnsiTheme="minorHAnsi" w:cstheme="minorHAnsi"/>
          <w:i/>
        </w:rPr>
        <w:t>Výnosy z dlouhodobého finančního majetku</w:t>
      </w:r>
      <w:r w:rsidRPr="004E3690">
        <w:rPr>
          <w:rFonts w:asciiTheme="minorHAnsi" w:hAnsiTheme="minorHAnsi" w:cstheme="minorHAnsi"/>
        </w:rPr>
        <w:t>, a to ve výši 2 000 000 000 Kč, tj. 13,24 % celkových výnosů.</w:t>
      </w:r>
    </w:p>
    <w:p w14:paraId="754F136C" w14:textId="7B63FE7C" w:rsidR="00B57597" w:rsidRPr="00E24610" w:rsidRDefault="00B57597" w:rsidP="00B57597">
      <w:pPr>
        <w:pStyle w:val="Titulek1"/>
        <w:tabs>
          <w:tab w:val="clear" w:pos="9356"/>
          <w:tab w:val="right" w:pos="9072"/>
        </w:tabs>
        <w:rPr>
          <w:sz w:val="24"/>
        </w:rPr>
      </w:pPr>
      <w:bookmarkStart w:id="36" w:name="_Toc8984525"/>
      <w:bookmarkStart w:id="37" w:name="_Toc72157458"/>
      <w:r w:rsidRPr="00E24610">
        <w:rPr>
          <w:sz w:val="24"/>
        </w:rPr>
        <w:t xml:space="preserve">Tabulka č. </w:t>
      </w:r>
      <w:r w:rsidR="001529C4" w:rsidRPr="00E24610">
        <w:rPr>
          <w:sz w:val="24"/>
        </w:rPr>
        <w:fldChar w:fldCharType="begin"/>
      </w:r>
      <w:r w:rsidR="001529C4" w:rsidRPr="00E24610">
        <w:rPr>
          <w:sz w:val="24"/>
        </w:rPr>
        <w:instrText xml:space="preserve"> SEQ Tabulka \* ARABIC </w:instrText>
      </w:r>
      <w:r w:rsidR="001529C4" w:rsidRPr="00E24610">
        <w:rPr>
          <w:sz w:val="24"/>
        </w:rPr>
        <w:fldChar w:fldCharType="separate"/>
      </w:r>
      <w:r w:rsidR="00E544AA">
        <w:rPr>
          <w:noProof/>
          <w:sz w:val="24"/>
        </w:rPr>
        <w:t>9</w:t>
      </w:r>
      <w:r w:rsidR="001529C4" w:rsidRPr="00E24610">
        <w:rPr>
          <w:noProof/>
          <w:sz w:val="24"/>
        </w:rPr>
        <w:fldChar w:fldCharType="end"/>
      </w:r>
      <w:r w:rsidRPr="00E24610">
        <w:rPr>
          <w:sz w:val="24"/>
        </w:rPr>
        <w:t>: Porovnání příjmů a výnosů za MPO (v Kč)</w:t>
      </w:r>
      <w:bookmarkEnd w:id="36"/>
      <w:bookmarkEnd w:id="37"/>
    </w:p>
    <w:tbl>
      <w:tblPr>
        <w:tblW w:w="5000" w:type="pct"/>
        <w:tblCellMar>
          <w:left w:w="70" w:type="dxa"/>
          <w:right w:w="70" w:type="dxa"/>
        </w:tblCellMar>
        <w:tblLook w:val="04A0" w:firstRow="1" w:lastRow="0" w:firstColumn="1" w:lastColumn="0" w:noHBand="0" w:noVBand="1"/>
      </w:tblPr>
      <w:tblGrid>
        <w:gridCol w:w="1682"/>
        <w:gridCol w:w="1490"/>
        <w:gridCol w:w="1490"/>
        <w:gridCol w:w="1490"/>
        <w:gridCol w:w="1418"/>
        <w:gridCol w:w="1490"/>
      </w:tblGrid>
      <w:tr w:rsidR="00B57597" w:rsidRPr="004E3690" w14:paraId="64DF1991" w14:textId="77777777" w:rsidTr="00B57597">
        <w:trPr>
          <w:trHeight w:val="255"/>
        </w:trPr>
        <w:tc>
          <w:tcPr>
            <w:tcW w:w="930"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75A912E9" w14:textId="77777777" w:rsidR="00B57597" w:rsidRPr="004E3690" w:rsidRDefault="00B57597" w:rsidP="00C338BC">
            <w:pPr>
              <w:spacing w:after="0"/>
              <w:rPr>
                <w:rFonts w:cs="Calibri"/>
                <w:b/>
                <w:bCs/>
                <w:color w:val="000000"/>
                <w:sz w:val="18"/>
                <w:szCs w:val="18"/>
                <w:lang w:eastAsia="cs-CZ"/>
              </w:rPr>
            </w:pPr>
            <w:r w:rsidRPr="004E3690">
              <w:rPr>
                <w:b/>
                <w:bCs/>
                <w:color w:val="000000"/>
                <w:sz w:val="18"/>
                <w:szCs w:val="18"/>
              </w:rPr>
              <w:t>Ukazatel</w:t>
            </w:r>
          </w:p>
        </w:tc>
        <w:tc>
          <w:tcPr>
            <w:tcW w:w="824" w:type="pct"/>
            <w:tcBorders>
              <w:top w:val="single" w:sz="4" w:space="0" w:color="auto"/>
              <w:left w:val="nil"/>
              <w:bottom w:val="single" w:sz="4" w:space="0" w:color="auto"/>
              <w:right w:val="single" w:sz="4" w:space="0" w:color="auto"/>
            </w:tcBorders>
            <w:shd w:val="clear" w:color="auto" w:fill="E5F1FF"/>
            <w:noWrap/>
            <w:vAlign w:val="center"/>
            <w:hideMark/>
          </w:tcPr>
          <w:p w14:paraId="72477E6F" w14:textId="77777777" w:rsidR="00B57597" w:rsidRPr="004E3690" w:rsidRDefault="00B57597" w:rsidP="00C338BC">
            <w:pPr>
              <w:spacing w:after="0"/>
              <w:jc w:val="center"/>
              <w:rPr>
                <w:rFonts w:cs="Calibri"/>
                <w:b/>
                <w:bCs/>
                <w:color w:val="000000"/>
                <w:sz w:val="18"/>
                <w:szCs w:val="18"/>
                <w:lang w:eastAsia="cs-CZ"/>
              </w:rPr>
            </w:pPr>
            <w:r w:rsidRPr="004E3690">
              <w:rPr>
                <w:b/>
                <w:bCs/>
                <w:color w:val="000000"/>
                <w:sz w:val="18"/>
                <w:szCs w:val="18"/>
              </w:rPr>
              <w:t>2016</w:t>
            </w:r>
          </w:p>
        </w:tc>
        <w:tc>
          <w:tcPr>
            <w:tcW w:w="824" w:type="pct"/>
            <w:tcBorders>
              <w:top w:val="single" w:sz="4" w:space="0" w:color="auto"/>
              <w:left w:val="nil"/>
              <w:bottom w:val="single" w:sz="4" w:space="0" w:color="auto"/>
              <w:right w:val="single" w:sz="4" w:space="0" w:color="auto"/>
            </w:tcBorders>
            <w:shd w:val="clear" w:color="auto" w:fill="E5F1FF"/>
            <w:noWrap/>
            <w:vAlign w:val="center"/>
            <w:hideMark/>
          </w:tcPr>
          <w:p w14:paraId="3BCA6A07" w14:textId="77777777" w:rsidR="00B57597" w:rsidRPr="004E3690" w:rsidRDefault="00B57597" w:rsidP="00C338BC">
            <w:pPr>
              <w:spacing w:after="0"/>
              <w:jc w:val="center"/>
              <w:rPr>
                <w:rFonts w:cs="Calibri"/>
                <w:b/>
                <w:bCs/>
                <w:color w:val="000000"/>
                <w:sz w:val="18"/>
                <w:szCs w:val="18"/>
                <w:lang w:eastAsia="cs-CZ"/>
              </w:rPr>
            </w:pPr>
            <w:r w:rsidRPr="004E3690">
              <w:rPr>
                <w:b/>
                <w:bCs/>
                <w:color w:val="000000"/>
                <w:sz w:val="18"/>
                <w:szCs w:val="18"/>
              </w:rPr>
              <w:t>2017</w:t>
            </w:r>
          </w:p>
        </w:tc>
        <w:tc>
          <w:tcPr>
            <w:tcW w:w="824" w:type="pct"/>
            <w:tcBorders>
              <w:top w:val="single" w:sz="4" w:space="0" w:color="auto"/>
              <w:left w:val="nil"/>
              <w:bottom w:val="single" w:sz="4" w:space="0" w:color="auto"/>
              <w:right w:val="single" w:sz="4" w:space="0" w:color="auto"/>
            </w:tcBorders>
            <w:shd w:val="clear" w:color="auto" w:fill="E5F1FF"/>
            <w:noWrap/>
            <w:vAlign w:val="center"/>
            <w:hideMark/>
          </w:tcPr>
          <w:p w14:paraId="5F525234" w14:textId="77777777" w:rsidR="00B57597" w:rsidRPr="004E3690" w:rsidRDefault="00B57597" w:rsidP="00C338BC">
            <w:pPr>
              <w:spacing w:after="0"/>
              <w:jc w:val="center"/>
              <w:rPr>
                <w:rFonts w:cs="Calibri"/>
                <w:b/>
                <w:bCs/>
                <w:color w:val="000000"/>
                <w:sz w:val="18"/>
                <w:szCs w:val="18"/>
                <w:lang w:eastAsia="cs-CZ"/>
              </w:rPr>
            </w:pPr>
            <w:r w:rsidRPr="004E3690">
              <w:rPr>
                <w:b/>
                <w:bCs/>
                <w:color w:val="000000"/>
                <w:sz w:val="18"/>
                <w:szCs w:val="18"/>
              </w:rPr>
              <w:t>2018</w:t>
            </w:r>
          </w:p>
        </w:tc>
        <w:tc>
          <w:tcPr>
            <w:tcW w:w="774" w:type="pct"/>
            <w:tcBorders>
              <w:top w:val="single" w:sz="4" w:space="0" w:color="auto"/>
              <w:left w:val="nil"/>
              <w:bottom w:val="single" w:sz="4" w:space="0" w:color="auto"/>
              <w:right w:val="single" w:sz="4" w:space="0" w:color="auto"/>
            </w:tcBorders>
            <w:shd w:val="clear" w:color="auto" w:fill="E5F1FF"/>
            <w:noWrap/>
            <w:vAlign w:val="center"/>
            <w:hideMark/>
          </w:tcPr>
          <w:p w14:paraId="74286F8D" w14:textId="77777777" w:rsidR="00B57597" w:rsidRPr="004E3690" w:rsidRDefault="00B57597" w:rsidP="00C338BC">
            <w:pPr>
              <w:spacing w:after="0"/>
              <w:jc w:val="center"/>
              <w:rPr>
                <w:rFonts w:cs="Calibri"/>
                <w:b/>
                <w:bCs/>
                <w:color w:val="000000"/>
                <w:sz w:val="18"/>
                <w:szCs w:val="18"/>
                <w:lang w:eastAsia="cs-CZ"/>
              </w:rPr>
            </w:pPr>
            <w:r w:rsidRPr="004E3690">
              <w:rPr>
                <w:b/>
                <w:bCs/>
                <w:color w:val="000000"/>
                <w:sz w:val="18"/>
                <w:szCs w:val="18"/>
              </w:rPr>
              <w:t>2019</w:t>
            </w:r>
          </w:p>
        </w:tc>
        <w:tc>
          <w:tcPr>
            <w:tcW w:w="824" w:type="pct"/>
            <w:tcBorders>
              <w:top w:val="single" w:sz="4" w:space="0" w:color="auto"/>
              <w:left w:val="nil"/>
              <w:bottom w:val="single" w:sz="4" w:space="0" w:color="auto"/>
              <w:right w:val="single" w:sz="4" w:space="0" w:color="auto"/>
            </w:tcBorders>
            <w:shd w:val="clear" w:color="auto" w:fill="E5F1FF"/>
            <w:vAlign w:val="center"/>
          </w:tcPr>
          <w:p w14:paraId="4E4C6C2F" w14:textId="77777777" w:rsidR="00B57597" w:rsidRPr="004E3690" w:rsidRDefault="00B57597" w:rsidP="00C338BC">
            <w:pPr>
              <w:spacing w:after="0"/>
              <w:jc w:val="center"/>
              <w:rPr>
                <w:rFonts w:cs="Calibri"/>
                <w:b/>
                <w:bCs/>
                <w:color w:val="000000"/>
                <w:sz w:val="18"/>
                <w:szCs w:val="18"/>
                <w:lang w:eastAsia="cs-CZ"/>
              </w:rPr>
            </w:pPr>
            <w:r w:rsidRPr="004E3690">
              <w:rPr>
                <w:b/>
                <w:bCs/>
                <w:color w:val="000000"/>
                <w:sz w:val="18"/>
                <w:szCs w:val="18"/>
              </w:rPr>
              <w:t>2020</w:t>
            </w:r>
          </w:p>
        </w:tc>
      </w:tr>
      <w:tr w:rsidR="00B57597" w:rsidRPr="004E3690" w14:paraId="1CAC4E08" w14:textId="77777777" w:rsidTr="00B57597">
        <w:trPr>
          <w:trHeight w:val="255"/>
        </w:trPr>
        <w:tc>
          <w:tcPr>
            <w:tcW w:w="930" w:type="pct"/>
            <w:tcBorders>
              <w:top w:val="nil"/>
              <w:left w:val="single" w:sz="4" w:space="0" w:color="auto"/>
              <w:bottom w:val="single" w:sz="4" w:space="0" w:color="auto"/>
              <w:right w:val="single" w:sz="4" w:space="0" w:color="auto"/>
            </w:tcBorders>
            <w:shd w:val="clear" w:color="auto" w:fill="auto"/>
            <w:noWrap/>
            <w:vAlign w:val="center"/>
          </w:tcPr>
          <w:p w14:paraId="5DE4CF5A" w14:textId="77777777" w:rsidR="00B57597" w:rsidRPr="004E3690" w:rsidRDefault="00B57597" w:rsidP="00C338BC">
            <w:pPr>
              <w:spacing w:after="0"/>
              <w:rPr>
                <w:rFonts w:cs="Calibri"/>
                <w:b/>
                <w:bCs/>
                <w:color w:val="000000"/>
                <w:sz w:val="18"/>
                <w:szCs w:val="18"/>
                <w:lang w:eastAsia="cs-CZ"/>
              </w:rPr>
            </w:pPr>
            <w:r w:rsidRPr="004E3690">
              <w:rPr>
                <w:b/>
                <w:bCs/>
                <w:color w:val="000000"/>
                <w:sz w:val="18"/>
                <w:szCs w:val="18"/>
              </w:rPr>
              <w:t>Příjmy (skutečnost)</w:t>
            </w:r>
          </w:p>
        </w:tc>
        <w:tc>
          <w:tcPr>
            <w:tcW w:w="824" w:type="pct"/>
            <w:tcBorders>
              <w:top w:val="nil"/>
              <w:left w:val="nil"/>
              <w:bottom w:val="single" w:sz="4" w:space="0" w:color="auto"/>
              <w:right w:val="single" w:sz="4" w:space="0" w:color="auto"/>
            </w:tcBorders>
            <w:shd w:val="clear" w:color="auto" w:fill="auto"/>
            <w:noWrap/>
            <w:vAlign w:val="center"/>
          </w:tcPr>
          <w:p w14:paraId="2DF39D51" w14:textId="77777777" w:rsidR="00B57597" w:rsidRPr="00C338BC" w:rsidRDefault="00B57597" w:rsidP="00C338BC">
            <w:pPr>
              <w:spacing w:after="0"/>
              <w:jc w:val="right"/>
              <w:rPr>
                <w:rFonts w:eastAsia="Calibri" w:cs="Calibri"/>
                <w:color w:val="000000"/>
                <w:sz w:val="17"/>
                <w:szCs w:val="17"/>
              </w:rPr>
            </w:pPr>
            <w:r w:rsidRPr="00C338BC">
              <w:rPr>
                <w:color w:val="000000"/>
                <w:sz w:val="17"/>
                <w:szCs w:val="17"/>
              </w:rPr>
              <w:t>10 916 364 571,98</w:t>
            </w:r>
          </w:p>
        </w:tc>
        <w:tc>
          <w:tcPr>
            <w:tcW w:w="824" w:type="pct"/>
            <w:tcBorders>
              <w:top w:val="nil"/>
              <w:left w:val="nil"/>
              <w:bottom w:val="single" w:sz="4" w:space="0" w:color="auto"/>
              <w:right w:val="single" w:sz="4" w:space="0" w:color="auto"/>
            </w:tcBorders>
            <w:shd w:val="clear" w:color="auto" w:fill="auto"/>
            <w:noWrap/>
            <w:vAlign w:val="center"/>
          </w:tcPr>
          <w:p w14:paraId="75E6FC4C" w14:textId="77777777" w:rsidR="00B57597" w:rsidRPr="00C338BC" w:rsidRDefault="00B57597" w:rsidP="00C338BC">
            <w:pPr>
              <w:spacing w:after="0"/>
              <w:jc w:val="right"/>
              <w:rPr>
                <w:rFonts w:eastAsia="Calibri" w:cs="Calibri"/>
                <w:color w:val="000000"/>
                <w:sz w:val="17"/>
                <w:szCs w:val="17"/>
              </w:rPr>
            </w:pPr>
            <w:r w:rsidRPr="00C338BC">
              <w:rPr>
                <w:color w:val="000000"/>
                <w:sz w:val="17"/>
                <w:szCs w:val="17"/>
              </w:rPr>
              <w:t>7 967 400 074,64</w:t>
            </w:r>
          </w:p>
        </w:tc>
        <w:tc>
          <w:tcPr>
            <w:tcW w:w="824" w:type="pct"/>
            <w:tcBorders>
              <w:top w:val="nil"/>
              <w:left w:val="nil"/>
              <w:bottom w:val="single" w:sz="4" w:space="0" w:color="auto"/>
              <w:right w:val="single" w:sz="4" w:space="0" w:color="auto"/>
            </w:tcBorders>
            <w:shd w:val="clear" w:color="auto" w:fill="auto"/>
            <w:noWrap/>
            <w:vAlign w:val="center"/>
          </w:tcPr>
          <w:p w14:paraId="3969E193" w14:textId="77777777" w:rsidR="00B57597" w:rsidRPr="00C338BC" w:rsidRDefault="00B57597" w:rsidP="00C338BC">
            <w:pPr>
              <w:spacing w:after="0"/>
              <w:jc w:val="right"/>
              <w:rPr>
                <w:rFonts w:eastAsia="Calibri" w:cs="Calibri"/>
                <w:color w:val="000000"/>
                <w:sz w:val="17"/>
                <w:szCs w:val="17"/>
              </w:rPr>
            </w:pPr>
            <w:r w:rsidRPr="00C338BC">
              <w:rPr>
                <w:color w:val="000000"/>
                <w:sz w:val="17"/>
                <w:szCs w:val="17"/>
              </w:rPr>
              <w:t>7 398 559 561,12</w:t>
            </w:r>
          </w:p>
        </w:tc>
        <w:tc>
          <w:tcPr>
            <w:tcW w:w="774" w:type="pct"/>
            <w:tcBorders>
              <w:top w:val="nil"/>
              <w:left w:val="nil"/>
              <w:bottom w:val="single" w:sz="4" w:space="0" w:color="auto"/>
              <w:right w:val="single" w:sz="4" w:space="0" w:color="auto"/>
            </w:tcBorders>
            <w:shd w:val="clear" w:color="auto" w:fill="auto"/>
            <w:noWrap/>
            <w:vAlign w:val="center"/>
          </w:tcPr>
          <w:p w14:paraId="2DFFA8E2" w14:textId="77777777" w:rsidR="00B57597" w:rsidRPr="00C338BC" w:rsidRDefault="00B57597" w:rsidP="00C338BC">
            <w:pPr>
              <w:spacing w:after="0"/>
              <w:jc w:val="right"/>
              <w:rPr>
                <w:rFonts w:eastAsia="Calibri" w:cs="Calibri"/>
                <w:color w:val="000000"/>
                <w:sz w:val="17"/>
                <w:szCs w:val="17"/>
              </w:rPr>
            </w:pPr>
            <w:r w:rsidRPr="00C338BC">
              <w:rPr>
                <w:color w:val="000000"/>
                <w:sz w:val="17"/>
                <w:szCs w:val="17"/>
              </w:rPr>
              <w:t>20 337 846 937,99</w:t>
            </w:r>
          </w:p>
        </w:tc>
        <w:tc>
          <w:tcPr>
            <w:tcW w:w="824" w:type="pct"/>
            <w:tcBorders>
              <w:top w:val="nil"/>
              <w:left w:val="nil"/>
              <w:bottom w:val="single" w:sz="4" w:space="0" w:color="auto"/>
              <w:right w:val="single" w:sz="4" w:space="0" w:color="auto"/>
            </w:tcBorders>
            <w:vAlign w:val="center"/>
          </w:tcPr>
          <w:p w14:paraId="43FEAFD5" w14:textId="77777777" w:rsidR="00B57597" w:rsidRPr="00C338BC" w:rsidRDefault="00B57597" w:rsidP="00C338BC">
            <w:pPr>
              <w:spacing w:after="0"/>
              <w:jc w:val="right"/>
              <w:rPr>
                <w:rFonts w:eastAsia="Calibri" w:cs="Calibri"/>
                <w:color w:val="000000"/>
                <w:sz w:val="17"/>
                <w:szCs w:val="17"/>
              </w:rPr>
            </w:pPr>
            <w:r w:rsidRPr="00C338BC">
              <w:rPr>
                <w:color w:val="000000"/>
                <w:sz w:val="17"/>
                <w:szCs w:val="17"/>
              </w:rPr>
              <w:t>25 623 005 721,47</w:t>
            </w:r>
          </w:p>
        </w:tc>
      </w:tr>
      <w:tr w:rsidR="00B57597" w:rsidRPr="004E3690" w14:paraId="16F8D476" w14:textId="77777777" w:rsidTr="00B57597">
        <w:trPr>
          <w:trHeight w:val="255"/>
        </w:trPr>
        <w:tc>
          <w:tcPr>
            <w:tcW w:w="930" w:type="pct"/>
            <w:tcBorders>
              <w:top w:val="nil"/>
              <w:left w:val="single" w:sz="4" w:space="0" w:color="auto"/>
              <w:bottom w:val="single" w:sz="4" w:space="0" w:color="auto"/>
              <w:right w:val="single" w:sz="4" w:space="0" w:color="auto"/>
            </w:tcBorders>
            <w:shd w:val="clear" w:color="auto" w:fill="auto"/>
            <w:noWrap/>
            <w:vAlign w:val="center"/>
          </w:tcPr>
          <w:p w14:paraId="193A3F9B" w14:textId="77777777" w:rsidR="00B57597" w:rsidRPr="004E3690" w:rsidRDefault="00B57597" w:rsidP="00C338BC">
            <w:pPr>
              <w:spacing w:after="0"/>
              <w:rPr>
                <w:rFonts w:cs="Calibri"/>
                <w:b/>
                <w:bCs/>
                <w:color w:val="000000"/>
                <w:sz w:val="18"/>
                <w:szCs w:val="18"/>
                <w:lang w:eastAsia="cs-CZ"/>
              </w:rPr>
            </w:pPr>
            <w:r w:rsidRPr="004E3690">
              <w:rPr>
                <w:b/>
                <w:bCs/>
                <w:color w:val="000000"/>
                <w:sz w:val="18"/>
                <w:szCs w:val="18"/>
              </w:rPr>
              <w:t>Výnosy celkem</w:t>
            </w:r>
          </w:p>
        </w:tc>
        <w:tc>
          <w:tcPr>
            <w:tcW w:w="824" w:type="pct"/>
            <w:tcBorders>
              <w:top w:val="nil"/>
              <w:left w:val="nil"/>
              <w:bottom w:val="single" w:sz="4" w:space="0" w:color="auto"/>
              <w:right w:val="single" w:sz="4" w:space="0" w:color="auto"/>
            </w:tcBorders>
            <w:shd w:val="clear" w:color="auto" w:fill="auto"/>
            <w:noWrap/>
            <w:vAlign w:val="center"/>
          </w:tcPr>
          <w:p w14:paraId="6AA6E7B6" w14:textId="77777777" w:rsidR="00B57597" w:rsidRPr="00C338BC" w:rsidRDefault="00B57597" w:rsidP="00C338BC">
            <w:pPr>
              <w:spacing w:after="0"/>
              <w:jc w:val="right"/>
              <w:rPr>
                <w:rFonts w:eastAsia="Calibri" w:cs="Calibri"/>
                <w:color w:val="000000"/>
                <w:sz w:val="17"/>
                <w:szCs w:val="17"/>
              </w:rPr>
            </w:pPr>
            <w:r w:rsidRPr="00C338BC">
              <w:rPr>
                <w:color w:val="000000"/>
                <w:sz w:val="17"/>
                <w:szCs w:val="17"/>
              </w:rPr>
              <w:t>2 268 039 135,48</w:t>
            </w:r>
          </w:p>
        </w:tc>
        <w:tc>
          <w:tcPr>
            <w:tcW w:w="824" w:type="pct"/>
            <w:tcBorders>
              <w:top w:val="nil"/>
              <w:left w:val="nil"/>
              <w:bottom w:val="single" w:sz="4" w:space="0" w:color="auto"/>
              <w:right w:val="single" w:sz="4" w:space="0" w:color="auto"/>
            </w:tcBorders>
            <w:shd w:val="clear" w:color="auto" w:fill="auto"/>
            <w:noWrap/>
            <w:vAlign w:val="center"/>
          </w:tcPr>
          <w:p w14:paraId="2014191F" w14:textId="77777777" w:rsidR="00B57597" w:rsidRPr="00C338BC" w:rsidRDefault="00B57597" w:rsidP="00C338BC">
            <w:pPr>
              <w:spacing w:after="0"/>
              <w:jc w:val="right"/>
              <w:rPr>
                <w:rFonts w:eastAsia="Calibri" w:cs="Calibri"/>
                <w:color w:val="000000"/>
                <w:sz w:val="17"/>
                <w:szCs w:val="17"/>
              </w:rPr>
            </w:pPr>
            <w:r w:rsidRPr="00C338BC">
              <w:rPr>
                <w:color w:val="000000"/>
                <w:sz w:val="17"/>
                <w:szCs w:val="17"/>
              </w:rPr>
              <w:t>5 700 693 866,57</w:t>
            </w:r>
          </w:p>
        </w:tc>
        <w:tc>
          <w:tcPr>
            <w:tcW w:w="824" w:type="pct"/>
            <w:tcBorders>
              <w:top w:val="nil"/>
              <w:left w:val="nil"/>
              <w:bottom w:val="single" w:sz="4" w:space="0" w:color="auto"/>
              <w:right w:val="single" w:sz="4" w:space="0" w:color="auto"/>
            </w:tcBorders>
            <w:shd w:val="clear" w:color="auto" w:fill="auto"/>
            <w:noWrap/>
            <w:vAlign w:val="center"/>
          </w:tcPr>
          <w:p w14:paraId="3E14723C" w14:textId="77777777" w:rsidR="00B57597" w:rsidRPr="00C338BC" w:rsidRDefault="00B57597" w:rsidP="00C338BC">
            <w:pPr>
              <w:spacing w:after="0"/>
              <w:jc w:val="right"/>
              <w:rPr>
                <w:rFonts w:eastAsia="Calibri" w:cs="Calibri"/>
                <w:color w:val="000000"/>
                <w:sz w:val="17"/>
                <w:szCs w:val="17"/>
              </w:rPr>
            </w:pPr>
            <w:r w:rsidRPr="00C338BC">
              <w:rPr>
                <w:color w:val="000000"/>
                <w:sz w:val="17"/>
                <w:szCs w:val="17"/>
              </w:rPr>
              <w:t>11 690 926 461,16</w:t>
            </w:r>
          </w:p>
        </w:tc>
        <w:tc>
          <w:tcPr>
            <w:tcW w:w="774" w:type="pct"/>
            <w:tcBorders>
              <w:top w:val="nil"/>
              <w:left w:val="nil"/>
              <w:bottom w:val="single" w:sz="4" w:space="0" w:color="auto"/>
              <w:right w:val="single" w:sz="4" w:space="0" w:color="auto"/>
            </w:tcBorders>
            <w:shd w:val="clear" w:color="auto" w:fill="auto"/>
            <w:noWrap/>
            <w:vAlign w:val="center"/>
          </w:tcPr>
          <w:p w14:paraId="316F3593" w14:textId="77777777" w:rsidR="00B57597" w:rsidRPr="00C338BC" w:rsidRDefault="00B57597" w:rsidP="00C338BC">
            <w:pPr>
              <w:spacing w:after="0"/>
              <w:jc w:val="right"/>
              <w:rPr>
                <w:rFonts w:eastAsia="Calibri" w:cs="Calibri"/>
                <w:color w:val="000000"/>
                <w:sz w:val="17"/>
                <w:szCs w:val="17"/>
              </w:rPr>
            </w:pPr>
            <w:r w:rsidRPr="00C338BC">
              <w:rPr>
                <w:color w:val="000000"/>
                <w:sz w:val="17"/>
                <w:szCs w:val="17"/>
              </w:rPr>
              <w:t>10 544 492 313,32</w:t>
            </w:r>
          </w:p>
        </w:tc>
        <w:tc>
          <w:tcPr>
            <w:tcW w:w="824" w:type="pct"/>
            <w:tcBorders>
              <w:top w:val="nil"/>
              <w:left w:val="nil"/>
              <w:bottom w:val="single" w:sz="4" w:space="0" w:color="auto"/>
              <w:right w:val="single" w:sz="4" w:space="0" w:color="auto"/>
            </w:tcBorders>
            <w:vAlign w:val="center"/>
          </w:tcPr>
          <w:p w14:paraId="126710B6" w14:textId="77777777" w:rsidR="00B57597" w:rsidRPr="00C338BC" w:rsidRDefault="00B57597" w:rsidP="00C338BC">
            <w:pPr>
              <w:spacing w:after="0"/>
              <w:jc w:val="right"/>
              <w:rPr>
                <w:rFonts w:eastAsia="Calibri" w:cs="Calibri"/>
                <w:color w:val="000000"/>
                <w:sz w:val="17"/>
                <w:szCs w:val="17"/>
              </w:rPr>
            </w:pPr>
            <w:r w:rsidRPr="00C338BC">
              <w:rPr>
                <w:color w:val="000000"/>
                <w:sz w:val="17"/>
                <w:szCs w:val="17"/>
              </w:rPr>
              <w:t>14 908 846 917,27</w:t>
            </w:r>
          </w:p>
        </w:tc>
      </w:tr>
    </w:tbl>
    <w:p w14:paraId="62FB6B23" w14:textId="77777777" w:rsidR="00B57597" w:rsidRPr="00B567F4" w:rsidRDefault="00B57597" w:rsidP="00B57597">
      <w:pPr>
        <w:spacing w:before="40"/>
        <w:rPr>
          <w:rFonts w:cs="Calibri"/>
          <w:color w:val="000000"/>
          <w:sz w:val="20"/>
          <w:szCs w:val="20"/>
          <w:highlight w:val="yellow"/>
          <w:lang w:eastAsia="cs-CZ"/>
        </w:rPr>
      </w:pPr>
      <w:r w:rsidRPr="007D36E3">
        <w:rPr>
          <w:rFonts w:cs="Calibri"/>
          <w:b/>
          <w:color w:val="000000"/>
          <w:sz w:val="20"/>
          <w:szCs w:val="20"/>
          <w:lang w:eastAsia="cs-CZ"/>
        </w:rPr>
        <w:t xml:space="preserve">Zdroj: </w:t>
      </w:r>
      <w:r w:rsidRPr="007D36E3">
        <w:rPr>
          <w:rFonts w:cs="Calibri"/>
          <w:color w:val="000000"/>
          <w:sz w:val="20"/>
          <w:szCs w:val="20"/>
          <w:lang w:eastAsia="cs-CZ"/>
        </w:rPr>
        <w:t>informační portál MONITOR</w:t>
      </w:r>
      <w:r w:rsidRPr="003856D6">
        <w:rPr>
          <w:rFonts w:cs="Calibri"/>
          <w:color w:val="000000"/>
          <w:sz w:val="20"/>
          <w:szCs w:val="20"/>
          <w:lang w:eastAsia="cs-CZ"/>
        </w:rPr>
        <w:t>.</w:t>
      </w:r>
    </w:p>
    <w:p w14:paraId="4D0958F8" w14:textId="77777777" w:rsidR="00B57597" w:rsidRPr="004E3690" w:rsidRDefault="00B57597" w:rsidP="003857F0">
      <w:pPr>
        <w:jc w:val="both"/>
        <w:rPr>
          <w:rFonts w:asciiTheme="minorHAnsi" w:hAnsiTheme="minorHAnsi" w:cstheme="minorHAnsi"/>
        </w:rPr>
      </w:pPr>
      <w:r w:rsidRPr="004E3690">
        <w:rPr>
          <w:rFonts w:asciiTheme="minorHAnsi" w:hAnsiTheme="minorHAnsi" w:cstheme="minorHAnsi"/>
        </w:rPr>
        <w:t>Vývoj příjmů a výnosů MPO byl ve sledovaném období podobný vývoji příjmů a výnosů celé kapitoly 322.</w:t>
      </w:r>
    </w:p>
    <w:p w14:paraId="74F61C28" w14:textId="45B892B6" w:rsidR="00B57597" w:rsidRPr="00C338BC" w:rsidRDefault="00B57597" w:rsidP="00B57597">
      <w:pPr>
        <w:pStyle w:val="Titulek1"/>
        <w:tabs>
          <w:tab w:val="clear" w:pos="9356"/>
          <w:tab w:val="right" w:pos="9072"/>
        </w:tabs>
        <w:rPr>
          <w:sz w:val="24"/>
        </w:rPr>
      </w:pPr>
      <w:bookmarkStart w:id="38" w:name="_Toc8984526"/>
      <w:bookmarkStart w:id="39" w:name="_Toc72157459"/>
      <w:r w:rsidRPr="00C338BC">
        <w:rPr>
          <w:sz w:val="24"/>
        </w:rPr>
        <w:t xml:space="preserve">Tabulka č. </w:t>
      </w:r>
      <w:r w:rsidR="001529C4" w:rsidRPr="00C338BC">
        <w:rPr>
          <w:sz w:val="24"/>
        </w:rPr>
        <w:fldChar w:fldCharType="begin"/>
      </w:r>
      <w:r w:rsidR="001529C4" w:rsidRPr="00C338BC">
        <w:rPr>
          <w:sz w:val="24"/>
        </w:rPr>
        <w:instrText xml:space="preserve"> SEQ Tabulka \* ARABIC </w:instrText>
      </w:r>
      <w:r w:rsidR="001529C4" w:rsidRPr="00C338BC">
        <w:rPr>
          <w:sz w:val="24"/>
        </w:rPr>
        <w:fldChar w:fldCharType="separate"/>
      </w:r>
      <w:r w:rsidR="00E544AA">
        <w:rPr>
          <w:noProof/>
          <w:sz w:val="24"/>
        </w:rPr>
        <w:t>10</w:t>
      </w:r>
      <w:r w:rsidR="001529C4" w:rsidRPr="00C338BC">
        <w:rPr>
          <w:noProof/>
          <w:sz w:val="24"/>
        </w:rPr>
        <w:fldChar w:fldCharType="end"/>
      </w:r>
      <w:r w:rsidRPr="00C338BC">
        <w:rPr>
          <w:sz w:val="24"/>
        </w:rPr>
        <w:t>: Porovnání příjmů a výnosů OSS v rozpočtové kapitole 322 (bez MPO</w:t>
      </w:r>
      <w:r w:rsidR="0004392B">
        <w:rPr>
          <w:sz w:val="24"/>
        </w:rPr>
        <w:t>;</w:t>
      </w:r>
      <w:r w:rsidRPr="00C338BC">
        <w:rPr>
          <w:sz w:val="24"/>
        </w:rPr>
        <w:t xml:space="preserve"> v Kč)</w:t>
      </w:r>
      <w:bookmarkEnd w:id="38"/>
      <w:bookmarkEnd w:id="39"/>
    </w:p>
    <w:tbl>
      <w:tblPr>
        <w:tblW w:w="5000" w:type="pct"/>
        <w:tblCellMar>
          <w:left w:w="70" w:type="dxa"/>
          <w:right w:w="70" w:type="dxa"/>
        </w:tblCellMar>
        <w:tblLook w:val="04A0" w:firstRow="1" w:lastRow="0" w:firstColumn="1" w:lastColumn="0" w:noHBand="0" w:noVBand="1"/>
      </w:tblPr>
      <w:tblGrid>
        <w:gridCol w:w="1775"/>
        <w:gridCol w:w="1459"/>
        <w:gridCol w:w="1457"/>
        <w:gridCol w:w="1457"/>
        <w:gridCol w:w="1457"/>
        <w:gridCol w:w="1455"/>
      </w:tblGrid>
      <w:tr w:rsidR="00B57597" w:rsidRPr="004E3690" w14:paraId="7412FD6F" w14:textId="77777777" w:rsidTr="00B57597">
        <w:trPr>
          <w:trHeight w:val="255"/>
        </w:trPr>
        <w:tc>
          <w:tcPr>
            <w:tcW w:w="980"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20A30E90" w14:textId="77777777" w:rsidR="00B57597" w:rsidRPr="004E3690" w:rsidRDefault="00B57597" w:rsidP="00C338BC">
            <w:pPr>
              <w:spacing w:after="0"/>
              <w:rPr>
                <w:rFonts w:cs="Calibri"/>
                <w:b/>
                <w:bCs/>
                <w:color w:val="000000"/>
                <w:sz w:val="18"/>
                <w:szCs w:val="18"/>
                <w:lang w:eastAsia="cs-CZ"/>
              </w:rPr>
            </w:pPr>
            <w:r w:rsidRPr="004E3690">
              <w:rPr>
                <w:b/>
                <w:bCs/>
                <w:color w:val="000000"/>
                <w:sz w:val="18"/>
                <w:szCs w:val="18"/>
              </w:rPr>
              <w:t>Ukazatel</w:t>
            </w:r>
          </w:p>
        </w:tc>
        <w:tc>
          <w:tcPr>
            <w:tcW w:w="805" w:type="pct"/>
            <w:tcBorders>
              <w:top w:val="single" w:sz="4" w:space="0" w:color="auto"/>
              <w:left w:val="nil"/>
              <w:bottom w:val="single" w:sz="4" w:space="0" w:color="auto"/>
              <w:right w:val="single" w:sz="4" w:space="0" w:color="auto"/>
            </w:tcBorders>
            <w:shd w:val="clear" w:color="auto" w:fill="E5F1FF"/>
            <w:noWrap/>
            <w:vAlign w:val="center"/>
            <w:hideMark/>
          </w:tcPr>
          <w:p w14:paraId="2A7270AC" w14:textId="77777777" w:rsidR="00B57597" w:rsidRPr="004E3690" w:rsidRDefault="00B57597" w:rsidP="00C338BC">
            <w:pPr>
              <w:spacing w:after="0"/>
              <w:jc w:val="center"/>
              <w:rPr>
                <w:rFonts w:cs="Calibri"/>
                <w:b/>
                <w:bCs/>
                <w:color w:val="000000"/>
                <w:sz w:val="18"/>
                <w:szCs w:val="18"/>
                <w:lang w:eastAsia="cs-CZ"/>
              </w:rPr>
            </w:pPr>
            <w:r w:rsidRPr="004E3690">
              <w:rPr>
                <w:b/>
                <w:bCs/>
                <w:color w:val="000000"/>
                <w:sz w:val="18"/>
                <w:szCs w:val="18"/>
              </w:rPr>
              <w:t>2016</w:t>
            </w:r>
          </w:p>
        </w:tc>
        <w:tc>
          <w:tcPr>
            <w:tcW w:w="804" w:type="pct"/>
            <w:tcBorders>
              <w:top w:val="single" w:sz="4" w:space="0" w:color="auto"/>
              <w:left w:val="nil"/>
              <w:bottom w:val="single" w:sz="4" w:space="0" w:color="auto"/>
              <w:right w:val="single" w:sz="4" w:space="0" w:color="auto"/>
            </w:tcBorders>
            <w:shd w:val="clear" w:color="auto" w:fill="E5F1FF"/>
            <w:noWrap/>
            <w:vAlign w:val="center"/>
            <w:hideMark/>
          </w:tcPr>
          <w:p w14:paraId="03593F78" w14:textId="77777777" w:rsidR="00B57597" w:rsidRPr="004E3690" w:rsidRDefault="00B57597" w:rsidP="00C338BC">
            <w:pPr>
              <w:spacing w:after="0"/>
              <w:jc w:val="center"/>
              <w:rPr>
                <w:rFonts w:cs="Calibri"/>
                <w:b/>
                <w:bCs/>
                <w:color w:val="000000"/>
                <w:sz w:val="18"/>
                <w:szCs w:val="18"/>
                <w:lang w:eastAsia="cs-CZ"/>
              </w:rPr>
            </w:pPr>
            <w:r w:rsidRPr="004E3690">
              <w:rPr>
                <w:b/>
                <w:bCs/>
                <w:color w:val="000000"/>
                <w:sz w:val="18"/>
                <w:szCs w:val="18"/>
              </w:rPr>
              <w:t>2017</w:t>
            </w:r>
          </w:p>
        </w:tc>
        <w:tc>
          <w:tcPr>
            <w:tcW w:w="804" w:type="pct"/>
            <w:tcBorders>
              <w:top w:val="single" w:sz="4" w:space="0" w:color="auto"/>
              <w:left w:val="nil"/>
              <w:bottom w:val="single" w:sz="4" w:space="0" w:color="auto"/>
              <w:right w:val="single" w:sz="4" w:space="0" w:color="auto"/>
            </w:tcBorders>
            <w:shd w:val="clear" w:color="auto" w:fill="E5F1FF"/>
            <w:noWrap/>
            <w:vAlign w:val="center"/>
            <w:hideMark/>
          </w:tcPr>
          <w:p w14:paraId="11E48EED" w14:textId="77777777" w:rsidR="00B57597" w:rsidRPr="004E3690" w:rsidRDefault="00B57597" w:rsidP="00C338BC">
            <w:pPr>
              <w:spacing w:after="0"/>
              <w:jc w:val="center"/>
              <w:rPr>
                <w:rFonts w:cs="Calibri"/>
                <w:b/>
                <w:bCs/>
                <w:color w:val="000000"/>
                <w:sz w:val="18"/>
                <w:szCs w:val="18"/>
                <w:lang w:eastAsia="cs-CZ"/>
              </w:rPr>
            </w:pPr>
            <w:r w:rsidRPr="004E3690">
              <w:rPr>
                <w:b/>
                <w:bCs/>
                <w:color w:val="000000"/>
                <w:sz w:val="18"/>
                <w:szCs w:val="18"/>
              </w:rPr>
              <w:t>2018</w:t>
            </w:r>
          </w:p>
        </w:tc>
        <w:tc>
          <w:tcPr>
            <w:tcW w:w="804" w:type="pct"/>
            <w:tcBorders>
              <w:top w:val="single" w:sz="4" w:space="0" w:color="auto"/>
              <w:left w:val="nil"/>
              <w:bottom w:val="single" w:sz="4" w:space="0" w:color="auto"/>
              <w:right w:val="single" w:sz="4" w:space="0" w:color="auto"/>
            </w:tcBorders>
            <w:shd w:val="clear" w:color="auto" w:fill="E5F1FF"/>
            <w:noWrap/>
            <w:vAlign w:val="center"/>
            <w:hideMark/>
          </w:tcPr>
          <w:p w14:paraId="084BD3A5" w14:textId="77777777" w:rsidR="00B57597" w:rsidRPr="004E3690" w:rsidRDefault="00B57597" w:rsidP="00C338BC">
            <w:pPr>
              <w:spacing w:after="0"/>
              <w:jc w:val="center"/>
              <w:rPr>
                <w:rFonts w:cs="Calibri"/>
                <w:b/>
                <w:bCs/>
                <w:color w:val="000000"/>
                <w:sz w:val="18"/>
                <w:szCs w:val="18"/>
                <w:lang w:eastAsia="cs-CZ"/>
              </w:rPr>
            </w:pPr>
            <w:r w:rsidRPr="004E3690">
              <w:rPr>
                <w:b/>
                <w:bCs/>
                <w:color w:val="000000"/>
                <w:sz w:val="18"/>
                <w:szCs w:val="18"/>
              </w:rPr>
              <w:t>2019</w:t>
            </w:r>
          </w:p>
        </w:tc>
        <w:tc>
          <w:tcPr>
            <w:tcW w:w="804" w:type="pct"/>
            <w:tcBorders>
              <w:top w:val="single" w:sz="4" w:space="0" w:color="auto"/>
              <w:left w:val="nil"/>
              <w:bottom w:val="single" w:sz="4" w:space="0" w:color="auto"/>
              <w:right w:val="single" w:sz="4" w:space="0" w:color="auto"/>
            </w:tcBorders>
            <w:shd w:val="clear" w:color="auto" w:fill="E5F1FF"/>
            <w:vAlign w:val="center"/>
          </w:tcPr>
          <w:p w14:paraId="60032799" w14:textId="77777777" w:rsidR="00B57597" w:rsidRPr="004E3690" w:rsidRDefault="00B57597" w:rsidP="00C338BC">
            <w:pPr>
              <w:spacing w:after="0"/>
              <w:jc w:val="center"/>
              <w:rPr>
                <w:rFonts w:cs="Calibri"/>
                <w:b/>
                <w:bCs/>
                <w:color w:val="000000"/>
                <w:sz w:val="18"/>
                <w:szCs w:val="18"/>
                <w:lang w:eastAsia="cs-CZ"/>
              </w:rPr>
            </w:pPr>
            <w:r w:rsidRPr="004E3690">
              <w:rPr>
                <w:b/>
                <w:bCs/>
                <w:color w:val="000000"/>
                <w:sz w:val="18"/>
                <w:szCs w:val="18"/>
              </w:rPr>
              <w:t>2020</w:t>
            </w:r>
          </w:p>
        </w:tc>
      </w:tr>
      <w:tr w:rsidR="00B57597" w:rsidRPr="004E3690" w14:paraId="1CB3F2DF" w14:textId="77777777" w:rsidTr="00B57597">
        <w:trPr>
          <w:trHeight w:val="255"/>
        </w:trPr>
        <w:tc>
          <w:tcPr>
            <w:tcW w:w="980" w:type="pct"/>
            <w:tcBorders>
              <w:top w:val="nil"/>
              <w:left w:val="single" w:sz="4" w:space="0" w:color="auto"/>
              <w:bottom w:val="single" w:sz="4" w:space="0" w:color="auto"/>
              <w:right w:val="single" w:sz="4" w:space="0" w:color="auto"/>
            </w:tcBorders>
            <w:shd w:val="clear" w:color="auto" w:fill="auto"/>
            <w:noWrap/>
            <w:vAlign w:val="center"/>
          </w:tcPr>
          <w:p w14:paraId="179177E6" w14:textId="77777777" w:rsidR="00B57597" w:rsidRPr="004E3690" w:rsidRDefault="00B57597" w:rsidP="00C338BC">
            <w:pPr>
              <w:spacing w:after="0"/>
              <w:rPr>
                <w:rFonts w:cs="Calibri"/>
                <w:b/>
                <w:bCs/>
                <w:color w:val="000000"/>
                <w:sz w:val="18"/>
                <w:szCs w:val="18"/>
                <w:lang w:eastAsia="cs-CZ"/>
              </w:rPr>
            </w:pPr>
            <w:r w:rsidRPr="004E3690">
              <w:rPr>
                <w:b/>
                <w:bCs/>
                <w:color w:val="000000"/>
                <w:sz w:val="18"/>
                <w:szCs w:val="18"/>
              </w:rPr>
              <w:t>Příjmy (skutečnost)</w:t>
            </w:r>
          </w:p>
        </w:tc>
        <w:tc>
          <w:tcPr>
            <w:tcW w:w="805" w:type="pct"/>
            <w:tcBorders>
              <w:top w:val="nil"/>
              <w:left w:val="nil"/>
              <w:bottom w:val="single" w:sz="4" w:space="0" w:color="auto"/>
              <w:right w:val="single" w:sz="4" w:space="0" w:color="auto"/>
            </w:tcBorders>
            <w:shd w:val="clear" w:color="auto" w:fill="auto"/>
            <w:noWrap/>
            <w:vAlign w:val="center"/>
          </w:tcPr>
          <w:p w14:paraId="42B16DAC" w14:textId="77777777" w:rsidR="00B57597" w:rsidRPr="004E3690" w:rsidRDefault="00B57597" w:rsidP="00C338BC">
            <w:pPr>
              <w:spacing w:after="0"/>
              <w:jc w:val="right"/>
              <w:rPr>
                <w:rFonts w:eastAsia="Calibri" w:cs="Calibri"/>
                <w:color w:val="000000"/>
                <w:sz w:val="18"/>
                <w:szCs w:val="18"/>
              </w:rPr>
            </w:pPr>
            <w:r w:rsidRPr="004E3690">
              <w:rPr>
                <w:color w:val="000000"/>
                <w:sz w:val="18"/>
                <w:szCs w:val="18"/>
              </w:rPr>
              <w:t>304 355 828,74</w:t>
            </w:r>
          </w:p>
        </w:tc>
        <w:tc>
          <w:tcPr>
            <w:tcW w:w="804" w:type="pct"/>
            <w:tcBorders>
              <w:top w:val="nil"/>
              <w:left w:val="nil"/>
              <w:bottom w:val="single" w:sz="4" w:space="0" w:color="auto"/>
              <w:right w:val="single" w:sz="4" w:space="0" w:color="auto"/>
            </w:tcBorders>
            <w:shd w:val="clear" w:color="auto" w:fill="auto"/>
            <w:noWrap/>
            <w:vAlign w:val="center"/>
          </w:tcPr>
          <w:p w14:paraId="2BC94563" w14:textId="77777777" w:rsidR="00B57597" w:rsidRPr="004E3690" w:rsidRDefault="00B57597" w:rsidP="00C338BC">
            <w:pPr>
              <w:spacing w:after="0"/>
              <w:jc w:val="right"/>
              <w:rPr>
                <w:rFonts w:eastAsia="Calibri" w:cs="Calibri"/>
                <w:color w:val="000000"/>
                <w:sz w:val="18"/>
                <w:szCs w:val="18"/>
              </w:rPr>
            </w:pPr>
            <w:r w:rsidRPr="004E3690">
              <w:rPr>
                <w:color w:val="000000"/>
                <w:sz w:val="18"/>
                <w:szCs w:val="18"/>
              </w:rPr>
              <w:t>284 511 872,52</w:t>
            </w:r>
          </w:p>
        </w:tc>
        <w:tc>
          <w:tcPr>
            <w:tcW w:w="804" w:type="pct"/>
            <w:tcBorders>
              <w:top w:val="nil"/>
              <w:left w:val="nil"/>
              <w:bottom w:val="single" w:sz="4" w:space="0" w:color="auto"/>
              <w:right w:val="single" w:sz="4" w:space="0" w:color="auto"/>
            </w:tcBorders>
            <w:shd w:val="clear" w:color="auto" w:fill="auto"/>
            <w:noWrap/>
            <w:vAlign w:val="center"/>
          </w:tcPr>
          <w:p w14:paraId="6377C200" w14:textId="77777777" w:rsidR="00B57597" w:rsidRPr="004E3690" w:rsidRDefault="00B57597" w:rsidP="00C338BC">
            <w:pPr>
              <w:spacing w:after="0"/>
              <w:jc w:val="right"/>
              <w:rPr>
                <w:rFonts w:eastAsia="Calibri" w:cs="Calibri"/>
                <w:color w:val="000000"/>
                <w:sz w:val="18"/>
                <w:szCs w:val="18"/>
              </w:rPr>
            </w:pPr>
            <w:r w:rsidRPr="004E3690">
              <w:rPr>
                <w:color w:val="000000"/>
                <w:sz w:val="18"/>
                <w:szCs w:val="18"/>
              </w:rPr>
              <w:t>232 932 091,46</w:t>
            </w:r>
          </w:p>
        </w:tc>
        <w:tc>
          <w:tcPr>
            <w:tcW w:w="804" w:type="pct"/>
            <w:tcBorders>
              <w:top w:val="nil"/>
              <w:left w:val="nil"/>
              <w:bottom w:val="single" w:sz="4" w:space="0" w:color="auto"/>
              <w:right w:val="single" w:sz="4" w:space="0" w:color="auto"/>
            </w:tcBorders>
            <w:shd w:val="clear" w:color="auto" w:fill="auto"/>
            <w:noWrap/>
            <w:vAlign w:val="center"/>
          </w:tcPr>
          <w:p w14:paraId="045A6E71" w14:textId="77777777" w:rsidR="00B57597" w:rsidRPr="004E3690" w:rsidRDefault="00B57597" w:rsidP="00C338BC">
            <w:pPr>
              <w:spacing w:after="0"/>
              <w:jc w:val="right"/>
              <w:rPr>
                <w:rFonts w:eastAsia="Calibri" w:cs="Calibri"/>
                <w:color w:val="000000"/>
                <w:sz w:val="18"/>
                <w:szCs w:val="18"/>
              </w:rPr>
            </w:pPr>
            <w:r w:rsidRPr="004E3690">
              <w:rPr>
                <w:color w:val="000000"/>
                <w:sz w:val="18"/>
                <w:szCs w:val="18"/>
              </w:rPr>
              <w:t>215 750 179,75</w:t>
            </w:r>
          </w:p>
        </w:tc>
        <w:tc>
          <w:tcPr>
            <w:tcW w:w="804" w:type="pct"/>
            <w:tcBorders>
              <w:top w:val="nil"/>
              <w:left w:val="nil"/>
              <w:bottom w:val="single" w:sz="4" w:space="0" w:color="auto"/>
              <w:right w:val="single" w:sz="4" w:space="0" w:color="auto"/>
            </w:tcBorders>
            <w:vAlign w:val="center"/>
          </w:tcPr>
          <w:p w14:paraId="1C4BA2DE" w14:textId="77777777" w:rsidR="00B57597" w:rsidRPr="004E3690" w:rsidRDefault="00B57597" w:rsidP="00C338BC">
            <w:pPr>
              <w:spacing w:after="0"/>
              <w:jc w:val="right"/>
              <w:rPr>
                <w:rFonts w:eastAsia="Calibri" w:cs="Calibri"/>
                <w:color w:val="000000"/>
                <w:sz w:val="18"/>
                <w:szCs w:val="18"/>
              </w:rPr>
            </w:pPr>
            <w:r w:rsidRPr="004E3690">
              <w:rPr>
                <w:color w:val="000000"/>
                <w:sz w:val="18"/>
                <w:szCs w:val="18"/>
              </w:rPr>
              <w:t>160 416 696,43</w:t>
            </w:r>
          </w:p>
        </w:tc>
      </w:tr>
      <w:tr w:rsidR="00B57597" w:rsidRPr="004E3690" w14:paraId="044A796E" w14:textId="77777777" w:rsidTr="00B57597">
        <w:trPr>
          <w:trHeight w:val="255"/>
        </w:trPr>
        <w:tc>
          <w:tcPr>
            <w:tcW w:w="980" w:type="pct"/>
            <w:tcBorders>
              <w:top w:val="nil"/>
              <w:left w:val="single" w:sz="4" w:space="0" w:color="auto"/>
              <w:bottom w:val="single" w:sz="4" w:space="0" w:color="auto"/>
              <w:right w:val="single" w:sz="4" w:space="0" w:color="auto"/>
            </w:tcBorders>
            <w:shd w:val="clear" w:color="auto" w:fill="auto"/>
            <w:noWrap/>
            <w:vAlign w:val="center"/>
          </w:tcPr>
          <w:p w14:paraId="3E790EC8" w14:textId="77777777" w:rsidR="00B57597" w:rsidRPr="004E3690" w:rsidRDefault="00B57597" w:rsidP="00C338BC">
            <w:pPr>
              <w:spacing w:after="0"/>
              <w:rPr>
                <w:rFonts w:cs="Calibri"/>
                <w:b/>
                <w:bCs/>
                <w:color w:val="000000"/>
                <w:sz w:val="18"/>
                <w:szCs w:val="18"/>
                <w:lang w:eastAsia="cs-CZ"/>
              </w:rPr>
            </w:pPr>
            <w:r w:rsidRPr="004E3690">
              <w:rPr>
                <w:b/>
                <w:bCs/>
                <w:color w:val="000000"/>
                <w:sz w:val="18"/>
                <w:szCs w:val="18"/>
              </w:rPr>
              <w:t>Výnosy celkem</w:t>
            </w:r>
          </w:p>
        </w:tc>
        <w:tc>
          <w:tcPr>
            <w:tcW w:w="805" w:type="pct"/>
            <w:tcBorders>
              <w:top w:val="nil"/>
              <w:left w:val="nil"/>
              <w:bottom w:val="single" w:sz="4" w:space="0" w:color="auto"/>
              <w:right w:val="single" w:sz="4" w:space="0" w:color="auto"/>
            </w:tcBorders>
            <w:shd w:val="clear" w:color="auto" w:fill="auto"/>
            <w:noWrap/>
            <w:vAlign w:val="center"/>
          </w:tcPr>
          <w:p w14:paraId="4538EA38" w14:textId="77777777" w:rsidR="00B57597" w:rsidRPr="004E3690" w:rsidRDefault="00B57597" w:rsidP="00C338BC">
            <w:pPr>
              <w:spacing w:after="0"/>
              <w:jc w:val="right"/>
              <w:rPr>
                <w:rFonts w:eastAsia="Calibri" w:cs="Calibri"/>
                <w:color w:val="000000"/>
                <w:sz w:val="18"/>
                <w:szCs w:val="18"/>
              </w:rPr>
            </w:pPr>
            <w:r w:rsidRPr="004E3690">
              <w:rPr>
                <w:color w:val="000000"/>
                <w:sz w:val="18"/>
                <w:szCs w:val="18"/>
              </w:rPr>
              <w:t>577 018 906,91</w:t>
            </w:r>
          </w:p>
        </w:tc>
        <w:tc>
          <w:tcPr>
            <w:tcW w:w="804" w:type="pct"/>
            <w:tcBorders>
              <w:top w:val="nil"/>
              <w:left w:val="nil"/>
              <w:bottom w:val="single" w:sz="4" w:space="0" w:color="auto"/>
              <w:right w:val="single" w:sz="4" w:space="0" w:color="auto"/>
            </w:tcBorders>
            <w:shd w:val="clear" w:color="auto" w:fill="auto"/>
            <w:noWrap/>
            <w:vAlign w:val="center"/>
          </w:tcPr>
          <w:p w14:paraId="337E3ED6" w14:textId="77777777" w:rsidR="00B57597" w:rsidRPr="004E3690" w:rsidRDefault="00B57597" w:rsidP="00C338BC">
            <w:pPr>
              <w:spacing w:after="0"/>
              <w:jc w:val="right"/>
              <w:rPr>
                <w:rFonts w:eastAsia="Calibri" w:cs="Calibri"/>
                <w:color w:val="000000"/>
                <w:sz w:val="18"/>
                <w:szCs w:val="18"/>
              </w:rPr>
            </w:pPr>
            <w:r w:rsidRPr="004E3690">
              <w:rPr>
                <w:color w:val="000000"/>
                <w:sz w:val="18"/>
                <w:szCs w:val="18"/>
              </w:rPr>
              <w:t>325 757 102,13</w:t>
            </w:r>
          </w:p>
        </w:tc>
        <w:tc>
          <w:tcPr>
            <w:tcW w:w="804" w:type="pct"/>
            <w:tcBorders>
              <w:top w:val="nil"/>
              <w:left w:val="nil"/>
              <w:bottom w:val="single" w:sz="4" w:space="0" w:color="auto"/>
              <w:right w:val="single" w:sz="4" w:space="0" w:color="auto"/>
            </w:tcBorders>
            <w:shd w:val="clear" w:color="auto" w:fill="auto"/>
            <w:noWrap/>
            <w:vAlign w:val="center"/>
          </w:tcPr>
          <w:p w14:paraId="0D3D5F14" w14:textId="77777777" w:rsidR="00B57597" w:rsidRPr="004E3690" w:rsidRDefault="00B57597" w:rsidP="00C338BC">
            <w:pPr>
              <w:spacing w:after="0"/>
              <w:jc w:val="right"/>
              <w:rPr>
                <w:rFonts w:eastAsia="Calibri" w:cs="Calibri"/>
                <w:color w:val="000000"/>
                <w:sz w:val="18"/>
                <w:szCs w:val="18"/>
              </w:rPr>
            </w:pPr>
            <w:r w:rsidRPr="004E3690">
              <w:rPr>
                <w:color w:val="000000"/>
                <w:sz w:val="18"/>
                <w:szCs w:val="18"/>
              </w:rPr>
              <w:t>269 510 421,29</w:t>
            </w:r>
          </w:p>
        </w:tc>
        <w:tc>
          <w:tcPr>
            <w:tcW w:w="804" w:type="pct"/>
            <w:tcBorders>
              <w:top w:val="nil"/>
              <w:left w:val="nil"/>
              <w:bottom w:val="single" w:sz="4" w:space="0" w:color="auto"/>
              <w:right w:val="single" w:sz="4" w:space="0" w:color="auto"/>
            </w:tcBorders>
            <w:shd w:val="clear" w:color="auto" w:fill="auto"/>
            <w:noWrap/>
            <w:vAlign w:val="center"/>
          </w:tcPr>
          <w:p w14:paraId="067532C0" w14:textId="77777777" w:rsidR="00B57597" w:rsidRPr="004E3690" w:rsidRDefault="00B57597" w:rsidP="00C338BC">
            <w:pPr>
              <w:spacing w:after="0"/>
              <w:jc w:val="right"/>
              <w:rPr>
                <w:rFonts w:eastAsia="Calibri" w:cs="Calibri"/>
                <w:color w:val="000000"/>
                <w:sz w:val="18"/>
                <w:szCs w:val="18"/>
              </w:rPr>
            </w:pPr>
            <w:r w:rsidRPr="004E3690">
              <w:rPr>
                <w:color w:val="000000"/>
                <w:sz w:val="18"/>
                <w:szCs w:val="18"/>
              </w:rPr>
              <w:t>254 036 803,67</w:t>
            </w:r>
          </w:p>
        </w:tc>
        <w:tc>
          <w:tcPr>
            <w:tcW w:w="804" w:type="pct"/>
            <w:tcBorders>
              <w:top w:val="nil"/>
              <w:left w:val="nil"/>
              <w:bottom w:val="single" w:sz="4" w:space="0" w:color="auto"/>
              <w:right w:val="single" w:sz="4" w:space="0" w:color="auto"/>
            </w:tcBorders>
            <w:vAlign w:val="center"/>
          </w:tcPr>
          <w:p w14:paraId="592890DE" w14:textId="77777777" w:rsidR="00B57597" w:rsidRPr="004E3690" w:rsidRDefault="00B57597" w:rsidP="00C338BC">
            <w:pPr>
              <w:spacing w:after="0"/>
              <w:jc w:val="right"/>
              <w:rPr>
                <w:rFonts w:eastAsia="Calibri" w:cs="Calibri"/>
                <w:color w:val="000000"/>
                <w:sz w:val="18"/>
                <w:szCs w:val="18"/>
              </w:rPr>
            </w:pPr>
            <w:r w:rsidRPr="004E3690">
              <w:rPr>
                <w:color w:val="000000"/>
                <w:sz w:val="18"/>
                <w:szCs w:val="18"/>
              </w:rPr>
              <w:t>200 607 381,46</w:t>
            </w:r>
          </w:p>
        </w:tc>
      </w:tr>
    </w:tbl>
    <w:p w14:paraId="38213034" w14:textId="77777777" w:rsidR="00B57597" w:rsidRPr="007D36E3" w:rsidRDefault="00B57597" w:rsidP="00B57597">
      <w:pPr>
        <w:spacing w:before="40"/>
        <w:rPr>
          <w:rFonts w:cs="Calibri"/>
          <w:color w:val="000000"/>
          <w:sz w:val="20"/>
          <w:szCs w:val="20"/>
          <w:lang w:eastAsia="cs-CZ"/>
        </w:rPr>
      </w:pPr>
      <w:r w:rsidRPr="007D36E3">
        <w:rPr>
          <w:rFonts w:cs="Calibri"/>
          <w:b/>
          <w:color w:val="000000"/>
          <w:sz w:val="20"/>
          <w:szCs w:val="20"/>
          <w:lang w:eastAsia="cs-CZ"/>
        </w:rPr>
        <w:t xml:space="preserve">Zdroj: </w:t>
      </w:r>
      <w:r w:rsidRPr="007D36E3">
        <w:rPr>
          <w:rFonts w:cs="Calibri"/>
          <w:color w:val="000000"/>
          <w:sz w:val="20"/>
          <w:szCs w:val="20"/>
          <w:lang w:eastAsia="cs-CZ"/>
        </w:rPr>
        <w:t>informační portál MONITOR.</w:t>
      </w:r>
    </w:p>
    <w:p w14:paraId="607FC9A5" w14:textId="0FB93395" w:rsidR="00B57597" w:rsidRPr="004E3690" w:rsidRDefault="00B57597" w:rsidP="00B57597">
      <w:pPr>
        <w:spacing w:before="40"/>
        <w:jc w:val="both"/>
        <w:rPr>
          <w:rFonts w:cs="Calibri"/>
          <w:bCs/>
          <w:color w:val="000000"/>
          <w:szCs w:val="20"/>
          <w:lang w:eastAsia="cs-CZ"/>
        </w:rPr>
      </w:pPr>
      <w:r w:rsidRPr="004E3690">
        <w:rPr>
          <w:rFonts w:cs="Calibri"/>
          <w:color w:val="000000"/>
          <w:szCs w:val="20"/>
          <w:lang w:eastAsia="cs-CZ"/>
        </w:rPr>
        <w:t>Příjmy a výnosy se ve sledovaném období u ostatních OSS (bez MPO) vyvíjely obdobně až na rok 2016, kdy výnosy převýšily příjmy o 272,66 mil. Kč. Výnosy z činnosti v </w:t>
      </w:r>
      <w:r>
        <w:rPr>
          <w:rFonts w:cs="Calibri"/>
          <w:color w:val="000000"/>
          <w:szCs w:val="20"/>
          <w:lang w:eastAsia="cs-CZ"/>
        </w:rPr>
        <w:t>roce 2020 činily 199</w:t>
      </w:r>
      <w:r w:rsidR="00C338BC">
        <w:rPr>
          <w:rFonts w:cs="Calibri"/>
          <w:color w:val="000000"/>
          <w:szCs w:val="20"/>
          <w:lang w:eastAsia="cs-CZ"/>
        </w:rPr>
        <w:t> </w:t>
      </w:r>
      <w:r>
        <w:rPr>
          <w:rFonts w:cs="Calibri"/>
          <w:color w:val="000000"/>
          <w:szCs w:val="20"/>
          <w:lang w:eastAsia="cs-CZ"/>
        </w:rPr>
        <w:t>336</w:t>
      </w:r>
      <w:r w:rsidR="00C338BC">
        <w:rPr>
          <w:rFonts w:cs="Calibri"/>
          <w:color w:val="000000"/>
          <w:szCs w:val="20"/>
          <w:lang w:eastAsia="cs-CZ"/>
        </w:rPr>
        <w:t> </w:t>
      </w:r>
      <w:r>
        <w:rPr>
          <w:rFonts w:cs="Calibri"/>
          <w:color w:val="000000"/>
          <w:szCs w:val="20"/>
          <w:lang w:eastAsia="cs-CZ"/>
        </w:rPr>
        <w:t>208,57</w:t>
      </w:r>
      <w:r w:rsidR="00C338BC">
        <w:rPr>
          <w:rFonts w:cs="Calibri"/>
          <w:color w:val="000000"/>
          <w:szCs w:val="20"/>
          <w:lang w:eastAsia="cs-CZ"/>
        </w:rPr>
        <w:t> </w:t>
      </w:r>
      <w:r w:rsidRPr="004E3690">
        <w:rPr>
          <w:rFonts w:cs="Calibri"/>
          <w:color w:val="000000"/>
          <w:szCs w:val="20"/>
          <w:lang w:eastAsia="cs-CZ"/>
        </w:rPr>
        <w:t>Kč, tj. 99,37% celkových výnosů. Nejvýznamn</w:t>
      </w:r>
      <w:r>
        <w:rPr>
          <w:rFonts w:cs="Calibri"/>
          <w:color w:val="000000"/>
          <w:szCs w:val="20"/>
          <w:lang w:eastAsia="cs-CZ"/>
        </w:rPr>
        <w:t>ějšími výnosovými účty byly 642 </w:t>
      </w:r>
      <w:r w:rsidRPr="004E3690">
        <w:rPr>
          <w:rFonts w:cs="Calibri"/>
          <w:color w:val="000000"/>
          <w:szCs w:val="20"/>
          <w:lang w:eastAsia="cs-CZ"/>
        </w:rPr>
        <w:t xml:space="preserve">– </w:t>
      </w:r>
      <w:r w:rsidRPr="004E3690">
        <w:rPr>
          <w:rFonts w:cs="Calibri"/>
          <w:i/>
          <w:color w:val="000000"/>
          <w:szCs w:val="20"/>
          <w:lang w:eastAsia="cs-CZ"/>
        </w:rPr>
        <w:t>Jiné pokuty a penále</w:t>
      </w:r>
      <w:r w:rsidRPr="004E3690">
        <w:rPr>
          <w:rFonts w:cs="Calibri"/>
          <w:color w:val="000000"/>
          <w:szCs w:val="20"/>
          <w:lang w:eastAsia="cs-CZ"/>
        </w:rPr>
        <w:t xml:space="preserve"> (75 135 834,63 Kč) a 605 – </w:t>
      </w:r>
      <w:r w:rsidRPr="004E3690">
        <w:rPr>
          <w:rFonts w:cs="Calibri"/>
          <w:i/>
          <w:color w:val="000000"/>
          <w:szCs w:val="20"/>
          <w:lang w:eastAsia="cs-CZ"/>
        </w:rPr>
        <w:t>Výnosy ze správních poplatků</w:t>
      </w:r>
      <w:r w:rsidRPr="004E3690">
        <w:rPr>
          <w:rFonts w:cs="Calibri"/>
          <w:color w:val="000000"/>
          <w:szCs w:val="20"/>
          <w:lang w:eastAsia="cs-CZ"/>
        </w:rPr>
        <w:t xml:space="preserve"> (57</w:t>
      </w:r>
      <w:r w:rsidR="00C338BC">
        <w:rPr>
          <w:rFonts w:cs="Calibri"/>
          <w:color w:val="000000"/>
          <w:szCs w:val="20"/>
          <w:lang w:eastAsia="cs-CZ"/>
        </w:rPr>
        <w:t> </w:t>
      </w:r>
      <w:r w:rsidRPr="004E3690">
        <w:rPr>
          <w:rFonts w:cs="Calibri"/>
          <w:color w:val="000000"/>
          <w:szCs w:val="20"/>
          <w:lang w:eastAsia="cs-CZ"/>
        </w:rPr>
        <w:t>939</w:t>
      </w:r>
      <w:r w:rsidR="00C338BC">
        <w:rPr>
          <w:rFonts w:cs="Calibri"/>
          <w:color w:val="000000"/>
          <w:szCs w:val="20"/>
          <w:lang w:eastAsia="cs-CZ"/>
        </w:rPr>
        <w:t> </w:t>
      </w:r>
      <w:r w:rsidRPr="004E3690">
        <w:rPr>
          <w:rFonts w:cs="Calibri"/>
          <w:color w:val="000000"/>
          <w:szCs w:val="20"/>
          <w:lang w:eastAsia="cs-CZ"/>
        </w:rPr>
        <w:t>549,72</w:t>
      </w:r>
      <w:r w:rsidR="00C338BC">
        <w:rPr>
          <w:rFonts w:cs="Calibri"/>
          <w:color w:val="000000"/>
          <w:szCs w:val="20"/>
          <w:lang w:eastAsia="cs-CZ"/>
        </w:rPr>
        <w:t> </w:t>
      </w:r>
      <w:r w:rsidRPr="004E3690">
        <w:rPr>
          <w:rFonts w:cs="Calibri"/>
          <w:color w:val="000000"/>
          <w:szCs w:val="20"/>
          <w:lang w:eastAsia="cs-CZ"/>
        </w:rPr>
        <w:t>Kč).</w:t>
      </w:r>
    </w:p>
    <w:p w14:paraId="2167A1C6" w14:textId="77777777" w:rsidR="00B57597" w:rsidRDefault="00B57597" w:rsidP="00C338BC">
      <w:pPr>
        <w:spacing w:after="0"/>
        <w:rPr>
          <w:highlight w:val="yellow"/>
        </w:rPr>
      </w:pPr>
    </w:p>
    <w:p w14:paraId="1FB5F2D0" w14:textId="77777777" w:rsidR="00B57597" w:rsidRPr="00E2678A" w:rsidRDefault="00B57597" w:rsidP="00C338BC">
      <w:pPr>
        <w:pStyle w:val="Nadpis3"/>
        <w:numPr>
          <w:ilvl w:val="0"/>
          <w:numId w:val="0"/>
        </w:numPr>
        <w:spacing w:after="120"/>
        <w:ind w:left="720" w:hanging="720"/>
        <w:contextualSpacing w:val="0"/>
        <w:jc w:val="center"/>
      </w:pPr>
      <w:bookmarkStart w:id="40" w:name="_Toc519242400"/>
      <w:bookmarkStart w:id="41" w:name="_Toc17204904"/>
      <w:bookmarkStart w:id="42" w:name="_Toc71514619"/>
      <w:bookmarkEnd w:id="31"/>
      <w:bookmarkEnd w:id="32"/>
      <w:r w:rsidRPr="00E2678A">
        <w:t>Oddíl IV. Porovnání výdajů a nákladů v rozpočtové kapitole 3</w:t>
      </w:r>
      <w:bookmarkEnd w:id="40"/>
      <w:bookmarkEnd w:id="41"/>
      <w:r w:rsidRPr="00E2678A">
        <w:t>22</w:t>
      </w:r>
      <w:bookmarkEnd w:id="42"/>
      <w:r>
        <w:t xml:space="preserve"> v letech 2016–2020</w:t>
      </w:r>
    </w:p>
    <w:p w14:paraId="2230CCC9" w14:textId="630E9B52" w:rsidR="00B57597" w:rsidRPr="00C338BC" w:rsidRDefault="00B57597" w:rsidP="00B57597">
      <w:pPr>
        <w:pStyle w:val="Titulek1"/>
        <w:tabs>
          <w:tab w:val="clear" w:pos="9356"/>
          <w:tab w:val="right" w:pos="9072"/>
        </w:tabs>
        <w:rPr>
          <w:sz w:val="24"/>
        </w:rPr>
      </w:pPr>
      <w:bookmarkStart w:id="43" w:name="_Toc520714320"/>
      <w:bookmarkStart w:id="44" w:name="_Toc8984527"/>
      <w:bookmarkStart w:id="45" w:name="_Toc72157463"/>
      <w:r w:rsidRPr="00C338BC">
        <w:rPr>
          <w:sz w:val="24"/>
        </w:rPr>
        <w:t xml:space="preserve">Tabulka č. </w:t>
      </w:r>
      <w:r w:rsidR="001529C4" w:rsidRPr="00C338BC">
        <w:rPr>
          <w:sz w:val="24"/>
        </w:rPr>
        <w:fldChar w:fldCharType="begin"/>
      </w:r>
      <w:r w:rsidR="001529C4" w:rsidRPr="00C338BC">
        <w:rPr>
          <w:sz w:val="24"/>
        </w:rPr>
        <w:instrText xml:space="preserve"> SEQ Tabulka \* ARABIC </w:instrText>
      </w:r>
      <w:r w:rsidR="001529C4" w:rsidRPr="00C338BC">
        <w:rPr>
          <w:sz w:val="24"/>
        </w:rPr>
        <w:fldChar w:fldCharType="separate"/>
      </w:r>
      <w:r w:rsidR="00E544AA">
        <w:rPr>
          <w:noProof/>
          <w:sz w:val="24"/>
        </w:rPr>
        <w:t>11</w:t>
      </w:r>
      <w:r w:rsidR="001529C4" w:rsidRPr="00C338BC">
        <w:rPr>
          <w:noProof/>
          <w:sz w:val="24"/>
        </w:rPr>
        <w:fldChar w:fldCharType="end"/>
      </w:r>
      <w:r w:rsidRPr="00C338BC">
        <w:rPr>
          <w:sz w:val="24"/>
        </w:rPr>
        <w:t>: Porovnání výdajů a nákladů za všechny OSS v </w:t>
      </w:r>
      <w:proofErr w:type="spellStart"/>
      <w:r w:rsidRPr="00C338BC">
        <w:rPr>
          <w:sz w:val="24"/>
        </w:rPr>
        <w:t>rozp</w:t>
      </w:r>
      <w:proofErr w:type="spellEnd"/>
      <w:r w:rsidRPr="00C338BC">
        <w:rPr>
          <w:sz w:val="24"/>
        </w:rPr>
        <w:t>. kap. 322 vč. MPO (v Kč)</w:t>
      </w:r>
      <w:bookmarkEnd w:id="43"/>
      <w:bookmarkEnd w:id="44"/>
      <w:bookmarkEnd w:id="45"/>
    </w:p>
    <w:tbl>
      <w:tblPr>
        <w:tblW w:w="4983" w:type="pct"/>
        <w:tblCellMar>
          <w:left w:w="70" w:type="dxa"/>
          <w:right w:w="70" w:type="dxa"/>
        </w:tblCellMar>
        <w:tblLook w:val="04A0" w:firstRow="1" w:lastRow="0" w:firstColumn="1" w:lastColumn="0" w:noHBand="0" w:noVBand="1"/>
      </w:tblPr>
      <w:tblGrid>
        <w:gridCol w:w="1659"/>
        <w:gridCol w:w="1474"/>
        <w:gridCol w:w="1474"/>
        <w:gridCol w:w="1474"/>
        <w:gridCol w:w="1474"/>
        <w:gridCol w:w="1474"/>
      </w:tblGrid>
      <w:tr w:rsidR="00B57597" w:rsidRPr="00E2678A" w14:paraId="72E991AD" w14:textId="77777777" w:rsidTr="00C338BC">
        <w:trPr>
          <w:trHeight w:val="255"/>
        </w:trPr>
        <w:tc>
          <w:tcPr>
            <w:tcW w:w="919"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452D0FD7" w14:textId="77777777" w:rsidR="00B57597" w:rsidRPr="00E2678A" w:rsidRDefault="00B57597" w:rsidP="00C338BC">
            <w:pPr>
              <w:spacing w:after="0"/>
              <w:rPr>
                <w:rFonts w:cs="Calibri"/>
                <w:b/>
                <w:bCs/>
                <w:color w:val="000000"/>
                <w:sz w:val="18"/>
                <w:szCs w:val="18"/>
                <w:lang w:eastAsia="cs-CZ"/>
              </w:rPr>
            </w:pPr>
            <w:r w:rsidRPr="00E2678A">
              <w:rPr>
                <w:b/>
                <w:bCs/>
                <w:color w:val="000000"/>
                <w:sz w:val="18"/>
                <w:szCs w:val="18"/>
              </w:rPr>
              <w:t>Ukazatel</w:t>
            </w:r>
          </w:p>
        </w:tc>
        <w:tc>
          <w:tcPr>
            <w:tcW w:w="816" w:type="pct"/>
            <w:tcBorders>
              <w:top w:val="single" w:sz="4" w:space="0" w:color="auto"/>
              <w:left w:val="nil"/>
              <w:bottom w:val="single" w:sz="4" w:space="0" w:color="auto"/>
              <w:right w:val="single" w:sz="4" w:space="0" w:color="auto"/>
            </w:tcBorders>
            <w:shd w:val="clear" w:color="auto" w:fill="E5F1FF"/>
            <w:noWrap/>
            <w:vAlign w:val="center"/>
            <w:hideMark/>
          </w:tcPr>
          <w:p w14:paraId="6CC57642" w14:textId="77777777" w:rsidR="00B57597" w:rsidRPr="00E2678A" w:rsidRDefault="00B57597" w:rsidP="00C338BC">
            <w:pPr>
              <w:spacing w:after="0"/>
              <w:jc w:val="center"/>
              <w:rPr>
                <w:rFonts w:cs="Calibri"/>
                <w:b/>
                <w:bCs/>
                <w:color w:val="000000"/>
                <w:sz w:val="18"/>
                <w:szCs w:val="18"/>
                <w:lang w:eastAsia="cs-CZ"/>
              </w:rPr>
            </w:pPr>
            <w:r w:rsidRPr="00E2678A">
              <w:rPr>
                <w:b/>
                <w:bCs/>
                <w:color w:val="000000"/>
                <w:sz w:val="18"/>
                <w:szCs w:val="18"/>
              </w:rPr>
              <w:t>2016</w:t>
            </w:r>
          </w:p>
        </w:tc>
        <w:tc>
          <w:tcPr>
            <w:tcW w:w="816" w:type="pct"/>
            <w:tcBorders>
              <w:top w:val="single" w:sz="4" w:space="0" w:color="auto"/>
              <w:left w:val="nil"/>
              <w:bottom w:val="single" w:sz="4" w:space="0" w:color="auto"/>
              <w:right w:val="single" w:sz="4" w:space="0" w:color="auto"/>
            </w:tcBorders>
            <w:shd w:val="clear" w:color="auto" w:fill="E5F1FF"/>
            <w:noWrap/>
            <w:vAlign w:val="center"/>
            <w:hideMark/>
          </w:tcPr>
          <w:p w14:paraId="6E56A2EE" w14:textId="77777777" w:rsidR="00B57597" w:rsidRPr="00E2678A" w:rsidRDefault="00B57597" w:rsidP="00C338BC">
            <w:pPr>
              <w:spacing w:after="0"/>
              <w:jc w:val="center"/>
              <w:rPr>
                <w:rFonts w:cs="Calibri"/>
                <w:b/>
                <w:bCs/>
                <w:color w:val="000000"/>
                <w:sz w:val="18"/>
                <w:szCs w:val="18"/>
                <w:lang w:eastAsia="cs-CZ"/>
              </w:rPr>
            </w:pPr>
            <w:r w:rsidRPr="00E2678A">
              <w:rPr>
                <w:b/>
                <w:bCs/>
                <w:color w:val="000000"/>
                <w:sz w:val="18"/>
                <w:szCs w:val="18"/>
              </w:rPr>
              <w:t>2017</w:t>
            </w:r>
          </w:p>
        </w:tc>
        <w:tc>
          <w:tcPr>
            <w:tcW w:w="816" w:type="pct"/>
            <w:tcBorders>
              <w:top w:val="single" w:sz="4" w:space="0" w:color="auto"/>
              <w:left w:val="nil"/>
              <w:bottom w:val="single" w:sz="4" w:space="0" w:color="auto"/>
              <w:right w:val="single" w:sz="4" w:space="0" w:color="auto"/>
            </w:tcBorders>
            <w:shd w:val="clear" w:color="auto" w:fill="E5F1FF"/>
            <w:noWrap/>
            <w:vAlign w:val="center"/>
            <w:hideMark/>
          </w:tcPr>
          <w:p w14:paraId="0CB58677" w14:textId="77777777" w:rsidR="00B57597" w:rsidRPr="00E2678A" w:rsidRDefault="00B57597" w:rsidP="00C338BC">
            <w:pPr>
              <w:spacing w:after="0"/>
              <w:jc w:val="center"/>
              <w:rPr>
                <w:rFonts w:cs="Calibri"/>
                <w:b/>
                <w:bCs/>
                <w:color w:val="000000"/>
                <w:sz w:val="18"/>
                <w:szCs w:val="18"/>
                <w:lang w:eastAsia="cs-CZ"/>
              </w:rPr>
            </w:pPr>
            <w:r w:rsidRPr="00E2678A">
              <w:rPr>
                <w:b/>
                <w:bCs/>
                <w:color w:val="000000"/>
                <w:sz w:val="18"/>
                <w:szCs w:val="18"/>
              </w:rPr>
              <w:t>2018</w:t>
            </w:r>
          </w:p>
        </w:tc>
        <w:tc>
          <w:tcPr>
            <w:tcW w:w="816" w:type="pct"/>
            <w:tcBorders>
              <w:top w:val="single" w:sz="4" w:space="0" w:color="auto"/>
              <w:left w:val="nil"/>
              <w:bottom w:val="single" w:sz="4" w:space="0" w:color="auto"/>
              <w:right w:val="single" w:sz="4" w:space="0" w:color="auto"/>
            </w:tcBorders>
            <w:shd w:val="clear" w:color="auto" w:fill="E5F1FF"/>
            <w:noWrap/>
            <w:vAlign w:val="center"/>
            <w:hideMark/>
          </w:tcPr>
          <w:p w14:paraId="2AF43C67" w14:textId="77777777" w:rsidR="00B57597" w:rsidRPr="00E2678A" w:rsidRDefault="00B57597" w:rsidP="00C338BC">
            <w:pPr>
              <w:spacing w:after="0"/>
              <w:jc w:val="center"/>
              <w:rPr>
                <w:rFonts w:cs="Calibri"/>
                <w:b/>
                <w:bCs/>
                <w:color w:val="000000"/>
                <w:sz w:val="18"/>
                <w:szCs w:val="18"/>
                <w:lang w:eastAsia="cs-CZ"/>
              </w:rPr>
            </w:pPr>
            <w:r w:rsidRPr="00E2678A">
              <w:rPr>
                <w:b/>
                <w:bCs/>
                <w:color w:val="000000"/>
                <w:sz w:val="18"/>
                <w:szCs w:val="18"/>
              </w:rPr>
              <w:t>2019</w:t>
            </w:r>
          </w:p>
        </w:tc>
        <w:tc>
          <w:tcPr>
            <w:tcW w:w="816" w:type="pct"/>
            <w:tcBorders>
              <w:top w:val="single" w:sz="4" w:space="0" w:color="auto"/>
              <w:left w:val="nil"/>
              <w:bottom w:val="single" w:sz="4" w:space="0" w:color="auto"/>
              <w:right w:val="single" w:sz="4" w:space="0" w:color="auto"/>
            </w:tcBorders>
            <w:shd w:val="clear" w:color="auto" w:fill="E5F1FF"/>
            <w:vAlign w:val="center"/>
          </w:tcPr>
          <w:p w14:paraId="76BE0598" w14:textId="77777777" w:rsidR="00B57597" w:rsidRPr="00E2678A" w:rsidRDefault="00B57597" w:rsidP="00C338BC">
            <w:pPr>
              <w:spacing w:after="0"/>
              <w:jc w:val="center"/>
              <w:rPr>
                <w:rFonts w:cs="Calibri"/>
                <w:b/>
                <w:bCs/>
                <w:color w:val="000000"/>
                <w:sz w:val="18"/>
                <w:szCs w:val="18"/>
                <w:lang w:eastAsia="cs-CZ"/>
              </w:rPr>
            </w:pPr>
            <w:r w:rsidRPr="00E2678A">
              <w:rPr>
                <w:b/>
                <w:bCs/>
                <w:color w:val="000000"/>
                <w:sz w:val="18"/>
                <w:szCs w:val="18"/>
              </w:rPr>
              <w:t>2020</w:t>
            </w:r>
          </w:p>
        </w:tc>
      </w:tr>
      <w:tr w:rsidR="00B57597" w:rsidRPr="00E2678A" w14:paraId="3F20F9FD" w14:textId="77777777" w:rsidTr="00C338BC">
        <w:trPr>
          <w:trHeight w:val="255"/>
        </w:trPr>
        <w:tc>
          <w:tcPr>
            <w:tcW w:w="919" w:type="pct"/>
            <w:tcBorders>
              <w:top w:val="nil"/>
              <w:left w:val="single" w:sz="4" w:space="0" w:color="auto"/>
              <w:bottom w:val="single" w:sz="4" w:space="0" w:color="auto"/>
              <w:right w:val="single" w:sz="4" w:space="0" w:color="auto"/>
            </w:tcBorders>
            <w:shd w:val="clear" w:color="auto" w:fill="auto"/>
            <w:noWrap/>
            <w:vAlign w:val="center"/>
          </w:tcPr>
          <w:p w14:paraId="058684A0" w14:textId="77777777" w:rsidR="00B57597" w:rsidRPr="00E2678A" w:rsidRDefault="00B57597" w:rsidP="00C338BC">
            <w:pPr>
              <w:spacing w:after="0"/>
              <w:rPr>
                <w:rFonts w:cs="Calibri"/>
                <w:b/>
                <w:bCs/>
                <w:color w:val="000000"/>
                <w:sz w:val="18"/>
                <w:szCs w:val="18"/>
                <w:lang w:eastAsia="cs-CZ"/>
              </w:rPr>
            </w:pPr>
            <w:r w:rsidRPr="00E2678A">
              <w:rPr>
                <w:b/>
                <w:bCs/>
                <w:color w:val="000000"/>
                <w:sz w:val="18"/>
                <w:szCs w:val="18"/>
              </w:rPr>
              <w:t>Výdaje (skutečnost)</w:t>
            </w:r>
          </w:p>
        </w:tc>
        <w:tc>
          <w:tcPr>
            <w:tcW w:w="816" w:type="pct"/>
            <w:tcBorders>
              <w:top w:val="nil"/>
              <w:left w:val="nil"/>
              <w:bottom w:val="single" w:sz="4" w:space="0" w:color="auto"/>
              <w:right w:val="single" w:sz="4" w:space="0" w:color="auto"/>
            </w:tcBorders>
            <w:shd w:val="clear" w:color="auto" w:fill="auto"/>
            <w:noWrap/>
            <w:vAlign w:val="center"/>
          </w:tcPr>
          <w:p w14:paraId="149A9B76" w14:textId="77777777" w:rsidR="00B57597" w:rsidRPr="00C338BC" w:rsidRDefault="00B57597" w:rsidP="00C338BC">
            <w:pPr>
              <w:spacing w:after="0"/>
              <w:jc w:val="right"/>
              <w:rPr>
                <w:rFonts w:eastAsia="Calibri" w:cs="Calibri"/>
                <w:color w:val="000000"/>
                <w:sz w:val="17"/>
                <w:szCs w:val="17"/>
              </w:rPr>
            </w:pPr>
            <w:r w:rsidRPr="00C338BC">
              <w:rPr>
                <w:color w:val="000000"/>
                <w:sz w:val="17"/>
                <w:szCs w:val="17"/>
              </w:rPr>
              <w:t>27 735 040 663,39</w:t>
            </w:r>
          </w:p>
        </w:tc>
        <w:tc>
          <w:tcPr>
            <w:tcW w:w="816" w:type="pct"/>
            <w:tcBorders>
              <w:top w:val="nil"/>
              <w:left w:val="nil"/>
              <w:bottom w:val="single" w:sz="4" w:space="0" w:color="auto"/>
              <w:right w:val="single" w:sz="4" w:space="0" w:color="auto"/>
            </w:tcBorders>
            <w:shd w:val="clear" w:color="auto" w:fill="auto"/>
            <w:noWrap/>
            <w:vAlign w:val="center"/>
          </w:tcPr>
          <w:p w14:paraId="0A4AAD3A" w14:textId="77777777" w:rsidR="00B57597" w:rsidRPr="00C338BC" w:rsidRDefault="00B57597" w:rsidP="00C338BC">
            <w:pPr>
              <w:spacing w:after="0"/>
              <w:jc w:val="right"/>
              <w:rPr>
                <w:rFonts w:eastAsia="Calibri" w:cs="Calibri"/>
                <w:color w:val="000000"/>
                <w:sz w:val="17"/>
                <w:szCs w:val="17"/>
              </w:rPr>
            </w:pPr>
            <w:r w:rsidRPr="00C338BC">
              <w:rPr>
                <w:color w:val="000000"/>
                <w:sz w:val="17"/>
                <w:szCs w:val="17"/>
              </w:rPr>
              <w:t>40 668 626 010,17</w:t>
            </w:r>
          </w:p>
        </w:tc>
        <w:tc>
          <w:tcPr>
            <w:tcW w:w="816" w:type="pct"/>
            <w:tcBorders>
              <w:top w:val="nil"/>
              <w:left w:val="nil"/>
              <w:bottom w:val="single" w:sz="4" w:space="0" w:color="auto"/>
              <w:right w:val="single" w:sz="4" w:space="0" w:color="auto"/>
            </w:tcBorders>
            <w:shd w:val="clear" w:color="auto" w:fill="auto"/>
            <w:noWrap/>
            <w:vAlign w:val="center"/>
          </w:tcPr>
          <w:p w14:paraId="6DE435C0" w14:textId="77777777" w:rsidR="00B57597" w:rsidRPr="00C338BC" w:rsidRDefault="00B57597" w:rsidP="00C338BC">
            <w:pPr>
              <w:spacing w:after="0"/>
              <w:jc w:val="right"/>
              <w:rPr>
                <w:rFonts w:eastAsia="Calibri" w:cs="Calibri"/>
                <w:color w:val="000000"/>
                <w:sz w:val="17"/>
                <w:szCs w:val="17"/>
              </w:rPr>
            </w:pPr>
            <w:r w:rsidRPr="00C338BC">
              <w:rPr>
                <w:color w:val="000000"/>
                <w:sz w:val="17"/>
                <w:szCs w:val="17"/>
              </w:rPr>
              <w:t>45 387 949 250,63</w:t>
            </w:r>
          </w:p>
        </w:tc>
        <w:tc>
          <w:tcPr>
            <w:tcW w:w="816" w:type="pct"/>
            <w:tcBorders>
              <w:top w:val="nil"/>
              <w:left w:val="nil"/>
              <w:bottom w:val="single" w:sz="4" w:space="0" w:color="auto"/>
              <w:right w:val="single" w:sz="4" w:space="0" w:color="auto"/>
            </w:tcBorders>
            <w:shd w:val="clear" w:color="auto" w:fill="auto"/>
            <w:noWrap/>
            <w:vAlign w:val="center"/>
          </w:tcPr>
          <w:p w14:paraId="66EF02FB" w14:textId="77777777" w:rsidR="00B57597" w:rsidRPr="00C338BC" w:rsidRDefault="00B57597" w:rsidP="00C338BC">
            <w:pPr>
              <w:spacing w:after="0"/>
              <w:jc w:val="right"/>
              <w:rPr>
                <w:rFonts w:eastAsia="Calibri" w:cs="Calibri"/>
                <w:color w:val="000000"/>
                <w:sz w:val="17"/>
                <w:szCs w:val="17"/>
              </w:rPr>
            </w:pPr>
            <w:r w:rsidRPr="00C338BC">
              <w:rPr>
                <w:color w:val="000000"/>
                <w:sz w:val="17"/>
                <w:szCs w:val="17"/>
              </w:rPr>
              <w:t>47 649 101 069,25</w:t>
            </w:r>
          </w:p>
        </w:tc>
        <w:tc>
          <w:tcPr>
            <w:tcW w:w="816" w:type="pct"/>
            <w:tcBorders>
              <w:top w:val="nil"/>
              <w:left w:val="nil"/>
              <w:bottom w:val="single" w:sz="4" w:space="0" w:color="auto"/>
              <w:right w:val="single" w:sz="4" w:space="0" w:color="auto"/>
            </w:tcBorders>
            <w:vAlign w:val="center"/>
          </w:tcPr>
          <w:p w14:paraId="7A523750" w14:textId="77777777" w:rsidR="00B57597" w:rsidRPr="00C338BC" w:rsidRDefault="00B57597" w:rsidP="00C338BC">
            <w:pPr>
              <w:spacing w:after="0"/>
              <w:jc w:val="right"/>
              <w:rPr>
                <w:rFonts w:eastAsia="Calibri" w:cs="Calibri"/>
                <w:color w:val="000000"/>
                <w:sz w:val="17"/>
                <w:szCs w:val="17"/>
              </w:rPr>
            </w:pPr>
            <w:r w:rsidRPr="00C338BC">
              <w:rPr>
                <w:color w:val="000000"/>
                <w:sz w:val="17"/>
                <w:szCs w:val="17"/>
              </w:rPr>
              <w:t>60 904 644 446,39</w:t>
            </w:r>
          </w:p>
        </w:tc>
      </w:tr>
      <w:tr w:rsidR="00B57597" w:rsidRPr="00E2678A" w14:paraId="7C153F42" w14:textId="77777777" w:rsidTr="00C338BC">
        <w:trPr>
          <w:trHeight w:val="255"/>
        </w:trPr>
        <w:tc>
          <w:tcPr>
            <w:tcW w:w="919" w:type="pct"/>
            <w:tcBorders>
              <w:top w:val="nil"/>
              <w:left w:val="single" w:sz="4" w:space="0" w:color="auto"/>
              <w:bottom w:val="single" w:sz="4" w:space="0" w:color="auto"/>
              <w:right w:val="single" w:sz="4" w:space="0" w:color="auto"/>
            </w:tcBorders>
            <w:shd w:val="clear" w:color="auto" w:fill="auto"/>
            <w:noWrap/>
            <w:vAlign w:val="center"/>
          </w:tcPr>
          <w:p w14:paraId="6F23378C" w14:textId="77777777" w:rsidR="00B57597" w:rsidRPr="00E2678A" w:rsidRDefault="00B57597" w:rsidP="00C338BC">
            <w:pPr>
              <w:spacing w:after="0"/>
              <w:rPr>
                <w:rFonts w:cs="Calibri"/>
                <w:b/>
                <w:bCs/>
                <w:color w:val="000000"/>
                <w:sz w:val="18"/>
                <w:szCs w:val="18"/>
                <w:lang w:eastAsia="cs-CZ"/>
              </w:rPr>
            </w:pPr>
            <w:r w:rsidRPr="00E2678A">
              <w:rPr>
                <w:b/>
                <w:bCs/>
                <w:color w:val="000000"/>
                <w:sz w:val="18"/>
                <w:szCs w:val="18"/>
              </w:rPr>
              <w:t>Náklady celkem</w:t>
            </w:r>
          </w:p>
        </w:tc>
        <w:tc>
          <w:tcPr>
            <w:tcW w:w="816" w:type="pct"/>
            <w:tcBorders>
              <w:top w:val="nil"/>
              <w:left w:val="nil"/>
              <w:bottom w:val="single" w:sz="4" w:space="0" w:color="auto"/>
              <w:right w:val="single" w:sz="4" w:space="0" w:color="auto"/>
            </w:tcBorders>
            <w:shd w:val="clear" w:color="auto" w:fill="auto"/>
            <w:noWrap/>
            <w:vAlign w:val="center"/>
          </w:tcPr>
          <w:p w14:paraId="3516F17E" w14:textId="77777777" w:rsidR="00B57597" w:rsidRPr="00C338BC" w:rsidRDefault="00B57597" w:rsidP="00C338BC">
            <w:pPr>
              <w:spacing w:after="0"/>
              <w:jc w:val="right"/>
              <w:rPr>
                <w:rFonts w:eastAsia="Calibri" w:cs="Calibri"/>
                <w:color w:val="000000"/>
                <w:sz w:val="17"/>
                <w:szCs w:val="17"/>
              </w:rPr>
            </w:pPr>
            <w:r w:rsidRPr="00C338BC">
              <w:rPr>
                <w:color w:val="000000"/>
                <w:sz w:val="17"/>
                <w:szCs w:val="17"/>
              </w:rPr>
              <w:t>29 203 509 912,06</w:t>
            </w:r>
          </w:p>
        </w:tc>
        <w:tc>
          <w:tcPr>
            <w:tcW w:w="816" w:type="pct"/>
            <w:tcBorders>
              <w:top w:val="nil"/>
              <w:left w:val="nil"/>
              <w:bottom w:val="single" w:sz="4" w:space="0" w:color="auto"/>
              <w:right w:val="single" w:sz="4" w:space="0" w:color="auto"/>
            </w:tcBorders>
            <w:shd w:val="clear" w:color="auto" w:fill="auto"/>
            <w:noWrap/>
            <w:vAlign w:val="center"/>
          </w:tcPr>
          <w:p w14:paraId="4C3B3D86" w14:textId="77777777" w:rsidR="00B57597" w:rsidRPr="00C338BC" w:rsidRDefault="00B57597" w:rsidP="00C338BC">
            <w:pPr>
              <w:spacing w:after="0"/>
              <w:jc w:val="right"/>
              <w:rPr>
                <w:rFonts w:eastAsia="Calibri" w:cs="Calibri"/>
                <w:color w:val="000000"/>
                <w:sz w:val="17"/>
                <w:szCs w:val="17"/>
              </w:rPr>
            </w:pPr>
            <w:r w:rsidRPr="00C338BC">
              <w:rPr>
                <w:color w:val="000000"/>
                <w:sz w:val="17"/>
                <w:szCs w:val="17"/>
              </w:rPr>
              <w:t>36 091 960 657,24</w:t>
            </w:r>
          </w:p>
        </w:tc>
        <w:tc>
          <w:tcPr>
            <w:tcW w:w="816" w:type="pct"/>
            <w:tcBorders>
              <w:top w:val="nil"/>
              <w:left w:val="nil"/>
              <w:bottom w:val="single" w:sz="4" w:space="0" w:color="auto"/>
              <w:right w:val="single" w:sz="4" w:space="0" w:color="auto"/>
            </w:tcBorders>
            <w:shd w:val="clear" w:color="auto" w:fill="auto"/>
            <w:noWrap/>
            <w:vAlign w:val="center"/>
          </w:tcPr>
          <w:p w14:paraId="17B413DA" w14:textId="77777777" w:rsidR="00B57597" w:rsidRPr="00C338BC" w:rsidRDefault="00B57597" w:rsidP="00C338BC">
            <w:pPr>
              <w:spacing w:after="0"/>
              <w:jc w:val="right"/>
              <w:rPr>
                <w:rFonts w:eastAsia="Calibri" w:cs="Calibri"/>
                <w:color w:val="000000"/>
                <w:sz w:val="17"/>
                <w:szCs w:val="17"/>
              </w:rPr>
            </w:pPr>
            <w:r w:rsidRPr="00C338BC">
              <w:rPr>
                <w:color w:val="000000"/>
                <w:sz w:val="17"/>
                <w:szCs w:val="17"/>
              </w:rPr>
              <w:t>44 794 021 467,12</w:t>
            </w:r>
          </w:p>
        </w:tc>
        <w:tc>
          <w:tcPr>
            <w:tcW w:w="816" w:type="pct"/>
            <w:tcBorders>
              <w:top w:val="nil"/>
              <w:left w:val="nil"/>
              <w:bottom w:val="single" w:sz="4" w:space="0" w:color="auto"/>
              <w:right w:val="single" w:sz="4" w:space="0" w:color="auto"/>
            </w:tcBorders>
            <w:shd w:val="clear" w:color="auto" w:fill="auto"/>
            <w:noWrap/>
            <w:vAlign w:val="center"/>
          </w:tcPr>
          <w:p w14:paraId="726A4153" w14:textId="77777777" w:rsidR="00B57597" w:rsidRPr="00C338BC" w:rsidRDefault="00B57597" w:rsidP="00C338BC">
            <w:pPr>
              <w:spacing w:after="0"/>
              <w:jc w:val="right"/>
              <w:rPr>
                <w:rFonts w:eastAsia="Calibri" w:cs="Calibri"/>
                <w:color w:val="000000"/>
                <w:sz w:val="17"/>
                <w:szCs w:val="17"/>
              </w:rPr>
            </w:pPr>
            <w:r w:rsidRPr="00C338BC">
              <w:rPr>
                <w:color w:val="000000"/>
                <w:sz w:val="17"/>
                <w:szCs w:val="17"/>
              </w:rPr>
              <w:t>44 665 215 058,51</w:t>
            </w:r>
          </w:p>
        </w:tc>
        <w:tc>
          <w:tcPr>
            <w:tcW w:w="816" w:type="pct"/>
            <w:tcBorders>
              <w:top w:val="nil"/>
              <w:left w:val="nil"/>
              <w:bottom w:val="single" w:sz="4" w:space="0" w:color="auto"/>
              <w:right w:val="single" w:sz="4" w:space="0" w:color="auto"/>
            </w:tcBorders>
            <w:vAlign w:val="center"/>
          </w:tcPr>
          <w:p w14:paraId="7158F0A8" w14:textId="77777777" w:rsidR="00B57597" w:rsidRPr="00C338BC" w:rsidRDefault="00B57597" w:rsidP="00C338BC">
            <w:pPr>
              <w:spacing w:after="0"/>
              <w:jc w:val="right"/>
              <w:rPr>
                <w:rFonts w:eastAsia="Calibri" w:cs="Calibri"/>
                <w:color w:val="000000"/>
                <w:sz w:val="17"/>
                <w:szCs w:val="17"/>
              </w:rPr>
            </w:pPr>
            <w:r w:rsidRPr="00C338BC">
              <w:rPr>
                <w:color w:val="000000"/>
                <w:sz w:val="17"/>
                <w:szCs w:val="17"/>
              </w:rPr>
              <w:t>57 352 567 323,17</w:t>
            </w:r>
          </w:p>
        </w:tc>
      </w:tr>
    </w:tbl>
    <w:p w14:paraId="5628CC46" w14:textId="77777777" w:rsidR="00B57597" w:rsidRPr="007D36E3" w:rsidRDefault="00B57597" w:rsidP="00B57597">
      <w:pPr>
        <w:spacing w:before="40"/>
        <w:rPr>
          <w:rFonts w:cs="Calibri"/>
          <w:color w:val="000000"/>
          <w:sz w:val="20"/>
          <w:szCs w:val="20"/>
          <w:lang w:eastAsia="cs-CZ"/>
        </w:rPr>
      </w:pPr>
      <w:r w:rsidRPr="007D36E3">
        <w:rPr>
          <w:rFonts w:cs="Calibri"/>
          <w:b/>
          <w:color w:val="000000"/>
          <w:sz w:val="20"/>
          <w:szCs w:val="20"/>
          <w:lang w:eastAsia="cs-CZ"/>
        </w:rPr>
        <w:t xml:space="preserve">Zdroj: </w:t>
      </w:r>
      <w:r w:rsidRPr="007D36E3">
        <w:rPr>
          <w:rFonts w:cs="Calibri"/>
          <w:color w:val="000000"/>
          <w:sz w:val="20"/>
          <w:szCs w:val="20"/>
          <w:lang w:eastAsia="cs-CZ"/>
        </w:rPr>
        <w:t>informační portál MONITOR.</w:t>
      </w:r>
    </w:p>
    <w:p w14:paraId="020AC755" w14:textId="77777777" w:rsidR="00B57597" w:rsidRPr="00E2678A" w:rsidRDefault="00B57597" w:rsidP="00B57597">
      <w:pPr>
        <w:jc w:val="both"/>
        <w:rPr>
          <w:rFonts w:asciiTheme="minorHAnsi" w:hAnsiTheme="minorHAnsi" w:cstheme="minorHAnsi"/>
        </w:rPr>
      </w:pPr>
      <w:r w:rsidRPr="00E2678A">
        <w:rPr>
          <w:rFonts w:asciiTheme="minorHAnsi" w:hAnsiTheme="minorHAnsi" w:cstheme="minorHAnsi"/>
        </w:rPr>
        <w:t xml:space="preserve">Vývoj výdajů kapitoly 322 ve sledovaném období téměř kopíroval vývoj nákladů s tím, že pouze v roce 2016 náklady převyšovaly nad výdaji, v ostatních sledovaných letech výdaje převyšovaly nad náklady o jednotky miliard. </w:t>
      </w:r>
    </w:p>
    <w:p w14:paraId="40FD9362" w14:textId="77777777" w:rsidR="00B57597" w:rsidRPr="00E2678A" w:rsidRDefault="00B57597" w:rsidP="00B57597">
      <w:pPr>
        <w:jc w:val="both"/>
        <w:rPr>
          <w:rFonts w:asciiTheme="minorHAnsi" w:hAnsiTheme="minorHAnsi" w:cstheme="minorHAnsi"/>
        </w:rPr>
      </w:pPr>
      <w:r w:rsidRPr="00E2678A">
        <w:rPr>
          <w:rFonts w:asciiTheme="minorHAnsi" w:hAnsiTheme="minorHAnsi" w:cstheme="minorHAnsi"/>
        </w:rPr>
        <w:t xml:space="preserve">Největší podíl nákladů (88,26 %) tvořily v roce 2020 náklady na transfery, a to zejména zůstatek účtu 571 – </w:t>
      </w:r>
      <w:r w:rsidRPr="00E2678A">
        <w:rPr>
          <w:rFonts w:asciiTheme="minorHAnsi" w:hAnsiTheme="minorHAnsi" w:cstheme="minorHAnsi"/>
          <w:i/>
        </w:rPr>
        <w:t>Náklady vybraných ústředních vládních institucí na transfery</w:t>
      </w:r>
      <w:r w:rsidRPr="00E2678A">
        <w:rPr>
          <w:rFonts w:asciiTheme="minorHAnsi" w:hAnsiTheme="minorHAnsi" w:cstheme="minorHAnsi"/>
        </w:rPr>
        <w:t xml:space="preserve">, který zaujímal částku ve výši 39 330 314 199,35 Kč, tj. 68,58 % celkových nákladů. Zbylou část nákladů na transfery tvořil zůstatek účtu 575 – </w:t>
      </w:r>
      <w:r w:rsidRPr="00E2678A">
        <w:rPr>
          <w:rFonts w:asciiTheme="minorHAnsi" w:hAnsiTheme="minorHAnsi" w:cstheme="minorHAnsi"/>
          <w:i/>
        </w:rPr>
        <w:t>Náklady vybraných ústředních vládních institucí na předfinancování transferů</w:t>
      </w:r>
      <w:r w:rsidRPr="00E2678A">
        <w:rPr>
          <w:rFonts w:asciiTheme="minorHAnsi" w:hAnsiTheme="minorHAnsi" w:cstheme="minorHAnsi"/>
        </w:rPr>
        <w:t xml:space="preserve"> ve výši 11 286 322 409,79 Kč, tj. 19,68 % celkových nákladů. </w:t>
      </w:r>
    </w:p>
    <w:p w14:paraId="71B28C23" w14:textId="77777777" w:rsidR="00B57597" w:rsidRPr="00E2678A" w:rsidRDefault="00B57597" w:rsidP="00B57597">
      <w:pPr>
        <w:spacing w:before="40"/>
        <w:jc w:val="both"/>
        <w:rPr>
          <w:rFonts w:asciiTheme="minorHAnsi" w:hAnsiTheme="minorHAnsi" w:cstheme="minorHAnsi"/>
          <w:bCs/>
          <w:color w:val="000000"/>
          <w:szCs w:val="20"/>
          <w:lang w:eastAsia="cs-CZ"/>
        </w:rPr>
      </w:pPr>
      <w:r w:rsidRPr="00E2678A">
        <w:rPr>
          <w:rFonts w:asciiTheme="minorHAnsi" w:hAnsiTheme="minorHAnsi" w:cstheme="minorHAnsi"/>
          <w:bCs/>
          <w:color w:val="000000"/>
          <w:szCs w:val="20"/>
          <w:lang w:eastAsia="cs-CZ"/>
        </w:rPr>
        <w:t xml:space="preserve">Většina výdajů byla zatříděna do oddílu rozpočtové skladby 21 – </w:t>
      </w:r>
      <w:r w:rsidRPr="00EA6249">
        <w:rPr>
          <w:rFonts w:asciiTheme="minorHAnsi" w:hAnsiTheme="minorHAnsi" w:cstheme="minorHAnsi"/>
          <w:bCs/>
          <w:i/>
          <w:color w:val="000000"/>
          <w:szCs w:val="20"/>
          <w:lang w:eastAsia="cs-CZ"/>
        </w:rPr>
        <w:t>Průmysl, stavebnictví, obchod a služby</w:t>
      </w:r>
      <w:r w:rsidRPr="00E2678A">
        <w:rPr>
          <w:rFonts w:asciiTheme="minorHAnsi" w:hAnsiTheme="minorHAnsi" w:cstheme="minorHAnsi"/>
          <w:bCs/>
          <w:color w:val="000000"/>
          <w:szCs w:val="20"/>
          <w:lang w:eastAsia="cs-CZ"/>
        </w:rPr>
        <w:t>. Nejvíce výdajů proběhlo v rámci paragrafu 2115</w:t>
      </w:r>
      <w:r>
        <w:rPr>
          <w:rFonts w:asciiTheme="minorHAnsi" w:hAnsiTheme="minorHAnsi" w:cstheme="minorHAnsi"/>
          <w:bCs/>
          <w:color w:val="000000"/>
          <w:szCs w:val="20"/>
          <w:lang w:eastAsia="cs-CZ"/>
        </w:rPr>
        <w:t> </w:t>
      </w:r>
      <w:r w:rsidRPr="00E2678A">
        <w:rPr>
          <w:rFonts w:asciiTheme="minorHAnsi" w:hAnsiTheme="minorHAnsi" w:cstheme="minorHAnsi"/>
          <w:bCs/>
          <w:color w:val="000000"/>
          <w:szCs w:val="20"/>
          <w:lang w:eastAsia="cs-CZ"/>
        </w:rPr>
        <w:t>–</w:t>
      </w:r>
      <w:r>
        <w:rPr>
          <w:rFonts w:asciiTheme="minorHAnsi" w:hAnsiTheme="minorHAnsi" w:cstheme="minorHAnsi"/>
          <w:bCs/>
          <w:color w:val="000000"/>
          <w:szCs w:val="20"/>
          <w:lang w:eastAsia="cs-CZ"/>
        </w:rPr>
        <w:t> </w:t>
      </w:r>
      <w:r>
        <w:rPr>
          <w:rFonts w:asciiTheme="minorHAnsi" w:hAnsiTheme="minorHAnsi" w:cstheme="minorHAnsi"/>
          <w:bCs/>
          <w:i/>
          <w:color w:val="000000"/>
          <w:szCs w:val="20"/>
          <w:lang w:eastAsia="cs-CZ"/>
        </w:rPr>
        <w:t>Úspora energie a </w:t>
      </w:r>
      <w:r w:rsidRPr="00E2678A">
        <w:rPr>
          <w:rFonts w:asciiTheme="minorHAnsi" w:hAnsiTheme="minorHAnsi" w:cstheme="minorHAnsi"/>
          <w:bCs/>
          <w:i/>
          <w:color w:val="000000"/>
          <w:szCs w:val="20"/>
          <w:lang w:eastAsia="cs-CZ"/>
        </w:rPr>
        <w:t>obnovitelné zdroje</w:t>
      </w:r>
      <w:r w:rsidRPr="00E2678A">
        <w:rPr>
          <w:rFonts w:asciiTheme="minorHAnsi" w:hAnsiTheme="minorHAnsi" w:cstheme="minorHAnsi"/>
          <w:bCs/>
          <w:color w:val="000000"/>
          <w:szCs w:val="20"/>
          <w:lang w:eastAsia="cs-CZ"/>
        </w:rPr>
        <w:t xml:space="preserve"> a paragrafu 2124</w:t>
      </w:r>
      <w:r>
        <w:rPr>
          <w:rFonts w:asciiTheme="minorHAnsi" w:hAnsiTheme="minorHAnsi" w:cstheme="minorHAnsi"/>
          <w:bCs/>
          <w:color w:val="000000"/>
          <w:szCs w:val="20"/>
          <w:lang w:eastAsia="cs-CZ"/>
        </w:rPr>
        <w:t> </w:t>
      </w:r>
      <w:r w:rsidRPr="00E2678A">
        <w:rPr>
          <w:rFonts w:asciiTheme="minorHAnsi" w:hAnsiTheme="minorHAnsi" w:cstheme="minorHAnsi"/>
          <w:bCs/>
          <w:color w:val="000000"/>
          <w:szCs w:val="20"/>
          <w:lang w:eastAsia="cs-CZ"/>
        </w:rPr>
        <w:t>–</w:t>
      </w:r>
      <w:r>
        <w:rPr>
          <w:rFonts w:asciiTheme="minorHAnsi" w:hAnsiTheme="minorHAnsi" w:cstheme="minorHAnsi"/>
          <w:bCs/>
          <w:color w:val="000000"/>
          <w:szCs w:val="20"/>
          <w:lang w:eastAsia="cs-CZ"/>
        </w:rPr>
        <w:t> </w:t>
      </w:r>
      <w:r w:rsidRPr="00E2678A">
        <w:rPr>
          <w:rFonts w:asciiTheme="minorHAnsi" w:hAnsiTheme="minorHAnsi" w:cstheme="minorHAnsi"/>
          <w:bCs/>
          <w:i/>
          <w:color w:val="000000"/>
          <w:szCs w:val="20"/>
          <w:lang w:eastAsia="cs-CZ"/>
        </w:rPr>
        <w:t>Opatření ke zvýšení konkurenceschopnosti průmyslových odvětví</w:t>
      </w:r>
      <w:r w:rsidRPr="00E2678A">
        <w:rPr>
          <w:rFonts w:asciiTheme="minorHAnsi" w:hAnsiTheme="minorHAnsi" w:cstheme="minorHAnsi"/>
          <w:bCs/>
          <w:color w:val="000000"/>
          <w:szCs w:val="20"/>
          <w:lang w:eastAsia="cs-CZ"/>
        </w:rPr>
        <w:t xml:space="preserve">. </w:t>
      </w:r>
    </w:p>
    <w:p w14:paraId="2F31CAE6" w14:textId="45CEFE0B" w:rsidR="00B57597" w:rsidRPr="00C338BC" w:rsidRDefault="00B57597" w:rsidP="00C338BC">
      <w:pPr>
        <w:pStyle w:val="Titulek1"/>
        <w:tabs>
          <w:tab w:val="clear" w:pos="9356"/>
          <w:tab w:val="right" w:pos="9072"/>
        </w:tabs>
        <w:rPr>
          <w:sz w:val="24"/>
        </w:rPr>
      </w:pPr>
      <w:bookmarkStart w:id="46" w:name="_Toc8984528"/>
      <w:bookmarkStart w:id="47" w:name="_Toc72157464"/>
      <w:r w:rsidRPr="00C338BC">
        <w:rPr>
          <w:sz w:val="24"/>
        </w:rPr>
        <w:lastRenderedPageBreak/>
        <w:t xml:space="preserve">Tabulka č. </w:t>
      </w:r>
      <w:r w:rsidR="001529C4" w:rsidRPr="00C338BC">
        <w:rPr>
          <w:sz w:val="24"/>
        </w:rPr>
        <w:fldChar w:fldCharType="begin"/>
      </w:r>
      <w:r w:rsidR="001529C4" w:rsidRPr="00C338BC">
        <w:rPr>
          <w:sz w:val="24"/>
        </w:rPr>
        <w:instrText xml:space="preserve"> SEQ Tabulka \* ARABIC </w:instrText>
      </w:r>
      <w:r w:rsidR="001529C4" w:rsidRPr="00C338BC">
        <w:rPr>
          <w:sz w:val="24"/>
        </w:rPr>
        <w:fldChar w:fldCharType="separate"/>
      </w:r>
      <w:r w:rsidR="00E544AA">
        <w:rPr>
          <w:noProof/>
          <w:sz w:val="24"/>
        </w:rPr>
        <w:t>12</w:t>
      </w:r>
      <w:r w:rsidR="001529C4" w:rsidRPr="00C338BC">
        <w:rPr>
          <w:noProof/>
          <w:sz w:val="24"/>
        </w:rPr>
        <w:fldChar w:fldCharType="end"/>
      </w:r>
      <w:r w:rsidRPr="00C338BC">
        <w:rPr>
          <w:sz w:val="24"/>
        </w:rPr>
        <w:t>: Porovnání výdajů a nákladů za MPO (v Kč)</w:t>
      </w:r>
      <w:bookmarkEnd w:id="46"/>
      <w:bookmarkEnd w:id="47"/>
    </w:p>
    <w:tbl>
      <w:tblPr>
        <w:tblW w:w="4983" w:type="pct"/>
        <w:tblCellMar>
          <w:left w:w="70" w:type="dxa"/>
          <w:right w:w="70" w:type="dxa"/>
        </w:tblCellMar>
        <w:tblLook w:val="04A0" w:firstRow="1" w:lastRow="0" w:firstColumn="1" w:lastColumn="0" w:noHBand="0" w:noVBand="1"/>
      </w:tblPr>
      <w:tblGrid>
        <w:gridCol w:w="1659"/>
        <w:gridCol w:w="1474"/>
        <w:gridCol w:w="1474"/>
        <w:gridCol w:w="1474"/>
        <w:gridCol w:w="1474"/>
        <w:gridCol w:w="1474"/>
      </w:tblGrid>
      <w:tr w:rsidR="00B57597" w:rsidRPr="00E2678A" w14:paraId="686623CE" w14:textId="77777777" w:rsidTr="00C338BC">
        <w:trPr>
          <w:trHeight w:val="255"/>
        </w:trPr>
        <w:tc>
          <w:tcPr>
            <w:tcW w:w="919"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24419799" w14:textId="77777777" w:rsidR="00B57597" w:rsidRPr="00E2678A" w:rsidRDefault="00B57597" w:rsidP="00C338BC">
            <w:pPr>
              <w:keepNext/>
              <w:spacing w:after="0"/>
              <w:rPr>
                <w:rFonts w:cs="Calibri"/>
                <w:b/>
                <w:bCs/>
                <w:color w:val="000000"/>
                <w:sz w:val="18"/>
                <w:szCs w:val="18"/>
                <w:lang w:eastAsia="cs-CZ"/>
              </w:rPr>
            </w:pPr>
            <w:r w:rsidRPr="00E2678A">
              <w:rPr>
                <w:b/>
                <w:bCs/>
                <w:color w:val="000000"/>
                <w:sz w:val="18"/>
                <w:szCs w:val="18"/>
              </w:rPr>
              <w:t>Ukazatel</w:t>
            </w:r>
          </w:p>
        </w:tc>
        <w:tc>
          <w:tcPr>
            <w:tcW w:w="816" w:type="pct"/>
            <w:tcBorders>
              <w:top w:val="single" w:sz="4" w:space="0" w:color="auto"/>
              <w:left w:val="nil"/>
              <w:bottom w:val="single" w:sz="4" w:space="0" w:color="auto"/>
              <w:right w:val="single" w:sz="4" w:space="0" w:color="auto"/>
            </w:tcBorders>
            <w:shd w:val="clear" w:color="auto" w:fill="E5F1FF"/>
            <w:noWrap/>
            <w:vAlign w:val="center"/>
            <w:hideMark/>
          </w:tcPr>
          <w:p w14:paraId="03618B59" w14:textId="77777777" w:rsidR="00B57597" w:rsidRPr="00E2678A" w:rsidRDefault="00B57597" w:rsidP="00C338BC">
            <w:pPr>
              <w:keepNext/>
              <w:spacing w:after="0"/>
              <w:jc w:val="center"/>
              <w:rPr>
                <w:rFonts w:cs="Calibri"/>
                <w:b/>
                <w:bCs/>
                <w:color w:val="000000"/>
                <w:sz w:val="18"/>
                <w:szCs w:val="18"/>
                <w:lang w:eastAsia="cs-CZ"/>
              </w:rPr>
            </w:pPr>
            <w:r w:rsidRPr="00E2678A">
              <w:rPr>
                <w:b/>
                <w:bCs/>
                <w:color w:val="000000"/>
                <w:sz w:val="18"/>
                <w:szCs w:val="18"/>
              </w:rPr>
              <w:t>2016</w:t>
            </w:r>
          </w:p>
        </w:tc>
        <w:tc>
          <w:tcPr>
            <w:tcW w:w="816" w:type="pct"/>
            <w:tcBorders>
              <w:top w:val="single" w:sz="4" w:space="0" w:color="auto"/>
              <w:left w:val="nil"/>
              <w:bottom w:val="single" w:sz="4" w:space="0" w:color="auto"/>
              <w:right w:val="single" w:sz="4" w:space="0" w:color="auto"/>
            </w:tcBorders>
            <w:shd w:val="clear" w:color="auto" w:fill="E5F1FF"/>
            <w:noWrap/>
            <w:vAlign w:val="center"/>
            <w:hideMark/>
          </w:tcPr>
          <w:p w14:paraId="502B82BD" w14:textId="77777777" w:rsidR="00B57597" w:rsidRPr="00E2678A" w:rsidRDefault="00B57597" w:rsidP="00C338BC">
            <w:pPr>
              <w:keepNext/>
              <w:spacing w:after="0"/>
              <w:jc w:val="center"/>
              <w:rPr>
                <w:rFonts w:cs="Calibri"/>
                <w:b/>
                <w:bCs/>
                <w:color w:val="000000"/>
                <w:sz w:val="18"/>
                <w:szCs w:val="18"/>
                <w:lang w:eastAsia="cs-CZ"/>
              </w:rPr>
            </w:pPr>
            <w:r w:rsidRPr="00E2678A">
              <w:rPr>
                <w:b/>
                <w:bCs/>
                <w:color w:val="000000"/>
                <w:sz w:val="18"/>
                <w:szCs w:val="18"/>
              </w:rPr>
              <w:t>2017</w:t>
            </w:r>
          </w:p>
        </w:tc>
        <w:tc>
          <w:tcPr>
            <w:tcW w:w="816" w:type="pct"/>
            <w:tcBorders>
              <w:top w:val="single" w:sz="4" w:space="0" w:color="auto"/>
              <w:left w:val="nil"/>
              <w:bottom w:val="single" w:sz="4" w:space="0" w:color="auto"/>
              <w:right w:val="single" w:sz="4" w:space="0" w:color="auto"/>
            </w:tcBorders>
            <w:shd w:val="clear" w:color="auto" w:fill="E5F1FF"/>
            <w:noWrap/>
            <w:vAlign w:val="center"/>
            <w:hideMark/>
          </w:tcPr>
          <w:p w14:paraId="30436959" w14:textId="77777777" w:rsidR="00B57597" w:rsidRPr="00E2678A" w:rsidRDefault="00B57597" w:rsidP="00C338BC">
            <w:pPr>
              <w:keepNext/>
              <w:spacing w:after="0"/>
              <w:jc w:val="center"/>
              <w:rPr>
                <w:rFonts w:cs="Calibri"/>
                <w:b/>
                <w:bCs/>
                <w:color w:val="000000"/>
                <w:sz w:val="18"/>
                <w:szCs w:val="18"/>
                <w:lang w:eastAsia="cs-CZ"/>
              </w:rPr>
            </w:pPr>
            <w:r w:rsidRPr="00E2678A">
              <w:rPr>
                <w:b/>
                <w:bCs/>
                <w:color w:val="000000"/>
                <w:sz w:val="18"/>
                <w:szCs w:val="18"/>
              </w:rPr>
              <w:t>2018</w:t>
            </w:r>
          </w:p>
        </w:tc>
        <w:tc>
          <w:tcPr>
            <w:tcW w:w="816" w:type="pct"/>
            <w:tcBorders>
              <w:top w:val="single" w:sz="4" w:space="0" w:color="auto"/>
              <w:left w:val="nil"/>
              <w:bottom w:val="single" w:sz="4" w:space="0" w:color="auto"/>
              <w:right w:val="single" w:sz="4" w:space="0" w:color="auto"/>
            </w:tcBorders>
            <w:shd w:val="clear" w:color="auto" w:fill="E5F1FF"/>
            <w:noWrap/>
            <w:vAlign w:val="center"/>
            <w:hideMark/>
          </w:tcPr>
          <w:p w14:paraId="252D4942" w14:textId="77777777" w:rsidR="00B57597" w:rsidRPr="00E2678A" w:rsidRDefault="00B57597" w:rsidP="00C338BC">
            <w:pPr>
              <w:keepNext/>
              <w:spacing w:after="0"/>
              <w:jc w:val="center"/>
              <w:rPr>
                <w:rFonts w:cs="Calibri"/>
                <w:b/>
                <w:bCs/>
                <w:color w:val="000000"/>
                <w:sz w:val="18"/>
                <w:szCs w:val="18"/>
                <w:lang w:eastAsia="cs-CZ"/>
              </w:rPr>
            </w:pPr>
            <w:r w:rsidRPr="00E2678A">
              <w:rPr>
                <w:b/>
                <w:bCs/>
                <w:color w:val="000000"/>
                <w:sz w:val="18"/>
                <w:szCs w:val="18"/>
              </w:rPr>
              <w:t>2019</w:t>
            </w:r>
          </w:p>
        </w:tc>
        <w:tc>
          <w:tcPr>
            <w:tcW w:w="816" w:type="pct"/>
            <w:tcBorders>
              <w:top w:val="single" w:sz="4" w:space="0" w:color="auto"/>
              <w:left w:val="nil"/>
              <w:bottom w:val="single" w:sz="4" w:space="0" w:color="auto"/>
              <w:right w:val="single" w:sz="4" w:space="0" w:color="auto"/>
            </w:tcBorders>
            <w:shd w:val="clear" w:color="auto" w:fill="E5F1FF"/>
            <w:vAlign w:val="center"/>
          </w:tcPr>
          <w:p w14:paraId="55603F38" w14:textId="77777777" w:rsidR="00B57597" w:rsidRPr="00E2678A" w:rsidRDefault="00B57597" w:rsidP="00C338BC">
            <w:pPr>
              <w:keepNext/>
              <w:spacing w:after="0"/>
              <w:jc w:val="center"/>
              <w:rPr>
                <w:rFonts w:cs="Calibri"/>
                <w:b/>
                <w:bCs/>
                <w:color w:val="000000"/>
                <w:sz w:val="18"/>
                <w:szCs w:val="18"/>
                <w:lang w:eastAsia="cs-CZ"/>
              </w:rPr>
            </w:pPr>
            <w:r w:rsidRPr="00E2678A">
              <w:rPr>
                <w:b/>
                <w:bCs/>
                <w:color w:val="000000"/>
                <w:sz w:val="18"/>
                <w:szCs w:val="18"/>
              </w:rPr>
              <w:t>2020</w:t>
            </w:r>
          </w:p>
        </w:tc>
      </w:tr>
      <w:tr w:rsidR="00B57597" w:rsidRPr="00E2678A" w14:paraId="537F673C" w14:textId="77777777" w:rsidTr="00C338BC">
        <w:trPr>
          <w:trHeight w:val="255"/>
        </w:trPr>
        <w:tc>
          <w:tcPr>
            <w:tcW w:w="919" w:type="pct"/>
            <w:tcBorders>
              <w:top w:val="nil"/>
              <w:left w:val="single" w:sz="4" w:space="0" w:color="auto"/>
              <w:bottom w:val="single" w:sz="4" w:space="0" w:color="auto"/>
              <w:right w:val="single" w:sz="4" w:space="0" w:color="auto"/>
            </w:tcBorders>
            <w:shd w:val="clear" w:color="auto" w:fill="auto"/>
            <w:noWrap/>
            <w:vAlign w:val="center"/>
          </w:tcPr>
          <w:p w14:paraId="31787539" w14:textId="77777777" w:rsidR="00B57597" w:rsidRPr="00E2678A" w:rsidRDefault="00B57597" w:rsidP="00C338BC">
            <w:pPr>
              <w:keepNext/>
              <w:spacing w:after="0"/>
              <w:rPr>
                <w:rFonts w:cs="Calibri"/>
                <w:b/>
                <w:bCs/>
                <w:color w:val="000000"/>
                <w:sz w:val="18"/>
                <w:szCs w:val="18"/>
                <w:lang w:eastAsia="cs-CZ"/>
              </w:rPr>
            </w:pPr>
            <w:r w:rsidRPr="00E2678A">
              <w:rPr>
                <w:b/>
                <w:bCs/>
                <w:color w:val="000000"/>
                <w:sz w:val="18"/>
                <w:szCs w:val="18"/>
              </w:rPr>
              <w:t>Výdaje (skutečnost)</w:t>
            </w:r>
          </w:p>
        </w:tc>
        <w:tc>
          <w:tcPr>
            <w:tcW w:w="816" w:type="pct"/>
            <w:tcBorders>
              <w:top w:val="nil"/>
              <w:left w:val="nil"/>
              <w:bottom w:val="single" w:sz="4" w:space="0" w:color="auto"/>
              <w:right w:val="single" w:sz="4" w:space="0" w:color="auto"/>
            </w:tcBorders>
            <w:shd w:val="clear" w:color="auto" w:fill="auto"/>
            <w:noWrap/>
            <w:vAlign w:val="center"/>
          </w:tcPr>
          <w:p w14:paraId="7535C7F2" w14:textId="77777777" w:rsidR="00B57597" w:rsidRPr="00C338BC" w:rsidRDefault="00B57597" w:rsidP="00C338BC">
            <w:pPr>
              <w:keepNext/>
              <w:spacing w:after="0"/>
              <w:jc w:val="right"/>
              <w:rPr>
                <w:rFonts w:eastAsia="Calibri" w:cs="Calibri"/>
                <w:color w:val="000000"/>
                <w:sz w:val="17"/>
                <w:szCs w:val="17"/>
              </w:rPr>
            </w:pPr>
            <w:r w:rsidRPr="00C338BC">
              <w:rPr>
                <w:color w:val="000000"/>
                <w:sz w:val="17"/>
                <w:szCs w:val="17"/>
              </w:rPr>
              <w:t>27 048 707 684,17</w:t>
            </w:r>
          </w:p>
        </w:tc>
        <w:tc>
          <w:tcPr>
            <w:tcW w:w="816" w:type="pct"/>
            <w:tcBorders>
              <w:top w:val="nil"/>
              <w:left w:val="nil"/>
              <w:bottom w:val="single" w:sz="4" w:space="0" w:color="auto"/>
              <w:right w:val="single" w:sz="4" w:space="0" w:color="auto"/>
            </w:tcBorders>
            <w:shd w:val="clear" w:color="auto" w:fill="auto"/>
            <w:noWrap/>
            <w:vAlign w:val="center"/>
          </w:tcPr>
          <w:p w14:paraId="2B44909E" w14:textId="77777777" w:rsidR="00B57597" w:rsidRPr="00C338BC" w:rsidRDefault="00B57597" w:rsidP="00C338BC">
            <w:pPr>
              <w:keepNext/>
              <w:spacing w:after="0"/>
              <w:jc w:val="right"/>
              <w:rPr>
                <w:rFonts w:eastAsia="Calibri" w:cs="Calibri"/>
                <w:color w:val="000000"/>
                <w:sz w:val="17"/>
                <w:szCs w:val="17"/>
              </w:rPr>
            </w:pPr>
            <w:r w:rsidRPr="00C338BC">
              <w:rPr>
                <w:color w:val="000000"/>
                <w:sz w:val="17"/>
                <w:szCs w:val="17"/>
              </w:rPr>
              <w:t>39 395 050 924,00</w:t>
            </w:r>
          </w:p>
        </w:tc>
        <w:tc>
          <w:tcPr>
            <w:tcW w:w="816" w:type="pct"/>
            <w:tcBorders>
              <w:top w:val="nil"/>
              <w:left w:val="nil"/>
              <w:bottom w:val="single" w:sz="4" w:space="0" w:color="auto"/>
              <w:right w:val="single" w:sz="4" w:space="0" w:color="auto"/>
            </w:tcBorders>
            <w:shd w:val="clear" w:color="auto" w:fill="auto"/>
            <w:noWrap/>
            <w:vAlign w:val="center"/>
          </w:tcPr>
          <w:p w14:paraId="006CC110" w14:textId="77777777" w:rsidR="00B57597" w:rsidRPr="00C338BC" w:rsidRDefault="00B57597" w:rsidP="00C338BC">
            <w:pPr>
              <w:keepNext/>
              <w:spacing w:after="0"/>
              <w:jc w:val="right"/>
              <w:rPr>
                <w:rFonts w:eastAsia="Calibri" w:cs="Calibri"/>
                <w:color w:val="000000"/>
                <w:sz w:val="17"/>
                <w:szCs w:val="17"/>
              </w:rPr>
            </w:pPr>
            <w:r w:rsidRPr="00C338BC">
              <w:rPr>
                <w:color w:val="000000"/>
                <w:sz w:val="17"/>
                <w:szCs w:val="17"/>
              </w:rPr>
              <w:t>44 093 685 396,14</w:t>
            </w:r>
          </w:p>
        </w:tc>
        <w:tc>
          <w:tcPr>
            <w:tcW w:w="816" w:type="pct"/>
            <w:tcBorders>
              <w:top w:val="nil"/>
              <w:left w:val="nil"/>
              <w:bottom w:val="single" w:sz="4" w:space="0" w:color="auto"/>
              <w:right w:val="single" w:sz="4" w:space="0" w:color="auto"/>
            </w:tcBorders>
            <w:shd w:val="clear" w:color="auto" w:fill="auto"/>
            <w:noWrap/>
            <w:vAlign w:val="center"/>
          </w:tcPr>
          <w:p w14:paraId="6737371C" w14:textId="77777777" w:rsidR="00B57597" w:rsidRPr="00C338BC" w:rsidRDefault="00B57597" w:rsidP="00C338BC">
            <w:pPr>
              <w:keepNext/>
              <w:spacing w:after="0"/>
              <w:jc w:val="right"/>
              <w:rPr>
                <w:rFonts w:eastAsia="Calibri" w:cs="Calibri"/>
                <w:color w:val="000000"/>
                <w:sz w:val="17"/>
                <w:szCs w:val="17"/>
              </w:rPr>
            </w:pPr>
            <w:r w:rsidRPr="00C338BC">
              <w:rPr>
                <w:color w:val="000000"/>
                <w:sz w:val="17"/>
                <w:szCs w:val="17"/>
              </w:rPr>
              <w:t>46 306 957 140,93</w:t>
            </w:r>
          </w:p>
        </w:tc>
        <w:tc>
          <w:tcPr>
            <w:tcW w:w="816" w:type="pct"/>
            <w:tcBorders>
              <w:top w:val="nil"/>
              <w:left w:val="nil"/>
              <w:bottom w:val="single" w:sz="4" w:space="0" w:color="auto"/>
              <w:right w:val="single" w:sz="4" w:space="0" w:color="auto"/>
            </w:tcBorders>
            <w:vAlign w:val="center"/>
          </w:tcPr>
          <w:p w14:paraId="4C4A2522" w14:textId="77777777" w:rsidR="00B57597" w:rsidRPr="00C338BC" w:rsidRDefault="00B57597" w:rsidP="00C338BC">
            <w:pPr>
              <w:keepNext/>
              <w:spacing w:after="0"/>
              <w:jc w:val="right"/>
              <w:rPr>
                <w:rFonts w:eastAsia="Calibri" w:cs="Calibri"/>
                <w:color w:val="000000"/>
                <w:sz w:val="17"/>
                <w:szCs w:val="17"/>
              </w:rPr>
            </w:pPr>
            <w:r w:rsidRPr="00C338BC">
              <w:rPr>
                <w:color w:val="000000"/>
                <w:sz w:val="17"/>
                <w:szCs w:val="17"/>
              </w:rPr>
              <w:t>59 589 141 370,27</w:t>
            </w:r>
          </w:p>
        </w:tc>
      </w:tr>
      <w:tr w:rsidR="00B57597" w:rsidRPr="00E2678A" w14:paraId="49CDE946" w14:textId="77777777" w:rsidTr="00C338BC">
        <w:trPr>
          <w:trHeight w:val="255"/>
        </w:trPr>
        <w:tc>
          <w:tcPr>
            <w:tcW w:w="919" w:type="pct"/>
            <w:tcBorders>
              <w:top w:val="nil"/>
              <w:left w:val="single" w:sz="4" w:space="0" w:color="auto"/>
              <w:bottom w:val="single" w:sz="4" w:space="0" w:color="auto"/>
              <w:right w:val="single" w:sz="4" w:space="0" w:color="auto"/>
            </w:tcBorders>
            <w:shd w:val="clear" w:color="auto" w:fill="auto"/>
            <w:noWrap/>
            <w:vAlign w:val="center"/>
          </w:tcPr>
          <w:p w14:paraId="59A8597D" w14:textId="77777777" w:rsidR="00B57597" w:rsidRPr="00E2678A" w:rsidRDefault="00B57597" w:rsidP="00C338BC">
            <w:pPr>
              <w:keepNext/>
              <w:spacing w:after="0"/>
              <w:rPr>
                <w:rFonts w:cs="Calibri"/>
                <w:b/>
                <w:bCs/>
                <w:color w:val="000000"/>
                <w:sz w:val="18"/>
                <w:szCs w:val="18"/>
                <w:lang w:eastAsia="cs-CZ"/>
              </w:rPr>
            </w:pPr>
            <w:r w:rsidRPr="00E2678A">
              <w:rPr>
                <w:b/>
                <w:bCs/>
                <w:color w:val="000000"/>
                <w:sz w:val="18"/>
                <w:szCs w:val="18"/>
              </w:rPr>
              <w:t>Náklady celkem</w:t>
            </w:r>
          </w:p>
        </w:tc>
        <w:tc>
          <w:tcPr>
            <w:tcW w:w="816" w:type="pct"/>
            <w:tcBorders>
              <w:top w:val="nil"/>
              <w:left w:val="nil"/>
              <w:bottom w:val="single" w:sz="4" w:space="0" w:color="auto"/>
              <w:right w:val="single" w:sz="4" w:space="0" w:color="auto"/>
            </w:tcBorders>
            <w:shd w:val="clear" w:color="auto" w:fill="auto"/>
            <w:noWrap/>
            <w:vAlign w:val="center"/>
          </w:tcPr>
          <w:p w14:paraId="2A7DF172" w14:textId="77777777" w:rsidR="00B57597" w:rsidRPr="00C338BC" w:rsidRDefault="00B57597" w:rsidP="00C338BC">
            <w:pPr>
              <w:keepNext/>
              <w:spacing w:after="0"/>
              <w:jc w:val="right"/>
              <w:rPr>
                <w:rFonts w:eastAsia="Calibri" w:cs="Calibri"/>
                <w:color w:val="000000"/>
                <w:sz w:val="17"/>
                <w:szCs w:val="17"/>
              </w:rPr>
            </w:pPr>
            <w:r w:rsidRPr="00C338BC">
              <w:rPr>
                <w:color w:val="000000"/>
                <w:sz w:val="17"/>
                <w:szCs w:val="17"/>
              </w:rPr>
              <w:t>28 243 813 722,29</w:t>
            </w:r>
          </w:p>
        </w:tc>
        <w:tc>
          <w:tcPr>
            <w:tcW w:w="816" w:type="pct"/>
            <w:tcBorders>
              <w:top w:val="nil"/>
              <w:left w:val="nil"/>
              <w:bottom w:val="single" w:sz="4" w:space="0" w:color="auto"/>
              <w:right w:val="single" w:sz="4" w:space="0" w:color="auto"/>
            </w:tcBorders>
            <w:shd w:val="clear" w:color="auto" w:fill="auto"/>
            <w:noWrap/>
            <w:vAlign w:val="center"/>
          </w:tcPr>
          <w:p w14:paraId="3CA45E82" w14:textId="77777777" w:rsidR="00B57597" w:rsidRPr="00C338BC" w:rsidRDefault="00B57597" w:rsidP="00C338BC">
            <w:pPr>
              <w:keepNext/>
              <w:spacing w:after="0"/>
              <w:jc w:val="right"/>
              <w:rPr>
                <w:rFonts w:eastAsia="Calibri" w:cs="Calibri"/>
                <w:color w:val="000000"/>
                <w:sz w:val="17"/>
                <w:szCs w:val="17"/>
              </w:rPr>
            </w:pPr>
            <w:r w:rsidRPr="00C338BC">
              <w:rPr>
                <w:color w:val="000000"/>
                <w:sz w:val="17"/>
                <w:szCs w:val="17"/>
              </w:rPr>
              <w:t>34 977 394 234,84</w:t>
            </w:r>
          </w:p>
        </w:tc>
        <w:tc>
          <w:tcPr>
            <w:tcW w:w="816" w:type="pct"/>
            <w:tcBorders>
              <w:top w:val="nil"/>
              <w:left w:val="nil"/>
              <w:bottom w:val="single" w:sz="4" w:space="0" w:color="auto"/>
              <w:right w:val="single" w:sz="4" w:space="0" w:color="auto"/>
            </w:tcBorders>
            <w:shd w:val="clear" w:color="auto" w:fill="auto"/>
            <w:noWrap/>
            <w:vAlign w:val="center"/>
          </w:tcPr>
          <w:p w14:paraId="08CA6EA2" w14:textId="77777777" w:rsidR="00B57597" w:rsidRPr="00C338BC" w:rsidRDefault="00B57597" w:rsidP="00C338BC">
            <w:pPr>
              <w:keepNext/>
              <w:spacing w:after="0"/>
              <w:jc w:val="right"/>
              <w:rPr>
                <w:rFonts w:eastAsia="Calibri" w:cs="Calibri"/>
                <w:color w:val="000000"/>
                <w:sz w:val="17"/>
                <w:szCs w:val="17"/>
              </w:rPr>
            </w:pPr>
            <w:r w:rsidRPr="00C338BC">
              <w:rPr>
                <w:color w:val="000000"/>
                <w:sz w:val="17"/>
                <w:szCs w:val="17"/>
              </w:rPr>
              <w:t>43 635 480 807,35</w:t>
            </w:r>
          </w:p>
        </w:tc>
        <w:tc>
          <w:tcPr>
            <w:tcW w:w="816" w:type="pct"/>
            <w:tcBorders>
              <w:top w:val="nil"/>
              <w:left w:val="nil"/>
              <w:bottom w:val="single" w:sz="4" w:space="0" w:color="auto"/>
              <w:right w:val="single" w:sz="4" w:space="0" w:color="auto"/>
            </w:tcBorders>
            <w:shd w:val="clear" w:color="auto" w:fill="auto"/>
            <w:noWrap/>
            <w:vAlign w:val="center"/>
          </w:tcPr>
          <w:p w14:paraId="5902E251" w14:textId="77777777" w:rsidR="00B57597" w:rsidRPr="00C338BC" w:rsidRDefault="00B57597" w:rsidP="00C338BC">
            <w:pPr>
              <w:keepNext/>
              <w:spacing w:after="0"/>
              <w:jc w:val="right"/>
              <w:rPr>
                <w:rFonts w:eastAsia="Calibri" w:cs="Calibri"/>
                <w:color w:val="000000"/>
                <w:sz w:val="17"/>
                <w:szCs w:val="17"/>
              </w:rPr>
            </w:pPr>
            <w:r w:rsidRPr="00C338BC">
              <w:rPr>
                <w:color w:val="000000"/>
                <w:sz w:val="17"/>
                <w:szCs w:val="17"/>
              </w:rPr>
              <w:t>43 527 996 297,06</w:t>
            </w:r>
          </w:p>
        </w:tc>
        <w:tc>
          <w:tcPr>
            <w:tcW w:w="816" w:type="pct"/>
            <w:tcBorders>
              <w:top w:val="nil"/>
              <w:left w:val="nil"/>
              <w:bottom w:val="single" w:sz="4" w:space="0" w:color="auto"/>
              <w:right w:val="single" w:sz="4" w:space="0" w:color="auto"/>
            </w:tcBorders>
            <w:vAlign w:val="center"/>
          </w:tcPr>
          <w:p w14:paraId="5EB1105F" w14:textId="77777777" w:rsidR="00B57597" w:rsidRPr="00C338BC" w:rsidRDefault="00B57597" w:rsidP="00C338BC">
            <w:pPr>
              <w:keepNext/>
              <w:spacing w:after="0"/>
              <w:jc w:val="right"/>
              <w:rPr>
                <w:rFonts w:eastAsia="Calibri" w:cs="Calibri"/>
                <w:color w:val="000000"/>
                <w:sz w:val="17"/>
                <w:szCs w:val="17"/>
              </w:rPr>
            </w:pPr>
            <w:r w:rsidRPr="00C338BC">
              <w:rPr>
                <w:color w:val="000000"/>
                <w:sz w:val="17"/>
                <w:szCs w:val="17"/>
              </w:rPr>
              <w:t>56 115 965 822,76</w:t>
            </w:r>
          </w:p>
        </w:tc>
      </w:tr>
    </w:tbl>
    <w:p w14:paraId="7B7AF752" w14:textId="77777777" w:rsidR="00B57597" w:rsidRPr="00E2678A" w:rsidRDefault="00B57597" w:rsidP="00B57597">
      <w:pPr>
        <w:spacing w:before="40"/>
        <w:rPr>
          <w:rFonts w:cs="Calibri"/>
          <w:color w:val="000000"/>
          <w:sz w:val="20"/>
          <w:szCs w:val="20"/>
          <w:lang w:eastAsia="cs-CZ"/>
        </w:rPr>
      </w:pPr>
      <w:r w:rsidRPr="00CF36BE">
        <w:rPr>
          <w:rFonts w:cs="Calibri"/>
          <w:b/>
          <w:color w:val="000000"/>
          <w:sz w:val="20"/>
          <w:szCs w:val="20"/>
          <w:lang w:eastAsia="cs-CZ"/>
        </w:rPr>
        <w:t xml:space="preserve">Zdroj: </w:t>
      </w:r>
      <w:r w:rsidRPr="00CF36BE">
        <w:rPr>
          <w:rFonts w:cs="Calibri"/>
          <w:color w:val="000000"/>
          <w:sz w:val="20"/>
          <w:szCs w:val="20"/>
          <w:lang w:eastAsia="cs-CZ"/>
        </w:rPr>
        <w:t>informační portál MONITOR.</w:t>
      </w:r>
    </w:p>
    <w:p w14:paraId="37F74344" w14:textId="77777777" w:rsidR="00B57597" w:rsidRPr="00E2678A" w:rsidRDefault="00B57597" w:rsidP="00C338BC">
      <w:pPr>
        <w:jc w:val="both"/>
        <w:rPr>
          <w:rFonts w:asciiTheme="minorHAnsi" w:hAnsiTheme="minorHAnsi" w:cstheme="minorHAnsi"/>
        </w:rPr>
      </w:pPr>
      <w:r w:rsidRPr="00E2678A">
        <w:rPr>
          <w:rFonts w:asciiTheme="minorHAnsi" w:hAnsiTheme="minorHAnsi" w:cstheme="minorHAnsi"/>
        </w:rPr>
        <w:t>Vývoj výdajů a nákladů MPO byl ve sledovaném období podobný vývoji výdajů a nákladů celé kapitoly 322.</w:t>
      </w:r>
    </w:p>
    <w:p w14:paraId="58E47FAD" w14:textId="74CB0CCD" w:rsidR="00B57597" w:rsidRPr="00640FF2" w:rsidRDefault="00B57597" w:rsidP="00B57597">
      <w:pPr>
        <w:pStyle w:val="Titulek1"/>
        <w:tabs>
          <w:tab w:val="clear" w:pos="9356"/>
          <w:tab w:val="right" w:pos="9072"/>
        </w:tabs>
        <w:rPr>
          <w:sz w:val="24"/>
        </w:rPr>
      </w:pPr>
      <w:bookmarkStart w:id="48" w:name="_Toc8984529"/>
      <w:bookmarkStart w:id="49" w:name="_Toc72157465"/>
      <w:r w:rsidRPr="00640FF2">
        <w:rPr>
          <w:sz w:val="24"/>
        </w:rPr>
        <w:t xml:space="preserve">Tabulka č. </w:t>
      </w:r>
      <w:r w:rsidR="001529C4" w:rsidRPr="00640FF2">
        <w:rPr>
          <w:sz w:val="24"/>
        </w:rPr>
        <w:fldChar w:fldCharType="begin"/>
      </w:r>
      <w:r w:rsidR="001529C4" w:rsidRPr="00640FF2">
        <w:rPr>
          <w:sz w:val="24"/>
        </w:rPr>
        <w:instrText xml:space="preserve"> SEQ Tabulka \* ARABIC </w:instrText>
      </w:r>
      <w:r w:rsidR="001529C4" w:rsidRPr="00640FF2">
        <w:rPr>
          <w:sz w:val="24"/>
        </w:rPr>
        <w:fldChar w:fldCharType="separate"/>
      </w:r>
      <w:r w:rsidR="00E544AA">
        <w:rPr>
          <w:noProof/>
          <w:sz w:val="24"/>
        </w:rPr>
        <w:t>13</w:t>
      </w:r>
      <w:r w:rsidR="001529C4" w:rsidRPr="00640FF2">
        <w:rPr>
          <w:noProof/>
          <w:sz w:val="24"/>
        </w:rPr>
        <w:fldChar w:fldCharType="end"/>
      </w:r>
      <w:r w:rsidRPr="00640FF2">
        <w:rPr>
          <w:sz w:val="24"/>
        </w:rPr>
        <w:t>: Porovnání výdajů a nákladů OSS v </w:t>
      </w:r>
      <w:proofErr w:type="spellStart"/>
      <w:r w:rsidRPr="00640FF2">
        <w:rPr>
          <w:sz w:val="24"/>
        </w:rPr>
        <w:t>rozpočt</w:t>
      </w:r>
      <w:proofErr w:type="spellEnd"/>
      <w:r w:rsidRPr="00640FF2">
        <w:rPr>
          <w:sz w:val="24"/>
        </w:rPr>
        <w:t>. kapitole 322 (bez MPO</w:t>
      </w:r>
      <w:r w:rsidR="002844FF">
        <w:rPr>
          <w:sz w:val="24"/>
        </w:rPr>
        <w:t>;</w:t>
      </w:r>
      <w:r w:rsidRPr="00640FF2">
        <w:rPr>
          <w:sz w:val="24"/>
        </w:rPr>
        <w:t xml:space="preserve"> v Kč)</w:t>
      </w:r>
      <w:bookmarkEnd w:id="48"/>
      <w:bookmarkEnd w:id="49"/>
    </w:p>
    <w:tbl>
      <w:tblPr>
        <w:tblW w:w="4977" w:type="pct"/>
        <w:tblCellMar>
          <w:left w:w="70" w:type="dxa"/>
          <w:right w:w="70" w:type="dxa"/>
        </w:tblCellMar>
        <w:tblLook w:val="04A0" w:firstRow="1" w:lastRow="0" w:firstColumn="1" w:lastColumn="0" w:noHBand="0" w:noVBand="1"/>
      </w:tblPr>
      <w:tblGrid>
        <w:gridCol w:w="1775"/>
        <w:gridCol w:w="1418"/>
        <w:gridCol w:w="1457"/>
        <w:gridCol w:w="1457"/>
        <w:gridCol w:w="1457"/>
        <w:gridCol w:w="1454"/>
      </w:tblGrid>
      <w:tr w:rsidR="00B57597" w:rsidRPr="00E2678A" w14:paraId="44A941CA" w14:textId="77777777" w:rsidTr="00640FF2">
        <w:trPr>
          <w:trHeight w:val="255"/>
        </w:trPr>
        <w:tc>
          <w:tcPr>
            <w:tcW w:w="984"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102ED0F" w14:textId="77777777" w:rsidR="00B57597" w:rsidRPr="00E2678A" w:rsidRDefault="00B57597" w:rsidP="00640FF2">
            <w:pPr>
              <w:spacing w:after="0"/>
              <w:rPr>
                <w:rFonts w:cs="Calibri"/>
                <w:b/>
                <w:bCs/>
                <w:color w:val="000000"/>
                <w:sz w:val="18"/>
                <w:szCs w:val="18"/>
                <w:lang w:eastAsia="cs-CZ"/>
              </w:rPr>
            </w:pPr>
            <w:r w:rsidRPr="00E2678A">
              <w:rPr>
                <w:b/>
                <w:bCs/>
                <w:color w:val="000000"/>
                <w:sz w:val="18"/>
                <w:szCs w:val="18"/>
              </w:rPr>
              <w:t>Ukazatel</w:t>
            </w:r>
          </w:p>
        </w:tc>
        <w:tc>
          <w:tcPr>
            <w:tcW w:w="786" w:type="pct"/>
            <w:tcBorders>
              <w:top w:val="single" w:sz="4" w:space="0" w:color="auto"/>
              <w:left w:val="nil"/>
              <w:bottom w:val="single" w:sz="4" w:space="0" w:color="auto"/>
              <w:right w:val="single" w:sz="4" w:space="0" w:color="auto"/>
            </w:tcBorders>
            <w:shd w:val="clear" w:color="auto" w:fill="E5F1FF"/>
            <w:noWrap/>
            <w:vAlign w:val="center"/>
            <w:hideMark/>
          </w:tcPr>
          <w:p w14:paraId="784D30C9" w14:textId="77777777" w:rsidR="00B57597" w:rsidRPr="00E2678A" w:rsidRDefault="00B57597" w:rsidP="00640FF2">
            <w:pPr>
              <w:spacing w:after="0"/>
              <w:jc w:val="center"/>
              <w:rPr>
                <w:rFonts w:cs="Calibri"/>
                <w:b/>
                <w:bCs/>
                <w:color w:val="000000"/>
                <w:sz w:val="18"/>
                <w:szCs w:val="18"/>
                <w:lang w:eastAsia="cs-CZ"/>
              </w:rPr>
            </w:pPr>
            <w:r w:rsidRPr="00E2678A">
              <w:rPr>
                <w:b/>
                <w:bCs/>
                <w:color w:val="000000"/>
                <w:sz w:val="18"/>
                <w:szCs w:val="18"/>
              </w:rPr>
              <w:t>2016</w:t>
            </w:r>
          </w:p>
        </w:tc>
        <w:tc>
          <w:tcPr>
            <w:tcW w:w="808" w:type="pct"/>
            <w:tcBorders>
              <w:top w:val="single" w:sz="4" w:space="0" w:color="auto"/>
              <w:left w:val="nil"/>
              <w:bottom w:val="single" w:sz="4" w:space="0" w:color="auto"/>
              <w:right w:val="single" w:sz="4" w:space="0" w:color="auto"/>
            </w:tcBorders>
            <w:shd w:val="clear" w:color="auto" w:fill="E5F1FF"/>
            <w:noWrap/>
            <w:vAlign w:val="center"/>
            <w:hideMark/>
          </w:tcPr>
          <w:p w14:paraId="44559524" w14:textId="77777777" w:rsidR="00B57597" w:rsidRPr="00E2678A" w:rsidRDefault="00B57597" w:rsidP="00640FF2">
            <w:pPr>
              <w:spacing w:after="0"/>
              <w:jc w:val="center"/>
              <w:rPr>
                <w:rFonts w:cs="Calibri"/>
                <w:b/>
                <w:bCs/>
                <w:color w:val="000000"/>
                <w:sz w:val="18"/>
                <w:szCs w:val="18"/>
                <w:lang w:eastAsia="cs-CZ"/>
              </w:rPr>
            </w:pPr>
            <w:r w:rsidRPr="00E2678A">
              <w:rPr>
                <w:b/>
                <w:bCs/>
                <w:color w:val="000000"/>
                <w:sz w:val="18"/>
                <w:szCs w:val="18"/>
              </w:rPr>
              <w:t>2017</w:t>
            </w:r>
          </w:p>
        </w:tc>
        <w:tc>
          <w:tcPr>
            <w:tcW w:w="808" w:type="pct"/>
            <w:tcBorders>
              <w:top w:val="single" w:sz="4" w:space="0" w:color="auto"/>
              <w:left w:val="nil"/>
              <w:bottom w:val="single" w:sz="4" w:space="0" w:color="auto"/>
              <w:right w:val="single" w:sz="4" w:space="0" w:color="auto"/>
            </w:tcBorders>
            <w:shd w:val="clear" w:color="auto" w:fill="E5F1FF"/>
            <w:noWrap/>
            <w:vAlign w:val="center"/>
            <w:hideMark/>
          </w:tcPr>
          <w:p w14:paraId="22476550" w14:textId="77777777" w:rsidR="00B57597" w:rsidRPr="00E2678A" w:rsidRDefault="00B57597" w:rsidP="00640FF2">
            <w:pPr>
              <w:spacing w:after="0"/>
              <w:jc w:val="center"/>
              <w:rPr>
                <w:rFonts w:cs="Calibri"/>
                <w:b/>
                <w:bCs/>
                <w:color w:val="000000"/>
                <w:sz w:val="18"/>
                <w:szCs w:val="18"/>
                <w:lang w:eastAsia="cs-CZ"/>
              </w:rPr>
            </w:pPr>
            <w:r w:rsidRPr="00E2678A">
              <w:rPr>
                <w:b/>
                <w:bCs/>
                <w:color w:val="000000"/>
                <w:sz w:val="18"/>
                <w:szCs w:val="18"/>
              </w:rPr>
              <w:t>2018</w:t>
            </w:r>
          </w:p>
        </w:tc>
        <w:tc>
          <w:tcPr>
            <w:tcW w:w="808" w:type="pct"/>
            <w:tcBorders>
              <w:top w:val="single" w:sz="4" w:space="0" w:color="auto"/>
              <w:left w:val="nil"/>
              <w:bottom w:val="single" w:sz="4" w:space="0" w:color="auto"/>
              <w:right w:val="single" w:sz="4" w:space="0" w:color="auto"/>
            </w:tcBorders>
            <w:shd w:val="clear" w:color="auto" w:fill="E5F1FF"/>
            <w:noWrap/>
            <w:vAlign w:val="center"/>
            <w:hideMark/>
          </w:tcPr>
          <w:p w14:paraId="280682BC" w14:textId="77777777" w:rsidR="00B57597" w:rsidRPr="00E2678A" w:rsidRDefault="00B57597" w:rsidP="00640FF2">
            <w:pPr>
              <w:spacing w:after="0"/>
              <w:jc w:val="center"/>
              <w:rPr>
                <w:rFonts w:cs="Calibri"/>
                <w:b/>
                <w:bCs/>
                <w:color w:val="000000"/>
                <w:sz w:val="18"/>
                <w:szCs w:val="18"/>
                <w:lang w:eastAsia="cs-CZ"/>
              </w:rPr>
            </w:pPr>
            <w:r w:rsidRPr="00E2678A">
              <w:rPr>
                <w:b/>
                <w:bCs/>
                <w:color w:val="000000"/>
                <w:sz w:val="18"/>
                <w:szCs w:val="18"/>
              </w:rPr>
              <w:t>2019</w:t>
            </w:r>
          </w:p>
        </w:tc>
        <w:tc>
          <w:tcPr>
            <w:tcW w:w="807" w:type="pct"/>
            <w:tcBorders>
              <w:top w:val="single" w:sz="4" w:space="0" w:color="auto"/>
              <w:left w:val="nil"/>
              <w:bottom w:val="single" w:sz="4" w:space="0" w:color="auto"/>
              <w:right w:val="single" w:sz="4" w:space="0" w:color="auto"/>
            </w:tcBorders>
            <w:shd w:val="clear" w:color="auto" w:fill="E5F1FF"/>
            <w:vAlign w:val="center"/>
          </w:tcPr>
          <w:p w14:paraId="1CD22384" w14:textId="77777777" w:rsidR="00B57597" w:rsidRPr="00E2678A" w:rsidRDefault="00B57597" w:rsidP="00640FF2">
            <w:pPr>
              <w:spacing w:after="0"/>
              <w:jc w:val="center"/>
              <w:rPr>
                <w:rFonts w:cs="Calibri"/>
                <w:b/>
                <w:bCs/>
                <w:color w:val="000000"/>
                <w:sz w:val="18"/>
                <w:szCs w:val="18"/>
                <w:lang w:eastAsia="cs-CZ"/>
              </w:rPr>
            </w:pPr>
            <w:r w:rsidRPr="00E2678A">
              <w:rPr>
                <w:b/>
                <w:bCs/>
                <w:color w:val="000000"/>
                <w:sz w:val="18"/>
                <w:szCs w:val="18"/>
              </w:rPr>
              <w:t>2020</w:t>
            </w:r>
          </w:p>
        </w:tc>
      </w:tr>
      <w:tr w:rsidR="00B57597" w:rsidRPr="00E2678A" w14:paraId="22EEBBAB" w14:textId="77777777" w:rsidTr="00640FF2">
        <w:trPr>
          <w:trHeight w:val="255"/>
        </w:trPr>
        <w:tc>
          <w:tcPr>
            <w:tcW w:w="984" w:type="pct"/>
            <w:tcBorders>
              <w:top w:val="nil"/>
              <w:left w:val="single" w:sz="4" w:space="0" w:color="auto"/>
              <w:bottom w:val="single" w:sz="4" w:space="0" w:color="auto"/>
              <w:right w:val="single" w:sz="4" w:space="0" w:color="auto"/>
            </w:tcBorders>
            <w:shd w:val="clear" w:color="auto" w:fill="auto"/>
            <w:noWrap/>
            <w:vAlign w:val="center"/>
          </w:tcPr>
          <w:p w14:paraId="2C4DBD1F" w14:textId="77777777" w:rsidR="00B57597" w:rsidRPr="00E2678A" w:rsidRDefault="00B57597" w:rsidP="00640FF2">
            <w:pPr>
              <w:spacing w:after="0"/>
              <w:rPr>
                <w:rFonts w:cs="Calibri"/>
                <w:b/>
                <w:bCs/>
                <w:color w:val="000000"/>
                <w:sz w:val="18"/>
                <w:szCs w:val="18"/>
                <w:lang w:eastAsia="cs-CZ"/>
              </w:rPr>
            </w:pPr>
            <w:r w:rsidRPr="00E2678A">
              <w:rPr>
                <w:b/>
                <w:bCs/>
                <w:color w:val="000000"/>
                <w:sz w:val="18"/>
                <w:szCs w:val="18"/>
              </w:rPr>
              <w:t>Výdaje (skutečnost)</w:t>
            </w:r>
          </w:p>
        </w:tc>
        <w:tc>
          <w:tcPr>
            <w:tcW w:w="786" w:type="pct"/>
            <w:tcBorders>
              <w:top w:val="nil"/>
              <w:left w:val="nil"/>
              <w:bottom w:val="single" w:sz="4" w:space="0" w:color="auto"/>
              <w:right w:val="single" w:sz="4" w:space="0" w:color="auto"/>
            </w:tcBorders>
            <w:shd w:val="clear" w:color="auto" w:fill="auto"/>
            <w:noWrap/>
            <w:vAlign w:val="center"/>
          </w:tcPr>
          <w:p w14:paraId="3D5D26D4" w14:textId="77777777" w:rsidR="00B57597" w:rsidRPr="00E2678A" w:rsidRDefault="00B57597" w:rsidP="00640FF2">
            <w:pPr>
              <w:spacing w:after="0"/>
              <w:jc w:val="right"/>
              <w:rPr>
                <w:rFonts w:eastAsia="Calibri" w:cs="Calibri"/>
                <w:color w:val="000000"/>
                <w:sz w:val="18"/>
                <w:szCs w:val="18"/>
              </w:rPr>
            </w:pPr>
            <w:r w:rsidRPr="00E2678A">
              <w:rPr>
                <w:color w:val="000000"/>
                <w:sz w:val="18"/>
                <w:szCs w:val="18"/>
              </w:rPr>
              <w:t>686 332 979,22</w:t>
            </w:r>
          </w:p>
        </w:tc>
        <w:tc>
          <w:tcPr>
            <w:tcW w:w="808" w:type="pct"/>
            <w:tcBorders>
              <w:top w:val="nil"/>
              <w:left w:val="nil"/>
              <w:bottom w:val="single" w:sz="4" w:space="0" w:color="auto"/>
              <w:right w:val="single" w:sz="4" w:space="0" w:color="auto"/>
            </w:tcBorders>
            <w:shd w:val="clear" w:color="auto" w:fill="auto"/>
            <w:noWrap/>
            <w:vAlign w:val="center"/>
          </w:tcPr>
          <w:p w14:paraId="39A76151" w14:textId="77777777" w:rsidR="00B57597" w:rsidRPr="00E2678A" w:rsidRDefault="00B57597" w:rsidP="00640FF2">
            <w:pPr>
              <w:spacing w:after="0"/>
              <w:jc w:val="right"/>
              <w:rPr>
                <w:rFonts w:eastAsia="Calibri" w:cs="Calibri"/>
                <w:color w:val="000000"/>
                <w:sz w:val="18"/>
                <w:szCs w:val="18"/>
              </w:rPr>
            </w:pPr>
            <w:r w:rsidRPr="00E2678A">
              <w:rPr>
                <w:color w:val="000000"/>
                <w:sz w:val="18"/>
                <w:szCs w:val="18"/>
              </w:rPr>
              <w:t>1 273 575 086,17</w:t>
            </w:r>
          </w:p>
        </w:tc>
        <w:tc>
          <w:tcPr>
            <w:tcW w:w="808" w:type="pct"/>
            <w:tcBorders>
              <w:top w:val="nil"/>
              <w:left w:val="nil"/>
              <w:bottom w:val="single" w:sz="4" w:space="0" w:color="auto"/>
              <w:right w:val="single" w:sz="4" w:space="0" w:color="auto"/>
            </w:tcBorders>
            <w:shd w:val="clear" w:color="auto" w:fill="auto"/>
            <w:noWrap/>
            <w:vAlign w:val="center"/>
          </w:tcPr>
          <w:p w14:paraId="654D3325" w14:textId="77777777" w:rsidR="00B57597" w:rsidRPr="00E2678A" w:rsidRDefault="00B57597" w:rsidP="00640FF2">
            <w:pPr>
              <w:spacing w:after="0"/>
              <w:jc w:val="right"/>
              <w:rPr>
                <w:rFonts w:eastAsia="Calibri" w:cs="Calibri"/>
                <w:color w:val="000000"/>
                <w:sz w:val="18"/>
                <w:szCs w:val="18"/>
              </w:rPr>
            </w:pPr>
            <w:r w:rsidRPr="00E2678A">
              <w:rPr>
                <w:color w:val="000000"/>
                <w:sz w:val="18"/>
                <w:szCs w:val="18"/>
              </w:rPr>
              <w:t>1 294 263 854,49</w:t>
            </w:r>
          </w:p>
        </w:tc>
        <w:tc>
          <w:tcPr>
            <w:tcW w:w="808" w:type="pct"/>
            <w:tcBorders>
              <w:top w:val="nil"/>
              <w:left w:val="nil"/>
              <w:bottom w:val="single" w:sz="4" w:space="0" w:color="auto"/>
              <w:right w:val="single" w:sz="4" w:space="0" w:color="auto"/>
            </w:tcBorders>
            <w:shd w:val="clear" w:color="auto" w:fill="auto"/>
            <w:noWrap/>
            <w:vAlign w:val="center"/>
          </w:tcPr>
          <w:p w14:paraId="5DB000A9" w14:textId="77777777" w:rsidR="00B57597" w:rsidRPr="00E2678A" w:rsidRDefault="00B57597" w:rsidP="00640FF2">
            <w:pPr>
              <w:spacing w:after="0"/>
              <w:jc w:val="right"/>
              <w:rPr>
                <w:rFonts w:eastAsia="Calibri" w:cs="Calibri"/>
                <w:color w:val="000000"/>
                <w:sz w:val="18"/>
                <w:szCs w:val="18"/>
              </w:rPr>
            </w:pPr>
            <w:r w:rsidRPr="00E2678A">
              <w:rPr>
                <w:color w:val="000000"/>
                <w:sz w:val="18"/>
                <w:szCs w:val="18"/>
              </w:rPr>
              <w:t>1 342 143 928,32</w:t>
            </w:r>
          </w:p>
        </w:tc>
        <w:tc>
          <w:tcPr>
            <w:tcW w:w="807" w:type="pct"/>
            <w:tcBorders>
              <w:top w:val="nil"/>
              <w:left w:val="nil"/>
              <w:bottom w:val="single" w:sz="4" w:space="0" w:color="auto"/>
              <w:right w:val="single" w:sz="4" w:space="0" w:color="auto"/>
            </w:tcBorders>
            <w:vAlign w:val="center"/>
          </w:tcPr>
          <w:p w14:paraId="441634A7" w14:textId="77777777" w:rsidR="00B57597" w:rsidRPr="00E2678A" w:rsidRDefault="00B57597" w:rsidP="00640FF2">
            <w:pPr>
              <w:spacing w:after="0"/>
              <w:jc w:val="right"/>
              <w:rPr>
                <w:rFonts w:eastAsia="Calibri" w:cs="Calibri"/>
                <w:color w:val="000000"/>
                <w:sz w:val="18"/>
                <w:szCs w:val="18"/>
              </w:rPr>
            </w:pPr>
            <w:r w:rsidRPr="00E2678A">
              <w:rPr>
                <w:color w:val="000000"/>
                <w:sz w:val="18"/>
                <w:szCs w:val="18"/>
              </w:rPr>
              <w:t>1 315 503 076,12</w:t>
            </w:r>
          </w:p>
        </w:tc>
      </w:tr>
      <w:tr w:rsidR="00B57597" w:rsidRPr="00E2678A" w14:paraId="5FF0B524" w14:textId="77777777" w:rsidTr="00640FF2">
        <w:trPr>
          <w:trHeight w:val="255"/>
        </w:trPr>
        <w:tc>
          <w:tcPr>
            <w:tcW w:w="984" w:type="pct"/>
            <w:tcBorders>
              <w:top w:val="nil"/>
              <w:left w:val="single" w:sz="4" w:space="0" w:color="auto"/>
              <w:bottom w:val="single" w:sz="4" w:space="0" w:color="auto"/>
              <w:right w:val="single" w:sz="4" w:space="0" w:color="auto"/>
            </w:tcBorders>
            <w:shd w:val="clear" w:color="auto" w:fill="auto"/>
            <w:noWrap/>
            <w:vAlign w:val="center"/>
          </w:tcPr>
          <w:p w14:paraId="3BA25029" w14:textId="77777777" w:rsidR="00B57597" w:rsidRPr="00E2678A" w:rsidRDefault="00B57597" w:rsidP="00640FF2">
            <w:pPr>
              <w:spacing w:after="0"/>
              <w:rPr>
                <w:rFonts w:cs="Calibri"/>
                <w:b/>
                <w:bCs/>
                <w:color w:val="000000"/>
                <w:sz w:val="18"/>
                <w:szCs w:val="18"/>
                <w:lang w:eastAsia="cs-CZ"/>
              </w:rPr>
            </w:pPr>
            <w:r w:rsidRPr="00E2678A">
              <w:rPr>
                <w:b/>
                <w:bCs/>
                <w:color w:val="000000"/>
                <w:sz w:val="18"/>
                <w:szCs w:val="18"/>
              </w:rPr>
              <w:t>Náklady celkem</w:t>
            </w:r>
          </w:p>
        </w:tc>
        <w:tc>
          <w:tcPr>
            <w:tcW w:w="786" w:type="pct"/>
            <w:tcBorders>
              <w:top w:val="nil"/>
              <w:left w:val="nil"/>
              <w:bottom w:val="single" w:sz="4" w:space="0" w:color="auto"/>
              <w:right w:val="single" w:sz="4" w:space="0" w:color="auto"/>
            </w:tcBorders>
            <w:shd w:val="clear" w:color="auto" w:fill="auto"/>
            <w:noWrap/>
            <w:vAlign w:val="center"/>
          </w:tcPr>
          <w:p w14:paraId="5CEA01D8" w14:textId="77777777" w:rsidR="00B57597" w:rsidRPr="00E2678A" w:rsidRDefault="00B57597" w:rsidP="00640FF2">
            <w:pPr>
              <w:spacing w:after="0"/>
              <w:jc w:val="right"/>
              <w:rPr>
                <w:rFonts w:eastAsia="Calibri" w:cs="Calibri"/>
                <w:color w:val="000000"/>
                <w:sz w:val="18"/>
                <w:szCs w:val="18"/>
              </w:rPr>
            </w:pPr>
            <w:r w:rsidRPr="00E2678A">
              <w:rPr>
                <w:color w:val="000000"/>
                <w:sz w:val="18"/>
                <w:szCs w:val="18"/>
              </w:rPr>
              <w:t>959 696 189,77</w:t>
            </w:r>
          </w:p>
        </w:tc>
        <w:tc>
          <w:tcPr>
            <w:tcW w:w="808" w:type="pct"/>
            <w:tcBorders>
              <w:top w:val="nil"/>
              <w:left w:val="nil"/>
              <w:bottom w:val="single" w:sz="4" w:space="0" w:color="auto"/>
              <w:right w:val="single" w:sz="4" w:space="0" w:color="auto"/>
            </w:tcBorders>
            <w:shd w:val="clear" w:color="auto" w:fill="auto"/>
            <w:noWrap/>
            <w:vAlign w:val="center"/>
          </w:tcPr>
          <w:p w14:paraId="1855AA37" w14:textId="77777777" w:rsidR="00B57597" w:rsidRPr="00E2678A" w:rsidRDefault="00B57597" w:rsidP="00640FF2">
            <w:pPr>
              <w:spacing w:after="0"/>
              <w:jc w:val="right"/>
              <w:rPr>
                <w:rFonts w:eastAsia="Calibri" w:cs="Calibri"/>
                <w:color w:val="000000"/>
                <w:sz w:val="18"/>
                <w:szCs w:val="18"/>
              </w:rPr>
            </w:pPr>
            <w:r w:rsidRPr="00E2678A">
              <w:rPr>
                <w:color w:val="000000"/>
                <w:sz w:val="18"/>
                <w:szCs w:val="18"/>
              </w:rPr>
              <w:t>1 114 566 422,40</w:t>
            </w:r>
          </w:p>
        </w:tc>
        <w:tc>
          <w:tcPr>
            <w:tcW w:w="808" w:type="pct"/>
            <w:tcBorders>
              <w:top w:val="nil"/>
              <w:left w:val="nil"/>
              <w:bottom w:val="single" w:sz="4" w:space="0" w:color="auto"/>
              <w:right w:val="single" w:sz="4" w:space="0" w:color="auto"/>
            </w:tcBorders>
            <w:shd w:val="clear" w:color="auto" w:fill="auto"/>
            <w:noWrap/>
            <w:vAlign w:val="center"/>
          </w:tcPr>
          <w:p w14:paraId="296FC54A" w14:textId="77777777" w:rsidR="00B57597" w:rsidRPr="00E2678A" w:rsidRDefault="00B57597" w:rsidP="00640FF2">
            <w:pPr>
              <w:spacing w:after="0"/>
              <w:jc w:val="right"/>
              <w:rPr>
                <w:rFonts w:eastAsia="Calibri" w:cs="Calibri"/>
                <w:color w:val="000000"/>
                <w:sz w:val="18"/>
                <w:szCs w:val="18"/>
              </w:rPr>
            </w:pPr>
            <w:r w:rsidRPr="00E2678A">
              <w:rPr>
                <w:color w:val="000000"/>
                <w:sz w:val="18"/>
                <w:szCs w:val="18"/>
              </w:rPr>
              <w:t>1 158 540 659,77</w:t>
            </w:r>
          </w:p>
        </w:tc>
        <w:tc>
          <w:tcPr>
            <w:tcW w:w="808" w:type="pct"/>
            <w:tcBorders>
              <w:top w:val="nil"/>
              <w:left w:val="nil"/>
              <w:bottom w:val="single" w:sz="4" w:space="0" w:color="auto"/>
              <w:right w:val="single" w:sz="4" w:space="0" w:color="auto"/>
            </w:tcBorders>
            <w:shd w:val="clear" w:color="auto" w:fill="auto"/>
            <w:noWrap/>
            <w:vAlign w:val="center"/>
          </w:tcPr>
          <w:p w14:paraId="3FF08266" w14:textId="77777777" w:rsidR="00B57597" w:rsidRPr="00E2678A" w:rsidRDefault="00B57597" w:rsidP="00640FF2">
            <w:pPr>
              <w:spacing w:after="0"/>
              <w:jc w:val="right"/>
              <w:rPr>
                <w:rFonts w:eastAsia="Calibri" w:cs="Calibri"/>
                <w:color w:val="000000"/>
                <w:sz w:val="18"/>
                <w:szCs w:val="18"/>
              </w:rPr>
            </w:pPr>
            <w:r w:rsidRPr="00E2678A">
              <w:rPr>
                <w:color w:val="000000"/>
                <w:sz w:val="18"/>
                <w:szCs w:val="18"/>
              </w:rPr>
              <w:t>1 137 218 761,45</w:t>
            </w:r>
          </w:p>
        </w:tc>
        <w:tc>
          <w:tcPr>
            <w:tcW w:w="807" w:type="pct"/>
            <w:tcBorders>
              <w:top w:val="nil"/>
              <w:left w:val="nil"/>
              <w:bottom w:val="single" w:sz="4" w:space="0" w:color="auto"/>
              <w:right w:val="single" w:sz="4" w:space="0" w:color="auto"/>
            </w:tcBorders>
            <w:vAlign w:val="center"/>
          </w:tcPr>
          <w:p w14:paraId="08C746B8" w14:textId="77777777" w:rsidR="00B57597" w:rsidRPr="00E2678A" w:rsidRDefault="00B57597" w:rsidP="00640FF2">
            <w:pPr>
              <w:spacing w:after="0"/>
              <w:jc w:val="right"/>
              <w:rPr>
                <w:rFonts w:eastAsia="Calibri" w:cs="Calibri"/>
                <w:color w:val="000000"/>
                <w:sz w:val="18"/>
                <w:szCs w:val="18"/>
              </w:rPr>
            </w:pPr>
            <w:r w:rsidRPr="00E2678A">
              <w:rPr>
                <w:color w:val="000000"/>
                <w:sz w:val="18"/>
                <w:szCs w:val="18"/>
              </w:rPr>
              <w:t>1 236 601 500,41</w:t>
            </w:r>
          </w:p>
        </w:tc>
      </w:tr>
    </w:tbl>
    <w:p w14:paraId="30621E0A" w14:textId="77777777" w:rsidR="00B57597" w:rsidRPr="00CF36BE" w:rsidRDefault="00B57597" w:rsidP="00B57597">
      <w:pPr>
        <w:spacing w:before="40"/>
        <w:rPr>
          <w:rFonts w:cs="Calibri"/>
          <w:color w:val="000000"/>
          <w:sz w:val="20"/>
          <w:szCs w:val="20"/>
          <w:lang w:eastAsia="cs-CZ"/>
        </w:rPr>
      </w:pPr>
      <w:r w:rsidRPr="00CF36BE">
        <w:rPr>
          <w:rFonts w:cs="Calibri"/>
          <w:b/>
          <w:color w:val="000000"/>
          <w:sz w:val="20"/>
          <w:szCs w:val="20"/>
          <w:lang w:eastAsia="cs-CZ"/>
        </w:rPr>
        <w:t xml:space="preserve">Zdroj: </w:t>
      </w:r>
      <w:r w:rsidRPr="00CF36BE">
        <w:rPr>
          <w:rFonts w:cs="Calibri"/>
          <w:color w:val="000000"/>
          <w:sz w:val="20"/>
          <w:szCs w:val="20"/>
          <w:lang w:eastAsia="cs-CZ"/>
        </w:rPr>
        <w:t>informační portál MONITOR.</w:t>
      </w:r>
    </w:p>
    <w:p w14:paraId="5E9E436E" w14:textId="2D57E57F" w:rsidR="00B57597" w:rsidRDefault="00B57597" w:rsidP="00B57597">
      <w:pPr>
        <w:spacing w:before="40"/>
        <w:jc w:val="both"/>
        <w:rPr>
          <w:rFonts w:cs="Calibri"/>
          <w:color w:val="000000"/>
          <w:szCs w:val="20"/>
          <w:lang w:eastAsia="cs-CZ"/>
        </w:rPr>
      </w:pPr>
      <w:r w:rsidRPr="00E2678A">
        <w:rPr>
          <w:rFonts w:cs="Calibri"/>
          <w:color w:val="000000"/>
          <w:szCs w:val="20"/>
          <w:lang w:eastAsia="cs-CZ"/>
        </w:rPr>
        <w:t xml:space="preserve">Výdaje a náklady se ve sledovaném období u ostatních OSS (bez MPO) vyvíjely obdobně až na rok 2016, kdy náklady převýšily nad výdaji o 273,36 mil. Kč. Náklady z činnosti v roce 2020 činily 1 127 461 525,79 Kč, tj. 91,17 % celkových nákladů. Nejvýznamnějšími nákladovými účty byly 521 – </w:t>
      </w:r>
      <w:r w:rsidRPr="00E2678A">
        <w:rPr>
          <w:rFonts w:cs="Calibri"/>
          <w:i/>
          <w:color w:val="000000"/>
          <w:szCs w:val="20"/>
          <w:lang w:eastAsia="cs-CZ"/>
        </w:rPr>
        <w:t>Mzdové náklady</w:t>
      </w:r>
      <w:r w:rsidRPr="00E2678A">
        <w:rPr>
          <w:rFonts w:cs="Calibri"/>
          <w:color w:val="000000"/>
          <w:szCs w:val="20"/>
          <w:lang w:eastAsia="cs-CZ"/>
        </w:rPr>
        <w:t xml:space="preserve"> (417 490 820 Kč) a 518 – </w:t>
      </w:r>
      <w:r w:rsidRPr="00E2678A">
        <w:rPr>
          <w:rFonts w:cs="Calibri"/>
          <w:i/>
          <w:color w:val="000000"/>
          <w:szCs w:val="20"/>
          <w:lang w:eastAsia="cs-CZ"/>
        </w:rPr>
        <w:t xml:space="preserve">Ostatní služby </w:t>
      </w:r>
      <w:r w:rsidRPr="00E2678A">
        <w:rPr>
          <w:rFonts w:cs="Calibri"/>
          <w:color w:val="000000"/>
          <w:szCs w:val="20"/>
          <w:lang w:eastAsia="cs-CZ"/>
        </w:rPr>
        <w:t>(351 292 852,59 Kč).</w:t>
      </w:r>
    </w:p>
    <w:p w14:paraId="200C0E42" w14:textId="77777777" w:rsidR="00640FF2" w:rsidRPr="00E2678A" w:rsidRDefault="00640FF2" w:rsidP="00640FF2">
      <w:pPr>
        <w:jc w:val="both"/>
        <w:rPr>
          <w:rFonts w:cs="Calibri"/>
          <w:bCs/>
          <w:color w:val="000000"/>
          <w:szCs w:val="20"/>
          <w:lang w:eastAsia="cs-CZ"/>
        </w:rPr>
      </w:pPr>
    </w:p>
    <w:p w14:paraId="788DC4B3" w14:textId="77777777" w:rsidR="00B57597" w:rsidRPr="00CA56AB" w:rsidRDefault="00B57597" w:rsidP="00640FF2">
      <w:pPr>
        <w:pStyle w:val="Nadpis3"/>
        <w:numPr>
          <w:ilvl w:val="0"/>
          <w:numId w:val="0"/>
        </w:numPr>
        <w:spacing w:after="120"/>
        <w:ind w:left="720" w:hanging="720"/>
        <w:contextualSpacing w:val="0"/>
        <w:jc w:val="center"/>
      </w:pPr>
      <w:bookmarkStart w:id="50" w:name="_Toc71514624"/>
      <w:bookmarkStart w:id="51" w:name="_Toc71514623"/>
      <w:r w:rsidRPr="00CA56AB">
        <w:t>Oddíl V. Tempa růstu příjmů a výnosů / výdajů a nákladů</w:t>
      </w:r>
      <w:bookmarkEnd w:id="50"/>
      <w:r w:rsidRPr="00CA56AB">
        <w:t xml:space="preserve"> v rozpočtové kapitole 322</w:t>
      </w:r>
    </w:p>
    <w:p w14:paraId="71BFFCE3" w14:textId="436D8E88" w:rsidR="00B57597" w:rsidRPr="000C70AB" w:rsidRDefault="00B57597" w:rsidP="000C70AB">
      <w:pPr>
        <w:pStyle w:val="Titulek1"/>
        <w:tabs>
          <w:tab w:val="clear" w:pos="9356"/>
          <w:tab w:val="right" w:pos="9072"/>
        </w:tabs>
        <w:rPr>
          <w:sz w:val="24"/>
        </w:rPr>
      </w:pPr>
      <w:bookmarkStart w:id="52" w:name="_Toc520714323"/>
      <w:bookmarkStart w:id="53" w:name="_Toc8984530"/>
      <w:bookmarkStart w:id="54" w:name="_Toc72157471"/>
      <w:bookmarkEnd w:id="51"/>
      <w:r w:rsidRPr="000C70AB">
        <w:rPr>
          <w:sz w:val="24"/>
        </w:rPr>
        <w:t xml:space="preserve">Tabulka č. </w:t>
      </w:r>
      <w:r w:rsidR="001529C4" w:rsidRPr="000C70AB">
        <w:rPr>
          <w:sz w:val="24"/>
        </w:rPr>
        <w:fldChar w:fldCharType="begin"/>
      </w:r>
      <w:r w:rsidR="001529C4" w:rsidRPr="000C70AB">
        <w:rPr>
          <w:sz w:val="24"/>
        </w:rPr>
        <w:instrText xml:space="preserve"> SEQ Tabulka \* ARABIC </w:instrText>
      </w:r>
      <w:r w:rsidR="001529C4" w:rsidRPr="000C70AB">
        <w:rPr>
          <w:sz w:val="24"/>
        </w:rPr>
        <w:fldChar w:fldCharType="separate"/>
      </w:r>
      <w:r w:rsidR="00E544AA">
        <w:rPr>
          <w:noProof/>
          <w:sz w:val="24"/>
        </w:rPr>
        <w:t>14</w:t>
      </w:r>
      <w:r w:rsidR="001529C4" w:rsidRPr="000C70AB">
        <w:rPr>
          <w:noProof/>
          <w:sz w:val="24"/>
        </w:rPr>
        <w:fldChar w:fldCharType="end"/>
      </w:r>
      <w:r w:rsidRPr="000C70AB">
        <w:rPr>
          <w:sz w:val="24"/>
        </w:rPr>
        <w:t>: Příjmy a výdaje OSS v rozpočtové kapitole 322 vč. MPO (v Kč)</w:t>
      </w:r>
      <w:bookmarkEnd w:id="52"/>
      <w:bookmarkEnd w:id="53"/>
      <w:bookmarkEnd w:id="54"/>
    </w:p>
    <w:tbl>
      <w:tblPr>
        <w:tblW w:w="4998" w:type="pct"/>
        <w:tblCellMar>
          <w:left w:w="70" w:type="dxa"/>
          <w:right w:w="70" w:type="dxa"/>
        </w:tblCellMar>
        <w:tblLook w:val="04A0" w:firstRow="1" w:lastRow="0" w:firstColumn="1" w:lastColumn="0" w:noHBand="0" w:noVBand="1"/>
      </w:tblPr>
      <w:tblGrid>
        <w:gridCol w:w="1414"/>
        <w:gridCol w:w="1530"/>
        <w:gridCol w:w="1530"/>
        <w:gridCol w:w="1530"/>
        <w:gridCol w:w="1527"/>
        <w:gridCol w:w="1525"/>
      </w:tblGrid>
      <w:tr w:rsidR="00B57597" w:rsidRPr="00CA56AB" w14:paraId="55149D49" w14:textId="77777777" w:rsidTr="00B57597">
        <w:trPr>
          <w:trHeight w:val="255"/>
        </w:trPr>
        <w:tc>
          <w:tcPr>
            <w:tcW w:w="780"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6D558606" w14:textId="77777777" w:rsidR="00B57597" w:rsidRPr="00CA56AB" w:rsidRDefault="00B57597" w:rsidP="000C70AB">
            <w:pPr>
              <w:spacing w:after="0"/>
              <w:rPr>
                <w:rFonts w:cs="Calibri"/>
                <w:b/>
                <w:bCs/>
                <w:color w:val="000000"/>
                <w:sz w:val="18"/>
                <w:szCs w:val="18"/>
                <w:lang w:eastAsia="cs-CZ"/>
              </w:rPr>
            </w:pPr>
            <w:r w:rsidRPr="00CA56AB">
              <w:rPr>
                <w:b/>
                <w:bCs/>
                <w:color w:val="000000"/>
                <w:sz w:val="18"/>
                <w:szCs w:val="18"/>
              </w:rPr>
              <w:t>Ukazatel</w:t>
            </w:r>
          </w:p>
        </w:tc>
        <w:tc>
          <w:tcPr>
            <w:tcW w:w="845" w:type="pct"/>
            <w:tcBorders>
              <w:top w:val="single" w:sz="4" w:space="0" w:color="auto"/>
              <w:left w:val="nil"/>
              <w:bottom w:val="single" w:sz="4" w:space="0" w:color="auto"/>
              <w:right w:val="single" w:sz="4" w:space="0" w:color="auto"/>
            </w:tcBorders>
            <w:shd w:val="clear" w:color="auto" w:fill="E5F1FF"/>
            <w:noWrap/>
            <w:vAlign w:val="center"/>
            <w:hideMark/>
          </w:tcPr>
          <w:p w14:paraId="0503943C" w14:textId="77777777" w:rsidR="00B57597" w:rsidRPr="00CA56AB" w:rsidRDefault="00B57597" w:rsidP="000C70AB">
            <w:pPr>
              <w:spacing w:after="0"/>
              <w:jc w:val="center"/>
              <w:rPr>
                <w:rFonts w:cs="Calibri"/>
                <w:b/>
                <w:bCs/>
                <w:color w:val="000000"/>
                <w:sz w:val="18"/>
                <w:szCs w:val="18"/>
                <w:lang w:eastAsia="cs-CZ"/>
              </w:rPr>
            </w:pPr>
            <w:r w:rsidRPr="00CA56AB">
              <w:rPr>
                <w:b/>
                <w:bCs/>
                <w:color w:val="000000"/>
                <w:sz w:val="18"/>
                <w:szCs w:val="18"/>
              </w:rPr>
              <w:t>2016</w:t>
            </w:r>
          </w:p>
        </w:tc>
        <w:tc>
          <w:tcPr>
            <w:tcW w:w="845" w:type="pct"/>
            <w:tcBorders>
              <w:top w:val="single" w:sz="4" w:space="0" w:color="auto"/>
              <w:left w:val="nil"/>
              <w:bottom w:val="single" w:sz="4" w:space="0" w:color="auto"/>
              <w:right w:val="single" w:sz="4" w:space="0" w:color="auto"/>
            </w:tcBorders>
            <w:shd w:val="clear" w:color="auto" w:fill="E5F1FF"/>
            <w:noWrap/>
            <w:vAlign w:val="center"/>
            <w:hideMark/>
          </w:tcPr>
          <w:p w14:paraId="755A859B" w14:textId="77777777" w:rsidR="00B57597" w:rsidRPr="00CA56AB" w:rsidRDefault="00B57597" w:rsidP="000C70AB">
            <w:pPr>
              <w:spacing w:after="0"/>
              <w:jc w:val="center"/>
              <w:rPr>
                <w:rFonts w:cs="Calibri"/>
                <w:b/>
                <w:bCs/>
                <w:color w:val="000000"/>
                <w:sz w:val="18"/>
                <w:szCs w:val="18"/>
                <w:lang w:eastAsia="cs-CZ"/>
              </w:rPr>
            </w:pPr>
            <w:r w:rsidRPr="00CA56AB">
              <w:rPr>
                <w:b/>
                <w:bCs/>
                <w:color w:val="000000"/>
                <w:sz w:val="18"/>
                <w:szCs w:val="18"/>
              </w:rPr>
              <w:t>2017</w:t>
            </w:r>
          </w:p>
        </w:tc>
        <w:tc>
          <w:tcPr>
            <w:tcW w:w="845" w:type="pct"/>
            <w:tcBorders>
              <w:top w:val="single" w:sz="4" w:space="0" w:color="auto"/>
              <w:left w:val="nil"/>
              <w:bottom w:val="single" w:sz="4" w:space="0" w:color="auto"/>
              <w:right w:val="single" w:sz="4" w:space="0" w:color="auto"/>
            </w:tcBorders>
            <w:shd w:val="clear" w:color="auto" w:fill="E5F1FF"/>
            <w:noWrap/>
            <w:vAlign w:val="center"/>
            <w:hideMark/>
          </w:tcPr>
          <w:p w14:paraId="2CC473E9" w14:textId="77777777" w:rsidR="00B57597" w:rsidRPr="00CA56AB" w:rsidRDefault="00B57597" w:rsidP="000C70AB">
            <w:pPr>
              <w:spacing w:after="0"/>
              <w:jc w:val="center"/>
              <w:rPr>
                <w:rFonts w:cs="Calibri"/>
                <w:b/>
                <w:bCs/>
                <w:color w:val="000000"/>
                <w:sz w:val="18"/>
                <w:szCs w:val="18"/>
                <w:lang w:eastAsia="cs-CZ"/>
              </w:rPr>
            </w:pPr>
            <w:r w:rsidRPr="00CA56AB">
              <w:rPr>
                <w:b/>
                <w:bCs/>
                <w:color w:val="000000"/>
                <w:sz w:val="18"/>
                <w:szCs w:val="18"/>
              </w:rPr>
              <w:t>2018</w:t>
            </w:r>
          </w:p>
        </w:tc>
        <w:tc>
          <w:tcPr>
            <w:tcW w:w="843" w:type="pct"/>
            <w:tcBorders>
              <w:top w:val="single" w:sz="4" w:space="0" w:color="auto"/>
              <w:left w:val="nil"/>
              <w:bottom w:val="single" w:sz="4" w:space="0" w:color="auto"/>
              <w:right w:val="single" w:sz="4" w:space="0" w:color="auto"/>
            </w:tcBorders>
            <w:shd w:val="clear" w:color="auto" w:fill="E5F1FF"/>
            <w:noWrap/>
            <w:vAlign w:val="center"/>
            <w:hideMark/>
          </w:tcPr>
          <w:p w14:paraId="079F7B01" w14:textId="77777777" w:rsidR="00B57597" w:rsidRPr="00CA56AB" w:rsidRDefault="00B57597" w:rsidP="000C70AB">
            <w:pPr>
              <w:spacing w:after="0"/>
              <w:jc w:val="center"/>
              <w:rPr>
                <w:rFonts w:cs="Calibri"/>
                <w:b/>
                <w:bCs/>
                <w:color w:val="000000"/>
                <w:sz w:val="18"/>
                <w:szCs w:val="18"/>
                <w:lang w:eastAsia="cs-CZ"/>
              </w:rPr>
            </w:pPr>
            <w:r w:rsidRPr="00CA56AB">
              <w:rPr>
                <w:b/>
                <w:bCs/>
                <w:color w:val="000000"/>
                <w:sz w:val="18"/>
                <w:szCs w:val="18"/>
              </w:rPr>
              <w:t>2019</w:t>
            </w:r>
          </w:p>
        </w:tc>
        <w:tc>
          <w:tcPr>
            <w:tcW w:w="843" w:type="pct"/>
            <w:tcBorders>
              <w:top w:val="single" w:sz="4" w:space="0" w:color="auto"/>
              <w:left w:val="nil"/>
              <w:bottom w:val="single" w:sz="4" w:space="0" w:color="auto"/>
              <w:right w:val="single" w:sz="4" w:space="0" w:color="auto"/>
            </w:tcBorders>
            <w:shd w:val="clear" w:color="auto" w:fill="E5F1FF"/>
            <w:vAlign w:val="center"/>
          </w:tcPr>
          <w:p w14:paraId="0C3E822D" w14:textId="77777777" w:rsidR="00B57597" w:rsidRPr="00CA56AB" w:rsidRDefault="00B57597" w:rsidP="000C70AB">
            <w:pPr>
              <w:spacing w:after="0"/>
              <w:jc w:val="center"/>
              <w:rPr>
                <w:rFonts w:cs="Calibri"/>
                <w:b/>
                <w:bCs/>
                <w:color w:val="000000"/>
                <w:sz w:val="18"/>
                <w:szCs w:val="18"/>
                <w:lang w:eastAsia="cs-CZ"/>
              </w:rPr>
            </w:pPr>
            <w:r w:rsidRPr="00CA56AB">
              <w:rPr>
                <w:b/>
                <w:bCs/>
                <w:color w:val="000000"/>
                <w:sz w:val="18"/>
                <w:szCs w:val="18"/>
              </w:rPr>
              <w:t>2020</w:t>
            </w:r>
          </w:p>
        </w:tc>
      </w:tr>
      <w:tr w:rsidR="00B57597" w:rsidRPr="00CA56AB" w14:paraId="084757A3" w14:textId="77777777" w:rsidTr="00B57597">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12E2E86B" w14:textId="77777777" w:rsidR="00B57597" w:rsidRPr="00CA56AB" w:rsidRDefault="00B57597" w:rsidP="000C70AB">
            <w:pPr>
              <w:spacing w:after="0"/>
              <w:rPr>
                <w:rFonts w:cs="Calibri"/>
                <w:bCs/>
                <w:color w:val="000000"/>
                <w:sz w:val="18"/>
                <w:szCs w:val="18"/>
                <w:lang w:eastAsia="cs-CZ"/>
              </w:rPr>
            </w:pPr>
            <w:r w:rsidRPr="00CA56AB">
              <w:rPr>
                <w:color w:val="000000"/>
                <w:sz w:val="18"/>
                <w:szCs w:val="18"/>
              </w:rPr>
              <w:t>Příjmy celkem</w:t>
            </w:r>
          </w:p>
        </w:tc>
        <w:tc>
          <w:tcPr>
            <w:tcW w:w="845" w:type="pct"/>
            <w:tcBorders>
              <w:top w:val="nil"/>
              <w:left w:val="nil"/>
              <w:bottom w:val="single" w:sz="4" w:space="0" w:color="auto"/>
              <w:right w:val="single" w:sz="4" w:space="0" w:color="auto"/>
            </w:tcBorders>
            <w:shd w:val="clear" w:color="auto" w:fill="auto"/>
            <w:noWrap/>
            <w:vAlign w:val="center"/>
          </w:tcPr>
          <w:p w14:paraId="25FAFDC1" w14:textId="77777777" w:rsidR="00B57597" w:rsidRPr="00CA56AB" w:rsidRDefault="00B57597" w:rsidP="000C70AB">
            <w:pPr>
              <w:spacing w:after="0"/>
              <w:jc w:val="right"/>
              <w:rPr>
                <w:rFonts w:eastAsia="Calibri" w:cs="Calibri"/>
                <w:color w:val="000000"/>
                <w:sz w:val="18"/>
                <w:szCs w:val="18"/>
              </w:rPr>
            </w:pPr>
            <w:r w:rsidRPr="00CA56AB">
              <w:rPr>
                <w:color w:val="000000"/>
                <w:sz w:val="18"/>
                <w:szCs w:val="18"/>
              </w:rPr>
              <w:t>11 220 720 400,72</w:t>
            </w:r>
          </w:p>
        </w:tc>
        <w:tc>
          <w:tcPr>
            <w:tcW w:w="845" w:type="pct"/>
            <w:tcBorders>
              <w:top w:val="nil"/>
              <w:left w:val="nil"/>
              <w:bottom w:val="single" w:sz="4" w:space="0" w:color="auto"/>
              <w:right w:val="single" w:sz="4" w:space="0" w:color="auto"/>
            </w:tcBorders>
            <w:shd w:val="clear" w:color="auto" w:fill="auto"/>
            <w:noWrap/>
            <w:vAlign w:val="center"/>
          </w:tcPr>
          <w:p w14:paraId="28E5A763" w14:textId="77777777" w:rsidR="00B57597" w:rsidRPr="00CA56AB" w:rsidRDefault="00B57597" w:rsidP="000C70AB">
            <w:pPr>
              <w:spacing w:after="0"/>
              <w:jc w:val="right"/>
              <w:rPr>
                <w:rFonts w:eastAsia="Calibri" w:cs="Calibri"/>
                <w:color w:val="000000"/>
                <w:sz w:val="18"/>
                <w:szCs w:val="18"/>
              </w:rPr>
            </w:pPr>
            <w:r w:rsidRPr="00CA56AB">
              <w:rPr>
                <w:color w:val="000000"/>
                <w:sz w:val="18"/>
                <w:szCs w:val="18"/>
              </w:rPr>
              <w:t>8 251 911 947,16</w:t>
            </w:r>
          </w:p>
        </w:tc>
        <w:tc>
          <w:tcPr>
            <w:tcW w:w="845" w:type="pct"/>
            <w:tcBorders>
              <w:top w:val="nil"/>
              <w:left w:val="nil"/>
              <w:bottom w:val="single" w:sz="4" w:space="0" w:color="auto"/>
              <w:right w:val="single" w:sz="4" w:space="0" w:color="auto"/>
            </w:tcBorders>
            <w:shd w:val="clear" w:color="auto" w:fill="auto"/>
            <w:noWrap/>
            <w:vAlign w:val="center"/>
          </w:tcPr>
          <w:p w14:paraId="0D534561" w14:textId="77777777" w:rsidR="00B57597" w:rsidRPr="00CA56AB" w:rsidRDefault="00B57597" w:rsidP="000C70AB">
            <w:pPr>
              <w:spacing w:after="0"/>
              <w:jc w:val="right"/>
              <w:rPr>
                <w:rFonts w:eastAsia="Calibri" w:cs="Calibri"/>
                <w:color w:val="000000"/>
                <w:sz w:val="18"/>
                <w:szCs w:val="18"/>
              </w:rPr>
            </w:pPr>
            <w:r w:rsidRPr="00CA56AB">
              <w:rPr>
                <w:color w:val="000000"/>
                <w:sz w:val="18"/>
                <w:szCs w:val="18"/>
              </w:rPr>
              <w:t>7 631 491 652,58</w:t>
            </w:r>
          </w:p>
        </w:tc>
        <w:tc>
          <w:tcPr>
            <w:tcW w:w="843" w:type="pct"/>
            <w:tcBorders>
              <w:top w:val="nil"/>
              <w:left w:val="nil"/>
              <w:bottom w:val="single" w:sz="4" w:space="0" w:color="auto"/>
              <w:right w:val="single" w:sz="4" w:space="0" w:color="auto"/>
            </w:tcBorders>
            <w:shd w:val="clear" w:color="auto" w:fill="auto"/>
            <w:noWrap/>
            <w:vAlign w:val="center"/>
          </w:tcPr>
          <w:p w14:paraId="4E99477F" w14:textId="77777777" w:rsidR="00B57597" w:rsidRPr="00CA56AB" w:rsidRDefault="00B57597" w:rsidP="000C70AB">
            <w:pPr>
              <w:spacing w:after="0"/>
              <w:jc w:val="right"/>
              <w:rPr>
                <w:rFonts w:eastAsia="Calibri" w:cs="Calibri"/>
                <w:color w:val="000000"/>
                <w:sz w:val="18"/>
                <w:szCs w:val="18"/>
              </w:rPr>
            </w:pPr>
            <w:r w:rsidRPr="00CA56AB">
              <w:rPr>
                <w:color w:val="000000"/>
                <w:sz w:val="18"/>
                <w:szCs w:val="18"/>
              </w:rPr>
              <w:t>20 553 597 117,74</w:t>
            </w:r>
          </w:p>
        </w:tc>
        <w:tc>
          <w:tcPr>
            <w:tcW w:w="843" w:type="pct"/>
            <w:tcBorders>
              <w:top w:val="nil"/>
              <w:left w:val="nil"/>
              <w:bottom w:val="single" w:sz="4" w:space="0" w:color="auto"/>
              <w:right w:val="single" w:sz="4" w:space="0" w:color="auto"/>
            </w:tcBorders>
            <w:vAlign w:val="center"/>
          </w:tcPr>
          <w:p w14:paraId="6958A1E2" w14:textId="77777777" w:rsidR="00B57597" w:rsidRPr="00CA56AB" w:rsidRDefault="00B57597" w:rsidP="000C70AB">
            <w:pPr>
              <w:spacing w:after="0"/>
              <w:jc w:val="right"/>
              <w:rPr>
                <w:rFonts w:eastAsia="Calibri" w:cs="Calibri"/>
                <w:color w:val="000000"/>
                <w:sz w:val="18"/>
                <w:szCs w:val="18"/>
              </w:rPr>
            </w:pPr>
            <w:r w:rsidRPr="00CA56AB">
              <w:rPr>
                <w:color w:val="000000"/>
                <w:sz w:val="18"/>
                <w:szCs w:val="18"/>
              </w:rPr>
              <w:t>25 783 422 417,90</w:t>
            </w:r>
          </w:p>
        </w:tc>
      </w:tr>
      <w:tr w:rsidR="00B57597" w:rsidRPr="00CA56AB" w14:paraId="53F7A392" w14:textId="77777777" w:rsidTr="00B57597">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33F9B759" w14:textId="77777777" w:rsidR="00B57597" w:rsidRPr="00CA56AB" w:rsidRDefault="00B57597" w:rsidP="000C70AB">
            <w:pPr>
              <w:spacing w:after="0"/>
              <w:rPr>
                <w:rFonts w:cs="Calibri"/>
                <w:bCs/>
                <w:color w:val="000000"/>
                <w:sz w:val="18"/>
                <w:szCs w:val="18"/>
                <w:lang w:eastAsia="cs-CZ"/>
              </w:rPr>
            </w:pPr>
            <w:r w:rsidRPr="00CA56AB">
              <w:rPr>
                <w:color w:val="000000"/>
                <w:sz w:val="18"/>
                <w:szCs w:val="18"/>
              </w:rPr>
              <w:t>Výdaje celkem</w:t>
            </w:r>
          </w:p>
        </w:tc>
        <w:tc>
          <w:tcPr>
            <w:tcW w:w="845" w:type="pct"/>
            <w:tcBorders>
              <w:top w:val="nil"/>
              <w:left w:val="nil"/>
              <w:bottom w:val="single" w:sz="4" w:space="0" w:color="auto"/>
              <w:right w:val="single" w:sz="4" w:space="0" w:color="auto"/>
            </w:tcBorders>
            <w:shd w:val="clear" w:color="auto" w:fill="auto"/>
            <w:noWrap/>
            <w:vAlign w:val="center"/>
          </w:tcPr>
          <w:p w14:paraId="0DFB8E7A" w14:textId="77777777" w:rsidR="00B57597" w:rsidRPr="00CA56AB" w:rsidRDefault="00B57597" w:rsidP="000C70AB">
            <w:pPr>
              <w:spacing w:after="0"/>
              <w:jc w:val="right"/>
              <w:rPr>
                <w:rFonts w:eastAsia="Calibri" w:cs="Calibri"/>
                <w:color w:val="000000"/>
                <w:sz w:val="18"/>
                <w:szCs w:val="18"/>
              </w:rPr>
            </w:pPr>
            <w:r w:rsidRPr="00CA56AB">
              <w:rPr>
                <w:color w:val="000000"/>
                <w:sz w:val="18"/>
                <w:szCs w:val="18"/>
              </w:rPr>
              <w:t>27 735 040 663,39</w:t>
            </w:r>
          </w:p>
        </w:tc>
        <w:tc>
          <w:tcPr>
            <w:tcW w:w="845" w:type="pct"/>
            <w:tcBorders>
              <w:top w:val="nil"/>
              <w:left w:val="nil"/>
              <w:bottom w:val="single" w:sz="4" w:space="0" w:color="auto"/>
              <w:right w:val="single" w:sz="4" w:space="0" w:color="auto"/>
            </w:tcBorders>
            <w:shd w:val="clear" w:color="auto" w:fill="auto"/>
            <w:noWrap/>
            <w:vAlign w:val="center"/>
          </w:tcPr>
          <w:p w14:paraId="06959A31" w14:textId="77777777" w:rsidR="00B57597" w:rsidRPr="00CA56AB" w:rsidRDefault="00B57597" w:rsidP="000C70AB">
            <w:pPr>
              <w:spacing w:after="0"/>
              <w:jc w:val="right"/>
              <w:rPr>
                <w:rFonts w:eastAsia="Calibri" w:cs="Calibri"/>
                <w:color w:val="000000"/>
                <w:sz w:val="18"/>
                <w:szCs w:val="18"/>
              </w:rPr>
            </w:pPr>
            <w:r w:rsidRPr="00CA56AB">
              <w:rPr>
                <w:color w:val="000000"/>
                <w:sz w:val="18"/>
                <w:szCs w:val="18"/>
              </w:rPr>
              <w:t>40 668 626 010,17</w:t>
            </w:r>
          </w:p>
        </w:tc>
        <w:tc>
          <w:tcPr>
            <w:tcW w:w="845" w:type="pct"/>
            <w:tcBorders>
              <w:top w:val="nil"/>
              <w:left w:val="nil"/>
              <w:bottom w:val="single" w:sz="4" w:space="0" w:color="auto"/>
              <w:right w:val="single" w:sz="4" w:space="0" w:color="auto"/>
            </w:tcBorders>
            <w:shd w:val="clear" w:color="auto" w:fill="auto"/>
            <w:noWrap/>
            <w:vAlign w:val="center"/>
          </w:tcPr>
          <w:p w14:paraId="3449024C" w14:textId="77777777" w:rsidR="00B57597" w:rsidRPr="00CA56AB" w:rsidRDefault="00B57597" w:rsidP="000C70AB">
            <w:pPr>
              <w:spacing w:after="0"/>
              <w:jc w:val="right"/>
              <w:rPr>
                <w:rFonts w:eastAsia="Calibri" w:cs="Calibri"/>
                <w:color w:val="000000"/>
                <w:sz w:val="18"/>
                <w:szCs w:val="18"/>
              </w:rPr>
            </w:pPr>
            <w:r w:rsidRPr="00CA56AB">
              <w:rPr>
                <w:color w:val="000000"/>
                <w:sz w:val="18"/>
                <w:szCs w:val="18"/>
              </w:rPr>
              <w:t>45 387 949 250,63</w:t>
            </w:r>
          </w:p>
        </w:tc>
        <w:tc>
          <w:tcPr>
            <w:tcW w:w="843" w:type="pct"/>
            <w:tcBorders>
              <w:top w:val="nil"/>
              <w:left w:val="nil"/>
              <w:bottom w:val="single" w:sz="4" w:space="0" w:color="auto"/>
              <w:right w:val="single" w:sz="4" w:space="0" w:color="auto"/>
            </w:tcBorders>
            <w:shd w:val="clear" w:color="auto" w:fill="auto"/>
            <w:noWrap/>
            <w:vAlign w:val="center"/>
          </w:tcPr>
          <w:p w14:paraId="6FE9F5CC" w14:textId="77777777" w:rsidR="00B57597" w:rsidRPr="00CA56AB" w:rsidRDefault="00B57597" w:rsidP="000C70AB">
            <w:pPr>
              <w:spacing w:after="0"/>
              <w:jc w:val="right"/>
              <w:rPr>
                <w:rFonts w:eastAsia="Calibri" w:cs="Calibri"/>
                <w:color w:val="000000"/>
                <w:sz w:val="18"/>
                <w:szCs w:val="18"/>
              </w:rPr>
            </w:pPr>
            <w:r w:rsidRPr="00CA56AB">
              <w:rPr>
                <w:color w:val="000000"/>
                <w:sz w:val="18"/>
                <w:szCs w:val="18"/>
              </w:rPr>
              <w:t>47 649 101 069,25</w:t>
            </w:r>
          </w:p>
        </w:tc>
        <w:tc>
          <w:tcPr>
            <w:tcW w:w="843" w:type="pct"/>
            <w:tcBorders>
              <w:top w:val="nil"/>
              <w:left w:val="nil"/>
              <w:bottom w:val="single" w:sz="4" w:space="0" w:color="auto"/>
              <w:right w:val="single" w:sz="4" w:space="0" w:color="auto"/>
            </w:tcBorders>
            <w:vAlign w:val="center"/>
          </w:tcPr>
          <w:p w14:paraId="7D878B4A" w14:textId="77777777" w:rsidR="00B57597" w:rsidRPr="00CA56AB" w:rsidRDefault="00B57597" w:rsidP="000C70AB">
            <w:pPr>
              <w:spacing w:after="0"/>
              <w:jc w:val="right"/>
              <w:rPr>
                <w:rFonts w:eastAsia="Calibri" w:cs="Calibri"/>
                <w:color w:val="000000"/>
                <w:sz w:val="18"/>
                <w:szCs w:val="18"/>
              </w:rPr>
            </w:pPr>
            <w:r w:rsidRPr="00CA56AB">
              <w:rPr>
                <w:color w:val="000000"/>
                <w:sz w:val="18"/>
                <w:szCs w:val="18"/>
              </w:rPr>
              <w:t>60 904 644 446,39</w:t>
            </w:r>
          </w:p>
        </w:tc>
      </w:tr>
    </w:tbl>
    <w:p w14:paraId="5E4B0475" w14:textId="77777777" w:rsidR="00B57597" w:rsidRPr="00CF36BE" w:rsidRDefault="00B57597" w:rsidP="00B57597">
      <w:pPr>
        <w:spacing w:before="40"/>
        <w:rPr>
          <w:rFonts w:cs="Calibri"/>
          <w:color w:val="000000"/>
          <w:sz w:val="20"/>
          <w:szCs w:val="20"/>
          <w:lang w:eastAsia="cs-CZ"/>
        </w:rPr>
      </w:pPr>
      <w:r w:rsidRPr="00CF36BE">
        <w:rPr>
          <w:rFonts w:cs="Calibri"/>
          <w:b/>
          <w:color w:val="000000"/>
          <w:sz w:val="20"/>
          <w:szCs w:val="20"/>
          <w:lang w:eastAsia="cs-CZ"/>
        </w:rPr>
        <w:t xml:space="preserve">Zdroj: </w:t>
      </w:r>
      <w:r w:rsidRPr="00CF36BE">
        <w:rPr>
          <w:rFonts w:cs="Calibri"/>
          <w:color w:val="000000"/>
          <w:sz w:val="20"/>
          <w:szCs w:val="20"/>
          <w:lang w:eastAsia="cs-CZ"/>
        </w:rPr>
        <w:t>informační portál MONITOR.</w:t>
      </w:r>
    </w:p>
    <w:p w14:paraId="54FC6F5B" w14:textId="4BFB5FC1" w:rsidR="00B57597" w:rsidRPr="000A2AD8" w:rsidRDefault="00B57597" w:rsidP="00B57597">
      <w:pPr>
        <w:pStyle w:val="Titulek1"/>
        <w:rPr>
          <w:sz w:val="24"/>
        </w:rPr>
      </w:pPr>
      <w:bookmarkStart w:id="55" w:name="_Toc8984531"/>
      <w:bookmarkStart w:id="56" w:name="_Toc72157472"/>
      <w:r w:rsidRPr="000A2AD8">
        <w:rPr>
          <w:sz w:val="24"/>
        </w:rPr>
        <w:t xml:space="preserve">Tabulka č. </w:t>
      </w:r>
      <w:r w:rsidR="001529C4" w:rsidRPr="000A2AD8">
        <w:rPr>
          <w:sz w:val="24"/>
        </w:rPr>
        <w:fldChar w:fldCharType="begin"/>
      </w:r>
      <w:r w:rsidR="001529C4" w:rsidRPr="000A2AD8">
        <w:rPr>
          <w:sz w:val="24"/>
        </w:rPr>
        <w:instrText xml:space="preserve"> SEQ Tabulka \* ARABIC </w:instrText>
      </w:r>
      <w:r w:rsidR="001529C4" w:rsidRPr="000A2AD8">
        <w:rPr>
          <w:sz w:val="24"/>
        </w:rPr>
        <w:fldChar w:fldCharType="separate"/>
      </w:r>
      <w:r w:rsidR="00E544AA">
        <w:rPr>
          <w:noProof/>
          <w:sz w:val="24"/>
        </w:rPr>
        <w:t>15</w:t>
      </w:r>
      <w:r w:rsidR="001529C4" w:rsidRPr="000A2AD8">
        <w:rPr>
          <w:noProof/>
          <w:sz w:val="24"/>
        </w:rPr>
        <w:fldChar w:fldCharType="end"/>
      </w:r>
      <w:r w:rsidRPr="000A2AD8">
        <w:rPr>
          <w:sz w:val="24"/>
        </w:rPr>
        <w:t>: Tempo růstu příjmů a výdajů OSS v rozpočtové kapitole 322 vč. M</w:t>
      </w:r>
      <w:bookmarkEnd w:id="55"/>
      <w:r w:rsidRPr="000A2AD8">
        <w:rPr>
          <w:sz w:val="24"/>
        </w:rPr>
        <w:t>PO</w:t>
      </w:r>
      <w:bookmarkEnd w:id="56"/>
    </w:p>
    <w:tbl>
      <w:tblPr>
        <w:tblW w:w="9073" w:type="dxa"/>
        <w:tblLayout w:type="fixed"/>
        <w:tblCellMar>
          <w:left w:w="70" w:type="dxa"/>
          <w:right w:w="70" w:type="dxa"/>
        </w:tblCellMar>
        <w:tblLook w:val="04A0" w:firstRow="1" w:lastRow="0" w:firstColumn="1" w:lastColumn="0" w:noHBand="0" w:noVBand="1"/>
      </w:tblPr>
      <w:tblGrid>
        <w:gridCol w:w="2835"/>
        <w:gridCol w:w="1559"/>
        <w:gridCol w:w="1559"/>
        <w:gridCol w:w="1560"/>
        <w:gridCol w:w="1560"/>
      </w:tblGrid>
      <w:tr w:rsidR="00B57597" w:rsidRPr="00CA56AB" w14:paraId="5A13ED9D" w14:textId="77777777" w:rsidTr="00776507">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7348D1C5" w14:textId="77777777" w:rsidR="00B57597" w:rsidRPr="00CA56AB" w:rsidRDefault="00B57597" w:rsidP="000A2AD8">
            <w:pPr>
              <w:spacing w:after="0"/>
              <w:rPr>
                <w:rFonts w:cs="Calibri"/>
                <w:b/>
                <w:bCs/>
                <w:color w:val="000000"/>
                <w:sz w:val="18"/>
                <w:szCs w:val="18"/>
                <w:lang w:eastAsia="cs-CZ"/>
              </w:rPr>
            </w:pPr>
            <w:r w:rsidRPr="00CA56AB">
              <w:rPr>
                <w:b/>
                <w:bCs/>
                <w:color w:val="000000"/>
                <w:sz w:val="18"/>
                <w:szCs w:val="18"/>
              </w:rPr>
              <w:t>Tempo růstu (absolutní změna)</w:t>
            </w:r>
          </w:p>
        </w:tc>
        <w:tc>
          <w:tcPr>
            <w:tcW w:w="1559" w:type="dxa"/>
            <w:tcBorders>
              <w:top w:val="single" w:sz="4" w:space="0" w:color="auto"/>
              <w:left w:val="nil"/>
              <w:bottom w:val="single" w:sz="4" w:space="0" w:color="auto"/>
              <w:right w:val="single" w:sz="4" w:space="0" w:color="auto"/>
            </w:tcBorders>
            <w:shd w:val="clear" w:color="auto" w:fill="E5F1FF"/>
            <w:noWrap/>
            <w:vAlign w:val="center"/>
            <w:hideMark/>
          </w:tcPr>
          <w:p w14:paraId="4BA458FE" w14:textId="4210D726" w:rsidR="00B57597" w:rsidRPr="00CA56AB" w:rsidRDefault="00B57597" w:rsidP="000A2AD8">
            <w:pPr>
              <w:spacing w:after="0"/>
              <w:jc w:val="center"/>
              <w:rPr>
                <w:rFonts w:cs="Calibri"/>
                <w:b/>
                <w:bCs/>
                <w:color w:val="000000"/>
                <w:sz w:val="18"/>
                <w:szCs w:val="18"/>
                <w:lang w:eastAsia="cs-CZ"/>
              </w:rPr>
            </w:pPr>
            <w:r w:rsidRPr="00CA56AB">
              <w:rPr>
                <w:b/>
                <w:bCs/>
                <w:color w:val="000000"/>
                <w:sz w:val="18"/>
                <w:szCs w:val="18"/>
              </w:rPr>
              <w:t>2017</w:t>
            </w:r>
            <w:r w:rsidR="002844FF">
              <w:rPr>
                <w:b/>
                <w:bCs/>
                <w:color w:val="000000"/>
                <w:sz w:val="18"/>
                <w:szCs w:val="18"/>
              </w:rPr>
              <w:t>–</w:t>
            </w:r>
            <w:r w:rsidRPr="00CA56AB">
              <w:rPr>
                <w:b/>
                <w:bCs/>
                <w:color w:val="000000"/>
                <w:sz w:val="18"/>
                <w:szCs w:val="18"/>
              </w:rPr>
              <w:t>2016</w:t>
            </w:r>
          </w:p>
        </w:tc>
        <w:tc>
          <w:tcPr>
            <w:tcW w:w="1559" w:type="dxa"/>
            <w:tcBorders>
              <w:top w:val="single" w:sz="4" w:space="0" w:color="auto"/>
              <w:left w:val="nil"/>
              <w:bottom w:val="single" w:sz="4" w:space="0" w:color="auto"/>
              <w:right w:val="single" w:sz="4" w:space="0" w:color="auto"/>
            </w:tcBorders>
            <w:shd w:val="clear" w:color="auto" w:fill="E5F1FF"/>
            <w:noWrap/>
            <w:vAlign w:val="center"/>
            <w:hideMark/>
          </w:tcPr>
          <w:p w14:paraId="7AF6EDCC" w14:textId="1B1AB21C" w:rsidR="00B57597" w:rsidRPr="00CA56AB" w:rsidRDefault="00B57597" w:rsidP="000A2AD8">
            <w:pPr>
              <w:spacing w:after="0"/>
              <w:jc w:val="center"/>
              <w:rPr>
                <w:rFonts w:cs="Calibri"/>
                <w:b/>
                <w:bCs/>
                <w:color w:val="000000"/>
                <w:sz w:val="18"/>
                <w:szCs w:val="18"/>
                <w:lang w:eastAsia="cs-CZ"/>
              </w:rPr>
            </w:pPr>
            <w:r w:rsidRPr="00CA56AB">
              <w:rPr>
                <w:b/>
                <w:bCs/>
                <w:color w:val="000000"/>
                <w:sz w:val="18"/>
                <w:szCs w:val="18"/>
              </w:rPr>
              <w:t>2018</w:t>
            </w:r>
            <w:r w:rsidR="002844FF">
              <w:rPr>
                <w:b/>
                <w:bCs/>
                <w:color w:val="000000"/>
                <w:sz w:val="18"/>
                <w:szCs w:val="18"/>
              </w:rPr>
              <w:t>–</w:t>
            </w:r>
            <w:r w:rsidRPr="00CA56AB">
              <w:rPr>
                <w:b/>
                <w:bCs/>
                <w:color w:val="000000"/>
                <w:sz w:val="18"/>
                <w:szCs w:val="18"/>
              </w:rPr>
              <w:t>2017</w:t>
            </w:r>
          </w:p>
        </w:tc>
        <w:tc>
          <w:tcPr>
            <w:tcW w:w="1560" w:type="dxa"/>
            <w:tcBorders>
              <w:top w:val="single" w:sz="4" w:space="0" w:color="auto"/>
              <w:left w:val="nil"/>
              <w:bottom w:val="single" w:sz="4" w:space="0" w:color="auto"/>
              <w:right w:val="single" w:sz="4" w:space="0" w:color="auto"/>
            </w:tcBorders>
            <w:shd w:val="clear" w:color="auto" w:fill="E5F1FF"/>
            <w:noWrap/>
            <w:vAlign w:val="center"/>
            <w:hideMark/>
          </w:tcPr>
          <w:p w14:paraId="6E0DB008" w14:textId="6A2FA5D3" w:rsidR="00B57597" w:rsidRPr="00CA56AB" w:rsidRDefault="00B57597" w:rsidP="000A2AD8">
            <w:pPr>
              <w:spacing w:after="0"/>
              <w:jc w:val="center"/>
              <w:rPr>
                <w:rFonts w:cs="Calibri"/>
                <w:b/>
                <w:bCs/>
                <w:color w:val="000000"/>
                <w:sz w:val="18"/>
                <w:szCs w:val="18"/>
                <w:lang w:eastAsia="cs-CZ"/>
              </w:rPr>
            </w:pPr>
            <w:r w:rsidRPr="00CA56AB">
              <w:rPr>
                <w:b/>
                <w:bCs/>
                <w:color w:val="000000"/>
                <w:sz w:val="18"/>
                <w:szCs w:val="18"/>
              </w:rPr>
              <w:t>2019</w:t>
            </w:r>
            <w:r w:rsidR="002844FF">
              <w:rPr>
                <w:b/>
                <w:bCs/>
                <w:color w:val="000000"/>
                <w:sz w:val="18"/>
                <w:szCs w:val="18"/>
              </w:rPr>
              <w:t>–</w:t>
            </w:r>
            <w:r w:rsidRPr="00CA56AB">
              <w:rPr>
                <w:b/>
                <w:bCs/>
                <w:color w:val="000000"/>
                <w:sz w:val="18"/>
                <w:szCs w:val="18"/>
              </w:rPr>
              <w:t>2018</w:t>
            </w:r>
          </w:p>
        </w:tc>
        <w:tc>
          <w:tcPr>
            <w:tcW w:w="1560" w:type="dxa"/>
            <w:tcBorders>
              <w:top w:val="single" w:sz="4" w:space="0" w:color="auto"/>
              <w:left w:val="nil"/>
              <w:bottom w:val="single" w:sz="4" w:space="0" w:color="auto"/>
              <w:right w:val="single" w:sz="4" w:space="0" w:color="auto"/>
            </w:tcBorders>
            <w:shd w:val="clear" w:color="auto" w:fill="E5F1FF"/>
            <w:vAlign w:val="center"/>
          </w:tcPr>
          <w:p w14:paraId="1E2705BD" w14:textId="40F97EB2" w:rsidR="00B57597" w:rsidRPr="00CA56AB" w:rsidRDefault="00B57597" w:rsidP="000A2AD8">
            <w:pPr>
              <w:spacing w:after="0"/>
              <w:jc w:val="center"/>
              <w:rPr>
                <w:rFonts w:cs="Calibri"/>
                <w:b/>
                <w:bCs/>
                <w:color w:val="000000"/>
                <w:sz w:val="18"/>
                <w:szCs w:val="18"/>
                <w:lang w:eastAsia="cs-CZ"/>
              </w:rPr>
            </w:pPr>
            <w:r w:rsidRPr="00CA56AB">
              <w:rPr>
                <w:b/>
                <w:bCs/>
                <w:color w:val="000000"/>
                <w:sz w:val="18"/>
                <w:szCs w:val="18"/>
              </w:rPr>
              <w:t>2020</w:t>
            </w:r>
            <w:r w:rsidR="002844FF">
              <w:rPr>
                <w:b/>
                <w:bCs/>
                <w:color w:val="000000"/>
                <w:sz w:val="18"/>
                <w:szCs w:val="18"/>
              </w:rPr>
              <w:t>–</w:t>
            </w:r>
            <w:r w:rsidRPr="00CA56AB">
              <w:rPr>
                <w:b/>
                <w:bCs/>
                <w:color w:val="000000"/>
                <w:sz w:val="18"/>
                <w:szCs w:val="18"/>
              </w:rPr>
              <w:t>2019</w:t>
            </w:r>
          </w:p>
        </w:tc>
      </w:tr>
      <w:tr w:rsidR="00B57597" w:rsidRPr="00CA56AB" w14:paraId="7C1288DE" w14:textId="77777777" w:rsidTr="00776507">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F8497" w14:textId="77777777" w:rsidR="00B57597" w:rsidRPr="00CA56AB" w:rsidRDefault="00B57597" w:rsidP="000A2AD8">
            <w:pPr>
              <w:spacing w:after="0"/>
              <w:rPr>
                <w:rFonts w:cs="Calibri"/>
                <w:bCs/>
                <w:color w:val="000000"/>
                <w:sz w:val="18"/>
                <w:szCs w:val="18"/>
                <w:lang w:eastAsia="cs-CZ"/>
              </w:rPr>
            </w:pPr>
            <w:r w:rsidRPr="00CA56AB">
              <w:rPr>
                <w:color w:val="000000"/>
                <w:sz w:val="18"/>
                <w:szCs w:val="18"/>
              </w:rPr>
              <w:t>Příjmy (v Kč)</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1DE658E" w14:textId="3E7E53D9" w:rsidR="00B57597" w:rsidRPr="00CA56AB" w:rsidRDefault="002844FF" w:rsidP="000A2AD8">
            <w:pPr>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2 968 808 453,56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EAC41C" w14:textId="0F6375DD" w:rsidR="00B57597" w:rsidRPr="00CA56AB" w:rsidRDefault="002844FF" w:rsidP="000A2AD8">
            <w:pPr>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620 420 294,58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87269F9" w14:textId="77777777" w:rsidR="00B57597" w:rsidRPr="00CA56AB" w:rsidRDefault="00B57597" w:rsidP="000A2AD8">
            <w:pPr>
              <w:spacing w:after="0"/>
              <w:jc w:val="right"/>
              <w:rPr>
                <w:rFonts w:eastAsia="Calibri" w:cs="Calibri"/>
                <w:color w:val="000000"/>
                <w:sz w:val="18"/>
                <w:szCs w:val="18"/>
              </w:rPr>
            </w:pPr>
            <w:r w:rsidRPr="00CA56AB">
              <w:rPr>
                <w:color w:val="000000"/>
                <w:sz w:val="18"/>
                <w:szCs w:val="18"/>
              </w:rPr>
              <w:t>12 922 105 465,16</w:t>
            </w:r>
          </w:p>
        </w:tc>
        <w:tc>
          <w:tcPr>
            <w:tcW w:w="1560" w:type="dxa"/>
            <w:tcBorders>
              <w:top w:val="single" w:sz="4" w:space="0" w:color="auto"/>
              <w:left w:val="nil"/>
              <w:bottom w:val="single" w:sz="4" w:space="0" w:color="auto"/>
              <w:right w:val="single" w:sz="4" w:space="0" w:color="auto"/>
            </w:tcBorders>
            <w:vAlign w:val="center"/>
          </w:tcPr>
          <w:p w14:paraId="48583C6A" w14:textId="77777777" w:rsidR="00B57597" w:rsidRPr="00CA56AB" w:rsidRDefault="00B57597" w:rsidP="000A2AD8">
            <w:pPr>
              <w:spacing w:after="0"/>
              <w:jc w:val="right"/>
              <w:rPr>
                <w:rFonts w:eastAsia="Calibri" w:cs="Calibri"/>
                <w:color w:val="000000"/>
                <w:sz w:val="18"/>
                <w:szCs w:val="18"/>
              </w:rPr>
            </w:pPr>
            <w:r w:rsidRPr="00CA56AB">
              <w:rPr>
                <w:color w:val="000000"/>
                <w:sz w:val="18"/>
                <w:szCs w:val="18"/>
              </w:rPr>
              <w:t>5 229 825 300,16</w:t>
            </w:r>
          </w:p>
        </w:tc>
      </w:tr>
      <w:tr w:rsidR="00B57597" w:rsidRPr="00CA56AB" w14:paraId="02261198" w14:textId="77777777" w:rsidTr="00776507">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9AF19" w14:textId="77777777" w:rsidR="00B57597" w:rsidRPr="00CA56AB" w:rsidRDefault="00B57597" w:rsidP="000A2AD8">
            <w:pPr>
              <w:spacing w:after="0"/>
              <w:rPr>
                <w:rFonts w:cs="Calibri"/>
                <w:bCs/>
                <w:color w:val="000000"/>
                <w:sz w:val="18"/>
                <w:szCs w:val="18"/>
                <w:lang w:eastAsia="cs-CZ"/>
              </w:rPr>
            </w:pPr>
            <w:r w:rsidRPr="00CA56AB">
              <w:rPr>
                <w:color w:val="000000"/>
                <w:sz w:val="18"/>
                <w:szCs w:val="18"/>
              </w:rPr>
              <w:t>Výdaje (v Kč)</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A5F350F" w14:textId="77777777" w:rsidR="00B57597" w:rsidRPr="00CA56AB" w:rsidRDefault="00B57597" w:rsidP="000A2AD8">
            <w:pPr>
              <w:spacing w:after="0"/>
              <w:jc w:val="right"/>
              <w:rPr>
                <w:rFonts w:eastAsia="Calibri" w:cs="Calibri"/>
                <w:color w:val="000000"/>
                <w:sz w:val="18"/>
                <w:szCs w:val="18"/>
              </w:rPr>
            </w:pPr>
            <w:r w:rsidRPr="00CA56AB">
              <w:rPr>
                <w:color w:val="000000"/>
                <w:sz w:val="18"/>
                <w:szCs w:val="18"/>
              </w:rPr>
              <w:t>12 933 585 346,78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1837EB4" w14:textId="77777777" w:rsidR="00B57597" w:rsidRPr="00CA56AB" w:rsidRDefault="00B57597" w:rsidP="000A2AD8">
            <w:pPr>
              <w:spacing w:after="0"/>
              <w:jc w:val="right"/>
              <w:rPr>
                <w:rFonts w:eastAsia="Calibri" w:cs="Calibri"/>
                <w:color w:val="000000"/>
                <w:sz w:val="18"/>
                <w:szCs w:val="18"/>
              </w:rPr>
            </w:pPr>
            <w:r w:rsidRPr="00CA56AB">
              <w:rPr>
                <w:color w:val="000000"/>
                <w:sz w:val="18"/>
                <w:szCs w:val="18"/>
              </w:rPr>
              <w:t>4 719 323 240,46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CA09BB5" w14:textId="77777777" w:rsidR="00B57597" w:rsidRPr="00CA56AB" w:rsidRDefault="00B57597" w:rsidP="000A2AD8">
            <w:pPr>
              <w:spacing w:after="0"/>
              <w:jc w:val="right"/>
              <w:rPr>
                <w:rFonts w:eastAsia="Calibri" w:cs="Calibri"/>
                <w:color w:val="000000"/>
                <w:sz w:val="18"/>
                <w:szCs w:val="18"/>
              </w:rPr>
            </w:pPr>
            <w:r w:rsidRPr="00CA56AB">
              <w:rPr>
                <w:color w:val="000000"/>
                <w:sz w:val="18"/>
                <w:szCs w:val="18"/>
              </w:rPr>
              <w:t>2 261 151 818,62</w:t>
            </w:r>
          </w:p>
        </w:tc>
        <w:tc>
          <w:tcPr>
            <w:tcW w:w="1560" w:type="dxa"/>
            <w:tcBorders>
              <w:top w:val="single" w:sz="4" w:space="0" w:color="auto"/>
              <w:left w:val="nil"/>
              <w:bottom w:val="single" w:sz="4" w:space="0" w:color="auto"/>
              <w:right w:val="single" w:sz="4" w:space="0" w:color="auto"/>
            </w:tcBorders>
            <w:vAlign w:val="center"/>
          </w:tcPr>
          <w:p w14:paraId="088219D7" w14:textId="77777777" w:rsidR="00B57597" w:rsidRPr="00CA56AB" w:rsidRDefault="00B57597" w:rsidP="000A2AD8">
            <w:pPr>
              <w:spacing w:after="0"/>
              <w:jc w:val="right"/>
              <w:rPr>
                <w:rFonts w:eastAsia="Calibri" w:cs="Calibri"/>
                <w:color w:val="000000"/>
                <w:sz w:val="18"/>
                <w:szCs w:val="18"/>
              </w:rPr>
            </w:pPr>
            <w:r w:rsidRPr="00CA56AB">
              <w:rPr>
                <w:color w:val="000000"/>
                <w:sz w:val="18"/>
                <w:szCs w:val="18"/>
              </w:rPr>
              <w:t>13 255 543 377,14</w:t>
            </w:r>
          </w:p>
        </w:tc>
      </w:tr>
      <w:tr w:rsidR="00B57597" w:rsidRPr="00CA56AB" w14:paraId="20B66B42" w14:textId="77777777" w:rsidTr="00776507">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E5F1FF"/>
            <w:noWrap/>
            <w:vAlign w:val="center"/>
          </w:tcPr>
          <w:p w14:paraId="097DA873" w14:textId="75AD6471" w:rsidR="00B57597" w:rsidRPr="00CA56AB" w:rsidRDefault="00B57597" w:rsidP="000A2AD8">
            <w:pPr>
              <w:spacing w:after="0"/>
              <w:rPr>
                <w:rFonts w:cs="Calibri"/>
                <w:b/>
                <w:bCs/>
                <w:color w:val="000000"/>
                <w:sz w:val="18"/>
                <w:szCs w:val="18"/>
                <w:lang w:eastAsia="cs-CZ"/>
              </w:rPr>
            </w:pPr>
            <w:r w:rsidRPr="00CA56AB">
              <w:rPr>
                <w:b/>
                <w:bCs/>
                <w:color w:val="000000"/>
                <w:sz w:val="18"/>
                <w:szCs w:val="18"/>
              </w:rPr>
              <w:t>Tempo růstu v % (relativní změna) (((x+1)</w:t>
            </w:r>
            <w:r w:rsidR="002844FF">
              <w:rPr>
                <w:rFonts w:cs="Calibri"/>
                <w:b/>
                <w:bCs/>
                <w:color w:val="000000"/>
                <w:sz w:val="18"/>
                <w:szCs w:val="18"/>
              </w:rPr>
              <w:t>−</w:t>
            </w:r>
            <w:r w:rsidRPr="00CA56AB">
              <w:rPr>
                <w:b/>
                <w:bCs/>
                <w:color w:val="000000"/>
                <w:sz w:val="18"/>
                <w:szCs w:val="18"/>
              </w:rPr>
              <w:t>x)/x)*100</w:t>
            </w:r>
          </w:p>
        </w:tc>
        <w:tc>
          <w:tcPr>
            <w:tcW w:w="1559" w:type="dxa"/>
            <w:tcBorders>
              <w:top w:val="single" w:sz="4" w:space="0" w:color="auto"/>
              <w:left w:val="nil"/>
              <w:bottom w:val="single" w:sz="4" w:space="0" w:color="auto"/>
              <w:right w:val="single" w:sz="4" w:space="0" w:color="auto"/>
            </w:tcBorders>
            <w:shd w:val="clear" w:color="auto" w:fill="E5F1FF"/>
            <w:noWrap/>
            <w:vAlign w:val="center"/>
          </w:tcPr>
          <w:p w14:paraId="34B3E80C" w14:textId="77777777" w:rsidR="00B57597" w:rsidRPr="00CA56AB" w:rsidRDefault="00B57597" w:rsidP="000A2AD8">
            <w:pPr>
              <w:spacing w:after="0"/>
              <w:jc w:val="center"/>
              <w:rPr>
                <w:rFonts w:eastAsia="Calibri" w:cs="Calibri"/>
                <w:b/>
                <w:color w:val="000000"/>
                <w:sz w:val="18"/>
                <w:szCs w:val="18"/>
              </w:rPr>
            </w:pPr>
            <w:r w:rsidRPr="00CA56AB">
              <w:rPr>
                <w:b/>
                <w:bCs/>
                <w:color w:val="000000"/>
                <w:sz w:val="18"/>
                <w:szCs w:val="18"/>
              </w:rPr>
              <w:t>2017/2016</w:t>
            </w:r>
          </w:p>
        </w:tc>
        <w:tc>
          <w:tcPr>
            <w:tcW w:w="1559" w:type="dxa"/>
            <w:tcBorders>
              <w:top w:val="single" w:sz="4" w:space="0" w:color="auto"/>
              <w:left w:val="nil"/>
              <w:bottom w:val="single" w:sz="4" w:space="0" w:color="auto"/>
              <w:right w:val="single" w:sz="4" w:space="0" w:color="auto"/>
            </w:tcBorders>
            <w:shd w:val="clear" w:color="auto" w:fill="E5F1FF"/>
            <w:noWrap/>
            <w:vAlign w:val="center"/>
          </w:tcPr>
          <w:p w14:paraId="74D9DB87" w14:textId="77777777" w:rsidR="00B57597" w:rsidRPr="00CA56AB" w:rsidRDefault="00B57597" w:rsidP="000A2AD8">
            <w:pPr>
              <w:spacing w:after="0"/>
              <w:jc w:val="center"/>
              <w:rPr>
                <w:rFonts w:eastAsia="Calibri" w:cs="Calibri"/>
                <w:b/>
                <w:color w:val="000000"/>
                <w:sz w:val="18"/>
                <w:szCs w:val="18"/>
              </w:rPr>
            </w:pPr>
            <w:r w:rsidRPr="00CA56AB">
              <w:rPr>
                <w:b/>
                <w:bCs/>
                <w:color w:val="000000"/>
                <w:sz w:val="18"/>
                <w:szCs w:val="18"/>
              </w:rPr>
              <w:t>2018/2017</w:t>
            </w:r>
          </w:p>
        </w:tc>
        <w:tc>
          <w:tcPr>
            <w:tcW w:w="1560" w:type="dxa"/>
            <w:tcBorders>
              <w:top w:val="single" w:sz="4" w:space="0" w:color="auto"/>
              <w:left w:val="nil"/>
              <w:bottom w:val="single" w:sz="4" w:space="0" w:color="auto"/>
              <w:right w:val="single" w:sz="4" w:space="0" w:color="auto"/>
            </w:tcBorders>
            <w:shd w:val="clear" w:color="auto" w:fill="E5F1FF"/>
            <w:noWrap/>
            <w:vAlign w:val="center"/>
          </w:tcPr>
          <w:p w14:paraId="64C7D06D" w14:textId="77777777" w:rsidR="00B57597" w:rsidRPr="00CA56AB" w:rsidRDefault="00B57597" w:rsidP="000A2AD8">
            <w:pPr>
              <w:spacing w:after="0"/>
              <w:jc w:val="center"/>
              <w:rPr>
                <w:rFonts w:eastAsia="Calibri" w:cs="Calibri"/>
                <w:b/>
                <w:color w:val="000000"/>
                <w:sz w:val="18"/>
                <w:szCs w:val="18"/>
              </w:rPr>
            </w:pPr>
            <w:r w:rsidRPr="00CA56AB">
              <w:rPr>
                <w:b/>
                <w:bCs/>
                <w:color w:val="000000"/>
                <w:sz w:val="18"/>
                <w:szCs w:val="18"/>
              </w:rPr>
              <w:t>2019/2018</w:t>
            </w:r>
          </w:p>
        </w:tc>
        <w:tc>
          <w:tcPr>
            <w:tcW w:w="1560" w:type="dxa"/>
            <w:tcBorders>
              <w:top w:val="single" w:sz="4" w:space="0" w:color="auto"/>
              <w:left w:val="nil"/>
              <w:bottom w:val="single" w:sz="4" w:space="0" w:color="auto"/>
              <w:right w:val="single" w:sz="4" w:space="0" w:color="auto"/>
            </w:tcBorders>
            <w:shd w:val="clear" w:color="auto" w:fill="E5F1FF"/>
            <w:vAlign w:val="center"/>
          </w:tcPr>
          <w:p w14:paraId="6093C9ED" w14:textId="77777777" w:rsidR="00B57597" w:rsidRPr="00CA56AB" w:rsidRDefault="00B57597" w:rsidP="000A2AD8">
            <w:pPr>
              <w:spacing w:after="0"/>
              <w:jc w:val="center"/>
              <w:rPr>
                <w:rFonts w:eastAsia="Calibri" w:cs="Calibri"/>
                <w:b/>
                <w:color w:val="000000"/>
                <w:sz w:val="18"/>
                <w:szCs w:val="18"/>
              </w:rPr>
            </w:pPr>
            <w:r w:rsidRPr="00CA56AB">
              <w:rPr>
                <w:b/>
                <w:bCs/>
                <w:color w:val="000000"/>
                <w:sz w:val="18"/>
                <w:szCs w:val="18"/>
              </w:rPr>
              <w:t>2020/2019</w:t>
            </w:r>
          </w:p>
        </w:tc>
      </w:tr>
      <w:tr w:rsidR="00B57597" w:rsidRPr="00CA56AB" w14:paraId="00FB6CDF" w14:textId="77777777" w:rsidTr="00776507">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D7482" w14:textId="77777777" w:rsidR="00B57597" w:rsidRPr="00CA56AB" w:rsidRDefault="00B57597" w:rsidP="000A2AD8">
            <w:pPr>
              <w:spacing w:after="0"/>
              <w:rPr>
                <w:rFonts w:cs="Calibri"/>
                <w:bCs/>
                <w:color w:val="000000"/>
                <w:sz w:val="18"/>
                <w:szCs w:val="18"/>
                <w:lang w:eastAsia="cs-CZ"/>
              </w:rPr>
            </w:pPr>
            <w:r w:rsidRPr="00CA56AB">
              <w:rPr>
                <w:color w:val="000000"/>
                <w:sz w:val="18"/>
                <w:szCs w:val="18"/>
              </w:rPr>
              <w:t>Příjmy</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DAB552C" w14:textId="17F335FE" w:rsidR="00B57597" w:rsidRPr="00CA56AB" w:rsidRDefault="002844FF" w:rsidP="000A2AD8">
            <w:pPr>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26,46</w:t>
            </w:r>
            <w:r w:rsidR="00297E9E">
              <w:rPr>
                <w:color w:val="000000"/>
                <w:sz w:val="18"/>
                <w:szCs w:val="18"/>
              </w:rPr>
              <w:t> </w:t>
            </w:r>
            <w:r w:rsidR="00B57597" w:rsidRPr="00CA56AB">
              <w:rPr>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0EF70CC" w14:textId="686B1D53" w:rsidR="00B57597" w:rsidRPr="00CA56AB" w:rsidRDefault="002844FF" w:rsidP="000A2AD8">
            <w:pPr>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7,52</w:t>
            </w:r>
            <w:r w:rsidR="00297E9E">
              <w:rPr>
                <w:color w:val="000000"/>
                <w:sz w:val="18"/>
                <w:szCs w:val="18"/>
              </w:rPr>
              <w:t> </w:t>
            </w:r>
            <w:r w:rsidR="00B57597" w:rsidRPr="00CA56AB">
              <w:rPr>
                <w:color w:val="000000"/>
                <w:sz w:val="18"/>
                <w:szCs w:val="18"/>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CC706AB" w14:textId="0E8716B4" w:rsidR="00B57597" w:rsidRPr="00CA56AB" w:rsidRDefault="00B57597" w:rsidP="000A2AD8">
            <w:pPr>
              <w:spacing w:after="0"/>
              <w:jc w:val="right"/>
              <w:rPr>
                <w:rFonts w:eastAsia="Calibri" w:cs="Calibri"/>
                <w:color w:val="000000"/>
                <w:sz w:val="18"/>
                <w:szCs w:val="18"/>
              </w:rPr>
            </w:pPr>
            <w:r w:rsidRPr="00CA56AB">
              <w:rPr>
                <w:color w:val="000000"/>
                <w:sz w:val="18"/>
                <w:szCs w:val="18"/>
              </w:rPr>
              <w:t>169,33</w:t>
            </w:r>
            <w:r w:rsidR="00297E9E">
              <w:rPr>
                <w:color w:val="000000"/>
                <w:sz w:val="18"/>
                <w:szCs w:val="18"/>
              </w:rPr>
              <w:t> </w:t>
            </w:r>
            <w:r w:rsidRPr="00CA56AB">
              <w:rPr>
                <w:color w:val="000000"/>
                <w:sz w:val="18"/>
                <w:szCs w:val="18"/>
              </w:rPr>
              <w:t>%</w:t>
            </w:r>
          </w:p>
        </w:tc>
        <w:tc>
          <w:tcPr>
            <w:tcW w:w="1560" w:type="dxa"/>
            <w:tcBorders>
              <w:top w:val="single" w:sz="4" w:space="0" w:color="auto"/>
              <w:left w:val="nil"/>
              <w:bottom w:val="single" w:sz="4" w:space="0" w:color="auto"/>
              <w:right w:val="single" w:sz="4" w:space="0" w:color="auto"/>
            </w:tcBorders>
            <w:vAlign w:val="center"/>
          </w:tcPr>
          <w:p w14:paraId="2A57AFAE" w14:textId="6CC671C7" w:rsidR="00B57597" w:rsidRPr="00CA56AB" w:rsidRDefault="00B57597" w:rsidP="000A2AD8">
            <w:pPr>
              <w:spacing w:after="0"/>
              <w:jc w:val="right"/>
              <w:rPr>
                <w:rFonts w:eastAsia="Calibri" w:cs="Calibri"/>
                <w:color w:val="000000"/>
                <w:sz w:val="18"/>
                <w:szCs w:val="18"/>
              </w:rPr>
            </w:pPr>
            <w:r w:rsidRPr="00CA56AB">
              <w:rPr>
                <w:color w:val="000000"/>
                <w:sz w:val="18"/>
                <w:szCs w:val="18"/>
              </w:rPr>
              <w:t>25,44</w:t>
            </w:r>
            <w:r w:rsidR="00297E9E">
              <w:rPr>
                <w:color w:val="000000"/>
                <w:sz w:val="18"/>
                <w:szCs w:val="18"/>
              </w:rPr>
              <w:t> </w:t>
            </w:r>
            <w:r w:rsidRPr="00CA56AB">
              <w:rPr>
                <w:color w:val="000000"/>
                <w:sz w:val="18"/>
                <w:szCs w:val="18"/>
              </w:rPr>
              <w:t>%</w:t>
            </w:r>
          </w:p>
        </w:tc>
      </w:tr>
      <w:tr w:rsidR="00B57597" w:rsidRPr="00CA56AB" w14:paraId="6309E0FF" w14:textId="77777777" w:rsidTr="00776507">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C6580" w14:textId="77777777" w:rsidR="00B57597" w:rsidRPr="00CA56AB" w:rsidRDefault="00B57597" w:rsidP="000A2AD8">
            <w:pPr>
              <w:spacing w:after="0"/>
              <w:rPr>
                <w:rFonts w:cs="Calibri"/>
                <w:bCs/>
                <w:color w:val="000000"/>
                <w:sz w:val="18"/>
                <w:szCs w:val="18"/>
                <w:lang w:eastAsia="cs-CZ"/>
              </w:rPr>
            </w:pPr>
            <w:r w:rsidRPr="00CA56AB">
              <w:rPr>
                <w:color w:val="000000"/>
                <w:sz w:val="18"/>
                <w:szCs w:val="18"/>
              </w:rPr>
              <w:t>Výdaje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D1ECC12" w14:textId="1B1F04D4" w:rsidR="00B57597" w:rsidRPr="00CA56AB" w:rsidRDefault="00B57597" w:rsidP="000A2AD8">
            <w:pPr>
              <w:spacing w:after="0"/>
              <w:jc w:val="right"/>
              <w:rPr>
                <w:rFonts w:eastAsia="Calibri" w:cs="Calibri"/>
                <w:color w:val="000000"/>
                <w:sz w:val="18"/>
                <w:szCs w:val="18"/>
              </w:rPr>
            </w:pPr>
            <w:r w:rsidRPr="00CA56AB">
              <w:rPr>
                <w:color w:val="000000"/>
                <w:sz w:val="18"/>
                <w:szCs w:val="18"/>
              </w:rPr>
              <w:t>46,63</w:t>
            </w:r>
            <w:r w:rsidR="00297E9E">
              <w:rPr>
                <w:color w:val="000000"/>
                <w:sz w:val="18"/>
                <w:szCs w:val="18"/>
              </w:rPr>
              <w:t> </w:t>
            </w:r>
            <w:r w:rsidRPr="00CA56AB">
              <w:rPr>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187BB69" w14:textId="4390367C" w:rsidR="00B57597" w:rsidRPr="00CA56AB" w:rsidRDefault="00B57597" w:rsidP="000A2AD8">
            <w:pPr>
              <w:spacing w:after="0"/>
              <w:jc w:val="right"/>
              <w:rPr>
                <w:rFonts w:eastAsia="Calibri" w:cs="Calibri"/>
                <w:color w:val="000000"/>
                <w:sz w:val="18"/>
                <w:szCs w:val="18"/>
              </w:rPr>
            </w:pPr>
            <w:r w:rsidRPr="00CA56AB">
              <w:rPr>
                <w:color w:val="000000"/>
                <w:sz w:val="18"/>
                <w:szCs w:val="18"/>
              </w:rPr>
              <w:t>11,60</w:t>
            </w:r>
            <w:r w:rsidR="00297E9E">
              <w:rPr>
                <w:color w:val="000000"/>
                <w:sz w:val="18"/>
                <w:szCs w:val="18"/>
              </w:rPr>
              <w:t> </w:t>
            </w:r>
            <w:r w:rsidRPr="00CA56AB">
              <w:rPr>
                <w:color w:val="000000"/>
                <w:sz w:val="18"/>
                <w:szCs w:val="18"/>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F2D8210" w14:textId="6F7EC131" w:rsidR="00B57597" w:rsidRPr="00CA56AB" w:rsidRDefault="00B57597" w:rsidP="000A2AD8">
            <w:pPr>
              <w:spacing w:after="0"/>
              <w:jc w:val="right"/>
              <w:rPr>
                <w:rFonts w:eastAsia="Calibri" w:cs="Calibri"/>
                <w:color w:val="000000"/>
                <w:sz w:val="18"/>
                <w:szCs w:val="18"/>
              </w:rPr>
            </w:pPr>
            <w:r w:rsidRPr="00CA56AB">
              <w:rPr>
                <w:color w:val="000000"/>
                <w:sz w:val="18"/>
                <w:szCs w:val="18"/>
              </w:rPr>
              <w:t>4,98</w:t>
            </w:r>
            <w:r w:rsidR="00297E9E">
              <w:rPr>
                <w:color w:val="000000"/>
                <w:sz w:val="18"/>
                <w:szCs w:val="18"/>
              </w:rPr>
              <w:t> </w:t>
            </w:r>
            <w:r w:rsidRPr="00CA56AB">
              <w:rPr>
                <w:color w:val="000000"/>
                <w:sz w:val="18"/>
                <w:szCs w:val="18"/>
              </w:rPr>
              <w:t>%</w:t>
            </w:r>
          </w:p>
        </w:tc>
        <w:tc>
          <w:tcPr>
            <w:tcW w:w="1560" w:type="dxa"/>
            <w:tcBorders>
              <w:top w:val="single" w:sz="4" w:space="0" w:color="auto"/>
              <w:left w:val="nil"/>
              <w:bottom w:val="single" w:sz="4" w:space="0" w:color="auto"/>
              <w:right w:val="single" w:sz="4" w:space="0" w:color="auto"/>
            </w:tcBorders>
            <w:vAlign w:val="center"/>
          </w:tcPr>
          <w:p w14:paraId="4FE36E43" w14:textId="1407DE99" w:rsidR="00B57597" w:rsidRPr="00CA56AB" w:rsidRDefault="00B57597" w:rsidP="000A2AD8">
            <w:pPr>
              <w:spacing w:after="0"/>
              <w:jc w:val="right"/>
              <w:rPr>
                <w:rFonts w:eastAsia="Calibri" w:cs="Calibri"/>
                <w:color w:val="000000"/>
                <w:sz w:val="18"/>
                <w:szCs w:val="18"/>
              </w:rPr>
            </w:pPr>
            <w:r w:rsidRPr="00CA56AB">
              <w:rPr>
                <w:color w:val="000000"/>
                <w:sz w:val="18"/>
                <w:szCs w:val="18"/>
              </w:rPr>
              <w:t>27,82</w:t>
            </w:r>
            <w:r w:rsidR="00297E9E">
              <w:rPr>
                <w:color w:val="000000"/>
                <w:sz w:val="18"/>
                <w:szCs w:val="18"/>
              </w:rPr>
              <w:t> </w:t>
            </w:r>
            <w:r w:rsidRPr="00CA56AB">
              <w:rPr>
                <w:color w:val="000000"/>
                <w:sz w:val="18"/>
                <w:szCs w:val="18"/>
              </w:rPr>
              <w:t>%</w:t>
            </w:r>
          </w:p>
        </w:tc>
      </w:tr>
    </w:tbl>
    <w:p w14:paraId="0D097C9E" w14:textId="77777777" w:rsidR="00B57597" w:rsidRPr="00CA56AB" w:rsidRDefault="00B57597" w:rsidP="00B57597">
      <w:pPr>
        <w:spacing w:before="40"/>
        <w:rPr>
          <w:rFonts w:cs="Calibri"/>
          <w:bCs/>
          <w:color w:val="000000"/>
          <w:sz w:val="20"/>
          <w:szCs w:val="20"/>
          <w:lang w:eastAsia="cs-CZ"/>
        </w:rPr>
      </w:pPr>
      <w:r w:rsidRPr="00CA56AB">
        <w:rPr>
          <w:rFonts w:cs="Calibri"/>
          <w:b/>
          <w:color w:val="000000"/>
          <w:sz w:val="20"/>
          <w:szCs w:val="20"/>
          <w:lang w:eastAsia="cs-CZ"/>
        </w:rPr>
        <w:t xml:space="preserve">Zdroj: </w:t>
      </w:r>
      <w:r w:rsidRPr="00CA56AB">
        <w:rPr>
          <w:rFonts w:cs="Calibri"/>
          <w:color w:val="000000"/>
          <w:sz w:val="20"/>
          <w:szCs w:val="20"/>
          <w:lang w:eastAsia="cs-CZ"/>
        </w:rPr>
        <w:t>výpočet vypracoval NKÚ.</w:t>
      </w:r>
    </w:p>
    <w:p w14:paraId="1FDCF0F4" w14:textId="77777777" w:rsidR="00B57597" w:rsidRPr="00CA56AB" w:rsidRDefault="00B57597" w:rsidP="00B57597">
      <w:pPr>
        <w:jc w:val="both"/>
        <w:rPr>
          <w:rFonts w:cs="Calibri"/>
        </w:rPr>
      </w:pPr>
      <w:bookmarkStart w:id="57" w:name="_Toc520714325"/>
      <w:bookmarkStart w:id="58" w:name="_Toc8984532"/>
      <w:r w:rsidRPr="00CA56AB">
        <w:rPr>
          <w:rFonts w:cs="Calibri"/>
        </w:rPr>
        <w:t>K největší relativní změně příjmů ve sledovaném období došlo v kapitole 322 mezi rokem 2018 a 2019, a to k nárůstu o 169,33 %. K největší relativní změně výdajů ve sledovaném období došlo v kapitole 322 mezi rokem 2016 a 2017, a to k nárůstu o 46,63 %.</w:t>
      </w:r>
    </w:p>
    <w:p w14:paraId="7F528213" w14:textId="3DABF0DB" w:rsidR="00B57597" w:rsidRPr="00776507" w:rsidRDefault="00B57597" w:rsidP="00776507">
      <w:pPr>
        <w:pStyle w:val="Titulek1"/>
        <w:tabs>
          <w:tab w:val="clear" w:pos="9356"/>
          <w:tab w:val="right" w:pos="9072"/>
        </w:tabs>
        <w:rPr>
          <w:sz w:val="24"/>
        </w:rPr>
      </w:pPr>
      <w:bookmarkStart w:id="59" w:name="_Toc72157473"/>
      <w:r w:rsidRPr="00776507">
        <w:rPr>
          <w:sz w:val="24"/>
        </w:rPr>
        <w:t xml:space="preserve">Tabulka č. </w:t>
      </w:r>
      <w:r w:rsidR="00776507" w:rsidRPr="00776507">
        <w:rPr>
          <w:sz w:val="24"/>
        </w:rPr>
        <w:fldChar w:fldCharType="begin"/>
      </w:r>
      <w:r w:rsidR="00776507" w:rsidRPr="00776507">
        <w:rPr>
          <w:sz w:val="24"/>
        </w:rPr>
        <w:instrText xml:space="preserve"> SEQ Tabulka \* ARABIC </w:instrText>
      </w:r>
      <w:r w:rsidR="00776507" w:rsidRPr="00776507">
        <w:rPr>
          <w:sz w:val="24"/>
        </w:rPr>
        <w:fldChar w:fldCharType="separate"/>
      </w:r>
      <w:r w:rsidR="00E544AA">
        <w:rPr>
          <w:noProof/>
          <w:sz w:val="24"/>
        </w:rPr>
        <w:t>16</w:t>
      </w:r>
      <w:r w:rsidR="00776507" w:rsidRPr="00776507">
        <w:rPr>
          <w:noProof/>
          <w:sz w:val="24"/>
        </w:rPr>
        <w:fldChar w:fldCharType="end"/>
      </w:r>
      <w:r w:rsidRPr="00776507">
        <w:rPr>
          <w:sz w:val="24"/>
        </w:rPr>
        <w:t>: Příjmy a výdaje MPO (v Kč)</w:t>
      </w:r>
      <w:bookmarkEnd w:id="57"/>
      <w:bookmarkEnd w:id="58"/>
      <w:bookmarkEnd w:id="59"/>
    </w:p>
    <w:tbl>
      <w:tblPr>
        <w:tblW w:w="5000" w:type="pct"/>
        <w:tblCellMar>
          <w:left w:w="70" w:type="dxa"/>
          <w:right w:w="70" w:type="dxa"/>
        </w:tblCellMar>
        <w:tblLook w:val="04A0" w:firstRow="1" w:lastRow="0" w:firstColumn="1" w:lastColumn="0" w:noHBand="0" w:noVBand="1"/>
      </w:tblPr>
      <w:tblGrid>
        <w:gridCol w:w="1299"/>
        <w:gridCol w:w="1553"/>
        <w:gridCol w:w="1553"/>
        <w:gridCol w:w="1553"/>
        <w:gridCol w:w="1553"/>
        <w:gridCol w:w="1549"/>
      </w:tblGrid>
      <w:tr w:rsidR="00B57597" w:rsidRPr="00CA56AB" w14:paraId="56AE7B71" w14:textId="77777777" w:rsidTr="00776507">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1B5504DF" w14:textId="77777777" w:rsidR="00B57597" w:rsidRPr="00CA56AB" w:rsidRDefault="00B57597" w:rsidP="00776507">
            <w:pPr>
              <w:keepNext/>
              <w:spacing w:after="0"/>
              <w:rPr>
                <w:rFonts w:cs="Calibri"/>
                <w:b/>
                <w:bCs/>
                <w:color w:val="000000"/>
                <w:sz w:val="18"/>
                <w:szCs w:val="18"/>
                <w:lang w:eastAsia="cs-CZ"/>
              </w:rPr>
            </w:pPr>
            <w:r w:rsidRPr="00CA56AB">
              <w:rPr>
                <w:b/>
                <w:bCs/>
                <w:color w:val="000000"/>
                <w:sz w:val="18"/>
                <w:szCs w:val="18"/>
              </w:rPr>
              <w:t>Ukazatel</w:t>
            </w:r>
          </w:p>
        </w:tc>
        <w:tc>
          <w:tcPr>
            <w:tcW w:w="857" w:type="pct"/>
            <w:tcBorders>
              <w:top w:val="single" w:sz="4" w:space="0" w:color="auto"/>
              <w:left w:val="nil"/>
              <w:bottom w:val="single" w:sz="4" w:space="0" w:color="auto"/>
              <w:right w:val="single" w:sz="4" w:space="0" w:color="auto"/>
            </w:tcBorders>
            <w:shd w:val="clear" w:color="auto" w:fill="E5F1FF"/>
            <w:noWrap/>
            <w:vAlign w:val="center"/>
            <w:hideMark/>
          </w:tcPr>
          <w:p w14:paraId="27A89D21" w14:textId="77777777" w:rsidR="00B57597" w:rsidRPr="00CA56AB" w:rsidRDefault="00B57597" w:rsidP="00776507">
            <w:pPr>
              <w:keepNext/>
              <w:spacing w:after="0"/>
              <w:jc w:val="center"/>
              <w:rPr>
                <w:rFonts w:cs="Calibri"/>
                <w:b/>
                <w:bCs/>
                <w:color w:val="000000"/>
                <w:sz w:val="18"/>
                <w:szCs w:val="18"/>
                <w:lang w:eastAsia="cs-CZ"/>
              </w:rPr>
            </w:pPr>
            <w:r w:rsidRPr="00CA56AB">
              <w:rPr>
                <w:b/>
                <w:bCs/>
                <w:color w:val="000000"/>
                <w:sz w:val="18"/>
                <w:szCs w:val="18"/>
              </w:rPr>
              <w:t>2016</w:t>
            </w:r>
          </w:p>
        </w:tc>
        <w:tc>
          <w:tcPr>
            <w:tcW w:w="857" w:type="pct"/>
            <w:tcBorders>
              <w:top w:val="single" w:sz="4" w:space="0" w:color="auto"/>
              <w:left w:val="nil"/>
              <w:bottom w:val="single" w:sz="4" w:space="0" w:color="auto"/>
              <w:right w:val="single" w:sz="4" w:space="0" w:color="auto"/>
            </w:tcBorders>
            <w:shd w:val="clear" w:color="auto" w:fill="E5F1FF"/>
            <w:noWrap/>
            <w:vAlign w:val="center"/>
            <w:hideMark/>
          </w:tcPr>
          <w:p w14:paraId="0AA0C4B9" w14:textId="77777777" w:rsidR="00B57597" w:rsidRPr="00CA56AB" w:rsidRDefault="00B57597" w:rsidP="00776507">
            <w:pPr>
              <w:keepNext/>
              <w:spacing w:after="0"/>
              <w:jc w:val="center"/>
              <w:rPr>
                <w:rFonts w:cs="Calibri"/>
                <w:b/>
                <w:bCs/>
                <w:color w:val="000000"/>
                <w:sz w:val="18"/>
                <w:szCs w:val="18"/>
                <w:lang w:eastAsia="cs-CZ"/>
              </w:rPr>
            </w:pPr>
            <w:r w:rsidRPr="00CA56AB">
              <w:rPr>
                <w:b/>
                <w:bCs/>
                <w:color w:val="000000"/>
                <w:sz w:val="18"/>
                <w:szCs w:val="18"/>
              </w:rPr>
              <w:t>2017</w:t>
            </w:r>
          </w:p>
        </w:tc>
        <w:tc>
          <w:tcPr>
            <w:tcW w:w="857" w:type="pct"/>
            <w:tcBorders>
              <w:top w:val="single" w:sz="4" w:space="0" w:color="auto"/>
              <w:left w:val="nil"/>
              <w:bottom w:val="single" w:sz="4" w:space="0" w:color="auto"/>
              <w:right w:val="single" w:sz="4" w:space="0" w:color="auto"/>
            </w:tcBorders>
            <w:shd w:val="clear" w:color="auto" w:fill="E5F1FF"/>
            <w:noWrap/>
            <w:vAlign w:val="center"/>
            <w:hideMark/>
          </w:tcPr>
          <w:p w14:paraId="54A7967E" w14:textId="77777777" w:rsidR="00B57597" w:rsidRPr="00CA56AB" w:rsidRDefault="00B57597" w:rsidP="00776507">
            <w:pPr>
              <w:keepNext/>
              <w:spacing w:after="0"/>
              <w:jc w:val="center"/>
              <w:rPr>
                <w:rFonts w:cs="Calibri"/>
                <w:b/>
                <w:bCs/>
                <w:color w:val="000000"/>
                <w:sz w:val="18"/>
                <w:szCs w:val="18"/>
                <w:lang w:eastAsia="cs-CZ"/>
              </w:rPr>
            </w:pPr>
            <w:r w:rsidRPr="00CA56AB">
              <w:rPr>
                <w:b/>
                <w:bCs/>
                <w:color w:val="000000"/>
                <w:sz w:val="18"/>
                <w:szCs w:val="18"/>
              </w:rPr>
              <w:t>2018</w:t>
            </w:r>
          </w:p>
        </w:tc>
        <w:tc>
          <w:tcPr>
            <w:tcW w:w="857" w:type="pct"/>
            <w:tcBorders>
              <w:top w:val="single" w:sz="4" w:space="0" w:color="auto"/>
              <w:left w:val="nil"/>
              <w:bottom w:val="single" w:sz="4" w:space="0" w:color="auto"/>
              <w:right w:val="single" w:sz="4" w:space="0" w:color="auto"/>
            </w:tcBorders>
            <w:shd w:val="clear" w:color="auto" w:fill="E5F1FF"/>
            <w:noWrap/>
            <w:vAlign w:val="center"/>
            <w:hideMark/>
          </w:tcPr>
          <w:p w14:paraId="3C453CD6" w14:textId="77777777" w:rsidR="00B57597" w:rsidRPr="00CA56AB" w:rsidRDefault="00B57597" w:rsidP="00776507">
            <w:pPr>
              <w:keepNext/>
              <w:spacing w:after="0"/>
              <w:jc w:val="center"/>
              <w:rPr>
                <w:rFonts w:cs="Calibri"/>
                <w:b/>
                <w:bCs/>
                <w:color w:val="000000"/>
                <w:sz w:val="18"/>
                <w:szCs w:val="18"/>
                <w:lang w:eastAsia="cs-CZ"/>
              </w:rPr>
            </w:pPr>
            <w:r w:rsidRPr="00CA56AB">
              <w:rPr>
                <w:b/>
                <w:bCs/>
                <w:color w:val="000000"/>
                <w:sz w:val="18"/>
                <w:szCs w:val="18"/>
              </w:rPr>
              <w:t>2019</w:t>
            </w:r>
          </w:p>
        </w:tc>
        <w:tc>
          <w:tcPr>
            <w:tcW w:w="857" w:type="pct"/>
            <w:tcBorders>
              <w:top w:val="single" w:sz="4" w:space="0" w:color="auto"/>
              <w:left w:val="nil"/>
              <w:bottom w:val="single" w:sz="4" w:space="0" w:color="auto"/>
              <w:right w:val="single" w:sz="4" w:space="0" w:color="auto"/>
            </w:tcBorders>
            <w:shd w:val="clear" w:color="auto" w:fill="E5F1FF"/>
            <w:vAlign w:val="center"/>
          </w:tcPr>
          <w:p w14:paraId="473BA825" w14:textId="77777777" w:rsidR="00B57597" w:rsidRPr="00CA56AB" w:rsidRDefault="00B57597" w:rsidP="00776507">
            <w:pPr>
              <w:keepNext/>
              <w:spacing w:after="0"/>
              <w:jc w:val="center"/>
              <w:rPr>
                <w:rFonts w:cs="Calibri"/>
                <w:b/>
                <w:bCs/>
                <w:color w:val="000000"/>
                <w:sz w:val="18"/>
                <w:szCs w:val="18"/>
                <w:lang w:eastAsia="cs-CZ"/>
              </w:rPr>
            </w:pPr>
            <w:r w:rsidRPr="00CA56AB">
              <w:rPr>
                <w:b/>
                <w:bCs/>
                <w:color w:val="000000"/>
                <w:sz w:val="18"/>
                <w:szCs w:val="18"/>
              </w:rPr>
              <w:t>2020</w:t>
            </w:r>
          </w:p>
        </w:tc>
      </w:tr>
      <w:tr w:rsidR="00B57597" w:rsidRPr="00CA56AB" w14:paraId="6DCCB584" w14:textId="77777777" w:rsidTr="00776507">
        <w:trPr>
          <w:trHeight w:val="255"/>
        </w:trPr>
        <w:tc>
          <w:tcPr>
            <w:tcW w:w="717" w:type="pct"/>
            <w:tcBorders>
              <w:top w:val="nil"/>
              <w:left w:val="single" w:sz="4" w:space="0" w:color="auto"/>
              <w:bottom w:val="single" w:sz="4" w:space="0" w:color="auto"/>
              <w:right w:val="single" w:sz="4" w:space="0" w:color="auto"/>
            </w:tcBorders>
            <w:shd w:val="clear" w:color="auto" w:fill="auto"/>
            <w:noWrap/>
            <w:vAlign w:val="center"/>
          </w:tcPr>
          <w:p w14:paraId="7EC27C62" w14:textId="77777777" w:rsidR="00B57597" w:rsidRPr="00CA56AB" w:rsidRDefault="00B57597" w:rsidP="00776507">
            <w:pPr>
              <w:keepNext/>
              <w:spacing w:after="0"/>
              <w:rPr>
                <w:rFonts w:cs="Calibri"/>
                <w:bCs/>
                <w:color w:val="000000"/>
                <w:sz w:val="18"/>
                <w:szCs w:val="18"/>
                <w:lang w:eastAsia="cs-CZ"/>
              </w:rPr>
            </w:pPr>
            <w:r w:rsidRPr="00CA56AB">
              <w:rPr>
                <w:color w:val="000000"/>
                <w:sz w:val="18"/>
                <w:szCs w:val="18"/>
              </w:rPr>
              <w:t>Příjmy celkem</w:t>
            </w:r>
          </w:p>
        </w:tc>
        <w:tc>
          <w:tcPr>
            <w:tcW w:w="857" w:type="pct"/>
            <w:tcBorders>
              <w:top w:val="nil"/>
              <w:left w:val="nil"/>
              <w:bottom w:val="single" w:sz="4" w:space="0" w:color="auto"/>
              <w:right w:val="single" w:sz="4" w:space="0" w:color="auto"/>
            </w:tcBorders>
            <w:shd w:val="clear" w:color="auto" w:fill="auto"/>
            <w:noWrap/>
            <w:vAlign w:val="center"/>
          </w:tcPr>
          <w:p w14:paraId="062AAFBF" w14:textId="77777777"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10 916 364 571,98</w:t>
            </w:r>
          </w:p>
        </w:tc>
        <w:tc>
          <w:tcPr>
            <w:tcW w:w="857" w:type="pct"/>
            <w:tcBorders>
              <w:top w:val="nil"/>
              <w:left w:val="nil"/>
              <w:bottom w:val="single" w:sz="4" w:space="0" w:color="auto"/>
              <w:right w:val="single" w:sz="4" w:space="0" w:color="auto"/>
            </w:tcBorders>
            <w:shd w:val="clear" w:color="auto" w:fill="auto"/>
            <w:noWrap/>
            <w:vAlign w:val="center"/>
          </w:tcPr>
          <w:p w14:paraId="2EA4D47B" w14:textId="77777777"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7 967 400 074,64</w:t>
            </w:r>
          </w:p>
        </w:tc>
        <w:tc>
          <w:tcPr>
            <w:tcW w:w="857" w:type="pct"/>
            <w:tcBorders>
              <w:top w:val="nil"/>
              <w:left w:val="nil"/>
              <w:bottom w:val="single" w:sz="4" w:space="0" w:color="auto"/>
              <w:right w:val="single" w:sz="4" w:space="0" w:color="auto"/>
            </w:tcBorders>
            <w:shd w:val="clear" w:color="auto" w:fill="auto"/>
            <w:noWrap/>
            <w:vAlign w:val="center"/>
          </w:tcPr>
          <w:p w14:paraId="04783EF7" w14:textId="77777777"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7 398 559 561,12</w:t>
            </w:r>
          </w:p>
        </w:tc>
        <w:tc>
          <w:tcPr>
            <w:tcW w:w="857" w:type="pct"/>
            <w:tcBorders>
              <w:top w:val="nil"/>
              <w:left w:val="nil"/>
              <w:bottom w:val="single" w:sz="4" w:space="0" w:color="auto"/>
              <w:right w:val="single" w:sz="4" w:space="0" w:color="auto"/>
            </w:tcBorders>
            <w:shd w:val="clear" w:color="auto" w:fill="auto"/>
            <w:noWrap/>
            <w:vAlign w:val="center"/>
          </w:tcPr>
          <w:p w14:paraId="141439C3" w14:textId="77777777"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20 337 846 937,99</w:t>
            </w:r>
          </w:p>
        </w:tc>
        <w:tc>
          <w:tcPr>
            <w:tcW w:w="857" w:type="pct"/>
            <w:tcBorders>
              <w:top w:val="nil"/>
              <w:left w:val="nil"/>
              <w:bottom w:val="single" w:sz="4" w:space="0" w:color="auto"/>
              <w:right w:val="single" w:sz="4" w:space="0" w:color="auto"/>
            </w:tcBorders>
            <w:vAlign w:val="center"/>
          </w:tcPr>
          <w:p w14:paraId="66F8B1DF" w14:textId="77777777"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25 623 005 721,47</w:t>
            </w:r>
          </w:p>
        </w:tc>
      </w:tr>
      <w:tr w:rsidR="00B57597" w:rsidRPr="00CA56AB" w14:paraId="75AC777F" w14:textId="77777777" w:rsidTr="00776507">
        <w:trPr>
          <w:trHeight w:val="255"/>
        </w:trPr>
        <w:tc>
          <w:tcPr>
            <w:tcW w:w="717" w:type="pct"/>
            <w:tcBorders>
              <w:top w:val="nil"/>
              <w:left w:val="single" w:sz="4" w:space="0" w:color="auto"/>
              <w:bottom w:val="single" w:sz="4" w:space="0" w:color="auto"/>
              <w:right w:val="single" w:sz="4" w:space="0" w:color="auto"/>
            </w:tcBorders>
            <w:shd w:val="clear" w:color="auto" w:fill="auto"/>
            <w:noWrap/>
            <w:vAlign w:val="center"/>
          </w:tcPr>
          <w:p w14:paraId="615C6C4E" w14:textId="77777777" w:rsidR="00B57597" w:rsidRPr="00CA56AB" w:rsidRDefault="00B57597" w:rsidP="00776507">
            <w:pPr>
              <w:keepNext/>
              <w:spacing w:after="0"/>
              <w:rPr>
                <w:rFonts w:cs="Calibri"/>
                <w:bCs/>
                <w:color w:val="000000"/>
                <w:sz w:val="18"/>
                <w:szCs w:val="18"/>
                <w:lang w:eastAsia="cs-CZ"/>
              </w:rPr>
            </w:pPr>
            <w:r w:rsidRPr="00CA56AB">
              <w:rPr>
                <w:color w:val="000000"/>
                <w:sz w:val="18"/>
                <w:szCs w:val="18"/>
              </w:rPr>
              <w:t>Výdaje celkem</w:t>
            </w:r>
          </w:p>
        </w:tc>
        <w:tc>
          <w:tcPr>
            <w:tcW w:w="857" w:type="pct"/>
            <w:tcBorders>
              <w:top w:val="nil"/>
              <w:left w:val="nil"/>
              <w:bottom w:val="single" w:sz="4" w:space="0" w:color="auto"/>
              <w:right w:val="single" w:sz="4" w:space="0" w:color="auto"/>
            </w:tcBorders>
            <w:shd w:val="clear" w:color="auto" w:fill="auto"/>
            <w:noWrap/>
            <w:vAlign w:val="center"/>
          </w:tcPr>
          <w:p w14:paraId="31B3E725" w14:textId="77777777"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27 048 707 684,17</w:t>
            </w:r>
          </w:p>
        </w:tc>
        <w:tc>
          <w:tcPr>
            <w:tcW w:w="857" w:type="pct"/>
            <w:tcBorders>
              <w:top w:val="nil"/>
              <w:left w:val="nil"/>
              <w:bottom w:val="single" w:sz="4" w:space="0" w:color="auto"/>
              <w:right w:val="single" w:sz="4" w:space="0" w:color="auto"/>
            </w:tcBorders>
            <w:shd w:val="clear" w:color="auto" w:fill="auto"/>
            <w:noWrap/>
            <w:vAlign w:val="center"/>
          </w:tcPr>
          <w:p w14:paraId="5DB7451D" w14:textId="77777777"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39 395 050 924,00</w:t>
            </w:r>
          </w:p>
        </w:tc>
        <w:tc>
          <w:tcPr>
            <w:tcW w:w="857" w:type="pct"/>
            <w:tcBorders>
              <w:top w:val="nil"/>
              <w:left w:val="nil"/>
              <w:bottom w:val="single" w:sz="4" w:space="0" w:color="auto"/>
              <w:right w:val="single" w:sz="4" w:space="0" w:color="auto"/>
            </w:tcBorders>
            <w:shd w:val="clear" w:color="auto" w:fill="auto"/>
            <w:noWrap/>
            <w:vAlign w:val="center"/>
          </w:tcPr>
          <w:p w14:paraId="5AE35F19" w14:textId="77777777"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44 093 685 396,14</w:t>
            </w:r>
          </w:p>
        </w:tc>
        <w:tc>
          <w:tcPr>
            <w:tcW w:w="857" w:type="pct"/>
            <w:tcBorders>
              <w:top w:val="nil"/>
              <w:left w:val="nil"/>
              <w:bottom w:val="single" w:sz="4" w:space="0" w:color="auto"/>
              <w:right w:val="single" w:sz="4" w:space="0" w:color="auto"/>
            </w:tcBorders>
            <w:shd w:val="clear" w:color="auto" w:fill="auto"/>
            <w:noWrap/>
            <w:vAlign w:val="center"/>
          </w:tcPr>
          <w:p w14:paraId="5FC41BB2" w14:textId="77777777"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46 306 957 140,93</w:t>
            </w:r>
          </w:p>
        </w:tc>
        <w:tc>
          <w:tcPr>
            <w:tcW w:w="857" w:type="pct"/>
            <w:tcBorders>
              <w:top w:val="nil"/>
              <w:left w:val="nil"/>
              <w:bottom w:val="single" w:sz="4" w:space="0" w:color="auto"/>
              <w:right w:val="single" w:sz="4" w:space="0" w:color="auto"/>
            </w:tcBorders>
            <w:vAlign w:val="center"/>
          </w:tcPr>
          <w:p w14:paraId="01675ECC" w14:textId="77777777"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59 589 141 370,27</w:t>
            </w:r>
          </w:p>
        </w:tc>
      </w:tr>
    </w:tbl>
    <w:p w14:paraId="364893E1" w14:textId="57C265D2" w:rsidR="00B57597" w:rsidRPr="00776507" w:rsidRDefault="00B57597" w:rsidP="00776507">
      <w:pPr>
        <w:spacing w:before="40"/>
        <w:rPr>
          <w:rFonts w:cs="Calibri"/>
          <w:color w:val="000000"/>
          <w:sz w:val="20"/>
          <w:szCs w:val="20"/>
          <w:lang w:eastAsia="cs-CZ"/>
        </w:rPr>
      </w:pPr>
      <w:bookmarkStart w:id="60" w:name="_Toc520714326"/>
      <w:r w:rsidRPr="00CF36BE">
        <w:rPr>
          <w:rFonts w:cs="Calibri"/>
          <w:b/>
          <w:color w:val="000000"/>
          <w:sz w:val="20"/>
          <w:szCs w:val="20"/>
          <w:lang w:eastAsia="cs-CZ"/>
        </w:rPr>
        <w:t xml:space="preserve">Zdroj: </w:t>
      </w:r>
      <w:r w:rsidRPr="00CF36BE">
        <w:rPr>
          <w:rFonts w:cs="Calibri"/>
          <w:color w:val="000000"/>
          <w:sz w:val="20"/>
          <w:szCs w:val="20"/>
          <w:lang w:eastAsia="cs-CZ"/>
        </w:rPr>
        <w:t>informační portál MONITOR.</w:t>
      </w:r>
    </w:p>
    <w:p w14:paraId="195DE1CD" w14:textId="311F125C" w:rsidR="00B57597" w:rsidRPr="00776507" w:rsidRDefault="00B57597" w:rsidP="00776507">
      <w:pPr>
        <w:pStyle w:val="Titulek1"/>
        <w:rPr>
          <w:sz w:val="24"/>
        </w:rPr>
      </w:pPr>
      <w:bookmarkStart w:id="61" w:name="_Toc8984533"/>
      <w:bookmarkStart w:id="62" w:name="_Toc72157474"/>
      <w:r w:rsidRPr="00776507">
        <w:rPr>
          <w:sz w:val="24"/>
        </w:rPr>
        <w:lastRenderedPageBreak/>
        <w:t xml:space="preserve">Tabulka č. </w:t>
      </w:r>
      <w:r w:rsidR="00776507" w:rsidRPr="00776507">
        <w:rPr>
          <w:sz w:val="24"/>
        </w:rPr>
        <w:fldChar w:fldCharType="begin"/>
      </w:r>
      <w:r w:rsidR="00776507" w:rsidRPr="00776507">
        <w:rPr>
          <w:sz w:val="24"/>
        </w:rPr>
        <w:instrText xml:space="preserve"> SEQ Tabulka \* ARABIC </w:instrText>
      </w:r>
      <w:r w:rsidR="00776507" w:rsidRPr="00776507">
        <w:rPr>
          <w:sz w:val="24"/>
        </w:rPr>
        <w:fldChar w:fldCharType="separate"/>
      </w:r>
      <w:r w:rsidR="00E544AA">
        <w:rPr>
          <w:noProof/>
          <w:sz w:val="24"/>
        </w:rPr>
        <w:t>17</w:t>
      </w:r>
      <w:r w:rsidR="00776507" w:rsidRPr="00776507">
        <w:rPr>
          <w:noProof/>
          <w:sz w:val="24"/>
        </w:rPr>
        <w:fldChar w:fldCharType="end"/>
      </w:r>
      <w:r w:rsidRPr="00776507">
        <w:rPr>
          <w:sz w:val="24"/>
        </w:rPr>
        <w:t>: Tempo růstu příjmů a výdajů M</w:t>
      </w:r>
      <w:bookmarkEnd w:id="60"/>
      <w:bookmarkEnd w:id="61"/>
      <w:r w:rsidRPr="00776507">
        <w:rPr>
          <w:sz w:val="24"/>
        </w:rPr>
        <w:t>PO</w:t>
      </w:r>
      <w:bookmarkEnd w:id="62"/>
    </w:p>
    <w:tbl>
      <w:tblPr>
        <w:tblW w:w="9068" w:type="dxa"/>
        <w:tblLayout w:type="fixed"/>
        <w:tblCellMar>
          <w:left w:w="70" w:type="dxa"/>
          <w:right w:w="70" w:type="dxa"/>
        </w:tblCellMar>
        <w:tblLook w:val="04A0" w:firstRow="1" w:lastRow="0" w:firstColumn="1" w:lastColumn="0" w:noHBand="0" w:noVBand="1"/>
      </w:tblPr>
      <w:tblGrid>
        <w:gridCol w:w="2830"/>
        <w:gridCol w:w="1559"/>
        <w:gridCol w:w="1559"/>
        <w:gridCol w:w="1560"/>
        <w:gridCol w:w="1560"/>
      </w:tblGrid>
      <w:tr w:rsidR="00B57597" w:rsidRPr="00CA56AB" w14:paraId="6C385FBE"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41AC3EC1" w14:textId="77777777" w:rsidR="00B57597" w:rsidRPr="00CA56AB" w:rsidRDefault="00B57597" w:rsidP="00776507">
            <w:pPr>
              <w:keepNext/>
              <w:spacing w:after="0"/>
              <w:rPr>
                <w:rFonts w:cs="Calibri"/>
                <w:b/>
                <w:bCs/>
                <w:color w:val="000000"/>
                <w:sz w:val="18"/>
                <w:szCs w:val="18"/>
                <w:lang w:eastAsia="cs-CZ"/>
              </w:rPr>
            </w:pPr>
            <w:r w:rsidRPr="00CA56AB">
              <w:rPr>
                <w:b/>
                <w:bCs/>
                <w:color w:val="000000"/>
                <w:sz w:val="18"/>
                <w:szCs w:val="18"/>
              </w:rPr>
              <w:t>Tempo růstu (absolutní změna)</w:t>
            </w:r>
          </w:p>
        </w:tc>
        <w:tc>
          <w:tcPr>
            <w:tcW w:w="1559" w:type="dxa"/>
            <w:tcBorders>
              <w:top w:val="single" w:sz="4" w:space="0" w:color="auto"/>
              <w:left w:val="nil"/>
              <w:bottom w:val="single" w:sz="4" w:space="0" w:color="auto"/>
              <w:right w:val="single" w:sz="4" w:space="0" w:color="auto"/>
            </w:tcBorders>
            <w:shd w:val="clear" w:color="auto" w:fill="E5F1FF"/>
            <w:noWrap/>
            <w:vAlign w:val="center"/>
            <w:hideMark/>
          </w:tcPr>
          <w:p w14:paraId="07F03E52" w14:textId="7050E100" w:rsidR="00B57597" w:rsidRPr="00CA56AB" w:rsidRDefault="00B57597" w:rsidP="00776507">
            <w:pPr>
              <w:keepNext/>
              <w:spacing w:after="0"/>
              <w:jc w:val="center"/>
              <w:rPr>
                <w:rFonts w:cs="Calibri"/>
                <w:b/>
                <w:bCs/>
                <w:color w:val="000000"/>
                <w:sz w:val="18"/>
                <w:szCs w:val="18"/>
                <w:lang w:eastAsia="cs-CZ"/>
              </w:rPr>
            </w:pPr>
            <w:r w:rsidRPr="00CA56AB">
              <w:rPr>
                <w:b/>
                <w:bCs/>
                <w:color w:val="000000"/>
                <w:sz w:val="18"/>
                <w:szCs w:val="18"/>
              </w:rPr>
              <w:t>2017</w:t>
            </w:r>
            <w:r w:rsidR="002844FF">
              <w:rPr>
                <w:b/>
                <w:bCs/>
                <w:color w:val="000000"/>
                <w:sz w:val="18"/>
                <w:szCs w:val="18"/>
              </w:rPr>
              <w:t>–</w:t>
            </w:r>
            <w:r w:rsidRPr="00CA56AB">
              <w:rPr>
                <w:b/>
                <w:bCs/>
                <w:color w:val="000000"/>
                <w:sz w:val="18"/>
                <w:szCs w:val="18"/>
              </w:rPr>
              <w:t>2016</w:t>
            </w:r>
          </w:p>
        </w:tc>
        <w:tc>
          <w:tcPr>
            <w:tcW w:w="1559" w:type="dxa"/>
            <w:tcBorders>
              <w:top w:val="single" w:sz="4" w:space="0" w:color="auto"/>
              <w:left w:val="nil"/>
              <w:bottom w:val="single" w:sz="4" w:space="0" w:color="auto"/>
              <w:right w:val="single" w:sz="4" w:space="0" w:color="auto"/>
            </w:tcBorders>
            <w:shd w:val="clear" w:color="auto" w:fill="E5F1FF"/>
            <w:noWrap/>
            <w:vAlign w:val="center"/>
            <w:hideMark/>
          </w:tcPr>
          <w:p w14:paraId="269378DA" w14:textId="69D4B3C2" w:rsidR="00B57597" w:rsidRPr="00CA56AB" w:rsidRDefault="00B57597" w:rsidP="00776507">
            <w:pPr>
              <w:keepNext/>
              <w:spacing w:after="0"/>
              <w:jc w:val="center"/>
              <w:rPr>
                <w:rFonts w:cs="Calibri"/>
                <w:b/>
                <w:bCs/>
                <w:color w:val="000000"/>
                <w:sz w:val="18"/>
                <w:szCs w:val="18"/>
                <w:lang w:eastAsia="cs-CZ"/>
              </w:rPr>
            </w:pPr>
            <w:r w:rsidRPr="00CA56AB">
              <w:rPr>
                <w:b/>
                <w:bCs/>
                <w:color w:val="000000"/>
                <w:sz w:val="18"/>
                <w:szCs w:val="18"/>
              </w:rPr>
              <w:t>2018</w:t>
            </w:r>
            <w:r w:rsidR="002844FF">
              <w:rPr>
                <w:b/>
                <w:bCs/>
                <w:color w:val="000000"/>
                <w:sz w:val="18"/>
                <w:szCs w:val="18"/>
              </w:rPr>
              <w:t>–</w:t>
            </w:r>
            <w:r w:rsidRPr="00CA56AB">
              <w:rPr>
                <w:b/>
                <w:bCs/>
                <w:color w:val="000000"/>
                <w:sz w:val="18"/>
                <w:szCs w:val="18"/>
              </w:rPr>
              <w:t>2017</w:t>
            </w:r>
          </w:p>
        </w:tc>
        <w:tc>
          <w:tcPr>
            <w:tcW w:w="1560" w:type="dxa"/>
            <w:tcBorders>
              <w:top w:val="single" w:sz="4" w:space="0" w:color="auto"/>
              <w:left w:val="nil"/>
              <w:bottom w:val="single" w:sz="4" w:space="0" w:color="auto"/>
              <w:right w:val="single" w:sz="4" w:space="0" w:color="auto"/>
            </w:tcBorders>
            <w:shd w:val="clear" w:color="auto" w:fill="E5F1FF"/>
            <w:noWrap/>
            <w:vAlign w:val="center"/>
            <w:hideMark/>
          </w:tcPr>
          <w:p w14:paraId="02900B5B" w14:textId="200115EF" w:rsidR="00B57597" w:rsidRPr="00CA56AB" w:rsidRDefault="00B57597" w:rsidP="00776507">
            <w:pPr>
              <w:keepNext/>
              <w:spacing w:after="0"/>
              <w:jc w:val="center"/>
              <w:rPr>
                <w:rFonts w:cs="Calibri"/>
                <w:b/>
                <w:bCs/>
                <w:color w:val="000000"/>
                <w:sz w:val="18"/>
                <w:szCs w:val="18"/>
                <w:lang w:eastAsia="cs-CZ"/>
              </w:rPr>
            </w:pPr>
            <w:r w:rsidRPr="00CA56AB">
              <w:rPr>
                <w:b/>
                <w:bCs/>
                <w:color w:val="000000"/>
                <w:sz w:val="18"/>
                <w:szCs w:val="18"/>
              </w:rPr>
              <w:t>2019</w:t>
            </w:r>
            <w:r w:rsidR="002844FF">
              <w:rPr>
                <w:b/>
                <w:bCs/>
                <w:color w:val="000000"/>
                <w:sz w:val="18"/>
                <w:szCs w:val="18"/>
              </w:rPr>
              <w:t>–</w:t>
            </w:r>
            <w:r w:rsidRPr="00CA56AB">
              <w:rPr>
                <w:b/>
                <w:bCs/>
                <w:color w:val="000000"/>
                <w:sz w:val="18"/>
                <w:szCs w:val="18"/>
              </w:rPr>
              <w:t>2018</w:t>
            </w:r>
          </w:p>
        </w:tc>
        <w:tc>
          <w:tcPr>
            <w:tcW w:w="1560" w:type="dxa"/>
            <w:tcBorders>
              <w:top w:val="single" w:sz="4" w:space="0" w:color="auto"/>
              <w:left w:val="nil"/>
              <w:bottom w:val="single" w:sz="4" w:space="0" w:color="auto"/>
              <w:right w:val="single" w:sz="4" w:space="0" w:color="auto"/>
            </w:tcBorders>
            <w:shd w:val="clear" w:color="auto" w:fill="E5F1FF"/>
            <w:vAlign w:val="center"/>
          </w:tcPr>
          <w:p w14:paraId="6B105276" w14:textId="64B34059" w:rsidR="00B57597" w:rsidRPr="00CA56AB" w:rsidRDefault="00B57597" w:rsidP="00776507">
            <w:pPr>
              <w:keepNext/>
              <w:spacing w:after="0"/>
              <w:jc w:val="center"/>
              <w:rPr>
                <w:rFonts w:cs="Calibri"/>
                <w:b/>
                <w:bCs/>
                <w:color w:val="000000"/>
                <w:sz w:val="18"/>
                <w:szCs w:val="18"/>
                <w:lang w:eastAsia="cs-CZ"/>
              </w:rPr>
            </w:pPr>
            <w:r w:rsidRPr="00CA56AB">
              <w:rPr>
                <w:b/>
                <w:bCs/>
                <w:color w:val="000000"/>
                <w:sz w:val="18"/>
                <w:szCs w:val="18"/>
              </w:rPr>
              <w:t>2020</w:t>
            </w:r>
            <w:r w:rsidR="002844FF">
              <w:rPr>
                <w:b/>
                <w:bCs/>
                <w:color w:val="000000"/>
                <w:sz w:val="18"/>
                <w:szCs w:val="18"/>
              </w:rPr>
              <w:t>–</w:t>
            </w:r>
            <w:r w:rsidRPr="00CA56AB">
              <w:rPr>
                <w:b/>
                <w:bCs/>
                <w:color w:val="000000"/>
                <w:sz w:val="18"/>
                <w:szCs w:val="18"/>
              </w:rPr>
              <w:t>2019</w:t>
            </w:r>
          </w:p>
        </w:tc>
      </w:tr>
      <w:tr w:rsidR="00B57597" w:rsidRPr="00CA56AB" w14:paraId="35ECDA72"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FBED" w14:textId="77777777" w:rsidR="00B57597" w:rsidRPr="00CA56AB" w:rsidRDefault="00B57597" w:rsidP="00776507">
            <w:pPr>
              <w:keepNext/>
              <w:spacing w:after="0"/>
              <w:rPr>
                <w:rFonts w:cs="Calibri"/>
                <w:bCs/>
                <w:color w:val="000000"/>
                <w:sz w:val="18"/>
                <w:szCs w:val="18"/>
                <w:lang w:eastAsia="cs-CZ"/>
              </w:rPr>
            </w:pPr>
            <w:r w:rsidRPr="00CA56AB">
              <w:rPr>
                <w:color w:val="000000"/>
                <w:sz w:val="18"/>
                <w:szCs w:val="18"/>
              </w:rPr>
              <w:t>Příjmy (v Kč)</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8768F56" w14:textId="4BB87DF5" w:rsidR="00B57597" w:rsidRPr="00CA56AB" w:rsidRDefault="002844FF" w:rsidP="00776507">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2 948 964 497,34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65A0B9" w14:textId="7FC501DB" w:rsidR="00B57597" w:rsidRPr="00CA56AB" w:rsidRDefault="002844FF" w:rsidP="00776507">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568 840 513,52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0D3A1D0" w14:textId="77777777"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12 939 287 376,87</w:t>
            </w:r>
          </w:p>
        </w:tc>
        <w:tc>
          <w:tcPr>
            <w:tcW w:w="1560" w:type="dxa"/>
            <w:tcBorders>
              <w:top w:val="single" w:sz="4" w:space="0" w:color="auto"/>
              <w:left w:val="nil"/>
              <w:bottom w:val="single" w:sz="4" w:space="0" w:color="auto"/>
              <w:right w:val="single" w:sz="4" w:space="0" w:color="auto"/>
            </w:tcBorders>
            <w:vAlign w:val="center"/>
          </w:tcPr>
          <w:p w14:paraId="41F382C7" w14:textId="77777777"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5 285 158 783,48</w:t>
            </w:r>
          </w:p>
        </w:tc>
      </w:tr>
      <w:tr w:rsidR="00B57597" w:rsidRPr="00CA56AB" w14:paraId="11F609A0"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50C32" w14:textId="77777777" w:rsidR="00B57597" w:rsidRPr="00CA56AB" w:rsidRDefault="00B57597" w:rsidP="00776507">
            <w:pPr>
              <w:keepNext/>
              <w:spacing w:after="0"/>
              <w:rPr>
                <w:rFonts w:cs="Calibri"/>
                <w:bCs/>
                <w:color w:val="000000"/>
                <w:sz w:val="18"/>
                <w:szCs w:val="18"/>
                <w:lang w:eastAsia="cs-CZ"/>
              </w:rPr>
            </w:pPr>
            <w:r w:rsidRPr="00CA56AB">
              <w:rPr>
                <w:color w:val="000000"/>
                <w:sz w:val="18"/>
                <w:szCs w:val="18"/>
              </w:rPr>
              <w:t>Výdaje (v Kč)</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D31D0A0" w14:textId="77777777"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12 346 343 239,83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B1D6AA2" w14:textId="77777777"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4 698 634 472,14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290A0E4" w14:textId="77777777"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2 213 271 744,79</w:t>
            </w:r>
          </w:p>
        </w:tc>
        <w:tc>
          <w:tcPr>
            <w:tcW w:w="1560" w:type="dxa"/>
            <w:tcBorders>
              <w:top w:val="single" w:sz="4" w:space="0" w:color="auto"/>
              <w:left w:val="nil"/>
              <w:bottom w:val="single" w:sz="4" w:space="0" w:color="auto"/>
              <w:right w:val="single" w:sz="4" w:space="0" w:color="auto"/>
            </w:tcBorders>
            <w:vAlign w:val="center"/>
          </w:tcPr>
          <w:p w14:paraId="31793514" w14:textId="77777777"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13 282 184 229,34</w:t>
            </w:r>
          </w:p>
        </w:tc>
      </w:tr>
      <w:tr w:rsidR="00B57597" w:rsidRPr="00CA56AB" w14:paraId="3043630E"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E5F1FF"/>
            <w:noWrap/>
            <w:vAlign w:val="center"/>
          </w:tcPr>
          <w:p w14:paraId="26DBEBEF" w14:textId="43E5374E" w:rsidR="00B57597" w:rsidRPr="00CA56AB" w:rsidRDefault="00B57597" w:rsidP="00776507">
            <w:pPr>
              <w:keepNext/>
              <w:spacing w:after="0"/>
              <w:rPr>
                <w:rFonts w:cs="Calibri"/>
                <w:b/>
                <w:bCs/>
                <w:color w:val="000000"/>
                <w:sz w:val="18"/>
                <w:szCs w:val="18"/>
                <w:lang w:eastAsia="cs-CZ"/>
              </w:rPr>
            </w:pPr>
            <w:r w:rsidRPr="00CA56AB">
              <w:rPr>
                <w:b/>
                <w:bCs/>
                <w:color w:val="000000"/>
                <w:sz w:val="18"/>
                <w:szCs w:val="18"/>
              </w:rPr>
              <w:t>Tempo růstu v % (relativní změna) (((x+1)</w:t>
            </w:r>
            <w:r w:rsidR="00B348F5">
              <w:rPr>
                <w:rFonts w:cs="Calibri"/>
                <w:b/>
                <w:bCs/>
                <w:color w:val="000000"/>
                <w:sz w:val="18"/>
                <w:szCs w:val="18"/>
              </w:rPr>
              <w:t>−</w:t>
            </w:r>
            <w:r w:rsidRPr="00CA56AB">
              <w:rPr>
                <w:b/>
                <w:bCs/>
                <w:color w:val="000000"/>
                <w:sz w:val="18"/>
                <w:szCs w:val="18"/>
              </w:rPr>
              <w:t>x)/x)*100</w:t>
            </w:r>
          </w:p>
        </w:tc>
        <w:tc>
          <w:tcPr>
            <w:tcW w:w="1559" w:type="dxa"/>
            <w:tcBorders>
              <w:top w:val="single" w:sz="4" w:space="0" w:color="auto"/>
              <w:left w:val="nil"/>
              <w:bottom w:val="single" w:sz="4" w:space="0" w:color="auto"/>
              <w:right w:val="single" w:sz="4" w:space="0" w:color="auto"/>
            </w:tcBorders>
            <w:shd w:val="clear" w:color="auto" w:fill="E5F1FF"/>
            <w:noWrap/>
            <w:vAlign w:val="center"/>
          </w:tcPr>
          <w:p w14:paraId="5DF6FB20" w14:textId="77777777" w:rsidR="00B57597" w:rsidRPr="00CA56AB" w:rsidRDefault="00B57597" w:rsidP="00776507">
            <w:pPr>
              <w:keepNext/>
              <w:spacing w:after="0"/>
              <w:jc w:val="center"/>
              <w:rPr>
                <w:rFonts w:eastAsia="Calibri" w:cs="Calibri"/>
                <w:b/>
                <w:color w:val="000000"/>
                <w:sz w:val="18"/>
                <w:szCs w:val="18"/>
              </w:rPr>
            </w:pPr>
            <w:r w:rsidRPr="00CA56AB">
              <w:rPr>
                <w:b/>
                <w:bCs/>
                <w:color w:val="000000"/>
                <w:sz w:val="18"/>
                <w:szCs w:val="18"/>
              </w:rPr>
              <w:t>2017/2016</w:t>
            </w:r>
          </w:p>
        </w:tc>
        <w:tc>
          <w:tcPr>
            <w:tcW w:w="1559" w:type="dxa"/>
            <w:tcBorders>
              <w:top w:val="single" w:sz="4" w:space="0" w:color="auto"/>
              <w:left w:val="nil"/>
              <w:bottom w:val="single" w:sz="4" w:space="0" w:color="auto"/>
              <w:right w:val="single" w:sz="4" w:space="0" w:color="auto"/>
            </w:tcBorders>
            <w:shd w:val="clear" w:color="auto" w:fill="E5F1FF"/>
            <w:noWrap/>
            <w:vAlign w:val="center"/>
          </w:tcPr>
          <w:p w14:paraId="670CE984" w14:textId="77777777" w:rsidR="00B57597" w:rsidRPr="00CA56AB" w:rsidRDefault="00B57597" w:rsidP="00776507">
            <w:pPr>
              <w:keepNext/>
              <w:spacing w:after="0"/>
              <w:jc w:val="center"/>
              <w:rPr>
                <w:rFonts w:eastAsia="Calibri" w:cs="Calibri"/>
                <w:b/>
                <w:color w:val="000000"/>
                <w:sz w:val="18"/>
                <w:szCs w:val="18"/>
              </w:rPr>
            </w:pPr>
            <w:r w:rsidRPr="00CA56AB">
              <w:rPr>
                <w:b/>
                <w:bCs/>
                <w:color w:val="000000"/>
                <w:sz w:val="18"/>
                <w:szCs w:val="18"/>
              </w:rPr>
              <w:t>2018/2017</w:t>
            </w:r>
          </w:p>
        </w:tc>
        <w:tc>
          <w:tcPr>
            <w:tcW w:w="1560" w:type="dxa"/>
            <w:tcBorders>
              <w:top w:val="single" w:sz="4" w:space="0" w:color="auto"/>
              <w:left w:val="nil"/>
              <w:bottom w:val="single" w:sz="4" w:space="0" w:color="auto"/>
              <w:right w:val="single" w:sz="4" w:space="0" w:color="auto"/>
            </w:tcBorders>
            <w:shd w:val="clear" w:color="auto" w:fill="E5F1FF"/>
            <w:noWrap/>
            <w:vAlign w:val="center"/>
          </w:tcPr>
          <w:p w14:paraId="7567668F" w14:textId="77777777" w:rsidR="00B57597" w:rsidRPr="00CA56AB" w:rsidRDefault="00B57597" w:rsidP="00776507">
            <w:pPr>
              <w:keepNext/>
              <w:spacing w:after="0"/>
              <w:jc w:val="center"/>
              <w:rPr>
                <w:rFonts w:eastAsia="Calibri" w:cs="Calibri"/>
                <w:b/>
                <w:color w:val="000000"/>
                <w:sz w:val="18"/>
                <w:szCs w:val="18"/>
              </w:rPr>
            </w:pPr>
            <w:r w:rsidRPr="00CA56AB">
              <w:rPr>
                <w:b/>
                <w:bCs/>
                <w:color w:val="000000"/>
                <w:sz w:val="18"/>
                <w:szCs w:val="18"/>
              </w:rPr>
              <w:t>2019/2018</w:t>
            </w:r>
          </w:p>
        </w:tc>
        <w:tc>
          <w:tcPr>
            <w:tcW w:w="1560" w:type="dxa"/>
            <w:tcBorders>
              <w:top w:val="single" w:sz="4" w:space="0" w:color="auto"/>
              <w:left w:val="nil"/>
              <w:bottom w:val="single" w:sz="4" w:space="0" w:color="auto"/>
              <w:right w:val="single" w:sz="4" w:space="0" w:color="auto"/>
            </w:tcBorders>
            <w:shd w:val="clear" w:color="auto" w:fill="E5F1FF"/>
            <w:vAlign w:val="center"/>
          </w:tcPr>
          <w:p w14:paraId="1AD67496" w14:textId="77777777" w:rsidR="00B57597" w:rsidRPr="00CA56AB" w:rsidRDefault="00B57597" w:rsidP="00776507">
            <w:pPr>
              <w:keepNext/>
              <w:spacing w:after="0"/>
              <w:jc w:val="center"/>
              <w:rPr>
                <w:rFonts w:eastAsia="Calibri" w:cs="Calibri"/>
                <w:b/>
                <w:color w:val="000000"/>
                <w:sz w:val="18"/>
                <w:szCs w:val="18"/>
              </w:rPr>
            </w:pPr>
            <w:r w:rsidRPr="00CA56AB">
              <w:rPr>
                <w:b/>
                <w:bCs/>
                <w:color w:val="000000"/>
                <w:sz w:val="18"/>
                <w:szCs w:val="18"/>
              </w:rPr>
              <w:t>2020/2019</w:t>
            </w:r>
          </w:p>
        </w:tc>
      </w:tr>
      <w:tr w:rsidR="00B57597" w:rsidRPr="00CA56AB" w14:paraId="69558CA0"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BCB48" w14:textId="77777777" w:rsidR="00B57597" w:rsidRPr="00CA56AB" w:rsidRDefault="00B57597" w:rsidP="00776507">
            <w:pPr>
              <w:keepNext/>
              <w:spacing w:after="0"/>
              <w:rPr>
                <w:rFonts w:cs="Calibri"/>
                <w:bCs/>
                <w:color w:val="000000"/>
                <w:sz w:val="18"/>
                <w:szCs w:val="18"/>
                <w:lang w:eastAsia="cs-CZ"/>
              </w:rPr>
            </w:pPr>
            <w:r w:rsidRPr="00CA56AB">
              <w:rPr>
                <w:color w:val="000000"/>
                <w:sz w:val="18"/>
                <w:szCs w:val="18"/>
              </w:rPr>
              <w:t>Příjmy</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F24FAA" w14:textId="4B8771D8" w:rsidR="00B57597" w:rsidRPr="00CA56AB" w:rsidRDefault="002844FF" w:rsidP="00776507">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27,01</w:t>
            </w:r>
            <w:r>
              <w:rPr>
                <w:color w:val="000000"/>
                <w:sz w:val="18"/>
                <w:szCs w:val="18"/>
              </w:rPr>
              <w:t> </w:t>
            </w:r>
            <w:r w:rsidR="00B57597" w:rsidRPr="00CA56AB">
              <w:rPr>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EE703AC" w14:textId="26274263" w:rsidR="00B57597" w:rsidRPr="00CA56AB" w:rsidRDefault="002844FF" w:rsidP="00776507">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7,14</w:t>
            </w:r>
            <w:r>
              <w:rPr>
                <w:color w:val="000000"/>
                <w:sz w:val="18"/>
                <w:szCs w:val="18"/>
              </w:rPr>
              <w:t> </w:t>
            </w:r>
            <w:r w:rsidR="00B57597" w:rsidRPr="00CA56AB">
              <w:rPr>
                <w:color w:val="000000"/>
                <w:sz w:val="18"/>
                <w:szCs w:val="18"/>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F84D24B" w14:textId="787C1399"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174,89</w:t>
            </w:r>
            <w:r w:rsidR="002844FF">
              <w:rPr>
                <w:color w:val="000000"/>
                <w:sz w:val="18"/>
                <w:szCs w:val="18"/>
              </w:rPr>
              <w:t> </w:t>
            </w:r>
            <w:r w:rsidRPr="00CA56AB">
              <w:rPr>
                <w:color w:val="000000"/>
                <w:sz w:val="18"/>
                <w:szCs w:val="18"/>
              </w:rPr>
              <w:t>%</w:t>
            </w:r>
          </w:p>
        </w:tc>
        <w:tc>
          <w:tcPr>
            <w:tcW w:w="1560" w:type="dxa"/>
            <w:tcBorders>
              <w:top w:val="single" w:sz="4" w:space="0" w:color="auto"/>
              <w:left w:val="nil"/>
              <w:bottom w:val="single" w:sz="4" w:space="0" w:color="auto"/>
              <w:right w:val="single" w:sz="4" w:space="0" w:color="auto"/>
            </w:tcBorders>
            <w:vAlign w:val="center"/>
          </w:tcPr>
          <w:p w14:paraId="25848E58" w14:textId="0F0DAE55"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25,99</w:t>
            </w:r>
            <w:r w:rsidR="002844FF">
              <w:rPr>
                <w:color w:val="000000"/>
                <w:sz w:val="18"/>
                <w:szCs w:val="18"/>
              </w:rPr>
              <w:t> </w:t>
            </w:r>
            <w:r w:rsidRPr="00CA56AB">
              <w:rPr>
                <w:color w:val="000000"/>
                <w:sz w:val="18"/>
                <w:szCs w:val="18"/>
              </w:rPr>
              <w:t>%</w:t>
            </w:r>
          </w:p>
        </w:tc>
      </w:tr>
      <w:tr w:rsidR="00B57597" w:rsidRPr="00CA56AB" w14:paraId="6CD2ABEB"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0BAFB" w14:textId="77777777" w:rsidR="00B57597" w:rsidRPr="00CA56AB" w:rsidRDefault="00B57597" w:rsidP="00776507">
            <w:pPr>
              <w:keepNext/>
              <w:spacing w:after="0"/>
              <w:rPr>
                <w:rFonts w:cs="Calibri"/>
                <w:bCs/>
                <w:color w:val="000000"/>
                <w:sz w:val="18"/>
                <w:szCs w:val="18"/>
                <w:lang w:eastAsia="cs-CZ"/>
              </w:rPr>
            </w:pPr>
            <w:r w:rsidRPr="00CA56AB">
              <w:rPr>
                <w:color w:val="000000"/>
                <w:sz w:val="18"/>
                <w:szCs w:val="18"/>
              </w:rPr>
              <w:t>Výdaje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11F564" w14:textId="1BC5A99D"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45,64</w:t>
            </w:r>
            <w:r w:rsidR="002844FF">
              <w:rPr>
                <w:color w:val="000000"/>
                <w:sz w:val="18"/>
                <w:szCs w:val="18"/>
              </w:rPr>
              <w:t> </w:t>
            </w:r>
            <w:r w:rsidRPr="00CA56AB">
              <w:rPr>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8FFDEBC" w14:textId="0427E9E9"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11,93</w:t>
            </w:r>
            <w:r w:rsidR="002844FF">
              <w:rPr>
                <w:color w:val="000000"/>
                <w:sz w:val="18"/>
                <w:szCs w:val="18"/>
              </w:rPr>
              <w:t> </w:t>
            </w:r>
            <w:r w:rsidRPr="00CA56AB">
              <w:rPr>
                <w:color w:val="000000"/>
                <w:sz w:val="18"/>
                <w:szCs w:val="18"/>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B10B13B" w14:textId="4B08BE88"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5,02</w:t>
            </w:r>
            <w:r w:rsidR="002844FF">
              <w:rPr>
                <w:color w:val="000000"/>
                <w:sz w:val="18"/>
                <w:szCs w:val="18"/>
              </w:rPr>
              <w:t> </w:t>
            </w:r>
            <w:r w:rsidRPr="00CA56AB">
              <w:rPr>
                <w:color w:val="000000"/>
                <w:sz w:val="18"/>
                <w:szCs w:val="18"/>
              </w:rPr>
              <w:t>%</w:t>
            </w:r>
          </w:p>
        </w:tc>
        <w:tc>
          <w:tcPr>
            <w:tcW w:w="1560" w:type="dxa"/>
            <w:tcBorders>
              <w:top w:val="single" w:sz="4" w:space="0" w:color="auto"/>
              <w:left w:val="nil"/>
              <w:bottom w:val="single" w:sz="4" w:space="0" w:color="auto"/>
              <w:right w:val="single" w:sz="4" w:space="0" w:color="auto"/>
            </w:tcBorders>
            <w:vAlign w:val="center"/>
          </w:tcPr>
          <w:p w14:paraId="0A6C0399" w14:textId="1AE5AF20" w:rsidR="00B57597" w:rsidRPr="00CA56AB" w:rsidRDefault="00B57597" w:rsidP="00776507">
            <w:pPr>
              <w:keepNext/>
              <w:spacing w:after="0"/>
              <w:jc w:val="right"/>
              <w:rPr>
                <w:rFonts w:eastAsia="Calibri" w:cs="Calibri"/>
                <w:color w:val="000000"/>
                <w:sz w:val="18"/>
                <w:szCs w:val="18"/>
              </w:rPr>
            </w:pPr>
            <w:r w:rsidRPr="00CA56AB">
              <w:rPr>
                <w:color w:val="000000"/>
                <w:sz w:val="18"/>
                <w:szCs w:val="18"/>
              </w:rPr>
              <w:t>28,68</w:t>
            </w:r>
            <w:r w:rsidR="002844FF">
              <w:rPr>
                <w:color w:val="000000"/>
                <w:sz w:val="18"/>
                <w:szCs w:val="18"/>
              </w:rPr>
              <w:t> </w:t>
            </w:r>
            <w:r w:rsidRPr="00CA56AB">
              <w:rPr>
                <w:color w:val="000000"/>
                <w:sz w:val="18"/>
                <w:szCs w:val="18"/>
              </w:rPr>
              <w:t>%</w:t>
            </w:r>
          </w:p>
        </w:tc>
      </w:tr>
    </w:tbl>
    <w:p w14:paraId="691A3E12" w14:textId="77777777" w:rsidR="00B57597" w:rsidRPr="00CA56AB" w:rsidRDefault="00B57597" w:rsidP="00B57597">
      <w:pPr>
        <w:spacing w:before="40"/>
        <w:rPr>
          <w:rFonts w:cs="Calibri"/>
          <w:color w:val="000000"/>
          <w:sz w:val="20"/>
          <w:szCs w:val="20"/>
          <w:lang w:eastAsia="cs-CZ"/>
        </w:rPr>
      </w:pPr>
      <w:r w:rsidRPr="00CA56AB">
        <w:rPr>
          <w:rFonts w:cs="Calibri"/>
          <w:b/>
          <w:color w:val="000000"/>
          <w:sz w:val="20"/>
          <w:szCs w:val="20"/>
          <w:lang w:eastAsia="cs-CZ"/>
        </w:rPr>
        <w:t xml:space="preserve">Zdroj: </w:t>
      </w:r>
      <w:r w:rsidRPr="00CA56AB">
        <w:rPr>
          <w:rFonts w:cs="Calibri"/>
          <w:color w:val="000000"/>
          <w:sz w:val="20"/>
          <w:szCs w:val="20"/>
          <w:lang w:eastAsia="cs-CZ"/>
        </w:rPr>
        <w:t>v</w:t>
      </w:r>
      <w:r>
        <w:rPr>
          <w:rFonts w:cs="Calibri"/>
          <w:color w:val="000000"/>
          <w:sz w:val="20"/>
          <w:szCs w:val="20"/>
          <w:lang w:eastAsia="cs-CZ"/>
        </w:rPr>
        <w:t>ýpočet vypracoval NKÚ</w:t>
      </w:r>
      <w:r w:rsidRPr="00CA56AB">
        <w:rPr>
          <w:rFonts w:cs="Calibri"/>
          <w:color w:val="000000"/>
          <w:sz w:val="20"/>
          <w:szCs w:val="20"/>
          <w:lang w:eastAsia="cs-CZ"/>
        </w:rPr>
        <w:t>.</w:t>
      </w:r>
    </w:p>
    <w:p w14:paraId="6828CB0B" w14:textId="77777777" w:rsidR="00B57597" w:rsidRPr="00CA56AB" w:rsidRDefault="00B57597" w:rsidP="00B57597">
      <w:pPr>
        <w:jc w:val="both"/>
        <w:rPr>
          <w:rFonts w:cs="Calibri"/>
        </w:rPr>
      </w:pPr>
      <w:r w:rsidRPr="00CA56AB">
        <w:rPr>
          <w:rFonts w:cs="Calibri"/>
        </w:rPr>
        <w:t>K největší relativní změně příjmů ve sledovaném období došlo u MPO mezi rokem 2018 a</w:t>
      </w:r>
      <w:r>
        <w:rPr>
          <w:rFonts w:cs="Calibri"/>
        </w:rPr>
        <w:t> </w:t>
      </w:r>
      <w:r w:rsidRPr="00CA56AB">
        <w:rPr>
          <w:rFonts w:cs="Calibri"/>
        </w:rPr>
        <w:t>2019, a to k nárůstu o 174,89 %. K největší relativní změně výdajů ve sledovaném období došlo u MPO mezi rokem 2016 a 2017, a to k nárůstu o 45,64 %.</w:t>
      </w:r>
    </w:p>
    <w:p w14:paraId="7417080C" w14:textId="1863CB10" w:rsidR="00B57597" w:rsidRPr="002333D6" w:rsidRDefault="00B57597" w:rsidP="002333D6">
      <w:pPr>
        <w:pStyle w:val="Titulek1"/>
        <w:tabs>
          <w:tab w:val="clear" w:pos="9356"/>
          <w:tab w:val="right" w:pos="9072"/>
        </w:tabs>
        <w:rPr>
          <w:sz w:val="24"/>
        </w:rPr>
      </w:pPr>
      <w:bookmarkStart w:id="63" w:name="_Toc520714327"/>
      <w:bookmarkStart w:id="64" w:name="_Toc8984534"/>
      <w:bookmarkStart w:id="65" w:name="_Toc72157475"/>
      <w:r w:rsidRPr="002333D6">
        <w:rPr>
          <w:sz w:val="24"/>
        </w:rPr>
        <w:t xml:space="preserve">Tabulka č. </w:t>
      </w:r>
      <w:r w:rsidR="00776507" w:rsidRPr="002333D6">
        <w:rPr>
          <w:sz w:val="24"/>
        </w:rPr>
        <w:fldChar w:fldCharType="begin"/>
      </w:r>
      <w:r w:rsidR="00776507" w:rsidRPr="002333D6">
        <w:rPr>
          <w:sz w:val="24"/>
        </w:rPr>
        <w:instrText xml:space="preserve"> SEQ Tabulka \* ARABIC </w:instrText>
      </w:r>
      <w:r w:rsidR="00776507" w:rsidRPr="002333D6">
        <w:rPr>
          <w:sz w:val="24"/>
        </w:rPr>
        <w:fldChar w:fldCharType="separate"/>
      </w:r>
      <w:r w:rsidR="00E544AA">
        <w:rPr>
          <w:noProof/>
          <w:sz w:val="24"/>
        </w:rPr>
        <w:t>18</w:t>
      </w:r>
      <w:r w:rsidR="00776507" w:rsidRPr="002333D6">
        <w:rPr>
          <w:noProof/>
          <w:sz w:val="24"/>
        </w:rPr>
        <w:fldChar w:fldCharType="end"/>
      </w:r>
      <w:r w:rsidRPr="002333D6">
        <w:rPr>
          <w:sz w:val="24"/>
        </w:rPr>
        <w:t>: Příjmy a výdaje OSS v rozpočtové kapitole 322 (bez MPO) (v Kč)</w:t>
      </w:r>
      <w:bookmarkEnd w:id="63"/>
      <w:bookmarkEnd w:id="64"/>
      <w:bookmarkEnd w:id="65"/>
    </w:p>
    <w:tbl>
      <w:tblPr>
        <w:tblW w:w="4998" w:type="pct"/>
        <w:tblCellMar>
          <w:left w:w="70" w:type="dxa"/>
          <w:right w:w="70" w:type="dxa"/>
        </w:tblCellMar>
        <w:tblLook w:val="04A0" w:firstRow="1" w:lastRow="0" w:firstColumn="1" w:lastColumn="0" w:noHBand="0" w:noVBand="1"/>
      </w:tblPr>
      <w:tblGrid>
        <w:gridCol w:w="1414"/>
        <w:gridCol w:w="1530"/>
        <w:gridCol w:w="1530"/>
        <w:gridCol w:w="1530"/>
        <w:gridCol w:w="1527"/>
        <w:gridCol w:w="1525"/>
      </w:tblGrid>
      <w:tr w:rsidR="00B57597" w:rsidRPr="00CA56AB" w14:paraId="7664CA8A" w14:textId="77777777" w:rsidTr="00B57597">
        <w:trPr>
          <w:trHeight w:val="255"/>
        </w:trPr>
        <w:tc>
          <w:tcPr>
            <w:tcW w:w="780"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329C98B1" w14:textId="77777777" w:rsidR="00B57597" w:rsidRPr="00CA56AB" w:rsidRDefault="00B57597" w:rsidP="002333D6">
            <w:pPr>
              <w:keepNext/>
              <w:spacing w:after="0"/>
              <w:rPr>
                <w:rFonts w:cs="Calibri"/>
                <w:b/>
                <w:bCs/>
                <w:color w:val="000000"/>
                <w:sz w:val="18"/>
                <w:szCs w:val="18"/>
                <w:lang w:eastAsia="cs-CZ"/>
              </w:rPr>
            </w:pPr>
            <w:r w:rsidRPr="00CA56AB">
              <w:rPr>
                <w:b/>
                <w:bCs/>
                <w:color w:val="000000"/>
                <w:sz w:val="18"/>
                <w:szCs w:val="18"/>
              </w:rPr>
              <w:t>Ukazatel</w:t>
            </w:r>
          </w:p>
        </w:tc>
        <w:tc>
          <w:tcPr>
            <w:tcW w:w="845" w:type="pct"/>
            <w:tcBorders>
              <w:top w:val="single" w:sz="4" w:space="0" w:color="auto"/>
              <w:left w:val="nil"/>
              <w:bottom w:val="single" w:sz="4" w:space="0" w:color="auto"/>
              <w:right w:val="single" w:sz="4" w:space="0" w:color="auto"/>
            </w:tcBorders>
            <w:shd w:val="clear" w:color="auto" w:fill="E5F1FF"/>
            <w:noWrap/>
            <w:vAlign w:val="center"/>
            <w:hideMark/>
          </w:tcPr>
          <w:p w14:paraId="3C9A87F5" w14:textId="77777777"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2016</w:t>
            </w:r>
          </w:p>
        </w:tc>
        <w:tc>
          <w:tcPr>
            <w:tcW w:w="845" w:type="pct"/>
            <w:tcBorders>
              <w:top w:val="single" w:sz="4" w:space="0" w:color="auto"/>
              <w:left w:val="nil"/>
              <w:bottom w:val="single" w:sz="4" w:space="0" w:color="auto"/>
              <w:right w:val="single" w:sz="4" w:space="0" w:color="auto"/>
            </w:tcBorders>
            <w:shd w:val="clear" w:color="auto" w:fill="E5F1FF"/>
            <w:noWrap/>
            <w:vAlign w:val="center"/>
            <w:hideMark/>
          </w:tcPr>
          <w:p w14:paraId="0F5E8AB0" w14:textId="77777777"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2017</w:t>
            </w:r>
          </w:p>
        </w:tc>
        <w:tc>
          <w:tcPr>
            <w:tcW w:w="845" w:type="pct"/>
            <w:tcBorders>
              <w:top w:val="single" w:sz="4" w:space="0" w:color="auto"/>
              <w:left w:val="nil"/>
              <w:bottom w:val="single" w:sz="4" w:space="0" w:color="auto"/>
              <w:right w:val="single" w:sz="4" w:space="0" w:color="auto"/>
            </w:tcBorders>
            <w:shd w:val="clear" w:color="auto" w:fill="E5F1FF"/>
            <w:noWrap/>
            <w:vAlign w:val="center"/>
            <w:hideMark/>
          </w:tcPr>
          <w:p w14:paraId="38FB3CC2" w14:textId="77777777"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2018</w:t>
            </w:r>
          </w:p>
        </w:tc>
        <w:tc>
          <w:tcPr>
            <w:tcW w:w="843" w:type="pct"/>
            <w:tcBorders>
              <w:top w:val="single" w:sz="4" w:space="0" w:color="auto"/>
              <w:left w:val="nil"/>
              <w:bottom w:val="single" w:sz="4" w:space="0" w:color="auto"/>
              <w:right w:val="single" w:sz="4" w:space="0" w:color="auto"/>
            </w:tcBorders>
            <w:shd w:val="clear" w:color="auto" w:fill="E5F1FF"/>
            <w:noWrap/>
            <w:vAlign w:val="center"/>
            <w:hideMark/>
          </w:tcPr>
          <w:p w14:paraId="1956A882" w14:textId="77777777"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2019</w:t>
            </w:r>
          </w:p>
        </w:tc>
        <w:tc>
          <w:tcPr>
            <w:tcW w:w="842" w:type="pct"/>
            <w:tcBorders>
              <w:top w:val="single" w:sz="4" w:space="0" w:color="auto"/>
              <w:left w:val="nil"/>
              <w:bottom w:val="single" w:sz="4" w:space="0" w:color="auto"/>
              <w:right w:val="single" w:sz="4" w:space="0" w:color="auto"/>
            </w:tcBorders>
            <w:shd w:val="clear" w:color="auto" w:fill="E5F1FF"/>
            <w:vAlign w:val="center"/>
          </w:tcPr>
          <w:p w14:paraId="2C8B4863" w14:textId="77777777"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2020</w:t>
            </w:r>
          </w:p>
        </w:tc>
      </w:tr>
      <w:tr w:rsidR="00B57597" w:rsidRPr="00CA56AB" w14:paraId="765E26E5" w14:textId="77777777" w:rsidTr="00B57597">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13BB0267" w14:textId="77777777" w:rsidR="00B57597" w:rsidRPr="00CA56AB" w:rsidRDefault="00B57597" w:rsidP="002333D6">
            <w:pPr>
              <w:keepNext/>
              <w:spacing w:after="0"/>
              <w:rPr>
                <w:rFonts w:cs="Calibri"/>
                <w:bCs/>
                <w:color w:val="000000"/>
                <w:sz w:val="18"/>
                <w:szCs w:val="18"/>
                <w:lang w:eastAsia="cs-CZ"/>
              </w:rPr>
            </w:pPr>
            <w:r w:rsidRPr="00CA56AB">
              <w:rPr>
                <w:color w:val="000000"/>
                <w:sz w:val="18"/>
                <w:szCs w:val="18"/>
              </w:rPr>
              <w:t>Příjmy celkem</w:t>
            </w:r>
          </w:p>
        </w:tc>
        <w:tc>
          <w:tcPr>
            <w:tcW w:w="845" w:type="pct"/>
            <w:tcBorders>
              <w:top w:val="nil"/>
              <w:left w:val="nil"/>
              <w:bottom w:val="single" w:sz="4" w:space="0" w:color="auto"/>
              <w:right w:val="single" w:sz="4" w:space="0" w:color="auto"/>
            </w:tcBorders>
            <w:shd w:val="clear" w:color="auto" w:fill="auto"/>
            <w:noWrap/>
            <w:vAlign w:val="center"/>
          </w:tcPr>
          <w:p w14:paraId="0857DD0C"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304 355 828,74</w:t>
            </w:r>
          </w:p>
        </w:tc>
        <w:tc>
          <w:tcPr>
            <w:tcW w:w="845" w:type="pct"/>
            <w:tcBorders>
              <w:top w:val="nil"/>
              <w:left w:val="nil"/>
              <w:bottom w:val="single" w:sz="4" w:space="0" w:color="auto"/>
              <w:right w:val="single" w:sz="4" w:space="0" w:color="auto"/>
            </w:tcBorders>
            <w:shd w:val="clear" w:color="auto" w:fill="auto"/>
            <w:noWrap/>
            <w:vAlign w:val="center"/>
          </w:tcPr>
          <w:p w14:paraId="2DC7CE9B"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284 511 872,52</w:t>
            </w:r>
          </w:p>
        </w:tc>
        <w:tc>
          <w:tcPr>
            <w:tcW w:w="845" w:type="pct"/>
            <w:tcBorders>
              <w:top w:val="nil"/>
              <w:left w:val="nil"/>
              <w:bottom w:val="single" w:sz="4" w:space="0" w:color="auto"/>
              <w:right w:val="single" w:sz="4" w:space="0" w:color="auto"/>
            </w:tcBorders>
            <w:shd w:val="clear" w:color="auto" w:fill="auto"/>
            <w:noWrap/>
            <w:vAlign w:val="center"/>
          </w:tcPr>
          <w:p w14:paraId="654DE174"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232 932 091,46</w:t>
            </w:r>
          </w:p>
        </w:tc>
        <w:tc>
          <w:tcPr>
            <w:tcW w:w="843" w:type="pct"/>
            <w:tcBorders>
              <w:top w:val="nil"/>
              <w:left w:val="nil"/>
              <w:bottom w:val="single" w:sz="4" w:space="0" w:color="auto"/>
              <w:right w:val="single" w:sz="4" w:space="0" w:color="auto"/>
            </w:tcBorders>
            <w:shd w:val="clear" w:color="auto" w:fill="auto"/>
            <w:noWrap/>
            <w:vAlign w:val="center"/>
          </w:tcPr>
          <w:p w14:paraId="77CF147A"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215 750 179,75</w:t>
            </w:r>
          </w:p>
        </w:tc>
        <w:tc>
          <w:tcPr>
            <w:tcW w:w="842" w:type="pct"/>
            <w:tcBorders>
              <w:top w:val="nil"/>
              <w:left w:val="nil"/>
              <w:bottom w:val="single" w:sz="4" w:space="0" w:color="auto"/>
              <w:right w:val="single" w:sz="4" w:space="0" w:color="auto"/>
            </w:tcBorders>
            <w:vAlign w:val="center"/>
          </w:tcPr>
          <w:p w14:paraId="5E517764"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160 416 696,43</w:t>
            </w:r>
          </w:p>
        </w:tc>
      </w:tr>
      <w:tr w:rsidR="00B57597" w:rsidRPr="00CA56AB" w14:paraId="1735BEA3" w14:textId="77777777" w:rsidTr="00B57597">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15070ACB" w14:textId="77777777" w:rsidR="00B57597" w:rsidRPr="00CA56AB" w:rsidRDefault="00B57597" w:rsidP="002333D6">
            <w:pPr>
              <w:keepNext/>
              <w:spacing w:after="0"/>
              <w:rPr>
                <w:rFonts w:cs="Calibri"/>
                <w:bCs/>
                <w:color w:val="000000"/>
                <w:sz w:val="18"/>
                <w:szCs w:val="18"/>
                <w:lang w:eastAsia="cs-CZ"/>
              </w:rPr>
            </w:pPr>
            <w:r w:rsidRPr="00CA56AB">
              <w:rPr>
                <w:color w:val="000000"/>
                <w:sz w:val="18"/>
                <w:szCs w:val="18"/>
              </w:rPr>
              <w:t>Výdaje celkem</w:t>
            </w:r>
          </w:p>
        </w:tc>
        <w:tc>
          <w:tcPr>
            <w:tcW w:w="845" w:type="pct"/>
            <w:tcBorders>
              <w:top w:val="nil"/>
              <w:left w:val="nil"/>
              <w:bottom w:val="single" w:sz="4" w:space="0" w:color="auto"/>
              <w:right w:val="single" w:sz="4" w:space="0" w:color="auto"/>
            </w:tcBorders>
            <w:shd w:val="clear" w:color="auto" w:fill="auto"/>
            <w:noWrap/>
            <w:vAlign w:val="center"/>
          </w:tcPr>
          <w:p w14:paraId="4A35BAED"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686 332 979,22</w:t>
            </w:r>
          </w:p>
        </w:tc>
        <w:tc>
          <w:tcPr>
            <w:tcW w:w="845" w:type="pct"/>
            <w:tcBorders>
              <w:top w:val="nil"/>
              <w:left w:val="nil"/>
              <w:bottom w:val="single" w:sz="4" w:space="0" w:color="auto"/>
              <w:right w:val="single" w:sz="4" w:space="0" w:color="auto"/>
            </w:tcBorders>
            <w:shd w:val="clear" w:color="auto" w:fill="auto"/>
            <w:noWrap/>
            <w:vAlign w:val="center"/>
          </w:tcPr>
          <w:p w14:paraId="0A51043F"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1 273 575 086,17</w:t>
            </w:r>
          </w:p>
        </w:tc>
        <w:tc>
          <w:tcPr>
            <w:tcW w:w="845" w:type="pct"/>
            <w:tcBorders>
              <w:top w:val="nil"/>
              <w:left w:val="nil"/>
              <w:bottom w:val="single" w:sz="4" w:space="0" w:color="auto"/>
              <w:right w:val="single" w:sz="4" w:space="0" w:color="auto"/>
            </w:tcBorders>
            <w:shd w:val="clear" w:color="auto" w:fill="auto"/>
            <w:noWrap/>
            <w:vAlign w:val="center"/>
          </w:tcPr>
          <w:p w14:paraId="611C98CF"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1 294 263 854,49</w:t>
            </w:r>
          </w:p>
        </w:tc>
        <w:tc>
          <w:tcPr>
            <w:tcW w:w="843" w:type="pct"/>
            <w:tcBorders>
              <w:top w:val="nil"/>
              <w:left w:val="nil"/>
              <w:bottom w:val="single" w:sz="4" w:space="0" w:color="auto"/>
              <w:right w:val="single" w:sz="4" w:space="0" w:color="auto"/>
            </w:tcBorders>
            <w:shd w:val="clear" w:color="auto" w:fill="auto"/>
            <w:noWrap/>
            <w:vAlign w:val="center"/>
          </w:tcPr>
          <w:p w14:paraId="211F38AF"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1 342 143 928,32</w:t>
            </w:r>
          </w:p>
        </w:tc>
        <w:tc>
          <w:tcPr>
            <w:tcW w:w="842" w:type="pct"/>
            <w:tcBorders>
              <w:top w:val="nil"/>
              <w:left w:val="nil"/>
              <w:bottom w:val="single" w:sz="4" w:space="0" w:color="auto"/>
              <w:right w:val="single" w:sz="4" w:space="0" w:color="auto"/>
            </w:tcBorders>
            <w:vAlign w:val="center"/>
          </w:tcPr>
          <w:p w14:paraId="45CE523D"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1 315 503 076,12</w:t>
            </w:r>
          </w:p>
        </w:tc>
      </w:tr>
    </w:tbl>
    <w:p w14:paraId="03DF29D7" w14:textId="77777777" w:rsidR="00B57597" w:rsidRPr="00CF36BE" w:rsidRDefault="00B57597" w:rsidP="00B57597">
      <w:pPr>
        <w:spacing w:before="40"/>
        <w:rPr>
          <w:rFonts w:cs="Calibri"/>
          <w:color w:val="000000"/>
          <w:sz w:val="20"/>
          <w:szCs w:val="20"/>
          <w:lang w:eastAsia="cs-CZ"/>
        </w:rPr>
      </w:pPr>
      <w:bookmarkStart w:id="66" w:name="_Toc520714328"/>
      <w:r w:rsidRPr="00CF36BE">
        <w:rPr>
          <w:rFonts w:cs="Calibri"/>
          <w:b/>
          <w:color w:val="000000"/>
          <w:sz w:val="20"/>
          <w:szCs w:val="20"/>
          <w:lang w:eastAsia="cs-CZ"/>
        </w:rPr>
        <w:t xml:space="preserve">Zdroj: </w:t>
      </w:r>
      <w:r w:rsidRPr="00CF36BE">
        <w:rPr>
          <w:rFonts w:cs="Calibri"/>
          <w:color w:val="000000"/>
          <w:sz w:val="20"/>
          <w:szCs w:val="20"/>
          <w:lang w:eastAsia="cs-CZ"/>
        </w:rPr>
        <w:t>informační portál MONITOR.</w:t>
      </w:r>
    </w:p>
    <w:p w14:paraId="0A36FA42" w14:textId="4BAF34A2" w:rsidR="00B57597" w:rsidRPr="002333D6" w:rsidRDefault="00B57597" w:rsidP="002333D6">
      <w:pPr>
        <w:pStyle w:val="Titulek1"/>
        <w:rPr>
          <w:sz w:val="24"/>
        </w:rPr>
      </w:pPr>
      <w:bookmarkStart w:id="67" w:name="_Toc8984535"/>
      <w:bookmarkStart w:id="68" w:name="_Toc72157476"/>
      <w:r w:rsidRPr="002333D6">
        <w:rPr>
          <w:sz w:val="24"/>
        </w:rPr>
        <w:t xml:space="preserve">Tabulka č. </w:t>
      </w:r>
      <w:r w:rsidR="00776507" w:rsidRPr="002333D6">
        <w:rPr>
          <w:sz w:val="24"/>
        </w:rPr>
        <w:fldChar w:fldCharType="begin"/>
      </w:r>
      <w:r w:rsidR="00776507" w:rsidRPr="002333D6">
        <w:rPr>
          <w:sz w:val="24"/>
        </w:rPr>
        <w:instrText xml:space="preserve"> SEQ Tabulka \* ARABIC </w:instrText>
      </w:r>
      <w:r w:rsidR="00776507" w:rsidRPr="002333D6">
        <w:rPr>
          <w:sz w:val="24"/>
        </w:rPr>
        <w:fldChar w:fldCharType="separate"/>
      </w:r>
      <w:r w:rsidR="00E544AA">
        <w:rPr>
          <w:noProof/>
          <w:sz w:val="24"/>
        </w:rPr>
        <w:t>19</w:t>
      </w:r>
      <w:r w:rsidR="00776507" w:rsidRPr="002333D6">
        <w:rPr>
          <w:noProof/>
          <w:sz w:val="24"/>
        </w:rPr>
        <w:fldChar w:fldCharType="end"/>
      </w:r>
      <w:r w:rsidRPr="002333D6">
        <w:rPr>
          <w:sz w:val="24"/>
        </w:rPr>
        <w:t>: Tempo růstu příjmů a výdajů OSS v rozpočtové kapitole 322 (bez MPO)</w:t>
      </w:r>
      <w:bookmarkEnd w:id="66"/>
      <w:bookmarkEnd w:id="67"/>
      <w:bookmarkEnd w:id="68"/>
    </w:p>
    <w:tbl>
      <w:tblPr>
        <w:tblW w:w="9068" w:type="dxa"/>
        <w:tblLayout w:type="fixed"/>
        <w:tblCellMar>
          <w:left w:w="70" w:type="dxa"/>
          <w:right w:w="70" w:type="dxa"/>
        </w:tblCellMar>
        <w:tblLook w:val="04A0" w:firstRow="1" w:lastRow="0" w:firstColumn="1" w:lastColumn="0" w:noHBand="0" w:noVBand="1"/>
      </w:tblPr>
      <w:tblGrid>
        <w:gridCol w:w="2972"/>
        <w:gridCol w:w="1524"/>
        <w:gridCol w:w="1524"/>
        <w:gridCol w:w="1524"/>
        <w:gridCol w:w="1524"/>
      </w:tblGrid>
      <w:tr w:rsidR="00B57597" w:rsidRPr="00CA56AB" w14:paraId="7963BF36" w14:textId="77777777" w:rsidTr="00B57597">
        <w:trPr>
          <w:trHeight w:val="255"/>
        </w:trPr>
        <w:tc>
          <w:tcPr>
            <w:tcW w:w="2972"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7A2B6D92" w14:textId="77777777" w:rsidR="00B57597" w:rsidRPr="00CA56AB" w:rsidRDefault="00B57597" w:rsidP="002333D6">
            <w:pPr>
              <w:keepNext/>
              <w:spacing w:after="0"/>
              <w:rPr>
                <w:rFonts w:cs="Calibri"/>
                <w:b/>
                <w:bCs/>
                <w:color w:val="000000"/>
                <w:sz w:val="18"/>
                <w:szCs w:val="18"/>
                <w:lang w:eastAsia="cs-CZ"/>
              </w:rPr>
            </w:pPr>
            <w:r w:rsidRPr="00CA56AB">
              <w:rPr>
                <w:b/>
                <w:bCs/>
                <w:color w:val="000000"/>
                <w:sz w:val="18"/>
                <w:szCs w:val="18"/>
              </w:rPr>
              <w:t>Tempo růstu (absolutní změna)</w:t>
            </w:r>
          </w:p>
        </w:tc>
        <w:tc>
          <w:tcPr>
            <w:tcW w:w="1524" w:type="dxa"/>
            <w:tcBorders>
              <w:top w:val="single" w:sz="4" w:space="0" w:color="auto"/>
              <w:left w:val="nil"/>
              <w:bottom w:val="single" w:sz="4" w:space="0" w:color="auto"/>
              <w:right w:val="single" w:sz="4" w:space="0" w:color="auto"/>
            </w:tcBorders>
            <w:shd w:val="clear" w:color="auto" w:fill="E5F1FF"/>
            <w:noWrap/>
            <w:vAlign w:val="center"/>
            <w:hideMark/>
          </w:tcPr>
          <w:p w14:paraId="6F1771B2" w14:textId="4B2A9E6A"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2017</w:t>
            </w:r>
            <w:r w:rsidR="00297E9E">
              <w:rPr>
                <w:b/>
                <w:bCs/>
                <w:color w:val="000000"/>
                <w:sz w:val="18"/>
                <w:szCs w:val="18"/>
              </w:rPr>
              <w:t>–</w:t>
            </w:r>
            <w:r w:rsidRPr="00CA56AB">
              <w:rPr>
                <w:b/>
                <w:bCs/>
                <w:color w:val="000000"/>
                <w:sz w:val="18"/>
                <w:szCs w:val="18"/>
              </w:rPr>
              <w:t>2016</w:t>
            </w:r>
          </w:p>
        </w:tc>
        <w:tc>
          <w:tcPr>
            <w:tcW w:w="1524" w:type="dxa"/>
            <w:tcBorders>
              <w:top w:val="single" w:sz="4" w:space="0" w:color="auto"/>
              <w:left w:val="nil"/>
              <w:bottom w:val="single" w:sz="4" w:space="0" w:color="auto"/>
              <w:right w:val="single" w:sz="4" w:space="0" w:color="auto"/>
            </w:tcBorders>
            <w:shd w:val="clear" w:color="auto" w:fill="E5F1FF"/>
            <w:noWrap/>
            <w:vAlign w:val="center"/>
            <w:hideMark/>
          </w:tcPr>
          <w:p w14:paraId="7171BD03" w14:textId="3D0C292A"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2018</w:t>
            </w:r>
            <w:r w:rsidR="00B16D10">
              <w:rPr>
                <w:b/>
                <w:bCs/>
                <w:color w:val="000000"/>
                <w:sz w:val="18"/>
                <w:szCs w:val="18"/>
              </w:rPr>
              <w:t>–</w:t>
            </w:r>
            <w:r w:rsidRPr="00CA56AB">
              <w:rPr>
                <w:b/>
                <w:bCs/>
                <w:color w:val="000000"/>
                <w:sz w:val="18"/>
                <w:szCs w:val="18"/>
              </w:rPr>
              <w:t>2017</w:t>
            </w:r>
          </w:p>
        </w:tc>
        <w:tc>
          <w:tcPr>
            <w:tcW w:w="1524" w:type="dxa"/>
            <w:tcBorders>
              <w:top w:val="single" w:sz="4" w:space="0" w:color="auto"/>
              <w:left w:val="nil"/>
              <w:bottom w:val="single" w:sz="4" w:space="0" w:color="auto"/>
              <w:right w:val="single" w:sz="4" w:space="0" w:color="auto"/>
            </w:tcBorders>
            <w:shd w:val="clear" w:color="auto" w:fill="E5F1FF"/>
            <w:noWrap/>
            <w:vAlign w:val="center"/>
            <w:hideMark/>
          </w:tcPr>
          <w:p w14:paraId="336D05F7" w14:textId="1694163D"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2019</w:t>
            </w:r>
            <w:r w:rsidR="00B16D10">
              <w:rPr>
                <w:b/>
                <w:bCs/>
                <w:color w:val="000000"/>
                <w:sz w:val="18"/>
                <w:szCs w:val="18"/>
              </w:rPr>
              <w:t>–</w:t>
            </w:r>
            <w:r w:rsidRPr="00CA56AB">
              <w:rPr>
                <w:b/>
                <w:bCs/>
                <w:color w:val="000000"/>
                <w:sz w:val="18"/>
                <w:szCs w:val="18"/>
              </w:rPr>
              <w:t>2018</w:t>
            </w:r>
          </w:p>
        </w:tc>
        <w:tc>
          <w:tcPr>
            <w:tcW w:w="1524" w:type="dxa"/>
            <w:tcBorders>
              <w:top w:val="single" w:sz="4" w:space="0" w:color="auto"/>
              <w:left w:val="nil"/>
              <w:bottom w:val="single" w:sz="4" w:space="0" w:color="auto"/>
              <w:right w:val="single" w:sz="4" w:space="0" w:color="auto"/>
            </w:tcBorders>
            <w:shd w:val="clear" w:color="auto" w:fill="E5F1FF"/>
            <w:vAlign w:val="center"/>
          </w:tcPr>
          <w:p w14:paraId="788AA187" w14:textId="4A25DDCE"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2020</w:t>
            </w:r>
            <w:r w:rsidR="00B16D10">
              <w:rPr>
                <w:b/>
                <w:bCs/>
                <w:color w:val="000000"/>
                <w:sz w:val="18"/>
                <w:szCs w:val="18"/>
              </w:rPr>
              <w:t>–</w:t>
            </w:r>
            <w:r w:rsidRPr="00CA56AB">
              <w:rPr>
                <w:b/>
                <w:bCs/>
                <w:color w:val="000000"/>
                <w:sz w:val="18"/>
                <w:szCs w:val="18"/>
              </w:rPr>
              <w:t>2019</w:t>
            </w:r>
          </w:p>
        </w:tc>
      </w:tr>
      <w:tr w:rsidR="00B57597" w:rsidRPr="00CA56AB" w14:paraId="66D16746" w14:textId="77777777" w:rsidTr="00B57597">
        <w:trPr>
          <w:trHeight w:val="25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B6E89" w14:textId="77777777" w:rsidR="00B57597" w:rsidRPr="00CA56AB" w:rsidRDefault="00B57597" w:rsidP="002333D6">
            <w:pPr>
              <w:keepNext/>
              <w:spacing w:after="0"/>
              <w:rPr>
                <w:rFonts w:cs="Calibri"/>
                <w:bCs/>
                <w:color w:val="000000"/>
                <w:sz w:val="18"/>
                <w:szCs w:val="18"/>
                <w:lang w:eastAsia="cs-CZ"/>
              </w:rPr>
            </w:pPr>
            <w:r w:rsidRPr="00CA56AB">
              <w:rPr>
                <w:color w:val="000000"/>
                <w:sz w:val="18"/>
                <w:szCs w:val="18"/>
              </w:rPr>
              <w:t>Příjmy (v Kč)</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05BC3140" w14:textId="29BAF1CB" w:rsidR="00B57597" w:rsidRPr="00CA56AB" w:rsidRDefault="00B16D10" w:rsidP="002333D6">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19 843 956,22</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1FBA0F90" w14:textId="03DAB6F1" w:rsidR="00B57597" w:rsidRPr="00CA56AB" w:rsidRDefault="00B16D10" w:rsidP="002333D6">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51 579 781,06</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3FF3D155" w14:textId="78A8E5E2" w:rsidR="00B57597" w:rsidRPr="00CA56AB" w:rsidRDefault="00B16D10" w:rsidP="002333D6">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17 181 911,71</w:t>
            </w:r>
          </w:p>
        </w:tc>
        <w:tc>
          <w:tcPr>
            <w:tcW w:w="1524" w:type="dxa"/>
            <w:tcBorders>
              <w:top w:val="single" w:sz="4" w:space="0" w:color="auto"/>
              <w:left w:val="nil"/>
              <w:bottom w:val="single" w:sz="4" w:space="0" w:color="auto"/>
              <w:right w:val="single" w:sz="4" w:space="0" w:color="auto"/>
            </w:tcBorders>
            <w:vAlign w:val="center"/>
          </w:tcPr>
          <w:p w14:paraId="07B28628" w14:textId="028800FF" w:rsidR="00B57597" w:rsidRPr="00CA56AB" w:rsidRDefault="00B16D10" w:rsidP="002333D6">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55 333 483,32</w:t>
            </w:r>
          </w:p>
        </w:tc>
      </w:tr>
      <w:tr w:rsidR="00B57597" w:rsidRPr="00CA56AB" w14:paraId="702DD76C" w14:textId="77777777" w:rsidTr="00B57597">
        <w:trPr>
          <w:trHeight w:val="25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3D1DB" w14:textId="77777777" w:rsidR="00B57597" w:rsidRPr="00CA56AB" w:rsidRDefault="00B57597" w:rsidP="002333D6">
            <w:pPr>
              <w:keepNext/>
              <w:spacing w:after="0"/>
              <w:rPr>
                <w:rFonts w:cs="Calibri"/>
                <w:bCs/>
                <w:color w:val="000000"/>
                <w:sz w:val="18"/>
                <w:szCs w:val="18"/>
                <w:lang w:eastAsia="cs-CZ"/>
              </w:rPr>
            </w:pPr>
            <w:r w:rsidRPr="00CA56AB">
              <w:rPr>
                <w:color w:val="000000"/>
                <w:sz w:val="18"/>
                <w:szCs w:val="18"/>
              </w:rPr>
              <w:t>Výdaje (v Kč)</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184687D7"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587 242 106,95</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64D60F4E"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20 688 768,32</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03161921"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47 880 073,83</w:t>
            </w:r>
          </w:p>
        </w:tc>
        <w:tc>
          <w:tcPr>
            <w:tcW w:w="1524" w:type="dxa"/>
            <w:tcBorders>
              <w:top w:val="single" w:sz="4" w:space="0" w:color="auto"/>
              <w:left w:val="nil"/>
              <w:bottom w:val="single" w:sz="4" w:space="0" w:color="auto"/>
              <w:right w:val="single" w:sz="4" w:space="0" w:color="auto"/>
            </w:tcBorders>
            <w:vAlign w:val="center"/>
          </w:tcPr>
          <w:p w14:paraId="01CEA8C9" w14:textId="369AEDB6" w:rsidR="00B57597" w:rsidRPr="00CA56AB" w:rsidRDefault="00B16D10" w:rsidP="002333D6">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26 640 852,20</w:t>
            </w:r>
          </w:p>
        </w:tc>
      </w:tr>
      <w:tr w:rsidR="00B57597" w:rsidRPr="00CA56AB" w14:paraId="5D9C26C4" w14:textId="77777777" w:rsidTr="00B57597">
        <w:trPr>
          <w:trHeight w:val="255"/>
        </w:trPr>
        <w:tc>
          <w:tcPr>
            <w:tcW w:w="2972" w:type="dxa"/>
            <w:tcBorders>
              <w:top w:val="single" w:sz="4" w:space="0" w:color="auto"/>
              <w:left w:val="single" w:sz="4" w:space="0" w:color="auto"/>
              <w:bottom w:val="single" w:sz="4" w:space="0" w:color="auto"/>
              <w:right w:val="single" w:sz="4" w:space="0" w:color="auto"/>
            </w:tcBorders>
            <w:shd w:val="clear" w:color="auto" w:fill="E5F1FF"/>
            <w:noWrap/>
            <w:vAlign w:val="center"/>
          </w:tcPr>
          <w:p w14:paraId="29AE481C" w14:textId="709E2600" w:rsidR="00B57597" w:rsidRPr="00CA56AB" w:rsidRDefault="00B57597" w:rsidP="002333D6">
            <w:pPr>
              <w:keepNext/>
              <w:spacing w:after="0"/>
              <w:rPr>
                <w:rFonts w:cs="Calibri"/>
                <w:b/>
                <w:bCs/>
                <w:color w:val="000000"/>
                <w:sz w:val="18"/>
                <w:szCs w:val="18"/>
                <w:lang w:eastAsia="cs-CZ"/>
              </w:rPr>
            </w:pPr>
            <w:r w:rsidRPr="00CA56AB">
              <w:rPr>
                <w:b/>
                <w:bCs/>
                <w:color w:val="000000"/>
                <w:sz w:val="18"/>
                <w:szCs w:val="18"/>
              </w:rPr>
              <w:t>Tempo růstu v % (relativní změna) (((x+1)</w:t>
            </w:r>
            <w:r w:rsidR="00B348F5">
              <w:rPr>
                <w:rFonts w:cs="Calibri"/>
                <w:b/>
                <w:bCs/>
                <w:color w:val="000000"/>
                <w:sz w:val="18"/>
                <w:szCs w:val="18"/>
              </w:rPr>
              <w:t>−</w:t>
            </w:r>
            <w:r w:rsidRPr="00CA56AB">
              <w:rPr>
                <w:b/>
                <w:bCs/>
                <w:color w:val="000000"/>
                <w:sz w:val="18"/>
                <w:szCs w:val="18"/>
              </w:rPr>
              <w:t>x)/x)*100</w:t>
            </w:r>
          </w:p>
        </w:tc>
        <w:tc>
          <w:tcPr>
            <w:tcW w:w="1524" w:type="dxa"/>
            <w:tcBorders>
              <w:top w:val="single" w:sz="4" w:space="0" w:color="auto"/>
              <w:left w:val="nil"/>
              <w:bottom w:val="single" w:sz="4" w:space="0" w:color="auto"/>
              <w:right w:val="single" w:sz="4" w:space="0" w:color="auto"/>
            </w:tcBorders>
            <w:shd w:val="clear" w:color="auto" w:fill="E5F1FF"/>
            <w:noWrap/>
            <w:vAlign w:val="center"/>
          </w:tcPr>
          <w:p w14:paraId="1E113284" w14:textId="77777777" w:rsidR="00B57597" w:rsidRPr="00CA56AB" w:rsidRDefault="00B57597" w:rsidP="002333D6">
            <w:pPr>
              <w:keepNext/>
              <w:spacing w:after="0"/>
              <w:jc w:val="center"/>
              <w:rPr>
                <w:rFonts w:eastAsia="Calibri" w:cs="Calibri"/>
                <w:b/>
                <w:color w:val="000000"/>
                <w:sz w:val="18"/>
                <w:szCs w:val="18"/>
              </w:rPr>
            </w:pPr>
            <w:r w:rsidRPr="00CA56AB">
              <w:rPr>
                <w:b/>
                <w:bCs/>
                <w:color w:val="000000"/>
                <w:sz w:val="18"/>
                <w:szCs w:val="18"/>
              </w:rPr>
              <w:t>2017/2016</w:t>
            </w:r>
          </w:p>
        </w:tc>
        <w:tc>
          <w:tcPr>
            <w:tcW w:w="1524" w:type="dxa"/>
            <w:tcBorders>
              <w:top w:val="single" w:sz="4" w:space="0" w:color="auto"/>
              <w:left w:val="nil"/>
              <w:bottom w:val="single" w:sz="4" w:space="0" w:color="auto"/>
              <w:right w:val="single" w:sz="4" w:space="0" w:color="auto"/>
            </w:tcBorders>
            <w:shd w:val="clear" w:color="auto" w:fill="E5F1FF"/>
            <w:noWrap/>
            <w:vAlign w:val="center"/>
          </w:tcPr>
          <w:p w14:paraId="14CBAB5A" w14:textId="77777777" w:rsidR="00B57597" w:rsidRPr="00CA56AB" w:rsidRDefault="00B57597" w:rsidP="002333D6">
            <w:pPr>
              <w:keepNext/>
              <w:spacing w:after="0"/>
              <w:jc w:val="center"/>
              <w:rPr>
                <w:rFonts w:eastAsia="Calibri" w:cs="Calibri"/>
                <w:b/>
                <w:color w:val="000000"/>
                <w:sz w:val="18"/>
                <w:szCs w:val="18"/>
              </w:rPr>
            </w:pPr>
            <w:r w:rsidRPr="00CA56AB">
              <w:rPr>
                <w:b/>
                <w:bCs/>
                <w:color w:val="000000"/>
                <w:sz w:val="18"/>
                <w:szCs w:val="18"/>
              </w:rPr>
              <w:t>2018/2017</w:t>
            </w:r>
          </w:p>
        </w:tc>
        <w:tc>
          <w:tcPr>
            <w:tcW w:w="1524" w:type="dxa"/>
            <w:tcBorders>
              <w:top w:val="single" w:sz="4" w:space="0" w:color="auto"/>
              <w:left w:val="nil"/>
              <w:bottom w:val="single" w:sz="4" w:space="0" w:color="auto"/>
              <w:right w:val="single" w:sz="4" w:space="0" w:color="auto"/>
            </w:tcBorders>
            <w:shd w:val="clear" w:color="auto" w:fill="E5F1FF"/>
            <w:noWrap/>
            <w:vAlign w:val="center"/>
          </w:tcPr>
          <w:p w14:paraId="6479546A" w14:textId="77777777" w:rsidR="00B57597" w:rsidRPr="00CA56AB" w:rsidRDefault="00B57597" w:rsidP="002333D6">
            <w:pPr>
              <w:keepNext/>
              <w:spacing w:after="0"/>
              <w:jc w:val="center"/>
              <w:rPr>
                <w:rFonts w:eastAsia="Calibri" w:cs="Calibri"/>
                <w:b/>
                <w:color w:val="000000"/>
                <w:sz w:val="18"/>
                <w:szCs w:val="18"/>
              </w:rPr>
            </w:pPr>
            <w:r w:rsidRPr="00CA56AB">
              <w:rPr>
                <w:b/>
                <w:bCs/>
                <w:color w:val="000000"/>
                <w:sz w:val="18"/>
                <w:szCs w:val="18"/>
              </w:rPr>
              <w:t>2019/2018</w:t>
            </w:r>
          </w:p>
        </w:tc>
        <w:tc>
          <w:tcPr>
            <w:tcW w:w="1524" w:type="dxa"/>
            <w:tcBorders>
              <w:top w:val="single" w:sz="4" w:space="0" w:color="auto"/>
              <w:left w:val="nil"/>
              <w:bottom w:val="single" w:sz="4" w:space="0" w:color="auto"/>
              <w:right w:val="single" w:sz="4" w:space="0" w:color="auto"/>
            </w:tcBorders>
            <w:shd w:val="clear" w:color="auto" w:fill="E5F1FF"/>
            <w:vAlign w:val="center"/>
          </w:tcPr>
          <w:p w14:paraId="1DA8539B" w14:textId="77777777" w:rsidR="00B57597" w:rsidRPr="00CA56AB" w:rsidRDefault="00B57597" w:rsidP="002333D6">
            <w:pPr>
              <w:keepNext/>
              <w:spacing w:after="0"/>
              <w:jc w:val="center"/>
              <w:rPr>
                <w:rFonts w:eastAsia="Calibri" w:cs="Calibri"/>
                <w:b/>
                <w:color w:val="000000"/>
                <w:sz w:val="18"/>
                <w:szCs w:val="18"/>
              </w:rPr>
            </w:pPr>
            <w:r w:rsidRPr="00CA56AB">
              <w:rPr>
                <w:b/>
                <w:bCs/>
                <w:color w:val="000000"/>
                <w:sz w:val="18"/>
                <w:szCs w:val="18"/>
              </w:rPr>
              <w:t>2020/2019</w:t>
            </w:r>
          </w:p>
        </w:tc>
      </w:tr>
      <w:tr w:rsidR="00B57597" w:rsidRPr="00CA56AB" w14:paraId="7CD584F1" w14:textId="77777777" w:rsidTr="00B57597">
        <w:trPr>
          <w:trHeight w:val="25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815A7" w14:textId="77777777" w:rsidR="00B57597" w:rsidRPr="00CA56AB" w:rsidRDefault="00B57597" w:rsidP="002333D6">
            <w:pPr>
              <w:keepNext/>
              <w:spacing w:after="0"/>
              <w:rPr>
                <w:rFonts w:cs="Calibri"/>
                <w:bCs/>
                <w:color w:val="000000"/>
                <w:sz w:val="18"/>
                <w:szCs w:val="18"/>
                <w:lang w:eastAsia="cs-CZ"/>
              </w:rPr>
            </w:pPr>
            <w:r w:rsidRPr="00CA56AB">
              <w:rPr>
                <w:color w:val="000000"/>
                <w:sz w:val="18"/>
                <w:szCs w:val="18"/>
              </w:rPr>
              <w:t>Příjmy</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61B38973" w14:textId="7E24B865" w:rsidR="00B57597" w:rsidRPr="00CA56AB" w:rsidRDefault="00B16D10" w:rsidP="002333D6">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6,52</w:t>
            </w:r>
            <w:r>
              <w:rPr>
                <w:color w:val="000000"/>
                <w:sz w:val="18"/>
                <w:szCs w:val="18"/>
              </w:rPr>
              <w:t> </w:t>
            </w:r>
            <w:r w:rsidR="00B57597" w:rsidRPr="00CA56AB">
              <w:rPr>
                <w:color w:val="000000"/>
                <w:sz w:val="18"/>
                <w:szCs w:val="18"/>
              </w:rPr>
              <w:t>%</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3FACDC31" w14:textId="61C2F832" w:rsidR="00B57597" w:rsidRPr="00CA56AB" w:rsidRDefault="00B16D10" w:rsidP="002333D6">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18,13</w:t>
            </w:r>
            <w:r>
              <w:rPr>
                <w:color w:val="000000"/>
                <w:sz w:val="18"/>
                <w:szCs w:val="18"/>
              </w:rPr>
              <w:t> </w:t>
            </w:r>
            <w:r w:rsidR="00B57597" w:rsidRPr="00CA56AB">
              <w:rPr>
                <w:color w:val="000000"/>
                <w:sz w:val="18"/>
                <w:szCs w:val="18"/>
              </w:rPr>
              <w:t>%</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65880E5A" w14:textId="0FB87999" w:rsidR="00B57597" w:rsidRPr="00CA56AB" w:rsidRDefault="00B16D10" w:rsidP="002333D6">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7,38</w:t>
            </w:r>
            <w:r>
              <w:rPr>
                <w:color w:val="000000"/>
                <w:sz w:val="18"/>
                <w:szCs w:val="18"/>
              </w:rPr>
              <w:t> </w:t>
            </w:r>
            <w:r w:rsidR="00B57597" w:rsidRPr="00CA56AB">
              <w:rPr>
                <w:color w:val="000000"/>
                <w:sz w:val="18"/>
                <w:szCs w:val="18"/>
              </w:rPr>
              <w:t>%</w:t>
            </w:r>
          </w:p>
        </w:tc>
        <w:tc>
          <w:tcPr>
            <w:tcW w:w="1524" w:type="dxa"/>
            <w:tcBorders>
              <w:top w:val="single" w:sz="4" w:space="0" w:color="auto"/>
              <w:left w:val="nil"/>
              <w:bottom w:val="single" w:sz="4" w:space="0" w:color="auto"/>
              <w:right w:val="single" w:sz="4" w:space="0" w:color="auto"/>
            </w:tcBorders>
            <w:vAlign w:val="center"/>
          </w:tcPr>
          <w:p w14:paraId="2F9B88A2" w14:textId="331D977C" w:rsidR="00B57597" w:rsidRPr="00CA56AB" w:rsidRDefault="00B16D10" w:rsidP="002333D6">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25,65</w:t>
            </w:r>
            <w:r>
              <w:rPr>
                <w:color w:val="000000"/>
                <w:sz w:val="18"/>
                <w:szCs w:val="18"/>
              </w:rPr>
              <w:t> </w:t>
            </w:r>
            <w:r w:rsidR="00B57597" w:rsidRPr="00CA56AB">
              <w:rPr>
                <w:color w:val="000000"/>
                <w:sz w:val="18"/>
                <w:szCs w:val="18"/>
              </w:rPr>
              <w:t>%</w:t>
            </w:r>
          </w:p>
        </w:tc>
      </w:tr>
      <w:tr w:rsidR="00B57597" w:rsidRPr="00CA56AB" w14:paraId="61A4A9CE" w14:textId="77777777" w:rsidTr="00B57597">
        <w:trPr>
          <w:trHeight w:val="25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A0671" w14:textId="77777777" w:rsidR="00B57597" w:rsidRPr="00CA56AB" w:rsidRDefault="00B57597" w:rsidP="002333D6">
            <w:pPr>
              <w:keepNext/>
              <w:spacing w:after="0"/>
              <w:rPr>
                <w:rFonts w:cs="Calibri"/>
                <w:bCs/>
                <w:color w:val="000000"/>
                <w:sz w:val="18"/>
                <w:szCs w:val="18"/>
                <w:lang w:eastAsia="cs-CZ"/>
              </w:rPr>
            </w:pPr>
            <w:r w:rsidRPr="00CA56AB">
              <w:rPr>
                <w:color w:val="000000"/>
                <w:sz w:val="18"/>
                <w:szCs w:val="18"/>
              </w:rPr>
              <w:t>Výdaje</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66B5DE50" w14:textId="6BB63C7F"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85,56</w:t>
            </w:r>
            <w:r w:rsidR="00B16D10">
              <w:rPr>
                <w:color w:val="000000"/>
                <w:sz w:val="18"/>
                <w:szCs w:val="18"/>
              </w:rPr>
              <w:t> </w:t>
            </w:r>
            <w:r w:rsidRPr="00CA56AB">
              <w:rPr>
                <w:color w:val="000000"/>
                <w:sz w:val="18"/>
                <w:szCs w:val="18"/>
              </w:rPr>
              <w:t>%</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6A1E84EB" w14:textId="1625CC9A"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1,62</w:t>
            </w:r>
            <w:r w:rsidR="00B16D10">
              <w:rPr>
                <w:color w:val="000000"/>
                <w:sz w:val="18"/>
                <w:szCs w:val="18"/>
              </w:rPr>
              <w:t> </w:t>
            </w:r>
            <w:r w:rsidRPr="00CA56AB">
              <w:rPr>
                <w:color w:val="000000"/>
                <w:sz w:val="18"/>
                <w:szCs w:val="18"/>
              </w:rPr>
              <w:t>%</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2FDE0DC1" w14:textId="463D146A"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3,70</w:t>
            </w:r>
            <w:r w:rsidR="00B16D10">
              <w:rPr>
                <w:color w:val="000000"/>
                <w:sz w:val="18"/>
                <w:szCs w:val="18"/>
              </w:rPr>
              <w:t> </w:t>
            </w:r>
            <w:r w:rsidRPr="00CA56AB">
              <w:rPr>
                <w:color w:val="000000"/>
                <w:sz w:val="18"/>
                <w:szCs w:val="18"/>
              </w:rPr>
              <w:t>%</w:t>
            </w:r>
          </w:p>
        </w:tc>
        <w:tc>
          <w:tcPr>
            <w:tcW w:w="1524" w:type="dxa"/>
            <w:tcBorders>
              <w:top w:val="single" w:sz="4" w:space="0" w:color="auto"/>
              <w:left w:val="nil"/>
              <w:bottom w:val="single" w:sz="4" w:space="0" w:color="auto"/>
              <w:right w:val="single" w:sz="4" w:space="0" w:color="auto"/>
            </w:tcBorders>
            <w:vAlign w:val="center"/>
          </w:tcPr>
          <w:p w14:paraId="74C26B8B" w14:textId="11492CAB" w:rsidR="00B57597" w:rsidRPr="00CA56AB" w:rsidRDefault="00B16D10" w:rsidP="002333D6">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1,98</w:t>
            </w:r>
            <w:r>
              <w:rPr>
                <w:color w:val="000000"/>
                <w:sz w:val="18"/>
                <w:szCs w:val="18"/>
              </w:rPr>
              <w:t> </w:t>
            </w:r>
            <w:r w:rsidR="00B57597" w:rsidRPr="00CA56AB">
              <w:rPr>
                <w:color w:val="000000"/>
                <w:sz w:val="18"/>
                <w:szCs w:val="18"/>
              </w:rPr>
              <w:t>%</w:t>
            </w:r>
          </w:p>
        </w:tc>
      </w:tr>
    </w:tbl>
    <w:p w14:paraId="05133CD9" w14:textId="77777777" w:rsidR="00B57597" w:rsidRPr="00CA56AB" w:rsidRDefault="00B57597" w:rsidP="00B57597">
      <w:pPr>
        <w:spacing w:before="40"/>
        <w:rPr>
          <w:rFonts w:cs="Calibri"/>
          <w:color w:val="000000"/>
          <w:sz w:val="20"/>
          <w:szCs w:val="20"/>
          <w:lang w:eastAsia="cs-CZ"/>
        </w:rPr>
      </w:pPr>
      <w:r>
        <w:rPr>
          <w:rFonts w:cs="Calibri"/>
          <w:b/>
          <w:color w:val="000000"/>
          <w:sz w:val="20"/>
          <w:szCs w:val="20"/>
          <w:lang w:eastAsia="cs-CZ"/>
        </w:rPr>
        <w:t>Zdroj:</w:t>
      </w:r>
      <w:r w:rsidRPr="00CA56AB">
        <w:rPr>
          <w:rFonts w:cs="Calibri"/>
          <w:color w:val="000000"/>
          <w:sz w:val="20"/>
          <w:szCs w:val="20"/>
          <w:lang w:eastAsia="cs-CZ"/>
        </w:rPr>
        <w:t xml:space="preserve"> výpočet </w:t>
      </w:r>
      <w:r>
        <w:rPr>
          <w:rFonts w:cs="Calibri"/>
          <w:color w:val="000000"/>
          <w:sz w:val="20"/>
          <w:szCs w:val="20"/>
          <w:lang w:eastAsia="cs-CZ"/>
        </w:rPr>
        <w:t>vypracoval NKÚ</w:t>
      </w:r>
      <w:r w:rsidRPr="00CA56AB">
        <w:rPr>
          <w:rFonts w:cs="Calibri"/>
          <w:color w:val="000000"/>
          <w:sz w:val="20"/>
          <w:szCs w:val="20"/>
          <w:lang w:eastAsia="cs-CZ"/>
        </w:rPr>
        <w:t>.</w:t>
      </w:r>
    </w:p>
    <w:p w14:paraId="263EA539" w14:textId="77777777" w:rsidR="00B57597" w:rsidRPr="00FD08FE" w:rsidRDefault="00B57597" w:rsidP="00B57597">
      <w:pPr>
        <w:jc w:val="both"/>
        <w:rPr>
          <w:rFonts w:cs="Calibri"/>
        </w:rPr>
      </w:pPr>
      <w:r w:rsidRPr="00FD08FE">
        <w:rPr>
          <w:rFonts w:cs="Calibri"/>
        </w:rPr>
        <w:t>K největší relativní změně příjmů ve sledovaném období došlo u OSS (bez MPO) mezi rokem 2019 a 2020, a to k poklesu o 25,65 %. K největší relativní změně výdajů ve sledovaném období došlo u OSS (bez MPO) mezi rokem 2016 a 2017, a to k nárůstu o 85,56 %.</w:t>
      </w:r>
    </w:p>
    <w:p w14:paraId="7F5E1D6F" w14:textId="4B7AED77" w:rsidR="00B57597" w:rsidRPr="002333D6" w:rsidRDefault="00B57597" w:rsidP="002333D6">
      <w:pPr>
        <w:pStyle w:val="Titulek1"/>
        <w:tabs>
          <w:tab w:val="clear" w:pos="9356"/>
          <w:tab w:val="right" w:pos="9072"/>
        </w:tabs>
        <w:rPr>
          <w:sz w:val="24"/>
        </w:rPr>
      </w:pPr>
      <w:bookmarkStart w:id="69" w:name="_Toc520714329"/>
      <w:bookmarkStart w:id="70" w:name="_Toc8984536"/>
      <w:bookmarkStart w:id="71" w:name="_Toc72157477"/>
      <w:r w:rsidRPr="002333D6">
        <w:rPr>
          <w:sz w:val="24"/>
        </w:rPr>
        <w:t xml:space="preserve">Tabulka č. </w:t>
      </w:r>
      <w:r w:rsidR="00776507" w:rsidRPr="002333D6">
        <w:rPr>
          <w:sz w:val="24"/>
        </w:rPr>
        <w:fldChar w:fldCharType="begin"/>
      </w:r>
      <w:r w:rsidR="00776507" w:rsidRPr="002333D6">
        <w:rPr>
          <w:sz w:val="24"/>
        </w:rPr>
        <w:instrText xml:space="preserve"> SEQ Tabulka \* ARABIC </w:instrText>
      </w:r>
      <w:r w:rsidR="00776507" w:rsidRPr="002333D6">
        <w:rPr>
          <w:sz w:val="24"/>
        </w:rPr>
        <w:fldChar w:fldCharType="separate"/>
      </w:r>
      <w:r w:rsidR="00E544AA">
        <w:rPr>
          <w:noProof/>
          <w:sz w:val="24"/>
        </w:rPr>
        <w:t>20</w:t>
      </w:r>
      <w:r w:rsidR="00776507" w:rsidRPr="002333D6">
        <w:rPr>
          <w:noProof/>
          <w:sz w:val="24"/>
        </w:rPr>
        <w:fldChar w:fldCharType="end"/>
      </w:r>
      <w:r w:rsidRPr="002333D6">
        <w:rPr>
          <w:sz w:val="24"/>
        </w:rPr>
        <w:t>: Výnosy a náklady OSS v rozpočtové kapitole 322 vč. MPO (v Kč)</w:t>
      </w:r>
      <w:bookmarkEnd w:id="69"/>
      <w:bookmarkEnd w:id="70"/>
      <w:bookmarkEnd w:id="71"/>
    </w:p>
    <w:tbl>
      <w:tblPr>
        <w:tblW w:w="5000" w:type="pct"/>
        <w:tblCellMar>
          <w:left w:w="70" w:type="dxa"/>
          <w:right w:w="70" w:type="dxa"/>
        </w:tblCellMar>
        <w:tblLook w:val="04A0" w:firstRow="1" w:lastRow="0" w:firstColumn="1" w:lastColumn="0" w:noHBand="0" w:noVBand="1"/>
      </w:tblPr>
      <w:tblGrid>
        <w:gridCol w:w="1294"/>
        <w:gridCol w:w="1567"/>
        <w:gridCol w:w="1568"/>
        <w:gridCol w:w="1568"/>
        <w:gridCol w:w="1493"/>
        <w:gridCol w:w="1570"/>
      </w:tblGrid>
      <w:tr w:rsidR="00B57597" w:rsidRPr="00CA56AB" w14:paraId="04582E4D" w14:textId="77777777" w:rsidTr="00B57597">
        <w:trPr>
          <w:trHeight w:val="255"/>
        </w:trPr>
        <w:tc>
          <w:tcPr>
            <w:tcW w:w="715"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89C333E" w14:textId="77777777" w:rsidR="00B57597" w:rsidRPr="00CA56AB" w:rsidRDefault="00B57597" w:rsidP="002333D6">
            <w:pPr>
              <w:keepNext/>
              <w:spacing w:after="0"/>
              <w:rPr>
                <w:rFonts w:cs="Calibri"/>
                <w:b/>
                <w:bCs/>
                <w:color w:val="000000"/>
                <w:sz w:val="18"/>
                <w:szCs w:val="18"/>
                <w:lang w:eastAsia="cs-CZ"/>
              </w:rPr>
            </w:pPr>
            <w:r w:rsidRPr="00CA56AB">
              <w:rPr>
                <w:b/>
                <w:bCs/>
                <w:color w:val="000000"/>
                <w:sz w:val="18"/>
                <w:szCs w:val="18"/>
              </w:rPr>
              <w:t>Ukazatel</w:t>
            </w:r>
          </w:p>
        </w:tc>
        <w:tc>
          <w:tcPr>
            <w:tcW w:w="866" w:type="pct"/>
            <w:tcBorders>
              <w:top w:val="single" w:sz="4" w:space="0" w:color="auto"/>
              <w:left w:val="nil"/>
              <w:bottom w:val="single" w:sz="4" w:space="0" w:color="auto"/>
              <w:right w:val="single" w:sz="4" w:space="0" w:color="auto"/>
            </w:tcBorders>
            <w:shd w:val="clear" w:color="auto" w:fill="E5F1FF"/>
            <w:noWrap/>
            <w:vAlign w:val="center"/>
            <w:hideMark/>
          </w:tcPr>
          <w:p w14:paraId="7B66BE8A" w14:textId="77777777"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2016</w:t>
            </w:r>
          </w:p>
        </w:tc>
        <w:tc>
          <w:tcPr>
            <w:tcW w:w="866" w:type="pct"/>
            <w:tcBorders>
              <w:top w:val="single" w:sz="4" w:space="0" w:color="auto"/>
              <w:left w:val="nil"/>
              <w:bottom w:val="single" w:sz="4" w:space="0" w:color="auto"/>
              <w:right w:val="single" w:sz="4" w:space="0" w:color="auto"/>
            </w:tcBorders>
            <w:shd w:val="clear" w:color="auto" w:fill="E5F1FF"/>
            <w:noWrap/>
            <w:vAlign w:val="center"/>
            <w:hideMark/>
          </w:tcPr>
          <w:p w14:paraId="2FA8BF5A" w14:textId="77777777"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2017</w:t>
            </w:r>
          </w:p>
        </w:tc>
        <w:tc>
          <w:tcPr>
            <w:tcW w:w="866" w:type="pct"/>
            <w:tcBorders>
              <w:top w:val="single" w:sz="4" w:space="0" w:color="auto"/>
              <w:left w:val="nil"/>
              <w:bottom w:val="single" w:sz="4" w:space="0" w:color="auto"/>
              <w:right w:val="single" w:sz="4" w:space="0" w:color="auto"/>
            </w:tcBorders>
            <w:shd w:val="clear" w:color="auto" w:fill="E5F1FF"/>
            <w:noWrap/>
            <w:vAlign w:val="center"/>
            <w:hideMark/>
          </w:tcPr>
          <w:p w14:paraId="77C1A60D" w14:textId="77777777"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2018</w:t>
            </w:r>
          </w:p>
        </w:tc>
        <w:tc>
          <w:tcPr>
            <w:tcW w:w="819" w:type="pct"/>
            <w:tcBorders>
              <w:top w:val="single" w:sz="4" w:space="0" w:color="auto"/>
              <w:left w:val="nil"/>
              <w:bottom w:val="single" w:sz="4" w:space="0" w:color="auto"/>
              <w:right w:val="single" w:sz="4" w:space="0" w:color="auto"/>
            </w:tcBorders>
            <w:shd w:val="clear" w:color="auto" w:fill="E5F1FF"/>
            <w:noWrap/>
            <w:vAlign w:val="center"/>
            <w:hideMark/>
          </w:tcPr>
          <w:p w14:paraId="5B0C3011" w14:textId="77777777"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2019</w:t>
            </w:r>
          </w:p>
        </w:tc>
        <w:tc>
          <w:tcPr>
            <w:tcW w:w="867" w:type="pct"/>
            <w:tcBorders>
              <w:top w:val="single" w:sz="4" w:space="0" w:color="auto"/>
              <w:left w:val="nil"/>
              <w:bottom w:val="single" w:sz="4" w:space="0" w:color="auto"/>
              <w:right w:val="single" w:sz="4" w:space="0" w:color="auto"/>
            </w:tcBorders>
            <w:shd w:val="clear" w:color="auto" w:fill="E5F1FF"/>
            <w:vAlign w:val="center"/>
          </w:tcPr>
          <w:p w14:paraId="7D9CD304" w14:textId="77777777"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2020</w:t>
            </w:r>
          </w:p>
        </w:tc>
      </w:tr>
      <w:tr w:rsidR="00B57597" w:rsidRPr="00CA56AB" w14:paraId="4D4A5556" w14:textId="77777777" w:rsidTr="00B57597">
        <w:trPr>
          <w:trHeight w:val="255"/>
        </w:trPr>
        <w:tc>
          <w:tcPr>
            <w:tcW w:w="715" w:type="pct"/>
            <w:tcBorders>
              <w:top w:val="nil"/>
              <w:left w:val="single" w:sz="4" w:space="0" w:color="auto"/>
              <w:bottom w:val="single" w:sz="4" w:space="0" w:color="auto"/>
              <w:right w:val="single" w:sz="4" w:space="0" w:color="auto"/>
            </w:tcBorders>
            <w:shd w:val="clear" w:color="auto" w:fill="auto"/>
            <w:noWrap/>
            <w:vAlign w:val="center"/>
          </w:tcPr>
          <w:p w14:paraId="45F4FE8A" w14:textId="77777777" w:rsidR="00B57597" w:rsidRPr="00CA56AB" w:rsidRDefault="00B57597" w:rsidP="002333D6">
            <w:pPr>
              <w:keepNext/>
              <w:spacing w:after="0"/>
              <w:rPr>
                <w:rFonts w:cs="Calibri"/>
                <w:bCs/>
                <w:color w:val="000000"/>
                <w:sz w:val="18"/>
                <w:szCs w:val="18"/>
                <w:lang w:eastAsia="cs-CZ"/>
              </w:rPr>
            </w:pPr>
            <w:r w:rsidRPr="00CA56AB">
              <w:rPr>
                <w:color w:val="000000"/>
                <w:sz w:val="18"/>
                <w:szCs w:val="18"/>
              </w:rPr>
              <w:t>Výnosy celkem</w:t>
            </w:r>
          </w:p>
        </w:tc>
        <w:tc>
          <w:tcPr>
            <w:tcW w:w="866" w:type="pct"/>
            <w:tcBorders>
              <w:top w:val="nil"/>
              <w:left w:val="nil"/>
              <w:bottom w:val="single" w:sz="4" w:space="0" w:color="auto"/>
              <w:right w:val="single" w:sz="4" w:space="0" w:color="auto"/>
            </w:tcBorders>
            <w:shd w:val="clear" w:color="auto" w:fill="auto"/>
            <w:noWrap/>
            <w:vAlign w:val="center"/>
          </w:tcPr>
          <w:p w14:paraId="62D5C14F"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2 845 058 042,39</w:t>
            </w:r>
          </w:p>
        </w:tc>
        <w:tc>
          <w:tcPr>
            <w:tcW w:w="866" w:type="pct"/>
            <w:tcBorders>
              <w:top w:val="nil"/>
              <w:left w:val="nil"/>
              <w:bottom w:val="single" w:sz="4" w:space="0" w:color="auto"/>
              <w:right w:val="single" w:sz="4" w:space="0" w:color="auto"/>
            </w:tcBorders>
            <w:shd w:val="clear" w:color="auto" w:fill="auto"/>
            <w:noWrap/>
            <w:vAlign w:val="center"/>
          </w:tcPr>
          <w:p w14:paraId="3D65D0FC"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6 026 450 968,70</w:t>
            </w:r>
          </w:p>
        </w:tc>
        <w:tc>
          <w:tcPr>
            <w:tcW w:w="866" w:type="pct"/>
            <w:tcBorders>
              <w:top w:val="nil"/>
              <w:left w:val="nil"/>
              <w:bottom w:val="single" w:sz="4" w:space="0" w:color="auto"/>
              <w:right w:val="single" w:sz="4" w:space="0" w:color="auto"/>
            </w:tcBorders>
            <w:shd w:val="clear" w:color="auto" w:fill="auto"/>
            <w:noWrap/>
            <w:vAlign w:val="center"/>
          </w:tcPr>
          <w:p w14:paraId="060F32DC"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11 960 436 882,45</w:t>
            </w:r>
          </w:p>
        </w:tc>
        <w:tc>
          <w:tcPr>
            <w:tcW w:w="819" w:type="pct"/>
            <w:tcBorders>
              <w:top w:val="nil"/>
              <w:left w:val="nil"/>
              <w:bottom w:val="single" w:sz="4" w:space="0" w:color="auto"/>
              <w:right w:val="single" w:sz="4" w:space="0" w:color="auto"/>
            </w:tcBorders>
            <w:shd w:val="clear" w:color="auto" w:fill="auto"/>
            <w:noWrap/>
            <w:vAlign w:val="center"/>
          </w:tcPr>
          <w:p w14:paraId="101ED733"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10 798 529 116,99</w:t>
            </w:r>
          </w:p>
        </w:tc>
        <w:tc>
          <w:tcPr>
            <w:tcW w:w="867" w:type="pct"/>
            <w:tcBorders>
              <w:top w:val="nil"/>
              <w:left w:val="nil"/>
              <w:bottom w:val="single" w:sz="4" w:space="0" w:color="auto"/>
              <w:right w:val="single" w:sz="4" w:space="0" w:color="auto"/>
            </w:tcBorders>
            <w:vAlign w:val="center"/>
          </w:tcPr>
          <w:p w14:paraId="0A3278A0" w14:textId="77777777" w:rsidR="00B57597" w:rsidRPr="00CA56AB" w:rsidRDefault="00B57597" w:rsidP="002333D6">
            <w:pPr>
              <w:keepNext/>
              <w:spacing w:after="0"/>
              <w:jc w:val="right"/>
              <w:rPr>
                <w:rFonts w:eastAsia="Calibri" w:cs="Calibri"/>
                <w:color w:val="000000"/>
                <w:sz w:val="18"/>
                <w:szCs w:val="18"/>
              </w:rPr>
            </w:pPr>
            <w:r w:rsidRPr="00CA56AB">
              <w:rPr>
                <w:rFonts w:cs="Calibri"/>
                <w:color w:val="000000"/>
                <w:sz w:val="18"/>
                <w:szCs w:val="18"/>
              </w:rPr>
              <w:t>15 109 454 298,73</w:t>
            </w:r>
          </w:p>
        </w:tc>
      </w:tr>
      <w:tr w:rsidR="00B57597" w:rsidRPr="00CA56AB" w14:paraId="265E42E4" w14:textId="77777777" w:rsidTr="00B57597">
        <w:trPr>
          <w:trHeight w:val="255"/>
        </w:trPr>
        <w:tc>
          <w:tcPr>
            <w:tcW w:w="715" w:type="pct"/>
            <w:tcBorders>
              <w:top w:val="nil"/>
              <w:left w:val="single" w:sz="4" w:space="0" w:color="auto"/>
              <w:bottom w:val="single" w:sz="4" w:space="0" w:color="auto"/>
              <w:right w:val="single" w:sz="4" w:space="0" w:color="auto"/>
            </w:tcBorders>
            <w:shd w:val="clear" w:color="auto" w:fill="auto"/>
            <w:noWrap/>
            <w:vAlign w:val="center"/>
          </w:tcPr>
          <w:p w14:paraId="37B89B76" w14:textId="77777777" w:rsidR="00B57597" w:rsidRPr="00CA56AB" w:rsidRDefault="00B57597" w:rsidP="002333D6">
            <w:pPr>
              <w:keepNext/>
              <w:spacing w:after="0"/>
              <w:rPr>
                <w:rFonts w:cs="Calibri"/>
                <w:bCs/>
                <w:color w:val="000000"/>
                <w:sz w:val="18"/>
                <w:szCs w:val="18"/>
                <w:lang w:eastAsia="cs-CZ"/>
              </w:rPr>
            </w:pPr>
            <w:r w:rsidRPr="00CA56AB">
              <w:rPr>
                <w:color w:val="000000"/>
                <w:sz w:val="18"/>
                <w:szCs w:val="18"/>
              </w:rPr>
              <w:t>Náklady celkem</w:t>
            </w:r>
          </w:p>
        </w:tc>
        <w:tc>
          <w:tcPr>
            <w:tcW w:w="866" w:type="pct"/>
            <w:tcBorders>
              <w:top w:val="nil"/>
              <w:left w:val="nil"/>
              <w:bottom w:val="single" w:sz="4" w:space="0" w:color="auto"/>
              <w:right w:val="single" w:sz="4" w:space="0" w:color="auto"/>
            </w:tcBorders>
            <w:shd w:val="clear" w:color="auto" w:fill="auto"/>
            <w:noWrap/>
            <w:vAlign w:val="center"/>
          </w:tcPr>
          <w:p w14:paraId="4030C1D4"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29 203 509 912,06</w:t>
            </w:r>
          </w:p>
        </w:tc>
        <w:tc>
          <w:tcPr>
            <w:tcW w:w="866" w:type="pct"/>
            <w:tcBorders>
              <w:top w:val="nil"/>
              <w:left w:val="nil"/>
              <w:bottom w:val="single" w:sz="4" w:space="0" w:color="auto"/>
              <w:right w:val="single" w:sz="4" w:space="0" w:color="auto"/>
            </w:tcBorders>
            <w:shd w:val="clear" w:color="auto" w:fill="auto"/>
            <w:noWrap/>
            <w:vAlign w:val="center"/>
          </w:tcPr>
          <w:p w14:paraId="2988B231"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36 091 960 657,24</w:t>
            </w:r>
          </w:p>
        </w:tc>
        <w:tc>
          <w:tcPr>
            <w:tcW w:w="866" w:type="pct"/>
            <w:tcBorders>
              <w:top w:val="nil"/>
              <w:left w:val="nil"/>
              <w:bottom w:val="single" w:sz="4" w:space="0" w:color="auto"/>
              <w:right w:val="single" w:sz="4" w:space="0" w:color="auto"/>
            </w:tcBorders>
            <w:shd w:val="clear" w:color="auto" w:fill="auto"/>
            <w:noWrap/>
            <w:vAlign w:val="center"/>
          </w:tcPr>
          <w:p w14:paraId="7C28C2E9"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44 794 021 467,12</w:t>
            </w:r>
          </w:p>
        </w:tc>
        <w:tc>
          <w:tcPr>
            <w:tcW w:w="819" w:type="pct"/>
            <w:tcBorders>
              <w:top w:val="nil"/>
              <w:left w:val="nil"/>
              <w:bottom w:val="single" w:sz="4" w:space="0" w:color="auto"/>
              <w:right w:val="single" w:sz="4" w:space="0" w:color="auto"/>
            </w:tcBorders>
            <w:shd w:val="clear" w:color="auto" w:fill="auto"/>
            <w:noWrap/>
            <w:vAlign w:val="center"/>
          </w:tcPr>
          <w:p w14:paraId="42CA5EED"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44 665 215 058,51</w:t>
            </w:r>
          </w:p>
        </w:tc>
        <w:tc>
          <w:tcPr>
            <w:tcW w:w="867" w:type="pct"/>
            <w:tcBorders>
              <w:top w:val="nil"/>
              <w:left w:val="nil"/>
              <w:bottom w:val="single" w:sz="4" w:space="0" w:color="auto"/>
              <w:right w:val="single" w:sz="4" w:space="0" w:color="auto"/>
            </w:tcBorders>
            <w:vAlign w:val="center"/>
          </w:tcPr>
          <w:p w14:paraId="68A894B8" w14:textId="77777777" w:rsidR="00B57597" w:rsidRPr="00CA56AB" w:rsidRDefault="00B57597" w:rsidP="002333D6">
            <w:pPr>
              <w:keepNext/>
              <w:spacing w:after="0"/>
              <w:jc w:val="right"/>
              <w:rPr>
                <w:rFonts w:eastAsia="Calibri" w:cs="Calibri"/>
                <w:color w:val="000000"/>
                <w:sz w:val="18"/>
                <w:szCs w:val="18"/>
              </w:rPr>
            </w:pPr>
            <w:r w:rsidRPr="00CA56AB">
              <w:rPr>
                <w:rFonts w:cs="Calibri"/>
                <w:color w:val="000000"/>
                <w:sz w:val="18"/>
                <w:szCs w:val="18"/>
              </w:rPr>
              <w:t>57 352 567 323,17</w:t>
            </w:r>
          </w:p>
        </w:tc>
      </w:tr>
    </w:tbl>
    <w:p w14:paraId="0938FBD3" w14:textId="77777777" w:rsidR="00B57597" w:rsidRPr="00CF36BE" w:rsidRDefault="00B57597" w:rsidP="00B57597">
      <w:pPr>
        <w:spacing w:before="40"/>
        <w:rPr>
          <w:rFonts w:cs="Calibri"/>
          <w:bCs/>
          <w:color w:val="000000"/>
          <w:sz w:val="20"/>
          <w:szCs w:val="20"/>
          <w:lang w:eastAsia="cs-CZ"/>
        </w:rPr>
      </w:pPr>
      <w:bookmarkStart w:id="72" w:name="_Toc520714330"/>
      <w:r w:rsidRPr="00CF36BE">
        <w:rPr>
          <w:rFonts w:cs="Calibri"/>
          <w:b/>
          <w:color w:val="000000"/>
          <w:sz w:val="20"/>
          <w:szCs w:val="20"/>
          <w:lang w:eastAsia="cs-CZ"/>
        </w:rPr>
        <w:t xml:space="preserve">Zdroj: </w:t>
      </w:r>
      <w:r w:rsidRPr="00CF36BE">
        <w:rPr>
          <w:rFonts w:cs="Calibri"/>
          <w:color w:val="000000"/>
          <w:sz w:val="20"/>
          <w:szCs w:val="20"/>
          <w:lang w:eastAsia="cs-CZ"/>
        </w:rPr>
        <w:t>informační portál MONITOR.</w:t>
      </w:r>
    </w:p>
    <w:p w14:paraId="21BA084B" w14:textId="6807892C" w:rsidR="00B57597" w:rsidRPr="002333D6" w:rsidRDefault="00B57597" w:rsidP="002333D6">
      <w:pPr>
        <w:pStyle w:val="Titulek1"/>
        <w:rPr>
          <w:sz w:val="24"/>
        </w:rPr>
      </w:pPr>
      <w:bookmarkStart w:id="73" w:name="_Toc8984537"/>
      <w:bookmarkStart w:id="74" w:name="_Toc72157478"/>
      <w:r w:rsidRPr="002333D6">
        <w:rPr>
          <w:sz w:val="24"/>
        </w:rPr>
        <w:t xml:space="preserve">Tabulka č. </w:t>
      </w:r>
      <w:r w:rsidR="00776507" w:rsidRPr="002333D6">
        <w:rPr>
          <w:sz w:val="24"/>
        </w:rPr>
        <w:fldChar w:fldCharType="begin"/>
      </w:r>
      <w:r w:rsidR="00776507" w:rsidRPr="002333D6">
        <w:rPr>
          <w:sz w:val="24"/>
        </w:rPr>
        <w:instrText xml:space="preserve"> SEQ Tabulka \* ARABIC </w:instrText>
      </w:r>
      <w:r w:rsidR="00776507" w:rsidRPr="002333D6">
        <w:rPr>
          <w:sz w:val="24"/>
        </w:rPr>
        <w:fldChar w:fldCharType="separate"/>
      </w:r>
      <w:r w:rsidR="00E544AA">
        <w:rPr>
          <w:noProof/>
          <w:sz w:val="24"/>
        </w:rPr>
        <w:t>21</w:t>
      </w:r>
      <w:r w:rsidR="00776507" w:rsidRPr="002333D6">
        <w:rPr>
          <w:noProof/>
          <w:sz w:val="24"/>
        </w:rPr>
        <w:fldChar w:fldCharType="end"/>
      </w:r>
      <w:r w:rsidRPr="002333D6">
        <w:rPr>
          <w:sz w:val="24"/>
        </w:rPr>
        <w:t>: Tempo růstu výnosů a nákladů OSS v rozpočtové kapitole 322 vč. M</w:t>
      </w:r>
      <w:bookmarkEnd w:id="72"/>
      <w:bookmarkEnd w:id="73"/>
      <w:r w:rsidRPr="002333D6">
        <w:rPr>
          <w:sz w:val="24"/>
        </w:rPr>
        <w:t>PO</w:t>
      </w:r>
      <w:bookmarkEnd w:id="74"/>
      <w:r w:rsidRPr="002333D6">
        <w:rPr>
          <w:sz w:val="24"/>
        </w:rPr>
        <w:t xml:space="preserve"> </w:t>
      </w:r>
    </w:p>
    <w:tbl>
      <w:tblPr>
        <w:tblW w:w="9068" w:type="dxa"/>
        <w:tblLayout w:type="fixed"/>
        <w:tblCellMar>
          <w:left w:w="70" w:type="dxa"/>
          <w:right w:w="70" w:type="dxa"/>
        </w:tblCellMar>
        <w:tblLook w:val="04A0" w:firstRow="1" w:lastRow="0" w:firstColumn="1" w:lastColumn="0" w:noHBand="0" w:noVBand="1"/>
      </w:tblPr>
      <w:tblGrid>
        <w:gridCol w:w="2830"/>
        <w:gridCol w:w="1559"/>
        <w:gridCol w:w="1559"/>
        <w:gridCol w:w="1560"/>
        <w:gridCol w:w="1560"/>
      </w:tblGrid>
      <w:tr w:rsidR="00B57597" w:rsidRPr="00CA56AB" w14:paraId="75B869D9"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78DCE53B" w14:textId="77777777" w:rsidR="00B57597" w:rsidRPr="00CA56AB" w:rsidRDefault="00B57597" w:rsidP="002333D6">
            <w:pPr>
              <w:keepNext/>
              <w:spacing w:after="0"/>
              <w:rPr>
                <w:rFonts w:cs="Calibri"/>
                <w:b/>
                <w:bCs/>
                <w:color w:val="000000"/>
                <w:sz w:val="18"/>
                <w:szCs w:val="18"/>
                <w:lang w:eastAsia="cs-CZ"/>
              </w:rPr>
            </w:pPr>
            <w:r w:rsidRPr="00CA56AB">
              <w:rPr>
                <w:b/>
                <w:bCs/>
                <w:color w:val="000000"/>
                <w:sz w:val="18"/>
                <w:szCs w:val="18"/>
              </w:rPr>
              <w:t>Tempo růstu (absolutní změna)</w:t>
            </w:r>
          </w:p>
        </w:tc>
        <w:tc>
          <w:tcPr>
            <w:tcW w:w="1559" w:type="dxa"/>
            <w:tcBorders>
              <w:top w:val="single" w:sz="4" w:space="0" w:color="auto"/>
              <w:left w:val="nil"/>
              <w:bottom w:val="single" w:sz="4" w:space="0" w:color="auto"/>
              <w:right w:val="single" w:sz="4" w:space="0" w:color="auto"/>
            </w:tcBorders>
            <w:shd w:val="clear" w:color="auto" w:fill="E5F1FF"/>
            <w:noWrap/>
            <w:vAlign w:val="center"/>
            <w:hideMark/>
          </w:tcPr>
          <w:p w14:paraId="4D530D48" w14:textId="3F434D93"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2017</w:t>
            </w:r>
            <w:r w:rsidR="009C1D0F">
              <w:rPr>
                <w:b/>
                <w:bCs/>
                <w:color w:val="000000"/>
                <w:sz w:val="18"/>
                <w:szCs w:val="18"/>
              </w:rPr>
              <w:t>–</w:t>
            </w:r>
            <w:r w:rsidRPr="00CA56AB">
              <w:rPr>
                <w:b/>
                <w:bCs/>
                <w:color w:val="000000"/>
                <w:sz w:val="18"/>
                <w:szCs w:val="18"/>
              </w:rPr>
              <w:t>2016</w:t>
            </w:r>
          </w:p>
        </w:tc>
        <w:tc>
          <w:tcPr>
            <w:tcW w:w="1559" w:type="dxa"/>
            <w:tcBorders>
              <w:top w:val="single" w:sz="4" w:space="0" w:color="auto"/>
              <w:left w:val="nil"/>
              <w:bottom w:val="single" w:sz="4" w:space="0" w:color="auto"/>
              <w:right w:val="single" w:sz="4" w:space="0" w:color="auto"/>
            </w:tcBorders>
            <w:shd w:val="clear" w:color="auto" w:fill="E5F1FF"/>
            <w:noWrap/>
            <w:vAlign w:val="center"/>
            <w:hideMark/>
          </w:tcPr>
          <w:p w14:paraId="06315EF2" w14:textId="1403D5C0"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2018</w:t>
            </w:r>
            <w:r w:rsidR="009C1D0F">
              <w:rPr>
                <w:b/>
                <w:bCs/>
                <w:color w:val="000000"/>
                <w:sz w:val="18"/>
                <w:szCs w:val="18"/>
              </w:rPr>
              <w:t>–</w:t>
            </w:r>
            <w:r w:rsidRPr="00CA56AB">
              <w:rPr>
                <w:b/>
                <w:bCs/>
                <w:color w:val="000000"/>
                <w:sz w:val="18"/>
                <w:szCs w:val="18"/>
              </w:rPr>
              <w:t>2017</w:t>
            </w:r>
          </w:p>
        </w:tc>
        <w:tc>
          <w:tcPr>
            <w:tcW w:w="1560" w:type="dxa"/>
            <w:tcBorders>
              <w:top w:val="single" w:sz="4" w:space="0" w:color="auto"/>
              <w:left w:val="nil"/>
              <w:bottom w:val="single" w:sz="4" w:space="0" w:color="auto"/>
              <w:right w:val="single" w:sz="4" w:space="0" w:color="auto"/>
            </w:tcBorders>
            <w:shd w:val="clear" w:color="auto" w:fill="E5F1FF"/>
            <w:noWrap/>
            <w:vAlign w:val="center"/>
            <w:hideMark/>
          </w:tcPr>
          <w:p w14:paraId="2F1430F3" w14:textId="722BD5F4"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2019</w:t>
            </w:r>
            <w:r w:rsidR="009C1D0F">
              <w:rPr>
                <w:b/>
                <w:bCs/>
                <w:color w:val="000000"/>
                <w:sz w:val="18"/>
                <w:szCs w:val="18"/>
              </w:rPr>
              <w:t>–</w:t>
            </w:r>
            <w:r w:rsidRPr="00CA56AB">
              <w:rPr>
                <w:b/>
                <w:bCs/>
                <w:color w:val="000000"/>
                <w:sz w:val="18"/>
                <w:szCs w:val="18"/>
              </w:rPr>
              <w:t>2018</w:t>
            </w:r>
          </w:p>
        </w:tc>
        <w:tc>
          <w:tcPr>
            <w:tcW w:w="1560" w:type="dxa"/>
            <w:tcBorders>
              <w:top w:val="single" w:sz="4" w:space="0" w:color="auto"/>
              <w:left w:val="nil"/>
              <w:bottom w:val="single" w:sz="4" w:space="0" w:color="auto"/>
              <w:right w:val="single" w:sz="4" w:space="0" w:color="auto"/>
            </w:tcBorders>
            <w:shd w:val="clear" w:color="auto" w:fill="E5F1FF"/>
            <w:vAlign w:val="center"/>
          </w:tcPr>
          <w:p w14:paraId="34A6953F" w14:textId="16BBDC1E" w:rsidR="00B57597" w:rsidRPr="00CA56AB" w:rsidRDefault="00B57597" w:rsidP="002333D6">
            <w:pPr>
              <w:keepNext/>
              <w:spacing w:after="0"/>
              <w:jc w:val="center"/>
              <w:rPr>
                <w:rFonts w:cs="Calibri"/>
                <w:b/>
                <w:bCs/>
                <w:color w:val="000000"/>
                <w:sz w:val="18"/>
                <w:szCs w:val="18"/>
                <w:lang w:eastAsia="cs-CZ"/>
              </w:rPr>
            </w:pPr>
            <w:r w:rsidRPr="00CA56AB">
              <w:rPr>
                <w:rFonts w:cs="Calibri"/>
                <w:b/>
                <w:bCs/>
                <w:color w:val="000000"/>
                <w:sz w:val="18"/>
                <w:szCs w:val="18"/>
              </w:rPr>
              <w:t>2020</w:t>
            </w:r>
            <w:r w:rsidR="009C1D0F">
              <w:rPr>
                <w:b/>
                <w:bCs/>
                <w:color w:val="000000"/>
                <w:sz w:val="18"/>
                <w:szCs w:val="18"/>
              </w:rPr>
              <w:t>–</w:t>
            </w:r>
            <w:r w:rsidRPr="00CA56AB">
              <w:rPr>
                <w:rFonts w:cs="Calibri"/>
                <w:b/>
                <w:bCs/>
                <w:color w:val="000000"/>
                <w:sz w:val="18"/>
                <w:szCs w:val="18"/>
              </w:rPr>
              <w:t>2019</w:t>
            </w:r>
          </w:p>
        </w:tc>
      </w:tr>
      <w:tr w:rsidR="00B57597" w:rsidRPr="00CA56AB" w14:paraId="3398C111"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1B37A" w14:textId="77777777" w:rsidR="00B57597" w:rsidRPr="00CA56AB" w:rsidRDefault="00B57597" w:rsidP="002333D6">
            <w:pPr>
              <w:keepNext/>
              <w:spacing w:after="0"/>
              <w:rPr>
                <w:rFonts w:cs="Calibri"/>
                <w:bCs/>
                <w:color w:val="000000"/>
                <w:sz w:val="18"/>
                <w:szCs w:val="18"/>
                <w:lang w:eastAsia="cs-CZ"/>
              </w:rPr>
            </w:pPr>
            <w:r w:rsidRPr="00CA56AB">
              <w:rPr>
                <w:color w:val="000000"/>
                <w:sz w:val="18"/>
                <w:szCs w:val="18"/>
              </w:rPr>
              <w:t>Výnosy celkem (v Kč)</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80F1CB9"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3 181 392 926,31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CDB108"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5 933 985 913,75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C0D7936" w14:textId="3FF822B8" w:rsidR="00B57597" w:rsidRPr="00CA56AB" w:rsidRDefault="009C1D0F" w:rsidP="002333D6">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1 161 907 765,46</w:t>
            </w:r>
          </w:p>
        </w:tc>
        <w:tc>
          <w:tcPr>
            <w:tcW w:w="1560" w:type="dxa"/>
            <w:tcBorders>
              <w:top w:val="single" w:sz="4" w:space="0" w:color="auto"/>
              <w:left w:val="nil"/>
              <w:bottom w:val="single" w:sz="4" w:space="0" w:color="auto"/>
              <w:right w:val="single" w:sz="4" w:space="0" w:color="auto"/>
            </w:tcBorders>
            <w:vAlign w:val="center"/>
          </w:tcPr>
          <w:p w14:paraId="2BF00FBE" w14:textId="77777777" w:rsidR="00B57597" w:rsidRPr="00CA56AB" w:rsidRDefault="00B57597" w:rsidP="002333D6">
            <w:pPr>
              <w:keepNext/>
              <w:spacing w:after="0"/>
              <w:jc w:val="right"/>
              <w:rPr>
                <w:rFonts w:eastAsia="Calibri" w:cs="Calibri"/>
                <w:color w:val="000000"/>
                <w:sz w:val="18"/>
                <w:szCs w:val="18"/>
              </w:rPr>
            </w:pPr>
            <w:r w:rsidRPr="00CA56AB">
              <w:rPr>
                <w:rFonts w:cs="Calibri"/>
                <w:color w:val="000000"/>
                <w:sz w:val="18"/>
                <w:szCs w:val="18"/>
              </w:rPr>
              <w:t>4 310 925 181,74</w:t>
            </w:r>
          </w:p>
        </w:tc>
      </w:tr>
      <w:tr w:rsidR="00B57597" w:rsidRPr="00CA56AB" w14:paraId="7C955950"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3893D" w14:textId="77777777" w:rsidR="00B57597" w:rsidRPr="00CA56AB" w:rsidRDefault="00B57597" w:rsidP="002333D6">
            <w:pPr>
              <w:keepNext/>
              <w:spacing w:after="0"/>
              <w:rPr>
                <w:rFonts w:cs="Calibri"/>
                <w:bCs/>
                <w:color w:val="000000"/>
                <w:sz w:val="18"/>
                <w:szCs w:val="18"/>
                <w:lang w:eastAsia="cs-CZ"/>
              </w:rPr>
            </w:pPr>
            <w:r w:rsidRPr="00CA56AB">
              <w:rPr>
                <w:color w:val="000000"/>
                <w:sz w:val="18"/>
                <w:szCs w:val="18"/>
              </w:rPr>
              <w:t>Náklady celkem (v Kč)</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2249765"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6 888 450 745,18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D0B3F0"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8 702 060 809,88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193EB82" w14:textId="2D58D30C" w:rsidR="00B57597" w:rsidRPr="00CA56AB" w:rsidRDefault="009C1D0F" w:rsidP="002333D6">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128 806 408,61</w:t>
            </w:r>
          </w:p>
        </w:tc>
        <w:tc>
          <w:tcPr>
            <w:tcW w:w="1560" w:type="dxa"/>
            <w:tcBorders>
              <w:top w:val="single" w:sz="4" w:space="0" w:color="auto"/>
              <w:left w:val="nil"/>
              <w:bottom w:val="single" w:sz="4" w:space="0" w:color="auto"/>
              <w:right w:val="single" w:sz="4" w:space="0" w:color="auto"/>
            </w:tcBorders>
            <w:vAlign w:val="center"/>
          </w:tcPr>
          <w:p w14:paraId="52BECB98" w14:textId="77777777" w:rsidR="00B57597" w:rsidRPr="00CA56AB" w:rsidRDefault="00B57597" w:rsidP="002333D6">
            <w:pPr>
              <w:keepNext/>
              <w:spacing w:after="0"/>
              <w:jc w:val="right"/>
              <w:rPr>
                <w:rFonts w:eastAsia="Calibri" w:cs="Calibri"/>
                <w:color w:val="000000"/>
                <w:sz w:val="18"/>
                <w:szCs w:val="18"/>
              </w:rPr>
            </w:pPr>
            <w:r w:rsidRPr="00CA56AB">
              <w:rPr>
                <w:rFonts w:cs="Calibri"/>
                <w:color w:val="000000"/>
                <w:sz w:val="18"/>
                <w:szCs w:val="18"/>
              </w:rPr>
              <w:t>12 687 352 264,66</w:t>
            </w:r>
          </w:p>
        </w:tc>
      </w:tr>
      <w:tr w:rsidR="00B57597" w:rsidRPr="00CA56AB" w14:paraId="4AF50BCF"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E5F1FF"/>
            <w:noWrap/>
            <w:vAlign w:val="center"/>
          </w:tcPr>
          <w:p w14:paraId="08903CC4" w14:textId="43A543E8" w:rsidR="00B57597" w:rsidRPr="00CA56AB" w:rsidRDefault="00B57597" w:rsidP="002333D6">
            <w:pPr>
              <w:keepNext/>
              <w:spacing w:after="0"/>
              <w:rPr>
                <w:rFonts w:cs="Calibri"/>
                <w:b/>
                <w:bCs/>
                <w:color w:val="000000"/>
                <w:sz w:val="18"/>
                <w:szCs w:val="18"/>
                <w:lang w:eastAsia="cs-CZ"/>
              </w:rPr>
            </w:pPr>
            <w:r w:rsidRPr="00CA56AB">
              <w:rPr>
                <w:b/>
                <w:bCs/>
                <w:color w:val="000000"/>
                <w:sz w:val="18"/>
                <w:szCs w:val="18"/>
              </w:rPr>
              <w:t>Tempo růstu v % (relativní změna) (((x+1)</w:t>
            </w:r>
            <w:r w:rsidR="009C1D0F">
              <w:rPr>
                <w:rFonts w:cs="Calibri"/>
                <w:b/>
                <w:bCs/>
                <w:color w:val="000000"/>
                <w:sz w:val="18"/>
                <w:szCs w:val="18"/>
              </w:rPr>
              <w:t>−</w:t>
            </w:r>
            <w:r w:rsidRPr="00CA56AB">
              <w:rPr>
                <w:b/>
                <w:bCs/>
                <w:color w:val="000000"/>
                <w:sz w:val="18"/>
                <w:szCs w:val="18"/>
              </w:rPr>
              <w:t>x)/x)*100</w:t>
            </w:r>
          </w:p>
        </w:tc>
        <w:tc>
          <w:tcPr>
            <w:tcW w:w="1559" w:type="dxa"/>
            <w:tcBorders>
              <w:top w:val="single" w:sz="4" w:space="0" w:color="auto"/>
              <w:left w:val="nil"/>
              <w:bottom w:val="single" w:sz="4" w:space="0" w:color="auto"/>
              <w:right w:val="single" w:sz="4" w:space="0" w:color="auto"/>
            </w:tcBorders>
            <w:shd w:val="clear" w:color="auto" w:fill="E5F1FF"/>
            <w:noWrap/>
            <w:vAlign w:val="center"/>
          </w:tcPr>
          <w:p w14:paraId="2077D17E" w14:textId="77777777" w:rsidR="00B57597" w:rsidRPr="00CA56AB" w:rsidRDefault="00B57597" w:rsidP="002333D6">
            <w:pPr>
              <w:keepNext/>
              <w:spacing w:after="0"/>
              <w:jc w:val="center"/>
              <w:rPr>
                <w:rFonts w:eastAsia="Calibri" w:cs="Calibri"/>
                <w:b/>
                <w:color w:val="000000"/>
                <w:sz w:val="18"/>
                <w:szCs w:val="18"/>
              </w:rPr>
            </w:pPr>
            <w:r w:rsidRPr="00CA56AB">
              <w:rPr>
                <w:b/>
                <w:bCs/>
                <w:color w:val="000000"/>
                <w:sz w:val="18"/>
                <w:szCs w:val="18"/>
              </w:rPr>
              <w:t>2017/2016</w:t>
            </w:r>
          </w:p>
        </w:tc>
        <w:tc>
          <w:tcPr>
            <w:tcW w:w="1559" w:type="dxa"/>
            <w:tcBorders>
              <w:top w:val="single" w:sz="4" w:space="0" w:color="auto"/>
              <w:left w:val="nil"/>
              <w:bottom w:val="single" w:sz="4" w:space="0" w:color="auto"/>
              <w:right w:val="single" w:sz="4" w:space="0" w:color="auto"/>
            </w:tcBorders>
            <w:shd w:val="clear" w:color="auto" w:fill="E5F1FF"/>
            <w:noWrap/>
            <w:vAlign w:val="center"/>
          </w:tcPr>
          <w:p w14:paraId="2FACA1A5" w14:textId="77777777" w:rsidR="00B57597" w:rsidRPr="00CA56AB" w:rsidRDefault="00B57597" w:rsidP="002333D6">
            <w:pPr>
              <w:keepNext/>
              <w:spacing w:after="0"/>
              <w:jc w:val="center"/>
              <w:rPr>
                <w:rFonts w:eastAsia="Calibri" w:cs="Calibri"/>
                <w:b/>
                <w:color w:val="000000"/>
                <w:sz w:val="18"/>
                <w:szCs w:val="18"/>
              </w:rPr>
            </w:pPr>
            <w:r w:rsidRPr="00CA56AB">
              <w:rPr>
                <w:b/>
                <w:bCs/>
                <w:color w:val="000000"/>
                <w:sz w:val="18"/>
                <w:szCs w:val="18"/>
              </w:rPr>
              <w:t>2018/2017</w:t>
            </w:r>
          </w:p>
        </w:tc>
        <w:tc>
          <w:tcPr>
            <w:tcW w:w="1560" w:type="dxa"/>
            <w:tcBorders>
              <w:top w:val="single" w:sz="4" w:space="0" w:color="auto"/>
              <w:left w:val="nil"/>
              <w:bottom w:val="single" w:sz="4" w:space="0" w:color="auto"/>
              <w:right w:val="single" w:sz="4" w:space="0" w:color="auto"/>
            </w:tcBorders>
            <w:shd w:val="clear" w:color="auto" w:fill="E5F1FF"/>
            <w:noWrap/>
            <w:vAlign w:val="center"/>
          </w:tcPr>
          <w:p w14:paraId="0CC20CBD" w14:textId="77777777" w:rsidR="00B57597" w:rsidRPr="00CA56AB" w:rsidRDefault="00B57597" w:rsidP="002333D6">
            <w:pPr>
              <w:keepNext/>
              <w:spacing w:after="0"/>
              <w:jc w:val="center"/>
              <w:rPr>
                <w:rFonts w:eastAsia="Calibri" w:cs="Calibri"/>
                <w:b/>
                <w:color w:val="000000"/>
                <w:sz w:val="18"/>
                <w:szCs w:val="18"/>
              </w:rPr>
            </w:pPr>
            <w:r w:rsidRPr="00CA56AB">
              <w:rPr>
                <w:b/>
                <w:bCs/>
                <w:color w:val="000000"/>
                <w:sz w:val="18"/>
                <w:szCs w:val="18"/>
              </w:rPr>
              <w:t>2019/2018</w:t>
            </w:r>
          </w:p>
        </w:tc>
        <w:tc>
          <w:tcPr>
            <w:tcW w:w="1560" w:type="dxa"/>
            <w:tcBorders>
              <w:top w:val="single" w:sz="4" w:space="0" w:color="auto"/>
              <w:left w:val="nil"/>
              <w:bottom w:val="single" w:sz="4" w:space="0" w:color="auto"/>
              <w:right w:val="single" w:sz="4" w:space="0" w:color="auto"/>
            </w:tcBorders>
            <w:shd w:val="clear" w:color="auto" w:fill="E5F1FF"/>
            <w:vAlign w:val="center"/>
          </w:tcPr>
          <w:p w14:paraId="0B6F6151" w14:textId="77777777" w:rsidR="00B57597" w:rsidRPr="00CA56AB" w:rsidRDefault="00B57597" w:rsidP="002333D6">
            <w:pPr>
              <w:keepNext/>
              <w:spacing w:after="0"/>
              <w:jc w:val="center"/>
              <w:rPr>
                <w:rFonts w:eastAsia="Calibri" w:cs="Calibri"/>
                <w:b/>
                <w:color w:val="000000"/>
                <w:sz w:val="18"/>
                <w:szCs w:val="18"/>
              </w:rPr>
            </w:pPr>
            <w:r w:rsidRPr="00CA56AB">
              <w:rPr>
                <w:rFonts w:cs="Calibri"/>
                <w:b/>
                <w:bCs/>
                <w:color w:val="000000"/>
                <w:sz w:val="18"/>
                <w:szCs w:val="18"/>
              </w:rPr>
              <w:t>2020/2019</w:t>
            </w:r>
          </w:p>
        </w:tc>
      </w:tr>
      <w:tr w:rsidR="00B57597" w:rsidRPr="00CA56AB" w14:paraId="1C2F9920"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2E48F" w14:textId="77777777" w:rsidR="00B57597" w:rsidRPr="00CA56AB" w:rsidRDefault="00B57597" w:rsidP="002333D6">
            <w:pPr>
              <w:keepNext/>
              <w:spacing w:after="0"/>
              <w:rPr>
                <w:rFonts w:cs="Calibri"/>
                <w:bCs/>
                <w:color w:val="000000"/>
                <w:sz w:val="18"/>
                <w:szCs w:val="18"/>
                <w:lang w:eastAsia="cs-CZ"/>
              </w:rPr>
            </w:pPr>
            <w:r w:rsidRPr="00CA56AB">
              <w:rPr>
                <w:color w:val="000000"/>
                <w:sz w:val="18"/>
                <w:szCs w:val="18"/>
              </w:rPr>
              <w:t>Výnosy celkem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970C0D" w14:textId="68F09B43"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111,82</w:t>
            </w:r>
            <w:r w:rsidR="009C1D0F">
              <w:rPr>
                <w:color w:val="000000"/>
                <w:sz w:val="18"/>
                <w:szCs w:val="18"/>
              </w:rPr>
              <w:t> </w:t>
            </w:r>
            <w:r w:rsidRPr="00CA56AB">
              <w:rPr>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BB64137" w14:textId="067827A9"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98,47</w:t>
            </w:r>
            <w:r w:rsidR="009C1D0F">
              <w:rPr>
                <w:color w:val="000000"/>
                <w:sz w:val="18"/>
                <w:szCs w:val="18"/>
              </w:rPr>
              <w:t> </w:t>
            </w:r>
            <w:r w:rsidRPr="00CA56AB">
              <w:rPr>
                <w:color w:val="000000"/>
                <w:sz w:val="18"/>
                <w:szCs w:val="18"/>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9F0A370" w14:textId="362AFF3D" w:rsidR="00B57597" w:rsidRPr="00CA56AB" w:rsidRDefault="009C1D0F" w:rsidP="002333D6">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9,71</w:t>
            </w:r>
            <w:r>
              <w:rPr>
                <w:color w:val="000000"/>
                <w:sz w:val="18"/>
                <w:szCs w:val="18"/>
              </w:rPr>
              <w:t> </w:t>
            </w:r>
            <w:r w:rsidR="00B57597" w:rsidRPr="00CA56AB">
              <w:rPr>
                <w:color w:val="000000"/>
                <w:sz w:val="18"/>
                <w:szCs w:val="18"/>
              </w:rPr>
              <w:t>%</w:t>
            </w:r>
          </w:p>
        </w:tc>
        <w:tc>
          <w:tcPr>
            <w:tcW w:w="1560" w:type="dxa"/>
            <w:tcBorders>
              <w:top w:val="single" w:sz="4" w:space="0" w:color="auto"/>
              <w:left w:val="nil"/>
              <w:bottom w:val="single" w:sz="4" w:space="0" w:color="auto"/>
              <w:right w:val="single" w:sz="4" w:space="0" w:color="auto"/>
            </w:tcBorders>
            <w:vAlign w:val="center"/>
          </w:tcPr>
          <w:p w14:paraId="5FBACBF7" w14:textId="5486A75A" w:rsidR="00B57597" w:rsidRPr="00CA56AB" w:rsidRDefault="00B57597" w:rsidP="002333D6">
            <w:pPr>
              <w:keepNext/>
              <w:spacing w:after="0"/>
              <w:jc w:val="right"/>
              <w:rPr>
                <w:rFonts w:eastAsia="Calibri" w:cs="Calibri"/>
                <w:color w:val="000000"/>
                <w:sz w:val="18"/>
                <w:szCs w:val="18"/>
              </w:rPr>
            </w:pPr>
            <w:r w:rsidRPr="00CA56AB">
              <w:rPr>
                <w:rFonts w:cs="Calibri"/>
                <w:color w:val="000000"/>
                <w:sz w:val="18"/>
                <w:szCs w:val="18"/>
              </w:rPr>
              <w:t>39,92</w:t>
            </w:r>
            <w:r w:rsidR="009C1D0F">
              <w:rPr>
                <w:rFonts w:cs="Calibri"/>
                <w:color w:val="000000"/>
                <w:sz w:val="18"/>
                <w:szCs w:val="18"/>
              </w:rPr>
              <w:t> </w:t>
            </w:r>
            <w:r w:rsidRPr="00CA56AB">
              <w:rPr>
                <w:rFonts w:cs="Calibri"/>
                <w:color w:val="000000"/>
                <w:sz w:val="18"/>
                <w:szCs w:val="18"/>
              </w:rPr>
              <w:t>%</w:t>
            </w:r>
          </w:p>
        </w:tc>
      </w:tr>
      <w:tr w:rsidR="00B57597" w:rsidRPr="00CA56AB" w14:paraId="0A5C3F2F"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224A8" w14:textId="77777777" w:rsidR="00B57597" w:rsidRPr="00CA56AB" w:rsidRDefault="00B57597" w:rsidP="002333D6">
            <w:pPr>
              <w:keepNext/>
              <w:spacing w:after="0"/>
              <w:rPr>
                <w:rFonts w:cs="Calibri"/>
                <w:bCs/>
                <w:color w:val="000000"/>
                <w:sz w:val="18"/>
                <w:szCs w:val="18"/>
                <w:lang w:eastAsia="cs-CZ"/>
              </w:rPr>
            </w:pPr>
            <w:r w:rsidRPr="00CA56AB">
              <w:rPr>
                <w:color w:val="000000"/>
                <w:sz w:val="18"/>
                <w:szCs w:val="18"/>
              </w:rPr>
              <w:t>Náklady celkem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153E88" w14:textId="71813FC4"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23,59</w:t>
            </w:r>
            <w:r w:rsidR="009C1D0F">
              <w:rPr>
                <w:color w:val="000000"/>
                <w:sz w:val="18"/>
                <w:szCs w:val="18"/>
              </w:rPr>
              <w:t> </w:t>
            </w:r>
            <w:r w:rsidRPr="00CA56AB">
              <w:rPr>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20CF11F" w14:textId="4A962FC6"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24,11</w:t>
            </w:r>
            <w:r w:rsidR="009C1D0F">
              <w:rPr>
                <w:color w:val="000000"/>
                <w:sz w:val="18"/>
                <w:szCs w:val="18"/>
              </w:rPr>
              <w:t> </w:t>
            </w:r>
            <w:r w:rsidRPr="00CA56AB">
              <w:rPr>
                <w:color w:val="000000"/>
                <w:sz w:val="18"/>
                <w:szCs w:val="18"/>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58B2D12" w14:textId="2A8E867A" w:rsidR="00B57597" w:rsidRPr="00CA56AB" w:rsidRDefault="009C1D0F" w:rsidP="002333D6">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0,29</w:t>
            </w:r>
            <w:r>
              <w:rPr>
                <w:color w:val="000000"/>
                <w:sz w:val="18"/>
                <w:szCs w:val="18"/>
              </w:rPr>
              <w:t> </w:t>
            </w:r>
            <w:r w:rsidR="00B57597" w:rsidRPr="00CA56AB">
              <w:rPr>
                <w:color w:val="000000"/>
                <w:sz w:val="18"/>
                <w:szCs w:val="18"/>
              </w:rPr>
              <w:t>%</w:t>
            </w:r>
          </w:p>
        </w:tc>
        <w:tc>
          <w:tcPr>
            <w:tcW w:w="1560" w:type="dxa"/>
            <w:tcBorders>
              <w:top w:val="single" w:sz="4" w:space="0" w:color="auto"/>
              <w:left w:val="nil"/>
              <w:bottom w:val="single" w:sz="4" w:space="0" w:color="auto"/>
              <w:right w:val="single" w:sz="4" w:space="0" w:color="auto"/>
            </w:tcBorders>
            <w:vAlign w:val="center"/>
          </w:tcPr>
          <w:p w14:paraId="674CDA36" w14:textId="4CCF104B" w:rsidR="00B57597" w:rsidRPr="00CA56AB" w:rsidRDefault="00B57597" w:rsidP="002333D6">
            <w:pPr>
              <w:keepNext/>
              <w:spacing w:after="0"/>
              <w:jc w:val="right"/>
              <w:rPr>
                <w:rFonts w:eastAsia="Calibri" w:cs="Calibri"/>
                <w:color w:val="000000"/>
                <w:sz w:val="18"/>
                <w:szCs w:val="18"/>
              </w:rPr>
            </w:pPr>
            <w:r w:rsidRPr="00CA56AB">
              <w:rPr>
                <w:rFonts w:cs="Calibri"/>
                <w:color w:val="000000"/>
                <w:sz w:val="18"/>
                <w:szCs w:val="18"/>
              </w:rPr>
              <w:t>28,41</w:t>
            </w:r>
            <w:r w:rsidR="009C1D0F">
              <w:rPr>
                <w:rFonts w:cs="Calibri"/>
                <w:color w:val="000000"/>
                <w:sz w:val="18"/>
                <w:szCs w:val="18"/>
              </w:rPr>
              <w:t> </w:t>
            </w:r>
            <w:r w:rsidRPr="00CA56AB">
              <w:rPr>
                <w:rFonts w:cs="Calibri"/>
                <w:color w:val="000000"/>
                <w:sz w:val="18"/>
                <w:szCs w:val="18"/>
              </w:rPr>
              <w:t>%</w:t>
            </w:r>
          </w:p>
        </w:tc>
      </w:tr>
    </w:tbl>
    <w:p w14:paraId="0FF0A154" w14:textId="77777777" w:rsidR="00B57597" w:rsidRPr="00CA56AB" w:rsidRDefault="00B57597" w:rsidP="00B57597">
      <w:pPr>
        <w:spacing w:before="40"/>
        <w:rPr>
          <w:rFonts w:cs="Calibri"/>
          <w:color w:val="000000"/>
          <w:sz w:val="20"/>
          <w:szCs w:val="20"/>
          <w:lang w:eastAsia="cs-CZ"/>
        </w:rPr>
      </w:pPr>
      <w:r w:rsidRPr="00CA56AB">
        <w:rPr>
          <w:rFonts w:cs="Calibri"/>
          <w:b/>
          <w:color w:val="000000"/>
          <w:sz w:val="20"/>
          <w:szCs w:val="20"/>
          <w:lang w:eastAsia="cs-CZ"/>
        </w:rPr>
        <w:t xml:space="preserve">Zdroj: </w:t>
      </w:r>
      <w:r w:rsidRPr="00CA56AB">
        <w:rPr>
          <w:rFonts w:cs="Calibri"/>
          <w:color w:val="000000"/>
          <w:sz w:val="20"/>
          <w:szCs w:val="20"/>
          <w:lang w:eastAsia="cs-CZ"/>
        </w:rPr>
        <w:t>výpočet vypracoval NKÚ.</w:t>
      </w:r>
    </w:p>
    <w:p w14:paraId="7F683FE8" w14:textId="77777777" w:rsidR="00B57597" w:rsidRPr="00CA56AB" w:rsidRDefault="00B57597" w:rsidP="00B57597">
      <w:pPr>
        <w:jc w:val="both"/>
        <w:rPr>
          <w:rFonts w:cs="Calibri"/>
        </w:rPr>
      </w:pPr>
      <w:r w:rsidRPr="00CA56AB">
        <w:rPr>
          <w:rFonts w:cs="Calibri"/>
        </w:rPr>
        <w:t>K největší relativní změně výnosů ve sledovaném období došlo v kapitole 322 mezi rokem 2016 a 2017, a to k nárůstu o 111,82 %. K největší relativní změně nákladů ve sledovaném období došlo v kapitole 322 mezi rokem 2019 a 2020, a to k nárůstu o 28,41 %.</w:t>
      </w:r>
    </w:p>
    <w:p w14:paraId="110567C8" w14:textId="13F7A6C8" w:rsidR="00B57597" w:rsidRPr="002333D6" w:rsidRDefault="00B57597" w:rsidP="002333D6">
      <w:pPr>
        <w:pStyle w:val="Titulek1"/>
        <w:tabs>
          <w:tab w:val="clear" w:pos="9356"/>
          <w:tab w:val="right" w:pos="9072"/>
        </w:tabs>
        <w:rPr>
          <w:sz w:val="24"/>
        </w:rPr>
      </w:pPr>
      <w:bookmarkStart w:id="75" w:name="_Toc520714331"/>
      <w:bookmarkStart w:id="76" w:name="_Toc8984538"/>
      <w:bookmarkStart w:id="77" w:name="_Toc72157479"/>
      <w:r w:rsidRPr="002333D6">
        <w:rPr>
          <w:sz w:val="24"/>
        </w:rPr>
        <w:lastRenderedPageBreak/>
        <w:t xml:space="preserve">Tabulka č. </w:t>
      </w:r>
      <w:r w:rsidR="00776507" w:rsidRPr="002333D6">
        <w:rPr>
          <w:sz w:val="24"/>
        </w:rPr>
        <w:fldChar w:fldCharType="begin"/>
      </w:r>
      <w:r w:rsidR="00776507" w:rsidRPr="002333D6">
        <w:rPr>
          <w:sz w:val="24"/>
        </w:rPr>
        <w:instrText xml:space="preserve"> SEQ Tabulka \* ARABIC </w:instrText>
      </w:r>
      <w:r w:rsidR="00776507" w:rsidRPr="002333D6">
        <w:rPr>
          <w:sz w:val="24"/>
        </w:rPr>
        <w:fldChar w:fldCharType="separate"/>
      </w:r>
      <w:r w:rsidR="00E544AA">
        <w:rPr>
          <w:noProof/>
          <w:sz w:val="24"/>
        </w:rPr>
        <w:t>22</w:t>
      </w:r>
      <w:r w:rsidR="00776507" w:rsidRPr="002333D6">
        <w:rPr>
          <w:noProof/>
          <w:sz w:val="24"/>
        </w:rPr>
        <w:fldChar w:fldCharType="end"/>
      </w:r>
      <w:r w:rsidRPr="002333D6">
        <w:rPr>
          <w:sz w:val="24"/>
        </w:rPr>
        <w:t>: Výnosy a náklady MPO (v Kč)</w:t>
      </w:r>
      <w:bookmarkEnd w:id="75"/>
      <w:bookmarkEnd w:id="76"/>
      <w:bookmarkEnd w:id="77"/>
    </w:p>
    <w:tbl>
      <w:tblPr>
        <w:tblW w:w="5000" w:type="pct"/>
        <w:tblCellMar>
          <w:left w:w="70" w:type="dxa"/>
          <w:right w:w="70" w:type="dxa"/>
        </w:tblCellMar>
        <w:tblLook w:val="04A0" w:firstRow="1" w:lastRow="0" w:firstColumn="1" w:lastColumn="0" w:noHBand="0" w:noVBand="1"/>
      </w:tblPr>
      <w:tblGrid>
        <w:gridCol w:w="1294"/>
        <w:gridCol w:w="1567"/>
        <w:gridCol w:w="1568"/>
        <w:gridCol w:w="1568"/>
        <w:gridCol w:w="1493"/>
        <w:gridCol w:w="1570"/>
      </w:tblGrid>
      <w:tr w:rsidR="00B57597" w:rsidRPr="00CA56AB" w14:paraId="55A7CCB3" w14:textId="77777777" w:rsidTr="00B57597">
        <w:trPr>
          <w:trHeight w:val="255"/>
        </w:trPr>
        <w:tc>
          <w:tcPr>
            <w:tcW w:w="715"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176B27B2" w14:textId="77777777" w:rsidR="00B57597" w:rsidRPr="00CA56AB" w:rsidRDefault="00B57597" w:rsidP="002333D6">
            <w:pPr>
              <w:keepNext/>
              <w:spacing w:after="0"/>
              <w:rPr>
                <w:rFonts w:cs="Calibri"/>
                <w:b/>
                <w:bCs/>
                <w:color w:val="000000"/>
                <w:sz w:val="18"/>
                <w:szCs w:val="18"/>
                <w:lang w:eastAsia="cs-CZ"/>
              </w:rPr>
            </w:pPr>
            <w:r w:rsidRPr="00CA56AB">
              <w:rPr>
                <w:b/>
                <w:bCs/>
                <w:color w:val="000000"/>
                <w:sz w:val="18"/>
                <w:szCs w:val="18"/>
              </w:rPr>
              <w:t>Ukazatel</w:t>
            </w:r>
          </w:p>
        </w:tc>
        <w:tc>
          <w:tcPr>
            <w:tcW w:w="866" w:type="pct"/>
            <w:tcBorders>
              <w:top w:val="single" w:sz="4" w:space="0" w:color="auto"/>
              <w:left w:val="nil"/>
              <w:bottom w:val="single" w:sz="4" w:space="0" w:color="auto"/>
              <w:right w:val="single" w:sz="4" w:space="0" w:color="auto"/>
            </w:tcBorders>
            <w:shd w:val="clear" w:color="auto" w:fill="E5F1FF"/>
            <w:noWrap/>
            <w:vAlign w:val="center"/>
            <w:hideMark/>
          </w:tcPr>
          <w:p w14:paraId="04DE8872" w14:textId="77777777"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2016</w:t>
            </w:r>
          </w:p>
        </w:tc>
        <w:tc>
          <w:tcPr>
            <w:tcW w:w="866" w:type="pct"/>
            <w:tcBorders>
              <w:top w:val="single" w:sz="4" w:space="0" w:color="auto"/>
              <w:left w:val="nil"/>
              <w:bottom w:val="single" w:sz="4" w:space="0" w:color="auto"/>
              <w:right w:val="single" w:sz="4" w:space="0" w:color="auto"/>
            </w:tcBorders>
            <w:shd w:val="clear" w:color="auto" w:fill="E5F1FF"/>
            <w:noWrap/>
            <w:vAlign w:val="center"/>
            <w:hideMark/>
          </w:tcPr>
          <w:p w14:paraId="68253A67" w14:textId="77777777"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2017</w:t>
            </w:r>
          </w:p>
        </w:tc>
        <w:tc>
          <w:tcPr>
            <w:tcW w:w="866" w:type="pct"/>
            <w:tcBorders>
              <w:top w:val="single" w:sz="4" w:space="0" w:color="auto"/>
              <w:left w:val="nil"/>
              <w:bottom w:val="single" w:sz="4" w:space="0" w:color="auto"/>
              <w:right w:val="single" w:sz="4" w:space="0" w:color="auto"/>
            </w:tcBorders>
            <w:shd w:val="clear" w:color="auto" w:fill="E5F1FF"/>
            <w:noWrap/>
            <w:vAlign w:val="center"/>
            <w:hideMark/>
          </w:tcPr>
          <w:p w14:paraId="773E7C13" w14:textId="77777777"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2018</w:t>
            </w:r>
          </w:p>
        </w:tc>
        <w:tc>
          <w:tcPr>
            <w:tcW w:w="819" w:type="pct"/>
            <w:tcBorders>
              <w:top w:val="single" w:sz="4" w:space="0" w:color="auto"/>
              <w:left w:val="nil"/>
              <w:bottom w:val="single" w:sz="4" w:space="0" w:color="auto"/>
              <w:right w:val="single" w:sz="4" w:space="0" w:color="auto"/>
            </w:tcBorders>
            <w:shd w:val="clear" w:color="auto" w:fill="E5F1FF"/>
            <w:noWrap/>
            <w:vAlign w:val="center"/>
            <w:hideMark/>
          </w:tcPr>
          <w:p w14:paraId="332ACC01" w14:textId="77777777"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2019</w:t>
            </w:r>
          </w:p>
        </w:tc>
        <w:tc>
          <w:tcPr>
            <w:tcW w:w="867" w:type="pct"/>
            <w:tcBorders>
              <w:top w:val="single" w:sz="4" w:space="0" w:color="auto"/>
              <w:left w:val="nil"/>
              <w:bottom w:val="single" w:sz="4" w:space="0" w:color="auto"/>
              <w:right w:val="single" w:sz="4" w:space="0" w:color="auto"/>
            </w:tcBorders>
            <w:shd w:val="clear" w:color="auto" w:fill="E5F1FF"/>
            <w:vAlign w:val="center"/>
          </w:tcPr>
          <w:p w14:paraId="0BE119CF" w14:textId="77777777"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2020</w:t>
            </w:r>
          </w:p>
        </w:tc>
      </w:tr>
      <w:tr w:rsidR="00B57597" w:rsidRPr="00CA56AB" w14:paraId="64E0B562" w14:textId="77777777" w:rsidTr="00B57597">
        <w:trPr>
          <w:trHeight w:val="255"/>
        </w:trPr>
        <w:tc>
          <w:tcPr>
            <w:tcW w:w="715" w:type="pct"/>
            <w:tcBorders>
              <w:top w:val="nil"/>
              <w:left w:val="single" w:sz="4" w:space="0" w:color="auto"/>
              <w:bottom w:val="single" w:sz="4" w:space="0" w:color="auto"/>
              <w:right w:val="single" w:sz="4" w:space="0" w:color="auto"/>
            </w:tcBorders>
            <w:shd w:val="clear" w:color="auto" w:fill="auto"/>
            <w:noWrap/>
            <w:vAlign w:val="center"/>
          </w:tcPr>
          <w:p w14:paraId="2164D934" w14:textId="77777777" w:rsidR="00B57597" w:rsidRPr="00CA56AB" w:rsidRDefault="00B57597" w:rsidP="002333D6">
            <w:pPr>
              <w:keepNext/>
              <w:spacing w:after="0"/>
              <w:rPr>
                <w:rFonts w:cs="Calibri"/>
                <w:bCs/>
                <w:color w:val="000000"/>
                <w:sz w:val="18"/>
                <w:szCs w:val="18"/>
                <w:lang w:eastAsia="cs-CZ"/>
              </w:rPr>
            </w:pPr>
            <w:r w:rsidRPr="00CA56AB">
              <w:rPr>
                <w:color w:val="000000"/>
                <w:sz w:val="18"/>
                <w:szCs w:val="18"/>
              </w:rPr>
              <w:t>Výnosy celkem</w:t>
            </w:r>
          </w:p>
        </w:tc>
        <w:tc>
          <w:tcPr>
            <w:tcW w:w="866" w:type="pct"/>
            <w:tcBorders>
              <w:top w:val="nil"/>
              <w:left w:val="nil"/>
              <w:bottom w:val="single" w:sz="4" w:space="0" w:color="auto"/>
              <w:right w:val="single" w:sz="4" w:space="0" w:color="auto"/>
            </w:tcBorders>
            <w:shd w:val="clear" w:color="auto" w:fill="auto"/>
            <w:noWrap/>
            <w:vAlign w:val="center"/>
          </w:tcPr>
          <w:p w14:paraId="34ED6221"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2 268 039 135,48</w:t>
            </w:r>
          </w:p>
        </w:tc>
        <w:tc>
          <w:tcPr>
            <w:tcW w:w="866" w:type="pct"/>
            <w:tcBorders>
              <w:top w:val="nil"/>
              <w:left w:val="nil"/>
              <w:bottom w:val="single" w:sz="4" w:space="0" w:color="auto"/>
              <w:right w:val="single" w:sz="4" w:space="0" w:color="auto"/>
            </w:tcBorders>
            <w:shd w:val="clear" w:color="auto" w:fill="auto"/>
            <w:noWrap/>
            <w:vAlign w:val="center"/>
          </w:tcPr>
          <w:p w14:paraId="11DA5559"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5 700 693 866,57</w:t>
            </w:r>
          </w:p>
        </w:tc>
        <w:tc>
          <w:tcPr>
            <w:tcW w:w="866" w:type="pct"/>
            <w:tcBorders>
              <w:top w:val="nil"/>
              <w:left w:val="nil"/>
              <w:bottom w:val="single" w:sz="4" w:space="0" w:color="auto"/>
              <w:right w:val="single" w:sz="4" w:space="0" w:color="auto"/>
            </w:tcBorders>
            <w:shd w:val="clear" w:color="auto" w:fill="auto"/>
            <w:noWrap/>
            <w:vAlign w:val="center"/>
          </w:tcPr>
          <w:p w14:paraId="0008E425"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11 690 926 461,16</w:t>
            </w:r>
          </w:p>
        </w:tc>
        <w:tc>
          <w:tcPr>
            <w:tcW w:w="819" w:type="pct"/>
            <w:tcBorders>
              <w:top w:val="nil"/>
              <w:left w:val="nil"/>
              <w:bottom w:val="single" w:sz="4" w:space="0" w:color="auto"/>
              <w:right w:val="single" w:sz="4" w:space="0" w:color="auto"/>
            </w:tcBorders>
            <w:shd w:val="clear" w:color="auto" w:fill="auto"/>
            <w:noWrap/>
            <w:vAlign w:val="center"/>
          </w:tcPr>
          <w:p w14:paraId="70250461"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10 544 492 313,32</w:t>
            </w:r>
          </w:p>
        </w:tc>
        <w:tc>
          <w:tcPr>
            <w:tcW w:w="867" w:type="pct"/>
            <w:tcBorders>
              <w:top w:val="nil"/>
              <w:left w:val="nil"/>
              <w:bottom w:val="single" w:sz="4" w:space="0" w:color="auto"/>
              <w:right w:val="single" w:sz="4" w:space="0" w:color="auto"/>
            </w:tcBorders>
            <w:vAlign w:val="center"/>
          </w:tcPr>
          <w:p w14:paraId="5725EC22" w14:textId="77777777" w:rsidR="00B57597" w:rsidRPr="00CA56AB" w:rsidRDefault="00B57597" w:rsidP="002333D6">
            <w:pPr>
              <w:keepNext/>
              <w:spacing w:after="0"/>
              <w:jc w:val="right"/>
              <w:rPr>
                <w:rFonts w:eastAsia="Calibri" w:cs="Calibri"/>
                <w:color w:val="000000"/>
                <w:sz w:val="18"/>
                <w:szCs w:val="18"/>
              </w:rPr>
            </w:pPr>
            <w:r w:rsidRPr="00CA56AB">
              <w:rPr>
                <w:rFonts w:cs="Calibri"/>
                <w:color w:val="000000"/>
                <w:sz w:val="18"/>
                <w:szCs w:val="18"/>
              </w:rPr>
              <w:t>14 908 846 917,27</w:t>
            </w:r>
          </w:p>
        </w:tc>
      </w:tr>
      <w:tr w:rsidR="00B57597" w:rsidRPr="00CA56AB" w14:paraId="7BC6D8EE" w14:textId="77777777" w:rsidTr="00B57597">
        <w:trPr>
          <w:trHeight w:val="255"/>
        </w:trPr>
        <w:tc>
          <w:tcPr>
            <w:tcW w:w="715" w:type="pct"/>
            <w:tcBorders>
              <w:top w:val="nil"/>
              <w:left w:val="single" w:sz="4" w:space="0" w:color="auto"/>
              <w:bottom w:val="single" w:sz="4" w:space="0" w:color="auto"/>
              <w:right w:val="single" w:sz="4" w:space="0" w:color="auto"/>
            </w:tcBorders>
            <w:shd w:val="clear" w:color="auto" w:fill="auto"/>
            <w:noWrap/>
            <w:vAlign w:val="center"/>
          </w:tcPr>
          <w:p w14:paraId="1B9B530F" w14:textId="77777777" w:rsidR="00B57597" w:rsidRPr="00CA56AB" w:rsidRDefault="00B57597" w:rsidP="002333D6">
            <w:pPr>
              <w:keepNext/>
              <w:spacing w:after="0"/>
              <w:rPr>
                <w:rFonts w:cs="Calibri"/>
                <w:bCs/>
                <w:color w:val="000000"/>
                <w:sz w:val="18"/>
                <w:szCs w:val="18"/>
                <w:lang w:eastAsia="cs-CZ"/>
              </w:rPr>
            </w:pPr>
            <w:r w:rsidRPr="00CA56AB">
              <w:rPr>
                <w:color w:val="000000"/>
                <w:sz w:val="18"/>
                <w:szCs w:val="18"/>
              </w:rPr>
              <w:t>Náklady celkem</w:t>
            </w:r>
          </w:p>
        </w:tc>
        <w:tc>
          <w:tcPr>
            <w:tcW w:w="866" w:type="pct"/>
            <w:tcBorders>
              <w:top w:val="nil"/>
              <w:left w:val="nil"/>
              <w:bottom w:val="single" w:sz="4" w:space="0" w:color="auto"/>
              <w:right w:val="single" w:sz="4" w:space="0" w:color="auto"/>
            </w:tcBorders>
            <w:shd w:val="clear" w:color="auto" w:fill="auto"/>
            <w:noWrap/>
            <w:vAlign w:val="center"/>
          </w:tcPr>
          <w:p w14:paraId="30CE33DA"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28 243 813 722,29</w:t>
            </w:r>
          </w:p>
        </w:tc>
        <w:tc>
          <w:tcPr>
            <w:tcW w:w="866" w:type="pct"/>
            <w:tcBorders>
              <w:top w:val="nil"/>
              <w:left w:val="nil"/>
              <w:bottom w:val="single" w:sz="4" w:space="0" w:color="auto"/>
              <w:right w:val="single" w:sz="4" w:space="0" w:color="auto"/>
            </w:tcBorders>
            <w:shd w:val="clear" w:color="auto" w:fill="auto"/>
            <w:noWrap/>
            <w:vAlign w:val="center"/>
          </w:tcPr>
          <w:p w14:paraId="71A7FE05"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34 977 394 234,84</w:t>
            </w:r>
          </w:p>
        </w:tc>
        <w:tc>
          <w:tcPr>
            <w:tcW w:w="866" w:type="pct"/>
            <w:tcBorders>
              <w:top w:val="nil"/>
              <w:left w:val="nil"/>
              <w:bottom w:val="single" w:sz="4" w:space="0" w:color="auto"/>
              <w:right w:val="single" w:sz="4" w:space="0" w:color="auto"/>
            </w:tcBorders>
            <w:shd w:val="clear" w:color="auto" w:fill="auto"/>
            <w:noWrap/>
            <w:vAlign w:val="center"/>
          </w:tcPr>
          <w:p w14:paraId="54C8FF20"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43 635 480 807,35</w:t>
            </w:r>
          </w:p>
        </w:tc>
        <w:tc>
          <w:tcPr>
            <w:tcW w:w="819" w:type="pct"/>
            <w:tcBorders>
              <w:top w:val="nil"/>
              <w:left w:val="nil"/>
              <w:bottom w:val="single" w:sz="4" w:space="0" w:color="auto"/>
              <w:right w:val="single" w:sz="4" w:space="0" w:color="auto"/>
            </w:tcBorders>
            <w:shd w:val="clear" w:color="auto" w:fill="auto"/>
            <w:noWrap/>
            <w:vAlign w:val="center"/>
          </w:tcPr>
          <w:p w14:paraId="3DF04B76"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43 527 996 297,06</w:t>
            </w:r>
          </w:p>
        </w:tc>
        <w:tc>
          <w:tcPr>
            <w:tcW w:w="867" w:type="pct"/>
            <w:tcBorders>
              <w:top w:val="nil"/>
              <w:left w:val="nil"/>
              <w:bottom w:val="single" w:sz="4" w:space="0" w:color="auto"/>
              <w:right w:val="single" w:sz="4" w:space="0" w:color="auto"/>
            </w:tcBorders>
            <w:vAlign w:val="center"/>
          </w:tcPr>
          <w:p w14:paraId="468BC9BB" w14:textId="77777777" w:rsidR="00B57597" w:rsidRPr="00CA56AB" w:rsidRDefault="00B57597" w:rsidP="002333D6">
            <w:pPr>
              <w:keepNext/>
              <w:spacing w:after="0"/>
              <w:jc w:val="right"/>
              <w:rPr>
                <w:rFonts w:eastAsia="Calibri" w:cs="Calibri"/>
                <w:color w:val="000000"/>
                <w:sz w:val="18"/>
                <w:szCs w:val="18"/>
              </w:rPr>
            </w:pPr>
            <w:r w:rsidRPr="00CA56AB">
              <w:rPr>
                <w:rFonts w:cs="Calibri"/>
                <w:color w:val="000000"/>
                <w:sz w:val="18"/>
                <w:szCs w:val="18"/>
              </w:rPr>
              <w:t>56 115 965 822,76</w:t>
            </w:r>
          </w:p>
        </w:tc>
      </w:tr>
    </w:tbl>
    <w:p w14:paraId="167D260A" w14:textId="77777777" w:rsidR="00B57597" w:rsidRPr="00CF36BE" w:rsidRDefault="00B57597" w:rsidP="00B57597">
      <w:pPr>
        <w:spacing w:before="40"/>
        <w:rPr>
          <w:rFonts w:cs="Calibri"/>
          <w:bCs/>
          <w:color w:val="000000"/>
          <w:sz w:val="20"/>
          <w:szCs w:val="20"/>
          <w:lang w:eastAsia="cs-CZ"/>
        </w:rPr>
      </w:pPr>
      <w:bookmarkStart w:id="78" w:name="_Toc520714332"/>
      <w:r w:rsidRPr="00CF36BE">
        <w:rPr>
          <w:rFonts w:cs="Calibri"/>
          <w:b/>
          <w:color w:val="000000"/>
          <w:sz w:val="20"/>
          <w:szCs w:val="20"/>
          <w:lang w:eastAsia="cs-CZ"/>
        </w:rPr>
        <w:t xml:space="preserve">Zdroj: </w:t>
      </w:r>
      <w:r w:rsidRPr="00CF36BE">
        <w:rPr>
          <w:rFonts w:cs="Calibri"/>
          <w:color w:val="000000"/>
          <w:sz w:val="20"/>
          <w:szCs w:val="20"/>
          <w:lang w:eastAsia="cs-CZ"/>
        </w:rPr>
        <w:t>informační portál MONITOR.</w:t>
      </w:r>
    </w:p>
    <w:p w14:paraId="71E2E36D" w14:textId="46A20198" w:rsidR="00B57597" w:rsidRPr="002333D6" w:rsidRDefault="00B57597" w:rsidP="002333D6">
      <w:pPr>
        <w:pStyle w:val="Titulek1"/>
        <w:rPr>
          <w:sz w:val="24"/>
        </w:rPr>
      </w:pPr>
      <w:bookmarkStart w:id="79" w:name="_Toc8984539"/>
      <w:bookmarkStart w:id="80" w:name="_Toc72157480"/>
      <w:r w:rsidRPr="002333D6">
        <w:rPr>
          <w:sz w:val="24"/>
        </w:rPr>
        <w:t xml:space="preserve">Tabulka č. </w:t>
      </w:r>
      <w:r w:rsidR="00776507" w:rsidRPr="002333D6">
        <w:rPr>
          <w:sz w:val="24"/>
        </w:rPr>
        <w:fldChar w:fldCharType="begin"/>
      </w:r>
      <w:r w:rsidR="00776507" w:rsidRPr="002333D6">
        <w:rPr>
          <w:sz w:val="24"/>
        </w:rPr>
        <w:instrText xml:space="preserve"> SEQ Tabulka \* ARABIC </w:instrText>
      </w:r>
      <w:r w:rsidR="00776507" w:rsidRPr="002333D6">
        <w:rPr>
          <w:sz w:val="24"/>
        </w:rPr>
        <w:fldChar w:fldCharType="separate"/>
      </w:r>
      <w:r w:rsidR="00E544AA">
        <w:rPr>
          <w:noProof/>
          <w:sz w:val="24"/>
        </w:rPr>
        <w:t>23</w:t>
      </w:r>
      <w:r w:rsidR="00776507" w:rsidRPr="002333D6">
        <w:rPr>
          <w:noProof/>
          <w:sz w:val="24"/>
        </w:rPr>
        <w:fldChar w:fldCharType="end"/>
      </w:r>
      <w:r w:rsidRPr="002333D6">
        <w:rPr>
          <w:sz w:val="24"/>
        </w:rPr>
        <w:t xml:space="preserve">: Tempo růstu výnosů a nákladů </w:t>
      </w:r>
      <w:bookmarkEnd w:id="78"/>
      <w:bookmarkEnd w:id="79"/>
      <w:r w:rsidRPr="002333D6">
        <w:rPr>
          <w:sz w:val="24"/>
        </w:rPr>
        <w:t>MPO</w:t>
      </w:r>
      <w:bookmarkEnd w:id="80"/>
    </w:p>
    <w:tbl>
      <w:tblPr>
        <w:tblW w:w="9068" w:type="dxa"/>
        <w:tblLayout w:type="fixed"/>
        <w:tblCellMar>
          <w:left w:w="70" w:type="dxa"/>
          <w:right w:w="70" w:type="dxa"/>
        </w:tblCellMar>
        <w:tblLook w:val="04A0" w:firstRow="1" w:lastRow="0" w:firstColumn="1" w:lastColumn="0" w:noHBand="0" w:noVBand="1"/>
      </w:tblPr>
      <w:tblGrid>
        <w:gridCol w:w="2830"/>
        <w:gridCol w:w="1559"/>
        <w:gridCol w:w="1559"/>
        <w:gridCol w:w="1560"/>
        <w:gridCol w:w="1560"/>
      </w:tblGrid>
      <w:tr w:rsidR="00B57597" w:rsidRPr="00CA56AB" w14:paraId="1A0C3D9D"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283BD20C" w14:textId="77777777" w:rsidR="00B57597" w:rsidRPr="00CA56AB" w:rsidRDefault="00B57597" w:rsidP="002333D6">
            <w:pPr>
              <w:keepNext/>
              <w:spacing w:after="0"/>
              <w:rPr>
                <w:rFonts w:cs="Calibri"/>
                <w:b/>
                <w:bCs/>
                <w:color w:val="000000"/>
                <w:sz w:val="18"/>
                <w:szCs w:val="18"/>
                <w:lang w:eastAsia="cs-CZ"/>
              </w:rPr>
            </w:pPr>
            <w:r w:rsidRPr="00CA56AB">
              <w:rPr>
                <w:b/>
                <w:bCs/>
                <w:color w:val="000000"/>
                <w:sz w:val="18"/>
                <w:szCs w:val="18"/>
              </w:rPr>
              <w:t>Tempo růstu (absolutní změna)</w:t>
            </w:r>
          </w:p>
        </w:tc>
        <w:tc>
          <w:tcPr>
            <w:tcW w:w="1559" w:type="dxa"/>
            <w:tcBorders>
              <w:top w:val="single" w:sz="4" w:space="0" w:color="auto"/>
              <w:left w:val="nil"/>
              <w:bottom w:val="single" w:sz="4" w:space="0" w:color="auto"/>
              <w:right w:val="single" w:sz="4" w:space="0" w:color="auto"/>
            </w:tcBorders>
            <w:shd w:val="clear" w:color="auto" w:fill="E5F1FF"/>
            <w:noWrap/>
            <w:vAlign w:val="center"/>
            <w:hideMark/>
          </w:tcPr>
          <w:p w14:paraId="19F5DD2B" w14:textId="38C9BC74"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2017</w:t>
            </w:r>
            <w:r w:rsidR="00F00C6E">
              <w:rPr>
                <w:b/>
                <w:bCs/>
                <w:color w:val="000000"/>
                <w:sz w:val="18"/>
                <w:szCs w:val="18"/>
              </w:rPr>
              <w:t>–</w:t>
            </w:r>
            <w:r w:rsidRPr="00CA56AB">
              <w:rPr>
                <w:b/>
                <w:bCs/>
                <w:color w:val="000000"/>
                <w:sz w:val="18"/>
                <w:szCs w:val="18"/>
              </w:rPr>
              <w:t>2016</w:t>
            </w:r>
          </w:p>
        </w:tc>
        <w:tc>
          <w:tcPr>
            <w:tcW w:w="1559" w:type="dxa"/>
            <w:tcBorders>
              <w:top w:val="single" w:sz="4" w:space="0" w:color="auto"/>
              <w:left w:val="nil"/>
              <w:bottom w:val="single" w:sz="4" w:space="0" w:color="auto"/>
              <w:right w:val="single" w:sz="4" w:space="0" w:color="auto"/>
            </w:tcBorders>
            <w:shd w:val="clear" w:color="auto" w:fill="E5F1FF"/>
            <w:noWrap/>
            <w:vAlign w:val="center"/>
            <w:hideMark/>
          </w:tcPr>
          <w:p w14:paraId="0832870D" w14:textId="2E4F8895"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2018</w:t>
            </w:r>
            <w:r w:rsidR="00BC1340">
              <w:rPr>
                <w:b/>
                <w:bCs/>
                <w:color w:val="000000"/>
                <w:sz w:val="18"/>
                <w:szCs w:val="18"/>
              </w:rPr>
              <w:t>–</w:t>
            </w:r>
            <w:r w:rsidRPr="00CA56AB">
              <w:rPr>
                <w:b/>
                <w:bCs/>
                <w:color w:val="000000"/>
                <w:sz w:val="18"/>
                <w:szCs w:val="18"/>
              </w:rPr>
              <w:t>2017</w:t>
            </w:r>
          </w:p>
        </w:tc>
        <w:tc>
          <w:tcPr>
            <w:tcW w:w="1560" w:type="dxa"/>
            <w:tcBorders>
              <w:top w:val="single" w:sz="4" w:space="0" w:color="auto"/>
              <w:left w:val="nil"/>
              <w:bottom w:val="single" w:sz="4" w:space="0" w:color="auto"/>
              <w:right w:val="single" w:sz="4" w:space="0" w:color="auto"/>
            </w:tcBorders>
            <w:shd w:val="clear" w:color="auto" w:fill="E5F1FF"/>
            <w:noWrap/>
            <w:vAlign w:val="center"/>
            <w:hideMark/>
          </w:tcPr>
          <w:p w14:paraId="1573BBB1" w14:textId="3C3778D2" w:rsidR="00B57597" w:rsidRPr="00CA56AB" w:rsidRDefault="00B57597" w:rsidP="002333D6">
            <w:pPr>
              <w:keepNext/>
              <w:spacing w:after="0"/>
              <w:jc w:val="center"/>
              <w:rPr>
                <w:rFonts w:cs="Calibri"/>
                <w:b/>
                <w:bCs/>
                <w:color w:val="000000"/>
                <w:sz w:val="18"/>
                <w:szCs w:val="18"/>
                <w:lang w:eastAsia="cs-CZ"/>
              </w:rPr>
            </w:pPr>
            <w:r w:rsidRPr="00CA56AB">
              <w:rPr>
                <w:b/>
                <w:bCs/>
                <w:color w:val="000000"/>
                <w:sz w:val="18"/>
                <w:szCs w:val="18"/>
              </w:rPr>
              <w:t>2019</w:t>
            </w:r>
            <w:r w:rsidR="00BC1340">
              <w:rPr>
                <w:b/>
                <w:bCs/>
                <w:color w:val="000000"/>
                <w:sz w:val="18"/>
                <w:szCs w:val="18"/>
              </w:rPr>
              <w:t>–</w:t>
            </w:r>
            <w:r w:rsidRPr="00CA56AB">
              <w:rPr>
                <w:b/>
                <w:bCs/>
                <w:color w:val="000000"/>
                <w:sz w:val="18"/>
                <w:szCs w:val="18"/>
              </w:rPr>
              <w:t>2018</w:t>
            </w:r>
          </w:p>
        </w:tc>
        <w:tc>
          <w:tcPr>
            <w:tcW w:w="1560" w:type="dxa"/>
            <w:tcBorders>
              <w:top w:val="single" w:sz="4" w:space="0" w:color="auto"/>
              <w:left w:val="nil"/>
              <w:bottom w:val="single" w:sz="4" w:space="0" w:color="auto"/>
              <w:right w:val="single" w:sz="4" w:space="0" w:color="auto"/>
            </w:tcBorders>
            <w:shd w:val="clear" w:color="auto" w:fill="E5F1FF"/>
            <w:vAlign w:val="center"/>
          </w:tcPr>
          <w:p w14:paraId="13F43119" w14:textId="3722EF13" w:rsidR="00B57597" w:rsidRPr="00CA56AB" w:rsidRDefault="00B57597" w:rsidP="002333D6">
            <w:pPr>
              <w:keepNext/>
              <w:spacing w:after="0"/>
              <w:jc w:val="center"/>
              <w:rPr>
                <w:rFonts w:cs="Calibri"/>
                <w:b/>
                <w:bCs/>
                <w:color w:val="000000"/>
                <w:sz w:val="18"/>
                <w:szCs w:val="18"/>
                <w:lang w:eastAsia="cs-CZ"/>
              </w:rPr>
            </w:pPr>
            <w:r w:rsidRPr="00CA56AB">
              <w:rPr>
                <w:rFonts w:cs="Calibri"/>
                <w:b/>
                <w:bCs/>
                <w:color w:val="000000"/>
                <w:sz w:val="18"/>
                <w:szCs w:val="18"/>
              </w:rPr>
              <w:t>2020</w:t>
            </w:r>
            <w:r w:rsidR="00BC1340">
              <w:rPr>
                <w:b/>
                <w:bCs/>
                <w:color w:val="000000"/>
                <w:sz w:val="18"/>
                <w:szCs w:val="18"/>
              </w:rPr>
              <w:t>–</w:t>
            </w:r>
            <w:r w:rsidRPr="00CA56AB">
              <w:rPr>
                <w:rFonts w:cs="Calibri"/>
                <w:b/>
                <w:bCs/>
                <w:color w:val="000000"/>
                <w:sz w:val="18"/>
                <w:szCs w:val="18"/>
              </w:rPr>
              <w:t>2019</w:t>
            </w:r>
          </w:p>
        </w:tc>
      </w:tr>
      <w:tr w:rsidR="00B57597" w:rsidRPr="00CA56AB" w14:paraId="23D8E932"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465FB" w14:textId="77777777" w:rsidR="00B57597" w:rsidRPr="00CA56AB" w:rsidRDefault="00B57597" w:rsidP="002333D6">
            <w:pPr>
              <w:keepNext/>
              <w:spacing w:after="0"/>
              <w:rPr>
                <w:rFonts w:cs="Calibri"/>
                <w:bCs/>
                <w:color w:val="000000"/>
                <w:sz w:val="18"/>
                <w:szCs w:val="18"/>
                <w:lang w:eastAsia="cs-CZ"/>
              </w:rPr>
            </w:pPr>
            <w:r w:rsidRPr="00CA56AB">
              <w:rPr>
                <w:color w:val="000000"/>
                <w:sz w:val="18"/>
                <w:szCs w:val="18"/>
              </w:rPr>
              <w:t>Výnosy celkem (v Kč)</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7E945FE"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3 432 654 731,09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B2F0C1F"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5 990 232 594,59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6F0DBDA" w14:textId="523A7D20" w:rsidR="00B57597" w:rsidRPr="00CA56AB" w:rsidRDefault="00BC1340" w:rsidP="002333D6">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1 146 434 147,84</w:t>
            </w:r>
          </w:p>
        </w:tc>
        <w:tc>
          <w:tcPr>
            <w:tcW w:w="1560" w:type="dxa"/>
            <w:tcBorders>
              <w:top w:val="single" w:sz="4" w:space="0" w:color="auto"/>
              <w:left w:val="nil"/>
              <w:bottom w:val="single" w:sz="4" w:space="0" w:color="auto"/>
              <w:right w:val="single" w:sz="4" w:space="0" w:color="auto"/>
            </w:tcBorders>
            <w:vAlign w:val="center"/>
          </w:tcPr>
          <w:p w14:paraId="212F04D3" w14:textId="77777777" w:rsidR="00B57597" w:rsidRPr="00CA56AB" w:rsidRDefault="00B57597" w:rsidP="002333D6">
            <w:pPr>
              <w:keepNext/>
              <w:spacing w:after="0"/>
              <w:jc w:val="right"/>
              <w:rPr>
                <w:rFonts w:eastAsia="Calibri" w:cs="Calibri"/>
                <w:color w:val="000000"/>
                <w:sz w:val="18"/>
                <w:szCs w:val="18"/>
              </w:rPr>
            </w:pPr>
            <w:r w:rsidRPr="00CA56AB">
              <w:rPr>
                <w:rFonts w:cs="Calibri"/>
                <w:color w:val="000000"/>
                <w:sz w:val="18"/>
                <w:szCs w:val="18"/>
              </w:rPr>
              <w:t>4 364 354 603,95</w:t>
            </w:r>
          </w:p>
        </w:tc>
      </w:tr>
      <w:tr w:rsidR="00B57597" w:rsidRPr="00CA56AB" w14:paraId="0A0D79C2"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6F522" w14:textId="77777777" w:rsidR="00B57597" w:rsidRPr="00CA56AB" w:rsidRDefault="00B57597" w:rsidP="002333D6">
            <w:pPr>
              <w:keepNext/>
              <w:spacing w:after="0"/>
              <w:rPr>
                <w:rFonts w:cs="Calibri"/>
                <w:bCs/>
                <w:color w:val="000000"/>
                <w:sz w:val="18"/>
                <w:szCs w:val="18"/>
                <w:lang w:eastAsia="cs-CZ"/>
              </w:rPr>
            </w:pPr>
            <w:r w:rsidRPr="00CA56AB">
              <w:rPr>
                <w:color w:val="000000"/>
                <w:sz w:val="18"/>
                <w:szCs w:val="18"/>
              </w:rPr>
              <w:t>Náklady celkem (v Kč)</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5A70E9E"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6 733 580 512,55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4E88124" w14:textId="77777777"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8 658 086 572,51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6AF0F55" w14:textId="28DF0A92" w:rsidR="00B57597" w:rsidRPr="00CA56AB" w:rsidRDefault="00BC1340" w:rsidP="002333D6">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107 484 510,29</w:t>
            </w:r>
          </w:p>
        </w:tc>
        <w:tc>
          <w:tcPr>
            <w:tcW w:w="1560" w:type="dxa"/>
            <w:tcBorders>
              <w:top w:val="single" w:sz="4" w:space="0" w:color="auto"/>
              <w:left w:val="nil"/>
              <w:bottom w:val="single" w:sz="4" w:space="0" w:color="auto"/>
              <w:right w:val="single" w:sz="4" w:space="0" w:color="auto"/>
            </w:tcBorders>
            <w:vAlign w:val="center"/>
          </w:tcPr>
          <w:p w14:paraId="24EBEDC6" w14:textId="77777777" w:rsidR="00B57597" w:rsidRPr="00CA56AB" w:rsidRDefault="00B57597" w:rsidP="002333D6">
            <w:pPr>
              <w:keepNext/>
              <w:spacing w:after="0"/>
              <w:jc w:val="right"/>
              <w:rPr>
                <w:rFonts w:eastAsia="Calibri" w:cs="Calibri"/>
                <w:color w:val="000000"/>
                <w:sz w:val="18"/>
                <w:szCs w:val="18"/>
              </w:rPr>
            </w:pPr>
            <w:r w:rsidRPr="00CA56AB">
              <w:rPr>
                <w:rFonts w:cs="Calibri"/>
                <w:color w:val="000000"/>
                <w:sz w:val="18"/>
                <w:szCs w:val="18"/>
              </w:rPr>
              <w:t>12 587 969 525,70</w:t>
            </w:r>
          </w:p>
        </w:tc>
      </w:tr>
      <w:tr w:rsidR="00B57597" w:rsidRPr="00CA56AB" w14:paraId="2E75CD2F"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E5F1FF"/>
            <w:noWrap/>
            <w:vAlign w:val="center"/>
          </w:tcPr>
          <w:p w14:paraId="4204BD20" w14:textId="0FA543A1" w:rsidR="00B57597" w:rsidRPr="00CA56AB" w:rsidRDefault="00B57597" w:rsidP="002333D6">
            <w:pPr>
              <w:keepNext/>
              <w:spacing w:after="0"/>
              <w:rPr>
                <w:rFonts w:cs="Calibri"/>
                <w:b/>
                <w:bCs/>
                <w:color w:val="000000"/>
                <w:sz w:val="18"/>
                <w:szCs w:val="18"/>
                <w:lang w:eastAsia="cs-CZ"/>
              </w:rPr>
            </w:pPr>
            <w:r w:rsidRPr="00CA56AB">
              <w:rPr>
                <w:b/>
                <w:bCs/>
                <w:color w:val="000000"/>
                <w:sz w:val="18"/>
                <w:szCs w:val="18"/>
              </w:rPr>
              <w:t>Tempo růstu v % (relativní změna) (((x+1)</w:t>
            </w:r>
            <w:r w:rsidR="009C1D0F">
              <w:rPr>
                <w:rFonts w:cs="Calibri"/>
                <w:b/>
                <w:bCs/>
                <w:color w:val="000000"/>
                <w:sz w:val="18"/>
                <w:szCs w:val="18"/>
              </w:rPr>
              <w:t>−</w:t>
            </w:r>
            <w:r w:rsidRPr="00CA56AB">
              <w:rPr>
                <w:b/>
                <w:bCs/>
                <w:color w:val="000000"/>
                <w:sz w:val="18"/>
                <w:szCs w:val="18"/>
              </w:rPr>
              <w:t>x)/x)*100</w:t>
            </w:r>
          </w:p>
        </w:tc>
        <w:tc>
          <w:tcPr>
            <w:tcW w:w="1559" w:type="dxa"/>
            <w:tcBorders>
              <w:top w:val="single" w:sz="4" w:space="0" w:color="auto"/>
              <w:left w:val="nil"/>
              <w:bottom w:val="single" w:sz="4" w:space="0" w:color="auto"/>
              <w:right w:val="single" w:sz="4" w:space="0" w:color="auto"/>
            </w:tcBorders>
            <w:shd w:val="clear" w:color="auto" w:fill="E5F1FF"/>
            <w:noWrap/>
            <w:vAlign w:val="center"/>
          </w:tcPr>
          <w:p w14:paraId="4AD85090" w14:textId="77777777" w:rsidR="00B57597" w:rsidRPr="00CA56AB" w:rsidRDefault="00B57597" w:rsidP="002333D6">
            <w:pPr>
              <w:keepNext/>
              <w:spacing w:after="0"/>
              <w:jc w:val="center"/>
              <w:rPr>
                <w:rFonts w:eastAsia="Calibri" w:cs="Calibri"/>
                <w:b/>
                <w:color w:val="000000"/>
                <w:sz w:val="18"/>
                <w:szCs w:val="18"/>
              </w:rPr>
            </w:pPr>
            <w:r w:rsidRPr="00CA56AB">
              <w:rPr>
                <w:b/>
                <w:bCs/>
                <w:color w:val="000000"/>
                <w:sz w:val="18"/>
                <w:szCs w:val="18"/>
              </w:rPr>
              <w:t>2017/2016</w:t>
            </w:r>
          </w:p>
        </w:tc>
        <w:tc>
          <w:tcPr>
            <w:tcW w:w="1559" w:type="dxa"/>
            <w:tcBorders>
              <w:top w:val="single" w:sz="4" w:space="0" w:color="auto"/>
              <w:left w:val="nil"/>
              <w:bottom w:val="single" w:sz="4" w:space="0" w:color="auto"/>
              <w:right w:val="single" w:sz="4" w:space="0" w:color="auto"/>
            </w:tcBorders>
            <w:shd w:val="clear" w:color="auto" w:fill="E5F1FF"/>
            <w:noWrap/>
            <w:vAlign w:val="center"/>
          </w:tcPr>
          <w:p w14:paraId="67977947" w14:textId="77777777" w:rsidR="00B57597" w:rsidRPr="00CA56AB" w:rsidRDefault="00B57597" w:rsidP="002333D6">
            <w:pPr>
              <w:keepNext/>
              <w:spacing w:after="0"/>
              <w:jc w:val="center"/>
              <w:rPr>
                <w:rFonts w:eastAsia="Calibri" w:cs="Calibri"/>
                <w:b/>
                <w:color w:val="000000"/>
                <w:sz w:val="18"/>
                <w:szCs w:val="18"/>
              </w:rPr>
            </w:pPr>
            <w:r w:rsidRPr="00CA56AB">
              <w:rPr>
                <w:b/>
                <w:bCs/>
                <w:color w:val="000000"/>
                <w:sz w:val="18"/>
                <w:szCs w:val="18"/>
              </w:rPr>
              <w:t>2018/2017</w:t>
            </w:r>
          </w:p>
        </w:tc>
        <w:tc>
          <w:tcPr>
            <w:tcW w:w="1560" w:type="dxa"/>
            <w:tcBorders>
              <w:top w:val="single" w:sz="4" w:space="0" w:color="auto"/>
              <w:left w:val="nil"/>
              <w:bottom w:val="single" w:sz="4" w:space="0" w:color="auto"/>
              <w:right w:val="single" w:sz="4" w:space="0" w:color="auto"/>
            </w:tcBorders>
            <w:shd w:val="clear" w:color="auto" w:fill="E5F1FF"/>
            <w:noWrap/>
            <w:vAlign w:val="center"/>
          </w:tcPr>
          <w:p w14:paraId="3914983F" w14:textId="77777777" w:rsidR="00B57597" w:rsidRPr="00CA56AB" w:rsidRDefault="00B57597" w:rsidP="002333D6">
            <w:pPr>
              <w:keepNext/>
              <w:spacing w:after="0"/>
              <w:jc w:val="center"/>
              <w:rPr>
                <w:rFonts w:eastAsia="Calibri" w:cs="Calibri"/>
                <w:b/>
                <w:color w:val="000000"/>
                <w:sz w:val="18"/>
                <w:szCs w:val="18"/>
              </w:rPr>
            </w:pPr>
            <w:r w:rsidRPr="00CA56AB">
              <w:rPr>
                <w:b/>
                <w:bCs/>
                <w:color w:val="000000"/>
                <w:sz w:val="18"/>
                <w:szCs w:val="18"/>
              </w:rPr>
              <w:t>2019/2018</w:t>
            </w:r>
          </w:p>
        </w:tc>
        <w:tc>
          <w:tcPr>
            <w:tcW w:w="1560" w:type="dxa"/>
            <w:tcBorders>
              <w:top w:val="single" w:sz="4" w:space="0" w:color="auto"/>
              <w:left w:val="nil"/>
              <w:bottom w:val="single" w:sz="4" w:space="0" w:color="auto"/>
              <w:right w:val="single" w:sz="4" w:space="0" w:color="auto"/>
            </w:tcBorders>
            <w:shd w:val="clear" w:color="auto" w:fill="E5F1FF"/>
            <w:vAlign w:val="center"/>
          </w:tcPr>
          <w:p w14:paraId="6621819A" w14:textId="77777777" w:rsidR="00B57597" w:rsidRPr="00CA56AB" w:rsidRDefault="00B57597" w:rsidP="002333D6">
            <w:pPr>
              <w:keepNext/>
              <w:spacing w:after="0"/>
              <w:jc w:val="center"/>
              <w:rPr>
                <w:rFonts w:eastAsia="Calibri" w:cs="Calibri"/>
                <w:b/>
                <w:color w:val="000000"/>
                <w:sz w:val="18"/>
                <w:szCs w:val="18"/>
              </w:rPr>
            </w:pPr>
            <w:r w:rsidRPr="00CA56AB">
              <w:rPr>
                <w:rFonts w:cs="Calibri"/>
                <w:b/>
                <w:bCs/>
                <w:color w:val="000000"/>
                <w:sz w:val="18"/>
                <w:szCs w:val="18"/>
              </w:rPr>
              <w:t>2020/2019</w:t>
            </w:r>
          </w:p>
        </w:tc>
      </w:tr>
      <w:tr w:rsidR="00B57597" w:rsidRPr="00CA56AB" w14:paraId="56687B05"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D4E8D" w14:textId="77777777" w:rsidR="00B57597" w:rsidRPr="00CA56AB" w:rsidRDefault="00B57597" w:rsidP="002333D6">
            <w:pPr>
              <w:keepNext/>
              <w:spacing w:after="0"/>
              <w:rPr>
                <w:rFonts w:cs="Calibri"/>
                <w:bCs/>
                <w:color w:val="000000"/>
                <w:sz w:val="18"/>
                <w:szCs w:val="18"/>
                <w:lang w:eastAsia="cs-CZ"/>
              </w:rPr>
            </w:pPr>
            <w:r w:rsidRPr="00CA56AB">
              <w:rPr>
                <w:color w:val="000000"/>
                <w:sz w:val="18"/>
                <w:szCs w:val="18"/>
              </w:rPr>
              <w:t>Výnosy celkem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CB6631" w14:textId="43E54958"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151,35</w:t>
            </w:r>
            <w:r w:rsidR="00BC1340">
              <w:rPr>
                <w:color w:val="000000"/>
                <w:sz w:val="18"/>
                <w:szCs w:val="18"/>
              </w:rPr>
              <w:t> </w:t>
            </w:r>
            <w:r w:rsidRPr="00CA56AB">
              <w:rPr>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E1C4017" w14:textId="5F32BDBD"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105,08</w:t>
            </w:r>
            <w:r w:rsidR="00BC1340">
              <w:rPr>
                <w:color w:val="000000"/>
                <w:sz w:val="18"/>
                <w:szCs w:val="18"/>
              </w:rPr>
              <w:t> </w:t>
            </w:r>
            <w:r w:rsidRPr="00CA56AB">
              <w:rPr>
                <w:color w:val="000000"/>
                <w:sz w:val="18"/>
                <w:szCs w:val="18"/>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CD38779" w14:textId="522040FE" w:rsidR="00B57597" w:rsidRPr="00CA56AB" w:rsidRDefault="00BC1340" w:rsidP="002333D6">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9,81</w:t>
            </w:r>
            <w:r>
              <w:rPr>
                <w:color w:val="000000"/>
                <w:sz w:val="18"/>
                <w:szCs w:val="18"/>
              </w:rPr>
              <w:t> </w:t>
            </w:r>
            <w:r w:rsidR="00B57597" w:rsidRPr="00CA56AB">
              <w:rPr>
                <w:color w:val="000000"/>
                <w:sz w:val="18"/>
                <w:szCs w:val="18"/>
              </w:rPr>
              <w:t>%</w:t>
            </w:r>
          </w:p>
        </w:tc>
        <w:tc>
          <w:tcPr>
            <w:tcW w:w="1560" w:type="dxa"/>
            <w:tcBorders>
              <w:top w:val="single" w:sz="4" w:space="0" w:color="auto"/>
              <w:left w:val="nil"/>
              <w:bottom w:val="single" w:sz="4" w:space="0" w:color="auto"/>
              <w:right w:val="single" w:sz="4" w:space="0" w:color="auto"/>
            </w:tcBorders>
            <w:vAlign w:val="center"/>
          </w:tcPr>
          <w:p w14:paraId="3A0113FC" w14:textId="3DCDC2B2" w:rsidR="00B57597" w:rsidRPr="00CA56AB" w:rsidRDefault="00B57597" w:rsidP="002333D6">
            <w:pPr>
              <w:keepNext/>
              <w:spacing w:after="0"/>
              <w:jc w:val="right"/>
              <w:rPr>
                <w:rFonts w:eastAsia="Calibri" w:cs="Calibri"/>
                <w:color w:val="000000"/>
                <w:sz w:val="18"/>
                <w:szCs w:val="18"/>
              </w:rPr>
            </w:pPr>
            <w:r w:rsidRPr="00CA56AB">
              <w:rPr>
                <w:rFonts w:cs="Calibri"/>
                <w:color w:val="000000"/>
                <w:sz w:val="18"/>
                <w:szCs w:val="18"/>
              </w:rPr>
              <w:t>41,39</w:t>
            </w:r>
            <w:r w:rsidR="00BC1340">
              <w:rPr>
                <w:rFonts w:cs="Calibri"/>
                <w:color w:val="000000"/>
                <w:sz w:val="18"/>
                <w:szCs w:val="18"/>
              </w:rPr>
              <w:t> </w:t>
            </w:r>
            <w:r w:rsidRPr="00CA56AB">
              <w:rPr>
                <w:rFonts w:cs="Calibri"/>
                <w:color w:val="000000"/>
                <w:sz w:val="18"/>
                <w:szCs w:val="18"/>
              </w:rPr>
              <w:t>%</w:t>
            </w:r>
          </w:p>
        </w:tc>
      </w:tr>
      <w:tr w:rsidR="00B57597" w:rsidRPr="00CA56AB" w14:paraId="391CA0E4"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44BCE" w14:textId="77777777" w:rsidR="00B57597" w:rsidRPr="00CA56AB" w:rsidRDefault="00B57597" w:rsidP="002333D6">
            <w:pPr>
              <w:keepNext/>
              <w:spacing w:after="0"/>
              <w:rPr>
                <w:rFonts w:cs="Calibri"/>
                <w:bCs/>
                <w:color w:val="000000"/>
                <w:sz w:val="18"/>
                <w:szCs w:val="18"/>
                <w:lang w:eastAsia="cs-CZ"/>
              </w:rPr>
            </w:pPr>
            <w:r w:rsidRPr="00CA56AB">
              <w:rPr>
                <w:color w:val="000000"/>
                <w:sz w:val="18"/>
                <w:szCs w:val="18"/>
              </w:rPr>
              <w:t>Náklady celkem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1CE146" w14:textId="4E3B9793"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23,84</w:t>
            </w:r>
            <w:r w:rsidR="00BC1340">
              <w:rPr>
                <w:color w:val="000000"/>
                <w:sz w:val="18"/>
                <w:szCs w:val="18"/>
              </w:rPr>
              <w:t> </w:t>
            </w:r>
            <w:r w:rsidRPr="00CA56AB">
              <w:rPr>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FB0030" w14:textId="38A5E59C" w:rsidR="00B57597" w:rsidRPr="00CA56AB" w:rsidRDefault="00B57597" w:rsidP="002333D6">
            <w:pPr>
              <w:keepNext/>
              <w:spacing w:after="0"/>
              <w:jc w:val="right"/>
              <w:rPr>
                <w:rFonts w:eastAsia="Calibri" w:cs="Calibri"/>
                <w:color w:val="000000"/>
                <w:sz w:val="18"/>
                <w:szCs w:val="18"/>
              </w:rPr>
            </w:pPr>
            <w:r w:rsidRPr="00CA56AB">
              <w:rPr>
                <w:color w:val="000000"/>
                <w:sz w:val="18"/>
                <w:szCs w:val="18"/>
              </w:rPr>
              <w:t>24,75</w:t>
            </w:r>
            <w:r w:rsidR="00BC1340">
              <w:rPr>
                <w:color w:val="000000"/>
                <w:sz w:val="18"/>
                <w:szCs w:val="18"/>
              </w:rPr>
              <w:t> </w:t>
            </w:r>
            <w:r w:rsidRPr="00CA56AB">
              <w:rPr>
                <w:color w:val="000000"/>
                <w:sz w:val="18"/>
                <w:szCs w:val="18"/>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2431AE7" w14:textId="3A6A3162" w:rsidR="00B57597" w:rsidRPr="00CA56AB" w:rsidRDefault="00BC1340" w:rsidP="002333D6">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0,25</w:t>
            </w:r>
            <w:r>
              <w:rPr>
                <w:color w:val="000000"/>
                <w:sz w:val="18"/>
                <w:szCs w:val="18"/>
              </w:rPr>
              <w:t> </w:t>
            </w:r>
            <w:r w:rsidR="00B57597" w:rsidRPr="00CA56AB">
              <w:rPr>
                <w:color w:val="000000"/>
                <w:sz w:val="18"/>
                <w:szCs w:val="18"/>
              </w:rPr>
              <w:t>%</w:t>
            </w:r>
          </w:p>
        </w:tc>
        <w:tc>
          <w:tcPr>
            <w:tcW w:w="1560" w:type="dxa"/>
            <w:tcBorders>
              <w:top w:val="single" w:sz="4" w:space="0" w:color="auto"/>
              <w:left w:val="nil"/>
              <w:bottom w:val="single" w:sz="4" w:space="0" w:color="auto"/>
              <w:right w:val="single" w:sz="4" w:space="0" w:color="auto"/>
            </w:tcBorders>
            <w:vAlign w:val="center"/>
          </w:tcPr>
          <w:p w14:paraId="636BC976" w14:textId="19B2FC89" w:rsidR="00B57597" w:rsidRPr="00CA56AB" w:rsidRDefault="00B57597" w:rsidP="002333D6">
            <w:pPr>
              <w:keepNext/>
              <w:spacing w:after="0"/>
              <w:jc w:val="right"/>
              <w:rPr>
                <w:rFonts w:eastAsia="Calibri" w:cs="Calibri"/>
                <w:color w:val="000000"/>
                <w:sz w:val="18"/>
                <w:szCs w:val="18"/>
              </w:rPr>
            </w:pPr>
            <w:r w:rsidRPr="00CA56AB">
              <w:rPr>
                <w:rFonts w:cs="Calibri"/>
                <w:color w:val="000000"/>
                <w:sz w:val="18"/>
                <w:szCs w:val="18"/>
              </w:rPr>
              <w:t>28,92</w:t>
            </w:r>
            <w:r w:rsidR="00BC1340">
              <w:rPr>
                <w:rFonts w:cs="Calibri"/>
                <w:color w:val="000000"/>
                <w:sz w:val="18"/>
                <w:szCs w:val="18"/>
              </w:rPr>
              <w:t> </w:t>
            </w:r>
            <w:r w:rsidRPr="00CA56AB">
              <w:rPr>
                <w:rFonts w:cs="Calibri"/>
                <w:color w:val="000000"/>
                <w:sz w:val="18"/>
                <w:szCs w:val="18"/>
              </w:rPr>
              <w:t>%</w:t>
            </w:r>
          </w:p>
        </w:tc>
      </w:tr>
    </w:tbl>
    <w:p w14:paraId="1A552053" w14:textId="77777777" w:rsidR="00B57597" w:rsidRPr="00CA56AB" w:rsidRDefault="00B57597" w:rsidP="00B57597">
      <w:pPr>
        <w:spacing w:before="40"/>
        <w:rPr>
          <w:rFonts w:cs="Calibri"/>
          <w:color w:val="000000"/>
          <w:sz w:val="20"/>
          <w:szCs w:val="20"/>
          <w:lang w:eastAsia="cs-CZ"/>
        </w:rPr>
      </w:pPr>
      <w:bookmarkStart w:id="81" w:name="_Toc520714941"/>
      <w:r w:rsidRPr="00CA56AB">
        <w:rPr>
          <w:rFonts w:cs="Calibri"/>
          <w:b/>
          <w:color w:val="000000"/>
          <w:sz w:val="20"/>
          <w:szCs w:val="20"/>
          <w:lang w:eastAsia="cs-CZ"/>
        </w:rPr>
        <w:t xml:space="preserve">Zdroj: </w:t>
      </w:r>
      <w:r w:rsidRPr="00CA56AB">
        <w:rPr>
          <w:rFonts w:cs="Calibri"/>
          <w:color w:val="000000"/>
          <w:sz w:val="20"/>
          <w:szCs w:val="20"/>
          <w:lang w:eastAsia="cs-CZ"/>
        </w:rPr>
        <w:t>výpočet vypracoval NKÚ.</w:t>
      </w:r>
    </w:p>
    <w:bookmarkEnd w:id="81"/>
    <w:p w14:paraId="1561987B" w14:textId="77777777" w:rsidR="00B57597" w:rsidRPr="00CA56AB" w:rsidRDefault="00B57597" w:rsidP="00B57597">
      <w:pPr>
        <w:jc w:val="both"/>
        <w:rPr>
          <w:rFonts w:cs="Calibri"/>
        </w:rPr>
      </w:pPr>
      <w:r w:rsidRPr="00CA56AB">
        <w:rPr>
          <w:rFonts w:cs="Calibri"/>
        </w:rPr>
        <w:t>K největší relativní změně výnosů ve sledovaném obdob</w:t>
      </w:r>
      <w:r>
        <w:rPr>
          <w:rFonts w:cs="Calibri"/>
        </w:rPr>
        <w:t>í došlo u MPO mezi rokem 2016 a </w:t>
      </w:r>
      <w:r w:rsidRPr="00CA56AB">
        <w:rPr>
          <w:rFonts w:cs="Calibri"/>
        </w:rPr>
        <w:t>2017, a to k nárůstu o 151,35 %. K největší relativní změně nákladů ve sledovaném období došlo u MPO mezi rokem 2019 a 2020, a to k nárůstu o 28,92 %.</w:t>
      </w:r>
    </w:p>
    <w:p w14:paraId="54073FE7" w14:textId="230B4310" w:rsidR="00B57597" w:rsidRPr="00501033" w:rsidRDefault="00B57597" w:rsidP="00501033">
      <w:pPr>
        <w:pStyle w:val="Titulek1"/>
        <w:tabs>
          <w:tab w:val="clear" w:pos="9356"/>
          <w:tab w:val="right" w:pos="9072"/>
        </w:tabs>
        <w:rPr>
          <w:sz w:val="24"/>
        </w:rPr>
      </w:pPr>
      <w:bookmarkStart w:id="82" w:name="_Toc520714333"/>
      <w:bookmarkStart w:id="83" w:name="_Toc8984540"/>
      <w:bookmarkStart w:id="84" w:name="_Toc72157481"/>
      <w:r w:rsidRPr="00501033">
        <w:rPr>
          <w:sz w:val="24"/>
        </w:rPr>
        <w:t xml:space="preserve">Tabulka č. </w:t>
      </w:r>
      <w:r w:rsidR="00776507" w:rsidRPr="00501033">
        <w:rPr>
          <w:sz w:val="24"/>
        </w:rPr>
        <w:fldChar w:fldCharType="begin"/>
      </w:r>
      <w:r w:rsidR="00776507" w:rsidRPr="00501033">
        <w:rPr>
          <w:sz w:val="24"/>
        </w:rPr>
        <w:instrText xml:space="preserve"> SEQ Tabulka \* ARABIC </w:instrText>
      </w:r>
      <w:r w:rsidR="00776507" w:rsidRPr="00501033">
        <w:rPr>
          <w:sz w:val="24"/>
        </w:rPr>
        <w:fldChar w:fldCharType="separate"/>
      </w:r>
      <w:r w:rsidR="00E544AA">
        <w:rPr>
          <w:noProof/>
          <w:sz w:val="24"/>
        </w:rPr>
        <w:t>24</w:t>
      </w:r>
      <w:r w:rsidR="00776507" w:rsidRPr="00501033">
        <w:rPr>
          <w:noProof/>
          <w:sz w:val="24"/>
        </w:rPr>
        <w:fldChar w:fldCharType="end"/>
      </w:r>
      <w:r w:rsidRPr="00501033">
        <w:rPr>
          <w:sz w:val="24"/>
        </w:rPr>
        <w:t>: Výnosy a náklady OSS v rozpočtové kapitole 322 (bez MPO</w:t>
      </w:r>
      <w:r w:rsidR="00BC1340">
        <w:rPr>
          <w:sz w:val="24"/>
        </w:rPr>
        <w:t>;</w:t>
      </w:r>
      <w:r w:rsidRPr="00501033">
        <w:rPr>
          <w:sz w:val="24"/>
        </w:rPr>
        <w:t xml:space="preserve"> v Kč)</w:t>
      </w:r>
      <w:bookmarkEnd w:id="82"/>
      <w:bookmarkEnd w:id="83"/>
      <w:bookmarkEnd w:id="84"/>
    </w:p>
    <w:tbl>
      <w:tblPr>
        <w:tblW w:w="4954" w:type="pct"/>
        <w:tblCellMar>
          <w:left w:w="70" w:type="dxa"/>
          <w:right w:w="70" w:type="dxa"/>
        </w:tblCellMar>
        <w:tblLook w:val="04A0" w:firstRow="1" w:lastRow="0" w:firstColumn="1" w:lastColumn="0" w:noHBand="0" w:noVBand="1"/>
      </w:tblPr>
      <w:tblGrid>
        <w:gridCol w:w="1296"/>
        <w:gridCol w:w="1571"/>
        <w:gridCol w:w="1571"/>
        <w:gridCol w:w="1571"/>
        <w:gridCol w:w="1485"/>
        <w:gridCol w:w="1483"/>
      </w:tblGrid>
      <w:tr w:rsidR="00B57597" w:rsidRPr="00CA56AB" w14:paraId="66121BD5" w14:textId="77777777" w:rsidTr="00B57597">
        <w:trPr>
          <w:trHeight w:val="255"/>
        </w:trPr>
        <w:tc>
          <w:tcPr>
            <w:tcW w:w="722"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352B52BE" w14:textId="77777777" w:rsidR="00B57597" w:rsidRPr="00CA56AB" w:rsidRDefault="00B57597" w:rsidP="00501033">
            <w:pPr>
              <w:keepNext/>
              <w:spacing w:after="0"/>
              <w:rPr>
                <w:rFonts w:cs="Calibri"/>
                <w:b/>
                <w:bCs/>
                <w:color w:val="000000"/>
                <w:sz w:val="18"/>
                <w:szCs w:val="18"/>
                <w:lang w:eastAsia="cs-CZ"/>
              </w:rPr>
            </w:pPr>
            <w:r w:rsidRPr="00CA56AB">
              <w:rPr>
                <w:b/>
                <w:bCs/>
                <w:color w:val="000000"/>
                <w:sz w:val="18"/>
                <w:szCs w:val="18"/>
              </w:rPr>
              <w:t>Ukazatel</w:t>
            </w:r>
          </w:p>
        </w:tc>
        <w:tc>
          <w:tcPr>
            <w:tcW w:w="875" w:type="pct"/>
            <w:tcBorders>
              <w:top w:val="single" w:sz="4" w:space="0" w:color="auto"/>
              <w:left w:val="nil"/>
              <w:bottom w:val="single" w:sz="4" w:space="0" w:color="auto"/>
              <w:right w:val="single" w:sz="4" w:space="0" w:color="auto"/>
            </w:tcBorders>
            <w:shd w:val="clear" w:color="auto" w:fill="E5F1FF"/>
            <w:noWrap/>
            <w:vAlign w:val="center"/>
            <w:hideMark/>
          </w:tcPr>
          <w:p w14:paraId="5A1203FC" w14:textId="77777777" w:rsidR="00B57597" w:rsidRPr="00CA56AB" w:rsidRDefault="00B57597" w:rsidP="00501033">
            <w:pPr>
              <w:keepNext/>
              <w:spacing w:after="0"/>
              <w:jc w:val="center"/>
              <w:rPr>
                <w:rFonts w:cs="Calibri"/>
                <w:b/>
                <w:bCs/>
                <w:color w:val="000000"/>
                <w:sz w:val="18"/>
                <w:szCs w:val="18"/>
                <w:lang w:eastAsia="cs-CZ"/>
              </w:rPr>
            </w:pPr>
            <w:r w:rsidRPr="00CA56AB">
              <w:rPr>
                <w:b/>
                <w:bCs/>
                <w:color w:val="000000"/>
                <w:sz w:val="18"/>
                <w:szCs w:val="18"/>
              </w:rPr>
              <w:t>2016</w:t>
            </w:r>
          </w:p>
        </w:tc>
        <w:tc>
          <w:tcPr>
            <w:tcW w:w="875" w:type="pct"/>
            <w:tcBorders>
              <w:top w:val="single" w:sz="4" w:space="0" w:color="auto"/>
              <w:left w:val="nil"/>
              <w:bottom w:val="single" w:sz="4" w:space="0" w:color="auto"/>
              <w:right w:val="single" w:sz="4" w:space="0" w:color="auto"/>
            </w:tcBorders>
            <w:shd w:val="clear" w:color="auto" w:fill="E5F1FF"/>
            <w:noWrap/>
            <w:vAlign w:val="center"/>
            <w:hideMark/>
          </w:tcPr>
          <w:p w14:paraId="002FC6E6" w14:textId="77777777" w:rsidR="00B57597" w:rsidRPr="00CA56AB" w:rsidRDefault="00B57597" w:rsidP="00501033">
            <w:pPr>
              <w:keepNext/>
              <w:spacing w:after="0"/>
              <w:jc w:val="center"/>
              <w:rPr>
                <w:rFonts w:cs="Calibri"/>
                <w:b/>
                <w:bCs/>
                <w:color w:val="000000"/>
                <w:sz w:val="18"/>
                <w:szCs w:val="18"/>
                <w:lang w:eastAsia="cs-CZ"/>
              </w:rPr>
            </w:pPr>
            <w:r w:rsidRPr="00CA56AB">
              <w:rPr>
                <w:b/>
                <w:bCs/>
                <w:color w:val="000000"/>
                <w:sz w:val="18"/>
                <w:szCs w:val="18"/>
              </w:rPr>
              <w:t>2017</w:t>
            </w:r>
          </w:p>
        </w:tc>
        <w:tc>
          <w:tcPr>
            <w:tcW w:w="875" w:type="pct"/>
            <w:tcBorders>
              <w:top w:val="single" w:sz="4" w:space="0" w:color="auto"/>
              <w:left w:val="nil"/>
              <w:bottom w:val="single" w:sz="4" w:space="0" w:color="auto"/>
              <w:right w:val="single" w:sz="4" w:space="0" w:color="auto"/>
            </w:tcBorders>
            <w:shd w:val="clear" w:color="auto" w:fill="E5F1FF"/>
            <w:noWrap/>
            <w:vAlign w:val="center"/>
            <w:hideMark/>
          </w:tcPr>
          <w:p w14:paraId="43EE0BB1" w14:textId="77777777" w:rsidR="00B57597" w:rsidRPr="00CA56AB" w:rsidRDefault="00B57597" w:rsidP="00501033">
            <w:pPr>
              <w:keepNext/>
              <w:spacing w:after="0"/>
              <w:jc w:val="center"/>
              <w:rPr>
                <w:rFonts w:cs="Calibri"/>
                <w:b/>
                <w:bCs/>
                <w:color w:val="000000"/>
                <w:sz w:val="18"/>
                <w:szCs w:val="18"/>
                <w:lang w:eastAsia="cs-CZ"/>
              </w:rPr>
            </w:pPr>
            <w:r w:rsidRPr="00CA56AB">
              <w:rPr>
                <w:b/>
                <w:bCs/>
                <w:color w:val="000000"/>
                <w:sz w:val="18"/>
                <w:szCs w:val="18"/>
              </w:rPr>
              <w:t>2018</w:t>
            </w:r>
          </w:p>
        </w:tc>
        <w:tc>
          <w:tcPr>
            <w:tcW w:w="827" w:type="pct"/>
            <w:tcBorders>
              <w:top w:val="single" w:sz="4" w:space="0" w:color="auto"/>
              <w:left w:val="nil"/>
              <w:bottom w:val="single" w:sz="4" w:space="0" w:color="auto"/>
              <w:right w:val="single" w:sz="4" w:space="0" w:color="auto"/>
            </w:tcBorders>
            <w:shd w:val="clear" w:color="auto" w:fill="E5F1FF"/>
            <w:noWrap/>
            <w:vAlign w:val="center"/>
            <w:hideMark/>
          </w:tcPr>
          <w:p w14:paraId="1E43709A" w14:textId="77777777" w:rsidR="00B57597" w:rsidRPr="00CA56AB" w:rsidRDefault="00B57597" w:rsidP="00501033">
            <w:pPr>
              <w:keepNext/>
              <w:spacing w:after="0"/>
              <w:jc w:val="center"/>
              <w:rPr>
                <w:rFonts w:cs="Calibri"/>
                <w:b/>
                <w:bCs/>
                <w:color w:val="000000"/>
                <w:sz w:val="18"/>
                <w:szCs w:val="18"/>
                <w:lang w:eastAsia="cs-CZ"/>
              </w:rPr>
            </w:pPr>
            <w:r w:rsidRPr="00CA56AB">
              <w:rPr>
                <w:b/>
                <w:bCs/>
                <w:color w:val="000000"/>
                <w:sz w:val="18"/>
                <w:szCs w:val="18"/>
              </w:rPr>
              <w:t>2019</w:t>
            </w:r>
          </w:p>
        </w:tc>
        <w:tc>
          <w:tcPr>
            <w:tcW w:w="826" w:type="pct"/>
            <w:tcBorders>
              <w:top w:val="single" w:sz="4" w:space="0" w:color="auto"/>
              <w:left w:val="nil"/>
              <w:bottom w:val="single" w:sz="4" w:space="0" w:color="auto"/>
              <w:right w:val="single" w:sz="4" w:space="0" w:color="auto"/>
            </w:tcBorders>
            <w:shd w:val="clear" w:color="auto" w:fill="E5F1FF"/>
            <w:vAlign w:val="center"/>
          </w:tcPr>
          <w:p w14:paraId="1C438A01" w14:textId="77777777" w:rsidR="00B57597" w:rsidRPr="00CA56AB" w:rsidRDefault="00B57597" w:rsidP="00501033">
            <w:pPr>
              <w:keepNext/>
              <w:spacing w:after="0"/>
              <w:jc w:val="center"/>
              <w:rPr>
                <w:rFonts w:cs="Calibri"/>
                <w:b/>
                <w:bCs/>
                <w:color w:val="000000"/>
                <w:sz w:val="18"/>
                <w:szCs w:val="18"/>
                <w:lang w:eastAsia="cs-CZ"/>
              </w:rPr>
            </w:pPr>
            <w:r w:rsidRPr="00CA56AB">
              <w:rPr>
                <w:b/>
                <w:bCs/>
                <w:color w:val="000000"/>
                <w:sz w:val="18"/>
                <w:szCs w:val="18"/>
              </w:rPr>
              <w:t>2020</w:t>
            </w:r>
          </w:p>
        </w:tc>
      </w:tr>
      <w:tr w:rsidR="00B57597" w:rsidRPr="00CA56AB" w14:paraId="53C69D35" w14:textId="77777777" w:rsidTr="00B57597">
        <w:trPr>
          <w:trHeight w:val="255"/>
        </w:trPr>
        <w:tc>
          <w:tcPr>
            <w:tcW w:w="722" w:type="pct"/>
            <w:tcBorders>
              <w:top w:val="nil"/>
              <w:left w:val="single" w:sz="4" w:space="0" w:color="auto"/>
              <w:bottom w:val="single" w:sz="4" w:space="0" w:color="auto"/>
              <w:right w:val="single" w:sz="4" w:space="0" w:color="auto"/>
            </w:tcBorders>
            <w:shd w:val="clear" w:color="auto" w:fill="auto"/>
            <w:noWrap/>
            <w:vAlign w:val="center"/>
          </w:tcPr>
          <w:p w14:paraId="5FC2A18E" w14:textId="77777777" w:rsidR="00B57597" w:rsidRPr="00CA56AB" w:rsidRDefault="00B57597" w:rsidP="00501033">
            <w:pPr>
              <w:keepNext/>
              <w:spacing w:after="0"/>
              <w:rPr>
                <w:rFonts w:cs="Calibri"/>
                <w:bCs/>
                <w:color w:val="000000"/>
                <w:sz w:val="18"/>
                <w:szCs w:val="18"/>
                <w:lang w:eastAsia="cs-CZ"/>
              </w:rPr>
            </w:pPr>
            <w:r w:rsidRPr="00CA56AB">
              <w:rPr>
                <w:color w:val="000000"/>
                <w:sz w:val="18"/>
                <w:szCs w:val="18"/>
              </w:rPr>
              <w:t>Výnosy celkem</w:t>
            </w:r>
          </w:p>
        </w:tc>
        <w:tc>
          <w:tcPr>
            <w:tcW w:w="875" w:type="pct"/>
            <w:tcBorders>
              <w:top w:val="nil"/>
              <w:left w:val="nil"/>
              <w:bottom w:val="single" w:sz="4" w:space="0" w:color="auto"/>
              <w:right w:val="single" w:sz="4" w:space="0" w:color="auto"/>
            </w:tcBorders>
            <w:shd w:val="clear" w:color="auto" w:fill="auto"/>
            <w:noWrap/>
            <w:vAlign w:val="center"/>
          </w:tcPr>
          <w:p w14:paraId="48BCA2FF" w14:textId="77777777" w:rsidR="00B57597" w:rsidRPr="00CA56AB" w:rsidRDefault="00B57597" w:rsidP="00501033">
            <w:pPr>
              <w:keepNext/>
              <w:spacing w:after="0"/>
              <w:jc w:val="right"/>
              <w:rPr>
                <w:rFonts w:eastAsia="Calibri" w:cs="Calibri"/>
                <w:color w:val="000000"/>
                <w:sz w:val="18"/>
                <w:szCs w:val="18"/>
              </w:rPr>
            </w:pPr>
            <w:r w:rsidRPr="00CA56AB">
              <w:rPr>
                <w:color w:val="000000"/>
                <w:sz w:val="18"/>
                <w:szCs w:val="18"/>
              </w:rPr>
              <w:t>577 018 906,91</w:t>
            </w:r>
          </w:p>
        </w:tc>
        <w:tc>
          <w:tcPr>
            <w:tcW w:w="875" w:type="pct"/>
            <w:tcBorders>
              <w:top w:val="nil"/>
              <w:left w:val="nil"/>
              <w:bottom w:val="single" w:sz="4" w:space="0" w:color="auto"/>
              <w:right w:val="single" w:sz="4" w:space="0" w:color="auto"/>
            </w:tcBorders>
            <w:shd w:val="clear" w:color="auto" w:fill="auto"/>
            <w:noWrap/>
            <w:vAlign w:val="center"/>
          </w:tcPr>
          <w:p w14:paraId="07C5E562" w14:textId="77777777" w:rsidR="00B57597" w:rsidRPr="00CA56AB" w:rsidRDefault="00B57597" w:rsidP="00501033">
            <w:pPr>
              <w:keepNext/>
              <w:spacing w:after="0"/>
              <w:jc w:val="right"/>
              <w:rPr>
                <w:rFonts w:eastAsia="Calibri" w:cs="Calibri"/>
                <w:color w:val="000000"/>
                <w:sz w:val="18"/>
                <w:szCs w:val="18"/>
              </w:rPr>
            </w:pPr>
            <w:r w:rsidRPr="00CA56AB">
              <w:rPr>
                <w:color w:val="000000"/>
                <w:sz w:val="18"/>
                <w:szCs w:val="18"/>
              </w:rPr>
              <w:t>325 757 102,13</w:t>
            </w:r>
          </w:p>
        </w:tc>
        <w:tc>
          <w:tcPr>
            <w:tcW w:w="875" w:type="pct"/>
            <w:tcBorders>
              <w:top w:val="nil"/>
              <w:left w:val="nil"/>
              <w:bottom w:val="single" w:sz="4" w:space="0" w:color="auto"/>
              <w:right w:val="single" w:sz="4" w:space="0" w:color="auto"/>
            </w:tcBorders>
            <w:shd w:val="clear" w:color="auto" w:fill="auto"/>
            <w:noWrap/>
            <w:vAlign w:val="center"/>
          </w:tcPr>
          <w:p w14:paraId="4DFDA4C9" w14:textId="77777777" w:rsidR="00B57597" w:rsidRPr="00CA56AB" w:rsidRDefault="00B57597" w:rsidP="00501033">
            <w:pPr>
              <w:keepNext/>
              <w:spacing w:after="0"/>
              <w:jc w:val="right"/>
              <w:rPr>
                <w:rFonts w:eastAsia="Calibri" w:cs="Calibri"/>
                <w:color w:val="000000"/>
                <w:sz w:val="18"/>
                <w:szCs w:val="18"/>
              </w:rPr>
            </w:pPr>
            <w:r w:rsidRPr="00CA56AB">
              <w:rPr>
                <w:color w:val="000000"/>
                <w:sz w:val="18"/>
                <w:szCs w:val="18"/>
              </w:rPr>
              <w:t>269 510 421,29</w:t>
            </w:r>
          </w:p>
        </w:tc>
        <w:tc>
          <w:tcPr>
            <w:tcW w:w="827" w:type="pct"/>
            <w:tcBorders>
              <w:top w:val="nil"/>
              <w:left w:val="nil"/>
              <w:bottom w:val="single" w:sz="4" w:space="0" w:color="auto"/>
              <w:right w:val="single" w:sz="4" w:space="0" w:color="auto"/>
            </w:tcBorders>
            <w:shd w:val="clear" w:color="auto" w:fill="auto"/>
            <w:noWrap/>
            <w:vAlign w:val="center"/>
          </w:tcPr>
          <w:p w14:paraId="16A7981A" w14:textId="77777777" w:rsidR="00B57597" w:rsidRPr="00CA56AB" w:rsidRDefault="00B57597" w:rsidP="00501033">
            <w:pPr>
              <w:keepNext/>
              <w:spacing w:after="0"/>
              <w:jc w:val="right"/>
              <w:rPr>
                <w:rFonts w:eastAsia="Calibri" w:cs="Calibri"/>
                <w:color w:val="000000"/>
                <w:sz w:val="18"/>
                <w:szCs w:val="18"/>
              </w:rPr>
            </w:pPr>
            <w:r w:rsidRPr="00CA56AB">
              <w:rPr>
                <w:color w:val="000000"/>
                <w:sz w:val="18"/>
                <w:szCs w:val="18"/>
              </w:rPr>
              <w:t>254 036 803,67</w:t>
            </w:r>
          </w:p>
        </w:tc>
        <w:tc>
          <w:tcPr>
            <w:tcW w:w="826" w:type="pct"/>
            <w:tcBorders>
              <w:top w:val="nil"/>
              <w:left w:val="nil"/>
              <w:bottom w:val="single" w:sz="4" w:space="0" w:color="auto"/>
              <w:right w:val="single" w:sz="4" w:space="0" w:color="auto"/>
            </w:tcBorders>
            <w:vAlign w:val="center"/>
          </w:tcPr>
          <w:p w14:paraId="3682D232" w14:textId="77777777" w:rsidR="00B57597" w:rsidRPr="00CA56AB" w:rsidRDefault="00B57597" w:rsidP="00501033">
            <w:pPr>
              <w:keepNext/>
              <w:spacing w:after="0"/>
              <w:jc w:val="right"/>
              <w:rPr>
                <w:rFonts w:eastAsia="Calibri" w:cs="Calibri"/>
                <w:color w:val="000000"/>
                <w:sz w:val="18"/>
                <w:szCs w:val="18"/>
              </w:rPr>
            </w:pPr>
            <w:r w:rsidRPr="00CA56AB">
              <w:rPr>
                <w:color w:val="000000"/>
                <w:sz w:val="18"/>
                <w:szCs w:val="18"/>
              </w:rPr>
              <w:t>200 607 381,46</w:t>
            </w:r>
          </w:p>
        </w:tc>
      </w:tr>
      <w:tr w:rsidR="00B57597" w:rsidRPr="00CA56AB" w14:paraId="6ACE8B68" w14:textId="77777777" w:rsidTr="00B57597">
        <w:trPr>
          <w:trHeight w:val="255"/>
        </w:trPr>
        <w:tc>
          <w:tcPr>
            <w:tcW w:w="722" w:type="pct"/>
            <w:tcBorders>
              <w:top w:val="nil"/>
              <w:left w:val="single" w:sz="4" w:space="0" w:color="auto"/>
              <w:bottom w:val="single" w:sz="4" w:space="0" w:color="auto"/>
              <w:right w:val="single" w:sz="4" w:space="0" w:color="auto"/>
            </w:tcBorders>
            <w:shd w:val="clear" w:color="auto" w:fill="auto"/>
            <w:noWrap/>
            <w:vAlign w:val="center"/>
          </w:tcPr>
          <w:p w14:paraId="0589DA51" w14:textId="77777777" w:rsidR="00B57597" w:rsidRPr="00CA56AB" w:rsidRDefault="00B57597" w:rsidP="00501033">
            <w:pPr>
              <w:keepNext/>
              <w:spacing w:after="0"/>
              <w:rPr>
                <w:rFonts w:cs="Calibri"/>
                <w:bCs/>
                <w:color w:val="000000"/>
                <w:sz w:val="18"/>
                <w:szCs w:val="18"/>
                <w:lang w:eastAsia="cs-CZ"/>
              </w:rPr>
            </w:pPr>
            <w:r w:rsidRPr="00CA56AB">
              <w:rPr>
                <w:color w:val="000000"/>
                <w:sz w:val="18"/>
                <w:szCs w:val="18"/>
              </w:rPr>
              <w:t>Náklady celkem</w:t>
            </w:r>
          </w:p>
        </w:tc>
        <w:tc>
          <w:tcPr>
            <w:tcW w:w="875" w:type="pct"/>
            <w:tcBorders>
              <w:top w:val="nil"/>
              <w:left w:val="nil"/>
              <w:bottom w:val="single" w:sz="4" w:space="0" w:color="auto"/>
              <w:right w:val="single" w:sz="4" w:space="0" w:color="auto"/>
            </w:tcBorders>
            <w:shd w:val="clear" w:color="auto" w:fill="auto"/>
            <w:noWrap/>
            <w:vAlign w:val="center"/>
          </w:tcPr>
          <w:p w14:paraId="148903A9" w14:textId="77777777" w:rsidR="00B57597" w:rsidRPr="00CA56AB" w:rsidRDefault="00B57597" w:rsidP="00501033">
            <w:pPr>
              <w:keepNext/>
              <w:spacing w:after="0"/>
              <w:jc w:val="right"/>
              <w:rPr>
                <w:rFonts w:eastAsia="Calibri" w:cs="Calibri"/>
                <w:color w:val="000000"/>
                <w:sz w:val="18"/>
                <w:szCs w:val="18"/>
              </w:rPr>
            </w:pPr>
            <w:r w:rsidRPr="00CA56AB">
              <w:rPr>
                <w:color w:val="000000"/>
                <w:sz w:val="18"/>
                <w:szCs w:val="18"/>
              </w:rPr>
              <w:t>959 696 189,77</w:t>
            </w:r>
          </w:p>
        </w:tc>
        <w:tc>
          <w:tcPr>
            <w:tcW w:w="875" w:type="pct"/>
            <w:tcBorders>
              <w:top w:val="nil"/>
              <w:left w:val="nil"/>
              <w:bottom w:val="single" w:sz="4" w:space="0" w:color="auto"/>
              <w:right w:val="single" w:sz="4" w:space="0" w:color="auto"/>
            </w:tcBorders>
            <w:shd w:val="clear" w:color="auto" w:fill="auto"/>
            <w:noWrap/>
            <w:vAlign w:val="center"/>
          </w:tcPr>
          <w:p w14:paraId="675E20A4" w14:textId="77777777" w:rsidR="00B57597" w:rsidRPr="00CA56AB" w:rsidRDefault="00B57597" w:rsidP="00501033">
            <w:pPr>
              <w:keepNext/>
              <w:spacing w:after="0"/>
              <w:jc w:val="right"/>
              <w:rPr>
                <w:rFonts w:eastAsia="Calibri" w:cs="Calibri"/>
                <w:color w:val="000000"/>
                <w:sz w:val="18"/>
                <w:szCs w:val="18"/>
              </w:rPr>
            </w:pPr>
            <w:r w:rsidRPr="00CA56AB">
              <w:rPr>
                <w:color w:val="000000"/>
                <w:sz w:val="18"/>
                <w:szCs w:val="18"/>
              </w:rPr>
              <w:t>1 114 566 422,40</w:t>
            </w:r>
          </w:p>
        </w:tc>
        <w:tc>
          <w:tcPr>
            <w:tcW w:w="875" w:type="pct"/>
            <w:tcBorders>
              <w:top w:val="nil"/>
              <w:left w:val="nil"/>
              <w:bottom w:val="single" w:sz="4" w:space="0" w:color="auto"/>
              <w:right w:val="single" w:sz="4" w:space="0" w:color="auto"/>
            </w:tcBorders>
            <w:shd w:val="clear" w:color="auto" w:fill="auto"/>
            <w:noWrap/>
            <w:vAlign w:val="center"/>
          </w:tcPr>
          <w:p w14:paraId="211720E7" w14:textId="77777777" w:rsidR="00B57597" w:rsidRPr="00CA56AB" w:rsidRDefault="00B57597" w:rsidP="00501033">
            <w:pPr>
              <w:keepNext/>
              <w:spacing w:after="0"/>
              <w:jc w:val="right"/>
              <w:rPr>
                <w:rFonts w:eastAsia="Calibri" w:cs="Calibri"/>
                <w:color w:val="000000"/>
                <w:sz w:val="18"/>
                <w:szCs w:val="18"/>
              </w:rPr>
            </w:pPr>
            <w:r w:rsidRPr="00CA56AB">
              <w:rPr>
                <w:color w:val="000000"/>
                <w:sz w:val="18"/>
                <w:szCs w:val="18"/>
              </w:rPr>
              <w:t>1 158 540 659,77</w:t>
            </w:r>
          </w:p>
        </w:tc>
        <w:tc>
          <w:tcPr>
            <w:tcW w:w="827" w:type="pct"/>
            <w:tcBorders>
              <w:top w:val="nil"/>
              <w:left w:val="nil"/>
              <w:bottom w:val="single" w:sz="4" w:space="0" w:color="auto"/>
              <w:right w:val="single" w:sz="4" w:space="0" w:color="auto"/>
            </w:tcBorders>
            <w:shd w:val="clear" w:color="auto" w:fill="auto"/>
            <w:noWrap/>
            <w:vAlign w:val="center"/>
          </w:tcPr>
          <w:p w14:paraId="0F55F1EC" w14:textId="77777777" w:rsidR="00B57597" w:rsidRPr="00CA56AB" w:rsidRDefault="00B57597" w:rsidP="00501033">
            <w:pPr>
              <w:keepNext/>
              <w:spacing w:after="0"/>
              <w:jc w:val="right"/>
              <w:rPr>
                <w:rFonts w:eastAsia="Calibri" w:cs="Calibri"/>
                <w:color w:val="000000"/>
                <w:sz w:val="18"/>
                <w:szCs w:val="18"/>
              </w:rPr>
            </w:pPr>
            <w:r w:rsidRPr="00CA56AB">
              <w:rPr>
                <w:color w:val="000000"/>
                <w:sz w:val="18"/>
                <w:szCs w:val="18"/>
              </w:rPr>
              <w:t>1 137 218 761,45</w:t>
            </w:r>
          </w:p>
        </w:tc>
        <w:tc>
          <w:tcPr>
            <w:tcW w:w="826" w:type="pct"/>
            <w:tcBorders>
              <w:top w:val="nil"/>
              <w:left w:val="nil"/>
              <w:bottom w:val="single" w:sz="4" w:space="0" w:color="auto"/>
              <w:right w:val="single" w:sz="4" w:space="0" w:color="auto"/>
            </w:tcBorders>
            <w:vAlign w:val="center"/>
          </w:tcPr>
          <w:p w14:paraId="6F2EA075" w14:textId="77777777" w:rsidR="00B57597" w:rsidRPr="00CA56AB" w:rsidRDefault="00B57597" w:rsidP="00501033">
            <w:pPr>
              <w:keepNext/>
              <w:spacing w:after="0"/>
              <w:jc w:val="right"/>
              <w:rPr>
                <w:rFonts w:eastAsia="Calibri" w:cs="Calibri"/>
                <w:color w:val="000000"/>
                <w:sz w:val="18"/>
                <w:szCs w:val="18"/>
              </w:rPr>
            </w:pPr>
            <w:r w:rsidRPr="00CA56AB">
              <w:rPr>
                <w:color w:val="000000"/>
                <w:sz w:val="18"/>
                <w:szCs w:val="18"/>
              </w:rPr>
              <w:t>1 236 601 500,41</w:t>
            </w:r>
          </w:p>
        </w:tc>
      </w:tr>
    </w:tbl>
    <w:p w14:paraId="10C70BFF" w14:textId="77777777" w:rsidR="00B57597" w:rsidRPr="009E2D06" w:rsidRDefault="00B57597" w:rsidP="00B57597">
      <w:pPr>
        <w:spacing w:before="40"/>
        <w:rPr>
          <w:rFonts w:cs="Calibri"/>
          <w:bCs/>
          <w:color w:val="000000"/>
          <w:sz w:val="20"/>
          <w:szCs w:val="20"/>
          <w:lang w:eastAsia="cs-CZ"/>
        </w:rPr>
      </w:pPr>
      <w:bookmarkStart w:id="85" w:name="_Toc520714334"/>
      <w:r w:rsidRPr="00CF36BE">
        <w:rPr>
          <w:rFonts w:cs="Calibri"/>
          <w:b/>
          <w:color w:val="000000"/>
          <w:sz w:val="20"/>
          <w:szCs w:val="20"/>
          <w:lang w:eastAsia="cs-CZ"/>
        </w:rPr>
        <w:t xml:space="preserve">Zdroj: </w:t>
      </w:r>
      <w:r w:rsidRPr="00CF36BE">
        <w:rPr>
          <w:rFonts w:cs="Calibri"/>
          <w:color w:val="000000"/>
          <w:sz w:val="20"/>
          <w:szCs w:val="20"/>
          <w:lang w:eastAsia="cs-CZ"/>
        </w:rPr>
        <w:t>informační portál MONITOR.</w:t>
      </w:r>
    </w:p>
    <w:p w14:paraId="3F23E8D0" w14:textId="03D209A5" w:rsidR="00B57597" w:rsidRPr="00501033" w:rsidRDefault="00B57597" w:rsidP="00501033">
      <w:pPr>
        <w:pStyle w:val="Titulek1"/>
        <w:rPr>
          <w:sz w:val="24"/>
        </w:rPr>
      </w:pPr>
      <w:bookmarkStart w:id="86" w:name="_Toc8984541"/>
      <w:bookmarkStart w:id="87" w:name="_Toc72157482"/>
      <w:r w:rsidRPr="00501033">
        <w:rPr>
          <w:sz w:val="24"/>
        </w:rPr>
        <w:t xml:space="preserve">Tabulka č. </w:t>
      </w:r>
      <w:r w:rsidR="00776507" w:rsidRPr="00501033">
        <w:rPr>
          <w:sz w:val="24"/>
        </w:rPr>
        <w:fldChar w:fldCharType="begin"/>
      </w:r>
      <w:r w:rsidR="00776507" w:rsidRPr="00501033">
        <w:rPr>
          <w:sz w:val="24"/>
        </w:rPr>
        <w:instrText xml:space="preserve"> SEQ Tabulka \* ARABIC </w:instrText>
      </w:r>
      <w:r w:rsidR="00776507" w:rsidRPr="00501033">
        <w:rPr>
          <w:sz w:val="24"/>
        </w:rPr>
        <w:fldChar w:fldCharType="separate"/>
      </w:r>
      <w:r w:rsidR="00E544AA">
        <w:rPr>
          <w:noProof/>
          <w:sz w:val="24"/>
        </w:rPr>
        <w:t>25</w:t>
      </w:r>
      <w:r w:rsidR="00776507" w:rsidRPr="00501033">
        <w:rPr>
          <w:noProof/>
          <w:sz w:val="24"/>
        </w:rPr>
        <w:fldChar w:fldCharType="end"/>
      </w:r>
      <w:r w:rsidRPr="00501033">
        <w:rPr>
          <w:sz w:val="24"/>
        </w:rPr>
        <w:t>: Tempo růstu výnosů a nákladů OSS v rozpočtové kapitole 322 (bez MPO)</w:t>
      </w:r>
      <w:bookmarkEnd w:id="85"/>
      <w:bookmarkEnd w:id="86"/>
      <w:bookmarkEnd w:id="87"/>
    </w:p>
    <w:tbl>
      <w:tblPr>
        <w:tblW w:w="9068" w:type="dxa"/>
        <w:tblLayout w:type="fixed"/>
        <w:tblCellMar>
          <w:left w:w="70" w:type="dxa"/>
          <w:right w:w="70" w:type="dxa"/>
        </w:tblCellMar>
        <w:tblLook w:val="04A0" w:firstRow="1" w:lastRow="0" w:firstColumn="1" w:lastColumn="0" w:noHBand="0" w:noVBand="1"/>
      </w:tblPr>
      <w:tblGrid>
        <w:gridCol w:w="2830"/>
        <w:gridCol w:w="1559"/>
        <w:gridCol w:w="1559"/>
        <w:gridCol w:w="1560"/>
        <w:gridCol w:w="1560"/>
      </w:tblGrid>
      <w:tr w:rsidR="00B57597" w:rsidRPr="00CA56AB" w14:paraId="4F7A5B9C"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FA74FB9" w14:textId="77777777" w:rsidR="00B57597" w:rsidRPr="00CA56AB" w:rsidRDefault="00B57597" w:rsidP="00501033">
            <w:pPr>
              <w:keepNext/>
              <w:spacing w:after="0"/>
              <w:rPr>
                <w:rFonts w:cs="Calibri"/>
                <w:b/>
                <w:bCs/>
                <w:color w:val="000000"/>
                <w:sz w:val="18"/>
                <w:szCs w:val="18"/>
                <w:lang w:eastAsia="cs-CZ"/>
              </w:rPr>
            </w:pPr>
            <w:r w:rsidRPr="00CA56AB">
              <w:rPr>
                <w:b/>
                <w:bCs/>
                <w:color w:val="000000"/>
                <w:sz w:val="18"/>
                <w:szCs w:val="18"/>
              </w:rPr>
              <w:t>Tempo růstu (absolutní změna)</w:t>
            </w:r>
          </w:p>
        </w:tc>
        <w:tc>
          <w:tcPr>
            <w:tcW w:w="1559" w:type="dxa"/>
            <w:tcBorders>
              <w:top w:val="single" w:sz="4" w:space="0" w:color="auto"/>
              <w:left w:val="nil"/>
              <w:bottom w:val="single" w:sz="4" w:space="0" w:color="auto"/>
              <w:right w:val="single" w:sz="4" w:space="0" w:color="auto"/>
            </w:tcBorders>
            <w:shd w:val="clear" w:color="auto" w:fill="E5F1FF"/>
            <w:noWrap/>
            <w:vAlign w:val="center"/>
            <w:hideMark/>
          </w:tcPr>
          <w:p w14:paraId="30AA5615" w14:textId="3CF819D6" w:rsidR="00B57597" w:rsidRPr="00CA56AB" w:rsidRDefault="00B57597" w:rsidP="00501033">
            <w:pPr>
              <w:keepNext/>
              <w:spacing w:after="0"/>
              <w:jc w:val="center"/>
              <w:rPr>
                <w:rFonts w:cs="Calibri"/>
                <w:b/>
                <w:bCs/>
                <w:color w:val="000000"/>
                <w:sz w:val="18"/>
                <w:szCs w:val="18"/>
                <w:lang w:eastAsia="cs-CZ"/>
              </w:rPr>
            </w:pPr>
            <w:r w:rsidRPr="00CA56AB">
              <w:rPr>
                <w:b/>
                <w:bCs/>
                <w:color w:val="000000"/>
                <w:sz w:val="18"/>
                <w:szCs w:val="18"/>
              </w:rPr>
              <w:t>2017</w:t>
            </w:r>
            <w:r w:rsidR="00BC1340">
              <w:rPr>
                <w:b/>
                <w:bCs/>
                <w:color w:val="000000"/>
                <w:sz w:val="18"/>
                <w:szCs w:val="18"/>
              </w:rPr>
              <w:t>–</w:t>
            </w:r>
            <w:r w:rsidRPr="00CA56AB">
              <w:rPr>
                <w:b/>
                <w:bCs/>
                <w:color w:val="000000"/>
                <w:sz w:val="18"/>
                <w:szCs w:val="18"/>
              </w:rPr>
              <w:t>2016</w:t>
            </w:r>
          </w:p>
        </w:tc>
        <w:tc>
          <w:tcPr>
            <w:tcW w:w="1559" w:type="dxa"/>
            <w:tcBorders>
              <w:top w:val="single" w:sz="4" w:space="0" w:color="auto"/>
              <w:left w:val="nil"/>
              <w:bottom w:val="single" w:sz="4" w:space="0" w:color="auto"/>
              <w:right w:val="single" w:sz="4" w:space="0" w:color="auto"/>
            </w:tcBorders>
            <w:shd w:val="clear" w:color="auto" w:fill="E5F1FF"/>
            <w:noWrap/>
            <w:vAlign w:val="center"/>
            <w:hideMark/>
          </w:tcPr>
          <w:p w14:paraId="11B5305C" w14:textId="1503F62B" w:rsidR="00B57597" w:rsidRPr="00CA56AB" w:rsidRDefault="00B57597" w:rsidP="00501033">
            <w:pPr>
              <w:keepNext/>
              <w:spacing w:after="0"/>
              <w:jc w:val="center"/>
              <w:rPr>
                <w:rFonts w:cs="Calibri"/>
                <w:b/>
                <w:bCs/>
                <w:color w:val="000000"/>
                <w:sz w:val="18"/>
                <w:szCs w:val="18"/>
                <w:lang w:eastAsia="cs-CZ"/>
              </w:rPr>
            </w:pPr>
            <w:r w:rsidRPr="00CA56AB">
              <w:rPr>
                <w:b/>
                <w:bCs/>
                <w:color w:val="000000"/>
                <w:sz w:val="18"/>
                <w:szCs w:val="18"/>
              </w:rPr>
              <w:t>2018</w:t>
            </w:r>
            <w:r w:rsidR="00D96F31">
              <w:rPr>
                <w:b/>
                <w:bCs/>
                <w:color w:val="000000"/>
                <w:sz w:val="18"/>
                <w:szCs w:val="18"/>
              </w:rPr>
              <w:t>–</w:t>
            </w:r>
            <w:r w:rsidRPr="00CA56AB">
              <w:rPr>
                <w:b/>
                <w:bCs/>
                <w:color w:val="000000"/>
                <w:sz w:val="18"/>
                <w:szCs w:val="18"/>
              </w:rPr>
              <w:t>2017</w:t>
            </w:r>
          </w:p>
        </w:tc>
        <w:tc>
          <w:tcPr>
            <w:tcW w:w="1560" w:type="dxa"/>
            <w:tcBorders>
              <w:top w:val="single" w:sz="4" w:space="0" w:color="auto"/>
              <w:left w:val="nil"/>
              <w:bottom w:val="single" w:sz="4" w:space="0" w:color="auto"/>
              <w:right w:val="single" w:sz="4" w:space="0" w:color="auto"/>
            </w:tcBorders>
            <w:shd w:val="clear" w:color="auto" w:fill="E5F1FF"/>
            <w:noWrap/>
            <w:vAlign w:val="center"/>
            <w:hideMark/>
          </w:tcPr>
          <w:p w14:paraId="6F0CECE5" w14:textId="540797C7" w:rsidR="00B57597" w:rsidRPr="00CA56AB" w:rsidRDefault="00B57597" w:rsidP="00501033">
            <w:pPr>
              <w:keepNext/>
              <w:spacing w:after="0"/>
              <w:jc w:val="center"/>
              <w:rPr>
                <w:rFonts w:cs="Calibri"/>
                <w:b/>
                <w:bCs/>
                <w:color w:val="000000"/>
                <w:sz w:val="18"/>
                <w:szCs w:val="18"/>
                <w:lang w:eastAsia="cs-CZ"/>
              </w:rPr>
            </w:pPr>
            <w:r w:rsidRPr="00CA56AB">
              <w:rPr>
                <w:b/>
                <w:bCs/>
                <w:color w:val="000000"/>
                <w:sz w:val="18"/>
                <w:szCs w:val="18"/>
              </w:rPr>
              <w:t>2019</w:t>
            </w:r>
            <w:r w:rsidR="00D96F31">
              <w:rPr>
                <w:b/>
                <w:bCs/>
                <w:color w:val="000000"/>
                <w:sz w:val="18"/>
                <w:szCs w:val="18"/>
              </w:rPr>
              <w:t>–</w:t>
            </w:r>
            <w:r w:rsidRPr="00CA56AB">
              <w:rPr>
                <w:b/>
                <w:bCs/>
                <w:color w:val="000000"/>
                <w:sz w:val="18"/>
                <w:szCs w:val="18"/>
              </w:rPr>
              <w:t>2018</w:t>
            </w:r>
          </w:p>
        </w:tc>
        <w:tc>
          <w:tcPr>
            <w:tcW w:w="1560" w:type="dxa"/>
            <w:tcBorders>
              <w:top w:val="single" w:sz="4" w:space="0" w:color="auto"/>
              <w:left w:val="nil"/>
              <w:bottom w:val="single" w:sz="4" w:space="0" w:color="auto"/>
              <w:right w:val="single" w:sz="4" w:space="0" w:color="auto"/>
            </w:tcBorders>
            <w:shd w:val="clear" w:color="auto" w:fill="E5F1FF"/>
            <w:vAlign w:val="center"/>
          </w:tcPr>
          <w:p w14:paraId="5DE9053A" w14:textId="4256840F" w:rsidR="00B57597" w:rsidRPr="00CA56AB" w:rsidRDefault="00B57597" w:rsidP="00501033">
            <w:pPr>
              <w:keepNext/>
              <w:spacing w:after="0"/>
              <w:jc w:val="center"/>
              <w:rPr>
                <w:rFonts w:cs="Calibri"/>
                <w:b/>
                <w:bCs/>
                <w:color w:val="000000"/>
                <w:sz w:val="18"/>
                <w:szCs w:val="18"/>
                <w:lang w:eastAsia="cs-CZ"/>
              </w:rPr>
            </w:pPr>
            <w:r w:rsidRPr="00CA56AB">
              <w:rPr>
                <w:b/>
                <w:bCs/>
                <w:color w:val="000000"/>
                <w:sz w:val="18"/>
                <w:szCs w:val="18"/>
              </w:rPr>
              <w:t>2020</w:t>
            </w:r>
            <w:r w:rsidR="00D96F31">
              <w:rPr>
                <w:b/>
                <w:bCs/>
                <w:color w:val="000000"/>
                <w:sz w:val="18"/>
                <w:szCs w:val="18"/>
              </w:rPr>
              <w:t>–</w:t>
            </w:r>
            <w:r w:rsidRPr="00CA56AB">
              <w:rPr>
                <w:b/>
                <w:bCs/>
                <w:color w:val="000000"/>
                <w:sz w:val="18"/>
                <w:szCs w:val="18"/>
              </w:rPr>
              <w:t>2019</w:t>
            </w:r>
          </w:p>
        </w:tc>
      </w:tr>
      <w:tr w:rsidR="00B57597" w:rsidRPr="00CA56AB" w14:paraId="592D5188"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94BD6" w14:textId="77777777" w:rsidR="00B57597" w:rsidRPr="00CA56AB" w:rsidRDefault="00B57597" w:rsidP="00501033">
            <w:pPr>
              <w:keepNext/>
              <w:spacing w:after="0"/>
              <w:rPr>
                <w:rFonts w:cs="Calibri"/>
                <w:bCs/>
                <w:color w:val="000000"/>
                <w:sz w:val="18"/>
                <w:szCs w:val="18"/>
                <w:lang w:eastAsia="cs-CZ"/>
              </w:rPr>
            </w:pPr>
            <w:r w:rsidRPr="00CA56AB">
              <w:rPr>
                <w:color w:val="000000"/>
                <w:sz w:val="18"/>
                <w:szCs w:val="18"/>
              </w:rPr>
              <w:t>Výnosy celkem (v Kč)</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7F1440" w14:textId="0C151A54" w:rsidR="00B57597" w:rsidRPr="00CA56AB" w:rsidRDefault="00D96F31" w:rsidP="00501033">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251 261 804,78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B38CE58" w14:textId="209FCB0E" w:rsidR="00B57597" w:rsidRPr="00CA56AB" w:rsidRDefault="00D96F31" w:rsidP="00501033">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56 246 680,84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D50B971" w14:textId="2D3D96F4" w:rsidR="00B57597" w:rsidRPr="00CA56AB" w:rsidRDefault="00D96F31" w:rsidP="00501033">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15 473 617,62</w:t>
            </w:r>
          </w:p>
        </w:tc>
        <w:tc>
          <w:tcPr>
            <w:tcW w:w="1560" w:type="dxa"/>
            <w:tcBorders>
              <w:top w:val="single" w:sz="4" w:space="0" w:color="auto"/>
              <w:left w:val="nil"/>
              <w:bottom w:val="single" w:sz="4" w:space="0" w:color="auto"/>
              <w:right w:val="single" w:sz="4" w:space="0" w:color="auto"/>
            </w:tcBorders>
            <w:vAlign w:val="center"/>
          </w:tcPr>
          <w:p w14:paraId="4CE71C16" w14:textId="2ED4D154" w:rsidR="00B57597" w:rsidRPr="00CA56AB" w:rsidRDefault="00D96F31" w:rsidP="00501033">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53 429 422,21</w:t>
            </w:r>
          </w:p>
        </w:tc>
      </w:tr>
      <w:tr w:rsidR="00B57597" w:rsidRPr="00CA56AB" w14:paraId="0713156F"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DAA92" w14:textId="77777777" w:rsidR="00B57597" w:rsidRPr="00CA56AB" w:rsidRDefault="00B57597" w:rsidP="00501033">
            <w:pPr>
              <w:keepNext/>
              <w:spacing w:after="0"/>
              <w:rPr>
                <w:rFonts w:cs="Calibri"/>
                <w:bCs/>
                <w:color w:val="000000"/>
                <w:sz w:val="18"/>
                <w:szCs w:val="18"/>
                <w:lang w:eastAsia="cs-CZ"/>
              </w:rPr>
            </w:pPr>
            <w:r w:rsidRPr="00CA56AB">
              <w:rPr>
                <w:color w:val="000000"/>
                <w:sz w:val="18"/>
                <w:szCs w:val="18"/>
              </w:rPr>
              <w:t>Náklady celkem (v Kč)</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DA5668D" w14:textId="77777777" w:rsidR="00B57597" w:rsidRPr="00CA56AB" w:rsidRDefault="00B57597" w:rsidP="00501033">
            <w:pPr>
              <w:keepNext/>
              <w:spacing w:after="0"/>
              <w:jc w:val="right"/>
              <w:rPr>
                <w:rFonts w:eastAsia="Calibri" w:cs="Calibri"/>
                <w:color w:val="000000"/>
                <w:sz w:val="18"/>
                <w:szCs w:val="18"/>
              </w:rPr>
            </w:pPr>
            <w:r w:rsidRPr="00CA56AB">
              <w:rPr>
                <w:color w:val="000000"/>
                <w:sz w:val="18"/>
                <w:szCs w:val="18"/>
              </w:rPr>
              <w:t>154 870 232,63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D5BFBF3" w14:textId="77777777" w:rsidR="00B57597" w:rsidRPr="00CA56AB" w:rsidRDefault="00B57597" w:rsidP="00501033">
            <w:pPr>
              <w:keepNext/>
              <w:spacing w:after="0"/>
              <w:jc w:val="right"/>
              <w:rPr>
                <w:rFonts w:eastAsia="Calibri" w:cs="Calibri"/>
                <w:color w:val="000000"/>
                <w:sz w:val="18"/>
                <w:szCs w:val="18"/>
              </w:rPr>
            </w:pPr>
            <w:r w:rsidRPr="00CA56AB">
              <w:rPr>
                <w:color w:val="000000"/>
                <w:sz w:val="18"/>
                <w:szCs w:val="18"/>
              </w:rPr>
              <w:t>43 974 237,37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CDD731E" w14:textId="356F5051" w:rsidR="00B57597" w:rsidRPr="00CA56AB" w:rsidRDefault="00D96F31" w:rsidP="00501033">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21 321 898,32</w:t>
            </w:r>
          </w:p>
        </w:tc>
        <w:tc>
          <w:tcPr>
            <w:tcW w:w="1560" w:type="dxa"/>
            <w:tcBorders>
              <w:top w:val="single" w:sz="4" w:space="0" w:color="auto"/>
              <w:left w:val="nil"/>
              <w:bottom w:val="single" w:sz="4" w:space="0" w:color="auto"/>
              <w:right w:val="single" w:sz="4" w:space="0" w:color="auto"/>
            </w:tcBorders>
            <w:vAlign w:val="center"/>
          </w:tcPr>
          <w:p w14:paraId="46961792" w14:textId="77777777" w:rsidR="00B57597" w:rsidRPr="00CA56AB" w:rsidRDefault="00B57597" w:rsidP="00501033">
            <w:pPr>
              <w:keepNext/>
              <w:spacing w:after="0"/>
              <w:jc w:val="right"/>
              <w:rPr>
                <w:rFonts w:eastAsia="Calibri" w:cs="Calibri"/>
                <w:color w:val="000000"/>
                <w:sz w:val="18"/>
                <w:szCs w:val="18"/>
              </w:rPr>
            </w:pPr>
            <w:r w:rsidRPr="00CA56AB">
              <w:rPr>
                <w:color w:val="000000"/>
                <w:sz w:val="18"/>
                <w:szCs w:val="18"/>
              </w:rPr>
              <w:t>99 382 738,96</w:t>
            </w:r>
          </w:p>
        </w:tc>
      </w:tr>
      <w:tr w:rsidR="00B57597" w:rsidRPr="00CA56AB" w14:paraId="645076B9"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E5F1FF"/>
            <w:noWrap/>
            <w:vAlign w:val="center"/>
          </w:tcPr>
          <w:p w14:paraId="0229EB31" w14:textId="0A69143D" w:rsidR="00B57597" w:rsidRPr="00CA56AB" w:rsidRDefault="00B57597" w:rsidP="00501033">
            <w:pPr>
              <w:keepNext/>
              <w:spacing w:after="0"/>
              <w:rPr>
                <w:rFonts w:cs="Calibri"/>
                <w:b/>
                <w:bCs/>
                <w:color w:val="000000"/>
                <w:sz w:val="18"/>
                <w:szCs w:val="18"/>
                <w:lang w:eastAsia="cs-CZ"/>
              </w:rPr>
            </w:pPr>
            <w:r w:rsidRPr="00CA56AB">
              <w:rPr>
                <w:b/>
                <w:bCs/>
                <w:color w:val="000000"/>
                <w:sz w:val="18"/>
                <w:szCs w:val="18"/>
              </w:rPr>
              <w:t>Tempo růstu v % (relativní změna) (((x+1)</w:t>
            </w:r>
            <w:r w:rsidR="00D96F31">
              <w:rPr>
                <w:rFonts w:cs="Calibri"/>
                <w:b/>
                <w:bCs/>
                <w:color w:val="000000"/>
                <w:sz w:val="18"/>
                <w:szCs w:val="18"/>
              </w:rPr>
              <w:t>−</w:t>
            </w:r>
            <w:r w:rsidRPr="00CA56AB">
              <w:rPr>
                <w:b/>
                <w:bCs/>
                <w:color w:val="000000"/>
                <w:sz w:val="18"/>
                <w:szCs w:val="18"/>
              </w:rPr>
              <w:t>x)/x)*100</w:t>
            </w:r>
          </w:p>
        </w:tc>
        <w:tc>
          <w:tcPr>
            <w:tcW w:w="1559" w:type="dxa"/>
            <w:tcBorders>
              <w:top w:val="single" w:sz="4" w:space="0" w:color="auto"/>
              <w:left w:val="nil"/>
              <w:bottom w:val="single" w:sz="4" w:space="0" w:color="auto"/>
              <w:right w:val="single" w:sz="4" w:space="0" w:color="auto"/>
            </w:tcBorders>
            <w:shd w:val="clear" w:color="auto" w:fill="E5F1FF"/>
            <w:noWrap/>
            <w:vAlign w:val="center"/>
          </w:tcPr>
          <w:p w14:paraId="1D305C31" w14:textId="77777777" w:rsidR="00B57597" w:rsidRPr="00CA56AB" w:rsidRDefault="00B57597" w:rsidP="00501033">
            <w:pPr>
              <w:keepNext/>
              <w:spacing w:after="0"/>
              <w:jc w:val="center"/>
              <w:rPr>
                <w:rFonts w:eastAsia="Calibri" w:cs="Calibri"/>
                <w:b/>
                <w:color w:val="000000"/>
                <w:sz w:val="18"/>
                <w:szCs w:val="18"/>
              </w:rPr>
            </w:pPr>
            <w:r w:rsidRPr="00CA56AB">
              <w:rPr>
                <w:b/>
                <w:bCs/>
                <w:color w:val="000000"/>
                <w:sz w:val="18"/>
                <w:szCs w:val="18"/>
              </w:rPr>
              <w:t>2017/2016</w:t>
            </w:r>
          </w:p>
        </w:tc>
        <w:tc>
          <w:tcPr>
            <w:tcW w:w="1559" w:type="dxa"/>
            <w:tcBorders>
              <w:top w:val="single" w:sz="4" w:space="0" w:color="auto"/>
              <w:left w:val="nil"/>
              <w:bottom w:val="single" w:sz="4" w:space="0" w:color="auto"/>
              <w:right w:val="single" w:sz="4" w:space="0" w:color="auto"/>
            </w:tcBorders>
            <w:shd w:val="clear" w:color="auto" w:fill="E5F1FF"/>
            <w:noWrap/>
            <w:vAlign w:val="center"/>
          </w:tcPr>
          <w:p w14:paraId="634D8FC7" w14:textId="77777777" w:rsidR="00B57597" w:rsidRPr="00CA56AB" w:rsidRDefault="00B57597" w:rsidP="00501033">
            <w:pPr>
              <w:keepNext/>
              <w:spacing w:after="0"/>
              <w:jc w:val="center"/>
              <w:rPr>
                <w:rFonts w:eastAsia="Calibri" w:cs="Calibri"/>
                <w:b/>
                <w:color w:val="000000"/>
                <w:sz w:val="18"/>
                <w:szCs w:val="18"/>
              </w:rPr>
            </w:pPr>
            <w:r w:rsidRPr="00CA56AB">
              <w:rPr>
                <w:b/>
                <w:bCs/>
                <w:color w:val="000000"/>
                <w:sz w:val="18"/>
                <w:szCs w:val="18"/>
              </w:rPr>
              <w:t>2018/2017</w:t>
            </w:r>
          </w:p>
        </w:tc>
        <w:tc>
          <w:tcPr>
            <w:tcW w:w="1560" w:type="dxa"/>
            <w:tcBorders>
              <w:top w:val="single" w:sz="4" w:space="0" w:color="auto"/>
              <w:left w:val="nil"/>
              <w:bottom w:val="single" w:sz="4" w:space="0" w:color="auto"/>
              <w:right w:val="single" w:sz="4" w:space="0" w:color="auto"/>
            </w:tcBorders>
            <w:shd w:val="clear" w:color="auto" w:fill="E5F1FF"/>
            <w:noWrap/>
            <w:vAlign w:val="center"/>
          </w:tcPr>
          <w:p w14:paraId="3191BD2E" w14:textId="77777777" w:rsidR="00B57597" w:rsidRPr="00CA56AB" w:rsidRDefault="00B57597" w:rsidP="00501033">
            <w:pPr>
              <w:keepNext/>
              <w:spacing w:after="0"/>
              <w:jc w:val="center"/>
              <w:rPr>
                <w:rFonts w:eastAsia="Calibri" w:cs="Calibri"/>
                <w:b/>
                <w:color w:val="000000"/>
                <w:sz w:val="18"/>
                <w:szCs w:val="18"/>
              </w:rPr>
            </w:pPr>
            <w:r w:rsidRPr="00CA56AB">
              <w:rPr>
                <w:b/>
                <w:bCs/>
                <w:color w:val="000000"/>
                <w:sz w:val="18"/>
                <w:szCs w:val="18"/>
              </w:rPr>
              <w:t>2019/2018</w:t>
            </w:r>
          </w:p>
        </w:tc>
        <w:tc>
          <w:tcPr>
            <w:tcW w:w="1560" w:type="dxa"/>
            <w:tcBorders>
              <w:top w:val="single" w:sz="4" w:space="0" w:color="auto"/>
              <w:left w:val="nil"/>
              <w:bottom w:val="single" w:sz="4" w:space="0" w:color="auto"/>
              <w:right w:val="single" w:sz="4" w:space="0" w:color="auto"/>
            </w:tcBorders>
            <w:shd w:val="clear" w:color="auto" w:fill="E5F1FF"/>
            <w:vAlign w:val="center"/>
          </w:tcPr>
          <w:p w14:paraId="3F13592A" w14:textId="77777777" w:rsidR="00B57597" w:rsidRPr="00CA56AB" w:rsidRDefault="00B57597" w:rsidP="00501033">
            <w:pPr>
              <w:keepNext/>
              <w:spacing w:after="0"/>
              <w:jc w:val="center"/>
              <w:rPr>
                <w:rFonts w:eastAsia="Calibri" w:cs="Calibri"/>
                <w:b/>
                <w:color w:val="000000"/>
                <w:sz w:val="18"/>
                <w:szCs w:val="18"/>
              </w:rPr>
            </w:pPr>
            <w:r w:rsidRPr="00CA56AB">
              <w:rPr>
                <w:b/>
                <w:bCs/>
                <w:color w:val="000000"/>
                <w:sz w:val="18"/>
                <w:szCs w:val="18"/>
              </w:rPr>
              <w:t>2020/2019</w:t>
            </w:r>
          </w:p>
        </w:tc>
      </w:tr>
      <w:tr w:rsidR="00B57597" w:rsidRPr="00CA56AB" w14:paraId="133A7DBD"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78892" w14:textId="77777777" w:rsidR="00B57597" w:rsidRPr="00CA56AB" w:rsidRDefault="00B57597" w:rsidP="00501033">
            <w:pPr>
              <w:keepNext/>
              <w:spacing w:after="0"/>
              <w:rPr>
                <w:rFonts w:cs="Calibri"/>
                <w:bCs/>
                <w:color w:val="000000"/>
                <w:sz w:val="18"/>
                <w:szCs w:val="18"/>
                <w:lang w:eastAsia="cs-CZ"/>
              </w:rPr>
            </w:pPr>
            <w:r w:rsidRPr="00CA56AB">
              <w:rPr>
                <w:color w:val="000000"/>
                <w:sz w:val="18"/>
                <w:szCs w:val="18"/>
              </w:rPr>
              <w:t>Výnosy celkem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66F426C" w14:textId="7C3A0F58" w:rsidR="00B57597" w:rsidRPr="00CA56AB" w:rsidRDefault="00D96F31" w:rsidP="00501033">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43,54%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5540CF6" w14:textId="5A6BA318" w:rsidR="00B57597" w:rsidRPr="00CA56AB" w:rsidRDefault="00D96F31" w:rsidP="00501033">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17,27%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4823080" w14:textId="6E5CC0EF" w:rsidR="00B57597" w:rsidRPr="00CA56AB" w:rsidRDefault="00D96F31" w:rsidP="00501033">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5,74%</w:t>
            </w:r>
          </w:p>
        </w:tc>
        <w:tc>
          <w:tcPr>
            <w:tcW w:w="1560" w:type="dxa"/>
            <w:tcBorders>
              <w:top w:val="single" w:sz="4" w:space="0" w:color="auto"/>
              <w:left w:val="nil"/>
              <w:bottom w:val="single" w:sz="4" w:space="0" w:color="auto"/>
              <w:right w:val="single" w:sz="4" w:space="0" w:color="auto"/>
            </w:tcBorders>
            <w:vAlign w:val="center"/>
          </w:tcPr>
          <w:p w14:paraId="718B975B" w14:textId="77627C45" w:rsidR="00B57597" w:rsidRPr="00CA56AB" w:rsidRDefault="00D96F31" w:rsidP="00501033">
            <w:pPr>
              <w:keepNext/>
              <w:spacing w:after="0"/>
              <w:jc w:val="right"/>
              <w:rPr>
                <w:rFonts w:eastAsia="Calibri" w:cs="Calibri"/>
                <w:color w:val="000000"/>
                <w:sz w:val="18"/>
                <w:szCs w:val="18"/>
              </w:rPr>
            </w:pPr>
            <w:r>
              <w:rPr>
                <w:rFonts w:cs="Calibri"/>
                <w:color w:val="000000"/>
                <w:sz w:val="18"/>
                <w:szCs w:val="18"/>
              </w:rPr>
              <w:t>−</w:t>
            </w:r>
            <w:r w:rsidR="00B57597" w:rsidRPr="00CA56AB">
              <w:rPr>
                <w:color w:val="000000"/>
                <w:sz w:val="18"/>
                <w:szCs w:val="18"/>
              </w:rPr>
              <w:t>21,03%</w:t>
            </w:r>
          </w:p>
        </w:tc>
      </w:tr>
      <w:tr w:rsidR="00B57597" w:rsidRPr="00CA56AB" w14:paraId="325D8BB5" w14:textId="77777777" w:rsidTr="00B57597">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682EB" w14:textId="77777777" w:rsidR="00B57597" w:rsidRPr="00CA56AB" w:rsidRDefault="00B57597" w:rsidP="00501033">
            <w:pPr>
              <w:keepNext/>
              <w:spacing w:after="0"/>
              <w:rPr>
                <w:rFonts w:cs="Calibri"/>
                <w:bCs/>
                <w:color w:val="000000"/>
                <w:sz w:val="18"/>
                <w:szCs w:val="18"/>
                <w:lang w:eastAsia="cs-CZ"/>
              </w:rPr>
            </w:pPr>
            <w:r w:rsidRPr="00CA56AB">
              <w:rPr>
                <w:color w:val="000000"/>
                <w:sz w:val="18"/>
                <w:szCs w:val="18"/>
              </w:rPr>
              <w:t>Náklady celkem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09413F" w14:textId="77777777" w:rsidR="00B57597" w:rsidRPr="00CA56AB" w:rsidRDefault="00B57597" w:rsidP="00501033">
            <w:pPr>
              <w:keepNext/>
              <w:spacing w:after="0"/>
              <w:jc w:val="right"/>
              <w:rPr>
                <w:rFonts w:eastAsia="Calibri" w:cs="Calibri"/>
                <w:color w:val="000000"/>
                <w:sz w:val="18"/>
                <w:szCs w:val="18"/>
              </w:rPr>
            </w:pPr>
            <w:r w:rsidRPr="00CA56AB">
              <w:rPr>
                <w:color w:val="000000"/>
                <w:sz w:val="18"/>
                <w:szCs w:val="18"/>
              </w:rPr>
              <w:t>16,14%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718D97E" w14:textId="77777777" w:rsidR="00B57597" w:rsidRPr="00CA56AB" w:rsidRDefault="00B57597" w:rsidP="00501033">
            <w:pPr>
              <w:keepNext/>
              <w:spacing w:after="0"/>
              <w:jc w:val="right"/>
              <w:rPr>
                <w:rFonts w:eastAsia="Calibri" w:cs="Calibri"/>
                <w:color w:val="000000"/>
                <w:sz w:val="18"/>
                <w:szCs w:val="18"/>
              </w:rPr>
            </w:pPr>
            <w:r w:rsidRPr="00CA56AB">
              <w:rPr>
                <w:color w:val="000000"/>
                <w:sz w:val="18"/>
                <w:szCs w:val="18"/>
              </w:rPr>
              <w:t>3,95%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F5C74D0" w14:textId="77777777" w:rsidR="00B57597" w:rsidRPr="00CA56AB" w:rsidRDefault="00B57597" w:rsidP="00501033">
            <w:pPr>
              <w:keepNext/>
              <w:spacing w:after="0"/>
              <w:jc w:val="right"/>
              <w:rPr>
                <w:rFonts w:eastAsia="Calibri" w:cs="Calibri"/>
                <w:color w:val="000000"/>
                <w:sz w:val="18"/>
                <w:szCs w:val="18"/>
              </w:rPr>
            </w:pPr>
            <w:r w:rsidRPr="00CA56AB">
              <w:rPr>
                <w:color w:val="000000"/>
                <w:sz w:val="18"/>
                <w:szCs w:val="18"/>
              </w:rPr>
              <w:t>-1,84%</w:t>
            </w:r>
          </w:p>
        </w:tc>
        <w:tc>
          <w:tcPr>
            <w:tcW w:w="1560" w:type="dxa"/>
            <w:tcBorders>
              <w:top w:val="single" w:sz="4" w:space="0" w:color="auto"/>
              <w:left w:val="nil"/>
              <w:bottom w:val="single" w:sz="4" w:space="0" w:color="auto"/>
              <w:right w:val="single" w:sz="4" w:space="0" w:color="auto"/>
            </w:tcBorders>
            <w:vAlign w:val="center"/>
          </w:tcPr>
          <w:p w14:paraId="78FA38AF" w14:textId="77777777" w:rsidR="00B57597" w:rsidRPr="00CA56AB" w:rsidRDefault="00B57597" w:rsidP="00501033">
            <w:pPr>
              <w:keepNext/>
              <w:spacing w:after="0"/>
              <w:jc w:val="right"/>
              <w:rPr>
                <w:rFonts w:eastAsia="Calibri" w:cs="Calibri"/>
                <w:color w:val="000000"/>
                <w:sz w:val="18"/>
                <w:szCs w:val="18"/>
              </w:rPr>
            </w:pPr>
            <w:r w:rsidRPr="00CA56AB">
              <w:rPr>
                <w:color w:val="000000"/>
                <w:sz w:val="18"/>
                <w:szCs w:val="18"/>
              </w:rPr>
              <w:t>8,74%</w:t>
            </w:r>
          </w:p>
        </w:tc>
      </w:tr>
    </w:tbl>
    <w:p w14:paraId="49C57B97" w14:textId="77777777" w:rsidR="00B57597" w:rsidRPr="00CA56AB" w:rsidRDefault="00B57597" w:rsidP="00B57597">
      <w:pPr>
        <w:spacing w:before="40"/>
        <w:rPr>
          <w:rFonts w:cs="Calibri"/>
          <w:color w:val="000000"/>
          <w:sz w:val="20"/>
          <w:szCs w:val="20"/>
          <w:lang w:eastAsia="cs-CZ"/>
        </w:rPr>
      </w:pPr>
      <w:r w:rsidRPr="00CA56AB">
        <w:rPr>
          <w:rFonts w:cs="Calibri"/>
          <w:b/>
          <w:color w:val="000000"/>
          <w:sz w:val="20"/>
          <w:szCs w:val="20"/>
          <w:lang w:eastAsia="cs-CZ"/>
        </w:rPr>
        <w:t xml:space="preserve">Zdroj: </w:t>
      </w:r>
      <w:r w:rsidRPr="00CA56AB">
        <w:rPr>
          <w:rFonts w:cs="Calibri"/>
          <w:color w:val="000000"/>
          <w:sz w:val="20"/>
          <w:szCs w:val="20"/>
          <w:lang w:eastAsia="cs-CZ"/>
        </w:rPr>
        <w:t xml:space="preserve">výpočet </w:t>
      </w:r>
      <w:r>
        <w:rPr>
          <w:rFonts w:cs="Calibri"/>
          <w:color w:val="000000"/>
          <w:sz w:val="20"/>
          <w:szCs w:val="20"/>
          <w:lang w:eastAsia="cs-CZ"/>
        </w:rPr>
        <w:t>vypracoval NKÚ</w:t>
      </w:r>
      <w:r w:rsidRPr="00CA56AB">
        <w:rPr>
          <w:rFonts w:cs="Calibri"/>
          <w:color w:val="000000"/>
          <w:sz w:val="20"/>
          <w:szCs w:val="20"/>
          <w:lang w:eastAsia="cs-CZ"/>
        </w:rPr>
        <w:t>.</w:t>
      </w:r>
    </w:p>
    <w:p w14:paraId="3850FFD8" w14:textId="40F28CB2" w:rsidR="00B57597" w:rsidRDefault="00B57597" w:rsidP="00B57597">
      <w:pPr>
        <w:jc w:val="both"/>
        <w:rPr>
          <w:rFonts w:cs="Calibri"/>
        </w:rPr>
      </w:pPr>
      <w:r w:rsidRPr="00671B48">
        <w:rPr>
          <w:rFonts w:cs="Calibri"/>
        </w:rPr>
        <w:t>K největší relativní změně výnosů ve sledovaném období došlo u OSS (bez MPO) mezi rokem 2016 a 2017, a to k poklesu o 43,54 %. K největší relativní změně nákladů ve sledovaném období došlo u OSS (bez MPO) mezi rokem 2016 a 2017, a to k nárůstu o 16,14 %.</w:t>
      </w:r>
    </w:p>
    <w:p w14:paraId="340C6341" w14:textId="77777777" w:rsidR="00501033" w:rsidRPr="00671B48" w:rsidRDefault="00501033" w:rsidP="00B57597">
      <w:pPr>
        <w:jc w:val="both"/>
        <w:rPr>
          <w:rFonts w:cs="Calibri"/>
        </w:rPr>
      </w:pPr>
    </w:p>
    <w:p w14:paraId="7632918C" w14:textId="77777777" w:rsidR="00B57597" w:rsidRPr="00CA56AB" w:rsidRDefault="00B57597" w:rsidP="00501033">
      <w:pPr>
        <w:pStyle w:val="Nadpis3"/>
        <w:numPr>
          <w:ilvl w:val="0"/>
          <w:numId w:val="0"/>
        </w:numPr>
        <w:spacing w:after="120"/>
        <w:ind w:left="720" w:hanging="720"/>
        <w:contextualSpacing w:val="0"/>
        <w:jc w:val="center"/>
      </w:pPr>
      <w:r w:rsidRPr="00CA56AB">
        <w:t>Oddíl V</w:t>
      </w:r>
      <w:r>
        <w:t>I</w:t>
      </w:r>
      <w:r w:rsidRPr="00CA56AB">
        <w:t xml:space="preserve">. </w:t>
      </w:r>
      <w:r>
        <w:t>Náklady z činnosti, náklady na transfery a výnosy z transferů vykázané MPO</w:t>
      </w:r>
    </w:p>
    <w:p w14:paraId="0D06ADFC" w14:textId="6B680908" w:rsidR="00B57597" w:rsidRPr="00501033" w:rsidRDefault="00B57597" w:rsidP="00B57597">
      <w:pPr>
        <w:pStyle w:val="Titulek1"/>
        <w:rPr>
          <w:sz w:val="24"/>
        </w:rPr>
      </w:pPr>
      <w:bookmarkStart w:id="88" w:name="_Toc520714335"/>
      <w:bookmarkStart w:id="89" w:name="_Toc8984542"/>
      <w:bookmarkStart w:id="90" w:name="_Toc72157466"/>
      <w:r w:rsidRPr="00501033">
        <w:rPr>
          <w:sz w:val="24"/>
        </w:rPr>
        <w:t xml:space="preserve">Tabulka č. </w:t>
      </w:r>
      <w:r w:rsidR="00776507" w:rsidRPr="00501033">
        <w:rPr>
          <w:sz w:val="24"/>
        </w:rPr>
        <w:fldChar w:fldCharType="begin"/>
      </w:r>
      <w:r w:rsidR="00776507" w:rsidRPr="00501033">
        <w:rPr>
          <w:sz w:val="24"/>
        </w:rPr>
        <w:instrText xml:space="preserve"> SEQ Tabulka \* ARABIC </w:instrText>
      </w:r>
      <w:r w:rsidR="00776507" w:rsidRPr="00501033">
        <w:rPr>
          <w:sz w:val="24"/>
        </w:rPr>
        <w:fldChar w:fldCharType="separate"/>
      </w:r>
      <w:r w:rsidR="00E544AA">
        <w:rPr>
          <w:noProof/>
          <w:sz w:val="24"/>
        </w:rPr>
        <w:t>26</w:t>
      </w:r>
      <w:r w:rsidR="00776507" w:rsidRPr="00501033">
        <w:rPr>
          <w:noProof/>
          <w:sz w:val="24"/>
        </w:rPr>
        <w:fldChar w:fldCharType="end"/>
      </w:r>
      <w:r w:rsidRPr="00501033">
        <w:rPr>
          <w:sz w:val="24"/>
        </w:rPr>
        <w:t>: Průměrný přepočtený počet zaměstnanců</w:t>
      </w:r>
      <w:bookmarkEnd w:id="88"/>
      <w:bookmarkEnd w:id="89"/>
      <w:bookmarkEnd w:id="90"/>
    </w:p>
    <w:tbl>
      <w:tblPr>
        <w:tblW w:w="5000" w:type="pct"/>
        <w:tblCellMar>
          <w:left w:w="70" w:type="dxa"/>
          <w:right w:w="70" w:type="dxa"/>
        </w:tblCellMar>
        <w:tblLook w:val="04A0" w:firstRow="1" w:lastRow="0" w:firstColumn="1" w:lastColumn="0" w:noHBand="0" w:noVBand="1"/>
      </w:tblPr>
      <w:tblGrid>
        <w:gridCol w:w="2825"/>
        <w:gridCol w:w="1247"/>
        <w:gridCol w:w="1247"/>
        <w:gridCol w:w="1247"/>
        <w:gridCol w:w="1247"/>
        <w:gridCol w:w="1247"/>
      </w:tblGrid>
      <w:tr w:rsidR="00B57597" w:rsidRPr="00501033" w14:paraId="3158C41A" w14:textId="77777777" w:rsidTr="00B57597">
        <w:trPr>
          <w:trHeight w:val="255"/>
        </w:trPr>
        <w:tc>
          <w:tcPr>
            <w:tcW w:w="1559"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44D556B" w14:textId="77777777" w:rsidR="00B57597" w:rsidRPr="00501033" w:rsidRDefault="00B57597" w:rsidP="00501033">
            <w:pPr>
              <w:spacing w:after="0"/>
              <w:jc w:val="center"/>
              <w:rPr>
                <w:rFonts w:cs="Calibri"/>
                <w:b/>
                <w:bCs/>
                <w:color w:val="000000"/>
                <w:sz w:val="20"/>
                <w:szCs w:val="20"/>
                <w:lang w:eastAsia="cs-CZ"/>
              </w:rPr>
            </w:pPr>
            <w:r w:rsidRPr="00501033">
              <w:rPr>
                <w:rFonts w:cs="Calibri"/>
                <w:b/>
                <w:bCs/>
                <w:color w:val="000000"/>
                <w:sz w:val="20"/>
                <w:szCs w:val="20"/>
              </w:rPr>
              <w:t>Organizace</w:t>
            </w:r>
          </w:p>
        </w:tc>
        <w:tc>
          <w:tcPr>
            <w:tcW w:w="688" w:type="pct"/>
            <w:tcBorders>
              <w:top w:val="single" w:sz="4" w:space="0" w:color="auto"/>
              <w:left w:val="nil"/>
              <w:bottom w:val="single" w:sz="4" w:space="0" w:color="auto"/>
              <w:right w:val="single" w:sz="4" w:space="0" w:color="auto"/>
            </w:tcBorders>
            <w:shd w:val="clear" w:color="auto" w:fill="E5F1FF"/>
            <w:noWrap/>
            <w:vAlign w:val="center"/>
            <w:hideMark/>
          </w:tcPr>
          <w:p w14:paraId="35D2BE8A" w14:textId="77777777" w:rsidR="00B57597" w:rsidRPr="00501033" w:rsidRDefault="00B57597" w:rsidP="00501033">
            <w:pPr>
              <w:spacing w:after="0"/>
              <w:jc w:val="center"/>
              <w:rPr>
                <w:rFonts w:cs="Calibri"/>
                <w:b/>
                <w:bCs/>
                <w:color w:val="000000"/>
                <w:sz w:val="20"/>
                <w:szCs w:val="20"/>
                <w:lang w:eastAsia="cs-CZ"/>
              </w:rPr>
            </w:pPr>
            <w:r w:rsidRPr="00501033">
              <w:rPr>
                <w:rFonts w:cs="Calibri"/>
                <w:b/>
                <w:bCs/>
                <w:color w:val="000000"/>
                <w:sz w:val="20"/>
                <w:szCs w:val="20"/>
              </w:rPr>
              <w:t>2016</w:t>
            </w:r>
          </w:p>
        </w:tc>
        <w:tc>
          <w:tcPr>
            <w:tcW w:w="688" w:type="pct"/>
            <w:tcBorders>
              <w:top w:val="single" w:sz="4" w:space="0" w:color="auto"/>
              <w:left w:val="nil"/>
              <w:bottom w:val="single" w:sz="4" w:space="0" w:color="auto"/>
              <w:right w:val="single" w:sz="4" w:space="0" w:color="auto"/>
            </w:tcBorders>
            <w:shd w:val="clear" w:color="auto" w:fill="E5F1FF"/>
            <w:noWrap/>
            <w:vAlign w:val="center"/>
            <w:hideMark/>
          </w:tcPr>
          <w:p w14:paraId="70E497B6" w14:textId="77777777" w:rsidR="00B57597" w:rsidRPr="00501033" w:rsidRDefault="00B57597" w:rsidP="00501033">
            <w:pPr>
              <w:spacing w:after="0"/>
              <w:jc w:val="center"/>
              <w:rPr>
                <w:rFonts w:cs="Calibri"/>
                <w:b/>
                <w:bCs/>
                <w:color w:val="000000"/>
                <w:sz w:val="20"/>
                <w:szCs w:val="20"/>
                <w:lang w:eastAsia="cs-CZ"/>
              </w:rPr>
            </w:pPr>
            <w:r w:rsidRPr="00501033">
              <w:rPr>
                <w:rFonts w:cs="Calibri"/>
                <w:b/>
                <w:bCs/>
                <w:color w:val="000000"/>
                <w:sz w:val="20"/>
                <w:szCs w:val="20"/>
              </w:rPr>
              <w:t>2017</w:t>
            </w:r>
          </w:p>
        </w:tc>
        <w:tc>
          <w:tcPr>
            <w:tcW w:w="688" w:type="pct"/>
            <w:tcBorders>
              <w:top w:val="single" w:sz="4" w:space="0" w:color="auto"/>
              <w:left w:val="nil"/>
              <w:bottom w:val="single" w:sz="4" w:space="0" w:color="auto"/>
              <w:right w:val="single" w:sz="4" w:space="0" w:color="auto"/>
            </w:tcBorders>
            <w:shd w:val="clear" w:color="auto" w:fill="E5F1FF"/>
            <w:noWrap/>
            <w:vAlign w:val="center"/>
            <w:hideMark/>
          </w:tcPr>
          <w:p w14:paraId="0C9D0A52" w14:textId="77777777" w:rsidR="00B57597" w:rsidRPr="00501033" w:rsidRDefault="00B57597" w:rsidP="00501033">
            <w:pPr>
              <w:spacing w:after="0"/>
              <w:jc w:val="center"/>
              <w:rPr>
                <w:rFonts w:cs="Calibri"/>
                <w:b/>
                <w:bCs/>
                <w:color w:val="000000"/>
                <w:sz w:val="20"/>
                <w:szCs w:val="20"/>
                <w:lang w:eastAsia="cs-CZ"/>
              </w:rPr>
            </w:pPr>
            <w:r w:rsidRPr="00501033">
              <w:rPr>
                <w:rFonts w:cs="Calibri"/>
                <w:b/>
                <w:bCs/>
                <w:color w:val="000000"/>
                <w:sz w:val="20"/>
                <w:szCs w:val="20"/>
              </w:rPr>
              <w:t>2018</w:t>
            </w:r>
          </w:p>
        </w:tc>
        <w:tc>
          <w:tcPr>
            <w:tcW w:w="688" w:type="pct"/>
            <w:tcBorders>
              <w:top w:val="single" w:sz="4" w:space="0" w:color="auto"/>
              <w:left w:val="nil"/>
              <w:bottom w:val="single" w:sz="4" w:space="0" w:color="auto"/>
              <w:right w:val="single" w:sz="4" w:space="0" w:color="auto"/>
            </w:tcBorders>
            <w:shd w:val="clear" w:color="auto" w:fill="E5F1FF"/>
            <w:noWrap/>
            <w:vAlign w:val="center"/>
            <w:hideMark/>
          </w:tcPr>
          <w:p w14:paraId="7FA1A029" w14:textId="77777777" w:rsidR="00B57597" w:rsidRPr="00501033" w:rsidRDefault="00B57597" w:rsidP="00501033">
            <w:pPr>
              <w:spacing w:after="0"/>
              <w:jc w:val="center"/>
              <w:rPr>
                <w:rFonts w:cs="Calibri"/>
                <w:b/>
                <w:bCs/>
                <w:color w:val="000000"/>
                <w:sz w:val="20"/>
                <w:szCs w:val="20"/>
                <w:lang w:eastAsia="cs-CZ"/>
              </w:rPr>
            </w:pPr>
            <w:r w:rsidRPr="00501033">
              <w:rPr>
                <w:rFonts w:cs="Calibri"/>
                <w:b/>
                <w:bCs/>
                <w:color w:val="000000"/>
                <w:sz w:val="20"/>
                <w:szCs w:val="20"/>
              </w:rPr>
              <w:t>2019</w:t>
            </w:r>
          </w:p>
        </w:tc>
        <w:tc>
          <w:tcPr>
            <w:tcW w:w="688" w:type="pct"/>
            <w:tcBorders>
              <w:top w:val="single" w:sz="4" w:space="0" w:color="auto"/>
              <w:left w:val="nil"/>
              <w:bottom w:val="single" w:sz="4" w:space="0" w:color="auto"/>
              <w:right w:val="single" w:sz="4" w:space="0" w:color="auto"/>
            </w:tcBorders>
            <w:shd w:val="clear" w:color="auto" w:fill="E5F1FF"/>
            <w:vAlign w:val="center"/>
          </w:tcPr>
          <w:p w14:paraId="768A43D2" w14:textId="77777777" w:rsidR="00B57597" w:rsidRPr="00501033" w:rsidRDefault="00B57597" w:rsidP="00501033">
            <w:pPr>
              <w:spacing w:after="0"/>
              <w:jc w:val="center"/>
              <w:rPr>
                <w:rFonts w:cs="Calibri"/>
                <w:b/>
                <w:bCs/>
                <w:color w:val="000000"/>
                <w:sz w:val="20"/>
                <w:szCs w:val="20"/>
                <w:lang w:eastAsia="cs-CZ"/>
              </w:rPr>
            </w:pPr>
            <w:r w:rsidRPr="00501033">
              <w:rPr>
                <w:rFonts w:cs="Calibri"/>
                <w:b/>
                <w:bCs/>
                <w:color w:val="000000"/>
                <w:sz w:val="20"/>
                <w:szCs w:val="20"/>
              </w:rPr>
              <w:t>2020</w:t>
            </w:r>
          </w:p>
        </w:tc>
      </w:tr>
      <w:tr w:rsidR="00B57597" w:rsidRPr="00501033" w14:paraId="285378CA" w14:textId="77777777" w:rsidTr="00B57597">
        <w:trPr>
          <w:trHeight w:val="255"/>
        </w:trPr>
        <w:tc>
          <w:tcPr>
            <w:tcW w:w="1559" w:type="pct"/>
            <w:tcBorders>
              <w:top w:val="nil"/>
              <w:left w:val="single" w:sz="4" w:space="0" w:color="auto"/>
              <w:bottom w:val="single" w:sz="4" w:space="0" w:color="auto"/>
              <w:right w:val="single" w:sz="4" w:space="0" w:color="auto"/>
            </w:tcBorders>
            <w:shd w:val="clear" w:color="auto" w:fill="auto"/>
            <w:noWrap/>
            <w:vAlign w:val="center"/>
          </w:tcPr>
          <w:p w14:paraId="3567FA2E" w14:textId="77777777" w:rsidR="00B57597" w:rsidRPr="00501033" w:rsidRDefault="00B57597" w:rsidP="00501033">
            <w:pPr>
              <w:spacing w:after="0"/>
              <w:rPr>
                <w:rFonts w:eastAsia="Calibri" w:cs="Calibri"/>
                <w:color w:val="000000"/>
                <w:sz w:val="20"/>
                <w:szCs w:val="20"/>
              </w:rPr>
            </w:pPr>
            <w:r w:rsidRPr="00501033">
              <w:rPr>
                <w:rFonts w:cs="Calibri"/>
                <w:color w:val="000000"/>
                <w:sz w:val="20"/>
                <w:szCs w:val="20"/>
              </w:rPr>
              <w:t>MPO</w:t>
            </w:r>
          </w:p>
        </w:tc>
        <w:tc>
          <w:tcPr>
            <w:tcW w:w="688" w:type="pct"/>
            <w:tcBorders>
              <w:top w:val="nil"/>
              <w:left w:val="nil"/>
              <w:bottom w:val="single" w:sz="4" w:space="0" w:color="auto"/>
              <w:right w:val="single" w:sz="4" w:space="0" w:color="auto"/>
            </w:tcBorders>
            <w:shd w:val="clear" w:color="auto" w:fill="auto"/>
            <w:noWrap/>
            <w:vAlign w:val="center"/>
          </w:tcPr>
          <w:p w14:paraId="70F57D4A" w14:textId="77777777" w:rsidR="00B57597" w:rsidRPr="00501033" w:rsidRDefault="00B57597" w:rsidP="00501033">
            <w:pPr>
              <w:spacing w:after="0"/>
              <w:ind w:right="182"/>
              <w:jc w:val="right"/>
              <w:rPr>
                <w:rFonts w:eastAsia="Calibri" w:cs="Calibri"/>
                <w:color w:val="000000"/>
                <w:sz w:val="20"/>
                <w:szCs w:val="20"/>
              </w:rPr>
            </w:pPr>
            <w:r w:rsidRPr="00501033">
              <w:rPr>
                <w:rFonts w:cs="Calibri"/>
                <w:color w:val="000000"/>
                <w:sz w:val="20"/>
                <w:szCs w:val="20"/>
              </w:rPr>
              <w:t>775</w:t>
            </w:r>
          </w:p>
        </w:tc>
        <w:tc>
          <w:tcPr>
            <w:tcW w:w="688" w:type="pct"/>
            <w:tcBorders>
              <w:top w:val="nil"/>
              <w:left w:val="nil"/>
              <w:bottom w:val="single" w:sz="4" w:space="0" w:color="auto"/>
              <w:right w:val="single" w:sz="4" w:space="0" w:color="auto"/>
            </w:tcBorders>
            <w:shd w:val="clear" w:color="auto" w:fill="auto"/>
            <w:noWrap/>
            <w:vAlign w:val="center"/>
          </w:tcPr>
          <w:p w14:paraId="14D48422" w14:textId="77777777" w:rsidR="00B57597" w:rsidRPr="00501033" w:rsidRDefault="00B57597" w:rsidP="00501033">
            <w:pPr>
              <w:spacing w:after="0"/>
              <w:ind w:right="182"/>
              <w:jc w:val="right"/>
              <w:rPr>
                <w:rFonts w:eastAsia="Calibri" w:cs="Calibri"/>
                <w:color w:val="000000"/>
                <w:sz w:val="20"/>
                <w:szCs w:val="20"/>
              </w:rPr>
            </w:pPr>
            <w:r w:rsidRPr="00501033">
              <w:rPr>
                <w:rFonts w:cs="Calibri"/>
                <w:color w:val="000000"/>
                <w:sz w:val="20"/>
                <w:szCs w:val="20"/>
              </w:rPr>
              <w:t>800</w:t>
            </w:r>
          </w:p>
        </w:tc>
        <w:tc>
          <w:tcPr>
            <w:tcW w:w="688" w:type="pct"/>
            <w:tcBorders>
              <w:top w:val="nil"/>
              <w:left w:val="nil"/>
              <w:bottom w:val="single" w:sz="4" w:space="0" w:color="auto"/>
              <w:right w:val="single" w:sz="4" w:space="0" w:color="auto"/>
            </w:tcBorders>
            <w:shd w:val="clear" w:color="auto" w:fill="auto"/>
            <w:noWrap/>
            <w:vAlign w:val="center"/>
          </w:tcPr>
          <w:p w14:paraId="37DDD6C2" w14:textId="77777777" w:rsidR="00B57597" w:rsidRPr="00501033" w:rsidRDefault="00B57597" w:rsidP="00501033">
            <w:pPr>
              <w:spacing w:after="0"/>
              <w:ind w:right="182"/>
              <w:jc w:val="right"/>
              <w:rPr>
                <w:rFonts w:eastAsia="Calibri" w:cs="Calibri"/>
                <w:color w:val="000000"/>
                <w:sz w:val="20"/>
                <w:szCs w:val="20"/>
              </w:rPr>
            </w:pPr>
            <w:r w:rsidRPr="00501033">
              <w:rPr>
                <w:rFonts w:cs="Calibri"/>
                <w:color w:val="000000"/>
                <w:sz w:val="20"/>
                <w:szCs w:val="20"/>
              </w:rPr>
              <w:t>849</w:t>
            </w:r>
          </w:p>
        </w:tc>
        <w:tc>
          <w:tcPr>
            <w:tcW w:w="688" w:type="pct"/>
            <w:tcBorders>
              <w:top w:val="nil"/>
              <w:left w:val="nil"/>
              <w:bottom w:val="single" w:sz="4" w:space="0" w:color="auto"/>
              <w:right w:val="single" w:sz="4" w:space="0" w:color="auto"/>
            </w:tcBorders>
            <w:shd w:val="clear" w:color="auto" w:fill="auto"/>
            <w:noWrap/>
            <w:vAlign w:val="center"/>
          </w:tcPr>
          <w:p w14:paraId="5484921D" w14:textId="77777777" w:rsidR="00B57597" w:rsidRPr="00501033" w:rsidRDefault="00B57597" w:rsidP="00501033">
            <w:pPr>
              <w:spacing w:after="0"/>
              <w:ind w:right="182"/>
              <w:jc w:val="right"/>
              <w:rPr>
                <w:rFonts w:eastAsia="Calibri" w:cs="Calibri"/>
                <w:color w:val="000000"/>
                <w:sz w:val="20"/>
                <w:szCs w:val="20"/>
              </w:rPr>
            </w:pPr>
            <w:r w:rsidRPr="00501033">
              <w:rPr>
                <w:rFonts w:cs="Calibri"/>
                <w:color w:val="000000"/>
                <w:sz w:val="20"/>
                <w:szCs w:val="20"/>
              </w:rPr>
              <w:t>851</w:t>
            </w:r>
          </w:p>
        </w:tc>
        <w:tc>
          <w:tcPr>
            <w:tcW w:w="688" w:type="pct"/>
            <w:tcBorders>
              <w:top w:val="nil"/>
              <w:left w:val="nil"/>
              <w:bottom w:val="single" w:sz="4" w:space="0" w:color="auto"/>
              <w:right w:val="single" w:sz="4" w:space="0" w:color="auto"/>
            </w:tcBorders>
            <w:vAlign w:val="center"/>
          </w:tcPr>
          <w:p w14:paraId="7CE640DE" w14:textId="77777777" w:rsidR="00B57597" w:rsidRPr="00501033" w:rsidRDefault="00B57597" w:rsidP="00501033">
            <w:pPr>
              <w:spacing w:after="0"/>
              <w:ind w:right="182"/>
              <w:jc w:val="right"/>
              <w:rPr>
                <w:rFonts w:eastAsia="Calibri" w:cs="Calibri"/>
                <w:color w:val="000000"/>
                <w:sz w:val="20"/>
                <w:szCs w:val="20"/>
              </w:rPr>
            </w:pPr>
            <w:r w:rsidRPr="00501033">
              <w:rPr>
                <w:rFonts w:cs="Calibri"/>
                <w:color w:val="000000"/>
                <w:sz w:val="20"/>
                <w:szCs w:val="20"/>
              </w:rPr>
              <w:t>850</w:t>
            </w:r>
          </w:p>
        </w:tc>
      </w:tr>
      <w:tr w:rsidR="00B57597" w:rsidRPr="00501033" w14:paraId="0719F8DA" w14:textId="77777777" w:rsidTr="00B57597">
        <w:trPr>
          <w:trHeight w:val="255"/>
        </w:trPr>
        <w:tc>
          <w:tcPr>
            <w:tcW w:w="1559" w:type="pct"/>
            <w:tcBorders>
              <w:top w:val="nil"/>
              <w:left w:val="single" w:sz="4" w:space="0" w:color="auto"/>
              <w:bottom w:val="single" w:sz="4" w:space="0" w:color="auto"/>
              <w:right w:val="single" w:sz="4" w:space="0" w:color="auto"/>
            </w:tcBorders>
            <w:shd w:val="clear" w:color="auto" w:fill="auto"/>
            <w:noWrap/>
            <w:vAlign w:val="center"/>
          </w:tcPr>
          <w:p w14:paraId="254DA5D7" w14:textId="77777777" w:rsidR="00B57597" w:rsidRPr="00501033" w:rsidRDefault="00B57597" w:rsidP="00501033">
            <w:pPr>
              <w:spacing w:after="0"/>
              <w:rPr>
                <w:rFonts w:eastAsia="Calibri" w:cs="Calibri"/>
                <w:color w:val="000000"/>
                <w:sz w:val="20"/>
                <w:szCs w:val="20"/>
              </w:rPr>
            </w:pPr>
            <w:r w:rsidRPr="00501033">
              <w:rPr>
                <w:rFonts w:cs="Calibri"/>
                <w:color w:val="000000"/>
                <w:sz w:val="20"/>
                <w:szCs w:val="20"/>
              </w:rPr>
              <w:t>OSS vč. MPO</w:t>
            </w:r>
          </w:p>
        </w:tc>
        <w:tc>
          <w:tcPr>
            <w:tcW w:w="688" w:type="pct"/>
            <w:tcBorders>
              <w:top w:val="nil"/>
              <w:left w:val="nil"/>
              <w:bottom w:val="single" w:sz="4" w:space="0" w:color="auto"/>
              <w:right w:val="single" w:sz="4" w:space="0" w:color="auto"/>
            </w:tcBorders>
            <w:shd w:val="clear" w:color="auto" w:fill="auto"/>
            <w:noWrap/>
            <w:vAlign w:val="center"/>
          </w:tcPr>
          <w:p w14:paraId="2EDFF562" w14:textId="77777777" w:rsidR="00B57597" w:rsidRPr="00501033" w:rsidRDefault="00B57597" w:rsidP="00501033">
            <w:pPr>
              <w:spacing w:after="0"/>
              <w:ind w:right="182"/>
              <w:jc w:val="right"/>
              <w:rPr>
                <w:rFonts w:eastAsia="Calibri" w:cs="Calibri"/>
                <w:color w:val="000000"/>
                <w:sz w:val="20"/>
                <w:szCs w:val="20"/>
              </w:rPr>
            </w:pPr>
            <w:r w:rsidRPr="00501033">
              <w:rPr>
                <w:rFonts w:cs="Calibri"/>
                <w:color w:val="000000"/>
                <w:sz w:val="20"/>
                <w:szCs w:val="20"/>
              </w:rPr>
              <w:t>1 534</w:t>
            </w:r>
          </w:p>
        </w:tc>
        <w:tc>
          <w:tcPr>
            <w:tcW w:w="688" w:type="pct"/>
            <w:tcBorders>
              <w:top w:val="nil"/>
              <w:left w:val="nil"/>
              <w:bottom w:val="single" w:sz="4" w:space="0" w:color="auto"/>
              <w:right w:val="single" w:sz="4" w:space="0" w:color="auto"/>
            </w:tcBorders>
            <w:shd w:val="clear" w:color="auto" w:fill="auto"/>
            <w:noWrap/>
            <w:vAlign w:val="center"/>
          </w:tcPr>
          <w:p w14:paraId="60D586FE" w14:textId="77777777" w:rsidR="00B57597" w:rsidRPr="00501033" w:rsidRDefault="00B57597" w:rsidP="00501033">
            <w:pPr>
              <w:spacing w:after="0"/>
              <w:ind w:right="182"/>
              <w:jc w:val="right"/>
              <w:rPr>
                <w:rFonts w:eastAsia="Calibri" w:cs="Calibri"/>
                <w:color w:val="000000"/>
                <w:sz w:val="20"/>
                <w:szCs w:val="20"/>
              </w:rPr>
            </w:pPr>
            <w:r w:rsidRPr="00501033">
              <w:rPr>
                <w:rFonts w:cs="Calibri"/>
                <w:color w:val="000000"/>
                <w:sz w:val="20"/>
                <w:szCs w:val="20"/>
              </w:rPr>
              <w:t>1 610</w:t>
            </w:r>
          </w:p>
        </w:tc>
        <w:tc>
          <w:tcPr>
            <w:tcW w:w="688" w:type="pct"/>
            <w:tcBorders>
              <w:top w:val="nil"/>
              <w:left w:val="nil"/>
              <w:bottom w:val="single" w:sz="4" w:space="0" w:color="auto"/>
              <w:right w:val="single" w:sz="4" w:space="0" w:color="auto"/>
            </w:tcBorders>
            <w:shd w:val="clear" w:color="auto" w:fill="auto"/>
            <w:noWrap/>
            <w:vAlign w:val="center"/>
          </w:tcPr>
          <w:p w14:paraId="7AA8A8AB" w14:textId="77777777" w:rsidR="00B57597" w:rsidRPr="00501033" w:rsidRDefault="00B57597" w:rsidP="00501033">
            <w:pPr>
              <w:spacing w:after="0"/>
              <w:ind w:right="182"/>
              <w:jc w:val="right"/>
              <w:rPr>
                <w:rFonts w:eastAsia="Calibri" w:cs="Calibri"/>
                <w:color w:val="000000"/>
                <w:sz w:val="20"/>
                <w:szCs w:val="20"/>
              </w:rPr>
            </w:pPr>
            <w:r w:rsidRPr="00501033">
              <w:rPr>
                <w:rFonts w:cs="Calibri"/>
                <w:color w:val="000000"/>
                <w:sz w:val="20"/>
                <w:szCs w:val="20"/>
              </w:rPr>
              <w:t>1 631</w:t>
            </w:r>
          </w:p>
        </w:tc>
        <w:tc>
          <w:tcPr>
            <w:tcW w:w="688" w:type="pct"/>
            <w:tcBorders>
              <w:top w:val="nil"/>
              <w:left w:val="nil"/>
              <w:bottom w:val="single" w:sz="4" w:space="0" w:color="auto"/>
              <w:right w:val="single" w:sz="4" w:space="0" w:color="auto"/>
            </w:tcBorders>
            <w:shd w:val="clear" w:color="auto" w:fill="auto"/>
            <w:noWrap/>
            <w:vAlign w:val="center"/>
          </w:tcPr>
          <w:p w14:paraId="335BA5A1" w14:textId="77777777" w:rsidR="00B57597" w:rsidRPr="00501033" w:rsidRDefault="00B57597" w:rsidP="00501033">
            <w:pPr>
              <w:spacing w:after="0"/>
              <w:ind w:right="182"/>
              <w:jc w:val="right"/>
              <w:rPr>
                <w:rFonts w:eastAsia="Calibri" w:cs="Calibri"/>
                <w:color w:val="000000"/>
                <w:sz w:val="20"/>
                <w:szCs w:val="20"/>
              </w:rPr>
            </w:pPr>
            <w:r w:rsidRPr="00501033">
              <w:rPr>
                <w:rFonts w:cs="Calibri"/>
                <w:color w:val="000000"/>
                <w:sz w:val="20"/>
                <w:szCs w:val="20"/>
              </w:rPr>
              <w:t>1 618</w:t>
            </w:r>
          </w:p>
        </w:tc>
        <w:tc>
          <w:tcPr>
            <w:tcW w:w="688" w:type="pct"/>
            <w:tcBorders>
              <w:top w:val="nil"/>
              <w:left w:val="nil"/>
              <w:bottom w:val="single" w:sz="4" w:space="0" w:color="auto"/>
              <w:right w:val="single" w:sz="4" w:space="0" w:color="auto"/>
            </w:tcBorders>
            <w:vAlign w:val="center"/>
          </w:tcPr>
          <w:p w14:paraId="5DEDCE8E" w14:textId="77777777" w:rsidR="00B57597" w:rsidRPr="00501033" w:rsidRDefault="00B57597" w:rsidP="00501033">
            <w:pPr>
              <w:spacing w:after="0"/>
              <w:ind w:right="182"/>
              <w:jc w:val="right"/>
              <w:rPr>
                <w:rFonts w:eastAsia="Calibri" w:cs="Calibri"/>
                <w:color w:val="000000"/>
                <w:sz w:val="20"/>
                <w:szCs w:val="20"/>
              </w:rPr>
            </w:pPr>
            <w:r w:rsidRPr="00501033">
              <w:rPr>
                <w:rFonts w:cs="Calibri"/>
                <w:color w:val="000000"/>
                <w:sz w:val="20"/>
                <w:szCs w:val="20"/>
              </w:rPr>
              <w:t>1 625</w:t>
            </w:r>
          </w:p>
        </w:tc>
      </w:tr>
      <w:tr w:rsidR="00B57597" w:rsidRPr="00501033" w14:paraId="33624217" w14:textId="77777777" w:rsidTr="00B57597">
        <w:trPr>
          <w:trHeight w:val="255"/>
        </w:trPr>
        <w:tc>
          <w:tcPr>
            <w:tcW w:w="1559" w:type="pct"/>
            <w:tcBorders>
              <w:top w:val="nil"/>
              <w:left w:val="single" w:sz="4" w:space="0" w:color="auto"/>
              <w:bottom w:val="single" w:sz="4" w:space="0" w:color="auto"/>
              <w:right w:val="single" w:sz="4" w:space="0" w:color="auto"/>
            </w:tcBorders>
            <w:shd w:val="clear" w:color="auto" w:fill="auto"/>
            <w:noWrap/>
            <w:vAlign w:val="center"/>
          </w:tcPr>
          <w:p w14:paraId="0A6C7FD1" w14:textId="77777777" w:rsidR="00B57597" w:rsidRPr="00501033" w:rsidRDefault="00B57597" w:rsidP="00501033">
            <w:pPr>
              <w:spacing w:after="0"/>
              <w:rPr>
                <w:rFonts w:eastAsia="Calibri" w:cs="Calibri"/>
                <w:color w:val="000000"/>
                <w:sz w:val="20"/>
                <w:szCs w:val="20"/>
              </w:rPr>
            </w:pPr>
            <w:r w:rsidRPr="00501033">
              <w:rPr>
                <w:rFonts w:cs="Calibri"/>
                <w:color w:val="000000"/>
                <w:sz w:val="20"/>
                <w:szCs w:val="20"/>
              </w:rPr>
              <w:t>OSS bez MPO</w:t>
            </w:r>
          </w:p>
        </w:tc>
        <w:tc>
          <w:tcPr>
            <w:tcW w:w="688" w:type="pct"/>
            <w:tcBorders>
              <w:top w:val="nil"/>
              <w:left w:val="nil"/>
              <w:bottom w:val="single" w:sz="4" w:space="0" w:color="auto"/>
              <w:right w:val="single" w:sz="4" w:space="0" w:color="auto"/>
            </w:tcBorders>
            <w:shd w:val="clear" w:color="auto" w:fill="auto"/>
            <w:noWrap/>
            <w:vAlign w:val="center"/>
          </w:tcPr>
          <w:p w14:paraId="7F702660" w14:textId="77777777" w:rsidR="00B57597" w:rsidRPr="00501033" w:rsidRDefault="00B57597" w:rsidP="00501033">
            <w:pPr>
              <w:spacing w:after="0"/>
              <w:ind w:right="182"/>
              <w:jc w:val="right"/>
              <w:rPr>
                <w:rFonts w:eastAsia="Calibri" w:cs="Calibri"/>
                <w:color w:val="000000"/>
                <w:sz w:val="20"/>
                <w:szCs w:val="20"/>
              </w:rPr>
            </w:pPr>
            <w:r w:rsidRPr="00501033">
              <w:rPr>
                <w:rFonts w:cs="Calibri"/>
                <w:color w:val="000000"/>
                <w:sz w:val="20"/>
                <w:szCs w:val="20"/>
              </w:rPr>
              <w:t>759</w:t>
            </w:r>
          </w:p>
        </w:tc>
        <w:tc>
          <w:tcPr>
            <w:tcW w:w="688" w:type="pct"/>
            <w:tcBorders>
              <w:top w:val="nil"/>
              <w:left w:val="nil"/>
              <w:bottom w:val="single" w:sz="4" w:space="0" w:color="auto"/>
              <w:right w:val="single" w:sz="4" w:space="0" w:color="auto"/>
            </w:tcBorders>
            <w:shd w:val="clear" w:color="auto" w:fill="auto"/>
            <w:noWrap/>
            <w:vAlign w:val="center"/>
          </w:tcPr>
          <w:p w14:paraId="0C7D2C96" w14:textId="77777777" w:rsidR="00B57597" w:rsidRPr="00501033" w:rsidRDefault="00B57597" w:rsidP="00501033">
            <w:pPr>
              <w:spacing w:after="0"/>
              <w:ind w:right="182"/>
              <w:jc w:val="right"/>
              <w:rPr>
                <w:rFonts w:eastAsia="Calibri" w:cs="Calibri"/>
                <w:color w:val="000000"/>
                <w:sz w:val="20"/>
                <w:szCs w:val="20"/>
              </w:rPr>
            </w:pPr>
            <w:r w:rsidRPr="00501033">
              <w:rPr>
                <w:rFonts w:cs="Calibri"/>
                <w:color w:val="000000"/>
                <w:sz w:val="20"/>
                <w:szCs w:val="20"/>
              </w:rPr>
              <w:t>810</w:t>
            </w:r>
          </w:p>
        </w:tc>
        <w:tc>
          <w:tcPr>
            <w:tcW w:w="688" w:type="pct"/>
            <w:tcBorders>
              <w:top w:val="nil"/>
              <w:left w:val="nil"/>
              <w:bottom w:val="single" w:sz="4" w:space="0" w:color="auto"/>
              <w:right w:val="single" w:sz="4" w:space="0" w:color="auto"/>
            </w:tcBorders>
            <w:shd w:val="clear" w:color="auto" w:fill="auto"/>
            <w:noWrap/>
            <w:vAlign w:val="center"/>
          </w:tcPr>
          <w:p w14:paraId="392425C6" w14:textId="77777777" w:rsidR="00B57597" w:rsidRPr="00501033" w:rsidRDefault="00B57597" w:rsidP="00501033">
            <w:pPr>
              <w:spacing w:after="0"/>
              <w:ind w:right="182"/>
              <w:jc w:val="right"/>
              <w:rPr>
                <w:rFonts w:eastAsia="Calibri" w:cs="Calibri"/>
                <w:color w:val="000000"/>
                <w:sz w:val="20"/>
                <w:szCs w:val="20"/>
              </w:rPr>
            </w:pPr>
            <w:r w:rsidRPr="00501033">
              <w:rPr>
                <w:rFonts w:cs="Calibri"/>
                <w:color w:val="000000"/>
                <w:sz w:val="20"/>
                <w:szCs w:val="20"/>
              </w:rPr>
              <w:t>782</w:t>
            </w:r>
          </w:p>
        </w:tc>
        <w:tc>
          <w:tcPr>
            <w:tcW w:w="688" w:type="pct"/>
            <w:tcBorders>
              <w:top w:val="nil"/>
              <w:left w:val="nil"/>
              <w:bottom w:val="single" w:sz="4" w:space="0" w:color="auto"/>
              <w:right w:val="single" w:sz="4" w:space="0" w:color="auto"/>
            </w:tcBorders>
            <w:shd w:val="clear" w:color="auto" w:fill="auto"/>
            <w:noWrap/>
            <w:vAlign w:val="center"/>
          </w:tcPr>
          <w:p w14:paraId="3AC9E802" w14:textId="77777777" w:rsidR="00B57597" w:rsidRPr="00501033" w:rsidRDefault="00B57597" w:rsidP="00501033">
            <w:pPr>
              <w:spacing w:after="0"/>
              <w:ind w:right="182"/>
              <w:jc w:val="right"/>
              <w:rPr>
                <w:rFonts w:eastAsia="Calibri" w:cs="Calibri"/>
                <w:color w:val="000000"/>
                <w:sz w:val="20"/>
                <w:szCs w:val="20"/>
              </w:rPr>
            </w:pPr>
            <w:r w:rsidRPr="00501033">
              <w:rPr>
                <w:rFonts w:cs="Calibri"/>
                <w:color w:val="000000"/>
                <w:sz w:val="20"/>
                <w:szCs w:val="20"/>
              </w:rPr>
              <w:t>767</w:t>
            </w:r>
          </w:p>
        </w:tc>
        <w:tc>
          <w:tcPr>
            <w:tcW w:w="688" w:type="pct"/>
            <w:tcBorders>
              <w:top w:val="nil"/>
              <w:left w:val="nil"/>
              <w:bottom w:val="single" w:sz="4" w:space="0" w:color="auto"/>
              <w:right w:val="single" w:sz="4" w:space="0" w:color="auto"/>
            </w:tcBorders>
            <w:vAlign w:val="center"/>
          </w:tcPr>
          <w:p w14:paraId="6ED66EB7" w14:textId="77777777" w:rsidR="00B57597" w:rsidRPr="00501033" w:rsidRDefault="00B57597" w:rsidP="00501033">
            <w:pPr>
              <w:spacing w:after="0"/>
              <w:ind w:right="182"/>
              <w:jc w:val="right"/>
              <w:rPr>
                <w:rFonts w:eastAsia="Calibri" w:cs="Calibri"/>
                <w:color w:val="000000"/>
                <w:sz w:val="20"/>
                <w:szCs w:val="20"/>
              </w:rPr>
            </w:pPr>
            <w:r w:rsidRPr="00501033">
              <w:rPr>
                <w:rFonts w:cs="Calibri"/>
                <w:color w:val="000000"/>
                <w:sz w:val="20"/>
                <w:szCs w:val="20"/>
              </w:rPr>
              <w:t>775</w:t>
            </w:r>
          </w:p>
        </w:tc>
      </w:tr>
      <w:tr w:rsidR="00B57597" w:rsidRPr="00501033" w14:paraId="439FC16A" w14:textId="77777777" w:rsidTr="00B57597">
        <w:trPr>
          <w:trHeight w:val="255"/>
        </w:trPr>
        <w:tc>
          <w:tcPr>
            <w:tcW w:w="1559" w:type="pct"/>
            <w:tcBorders>
              <w:top w:val="nil"/>
              <w:left w:val="single" w:sz="4" w:space="0" w:color="auto"/>
              <w:bottom w:val="single" w:sz="4" w:space="0" w:color="auto"/>
              <w:right w:val="single" w:sz="4" w:space="0" w:color="auto"/>
            </w:tcBorders>
            <w:shd w:val="clear" w:color="auto" w:fill="auto"/>
            <w:noWrap/>
            <w:vAlign w:val="center"/>
          </w:tcPr>
          <w:p w14:paraId="5B8E3D80" w14:textId="77777777" w:rsidR="00B57597" w:rsidRPr="00501033" w:rsidRDefault="00B57597" w:rsidP="00501033">
            <w:pPr>
              <w:spacing w:after="0"/>
              <w:rPr>
                <w:rFonts w:eastAsia="Calibri" w:cs="Calibri"/>
                <w:color w:val="000000"/>
                <w:sz w:val="20"/>
                <w:szCs w:val="20"/>
              </w:rPr>
            </w:pPr>
            <w:r w:rsidRPr="00501033">
              <w:rPr>
                <w:rFonts w:cs="Calibri"/>
                <w:color w:val="000000"/>
                <w:sz w:val="20"/>
                <w:szCs w:val="20"/>
              </w:rPr>
              <w:t>PO</w:t>
            </w:r>
          </w:p>
        </w:tc>
        <w:tc>
          <w:tcPr>
            <w:tcW w:w="688" w:type="pct"/>
            <w:tcBorders>
              <w:top w:val="nil"/>
              <w:left w:val="nil"/>
              <w:bottom w:val="single" w:sz="4" w:space="0" w:color="auto"/>
              <w:right w:val="single" w:sz="4" w:space="0" w:color="auto"/>
            </w:tcBorders>
            <w:shd w:val="clear" w:color="auto" w:fill="auto"/>
            <w:noWrap/>
            <w:vAlign w:val="center"/>
          </w:tcPr>
          <w:p w14:paraId="7ADA4CD6" w14:textId="77777777" w:rsidR="00B57597" w:rsidRPr="00501033" w:rsidRDefault="00B57597" w:rsidP="00501033">
            <w:pPr>
              <w:spacing w:after="0"/>
              <w:ind w:right="182"/>
              <w:jc w:val="right"/>
              <w:rPr>
                <w:rFonts w:eastAsia="Calibri" w:cs="Calibri"/>
                <w:color w:val="000000"/>
                <w:sz w:val="20"/>
                <w:szCs w:val="20"/>
              </w:rPr>
            </w:pPr>
            <w:r w:rsidRPr="00501033">
              <w:rPr>
                <w:rFonts w:cs="Calibri"/>
                <w:color w:val="000000"/>
                <w:sz w:val="20"/>
                <w:szCs w:val="20"/>
              </w:rPr>
              <w:t>395</w:t>
            </w:r>
          </w:p>
        </w:tc>
        <w:tc>
          <w:tcPr>
            <w:tcW w:w="688" w:type="pct"/>
            <w:tcBorders>
              <w:top w:val="nil"/>
              <w:left w:val="nil"/>
              <w:bottom w:val="single" w:sz="4" w:space="0" w:color="auto"/>
              <w:right w:val="single" w:sz="4" w:space="0" w:color="auto"/>
            </w:tcBorders>
            <w:shd w:val="clear" w:color="auto" w:fill="auto"/>
            <w:noWrap/>
            <w:vAlign w:val="center"/>
          </w:tcPr>
          <w:p w14:paraId="23C298D1" w14:textId="77777777" w:rsidR="00B57597" w:rsidRPr="00501033" w:rsidRDefault="00B57597" w:rsidP="00501033">
            <w:pPr>
              <w:spacing w:after="0"/>
              <w:ind w:right="182"/>
              <w:jc w:val="right"/>
              <w:rPr>
                <w:rFonts w:eastAsia="Calibri" w:cs="Calibri"/>
                <w:color w:val="000000"/>
                <w:sz w:val="20"/>
                <w:szCs w:val="20"/>
              </w:rPr>
            </w:pPr>
            <w:r w:rsidRPr="00501033">
              <w:rPr>
                <w:rFonts w:cs="Calibri"/>
                <w:color w:val="000000"/>
                <w:sz w:val="20"/>
                <w:szCs w:val="20"/>
              </w:rPr>
              <w:t>459</w:t>
            </w:r>
          </w:p>
        </w:tc>
        <w:tc>
          <w:tcPr>
            <w:tcW w:w="688" w:type="pct"/>
            <w:tcBorders>
              <w:top w:val="nil"/>
              <w:left w:val="nil"/>
              <w:bottom w:val="single" w:sz="4" w:space="0" w:color="auto"/>
              <w:right w:val="single" w:sz="4" w:space="0" w:color="auto"/>
            </w:tcBorders>
            <w:shd w:val="clear" w:color="auto" w:fill="auto"/>
            <w:noWrap/>
            <w:vAlign w:val="center"/>
          </w:tcPr>
          <w:p w14:paraId="7B6D5321" w14:textId="77777777" w:rsidR="00B57597" w:rsidRPr="00501033" w:rsidRDefault="00B57597" w:rsidP="00501033">
            <w:pPr>
              <w:spacing w:after="0"/>
              <w:ind w:right="182"/>
              <w:jc w:val="right"/>
              <w:rPr>
                <w:rFonts w:eastAsia="Calibri" w:cs="Calibri"/>
                <w:color w:val="000000"/>
                <w:sz w:val="20"/>
                <w:szCs w:val="20"/>
              </w:rPr>
            </w:pPr>
            <w:r w:rsidRPr="00501033">
              <w:rPr>
                <w:rFonts w:cs="Calibri"/>
                <w:color w:val="000000"/>
                <w:sz w:val="20"/>
                <w:szCs w:val="20"/>
              </w:rPr>
              <w:t>478</w:t>
            </w:r>
          </w:p>
        </w:tc>
        <w:tc>
          <w:tcPr>
            <w:tcW w:w="688" w:type="pct"/>
            <w:tcBorders>
              <w:top w:val="nil"/>
              <w:left w:val="nil"/>
              <w:bottom w:val="single" w:sz="4" w:space="0" w:color="auto"/>
              <w:right w:val="single" w:sz="4" w:space="0" w:color="auto"/>
            </w:tcBorders>
            <w:shd w:val="clear" w:color="auto" w:fill="auto"/>
            <w:noWrap/>
            <w:vAlign w:val="center"/>
          </w:tcPr>
          <w:p w14:paraId="2C1B0496" w14:textId="77777777" w:rsidR="00B57597" w:rsidRPr="00501033" w:rsidRDefault="00B57597" w:rsidP="00501033">
            <w:pPr>
              <w:spacing w:after="0"/>
              <w:ind w:right="182"/>
              <w:jc w:val="right"/>
              <w:rPr>
                <w:rFonts w:eastAsia="Calibri" w:cs="Calibri"/>
                <w:color w:val="000000"/>
                <w:sz w:val="20"/>
                <w:szCs w:val="20"/>
              </w:rPr>
            </w:pPr>
            <w:r w:rsidRPr="00501033">
              <w:rPr>
                <w:rFonts w:cs="Calibri"/>
                <w:color w:val="000000"/>
                <w:sz w:val="20"/>
                <w:szCs w:val="20"/>
              </w:rPr>
              <w:t>480</w:t>
            </w:r>
          </w:p>
        </w:tc>
        <w:tc>
          <w:tcPr>
            <w:tcW w:w="688" w:type="pct"/>
            <w:tcBorders>
              <w:top w:val="nil"/>
              <w:left w:val="nil"/>
              <w:bottom w:val="single" w:sz="4" w:space="0" w:color="auto"/>
              <w:right w:val="single" w:sz="4" w:space="0" w:color="auto"/>
            </w:tcBorders>
            <w:vAlign w:val="center"/>
          </w:tcPr>
          <w:p w14:paraId="238BC20A" w14:textId="77777777" w:rsidR="00B57597" w:rsidRPr="00501033" w:rsidRDefault="00B57597" w:rsidP="00501033">
            <w:pPr>
              <w:spacing w:after="0"/>
              <w:ind w:right="182"/>
              <w:jc w:val="right"/>
              <w:rPr>
                <w:rFonts w:eastAsia="Calibri" w:cs="Calibri"/>
                <w:color w:val="000000"/>
                <w:sz w:val="20"/>
                <w:szCs w:val="20"/>
              </w:rPr>
            </w:pPr>
            <w:r w:rsidRPr="00501033">
              <w:rPr>
                <w:rFonts w:cs="Calibri"/>
                <w:color w:val="000000"/>
                <w:sz w:val="20"/>
                <w:szCs w:val="20"/>
              </w:rPr>
              <w:t>477</w:t>
            </w:r>
          </w:p>
        </w:tc>
      </w:tr>
      <w:tr w:rsidR="00B57597" w:rsidRPr="00501033" w14:paraId="2C0D12DE" w14:textId="77777777" w:rsidTr="00B57597">
        <w:trPr>
          <w:trHeight w:val="255"/>
        </w:trPr>
        <w:tc>
          <w:tcPr>
            <w:tcW w:w="1559" w:type="pct"/>
            <w:tcBorders>
              <w:top w:val="nil"/>
              <w:left w:val="single" w:sz="4" w:space="0" w:color="auto"/>
              <w:bottom w:val="single" w:sz="4" w:space="0" w:color="auto"/>
              <w:right w:val="single" w:sz="4" w:space="0" w:color="auto"/>
            </w:tcBorders>
            <w:shd w:val="clear" w:color="auto" w:fill="F2C6C9"/>
            <w:noWrap/>
            <w:vAlign w:val="center"/>
          </w:tcPr>
          <w:p w14:paraId="62CBD9CB" w14:textId="77777777" w:rsidR="00B57597" w:rsidRPr="00501033" w:rsidRDefault="00B57597" w:rsidP="00501033">
            <w:pPr>
              <w:spacing w:after="0"/>
              <w:rPr>
                <w:rFonts w:eastAsia="Calibri" w:cs="Calibri"/>
                <w:b/>
                <w:bCs/>
                <w:color w:val="000000"/>
                <w:sz w:val="20"/>
                <w:szCs w:val="20"/>
              </w:rPr>
            </w:pPr>
            <w:r w:rsidRPr="00501033">
              <w:rPr>
                <w:rFonts w:cs="Calibri"/>
                <w:b/>
                <w:bCs/>
                <w:color w:val="000000"/>
                <w:sz w:val="20"/>
                <w:szCs w:val="20"/>
              </w:rPr>
              <w:t>Celkem za kapitolu 322</w:t>
            </w:r>
          </w:p>
        </w:tc>
        <w:tc>
          <w:tcPr>
            <w:tcW w:w="688" w:type="pct"/>
            <w:tcBorders>
              <w:top w:val="nil"/>
              <w:left w:val="nil"/>
              <w:bottom w:val="single" w:sz="4" w:space="0" w:color="auto"/>
              <w:right w:val="single" w:sz="4" w:space="0" w:color="auto"/>
            </w:tcBorders>
            <w:shd w:val="clear" w:color="auto" w:fill="F2C6C9"/>
            <w:noWrap/>
            <w:vAlign w:val="center"/>
          </w:tcPr>
          <w:p w14:paraId="416F3C3A" w14:textId="77777777" w:rsidR="00B57597" w:rsidRPr="00501033" w:rsidRDefault="00B57597" w:rsidP="00501033">
            <w:pPr>
              <w:spacing w:after="0"/>
              <w:ind w:right="182"/>
              <w:jc w:val="right"/>
              <w:rPr>
                <w:rFonts w:eastAsia="Calibri" w:cs="Calibri"/>
                <w:b/>
                <w:bCs/>
                <w:color w:val="000000"/>
                <w:sz w:val="20"/>
                <w:szCs w:val="20"/>
              </w:rPr>
            </w:pPr>
            <w:r w:rsidRPr="00501033">
              <w:rPr>
                <w:rFonts w:cs="Calibri"/>
                <w:b/>
                <w:bCs/>
                <w:color w:val="000000"/>
                <w:sz w:val="20"/>
                <w:szCs w:val="20"/>
              </w:rPr>
              <w:t>1 929</w:t>
            </w:r>
          </w:p>
        </w:tc>
        <w:tc>
          <w:tcPr>
            <w:tcW w:w="688" w:type="pct"/>
            <w:tcBorders>
              <w:top w:val="nil"/>
              <w:left w:val="nil"/>
              <w:bottom w:val="single" w:sz="4" w:space="0" w:color="auto"/>
              <w:right w:val="single" w:sz="4" w:space="0" w:color="auto"/>
            </w:tcBorders>
            <w:shd w:val="clear" w:color="auto" w:fill="F2C6C9"/>
            <w:noWrap/>
            <w:vAlign w:val="center"/>
          </w:tcPr>
          <w:p w14:paraId="63666418" w14:textId="77777777" w:rsidR="00B57597" w:rsidRPr="00501033" w:rsidRDefault="00B57597" w:rsidP="00501033">
            <w:pPr>
              <w:spacing w:after="0"/>
              <w:ind w:right="182"/>
              <w:jc w:val="right"/>
              <w:rPr>
                <w:rFonts w:eastAsia="Calibri" w:cs="Calibri"/>
                <w:b/>
                <w:bCs/>
                <w:color w:val="000000"/>
                <w:sz w:val="20"/>
                <w:szCs w:val="20"/>
              </w:rPr>
            </w:pPr>
            <w:r w:rsidRPr="00501033">
              <w:rPr>
                <w:rFonts w:cs="Calibri"/>
                <w:b/>
                <w:bCs/>
                <w:color w:val="000000"/>
                <w:sz w:val="20"/>
                <w:szCs w:val="20"/>
              </w:rPr>
              <w:t>2 069</w:t>
            </w:r>
          </w:p>
        </w:tc>
        <w:tc>
          <w:tcPr>
            <w:tcW w:w="688" w:type="pct"/>
            <w:tcBorders>
              <w:top w:val="nil"/>
              <w:left w:val="nil"/>
              <w:bottom w:val="single" w:sz="4" w:space="0" w:color="auto"/>
              <w:right w:val="single" w:sz="4" w:space="0" w:color="auto"/>
            </w:tcBorders>
            <w:shd w:val="clear" w:color="auto" w:fill="F2C6C9"/>
            <w:noWrap/>
            <w:vAlign w:val="center"/>
          </w:tcPr>
          <w:p w14:paraId="6A1AE38E" w14:textId="77777777" w:rsidR="00B57597" w:rsidRPr="00501033" w:rsidRDefault="00B57597" w:rsidP="00501033">
            <w:pPr>
              <w:spacing w:after="0"/>
              <w:ind w:right="182"/>
              <w:jc w:val="right"/>
              <w:rPr>
                <w:rFonts w:eastAsia="Calibri" w:cs="Calibri"/>
                <w:b/>
                <w:bCs/>
                <w:color w:val="000000"/>
                <w:sz w:val="20"/>
                <w:szCs w:val="20"/>
              </w:rPr>
            </w:pPr>
            <w:r w:rsidRPr="00501033">
              <w:rPr>
                <w:rFonts w:cs="Calibri"/>
                <w:b/>
                <w:bCs/>
                <w:color w:val="000000"/>
                <w:sz w:val="20"/>
                <w:szCs w:val="20"/>
              </w:rPr>
              <w:t>2 109</w:t>
            </w:r>
          </w:p>
        </w:tc>
        <w:tc>
          <w:tcPr>
            <w:tcW w:w="688" w:type="pct"/>
            <w:tcBorders>
              <w:top w:val="nil"/>
              <w:left w:val="nil"/>
              <w:bottom w:val="single" w:sz="4" w:space="0" w:color="auto"/>
              <w:right w:val="single" w:sz="4" w:space="0" w:color="auto"/>
            </w:tcBorders>
            <w:shd w:val="clear" w:color="auto" w:fill="F2C6C9"/>
            <w:noWrap/>
            <w:vAlign w:val="center"/>
          </w:tcPr>
          <w:p w14:paraId="24989B93" w14:textId="77777777" w:rsidR="00B57597" w:rsidRPr="00501033" w:rsidRDefault="00B57597" w:rsidP="00501033">
            <w:pPr>
              <w:spacing w:after="0"/>
              <w:ind w:right="182"/>
              <w:jc w:val="right"/>
              <w:rPr>
                <w:rFonts w:eastAsia="Calibri" w:cs="Calibri"/>
                <w:b/>
                <w:bCs/>
                <w:color w:val="000000"/>
                <w:sz w:val="20"/>
                <w:szCs w:val="20"/>
              </w:rPr>
            </w:pPr>
            <w:r w:rsidRPr="00501033">
              <w:rPr>
                <w:rFonts w:cs="Calibri"/>
                <w:b/>
                <w:bCs/>
                <w:color w:val="000000"/>
                <w:sz w:val="20"/>
                <w:szCs w:val="20"/>
              </w:rPr>
              <w:t>2 098</w:t>
            </w:r>
          </w:p>
        </w:tc>
        <w:tc>
          <w:tcPr>
            <w:tcW w:w="688" w:type="pct"/>
            <w:tcBorders>
              <w:top w:val="nil"/>
              <w:left w:val="nil"/>
              <w:bottom w:val="single" w:sz="4" w:space="0" w:color="auto"/>
              <w:right w:val="single" w:sz="4" w:space="0" w:color="auto"/>
            </w:tcBorders>
            <w:shd w:val="clear" w:color="auto" w:fill="F2C6C9"/>
            <w:vAlign w:val="center"/>
          </w:tcPr>
          <w:p w14:paraId="0D9519D7" w14:textId="77777777" w:rsidR="00B57597" w:rsidRPr="00501033" w:rsidRDefault="00B57597" w:rsidP="00501033">
            <w:pPr>
              <w:spacing w:after="0"/>
              <w:ind w:right="182"/>
              <w:jc w:val="right"/>
              <w:rPr>
                <w:rFonts w:eastAsia="Calibri" w:cs="Calibri"/>
                <w:b/>
                <w:bCs/>
                <w:color w:val="000000"/>
                <w:sz w:val="20"/>
                <w:szCs w:val="20"/>
              </w:rPr>
            </w:pPr>
            <w:r w:rsidRPr="00501033">
              <w:rPr>
                <w:rFonts w:cs="Calibri"/>
                <w:b/>
                <w:bCs/>
                <w:color w:val="000000"/>
                <w:sz w:val="20"/>
                <w:szCs w:val="20"/>
              </w:rPr>
              <w:t>2 102</w:t>
            </w:r>
          </w:p>
        </w:tc>
      </w:tr>
    </w:tbl>
    <w:p w14:paraId="0C998640" w14:textId="77777777" w:rsidR="00B57597" w:rsidRPr="009B5FA2" w:rsidRDefault="00B57597" w:rsidP="00B57597">
      <w:pPr>
        <w:spacing w:before="40"/>
        <w:rPr>
          <w:rFonts w:cs="Calibri"/>
          <w:color w:val="000000"/>
          <w:sz w:val="20"/>
          <w:szCs w:val="20"/>
          <w:lang w:eastAsia="cs-CZ"/>
        </w:rPr>
      </w:pPr>
      <w:r w:rsidRPr="009B5FA2">
        <w:rPr>
          <w:rFonts w:cs="Calibri"/>
          <w:b/>
          <w:color w:val="000000"/>
          <w:sz w:val="20"/>
          <w:szCs w:val="20"/>
          <w:lang w:eastAsia="cs-CZ"/>
        </w:rPr>
        <w:t xml:space="preserve">Zdroj: </w:t>
      </w:r>
      <w:r w:rsidRPr="009B5FA2">
        <w:rPr>
          <w:rFonts w:cs="Calibri"/>
          <w:color w:val="000000"/>
          <w:sz w:val="20"/>
          <w:szCs w:val="20"/>
          <w:lang w:eastAsia="cs-CZ"/>
        </w:rPr>
        <w:t xml:space="preserve">IISSP – finanční výkaz ZAM 1-04 U </w:t>
      </w:r>
      <w:r w:rsidRPr="00CF36BE">
        <w:rPr>
          <w:rFonts w:cs="Calibri"/>
          <w:i/>
          <w:color w:val="000000"/>
          <w:sz w:val="20"/>
          <w:szCs w:val="20"/>
          <w:lang w:eastAsia="cs-CZ"/>
        </w:rPr>
        <w:t>Výkaz o zaměstnanosti regulované vládou</w:t>
      </w:r>
      <w:r w:rsidRPr="009B5FA2">
        <w:rPr>
          <w:rFonts w:cs="Calibri"/>
          <w:color w:val="000000"/>
          <w:sz w:val="20"/>
          <w:szCs w:val="20"/>
          <w:lang w:eastAsia="cs-CZ"/>
        </w:rPr>
        <w:t>.</w:t>
      </w:r>
    </w:p>
    <w:p w14:paraId="766E17FB" w14:textId="18464F31" w:rsidR="00B57597" w:rsidRPr="009B5FA2" w:rsidRDefault="00B57597" w:rsidP="00B57597">
      <w:pPr>
        <w:spacing w:before="40"/>
        <w:jc w:val="both"/>
        <w:rPr>
          <w:rFonts w:cs="Calibri"/>
          <w:color w:val="000000"/>
          <w:szCs w:val="20"/>
          <w:lang w:eastAsia="cs-CZ"/>
        </w:rPr>
      </w:pPr>
      <w:r w:rsidRPr="009B5FA2">
        <w:rPr>
          <w:rFonts w:cs="Calibri"/>
          <w:color w:val="000000"/>
          <w:szCs w:val="20"/>
          <w:lang w:eastAsia="cs-CZ"/>
        </w:rPr>
        <w:t xml:space="preserve">Počet zaměstnanců ve sledovaném období vykazuje rostoucí tendenci. Z uvedených údajů vyplývá, že většina zaměstnanců kapitoly 322 nejsou zaměstnanci ústředního orgánu MPO. </w:t>
      </w:r>
      <w:r w:rsidRPr="009B5FA2">
        <w:rPr>
          <w:rFonts w:cs="Calibri"/>
          <w:color w:val="000000"/>
          <w:szCs w:val="20"/>
          <w:lang w:eastAsia="cs-CZ"/>
        </w:rPr>
        <w:lastRenderedPageBreak/>
        <w:t xml:space="preserve">V roce 2020 </w:t>
      </w:r>
      <w:r w:rsidR="00D96F31">
        <w:rPr>
          <w:rFonts w:cs="Calibri"/>
          <w:color w:val="000000"/>
          <w:szCs w:val="20"/>
          <w:lang w:eastAsia="cs-CZ"/>
        </w:rPr>
        <w:t>podíl</w:t>
      </w:r>
      <w:r w:rsidRPr="009B5FA2">
        <w:rPr>
          <w:rFonts w:cs="Calibri"/>
          <w:color w:val="000000"/>
          <w:szCs w:val="20"/>
          <w:lang w:eastAsia="cs-CZ"/>
        </w:rPr>
        <w:t xml:space="preserve"> zaměstnanců MPO </w:t>
      </w:r>
      <w:r w:rsidR="00D96F31">
        <w:rPr>
          <w:rFonts w:cs="Calibri"/>
          <w:color w:val="000000"/>
          <w:szCs w:val="20"/>
          <w:lang w:eastAsia="cs-CZ"/>
        </w:rPr>
        <w:t xml:space="preserve">dosahuje </w:t>
      </w:r>
      <w:r w:rsidRPr="009B5FA2">
        <w:rPr>
          <w:rFonts w:cs="Calibri"/>
          <w:color w:val="000000"/>
          <w:szCs w:val="20"/>
          <w:lang w:eastAsia="cs-CZ"/>
        </w:rPr>
        <w:t>40,44 % všech zaměstnanců kapitoly 322. Výrazný růst počtu zaměstnanců je patrný zejména u</w:t>
      </w:r>
      <w:r>
        <w:rPr>
          <w:rFonts w:cs="Calibri"/>
          <w:color w:val="000000"/>
          <w:szCs w:val="20"/>
          <w:lang w:eastAsia="cs-CZ"/>
        </w:rPr>
        <w:t xml:space="preserve"> PO, u kterých mezi léty 2016–</w:t>
      </w:r>
      <w:r w:rsidRPr="009B5FA2">
        <w:rPr>
          <w:rFonts w:cs="Calibri"/>
          <w:color w:val="000000"/>
          <w:szCs w:val="20"/>
          <w:lang w:eastAsia="cs-CZ"/>
        </w:rPr>
        <w:t>2020 došlo k nárůstu počtu zaměstnanců o 20,76 %. U ústředního orgánu MPO došlo ve sledovaném období k nárůstu o</w:t>
      </w:r>
      <w:r w:rsidR="00501033">
        <w:rPr>
          <w:rFonts w:cs="Calibri"/>
          <w:color w:val="000000"/>
          <w:szCs w:val="20"/>
          <w:lang w:eastAsia="cs-CZ"/>
        </w:rPr>
        <w:t> </w:t>
      </w:r>
      <w:r w:rsidRPr="009B5FA2">
        <w:rPr>
          <w:rFonts w:cs="Calibri"/>
          <w:color w:val="000000"/>
          <w:szCs w:val="20"/>
          <w:lang w:eastAsia="cs-CZ"/>
        </w:rPr>
        <w:t>9,68 %.</w:t>
      </w:r>
    </w:p>
    <w:p w14:paraId="6D90B031" w14:textId="1CA002AB" w:rsidR="00B57597" w:rsidRPr="002A445D" w:rsidRDefault="00B57597" w:rsidP="002A445D">
      <w:pPr>
        <w:pStyle w:val="Titulek1"/>
        <w:rPr>
          <w:sz w:val="24"/>
        </w:rPr>
      </w:pPr>
      <w:bookmarkStart w:id="91" w:name="_Toc520714336"/>
      <w:bookmarkStart w:id="92" w:name="_Toc8984543"/>
      <w:bookmarkStart w:id="93" w:name="_Toc72157467"/>
      <w:r w:rsidRPr="002A445D">
        <w:rPr>
          <w:sz w:val="24"/>
        </w:rPr>
        <w:t xml:space="preserve">Tabulka č. </w:t>
      </w:r>
      <w:r w:rsidR="00776507" w:rsidRPr="002A445D">
        <w:rPr>
          <w:sz w:val="24"/>
        </w:rPr>
        <w:fldChar w:fldCharType="begin"/>
      </w:r>
      <w:r w:rsidR="00776507" w:rsidRPr="002A445D">
        <w:rPr>
          <w:sz w:val="24"/>
        </w:rPr>
        <w:instrText xml:space="preserve"> SEQ Tabulka \* ARABIC </w:instrText>
      </w:r>
      <w:r w:rsidR="00776507" w:rsidRPr="002A445D">
        <w:rPr>
          <w:sz w:val="24"/>
        </w:rPr>
        <w:fldChar w:fldCharType="separate"/>
      </w:r>
      <w:r w:rsidR="00E544AA">
        <w:rPr>
          <w:noProof/>
          <w:sz w:val="24"/>
        </w:rPr>
        <w:t>27</w:t>
      </w:r>
      <w:r w:rsidR="00776507" w:rsidRPr="002A445D">
        <w:rPr>
          <w:noProof/>
          <w:sz w:val="24"/>
        </w:rPr>
        <w:fldChar w:fldCharType="end"/>
      </w:r>
      <w:r w:rsidRPr="002A445D">
        <w:rPr>
          <w:sz w:val="24"/>
        </w:rPr>
        <w:t>: Náklady na 1 zaměstnance v rozpočtové kapitole 3</w:t>
      </w:r>
      <w:bookmarkEnd w:id="91"/>
      <w:bookmarkEnd w:id="92"/>
      <w:r w:rsidRPr="002A445D">
        <w:rPr>
          <w:sz w:val="24"/>
        </w:rPr>
        <w:t>22</w:t>
      </w:r>
      <w:bookmarkEnd w:id="93"/>
    </w:p>
    <w:tbl>
      <w:tblPr>
        <w:tblW w:w="9055" w:type="dxa"/>
        <w:tblLayout w:type="fixed"/>
        <w:tblCellMar>
          <w:left w:w="70" w:type="dxa"/>
          <w:right w:w="70" w:type="dxa"/>
        </w:tblCellMar>
        <w:tblLook w:val="04A0" w:firstRow="1" w:lastRow="0" w:firstColumn="1" w:lastColumn="0" w:noHBand="0" w:noVBand="1"/>
      </w:tblPr>
      <w:tblGrid>
        <w:gridCol w:w="562"/>
        <w:gridCol w:w="1560"/>
        <w:gridCol w:w="1386"/>
        <w:gridCol w:w="1387"/>
        <w:gridCol w:w="1386"/>
        <w:gridCol w:w="1387"/>
        <w:gridCol w:w="1387"/>
      </w:tblGrid>
      <w:tr w:rsidR="00B57597" w:rsidRPr="002A445D" w14:paraId="444E90F1" w14:textId="77777777" w:rsidTr="00B5759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E5F1FF"/>
            <w:vAlign w:val="center"/>
          </w:tcPr>
          <w:p w14:paraId="62C42C6D" w14:textId="77777777" w:rsidR="00B57597" w:rsidRPr="002A445D" w:rsidRDefault="00B57597" w:rsidP="002A445D">
            <w:pPr>
              <w:keepNext/>
              <w:spacing w:after="0"/>
              <w:jc w:val="center"/>
              <w:rPr>
                <w:rFonts w:cs="Calibri"/>
                <w:b/>
                <w:bCs/>
                <w:color w:val="000000"/>
                <w:sz w:val="16"/>
                <w:szCs w:val="16"/>
                <w:lang w:eastAsia="cs-CZ"/>
              </w:rPr>
            </w:pPr>
            <w:proofErr w:type="spellStart"/>
            <w:r w:rsidRPr="002A445D">
              <w:rPr>
                <w:rFonts w:cs="Calibri"/>
                <w:b/>
                <w:bCs/>
                <w:color w:val="000000"/>
                <w:sz w:val="16"/>
                <w:szCs w:val="16"/>
              </w:rPr>
              <w:t>Org</w:t>
            </w:r>
            <w:proofErr w:type="spellEnd"/>
            <w:r w:rsidRPr="002A445D">
              <w:rPr>
                <w:rFonts w:cs="Calibri"/>
                <w:b/>
                <w:bCs/>
                <w:color w:val="000000"/>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1AE94FB4" w14:textId="77777777" w:rsidR="00B57597" w:rsidRPr="002A445D" w:rsidRDefault="00B57597" w:rsidP="002A445D">
            <w:pPr>
              <w:keepNext/>
              <w:spacing w:after="0"/>
              <w:jc w:val="center"/>
              <w:rPr>
                <w:rFonts w:cs="Calibri"/>
                <w:b/>
                <w:bCs/>
                <w:color w:val="000000"/>
                <w:sz w:val="16"/>
                <w:szCs w:val="16"/>
                <w:lang w:eastAsia="cs-CZ"/>
              </w:rPr>
            </w:pPr>
            <w:r w:rsidRPr="002A445D">
              <w:rPr>
                <w:rFonts w:cs="Calibri"/>
                <w:b/>
                <w:bCs/>
                <w:color w:val="000000"/>
                <w:sz w:val="16"/>
                <w:szCs w:val="16"/>
              </w:rPr>
              <w:t>Ukazatel</w:t>
            </w:r>
          </w:p>
        </w:tc>
        <w:tc>
          <w:tcPr>
            <w:tcW w:w="1386" w:type="dxa"/>
            <w:tcBorders>
              <w:top w:val="single" w:sz="4" w:space="0" w:color="auto"/>
              <w:left w:val="nil"/>
              <w:bottom w:val="single" w:sz="4" w:space="0" w:color="auto"/>
              <w:right w:val="single" w:sz="4" w:space="0" w:color="auto"/>
            </w:tcBorders>
            <w:shd w:val="clear" w:color="auto" w:fill="E5F1FF"/>
            <w:noWrap/>
            <w:vAlign w:val="center"/>
            <w:hideMark/>
          </w:tcPr>
          <w:p w14:paraId="03A37AC5" w14:textId="77777777" w:rsidR="00B57597" w:rsidRPr="002A445D" w:rsidRDefault="00B57597" w:rsidP="002A445D">
            <w:pPr>
              <w:keepNext/>
              <w:spacing w:after="0"/>
              <w:jc w:val="center"/>
              <w:rPr>
                <w:rFonts w:cs="Calibri"/>
                <w:b/>
                <w:bCs/>
                <w:color w:val="000000"/>
                <w:sz w:val="16"/>
                <w:szCs w:val="16"/>
                <w:lang w:eastAsia="cs-CZ"/>
              </w:rPr>
            </w:pPr>
            <w:r w:rsidRPr="002A445D">
              <w:rPr>
                <w:rFonts w:cs="Calibri"/>
                <w:b/>
                <w:bCs/>
                <w:color w:val="000000"/>
                <w:sz w:val="16"/>
                <w:szCs w:val="16"/>
                <w:lang w:eastAsia="cs-CZ"/>
              </w:rPr>
              <w:t>2016</w:t>
            </w:r>
          </w:p>
        </w:tc>
        <w:tc>
          <w:tcPr>
            <w:tcW w:w="1387" w:type="dxa"/>
            <w:tcBorders>
              <w:top w:val="single" w:sz="4" w:space="0" w:color="auto"/>
              <w:left w:val="nil"/>
              <w:bottom w:val="single" w:sz="4" w:space="0" w:color="auto"/>
              <w:right w:val="single" w:sz="4" w:space="0" w:color="auto"/>
            </w:tcBorders>
            <w:shd w:val="clear" w:color="auto" w:fill="E5F1FF"/>
            <w:noWrap/>
            <w:vAlign w:val="center"/>
            <w:hideMark/>
          </w:tcPr>
          <w:p w14:paraId="31A98AE5" w14:textId="77777777" w:rsidR="00B57597" w:rsidRPr="002A445D" w:rsidRDefault="00B57597" w:rsidP="002A445D">
            <w:pPr>
              <w:keepNext/>
              <w:spacing w:after="0"/>
              <w:jc w:val="center"/>
              <w:rPr>
                <w:rFonts w:cs="Calibri"/>
                <w:b/>
                <w:bCs/>
                <w:color w:val="000000"/>
                <w:sz w:val="16"/>
                <w:szCs w:val="16"/>
                <w:lang w:eastAsia="cs-CZ"/>
              </w:rPr>
            </w:pPr>
            <w:r w:rsidRPr="002A445D">
              <w:rPr>
                <w:rFonts w:cs="Calibri"/>
                <w:b/>
                <w:bCs/>
                <w:color w:val="000000"/>
                <w:sz w:val="16"/>
                <w:szCs w:val="16"/>
                <w:lang w:eastAsia="cs-CZ"/>
              </w:rPr>
              <w:t>2017</w:t>
            </w:r>
          </w:p>
        </w:tc>
        <w:tc>
          <w:tcPr>
            <w:tcW w:w="1386" w:type="dxa"/>
            <w:tcBorders>
              <w:top w:val="single" w:sz="4" w:space="0" w:color="auto"/>
              <w:left w:val="nil"/>
              <w:bottom w:val="single" w:sz="4" w:space="0" w:color="auto"/>
              <w:right w:val="single" w:sz="4" w:space="0" w:color="auto"/>
            </w:tcBorders>
            <w:shd w:val="clear" w:color="auto" w:fill="E5F1FF"/>
            <w:noWrap/>
            <w:vAlign w:val="center"/>
            <w:hideMark/>
          </w:tcPr>
          <w:p w14:paraId="504236ED" w14:textId="77777777" w:rsidR="00B57597" w:rsidRPr="002A445D" w:rsidRDefault="00B57597" w:rsidP="002A445D">
            <w:pPr>
              <w:keepNext/>
              <w:spacing w:after="0"/>
              <w:jc w:val="center"/>
              <w:rPr>
                <w:rFonts w:cs="Calibri"/>
                <w:b/>
                <w:bCs/>
                <w:color w:val="000000"/>
                <w:sz w:val="16"/>
                <w:szCs w:val="16"/>
                <w:lang w:eastAsia="cs-CZ"/>
              </w:rPr>
            </w:pPr>
            <w:r w:rsidRPr="002A445D">
              <w:rPr>
                <w:rFonts w:cs="Calibri"/>
                <w:b/>
                <w:bCs/>
                <w:color w:val="000000"/>
                <w:sz w:val="16"/>
                <w:szCs w:val="16"/>
                <w:lang w:eastAsia="cs-CZ"/>
              </w:rPr>
              <w:t>2018</w:t>
            </w:r>
          </w:p>
        </w:tc>
        <w:tc>
          <w:tcPr>
            <w:tcW w:w="1387" w:type="dxa"/>
            <w:tcBorders>
              <w:top w:val="single" w:sz="4" w:space="0" w:color="auto"/>
              <w:left w:val="nil"/>
              <w:bottom w:val="single" w:sz="4" w:space="0" w:color="auto"/>
              <w:right w:val="single" w:sz="4" w:space="0" w:color="auto"/>
            </w:tcBorders>
            <w:shd w:val="clear" w:color="auto" w:fill="E5F1FF"/>
            <w:noWrap/>
            <w:vAlign w:val="center"/>
            <w:hideMark/>
          </w:tcPr>
          <w:p w14:paraId="174203BB" w14:textId="77777777" w:rsidR="00B57597" w:rsidRPr="002A445D" w:rsidRDefault="00B57597" w:rsidP="002A445D">
            <w:pPr>
              <w:keepNext/>
              <w:spacing w:after="0"/>
              <w:jc w:val="center"/>
              <w:rPr>
                <w:rFonts w:cs="Calibri"/>
                <w:b/>
                <w:bCs/>
                <w:color w:val="000000"/>
                <w:sz w:val="16"/>
                <w:szCs w:val="16"/>
                <w:lang w:eastAsia="cs-CZ"/>
              </w:rPr>
            </w:pPr>
            <w:r w:rsidRPr="002A445D">
              <w:rPr>
                <w:rFonts w:cs="Calibri"/>
                <w:b/>
                <w:bCs/>
                <w:color w:val="000000"/>
                <w:sz w:val="16"/>
                <w:szCs w:val="16"/>
                <w:lang w:eastAsia="cs-CZ"/>
              </w:rPr>
              <w:t>2019</w:t>
            </w:r>
          </w:p>
        </w:tc>
        <w:tc>
          <w:tcPr>
            <w:tcW w:w="1387" w:type="dxa"/>
            <w:tcBorders>
              <w:top w:val="single" w:sz="4" w:space="0" w:color="auto"/>
              <w:left w:val="nil"/>
              <w:bottom w:val="single" w:sz="4" w:space="0" w:color="auto"/>
              <w:right w:val="single" w:sz="4" w:space="0" w:color="auto"/>
            </w:tcBorders>
            <w:shd w:val="clear" w:color="auto" w:fill="E5F1FF"/>
            <w:vAlign w:val="center"/>
          </w:tcPr>
          <w:p w14:paraId="5A95EA68" w14:textId="77777777" w:rsidR="00B57597" w:rsidRPr="002A445D" w:rsidRDefault="00B57597" w:rsidP="002A445D">
            <w:pPr>
              <w:keepNext/>
              <w:spacing w:after="0"/>
              <w:jc w:val="center"/>
              <w:rPr>
                <w:rFonts w:cs="Calibri"/>
                <w:b/>
                <w:bCs/>
                <w:color w:val="000000"/>
                <w:sz w:val="16"/>
                <w:szCs w:val="16"/>
                <w:lang w:eastAsia="cs-CZ"/>
              </w:rPr>
            </w:pPr>
            <w:r w:rsidRPr="002A445D">
              <w:rPr>
                <w:rFonts w:cs="Calibri"/>
                <w:b/>
                <w:bCs/>
                <w:color w:val="000000"/>
                <w:sz w:val="16"/>
                <w:szCs w:val="16"/>
              </w:rPr>
              <w:t>2020</w:t>
            </w:r>
          </w:p>
        </w:tc>
      </w:tr>
      <w:tr w:rsidR="00B57597" w:rsidRPr="002A445D" w14:paraId="1F80E91E" w14:textId="77777777" w:rsidTr="00B57597">
        <w:trPr>
          <w:trHeight w:val="255"/>
        </w:trPr>
        <w:tc>
          <w:tcPr>
            <w:tcW w:w="562" w:type="dxa"/>
            <w:vMerge w:val="restart"/>
            <w:tcBorders>
              <w:top w:val="nil"/>
              <w:left w:val="single" w:sz="4" w:space="0" w:color="auto"/>
              <w:right w:val="single" w:sz="4" w:space="0" w:color="auto"/>
            </w:tcBorders>
            <w:vAlign w:val="center"/>
          </w:tcPr>
          <w:p w14:paraId="151B3C61" w14:textId="77777777" w:rsidR="00B57597" w:rsidRPr="002A445D" w:rsidRDefault="00B57597" w:rsidP="002A445D">
            <w:pPr>
              <w:keepNext/>
              <w:spacing w:after="0"/>
              <w:jc w:val="center"/>
              <w:rPr>
                <w:rFonts w:eastAsia="Calibri" w:cs="Calibri"/>
                <w:color w:val="000000"/>
                <w:sz w:val="16"/>
                <w:szCs w:val="16"/>
              </w:rPr>
            </w:pPr>
            <w:r w:rsidRPr="002A445D">
              <w:rPr>
                <w:rFonts w:cs="Calibri"/>
                <w:color w:val="000000"/>
                <w:sz w:val="16"/>
                <w:szCs w:val="16"/>
              </w:rPr>
              <w:t>OSS vč. MPO</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0E80C03" w14:textId="77777777" w:rsidR="00B57597" w:rsidRPr="002A445D" w:rsidRDefault="00B57597" w:rsidP="002A445D">
            <w:pPr>
              <w:keepNext/>
              <w:spacing w:after="0"/>
              <w:rPr>
                <w:rFonts w:eastAsia="Calibri" w:cs="Calibri"/>
                <w:color w:val="000000"/>
                <w:sz w:val="16"/>
                <w:szCs w:val="16"/>
              </w:rPr>
            </w:pPr>
            <w:r w:rsidRPr="002A445D">
              <w:rPr>
                <w:rFonts w:cs="Calibri"/>
                <w:color w:val="000000"/>
                <w:sz w:val="16"/>
                <w:szCs w:val="16"/>
              </w:rPr>
              <w:t>Náklady celkem (v Kč)</w:t>
            </w:r>
          </w:p>
        </w:tc>
        <w:tc>
          <w:tcPr>
            <w:tcW w:w="1386" w:type="dxa"/>
            <w:tcBorders>
              <w:top w:val="nil"/>
              <w:left w:val="nil"/>
              <w:bottom w:val="single" w:sz="4" w:space="0" w:color="auto"/>
              <w:right w:val="single" w:sz="4" w:space="0" w:color="auto"/>
            </w:tcBorders>
            <w:shd w:val="clear" w:color="auto" w:fill="auto"/>
            <w:noWrap/>
            <w:vAlign w:val="center"/>
          </w:tcPr>
          <w:p w14:paraId="7121A076"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29 203 509 912,06</w:t>
            </w:r>
          </w:p>
        </w:tc>
        <w:tc>
          <w:tcPr>
            <w:tcW w:w="1387" w:type="dxa"/>
            <w:tcBorders>
              <w:top w:val="nil"/>
              <w:left w:val="nil"/>
              <w:bottom w:val="single" w:sz="4" w:space="0" w:color="auto"/>
              <w:right w:val="single" w:sz="4" w:space="0" w:color="auto"/>
            </w:tcBorders>
            <w:shd w:val="clear" w:color="auto" w:fill="auto"/>
            <w:noWrap/>
            <w:vAlign w:val="center"/>
          </w:tcPr>
          <w:p w14:paraId="3215B2BF"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36 091 960 657,24</w:t>
            </w:r>
          </w:p>
        </w:tc>
        <w:tc>
          <w:tcPr>
            <w:tcW w:w="1386" w:type="dxa"/>
            <w:tcBorders>
              <w:top w:val="nil"/>
              <w:left w:val="nil"/>
              <w:bottom w:val="single" w:sz="4" w:space="0" w:color="auto"/>
              <w:right w:val="single" w:sz="4" w:space="0" w:color="auto"/>
            </w:tcBorders>
            <w:shd w:val="clear" w:color="auto" w:fill="auto"/>
            <w:noWrap/>
            <w:vAlign w:val="center"/>
          </w:tcPr>
          <w:p w14:paraId="0577282D"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44 794 021 467,12</w:t>
            </w:r>
          </w:p>
        </w:tc>
        <w:tc>
          <w:tcPr>
            <w:tcW w:w="1387" w:type="dxa"/>
            <w:tcBorders>
              <w:top w:val="nil"/>
              <w:left w:val="nil"/>
              <w:bottom w:val="single" w:sz="4" w:space="0" w:color="auto"/>
              <w:right w:val="single" w:sz="4" w:space="0" w:color="auto"/>
            </w:tcBorders>
            <w:shd w:val="clear" w:color="auto" w:fill="auto"/>
            <w:noWrap/>
            <w:vAlign w:val="center"/>
          </w:tcPr>
          <w:p w14:paraId="474CF135"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44 665 215 058,51</w:t>
            </w:r>
          </w:p>
        </w:tc>
        <w:tc>
          <w:tcPr>
            <w:tcW w:w="1387" w:type="dxa"/>
            <w:tcBorders>
              <w:top w:val="nil"/>
              <w:left w:val="nil"/>
              <w:bottom w:val="single" w:sz="4" w:space="0" w:color="auto"/>
              <w:right w:val="single" w:sz="4" w:space="0" w:color="auto"/>
            </w:tcBorders>
            <w:vAlign w:val="center"/>
          </w:tcPr>
          <w:p w14:paraId="6DCE5432"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57 352 567 323,17</w:t>
            </w:r>
          </w:p>
        </w:tc>
      </w:tr>
      <w:tr w:rsidR="00B57597" w:rsidRPr="002A445D" w14:paraId="50B52943" w14:textId="77777777" w:rsidTr="00B57597">
        <w:trPr>
          <w:trHeight w:val="255"/>
        </w:trPr>
        <w:tc>
          <w:tcPr>
            <w:tcW w:w="562" w:type="dxa"/>
            <w:vMerge/>
            <w:tcBorders>
              <w:left w:val="single" w:sz="4" w:space="0" w:color="auto"/>
              <w:right w:val="single" w:sz="4" w:space="0" w:color="auto"/>
            </w:tcBorders>
            <w:vAlign w:val="center"/>
          </w:tcPr>
          <w:p w14:paraId="2F7BED8E" w14:textId="77777777" w:rsidR="00B57597" w:rsidRPr="002A445D" w:rsidRDefault="00B57597" w:rsidP="002A445D">
            <w:pPr>
              <w:keepNext/>
              <w:spacing w:after="0"/>
              <w:jc w:val="center"/>
              <w:rPr>
                <w:rFonts w:eastAsia="Calibri" w:cs="Calibri"/>
                <w:color w:val="000000"/>
                <w:sz w:val="16"/>
                <w:szCs w:val="16"/>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0552944" w14:textId="77777777" w:rsidR="00B57597" w:rsidRPr="002A445D" w:rsidRDefault="00B57597" w:rsidP="002A445D">
            <w:pPr>
              <w:keepNext/>
              <w:spacing w:after="0"/>
              <w:rPr>
                <w:rFonts w:eastAsia="Calibri" w:cs="Calibri"/>
                <w:color w:val="000000"/>
                <w:sz w:val="16"/>
                <w:szCs w:val="16"/>
              </w:rPr>
            </w:pPr>
            <w:r w:rsidRPr="002A445D">
              <w:rPr>
                <w:rFonts w:cs="Calibri"/>
                <w:color w:val="000000"/>
                <w:sz w:val="16"/>
                <w:szCs w:val="16"/>
              </w:rPr>
              <w:t>Počet zaměstnanců</w:t>
            </w:r>
          </w:p>
        </w:tc>
        <w:tc>
          <w:tcPr>
            <w:tcW w:w="1386" w:type="dxa"/>
            <w:tcBorders>
              <w:top w:val="nil"/>
              <w:left w:val="nil"/>
              <w:bottom w:val="single" w:sz="4" w:space="0" w:color="auto"/>
              <w:right w:val="single" w:sz="4" w:space="0" w:color="auto"/>
            </w:tcBorders>
            <w:shd w:val="clear" w:color="auto" w:fill="auto"/>
            <w:noWrap/>
            <w:vAlign w:val="center"/>
          </w:tcPr>
          <w:p w14:paraId="1E1CF6E3"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1 534</w:t>
            </w:r>
          </w:p>
        </w:tc>
        <w:tc>
          <w:tcPr>
            <w:tcW w:w="1387" w:type="dxa"/>
            <w:tcBorders>
              <w:top w:val="nil"/>
              <w:left w:val="nil"/>
              <w:bottom w:val="single" w:sz="4" w:space="0" w:color="auto"/>
              <w:right w:val="single" w:sz="4" w:space="0" w:color="auto"/>
            </w:tcBorders>
            <w:shd w:val="clear" w:color="auto" w:fill="auto"/>
            <w:noWrap/>
            <w:vAlign w:val="center"/>
          </w:tcPr>
          <w:p w14:paraId="58382C7E"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1 610</w:t>
            </w:r>
          </w:p>
        </w:tc>
        <w:tc>
          <w:tcPr>
            <w:tcW w:w="1386" w:type="dxa"/>
            <w:tcBorders>
              <w:top w:val="nil"/>
              <w:left w:val="nil"/>
              <w:bottom w:val="single" w:sz="4" w:space="0" w:color="auto"/>
              <w:right w:val="single" w:sz="4" w:space="0" w:color="auto"/>
            </w:tcBorders>
            <w:shd w:val="clear" w:color="auto" w:fill="auto"/>
            <w:noWrap/>
            <w:vAlign w:val="center"/>
          </w:tcPr>
          <w:p w14:paraId="7E0FC94B"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1 631</w:t>
            </w:r>
          </w:p>
        </w:tc>
        <w:tc>
          <w:tcPr>
            <w:tcW w:w="1387" w:type="dxa"/>
            <w:tcBorders>
              <w:top w:val="nil"/>
              <w:left w:val="nil"/>
              <w:bottom w:val="single" w:sz="4" w:space="0" w:color="auto"/>
              <w:right w:val="single" w:sz="4" w:space="0" w:color="auto"/>
            </w:tcBorders>
            <w:shd w:val="clear" w:color="auto" w:fill="auto"/>
            <w:noWrap/>
            <w:vAlign w:val="center"/>
          </w:tcPr>
          <w:p w14:paraId="3EAA3530"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1 618</w:t>
            </w:r>
          </w:p>
        </w:tc>
        <w:tc>
          <w:tcPr>
            <w:tcW w:w="1387" w:type="dxa"/>
            <w:tcBorders>
              <w:top w:val="nil"/>
              <w:left w:val="nil"/>
              <w:bottom w:val="single" w:sz="4" w:space="0" w:color="auto"/>
              <w:right w:val="single" w:sz="4" w:space="0" w:color="auto"/>
            </w:tcBorders>
            <w:vAlign w:val="center"/>
          </w:tcPr>
          <w:p w14:paraId="22C73E7E"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1 625</w:t>
            </w:r>
          </w:p>
        </w:tc>
      </w:tr>
      <w:tr w:rsidR="00B57597" w:rsidRPr="002A445D" w14:paraId="040AC3DF" w14:textId="77777777" w:rsidTr="00B57597">
        <w:trPr>
          <w:trHeight w:val="255"/>
        </w:trPr>
        <w:tc>
          <w:tcPr>
            <w:tcW w:w="562" w:type="dxa"/>
            <w:vMerge/>
            <w:tcBorders>
              <w:left w:val="single" w:sz="4" w:space="0" w:color="auto"/>
              <w:bottom w:val="single" w:sz="4" w:space="0" w:color="auto"/>
              <w:right w:val="single" w:sz="4" w:space="0" w:color="auto"/>
            </w:tcBorders>
            <w:vAlign w:val="center"/>
          </w:tcPr>
          <w:p w14:paraId="50FCBFBD" w14:textId="77777777" w:rsidR="00B57597" w:rsidRPr="002A445D" w:rsidRDefault="00B57597" w:rsidP="002A445D">
            <w:pPr>
              <w:keepNext/>
              <w:spacing w:after="0"/>
              <w:jc w:val="center"/>
              <w:rPr>
                <w:rFonts w:eastAsia="Calibri" w:cs="Calibri"/>
                <w:color w:val="000000"/>
                <w:sz w:val="16"/>
                <w:szCs w:val="16"/>
              </w:rPr>
            </w:pPr>
          </w:p>
        </w:tc>
        <w:tc>
          <w:tcPr>
            <w:tcW w:w="1560" w:type="dxa"/>
            <w:tcBorders>
              <w:top w:val="nil"/>
              <w:left w:val="single" w:sz="4" w:space="0" w:color="auto"/>
              <w:bottom w:val="single" w:sz="4" w:space="0" w:color="auto"/>
              <w:right w:val="single" w:sz="4" w:space="0" w:color="auto"/>
            </w:tcBorders>
            <w:shd w:val="clear" w:color="auto" w:fill="F2C6C9"/>
            <w:noWrap/>
            <w:vAlign w:val="center"/>
          </w:tcPr>
          <w:p w14:paraId="0B548BAE" w14:textId="5C58C279" w:rsidR="00B57597" w:rsidRPr="002A445D" w:rsidRDefault="00B57597" w:rsidP="002A445D">
            <w:pPr>
              <w:keepNext/>
              <w:spacing w:after="0"/>
              <w:rPr>
                <w:rFonts w:eastAsia="Calibri" w:cs="Calibri"/>
                <w:color w:val="000000"/>
                <w:sz w:val="16"/>
                <w:szCs w:val="16"/>
              </w:rPr>
            </w:pPr>
            <w:r w:rsidRPr="002A445D">
              <w:rPr>
                <w:rFonts w:cs="Calibri"/>
                <w:color w:val="000000"/>
                <w:sz w:val="16"/>
                <w:szCs w:val="16"/>
              </w:rPr>
              <w:t xml:space="preserve">Náklady na </w:t>
            </w:r>
            <w:r w:rsidR="00D96F31">
              <w:rPr>
                <w:rFonts w:cs="Calibri"/>
                <w:color w:val="000000"/>
                <w:sz w:val="16"/>
                <w:szCs w:val="16"/>
              </w:rPr>
              <w:t>jednoho</w:t>
            </w:r>
            <w:r w:rsidRPr="002A445D">
              <w:rPr>
                <w:rFonts w:cs="Calibri"/>
                <w:color w:val="000000"/>
                <w:sz w:val="16"/>
                <w:szCs w:val="16"/>
              </w:rPr>
              <w:t xml:space="preserve"> zaměstnance (v Kč)</w:t>
            </w:r>
          </w:p>
        </w:tc>
        <w:tc>
          <w:tcPr>
            <w:tcW w:w="1386" w:type="dxa"/>
            <w:tcBorders>
              <w:top w:val="nil"/>
              <w:left w:val="nil"/>
              <w:bottom w:val="single" w:sz="4" w:space="0" w:color="auto"/>
              <w:right w:val="single" w:sz="4" w:space="0" w:color="auto"/>
            </w:tcBorders>
            <w:shd w:val="clear" w:color="auto" w:fill="F2C6C9"/>
            <w:noWrap/>
            <w:vAlign w:val="center"/>
          </w:tcPr>
          <w:p w14:paraId="457F59C4"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19 037 490,16</w:t>
            </w:r>
          </w:p>
        </w:tc>
        <w:tc>
          <w:tcPr>
            <w:tcW w:w="1387" w:type="dxa"/>
            <w:tcBorders>
              <w:top w:val="nil"/>
              <w:left w:val="nil"/>
              <w:bottom w:val="single" w:sz="4" w:space="0" w:color="auto"/>
              <w:right w:val="single" w:sz="4" w:space="0" w:color="auto"/>
            </w:tcBorders>
            <w:shd w:val="clear" w:color="auto" w:fill="F2C6C9"/>
            <w:noWrap/>
            <w:vAlign w:val="center"/>
          </w:tcPr>
          <w:p w14:paraId="41A39FF3"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22 417 366,87</w:t>
            </w:r>
          </w:p>
        </w:tc>
        <w:tc>
          <w:tcPr>
            <w:tcW w:w="1386" w:type="dxa"/>
            <w:tcBorders>
              <w:top w:val="nil"/>
              <w:left w:val="nil"/>
              <w:bottom w:val="single" w:sz="4" w:space="0" w:color="auto"/>
              <w:right w:val="single" w:sz="4" w:space="0" w:color="auto"/>
            </w:tcBorders>
            <w:shd w:val="clear" w:color="auto" w:fill="F2C6C9"/>
            <w:noWrap/>
            <w:vAlign w:val="center"/>
          </w:tcPr>
          <w:p w14:paraId="3D3C0EC2"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27 464 145,60</w:t>
            </w:r>
          </w:p>
        </w:tc>
        <w:tc>
          <w:tcPr>
            <w:tcW w:w="1387" w:type="dxa"/>
            <w:tcBorders>
              <w:top w:val="nil"/>
              <w:left w:val="nil"/>
              <w:bottom w:val="single" w:sz="4" w:space="0" w:color="auto"/>
              <w:right w:val="single" w:sz="4" w:space="0" w:color="auto"/>
            </w:tcBorders>
            <w:shd w:val="clear" w:color="auto" w:fill="F2C6C9"/>
            <w:noWrap/>
            <w:vAlign w:val="center"/>
          </w:tcPr>
          <w:p w14:paraId="440F0E61"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27 608 784,24</w:t>
            </w:r>
          </w:p>
        </w:tc>
        <w:tc>
          <w:tcPr>
            <w:tcW w:w="1387" w:type="dxa"/>
            <w:tcBorders>
              <w:top w:val="nil"/>
              <w:left w:val="nil"/>
              <w:bottom w:val="single" w:sz="4" w:space="0" w:color="auto"/>
              <w:right w:val="single" w:sz="4" w:space="0" w:color="auto"/>
            </w:tcBorders>
            <w:shd w:val="clear" w:color="auto" w:fill="F2C6C9"/>
            <w:vAlign w:val="center"/>
          </w:tcPr>
          <w:p w14:paraId="10A77A48"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35 293 887,58</w:t>
            </w:r>
          </w:p>
        </w:tc>
      </w:tr>
      <w:tr w:rsidR="00B57597" w:rsidRPr="002A445D" w14:paraId="7B01F26A" w14:textId="77777777" w:rsidTr="00B57597">
        <w:trPr>
          <w:trHeight w:val="255"/>
        </w:trPr>
        <w:tc>
          <w:tcPr>
            <w:tcW w:w="562" w:type="dxa"/>
            <w:vMerge w:val="restart"/>
            <w:tcBorders>
              <w:top w:val="nil"/>
              <w:left w:val="single" w:sz="4" w:space="0" w:color="auto"/>
              <w:right w:val="single" w:sz="4" w:space="0" w:color="auto"/>
            </w:tcBorders>
            <w:vAlign w:val="center"/>
          </w:tcPr>
          <w:p w14:paraId="2C08FFD4" w14:textId="77777777" w:rsidR="00B57597" w:rsidRPr="002A445D" w:rsidRDefault="00B57597" w:rsidP="002A445D">
            <w:pPr>
              <w:keepNext/>
              <w:spacing w:after="0"/>
              <w:jc w:val="center"/>
              <w:rPr>
                <w:rFonts w:eastAsia="Calibri" w:cs="Calibri"/>
                <w:color w:val="000000"/>
                <w:sz w:val="16"/>
                <w:szCs w:val="16"/>
              </w:rPr>
            </w:pPr>
            <w:r w:rsidRPr="002A445D">
              <w:rPr>
                <w:rFonts w:cs="Calibri"/>
                <w:color w:val="000000"/>
                <w:sz w:val="16"/>
                <w:szCs w:val="16"/>
              </w:rPr>
              <w:t>MPO</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04B3C3B" w14:textId="77777777" w:rsidR="00B57597" w:rsidRPr="002A445D" w:rsidRDefault="00B57597" w:rsidP="002A445D">
            <w:pPr>
              <w:keepNext/>
              <w:spacing w:after="0"/>
              <w:rPr>
                <w:rFonts w:eastAsia="Calibri" w:cs="Calibri"/>
                <w:color w:val="000000"/>
                <w:sz w:val="16"/>
                <w:szCs w:val="16"/>
              </w:rPr>
            </w:pPr>
            <w:r w:rsidRPr="002A445D">
              <w:rPr>
                <w:rFonts w:cs="Calibri"/>
                <w:color w:val="000000"/>
                <w:sz w:val="16"/>
                <w:szCs w:val="16"/>
              </w:rPr>
              <w:t>Náklady celkem (v Kč)</w:t>
            </w:r>
          </w:p>
        </w:tc>
        <w:tc>
          <w:tcPr>
            <w:tcW w:w="1386" w:type="dxa"/>
            <w:tcBorders>
              <w:top w:val="nil"/>
              <w:left w:val="nil"/>
              <w:bottom w:val="single" w:sz="4" w:space="0" w:color="auto"/>
              <w:right w:val="single" w:sz="4" w:space="0" w:color="auto"/>
            </w:tcBorders>
            <w:shd w:val="clear" w:color="auto" w:fill="auto"/>
            <w:noWrap/>
            <w:vAlign w:val="center"/>
          </w:tcPr>
          <w:p w14:paraId="1152A9EF"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28 243 813 722,29</w:t>
            </w:r>
          </w:p>
        </w:tc>
        <w:tc>
          <w:tcPr>
            <w:tcW w:w="1387" w:type="dxa"/>
            <w:tcBorders>
              <w:top w:val="nil"/>
              <w:left w:val="nil"/>
              <w:bottom w:val="single" w:sz="4" w:space="0" w:color="auto"/>
              <w:right w:val="single" w:sz="4" w:space="0" w:color="auto"/>
            </w:tcBorders>
            <w:shd w:val="clear" w:color="auto" w:fill="auto"/>
            <w:noWrap/>
            <w:vAlign w:val="center"/>
          </w:tcPr>
          <w:p w14:paraId="2B4DEB1A"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34 977 394 234,84</w:t>
            </w:r>
          </w:p>
        </w:tc>
        <w:tc>
          <w:tcPr>
            <w:tcW w:w="1386" w:type="dxa"/>
            <w:tcBorders>
              <w:top w:val="nil"/>
              <w:left w:val="nil"/>
              <w:bottom w:val="single" w:sz="4" w:space="0" w:color="auto"/>
              <w:right w:val="single" w:sz="4" w:space="0" w:color="auto"/>
            </w:tcBorders>
            <w:shd w:val="clear" w:color="auto" w:fill="auto"/>
            <w:noWrap/>
            <w:vAlign w:val="center"/>
          </w:tcPr>
          <w:p w14:paraId="6740FD8A"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43 635 480 807,35</w:t>
            </w:r>
          </w:p>
        </w:tc>
        <w:tc>
          <w:tcPr>
            <w:tcW w:w="1387" w:type="dxa"/>
            <w:tcBorders>
              <w:top w:val="nil"/>
              <w:left w:val="nil"/>
              <w:bottom w:val="single" w:sz="4" w:space="0" w:color="auto"/>
              <w:right w:val="single" w:sz="4" w:space="0" w:color="auto"/>
            </w:tcBorders>
            <w:shd w:val="clear" w:color="auto" w:fill="auto"/>
            <w:noWrap/>
            <w:vAlign w:val="bottom"/>
          </w:tcPr>
          <w:p w14:paraId="434B80B5"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43 527 996 297,06</w:t>
            </w:r>
          </w:p>
        </w:tc>
        <w:tc>
          <w:tcPr>
            <w:tcW w:w="1387" w:type="dxa"/>
            <w:tcBorders>
              <w:top w:val="nil"/>
              <w:left w:val="nil"/>
              <w:bottom w:val="single" w:sz="4" w:space="0" w:color="auto"/>
              <w:right w:val="single" w:sz="4" w:space="0" w:color="auto"/>
            </w:tcBorders>
            <w:vAlign w:val="center"/>
          </w:tcPr>
          <w:p w14:paraId="429576F8"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56 115 965 822,76</w:t>
            </w:r>
          </w:p>
        </w:tc>
      </w:tr>
      <w:tr w:rsidR="00B57597" w:rsidRPr="002A445D" w14:paraId="358439A9" w14:textId="77777777" w:rsidTr="00B57597">
        <w:trPr>
          <w:trHeight w:val="255"/>
        </w:trPr>
        <w:tc>
          <w:tcPr>
            <w:tcW w:w="562" w:type="dxa"/>
            <w:vMerge/>
            <w:tcBorders>
              <w:left w:val="single" w:sz="4" w:space="0" w:color="auto"/>
              <w:right w:val="single" w:sz="4" w:space="0" w:color="auto"/>
            </w:tcBorders>
            <w:vAlign w:val="center"/>
          </w:tcPr>
          <w:p w14:paraId="14BDC30C" w14:textId="77777777" w:rsidR="00B57597" w:rsidRPr="002A445D" w:rsidRDefault="00B57597" w:rsidP="002A445D">
            <w:pPr>
              <w:keepNext/>
              <w:spacing w:after="0"/>
              <w:jc w:val="center"/>
              <w:rPr>
                <w:rFonts w:eastAsia="Calibri" w:cs="Calibri"/>
                <w:color w:val="000000"/>
                <w:sz w:val="16"/>
                <w:szCs w:val="16"/>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EF0649F" w14:textId="77777777" w:rsidR="00B57597" w:rsidRPr="002A445D" w:rsidRDefault="00B57597" w:rsidP="002A445D">
            <w:pPr>
              <w:keepNext/>
              <w:spacing w:after="0"/>
              <w:rPr>
                <w:rFonts w:eastAsia="Calibri" w:cs="Calibri"/>
                <w:color w:val="000000"/>
                <w:sz w:val="16"/>
                <w:szCs w:val="16"/>
              </w:rPr>
            </w:pPr>
            <w:r w:rsidRPr="002A445D">
              <w:rPr>
                <w:rFonts w:cs="Calibri"/>
                <w:color w:val="000000"/>
                <w:sz w:val="16"/>
                <w:szCs w:val="16"/>
              </w:rPr>
              <w:t>Počet zaměstnanců</w:t>
            </w:r>
          </w:p>
        </w:tc>
        <w:tc>
          <w:tcPr>
            <w:tcW w:w="1386" w:type="dxa"/>
            <w:tcBorders>
              <w:top w:val="nil"/>
              <w:left w:val="nil"/>
              <w:bottom w:val="single" w:sz="4" w:space="0" w:color="auto"/>
              <w:right w:val="single" w:sz="4" w:space="0" w:color="auto"/>
            </w:tcBorders>
            <w:shd w:val="clear" w:color="auto" w:fill="auto"/>
            <w:noWrap/>
            <w:vAlign w:val="center"/>
          </w:tcPr>
          <w:p w14:paraId="7751099D"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775</w:t>
            </w:r>
          </w:p>
        </w:tc>
        <w:tc>
          <w:tcPr>
            <w:tcW w:w="1387" w:type="dxa"/>
            <w:tcBorders>
              <w:top w:val="nil"/>
              <w:left w:val="nil"/>
              <w:bottom w:val="single" w:sz="4" w:space="0" w:color="auto"/>
              <w:right w:val="single" w:sz="4" w:space="0" w:color="auto"/>
            </w:tcBorders>
            <w:shd w:val="clear" w:color="auto" w:fill="auto"/>
            <w:noWrap/>
            <w:vAlign w:val="center"/>
          </w:tcPr>
          <w:p w14:paraId="7AEAD4C7"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800</w:t>
            </w:r>
          </w:p>
        </w:tc>
        <w:tc>
          <w:tcPr>
            <w:tcW w:w="1386" w:type="dxa"/>
            <w:tcBorders>
              <w:top w:val="nil"/>
              <w:left w:val="nil"/>
              <w:bottom w:val="single" w:sz="4" w:space="0" w:color="auto"/>
              <w:right w:val="single" w:sz="4" w:space="0" w:color="auto"/>
            </w:tcBorders>
            <w:shd w:val="clear" w:color="auto" w:fill="auto"/>
            <w:noWrap/>
            <w:vAlign w:val="center"/>
          </w:tcPr>
          <w:p w14:paraId="1DF1C32B"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849</w:t>
            </w:r>
          </w:p>
        </w:tc>
        <w:tc>
          <w:tcPr>
            <w:tcW w:w="1387" w:type="dxa"/>
            <w:tcBorders>
              <w:top w:val="nil"/>
              <w:left w:val="nil"/>
              <w:bottom w:val="single" w:sz="4" w:space="0" w:color="auto"/>
              <w:right w:val="single" w:sz="4" w:space="0" w:color="auto"/>
            </w:tcBorders>
            <w:shd w:val="clear" w:color="auto" w:fill="auto"/>
            <w:noWrap/>
            <w:vAlign w:val="center"/>
          </w:tcPr>
          <w:p w14:paraId="5ED8F93F"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851</w:t>
            </w:r>
          </w:p>
        </w:tc>
        <w:tc>
          <w:tcPr>
            <w:tcW w:w="1387" w:type="dxa"/>
            <w:tcBorders>
              <w:top w:val="nil"/>
              <w:left w:val="nil"/>
              <w:bottom w:val="single" w:sz="4" w:space="0" w:color="auto"/>
              <w:right w:val="single" w:sz="4" w:space="0" w:color="auto"/>
            </w:tcBorders>
            <w:vAlign w:val="center"/>
          </w:tcPr>
          <w:p w14:paraId="44DEE1AB"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850</w:t>
            </w:r>
          </w:p>
        </w:tc>
      </w:tr>
      <w:tr w:rsidR="00B57597" w:rsidRPr="002A445D" w14:paraId="7A739185" w14:textId="77777777" w:rsidTr="00B57597">
        <w:trPr>
          <w:trHeight w:val="255"/>
        </w:trPr>
        <w:tc>
          <w:tcPr>
            <w:tcW w:w="562" w:type="dxa"/>
            <w:vMerge/>
            <w:tcBorders>
              <w:left w:val="single" w:sz="4" w:space="0" w:color="auto"/>
              <w:bottom w:val="single" w:sz="4" w:space="0" w:color="auto"/>
              <w:right w:val="single" w:sz="4" w:space="0" w:color="auto"/>
            </w:tcBorders>
            <w:vAlign w:val="center"/>
          </w:tcPr>
          <w:p w14:paraId="2CA4C863" w14:textId="77777777" w:rsidR="00B57597" w:rsidRPr="002A445D" w:rsidRDefault="00B57597" w:rsidP="002A445D">
            <w:pPr>
              <w:keepNext/>
              <w:spacing w:after="0"/>
              <w:jc w:val="center"/>
              <w:rPr>
                <w:rFonts w:eastAsia="Calibri" w:cs="Calibri"/>
                <w:color w:val="000000"/>
                <w:sz w:val="16"/>
                <w:szCs w:val="16"/>
              </w:rPr>
            </w:pPr>
          </w:p>
        </w:tc>
        <w:tc>
          <w:tcPr>
            <w:tcW w:w="1560" w:type="dxa"/>
            <w:tcBorders>
              <w:top w:val="nil"/>
              <w:left w:val="single" w:sz="4" w:space="0" w:color="auto"/>
              <w:bottom w:val="single" w:sz="4" w:space="0" w:color="auto"/>
              <w:right w:val="single" w:sz="4" w:space="0" w:color="auto"/>
            </w:tcBorders>
            <w:shd w:val="clear" w:color="auto" w:fill="F2C6C9"/>
            <w:noWrap/>
            <w:vAlign w:val="center"/>
          </w:tcPr>
          <w:p w14:paraId="48A83616" w14:textId="54297439" w:rsidR="00B57597" w:rsidRPr="002A445D" w:rsidRDefault="00B57597" w:rsidP="002A445D">
            <w:pPr>
              <w:keepNext/>
              <w:spacing w:after="0"/>
              <w:rPr>
                <w:rFonts w:eastAsia="Calibri" w:cs="Calibri"/>
                <w:color w:val="000000"/>
                <w:sz w:val="16"/>
                <w:szCs w:val="16"/>
              </w:rPr>
            </w:pPr>
            <w:r w:rsidRPr="002A445D">
              <w:rPr>
                <w:rFonts w:cs="Calibri"/>
                <w:color w:val="000000"/>
                <w:sz w:val="16"/>
                <w:szCs w:val="16"/>
              </w:rPr>
              <w:t xml:space="preserve">Náklady na </w:t>
            </w:r>
            <w:r w:rsidR="00D96F31">
              <w:rPr>
                <w:rFonts w:cs="Calibri"/>
                <w:color w:val="000000"/>
                <w:sz w:val="16"/>
                <w:szCs w:val="16"/>
              </w:rPr>
              <w:t>jednoho</w:t>
            </w:r>
            <w:r w:rsidRPr="002A445D">
              <w:rPr>
                <w:rFonts w:cs="Calibri"/>
                <w:color w:val="000000"/>
                <w:sz w:val="16"/>
                <w:szCs w:val="16"/>
              </w:rPr>
              <w:t xml:space="preserve"> zaměstnance (v Kč)</w:t>
            </w:r>
          </w:p>
        </w:tc>
        <w:tc>
          <w:tcPr>
            <w:tcW w:w="1386" w:type="dxa"/>
            <w:tcBorders>
              <w:top w:val="nil"/>
              <w:left w:val="nil"/>
              <w:bottom w:val="single" w:sz="4" w:space="0" w:color="auto"/>
              <w:right w:val="single" w:sz="4" w:space="0" w:color="auto"/>
            </w:tcBorders>
            <w:shd w:val="clear" w:color="auto" w:fill="F2C6C9"/>
            <w:noWrap/>
            <w:vAlign w:val="center"/>
          </w:tcPr>
          <w:p w14:paraId="782FC5B4"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36 443 630,61</w:t>
            </w:r>
          </w:p>
        </w:tc>
        <w:tc>
          <w:tcPr>
            <w:tcW w:w="1387" w:type="dxa"/>
            <w:tcBorders>
              <w:top w:val="nil"/>
              <w:left w:val="nil"/>
              <w:bottom w:val="single" w:sz="4" w:space="0" w:color="auto"/>
              <w:right w:val="single" w:sz="4" w:space="0" w:color="auto"/>
            </w:tcBorders>
            <w:shd w:val="clear" w:color="auto" w:fill="F2C6C9"/>
            <w:noWrap/>
            <w:vAlign w:val="center"/>
          </w:tcPr>
          <w:p w14:paraId="5BC070D1"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43 721 742,79</w:t>
            </w:r>
          </w:p>
        </w:tc>
        <w:tc>
          <w:tcPr>
            <w:tcW w:w="1386" w:type="dxa"/>
            <w:tcBorders>
              <w:top w:val="nil"/>
              <w:left w:val="nil"/>
              <w:bottom w:val="single" w:sz="4" w:space="0" w:color="auto"/>
              <w:right w:val="single" w:sz="4" w:space="0" w:color="auto"/>
            </w:tcBorders>
            <w:shd w:val="clear" w:color="auto" w:fill="F2C6C9"/>
            <w:noWrap/>
            <w:vAlign w:val="center"/>
          </w:tcPr>
          <w:p w14:paraId="00B4E775"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51 396 326,04</w:t>
            </w:r>
          </w:p>
        </w:tc>
        <w:tc>
          <w:tcPr>
            <w:tcW w:w="1387" w:type="dxa"/>
            <w:tcBorders>
              <w:top w:val="nil"/>
              <w:left w:val="nil"/>
              <w:bottom w:val="single" w:sz="4" w:space="0" w:color="auto"/>
              <w:right w:val="single" w:sz="4" w:space="0" w:color="auto"/>
            </w:tcBorders>
            <w:shd w:val="clear" w:color="auto" w:fill="F2C6C9"/>
            <w:noWrap/>
            <w:vAlign w:val="center"/>
          </w:tcPr>
          <w:p w14:paraId="37202BB3"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51 137 814,47</w:t>
            </w:r>
          </w:p>
        </w:tc>
        <w:tc>
          <w:tcPr>
            <w:tcW w:w="1387" w:type="dxa"/>
            <w:tcBorders>
              <w:top w:val="nil"/>
              <w:left w:val="nil"/>
              <w:bottom w:val="single" w:sz="4" w:space="0" w:color="auto"/>
              <w:right w:val="single" w:sz="4" w:space="0" w:color="auto"/>
            </w:tcBorders>
            <w:shd w:val="clear" w:color="auto" w:fill="F2C6C9"/>
            <w:vAlign w:val="center"/>
          </w:tcPr>
          <w:p w14:paraId="683954B5"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66 018 783,32</w:t>
            </w:r>
          </w:p>
        </w:tc>
      </w:tr>
      <w:tr w:rsidR="00B57597" w:rsidRPr="002A445D" w14:paraId="524575FA" w14:textId="77777777" w:rsidTr="00B57597">
        <w:trPr>
          <w:trHeight w:val="255"/>
        </w:trPr>
        <w:tc>
          <w:tcPr>
            <w:tcW w:w="562" w:type="dxa"/>
            <w:vMerge w:val="restart"/>
            <w:tcBorders>
              <w:top w:val="nil"/>
              <w:left w:val="single" w:sz="4" w:space="0" w:color="auto"/>
              <w:right w:val="single" w:sz="4" w:space="0" w:color="auto"/>
            </w:tcBorders>
            <w:vAlign w:val="center"/>
          </w:tcPr>
          <w:p w14:paraId="3EA29F7E" w14:textId="77777777" w:rsidR="00B57597" w:rsidRPr="002A445D" w:rsidRDefault="00B57597" w:rsidP="002A445D">
            <w:pPr>
              <w:keepNext/>
              <w:spacing w:after="0"/>
              <w:jc w:val="center"/>
              <w:rPr>
                <w:rFonts w:eastAsia="Calibri" w:cs="Calibri"/>
                <w:color w:val="000000"/>
                <w:sz w:val="16"/>
                <w:szCs w:val="16"/>
              </w:rPr>
            </w:pPr>
            <w:r w:rsidRPr="002A445D">
              <w:rPr>
                <w:rFonts w:cs="Calibri"/>
                <w:color w:val="000000"/>
                <w:sz w:val="16"/>
                <w:szCs w:val="16"/>
              </w:rPr>
              <w:t>OSS bez MPO</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FCD6821" w14:textId="77777777" w:rsidR="00B57597" w:rsidRPr="002A445D" w:rsidRDefault="00B57597" w:rsidP="002A445D">
            <w:pPr>
              <w:keepNext/>
              <w:spacing w:after="0"/>
              <w:rPr>
                <w:rFonts w:eastAsia="Calibri" w:cs="Calibri"/>
                <w:color w:val="000000"/>
                <w:sz w:val="16"/>
                <w:szCs w:val="16"/>
              </w:rPr>
            </w:pPr>
            <w:r w:rsidRPr="002A445D">
              <w:rPr>
                <w:rFonts w:cs="Calibri"/>
                <w:color w:val="000000"/>
                <w:sz w:val="16"/>
                <w:szCs w:val="16"/>
              </w:rPr>
              <w:t>Náklady celkem (v Kč)</w:t>
            </w:r>
          </w:p>
        </w:tc>
        <w:tc>
          <w:tcPr>
            <w:tcW w:w="1386" w:type="dxa"/>
            <w:tcBorders>
              <w:top w:val="nil"/>
              <w:left w:val="nil"/>
              <w:bottom w:val="single" w:sz="4" w:space="0" w:color="auto"/>
              <w:right w:val="single" w:sz="4" w:space="0" w:color="auto"/>
            </w:tcBorders>
            <w:shd w:val="clear" w:color="auto" w:fill="auto"/>
            <w:noWrap/>
            <w:vAlign w:val="center"/>
          </w:tcPr>
          <w:p w14:paraId="0620C582"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sz w:val="16"/>
                <w:szCs w:val="16"/>
              </w:rPr>
              <w:t>959 696 189,77</w:t>
            </w:r>
          </w:p>
        </w:tc>
        <w:tc>
          <w:tcPr>
            <w:tcW w:w="1387" w:type="dxa"/>
            <w:tcBorders>
              <w:top w:val="nil"/>
              <w:left w:val="nil"/>
              <w:bottom w:val="single" w:sz="4" w:space="0" w:color="auto"/>
              <w:right w:val="single" w:sz="4" w:space="0" w:color="auto"/>
            </w:tcBorders>
            <w:shd w:val="clear" w:color="auto" w:fill="auto"/>
            <w:noWrap/>
            <w:vAlign w:val="center"/>
          </w:tcPr>
          <w:p w14:paraId="3245C818"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sz w:val="16"/>
                <w:szCs w:val="16"/>
              </w:rPr>
              <w:t>1 114 566 422,40</w:t>
            </w:r>
          </w:p>
        </w:tc>
        <w:tc>
          <w:tcPr>
            <w:tcW w:w="1386" w:type="dxa"/>
            <w:tcBorders>
              <w:top w:val="nil"/>
              <w:left w:val="nil"/>
              <w:bottom w:val="single" w:sz="4" w:space="0" w:color="auto"/>
              <w:right w:val="single" w:sz="4" w:space="0" w:color="auto"/>
            </w:tcBorders>
            <w:shd w:val="clear" w:color="auto" w:fill="auto"/>
            <w:noWrap/>
            <w:vAlign w:val="center"/>
          </w:tcPr>
          <w:p w14:paraId="3A1A1F94"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sz w:val="16"/>
                <w:szCs w:val="16"/>
              </w:rPr>
              <w:t>1 158 540 659,77</w:t>
            </w:r>
          </w:p>
        </w:tc>
        <w:tc>
          <w:tcPr>
            <w:tcW w:w="1387" w:type="dxa"/>
            <w:tcBorders>
              <w:top w:val="nil"/>
              <w:left w:val="nil"/>
              <w:bottom w:val="single" w:sz="4" w:space="0" w:color="auto"/>
              <w:right w:val="single" w:sz="4" w:space="0" w:color="auto"/>
            </w:tcBorders>
            <w:shd w:val="clear" w:color="auto" w:fill="auto"/>
            <w:noWrap/>
            <w:vAlign w:val="center"/>
          </w:tcPr>
          <w:p w14:paraId="173A48F6"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sz w:val="16"/>
                <w:szCs w:val="16"/>
              </w:rPr>
              <w:t>1 137 218 761,45</w:t>
            </w:r>
          </w:p>
        </w:tc>
        <w:tc>
          <w:tcPr>
            <w:tcW w:w="1387" w:type="dxa"/>
            <w:tcBorders>
              <w:top w:val="nil"/>
              <w:left w:val="nil"/>
              <w:bottom w:val="single" w:sz="4" w:space="0" w:color="auto"/>
              <w:right w:val="single" w:sz="4" w:space="0" w:color="auto"/>
            </w:tcBorders>
            <w:vAlign w:val="center"/>
          </w:tcPr>
          <w:p w14:paraId="320DB0D4"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1 236 601 500,41</w:t>
            </w:r>
          </w:p>
        </w:tc>
      </w:tr>
      <w:tr w:rsidR="00B57597" w:rsidRPr="002A445D" w14:paraId="4F8B12ED" w14:textId="77777777" w:rsidTr="00B57597">
        <w:trPr>
          <w:trHeight w:val="255"/>
        </w:trPr>
        <w:tc>
          <w:tcPr>
            <w:tcW w:w="562" w:type="dxa"/>
            <w:vMerge/>
            <w:tcBorders>
              <w:left w:val="single" w:sz="4" w:space="0" w:color="auto"/>
              <w:right w:val="single" w:sz="4" w:space="0" w:color="auto"/>
            </w:tcBorders>
            <w:vAlign w:val="center"/>
          </w:tcPr>
          <w:p w14:paraId="4DCBE42B" w14:textId="77777777" w:rsidR="00B57597" w:rsidRPr="002A445D" w:rsidRDefault="00B57597" w:rsidP="002A445D">
            <w:pPr>
              <w:keepNext/>
              <w:spacing w:after="0"/>
              <w:rPr>
                <w:rFonts w:eastAsia="Calibri" w:cs="Calibri"/>
                <w:color w:val="000000"/>
                <w:sz w:val="16"/>
                <w:szCs w:val="16"/>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1FD1220" w14:textId="77777777" w:rsidR="00B57597" w:rsidRPr="002A445D" w:rsidRDefault="00B57597" w:rsidP="002A445D">
            <w:pPr>
              <w:keepNext/>
              <w:spacing w:after="0"/>
              <w:rPr>
                <w:rFonts w:eastAsia="Calibri" w:cs="Calibri"/>
                <w:color w:val="000000"/>
                <w:sz w:val="16"/>
                <w:szCs w:val="16"/>
              </w:rPr>
            </w:pPr>
            <w:r w:rsidRPr="002A445D">
              <w:rPr>
                <w:rFonts w:cs="Calibri"/>
                <w:color w:val="000000"/>
                <w:sz w:val="16"/>
                <w:szCs w:val="16"/>
              </w:rPr>
              <w:t>Počet zaměstnanců</w:t>
            </w:r>
          </w:p>
        </w:tc>
        <w:tc>
          <w:tcPr>
            <w:tcW w:w="1386" w:type="dxa"/>
            <w:tcBorders>
              <w:top w:val="nil"/>
              <w:left w:val="nil"/>
              <w:bottom w:val="single" w:sz="4" w:space="0" w:color="auto"/>
              <w:right w:val="single" w:sz="4" w:space="0" w:color="auto"/>
            </w:tcBorders>
            <w:shd w:val="clear" w:color="auto" w:fill="auto"/>
            <w:noWrap/>
            <w:vAlign w:val="center"/>
          </w:tcPr>
          <w:p w14:paraId="04AD1A90"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759</w:t>
            </w:r>
          </w:p>
        </w:tc>
        <w:tc>
          <w:tcPr>
            <w:tcW w:w="1387" w:type="dxa"/>
            <w:tcBorders>
              <w:top w:val="nil"/>
              <w:left w:val="nil"/>
              <w:bottom w:val="single" w:sz="4" w:space="0" w:color="auto"/>
              <w:right w:val="single" w:sz="4" w:space="0" w:color="auto"/>
            </w:tcBorders>
            <w:shd w:val="clear" w:color="auto" w:fill="auto"/>
            <w:noWrap/>
            <w:vAlign w:val="center"/>
          </w:tcPr>
          <w:p w14:paraId="7FE0BDFB"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810</w:t>
            </w:r>
          </w:p>
        </w:tc>
        <w:tc>
          <w:tcPr>
            <w:tcW w:w="1386" w:type="dxa"/>
            <w:tcBorders>
              <w:top w:val="nil"/>
              <w:left w:val="nil"/>
              <w:bottom w:val="single" w:sz="4" w:space="0" w:color="auto"/>
              <w:right w:val="single" w:sz="4" w:space="0" w:color="auto"/>
            </w:tcBorders>
            <w:shd w:val="clear" w:color="auto" w:fill="auto"/>
            <w:noWrap/>
            <w:vAlign w:val="center"/>
          </w:tcPr>
          <w:p w14:paraId="6BE544CF"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782</w:t>
            </w:r>
          </w:p>
        </w:tc>
        <w:tc>
          <w:tcPr>
            <w:tcW w:w="1387" w:type="dxa"/>
            <w:tcBorders>
              <w:top w:val="nil"/>
              <w:left w:val="nil"/>
              <w:bottom w:val="single" w:sz="4" w:space="0" w:color="auto"/>
              <w:right w:val="single" w:sz="4" w:space="0" w:color="auto"/>
            </w:tcBorders>
            <w:shd w:val="clear" w:color="auto" w:fill="auto"/>
            <w:noWrap/>
            <w:vAlign w:val="center"/>
          </w:tcPr>
          <w:p w14:paraId="558DB880"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767</w:t>
            </w:r>
          </w:p>
        </w:tc>
        <w:tc>
          <w:tcPr>
            <w:tcW w:w="1387" w:type="dxa"/>
            <w:tcBorders>
              <w:top w:val="nil"/>
              <w:left w:val="nil"/>
              <w:bottom w:val="single" w:sz="4" w:space="0" w:color="auto"/>
              <w:right w:val="single" w:sz="4" w:space="0" w:color="auto"/>
            </w:tcBorders>
            <w:vAlign w:val="center"/>
          </w:tcPr>
          <w:p w14:paraId="38EBF7B8"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775</w:t>
            </w:r>
          </w:p>
        </w:tc>
      </w:tr>
      <w:tr w:rsidR="00B57597" w:rsidRPr="002A445D" w14:paraId="04F55BE5" w14:textId="77777777" w:rsidTr="00B57597">
        <w:trPr>
          <w:trHeight w:val="255"/>
        </w:trPr>
        <w:tc>
          <w:tcPr>
            <w:tcW w:w="562" w:type="dxa"/>
            <w:vMerge/>
            <w:tcBorders>
              <w:left w:val="single" w:sz="4" w:space="0" w:color="auto"/>
              <w:bottom w:val="single" w:sz="4" w:space="0" w:color="auto"/>
              <w:right w:val="single" w:sz="4" w:space="0" w:color="auto"/>
            </w:tcBorders>
            <w:shd w:val="clear" w:color="auto" w:fill="auto"/>
            <w:vAlign w:val="center"/>
          </w:tcPr>
          <w:p w14:paraId="2561FA12" w14:textId="77777777" w:rsidR="00B57597" w:rsidRPr="002A445D" w:rsidRDefault="00B57597" w:rsidP="002A445D">
            <w:pPr>
              <w:keepNext/>
              <w:spacing w:after="0"/>
              <w:rPr>
                <w:rFonts w:eastAsia="Calibri" w:cs="Calibri"/>
                <w:b/>
                <w:bCs/>
                <w:color w:val="000000"/>
                <w:sz w:val="16"/>
                <w:szCs w:val="16"/>
              </w:rPr>
            </w:pPr>
          </w:p>
        </w:tc>
        <w:tc>
          <w:tcPr>
            <w:tcW w:w="1560" w:type="dxa"/>
            <w:tcBorders>
              <w:top w:val="nil"/>
              <w:left w:val="single" w:sz="4" w:space="0" w:color="auto"/>
              <w:bottom w:val="single" w:sz="4" w:space="0" w:color="auto"/>
              <w:right w:val="single" w:sz="4" w:space="0" w:color="auto"/>
            </w:tcBorders>
            <w:shd w:val="clear" w:color="auto" w:fill="F2C6C9"/>
            <w:noWrap/>
            <w:vAlign w:val="center"/>
          </w:tcPr>
          <w:p w14:paraId="3AC35490" w14:textId="555C877F" w:rsidR="00B57597" w:rsidRPr="002A445D" w:rsidRDefault="00B57597" w:rsidP="002A445D">
            <w:pPr>
              <w:keepNext/>
              <w:spacing w:after="0"/>
              <w:rPr>
                <w:rFonts w:eastAsia="Calibri" w:cs="Calibri"/>
                <w:color w:val="000000"/>
                <w:sz w:val="16"/>
                <w:szCs w:val="16"/>
              </w:rPr>
            </w:pPr>
            <w:r w:rsidRPr="002A445D">
              <w:rPr>
                <w:rFonts w:cs="Calibri"/>
                <w:color w:val="000000"/>
                <w:sz w:val="16"/>
                <w:szCs w:val="16"/>
              </w:rPr>
              <w:t xml:space="preserve">Náklady na </w:t>
            </w:r>
            <w:r w:rsidR="00D96F31">
              <w:rPr>
                <w:rFonts w:cs="Calibri"/>
                <w:color w:val="000000"/>
                <w:sz w:val="16"/>
                <w:szCs w:val="16"/>
              </w:rPr>
              <w:t>jednoho</w:t>
            </w:r>
            <w:r w:rsidRPr="002A445D">
              <w:rPr>
                <w:rFonts w:cs="Calibri"/>
                <w:color w:val="000000"/>
                <w:sz w:val="16"/>
                <w:szCs w:val="16"/>
              </w:rPr>
              <w:t xml:space="preserve"> zaměstnance (v Kč)</w:t>
            </w:r>
          </w:p>
        </w:tc>
        <w:tc>
          <w:tcPr>
            <w:tcW w:w="1386" w:type="dxa"/>
            <w:tcBorders>
              <w:top w:val="nil"/>
              <w:left w:val="nil"/>
              <w:bottom w:val="single" w:sz="4" w:space="0" w:color="auto"/>
              <w:right w:val="single" w:sz="4" w:space="0" w:color="auto"/>
            </w:tcBorders>
            <w:shd w:val="clear" w:color="auto" w:fill="F2C6C9"/>
            <w:noWrap/>
            <w:vAlign w:val="center"/>
          </w:tcPr>
          <w:p w14:paraId="728FF1D9"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1 264 421,86</w:t>
            </w:r>
          </w:p>
        </w:tc>
        <w:tc>
          <w:tcPr>
            <w:tcW w:w="1387" w:type="dxa"/>
            <w:tcBorders>
              <w:top w:val="nil"/>
              <w:left w:val="nil"/>
              <w:bottom w:val="single" w:sz="4" w:space="0" w:color="auto"/>
              <w:right w:val="single" w:sz="4" w:space="0" w:color="auto"/>
            </w:tcBorders>
            <w:shd w:val="clear" w:color="auto" w:fill="F2C6C9"/>
            <w:noWrap/>
            <w:vAlign w:val="center"/>
          </w:tcPr>
          <w:p w14:paraId="173E145C"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1 376 007,93</w:t>
            </w:r>
          </w:p>
        </w:tc>
        <w:tc>
          <w:tcPr>
            <w:tcW w:w="1386" w:type="dxa"/>
            <w:tcBorders>
              <w:top w:val="nil"/>
              <w:left w:val="nil"/>
              <w:bottom w:val="single" w:sz="4" w:space="0" w:color="auto"/>
              <w:right w:val="single" w:sz="4" w:space="0" w:color="auto"/>
            </w:tcBorders>
            <w:shd w:val="clear" w:color="auto" w:fill="F2C6C9"/>
            <w:noWrap/>
            <w:vAlign w:val="center"/>
          </w:tcPr>
          <w:p w14:paraId="439FD115"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1 481 509,80</w:t>
            </w:r>
          </w:p>
        </w:tc>
        <w:tc>
          <w:tcPr>
            <w:tcW w:w="1387" w:type="dxa"/>
            <w:tcBorders>
              <w:top w:val="nil"/>
              <w:left w:val="nil"/>
              <w:bottom w:val="single" w:sz="4" w:space="0" w:color="auto"/>
              <w:right w:val="single" w:sz="4" w:space="0" w:color="auto"/>
            </w:tcBorders>
            <w:shd w:val="clear" w:color="auto" w:fill="F2C6C9"/>
            <w:noWrap/>
            <w:vAlign w:val="center"/>
          </w:tcPr>
          <w:p w14:paraId="6524ED4A"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1 483 457,82</w:t>
            </w:r>
          </w:p>
        </w:tc>
        <w:tc>
          <w:tcPr>
            <w:tcW w:w="1387" w:type="dxa"/>
            <w:tcBorders>
              <w:top w:val="nil"/>
              <w:left w:val="nil"/>
              <w:bottom w:val="single" w:sz="4" w:space="0" w:color="auto"/>
              <w:right w:val="single" w:sz="4" w:space="0" w:color="auto"/>
            </w:tcBorders>
            <w:shd w:val="clear" w:color="auto" w:fill="F2C6C9"/>
            <w:vAlign w:val="center"/>
          </w:tcPr>
          <w:p w14:paraId="54B027D8" w14:textId="77777777" w:rsidR="00B57597" w:rsidRPr="002A445D" w:rsidRDefault="00B57597" w:rsidP="002A445D">
            <w:pPr>
              <w:keepNext/>
              <w:spacing w:after="0"/>
              <w:ind w:right="28"/>
              <w:jc w:val="right"/>
              <w:rPr>
                <w:rFonts w:eastAsia="Calibri" w:cs="Calibri"/>
                <w:color w:val="000000"/>
                <w:sz w:val="16"/>
                <w:szCs w:val="16"/>
              </w:rPr>
            </w:pPr>
            <w:r w:rsidRPr="002A445D">
              <w:rPr>
                <w:rFonts w:cs="Calibri"/>
                <w:color w:val="000000"/>
                <w:sz w:val="16"/>
                <w:szCs w:val="16"/>
              </w:rPr>
              <w:t>1 595 614,84</w:t>
            </w:r>
          </w:p>
        </w:tc>
      </w:tr>
    </w:tbl>
    <w:p w14:paraId="53D30C2C" w14:textId="77777777" w:rsidR="00B57597" w:rsidRPr="00CF36BE" w:rsidRDefault="00B57597" w:rsidP="00B57597">
      <w:pPr>
        <w:spacing w:before="40"/>
        <w:rPr>
          <w:rFonts w:cs="Calibri"/>
          <w:bCs/>
          <w:color w:val="000000"/>
          <w:sz w:val="20"/>
          <w:szCs w:val="20"/>
          <w:lang w:eastAsia="cs-CZ"/>
        </w:rPr>
      </w:pPr>
      <w:r w:rsidRPr="00CF36BE">
        <w:rPr>
          <w:rFonts w:cs="Calibri"/>
          <w:b/>
          <w:color w:val="000000"/>
          <w:sz w:val="20"/>
          <w:szCs w:val="20"/>
          <w:lang w:eastAsia="cs-CZ"/>
        </w:rPr>
        <w:t>Zdroj</w:t>
      </w:r>
      <w:r w:rsidRPr="00CF36BE">
        <w:rPr>
          <w:rFonts w:cs="Calibri"/>
          <w:color w:val="000000"/>
          <w:sz w:val="20"/>
          <w:szCs w:val="20"/>
          <w:lang w:eastAsia="cs-CZ"/>
        </w:rPr>
        <w:t xml:space="preserve">: informační portál MONITOR, IISSP – finanční výkaz ZAM 1-04 U; výpočet </w:t>
      </w:r>
      <w:r>
        <w:rPr>
          <w:rFonts w:cs="Calibri"/>
          <w:color w:val="000000"/>
          <w:sz w:val="20"/>
          <w:szCs w:val="20"/>
          <w:lang w:eastAsia="cs-CZ"/>
        </w:rPr>
        <w:t>vypracoval NKÚ</w:t>
      </w:r>
      <w:r w:rsidRPr="00CF36BE">
        <w:rPr>
          <w:rFonts w:cs="Calibri"/>
          <w:color w:val="000000"/>
          <w:sz w:val="20"/>
          <w:szCs w:val="20"/>
          <w:lang w:eastAsia="cs-CZ"/>
        </w:rPr>
        <w:t>.</w:t>
      </w:r>
    </w:p>
    <w:p w14:paraId="6C27E011" w14:textId="38E0E37F" w:rsidR="00B57597" w:rsidRPr="009B5FA2" w:rsidRDefault="00B57597" w:rsidP="00B57597">
      <w:pPr>
        <w:jc w:val="both"/>
        <w:rPr>
          <w:rFonts w:asciiTheme="minorHAnsi" w:hAnsiTheme="minorHAnsi" w:cstheme="minorHAnsi"/>
        </w:rPr>
      </w:pPr>
      <w:r w:rsidRPr="009B5FA2">
        <w:rPr>
          <w:rFonts w:asciiTheme="minorHAnsi" w:hAnsiTheme="minorHAnsi" w:cstheme="minorHAnsi"/>
        </w:rPr>
        <w:t xml:space="preserve">Vývoj nákladů na </w:t>
      </w:r>
      <w:r w:rsidR="00D96F31">
        <w:rPr>
          <w:rFonts w:asciiTheme="minorHAnsi" w:hAnsiTheme="minorHAnsi" w:cstheme="minorHAnsi"/>
        </w:rPr>
        <w:t>jednoho</w:t>
      </w:r>
      <w:r w:rsidRPr="009B5FA2">
        <w:rPr>
          <w:rFonts w:asciiTheme="minorHAnsi" w:hAnsiTheme="minorHAnsi" w:cstheme="minorHAnsi"/>
        </w:rPr>
        <w:t xml:space="preserve"> zaměstnance kopíruje vývoj nákladů jako takových. Celk</w:t>
      </w:r>
      <w:r>
        <w:rPr>
          <w:rFonts w:asciiTheme="minorHAnsi" w:hAnsiTheme="minorHAnsi" w:cstheme="minorHAnsi"/>
        </w:rPr>
        <w:t xml:space="preserve">ové náklady na </w:t>
      </w:r>
      <w:r w:rsidR="00D96F31">
        <w:rPr>
          <w:rFonts w:asciiTheme="minorHAnsi" w:hAnsiTheme="minorHAnsi" w:cstheme="minorHAnsi"/>
        </w:rPr>
        <w:t xml:space="preserve">jednoho </w:t>
      </w:r>
      <w:r w:rsidRPr="009B5FA2">
        <w:rPr>
          <w:rFonts w:asciiTheme="minorHAnsi" w:hAnsiTheme="minorHAnsi" w:cstheme="minorHAnsi"/>
        </w:rPr>
        <w:t xml:space="preserve">zaměstnance MPO mezi lety </w:t>
      </w:r>
      <w:r>
        <w:rPr>
          <w:rFonts w:asciiTheme="minorHAnsi" w:hAnsiTheme="minorHAnsi" w:cstheme="minorHAnsi"/>
        </w:rPr>
        <w:t>2016–</w:t>
      </w:r>
      <w:r w:rsidRPr="009B5FA2">
        <w:rPr>
          <w:rFonts w:asciiTheme="minorHAnsi" w:hAnsiTheme="minorHAnsi" w:cstheme="minorHAnsi"/>
        </w:rPr>
        <w:t>2020 rostly z 36,44 mil. Kč až na 66,02</w:t>
      </w:r>
      <w:r w:rsidR="00D96F31">
        <w:rPr>
          <w:rFonts w:asciiTheme="minorHAnsi" w:hAnsiTheme="minorHAnsi" w:cstheme="minorHAnsi"/>
        </w:rPr>
        <w:t> </w:t>
      </w:r>
      <w:r>
        <w:rPr>
          <w:rFonts w:asciiTheme="minorHAnsi" w:hAnsiTheme="minorHAnsi" w:cstheme="minorHAnsi"/>
        </w:rPr>
        <w:t>mil.</w:t>
      </w:r>
      <w:r w:rsidR="00D96F31">
        <w:rPr>
          <w:rFonts w:asciiTheme="minorHAnsi" w:hAnsiTheme="minorHAnsi" w:cstheme="minorHAnsi"/>
        </w:rPr>
        <w:t> </w:t>
      </w:r>
      <w:r>
        <w:rPr>
          <w:rFonts w:asciiTheme="minorHAnsi" w:hAnsiTheme="minorHAnsi" w:cstheme="minorHAnsi"/>
        </w:rPr>
        <w:t>Kč, tj. o </w:t>
      </w:r>
      <w:r w:rsidRPr="009B5FA2">
        <w:rPr>
          <w:rFonts w:asciiTheme="minorHAnsi" w:hAnsiTheme="minorHAnsi" w:cstheme="minorHAnsi"/>
        </w:rPr>
        <w:t>81,15</w:t>
      </w:r>
      <w:r>
        <w:rPr>
          <w:rFonts w:asciiTheme="minorHAnsi" w:hAnsiTheme="minorHAnsi" w:cstheme="minorHAnsi"/>
        </w:rPr>
        <w:t> </w:t>
      </w:r>
      <w:r w:rsidRPr="009B5FA2">
        <w:rPr>
          <w:rFonts w:asciiTheme="minorHAnsi" w:hAnsiTheme="minorHAnsi" w:cstheme="minorHAnsi"/>
        </w:rPr>
        <w:t>%, přičemž mezi největší náklady patřily náklady na transfery a jejich nárůst také nejvíce ovlivnil vývoj nákladů přepočtených na zaměstnance.</w:t>
      </w:r>
      <w:r>
        <w:rPr>
          <w:rFonts w:asciiTheme="minorHAnsi" w:hAnsiTheme="minorHAnsi" w:cstheme="minorHAnsi"/>
        </w:rPr>
        <w:t xml:space="preserve"> Celkové náklady na </w:t>
      </w:r>
      <w:r w:rsidR="00D96F31">
        <w:rPr>
          <w:rFonts w:asciiTheme="minorHAnsi" w:hAnsiTheme="minorHAnsi" w:cstheme="minorHAnsi"/>
        </w:rPr>
        <w:t xml:space="preserve">jednoho </w:t>
      </w:r>
      <w:r w:rsidRPr="009B5FA2">
        <w:rPr>
          <w:rFonts w:asciiTheme="minorHAnsi" w:hAnsiTheme="minorHAnsi" w:cstheme="minorHAnsi"/>
        </w:rPr>
        <w:t>zaměstnance ostatních</w:t>
      </w:r>
      <w:r>
        <w:rPr>
          <w:rFonts w:asciiTheme="minorHAnsi" w:hAnsiTheme="minorHAnsi" w:cstheme="minorHAnsi"/>
        </w:rPr>
        <w:t xml:space="preserve"> OSS (bez MPO) mezi lety 2016–</w:t>
      </w:r>
      <w:r w:rsidRPr="009B5FA2">
        <w:rPr>
          <w:rFonts w:asciiTheme="minorHAnsi" w:hAnsiTheme="minorHAnsi" w:cstheme="minorHAnsi"/>
        </w:rPr>
        <w:t>2020 rostly z 1,26 mil.</w:t>
      </w:r>
      <w:r>
        <w:rPr>
          <w:rFonts w:asciiTheme="minorHAnsi" w:hAnsiTheme="minorHAnsi" w:cstheme="minorHAnsi"/>
        </w:rPr>
        <w:t xml:space="preserve"> Kč na 1,6</w:t>
      </w:r>
      <w:r w:rsidR="002A445D">
        <w:rPr>
          <w:rFonts w:asciiTheme="minorHAnsi" w:hAnsiTheme="minorHAnsi" w:cstheme="minorHAnsi"/>
        </w:rPr>
        <w:t> </w:t>
      </w:r>
      <w:r>
        <w:rPr>
          <w:rFonts w:asciiTheme="minorHAnsi" w:hAnsiTheme="minorHAnsi" w:cstheme="minorHAnsi"/>
        </w:rPr>
        <w:t>mil.</w:t>
      </w:r>
      <w:r w:rsidR="002A445D">
        <w:rPr>
          <w:rFonts w:asciiTheme="minorHAnsi" w:hAnsiTheme="minorHAnsi" w:cstheme="minorHAnsi"/>
        </w:rPr>
        <w:t> </w:t>
      </w:r>
      <w:r>
        <w:rPr>
          <w:rFonts w:asciiTheme="minorHAnsi" w:hAnsiTheme="minorHAnsi" w:cstheme="minorHAnsi"/>
        </w:rPr>
        <w:t>Kč, tj. o 26,19 </w:t>
      </w:r>
      <w:r w:rsidRPr="009B5FA2">
        <w:rPr>
          <w:rFonts w:asciiTheme="minorHAnsi" w:hAnsiTheme="minorHAnsi" w:cstheme="minorHAnsi"/>
        </w:rPr>
        <w:t>%, přičemž mezi největší náklady patřily náklady z činnosti a jejich nárůst také nejvíce ovlivnil vývoj nákladů přepočtených na zaměstnance.</w:t>
      </w:r>
    </w:p>
    <w:p w14:paraId="389D0968" w14:textId="3B9BB44B" w:rsidR="00B57597" w:rsidRPr="006A005B" w:rsidRDefault="00B57597" w:rsidP="00B75EA3">
      <w:pPr>
        <w:pStyle w:val="Titulek1"/>
        <w:ind w:left="1418" w:hanging="1418"/>
        <w:rPr>
          <w:sz w:val="24"/>
        </w:rPr>
      </w:pPr>
      <w:bookmarkStart w:id="94" w:name="_Toc72157484"/>
      <w:r w:rsidRPr="006A005B">
        <w:rPr>
          <w:sz w:val="24"/>
        </w:rPr>
        <w:t xml:space="preserve">Tabulka č. </w:t>
      </w:r>
      <w:r w:rsidR="00776507" w:rsidRPr="006A005B">
        <w:rPr>
          <w:sz w:val="24"/>
        </w:rPr>
        <w:fldChar w:fldCharType="begin"/>
      </w:r>
      <w:r w:rsidR="00776507" w:rsidRPr="006A005B">
        <w:rPr>
          <w:sz w:val="24"/>
        </w:rPr>
        <w:instrText xml:space="preserve"> SEQ Tabulka \* ARABIC </w:instrText>
      </w:r>
      <w:r w:rsidR="00776507" w:rsidRPr="006A005B">
        <w:rPr>
          <w:sz w:val="24"/>
        </w:rPr>
        <w:fldChar w:fldCharType="separate"/>
      </w:r>
      <w:r w:rsidR="00E544AA">
        <w:rPr>
          <w:noProof/>
          <w:sz w:val="24"/>
        </w:rPr>
        <w:t>28</w:t>
      </w:r>
      <w:r w:rsidR="00776507" w:rsidRPr="006A005B">
        <w:rPr>
          <w:noProof/>
          <w:sz w:val="24"/>
        </w:rPr>
        <w:fldChar w:fldCharType="end"/>
      </w:r>
      <w:r w:rsidRPr="006A005B">
        <w:rPr>
          <w:sz w:val="24"/>
        </w:rPr>
        <w:t xml:space="preserve">: </w:t>
      </w:r>
      <w:r w:rsidR="006A005B">
        <w:rPr>
          <w:sz w:val="24"/>
        </w:rPr>
        <w:tab/>
      </w:r>
      <w:r w:rsidRPr="006A005B">
        <w:rPr>
          <w:sz w:val="24"/>
        </w:rPr>
        <w:t>Náklady z činnosti (položka A.I. výkazu zisku a ztráty) vykázané MPO a OSS v rozpočtové kapitole 322 (bez MPO</w:t>
      </w:r>
      <w:r w:rsidR="00D96F31">
        <w:rPr>
          <w:sz w:val="24"/>
        </w:rPr>
        <w:t>;</w:t>
      </w:r>
      <w:r w:rsidRPr="006A005B">
        <w:rPr>
          <w:sz w:val="24"/>
        </w:rPr>
        <w:t xml:space="preserve"> v Kč)</w:t>
      </w:r>
      <w:bookmarkEnd w:id="94"/>
    </w:p>
    <w:tbl>
      <w:tblPr>
        <w:tblW w:w="5000" w:type="pct"/>
        <w:tblCellMar>
          <w:left w:w="70" w:type="dxa"/>
          <w:right w:w="70" w:type="dxa"/>
        </w:tblCellMar>
        <w:tblLook w:val="04A0" w:firstRow="1" w:lastRow="0" w:firstColumn="1" w:lastColumn="0" w:noHBand="0" w:noVBand="1"/>
      </w:tblPr>
      <w:tblGrid>
        <w:gridCol w:w="1614"/>
        <w:gridCol w:w="1490"/>
        <w:gridCol w:w="1489"/>
        <w:gridCol w:w="1489"/>
        <w:gridCol w:w="1489"/>
        <w:gridCol w:w="1489"/>
      </w:tblGrid>
      <w:tr w:rsidR="00B57597" w:rsidRPr="009B5FA2" w14:paraId="2531BFB6" w14:textId="77777777" w:rsidTr="00B57597">
        <w:trPr>
          <w:trHeight w:val="255"/>
        </w:trPr>
        <w:tc>
          <w:tcPr>
            <w:tcW w:w="890"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7B7E9BAA" w14:textId="77777777" w:rsidR="00B57597" w:rsidRPr="009B5FA2" w:rsidRDefault="00B57597" w:rsidP="00B75EA3">
            <w:pPr>
              <w:keepNext/>
              <w:spacing w:after="0"/>
              <w:rPr>
                <w:rFonts w:cs="Calibri"/>
                <w:b/>
                <w:bCs/>
                <w:color w:val="000000"/>
                <w:sz w:val="18"/>
                <w:szCs w:val="18"/>
                <w:lang w:eastAsia="cs-CZ"/>
              </w:rPr>
            </w:pPr>
            <w:r w:rsidRPr="009B5FA2">
              <w:rPr>
                <w:b/>
                <w:bCs/>
                <w:color w:val="000000"/>
                <w:sz w:val="18"/>
                <w:szCs w:val="18"/>
              </w:rPr>
              <w:t>Organizace</w:t>
            </w:r>
          </w:p>
        </w:tc>
        <w:tc>
          <w:tcPr>
            <w:tcW w:w="822" w:type="pct"/>
            <w:tcBorders>
              <w:top w:val="single" w:sz="4" w:space="0" w:color="auto"/>
              <w:left w:val="nil"/>
              <w:bottom w:val="single" w:sz="4" w:space="0" w:color="auto"/>
              <w:right w:val="single" w:sz="4" w:space="0" w:color="auto"/>
            </w:tcBorders>
            <w:shd w:val="clear" w:color="auto" w:fill="E5F1FF"/>
            <w:noWrap/>
            <w:vAlign w:val="center"/>
            <w:hideMark/>
          </w:tcPr>
          <w:p w14:paraId="4326D480" w14:textId="77777777" w:rsidR="00B57597" w:rsidRPr="009B5FA2" w:rsidRDefault="00B57597" w:rsidP="00B75EA3">
            <w:pPr>
              <w:keepNext/>
              <w:spacing w:after="0"/>
              <w:jc w:val="center"/>
              <w:rPr>
                <w:rFonts w:cs="Calibri"/>
                <w:b/>
                <w:bCs/>
                <w:color w:val="000000"/>
                <w:sz w:val="18"/>
                <w:szCs w:val="18"/>
                <w:lang w:eastAsia="cs-CZ"/>
              </w:rPr>
            </w:pPr>
            <w:r w:rsidRPr="009B5FA2">
              <w:rPr>
                <w:b/>
                <w:bCs/>
                <w:color w:val="000000"/>
                <w:sz w:val="18"/>
                <w:szCs w:val="18"/>
              </w:rPr>
              <w:t>2016</w:t>
            </w:r>
          </w:p>
        </w:tc>
        <w:tc>
          <w:tcPr>
            <w:tcW w:w="822" w:type="pct"/>
            <w:tcBorders>
              <w:top w:val="single" w:sz="4" w:space="0" w:color="auto"/>
              <w:left w:val="nil"/>
              <w:bottom w:val="single" w:sz="4" w:space="0" w:color="auto"/>
              <w:right w:val="single" w:sz="4" w:space="0" w:color="auto"/>
            </w:tcBorders>
            <w:shd w:val="clear" w:color="auto" w:fill="E5F1FF"/>
            <w:noWrap/>
            <w:vAlign w:val="center"/>
            <w:hideMark/>
          </w:tcPr>
          <w:p w14:paraId="43B30333" w14:textId="77777777" w:rsidR="00B57597" w:rsidRPr="009B5FA2" w:rsidRDefault="00B57597" w:rsidP="00B75EA3">
            <w:pPr>
              <w:keepNext/>
              <w:spacing w:after="0"/>
              <w:jc w:val="center"/>
              <w:rPr>
                <w:rFonts w:cs="Calibri"/>
                <w:b/>
                <w:bCs/>
                <w:color w:val="000000"/>
                <w:sz w:val="18"/>
                <w:szCs w:val="18"/>
                <w:lang w:eastAsia="cs-CZ"/>
              </w:rPr>
            </w:pPr>
            <w:r w:rsidRPr="009B5FA2">
              <w:rPr>
                <w:b/>
                <w:bCs/>
                <w:color w:val="000000"/>
                <w:sz w:val="18"/>
                <w:szCs w:val="18"/>
              </w:rPr>
              <w:t>2017</w:t>
            </w:r>
          </w:p>
        </w:tc>
        <w:tc>
          <w:tcPr>
            <w:tcW w:w="822" w:type="pct"/>
            <w:tcBorders>
              <w:top w:val="single" w:sz="4" w:space="0" w:color="auto"/>
              <w:left w:val="nil"/>
              <w:bottom w:val="single" w:sz="4" w:space="0" w:color="auto"/>
              <w:right w:val="single" w:sz="4" w:space="0" w:color="auto"/>
            </w:tcBorders>
            <w:shd w:val="clear" w:color="auto" w:fill="E5F1FF"/>
            <w:noWrap/>
            <w:vAlign w:val="center"/>
            <w:hideMark/>
          </w:tcPr>
          <w:p w14:paraId="458E870E" w14:textId="77777777" w:rsidR="00B57597" w:rsidRPr="009B5FA2" w:rsidRDefault="00B57597" w:rsidP="00B75EA3">
            <w:pPr>
              <w:keepNext/>
              <w:spacing w:after="0"/>
              <w:jc w:val="center"/>
              <w:rPr>
                <w:rFonts w:cs="Calibri"/>
                <w:b/>
                <w:bCs/>
                <w:color w:val="000000"/>
                <w:sz w:val="18"/>
                <w:szCs w:val="18"/>
                <w:lang w:eastAsia="cs-CZ"/>
              </w:rPr>
            </w:pPr>
            <w:r w:rsidRPr="009B5FA2">
              <w:rPr>
                <w:b/>
                <w:bCs/>
                <w:color w:val="000000"/>
                <w:sz w:val="18"/>
                <w:szCs w:val="18"/>
              </w:rPr>
              <w:t>2018</w:t>
            </w:r>
          </w:p>
        </w:tc>
        <w:tc>
          <w:tcPr>
            <w:tcW w:w="822" w:type="pct"/>
            <w:tcBorders>
              <w:top w:val="single" w:sz="4" w:space="0" w:color="auto"/>
              <w:left w:val="nil"/>
              <w:bottom w:val="single" w:sz="4" w:space="0" w:color="auto"/>
              <w:right w:val="single" w:sz="4" w:space="0" w:color="auto"/>
            </w:tcBorders>
            <w:shd w:val="clear" w:color="auto" w:fill="E5F1FF"/>
            <w:noWrap/>
            <w:vAlign w:val="center"/>
            <w:hideMark/>
          </w:tcPr>
          <w:p w14:paraId="07E00186" w14:textId="77777777" w:rsidR="00B57597" w:rsidRPr="009B5FA2" w:rsidRDefault="00B57597" w:rsidP="00B75EA3">
            <w:pPr>
              <w:keepNext/>
              <w:spacing w:after="0"/>
              <w:jc w:val="center"/>
              <w:rPr>
                <w:rFonts w:cs="Calibri"/>
                <w:b/>
                <w:bCs/>
                <w:color w:val="000000"/>
                <w:sz w:val="18"/>
                <w:szCs w:val="18"/>
                <w:lang w:eastAsia="cs-CZ"/>
              </w:rPr>
            </w:pPr>
            <w:r w:rsidRPr="009B5FA2">
              <w:rPr>
                <w:b/>
                <w:bCs/>
                <w:color w:val="000000"/>
                <w:sz w:val="18"/>
                <w:szCs w:val="18"/>
              </w:rPr>
              <w:t>2019</w:t>
            </w:r>
          </w:p>
        </w:tc>
        <w:tc>
          <w:tcPr>
            <w:tcW w:w="822" w:type="pct"/>
            <w:tcBorders>
              <w:top w:val="single" w:sz="4" w:space="0" w:color="auto"/>
              <w:left w:val="nil"/>
              <w:bottom w:val="single" w:sz="4" w:space="0" w:color="auto"/>
              <w:right w:val="single" w:sz="4" w:space="0" w:color="auto"/>
            </w:tcBorders>
            <w:shd w:val="clear" w:color="auto" w:fill="E5F1FF"/>
            <w:vAlign w:val="center"/>
          </w:tcPr>
          <w:p w14:paraId="37A73890" w14:textId="77777777" w:rsidR="00B57597" w:rsidRPr="009B5FA2" w:rsidRDefault="00B57597" w:rsidP="00B75EA3">
            <w:pPr>
              <w:keepNext/>
              <w:spacing w:after="0"/>
              <w:jc w:val="center"/>
              <w:rPr>
                <w:rFonts w:cs="Calibri"/>
                <w:b/>
                <w:bCs/>
                <w:color w:val="000000"/>
                <w:sz w:val="18"/>
                <w:szCs w:val="18"/>
                <w:lang w:eastAsia="cs-CZ"/>
              </w:rPr>
            </w:pPr>
            <w:r w:rsidRPr="009B5FA2">
              <w:rPr>
                <w:b/>
                <w:bCs/>
                <w:color w:val="000000"/>
                <w:sz w:val="18"/>
                <w:szCs w:val="18"/>
              </w:rPr>
              <w:t>2020</w:t>
            </w:r>
          </w:p>
        </w:tc>
      </w:tr>
      <w:tr w:rsidR="00B57597" w:rsidRPr="009B5FA2" w14:paraId="33902306" w14:textId="77777777" w:rsidTr="00B57597">
        <w:trPr>
          <w:trHeight w:val="255"/>
        </w:trPr>
        <w:tc>
          <w:tcPr>
            <w:tcW w:w="890" w:type="pct"/>
            <w:tcBorders>
              <w:top w:val="nil"/>
              <w:left w:val="single" w:sz="4" w:space="0" w:color="auto"/>
              <w:bottom w:val="single" w:sz="4" w:space="0" w:color="auto"/>
              <w:right w:val="single" w:sz="4" w:space="0" w:color="auto"/>
            </w:tcBorders>
            <w:shd w:val="clear" w:color="auto" w:fill="auto"/>
            <w:noWrap/>
            <w:vAlign w:val="center"/>
          </w:tcPr>
          <w:p w14:paraId="009462F7" w14:textId="77777777" w:rsidR="00B57597" w:rsidRPr="009B5FA2" w:rsidRDefault="00B57597" w:rsidP="00B75EA3">
            <w:pPr>
              <w:keepNext/>
              <w:spacing w:after="0"/>
              <w:rPr>
                <w:rFonts w:eastAsia="Calibri" w:cs="Calibri"/>
                <w:color w:val="000000"/>
                <w:sz w:val="18"/>
                <w:szCs w:val="18"/>
              </w:rPr>
            </w:pPr>
            <w:r w:rsidRPr="009B5FA2">
              <w:rPr>
                <w:color w:val="000000"/>
                <w:sz w:val="18"/>
                <w:szCs w:val="18"/>
              </w:rPr>
              <w:t>MPO</w:t>
            </w:r>
          </w:p>
        </w:tc>
        <w:tc>
          <w:tcPr>
            <w:tcW w:w="822" w:type="pct"/>
            <w:tcBorders>
              <w:top w:val="nil"/>
              <w:left w:val="nil"/>
              <w:bottom w:val="single" w:sz="4" w:space="0" w:color="auto"/>
              <w:right w:val="single" w:sz="4" w:space="0" w:color="auto"/>
            </w:tcBorders>
            <w:shd w:val="clear" w:color="auto" w:fill="auto"/>
            <w:noWrap/>
            <w:vAlign w:val="center"/>
          </w:tcPr>
          <w:p w14:paraId="57A559E6" w14:textId="77777777" w:rsidR="00B57597" w:rsidRPr="009B5FA2" w:rsidRDefault="00B57597" w:rsidP="00B75EA3">
            <w:pPr>
              <w:keepNext/>
              <w:spacing w:after="0"/>
              <w:jc w:val="right"/>
              <w:rPr>
                <w:rFonts w:eastAsia="Calibri" w:cs="Calibri"/>
                <w:color w:val="000000"/>
                <w:sz w:val="18"/>
                <w:szCs w:val="18"/>
              </w:rPr>
            </w:pPr>
            <w:r w:rsidRPr="009B5FA2">
              <w:rPr>
                <w:color w:val="000000"/>
                <w:sz w:val="18"/>
                <w:szCs w:val="18"/>
              </w:rPr>
              <w:t>1 110 657 530,01</w:t>
            </w:r>
          </w:p>
        </w:tc>
        <w:tc>
          <w:tcPr>
            <w:tcW w:w="822" w:type="pct"/>
            <w:tcBorders>
              <w:top w:val="nil"/>
              <w:left w:val="nil"/>
              <w:bottom w:val="single" w:sz="4" w:space="0" w:color="auto"/>
              <w:right w:val="single" w:sz="4" w:space="0" w:color="auto"/>
            </w:tcBorders>
            <w:shd w:val="clear" w:color="auto" w:fill="auto"/>
            <w:noWrap/>
            <w:vAlign w:val="center"/>
          </w:tcPr>
          <w:p w14:paraId="7D76A0EC" w14:textId="77777777" w:rsidR="00B57597" w:rsidRPr="009B5FA2" w:rsidRDefault="00B57597" w:rsidP="00B75EA3">
            <w:pPr>
              <w:keepNext/>
              <w:spacing w:after="0"/>
              <w:jc w:val="right"/>
              <w:rPr>
                <w:rFonts w:eastAsia="Calibri" w:cs="Calibri"/>
                <w:color w:val="000000"/>
                <w:sz w:val="18"/>
                <w:szCs w:val="18"/>
              </w:rPr>
            </w:pPr>
            <w:r w:rsidRPr="009B5FA2">
              <w:rPr>
                <w:color w:val="000000"/>
                <w:sz w:val="18"/>
                <w:szCs w:val="18"/>
              </w:rPr>
              <w:t>1 200 723 605,46</w:t>
            </w:r>
          </w:p>
        </w:tc>
        <w:tc>
          <w:tcPr>
            <w:tcW w:w="822" w:type="pct"/>
            <w:tcBorders>
              <w:top w:val="nil"/>
              <w:left w:val="nil"/>
              <w:bottom w:val="single" w:sz="4" w:space="0" w:color="auto"/>
              <w:right w:val="single" w:sz="4" w:space="0" w:color="auto"/>
            </w:tcBorders>
            <w:shd w:val="clear" w:color="auto" w:fill="auto"/>
            <w:noWrap/>
            <w:vAlign w:val="center"/>
          </w:tcPr>
          <w:p w14:paraId="4B087745" w14:textId="77777777" w:rsidR="00B57597" w:rsidRPr="009B5FA2" w:rsidRDefault="00B57597" w:rsidP="00B75EA3">
            <w:pPr>
              <w:keepNext/>
              <w:spacing w:after="0"/>
              <w:jc w:val="right"/>
              <w:rPr>
                <w:rFonts w:eastAsia="Calibri" w:cs="Calibri"/>
                <w:color w:val="000000"/>
                <w:sz w:val="18"/>
                <w:szCs w:val="18"/>
              </w:rPr>
            </w:pPr>
            <w:r w:rsidRPr="009B5FA2">
              <w:rPr>
                <w:color w:val="000000"/>
                <w:sz w:val="18"/>
                <w:szCs w:val="18"/>
              </w:rPr>
              <w:t>1 272 670 137,38</w:t>
            </w:r>
          </w:p>
        </w:tc>
        <w:tc>
          <w:tcPr>
            <w:tcW w:w="822" w:type="pct"/>
            <w:tcBorders>
              <w:top w:val="nil"/>
              <w:left w:val="nil"/>
              <w:bottom w:val="single" w:sz="4" w:space="0" w:color="auto"/>
              <w:right w:val="single" w:sz="4" w:space="0" w:color="auto"/>
            </w:tcBorders>
            <w:shd w:val="clear" w:color="auto" w:fill="auto"/>
            <w:noWrap/>
            <w:vAlign w:val="center"/>
          </w:tcPr>
          <w:p w14:paraId="1ED45D86" w14:textId="77777777" w:rsidR="00B57597" w:rsidRPr="009B5FA2" w:rsidRDefault="00B57597" w:rsidP="00B75EA3">
            <w:pPr>
              <w:keepNext/>
              <w:spacing w:after="0"/>
              <w:jc w:val="right"/>
              <w:rPr>
                <w:rFonts w:eastAsia="Calibri" w:cs="Calibri"/>
                <w:color w:val="000000"/>
                <w:sz w:val="18"/>
                <w:szCs w:val="18"/>
              </w:rPr>
            </w:pPr>
            <w:r w:rsidRPr="009B5FA2">
              <w:rPr>
                <w:color w:val="000000"/>
                <w:sz w:val="18"/>
                <w:szCs w:val="18"/>
              </w:rPr>
              <w:t>1 620 893 058,61</w:t>
            </w:r>
          </w:p>
        </w:tc>
        <w:tc>
          <w:tcPr>
            <w:tcW w:w="822" w:type="pct"/>
            <w:tcBorders>
              <w:top w:val="nil"/>
              <w:left w:val="nil"/>
              <w:bottom w:val="single" w:sz="4" w:space="0" w:color="auto"/>
              <w:right w:val="single" w:sz="4" w:space="0" w:color="auto"/>
            </w:tcBorders>
            <w:vAlign w:val="center"/>
          </w:tcPr>
          <w:p w14:paraId="54148DC8" w14:textId="77777777" w:rsidR="00B57597" w:rsidRPr="009B5FA2" w:rsidRDefault="00B57597" w:rsidP="00B75EA3">
            <w:pPr>
              <w:keepNext/>
              <w:spacing w:after="0"/>
              <w:jc w:val="right"/>
              <w:rPr>
                <w:rFonts w:cs="Calibri"/>
                <w:color w:val="000000"/>
                <w:sz w:val="18"/>
                <w:szCs w:val="18"/>
              </w:rPr>
            </w:pPr>
            <w:r w:rsidRPr="009B5FA2">
              <w:rPr>
                <w:rFonts w:cs="Calibri"/>
                <w:color w:val="000000"/>
                <w:sz w:val="18"/>
                <w:szCs w:val="18"/>
              </w:rPr>
              <w:t>5 435 527 260,51</w:t>
            </w:r>
          </w:p>
        </w:tc>
      </w:tr>
      <w:tr w:rsidR="00B57597" w:rsidRPr="00B567F4" w14:paraId="36A00A16" w14:textId="77777777" w:rsidTr="00B57597">
        <w:trPr>
          <w:trHeight w:val="255"/>
        </w:trPr>
        <w:tc>
          <w:tcPr>
            <w:tcW w:w="890" w:type="pct"/>
            <w:tcBorders>
              <w:top w:val="nil"/>
              <w:left w:val="single" w:sz="4" w:space="0" w:color="auto"/>
              <w:bottom w:val="single" w:sz="4" w:space="0" w:color="auto"/>
              <w:right w:val="single" w:sz="4" w:space="0" w:color="auto"/>
            </w:tcBorders>
            <w:shd w:val="clear" w:color="auto" w:fill="auto"/>
            <w:noWrap/>
            <w:vAlign w:val="center"/>
          </w:tcPr>
          <w:p w14:paraId="3B9C7033" w14:textId="77777777" w:rsidR="00B57597" w:rsidRPr="009B5FA2" w:rsidRDefault="00B57597" w:rsidP="00B75EA3">
            <w:pPr>
              <w:keepNext/>
              <w:spacing w:after="0"/>
              <w:rPr>
                <w:rFonts w:eastAsia="Calibri" w:cs="Calibri"/>
                <w:color w:val="000000"/>
                <w:sz w:val="18"/>
                <w:szCs w:val="18"/>
              </w:rPr>
            </w:pPr>
            <w:r w:rsidRPr="009B5FA2">
              <w:rPr>
                <w:color w:val="000000"/>
                <w:sz w:val="18"/>
                <w:szCs w:val="18"/>
              </w:rPr>
              <w:t>OSS bez MPO</w:t>
            </w:r>
          </w:p>
        </w:tc>
        <w:tc>
          <w:tcPr>
            <w:tcW w:w="822" w:type="pct"/>
            <w:tcBorders>
              <w:top w:val="nil"/>
              <w:left w:val="nil"/>
              <w:bottom w:val="single" w:sz="4" w:space="0" w:color="auto"/>
              <w:right w:val="single" w:sz="4" w:space="0" w:color="auto"/>
            </w:tcBorders>
            <w:shd w:val="clear" w:color="auto" w:fill="auto"/>
            <w:noWrap/>
            <w:vAlign w:val="center"/>
          </w:tcPr>
          <w:p w14:paraId="7B893841" w14:textId="77777777" w:rsidR="00B57597" w:rsidRPr="009B5FA2" w:rsidRDefault="00B57597" w:rsidP="00B75EA3">
            <w:pPr>
              <w:keepNext/>
              <w:spacing w:after="0"/>
              <w:jc w:val="right"/>
              <w:rPr>
                <w:rFonts w:eastAsia="Calibri" w:cs="Calibri"/>
                <w:color w:val="000000"/>
                <w:sz w:val="18"/>
                <w:szCs w:val="18"/>
              </w:rPr>
            </w:pPr>
            <w:r w:rsidRPr="009B5FA2">
              <w:rPr>
                <w:color w:val="000000"/>
                <w:sz w:val="18"/>
                <w:szCs w:val="18"/>
              </w:rPr>
              <w:t>846 900 209,58</w:t>
            </w:r>
          </w:p>
        </w:tc>
        <w:tc>
          <w:tcPr>
            <w:tcW w:w="822" w:type="pct"/>
            <w:tcBorders>
              <w:top w:val="nil"/>
              <w:left w:val="nil"/>
              <w:bottom w:val="single" w:sz="4" w:space="0" w:color="auto"/>
              <w:right w:val="single" w:sz="4" w:space="0" w:color="auto"/>
            </w:tcBorders>
            <w:shd w:val="clear" w:color="auto" w:fill="auto"/>
            <w:noWrap/>
            <w:vAlign w:val="center"/>
          </w:tcPr>
          <w:p w14:paraId="5A400CBF" w14:textId="77777777" w:rsidR="00B57597" w:rsidRPr="009B5FA2" w:rsidRDefault="00B57597" w:rsidP="00B75EA3">
            <w:pPr>
              <w:keepNext/>
              <w:spacing w:after="0"/>
              <w:jc w:val="right"/>
              <w:rPr>
                <w:rFonts w:eastAsia="Calibri" w:cs="Calibri"/>
                <w:color w:val="000000"/>
                <w:sz w:val="18"/>
                <w:szCs w:val="18"/>
              </w:rPr>
            </w:pPr>
            <w:r w:rsidRPr="009B5FA2">
              <w:rPr>
                <w:color w:val="000000"/>
                <w:sz w:val="18"/>
                <w:szCs w:val="18"/>
              </w:rPr>
              <w:t>1 000 560 909,35</w:t>
            </w:r>
          </w:p>
        </w:tc>
        <w:tc>
          <w:tcPr>
            <w:tcW w:w="822" w:type="pct"/>
            <w:tcBorders>
              <w:top w:val="nil"/>
              <w:left w:val="nil"/>
              <w:bottom w:val="single" w:sz="4" w:space="0" w:color="auto"/>
              <w:right w:val="single" w:sz="4" w:space="0" w:color="auto"/>
            </w:tcBorders>
            <w:shd w:val="clear" w:color="auto" w:fill="auto"/>
            <w:noWrap/>
            <w:vAlign w:val="center"/>
          </w:tcPr>
          <w:p w14:paraId="6635F465" w14:textId="77777777" w:rsidR="00B57597" w:rsidRPr="009B5FA2" w:rsidRDefault="00B57597" w:rsidP="00B75EA3">
            <w:pPr>
              <w:keepNext/>
              <w:spacing w:after="0"/>
              <w:jc w:val="right"/>
              <w:rPr>
                <w:rFonts w:eastAsia="Calibri" w:cs="Calibri"/>
                <w:color w:val="000000"/>
                <w:sz w:val="18"/>
                <w:szCs w:val="18"/>
              </w:rPr>
            </w:pPr>
            <w:r w:rsidRPr="009B5FA2">
              <w:rPr>
                <w:color w:val="000000"/>
                <w:sz w:val="18"/>
                <w:szCs w:val="18"/>
              </w:rPr>
              <w:t>1 054 125 797,68</w:t>
            </w:r>
          </w:p>
        </w:tc>
        <w:tc>
          <w:tcPr>
            <w:tcW w:w="822" w:type="pct"/>
            <w:tcBorders>
              <w:top w:val="nil"/>
              <w:left w:val="nil"/>
              <w:bottom w:val="single" w:sz="4" w:space="0" w:color="auto"/>
              <w:right w:val="single" w:sz="4" w:space="0" w:color="auto"/>
            </w:tcBorders>
            <w:shd w:val="clear" w:color="auto" w:fill="auto"/>
            <w:noWrap/>
            <w:vAlign w:val="center"/>
          </w:tcPr>
          <w:p w14:paraId="3EEDADF1" w14:textId="77777777" w:rsidR="00B57597" w:rsidRPr="009B5FA2" w:rsidRDefault="00B57597" w:rsidP="00B75EA3">
            <w:pPr>
              <w:keepNext/>
              <w:spacing w:after="0"/>
              <w:jc w:val="right"/>
              <w:rPr>
                <w:rFonts w:eastAsia="Calibri" w:cs="Calibri"/>
                <w:color w:val="000000"/>
                <w:sz w:val="18"/>
                <w:szCs w:val="18"/>
              </w:rPr>
            </w:pPr>
            <w:r w:rsidRPr="009B5FA2">
              <w:rPr>
                <w:color w:val="000000"/>
                <w:sz w:val="18"/>
                <w:szCs w:val="18"/>
              </w:rPr>
              <w:t>1 021 599 819,70</w:t>
            </w:r>
          </w:p>
        </w:tc>
        <w:tc>
          <w:tcPr>
            <w:tcW w:w="822" w:type="pct"/>
            <w:tcBorders>
              <w:top w:val="nil"/>
              <w:left w:val="nil"/>
              <w:bottom w:val="single" w:sz="4" w:space="0" w:color="auto"/>
              <w:right w:val="single" w:sz="4" w:space="0" w:color="auto"/>
            </w:tcBorders>
            <w:vAlign w:val="center"/>
          </w:tcPr>
          <w:p w14:paraId="3F36DBEE" w14:textId="77777777" w:rsidR="00B57597" w:rsidRPr="009B5FA2" w:rsidRDefault="00B57597" w:rsidP="00B75EA3">
            <w:pPr>
              <w:keepNext/>
              <w:spacing w:after="0"/>
              <w:jc w:val="right"/>
              <w:rPr>
                <w:rFonts w:eastAsia="Calibri" w:cs="Calibri"/>
                <w:color w:val="000000"/>
                <w:sz w:val="18"/>
                <w:szCs w:val="18"/>
              </w:rPr>
            </w:pPr>
            <w:r w:rsidRPr="009B5FA2">
              <w:rPr>
                <w:color w:val="000000"/>
                <w:sz w:val="18"/>
                <w:szCs w:val="18"/>
              </w:rPr>
              <w:t>1 127 461 525,79</w:t>
            </w:r>
          </w:p>
        </w:tc>
      </w:tr>
    </w:tbl>
    <w:p w14:paraId="34AFB28D" w14:textId="77777777" w:rsidR="00B57597" w:rsidRPr="00CF36BE" w:rsidRDefault="00B57597" w:rsidP="00B57597">
      <w:pPr>
        <w:spacing w:before="40"/>
        <w:rPr>
          <w:rFonts w:cs="Calibri"/>
          <w:color w:val="000000"/>
          <w:sz w:val="20"/>
          <w:szCs w:val="20"/>
          <w:lang w:eastAsia="cs-CZ"/>
        </w:rPr>
      </w:pPr>
      <w:r w:rsidRPr="00CF36BE">
        <w:rPr>
          <w:rFonts w:cs="Calibri"/>
          <w:b/>
          <w:color w:val="000000"/>
          <w:sz w:val="20"/>
          <w:szCs w:val="20"/>
          <w:lang w:eastAsia="cs-CZ"/>
        </w:rPr>
        <w:t xml:space="preserve">Zdroj: </w:t>
      </w:r>
      <w:r w:rsidRPr="00CF36BE">
        <w:rPr>
          <w:rFonts w:cs="Calibri"/>
          <w:color w:val="000000"/>
          <w:sz w:val="20"/>
          <w:szCs w:val="20"/>
          <w:lang w:eastAsia="cs-CZ"/>
        </w:rPr>
        <w:t>informační portál MONITOR.</w:t>
      </w:r>
    </w:p>
    <w:p w14:paraId="652E3B29" w14:textId="77777777" w:rsidR="00B57597" w:rsidRPr="009B5FA2" w:rsidRDefault="00B57597" w:rsidP="00B57597">
      <w:pPr>
        <w:jc w:val="both"/>
        <w:rPr>
          <w:rFonts w:asciiTheme="minorHAnsi" w:hAnsiTheme="minorHAnsi" w:cstheme="minorHAnsi"/>
        </w:rPr>
      </w:pPr>
      <w:r w:rsidRPr="009B5FA2">
        <w:rPr>
          <w:rFonts w:asciiTheme="minorHAnsi" w:hAnsiTheme="minorHAnsi" w:cstheme="minorHAnsi"/>
        </w:rPr>
        <w:t>Náklady z činnosti MPO vykazují ve sledovaném období mírně rostoucí tendenci. Mezi roky 2019 a 2020 však došlo k významnému nárůstu o 3,81 mld. Kč, tj. o</w:t>
      </w:r>
      <w:r>
        <w:rPr>
          <w:rFonts w:asciiTheme="minorHAnsi" w:hAnsiTheme="minorHAnsi" w:cstheme="minorHAnsi"/>
        </w:rPr>
        <w:t xml:space="preserve"> 235,34 %. Náklady z </w:t>
      </w:r>
      <w:r w:rsidRPr="009B5FA2">
        <w:rPr>
          <w:rFonts w:asciiTheme="minorHAnsi" w:hAnsiTheme="minorHAnsi" w:cstheme="minorHAnsi"/>
        </w:rPr>
        <w:t>činnosti zbylých OSS ve sledovaném období rovněž mírně rostou, ale bez skokového nárůstu mezi roky 2019 a 2020.</w:t>
      </w:r>
    </w:p>
    <w:p w14:paraId="39A0912D" w14:textId="77777777" w:rsidR="00B57597" w:rsidRPr="009B5FA2" w:rsidRDefault="00B57597" w:rsidP="00B57597">
      <w:pPr>
        <w:spacing w:before="120"/>
        <w:jc w:val="both"/>
        <w:rPr>
          <w:rFonts w:asciiTheme="minorHAnsi" w:hAnsiTheme="minorHAnsi" w:cstheme="minorHAnsi"/>
          <w:b/>
        </w:rPr>
      </w:pPr>
      <w:r w:rsidRPr="009B5FA2">
        <w:rPr>
          <w:rFonts w:asciiTheme="minorHAnsi" w:hAnsiTheme="minorHAnsi" w:cstheme="minorHAnsi"/>
        </w:rPr>
        <w:t>Nejvyšší položku nákladů z činnosti MPO tvořil v roce 2020 zůstatek syntetického účtu</w:t>
      </w:r>
      <w:r>
        <w:rPr>
          <w:rFonts w:asciiTheme="minorHAnsi" w:hAnsiTheme="minorHAnsi" w:cstheme="minorHAnsi"/>
        </w:rPr>
        <w:br/>
      </w:r>
      <w:r w:rsidRPr="009B5FA2">
        <w:rPr>
          <w:rFonts w:asciiTheme="minorHAnsi" w:hAnsiTheme="minorHAnsi" w:cstheme="minorHAnsi"/>
        </w:rPr>
        <w:t>557</w:t>
      </w:r>
      <w:r>
        <w:rPr>
          <w:rFonts w:asciiTheme="minorHAnsi" w:hAnsiTheme="minorHAnsi" w:cstheme="minorHAnsi"/>
        </w:rPr>
        <w:t> </w:t>
      </w:r>
      <w:r w:rsidRPr="009B5FA2">
        <w:rPr>
          <w:rFonts w:asciiTheme="minorHAnsi" w:hAnsiTheme="minorHAnsi" w:cstheme="minorHAnsi"/>
        </w:rPr>
        <w:t>–</w:t>
      </w:r>
      <w:r>
        <w:rPr>
          <w:rFonts w:asciiTheme="minorHAnsi" w:hAnsiTheme="minorHAnsi" w:cstheme="minorHAnsi"/>
        </w:rPr>
        <w:t> </w:t>
      </w:r>
      <w:r w:rsidRPr="009B5FA2">
        <w:rPr>
          <w:rFonts w:asciiTheme="minorHAnsi" w:hAnsiTheme="minorHAnsi" w:cstheme="minorHAnsi"/>
          <w:i/>
        </w:rPr>
        <w:t>Náklady z vyřazených pohledávek</w:t>
      </w:r>
      <w:r w:rsidRPr="009B5FA2">
        <w:rPr>
          <w:rFonts w:asciiTheme="minorHAnsi" w:hAnsiTheme="minorHAnsi" w:cstheme="minorHAnsi"/>
        </w:rPr>
        <w:t xml:space="preserve"> ve výši 3 608 041 934 Kč, tj. 66,38 % nákladů z činnosti. Další významné náklady z činnosti byly vykázány na účtu 521 – </w:t>
      </w:r>
      <w:r w:rsidRPr="009B5FA2">
        <w:rPr>
          <w:rFonts w:asciiTheme="minorHAnsi" w:hAnsiTheme="minorHAnsi" w:cstheme="minorHAnsi"/>
          <w:i/>
        </w:rPr>
        <w:t>Mzdové náklady</w:t>
      </w:r>
      <w:r w:rsidRPr="009B5FA2">
        <w:rPr>
          <w:rFonts w:asciiTheme="minorHAnsi" w:hAnsiTheme="minorHAnsi" w:cstheme="minorHAnsi"/>
        </w:rPr>
        <w:t xml:space="preserve"> ve výši 625 453 332,38 Kč, tj. 11,51 % nákladů z činnosti a na účtu 518 – </w:t>
      </w:r>
      <w:r w:rsidRPr="009B5FA2">
        <w:rPr>
          <w:rFonts w:asciiTheme="minorHAnsi" w:hAnsiTheme="minorHAnsi" w:cstheme="minorHAnsi"/>
          <w:i/>
        </w:rPr>
        <w:t>Ostatní služby</w:t>
      </w:r>
      <w:r w:rsidRPr="009B5FA2">
        <w:rPr>
          <w:rFonts w:asciiTheme="minorHAnsi" w:hAnsiTheme="minorHAnsi" w:cstheme="minorHAnsi"/>
        </w:rPr>
        <w:t xml:space="preserve"> ve výši 559 573 760,50 Kč, tj. 10,29 % nákladů z činnosti.</w:t>
      </w:r>
    </w:p>
    <w:p w14:paraId="512C27C4" w14:textId="631A98E2" w:rsidR="00B57597" w:rsidRPr="00B75EA3" w:rsidRDefault="00B57597" w:rsidP="00B75EA3">
      <w:pPr>
        <w:pStyle w:val="Titulek1"/>
        <w:ind w:left="1418" w:hanging="1418"/>
        <w:rPr>
          <w:sz w:val="24"/>
        </w:rPr>
      </w:pPr>
      <w:bookmarkStart w:id="95" w:name="_Toc8984546"/>
      <w:bookmarkStart w:id="96" w:name="_Toc520714339"/>
      <w:bookmarkStart w:id="97" w:name="_Toc72157485"/>
      <w:r w:rsidRPr="009B5FA2">
        <w:t>T</w:t>
      </w:r>
      <w:r w:rsidRPr="00B75EA3">
        <w:rPr>
          <w:sz w:val="24"/>
        </w:rPr>
        <w:t xml:space="preserve">abulka č. </w:t>
      </w:r>
      <w:r w:rsidR="00776507" w:rsidRPr="00B75EA3">
        <w:rPr>
          <w:sz w:val="24"/>
        </w:rPr>
        <w:fldChar w:fldCharType="begin"/>
      </w:r>
      <w:r w:rsidR="00776507" w:rsidRPr="00B75EA3">
        <w:rPr>
          <w:sz w:val="24"/>
        </w:rPr>
        <w:instrText xml:space="preserve"> SEQ Tabulka \* ARABIC </w:instrText>
      </w:r>
      <w:r w:rsidR="00776507" w:rsidRPr="00B75EA3">
        <w:rPr>
          <w:sz w:val="24"/>
        </w:rPr>
        <w:fldChar w:fldCharType="separate"/>
      </w:r>
      <w:r w:rsidR="00E544AA">
        <w:rPr>
          <w:noProof/>
          <w:sz w:val="24"/>
        </w:rPr>
        <w:t>29</w:t>
      </w:r>
      <w:r w:rsidR="00776507" w:rsidRPr="00B75EA3">
        <w:rPr>
          <w:noProof/>
          <w:sz w:val="24"/>
        </w:rPr>
        <w:fldChar w:fldCharType="end"/>
      </w:r>
      <w:r w:rsidRPr="00B75EA3">
        <w:rPr>
          <w:sz w:val="24"/>
        </w:rPr>
        <w:t xml:space="preserve">: </w:t>
      </w:r>
      <w:r w:rsidR="00B75EA3">
        <w:rPr>
          <w:sz w:val="24"/>
        </w:rPr>
        <w:tab/>
      </w:r>
      <w:r w:rsidRPr="00B75EA3">
        <w:rPr>
          <w:sz w:val="24"/>
        </w:rPr>
        <w:t xml:space="preserve">Náklady z činnosti přepočtené na </w:t>
      </w:r>
      <w:r w:rsidR="00D12A3C">
        <w:rPr>
          <w:sz w:val="24"/>
        </w:rPr>
        <w:t>jednoho</w:t>
      </w:r>
      <w:r w:rsidRPr="00B75EA3">
        <w:rPr>
          <w:sz w:val="24"/>
        </w:rPr>
        <w:t xml:space="preserve"> zaměstnance vykázané MPO a</w:t>
      </w:r>
      <w:r w:rsidR="00D12A3C">
        <w:rPr>
          <w:sz w:val="24"/>
        </w:rPr>
        <w:t> </w:t>
      </w:r>
      <w:r w:rsidRPr="00B75EA3">
        <w:rPr>
          <w:sz w:val="24"/>
        </w:rPr>
        <w:t>OSS</w:t>
      </w:r>
      <w:bookmarkEnd w:id="95"/>
      <w:r w:rsidRPr="00B75EA3">
        <w:rPr>
          <w:sz w:val="24"/>
        </w:rPr>
        <w:t xml:space="preserve"> v rozpočtové kapitole 322 (bez MPO</w:t>
      </w:r>
      <w:r w:rsidR="00D12A3C">
        <w:rPr>
          <w:sz w:val="24"/>
        </w:rPr>
        <w:t>;</w:t>
      </w:r>
      <w:r w:rsidRPr="00B75EA3">
        <w:rPr>
          <w:sz w:val="24"/>
        </w:rPr>
        <w:t xml:space="preserve"> v Kč)</w:t>
      </w:r>
      <w:bookmarkEnd w:id="96"/>
      <w:bookmarkEnd w:id="97"/>
    </w:p>
    <w:tbl>
      <w:tblPr>
        <w:tblW w:w="5000" w:type="pct"/>
        <w:tblCellMar>
          <w:left w:w="70" w:type="dxa"/>
          <w:right w:w="70" w:type="dxa"/>
        </w:tblCellMar>
        <w:tblLook w:val="04A0" w:firstRow="1" w:lastRow="0" w:firstColumn="1" w:lastColumn="0" w:noHBand="0" w:noVBand="1"/>
      </w:tblPr>
      <w:tblGrid>
        <w:gridCol w:w="1615"/>
        <w:gridCol w:w="1490"/>
        <w:gridCol w:w="1489"/>
        <w:gridCol w:w="1489"/>
        <w:gridCol w:w="1489"/>
        <w:gridCol w:w="1488"/>
      </w:tblGrid>
      <w:tr w:rsidR="00B57597" w:rsidRPr="00B75EA3" w14:paraId="33CC5658" w14:textId="77777777" w:rsidTr="00B57597">
        <w:trPr>
          <w:trHeight w:val="255"/>
        </w:trPr>
        <w:tc>
          <w:tcPr>
            <w:tcW w:w="891"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25FE702F" w14:textId="77777777" w:rsidR="00B57597" w:rsidRPr="00B75EA3" w:rsidRDefault="00B57597" w:rsidP="00B75EA3">
            <w:pPr>
              <w:keepNext/>
              <w:spacing w:after="0"/>
              <w:rPr>
                <w:rFonts w:cs="Calibri"/>
                <w:b/>
                <w:bCs/>
                <w:color w:val="000000"/>
                <w:sz w:val="18"/>
                <w:szCs w:val="18"/>
                <w:lang w:eastAsia="cs-CZ"/>
              </w:rPr>
            </w:pPr>
            <w:r w:rsidRPr="00B75EA3">
              <w:rPr>
                <w:b/>
                <w:bCs/>
                <w:color w:val="000000"/>
                <w:sz w:val="18"/>
                <w:szCs w:val="18"/>
              </w:rPr>
              <w:t>Organizace</w:t>
            </w:r>
          </w:p>
        </w:tc>
        <w:tc>
          <w:tcPr>
            <w:tcW w:w="822" w:type="pct"/>
            <w:tcBorders>
              <w:top w:val="single" w:sz="4" w:space="0" w:color="auto"/>
              <w:left w:val="nil"/>
              <w:bottom w:val="single" w:sz="4" w:space="0" w:color="auto"/>
              <w:right w:val="single" w:sz="4" w:space="0" w:color="auto"/>
            </w:tcBorders>
            <w:shd w:val="clear" w:color="auto" w:fill="E5F1FF"/>
            <w:noWrap/>
            <w:vAlign w:val="center"/>
            <w:hideMark/>
          </w:tcPr>
          <w:p w14:paraId="2D2276B8" w14:textId="77777777" w:rsidR="00B57597" w:rsidRPr="00B75EA3" w:rsidRDefault="00B57597" w:rsidP="00B75EA3">
            <w:pPr>
              <w:keepNext/>
              <w:spacing w:after="0"/>
              <w:jc w:val="center"/>
              <w:rPr>
                <w:rFonts w:cs="Calibri"/>
                <w:b/>
                <w:bCs/>
                <w:color w:val="000000"/>
                <w:sz w:val="18"/>
                <w:szCs w:val="18"/>
                <w:lang w:eastAsia="cs-CZ"/>
              </w:rPr>
            </w:pPr>
            <w:r w:rsidRPr="00B75EA3">
              <w:rPr>
                <w:b/>
                <w:bCs/>
                <w:color w:val="000000"/>
                <w:sz w:val="18"/>
                <w:szCs w:val="18"/>
              </w:rPr>
              <w:t>2016</w:t>
            </w:r>
          </w:p>
        </w:tc>
        <w:tc>
          <w:tcPr>
            <w:tcW w:w="822" w:type="pct"/>
            <w:tcBorders>
              <w:top w:val="single" w:sz="4" w:space="0" w:color="auto"/>
              <w:left w:val="nil"/>
              <w:bottom w:val="single" w:sz="4" w:space="0" w:color="auto"/>
              <w:right w:val="single" w:sz="4" w:space="0" w:color="auto"/>
            </w:tcBorders>
            <w:shd w:val="clear" w:color="auto" w:fill="E5F1FF"/>
            <w:noWrap/>
            <w:vAlign w:val="center"/>
            <w:hideMark/>
          </w:tcPr>
          <w:p w14:paraId="1E313ACD" w14:textId="77777777" w:rsidR="00B57597" w:rsidRPr="00B75EA3" w:rsidRDefault="00B57597" w:rsidP="00B75EA3">
            <w:pPr>
              <w:keepNext/>
              <w:spacing w:after="0"/>
              <w:jc w:val="center"/>
              <w:rPr>
                <w:rFonts w:cs="Calibri"/>
                <w:b/>
                <w:bCs/>
                <w:color w:val="000000"/>
                <w:sz w:val="18"/>
                <w:szCs w:val="18"/>
                <w:lang w:eastAsia="cs-CZ"/>
              </w:rPr>
            </w:pPr>
            <w:r w:rsidRPr="00B75EA3">
              <w:rPr>
                <w:b/>
                <w:bCs/>
                <w:color w:val="000000"/>
                <w:sz w:val="18"/>
                <w:szCs w:val="18"/>
              </w:rPr>
              <w:t>2017</w:t>
            </w:r>
          </w:p>
        </w:tc>
        <w:tc>
          <w:tcPr>
            <w:tcW w:w="822" w:type="pct"/>
            <w:tcBorders>
              <w:top w:val="single" w:sz="4" w:space="0" w:color="auto"/>
              <w:left w:val="nil"/>
              <w:bottom w:val="single" w:sz="4" w:space="0" w:color="auto"/>
              <w:right w:val="single" w:sz="4" w:space="0" w:color="auto"/>
            </w:tcBorders>
            <w:shd w:val="clear" w:color="auto" w:fill="E5F1FF"/>
            <w:noWrap/>
            <w:vAlign w:val="center"/>
            <w:hideMark/>
          </w:tcPr>
          <w:p w14:paraId="61A988A9" w14:textId="77777777" w:rsidR="00B57597" w:rsidRPr="00B75EA3" w:rsidRDefault="00B57597" w:rsidP="00B75EA3">
            <w:pPr>
              <w:keepNext/>
              <w:spacing w:after="0"/>
              <w:jc w:val="center"/>
              <w:rPr>
                <w:rFonts w:cs="Calibri"/>
                <w:b/>
                <w:bCs/>
                <w:color w:val="000000"/>
                <w:sz w:val="18"/>
                <w:szCs w:val="18"/>
                <w:lang w:eastAsia="cs-CZ"/>
              </w:rPr>
            </w:pPr>
            <w:r w:rsidRPr="00B75EA3">
              <w:rPr>
                <w:b/>
                <w:bCs/>
                <w:color w:val="000000"/>
                <w:sz w:val="18"/>
                <w:szCs w:val="18"/>
              </w:rPr>
              <w:t>2018</w:t>
            </w:r>
          </w:p>
        </w:tc>
        <w:tc>
          <w:tcPr>
            <w:tcW w:w="822" w:type="pct"/>
            <w:tcBorders>
              <w:top w:val="single" w:sz="4" w:space="0" w:color="auto"/>
              <w:left w:val="nil"/>
              <w:bottom w:val="single" w:sz="4" w:space="0" w:color="auto"/>
              <w:right w:val="single" w:sz="4" w:space="0" w:color="auto"/>
            </w:tcBorders>
            <w:shd w:val="clear" w:color="auto" w:fill="E5F1FF"/>
            <w:noWrap/>
            <w:vAlign w:val="center"/>
            <w:hideMark/>
          </w:tcPr>
          <w:p w14:paraId="3FECB275" w14:textId="77777777" w:rsidR="00B57597" w:rsidRPr="00B75EA3" w:rsidRDefault="00B57597" w:rsidP="00B75EA3">
            <w:pPr>
              <w:keepNext/>
              <w:spacing w:after="0"/>
              <w:jc w:val="center"/>
              <w:rPr>
                <w:rFonts w:cs="Calibri"/>
                <w:b/>
                <w:bCs/>
                <w:color w:val="000000"/>
                <w:sz w:val="18"/>
                <w:szCs w:val="18"/>
                <w:lang w:eastAsia="cs-CZ"/>
              </w:rPr>
            </w:pPr>
            <w:r w:rsidRPr="00B75EA3">
              <w:rPr>
                <w:b/>
                <w:bCs/>
                <w:color w:val="000000"/>
                <w:sz w:val="18"/>
                <w:szCs w:val="18"/>
              </w:rPr>
              <w:t>2019</w:t>
            </w:r>
          </w:p>
        </w:tc>
        <w:tc>
          <w:tcPr>
            <w:tcW w:w="822" w:type="pct"/>
            <w:tcBorders>
              <w:top w:val="single" w:sz="4" w:space="0" w:color="auto"/>
              <w:left w:val="nil"/>
              <w:bottom w:val="single" w:sz="4" w:space="0" w:color="auto"/>
              <w:right w:val="single" w:sz="4" w:space="0" w:color="auto"/>
            </w:tcBorders>
            <w:shd w:val="clear" w:color="auto" w:fill="E5F1FF"/>
            <w:vAlign w:val="center"/>
          </w:tcPr>
          <w:p w14:paraId="7686FE07" w14:textId="77777777" w:rsidR="00B57597" w:rsidRPr="00B75EA3" w:rsidRDefault="00B57597" w:rsidP="00B75EA3">
            <w:pPr>
              <w:keepNext/>
              <w:spacing w:after="0"/>
              <w:jc w:val="center"/>
              <w:rPr>
                <w:rFonts w:cs="Calibri"/>
                <w:b/>
                <w:bCs/>
                <w:color w:val="000000"/>
                <w:sz w:val="18"/>
                <w:szCs w:val="18"/>
                <w:lang w:eastAsia="cs-CZ"/>
              </w:rPr>
            </w:pPr>
            <w:r w:rsidRPr="00B75EA3">
              <w:rPr>
                <w:b/>
                <w:bCs/>
                <w:color w:val="000000"/>
                <w:sz w:val="18"/>
                <w:szCs w:val="18"/>
              </w:rPr>
              <w:t>2020</w:t>
            </w:r>
          </w:p>
        </w:tc>
      </w:tr>
      <w:tr w:rsidR="00B57597" w:rsidRPr="00B75EA3" w14:paraId="2F0D7321" w14:textId="77777777" w:rsidTr="00B57597">
        <w:trPr>
          <w:trHeight w:val="255"/>
        </w:trPr>
        <w:tc>
          <w:tcPr>
            <w:tcW w:w="891" w:type="pct"/>
            <w:tcBorders>
              <w:top w:val="nil"/>
              <w:left w:val="single" w:sz="4" w:space="0" w:color="auto"/>
              <w:bottom w:val="single" w:sz="4" w:space="0" w:color="auto"/>
              <w:right w:val="single" w:sz="4" w:space="0" w:color="auto"/>
            </w:tcBorders>
            <w:shd w:val="clear" w:color="auto" w:fill="auto"/>
            <w:noWrap/>
            <w:vAlign w:val="center"/>
          </w:tcPr>
          <w:p w14:paraId="411934ED" w14:textId="77777777" w:rsidR="00B57597" w:rsidRPr="00B75EA3" w:rsidRDefault="00B57597" w:rsidP="00B75EA3">
            <w:pPr>
              <w:keepNext/>
              <w:spacing w:after="0"/>
              <w:rPr>
                <w:rFonts w:eastAsia="Calibri" w:cs="Calibri"/>
                <w:color w:val="000000"/>
                <w:sz w:val="18"/>
                <w:szCs w:val="18"/>
              </w:rPr>
            </w:pPr>
            <w:r w:rsidRPr="00B75EA3">
              <w:rPr>
                <w:color w:val="000000"/>
                <w:sz w:val="18"/>
                <w:szCs w:val="18"/>
              </w:rPr>
              <w:t>MPO</w:t>
            </w:r>
          </w:p>
        </w:tc>
        <w:tc>
          <w:tcPr>
            <w:tcW w:w="822" w:type="pct"/>
            <w:tcBorders>
              <w:top w:val="nil"/>
              <w:left w:val="nil"/>
              <w:bottom w:val="single" w:sz="4" w:space="0" w:color="auto"/>
              <w:right w:val="single" w:sz="4" w:space="0" w:color="auto"/>
            </w:tcBorders>
            <w:shd w:val="clear" w:color="auto" w:fill="auto"/>
            <w:noWrap/>
            <w:vAlign w:val="center"/>
          </w:tcPr>
          <w:p w14:paraId="7F104275" w14:textId="77777777" w:rsidR="00B57597" w:rsidRPr="00B75EA3" w:rsidRDefault="00B57597" w:rsidP="00B75EA3">
            <w:pPr>
              <w:keepNext/>
              <w:spacing w:after="0"/>
              <w:ind w:right="205"/>
              <w:jc w:val="right"/>
              <w:rPr>
                <w:rFonts w:eastAsia="Calibri" w:cs="Calibri"/>
                <w:color w:val="000000"/>
                <w:sz w:val="18"/>
                <w:szCs w:val="18"/>
              </w:rPr>
            </w:pPr>
            <w:r w:rsidRPr="00B75EA3">
              <w:rPr>
                <w:color w:val="000000"/>
                <w:sz w:val="18"/>
                <w:szCs w:val="18"/>
              </w:rPr>
              <w:t>1 433 106,49</w:t>
            </w:r>
          </w:p>
        </w:tc>
        <w:tc>
          <w:tcPr>
            <w:tcW w:w="822" w:type="pct"/>
            <w:tcBorders>
              <w:top w:val="nil"/>
              <w:left w:val="nil"/>
              <w:bottom w:val="single" w:sz="4" w:space="0" w:color="auto"/>
              <w:right w:val="single" w:sz="4" w:space="0" w:color="auto"/>
            </w:tcBorders>
            <w:shd w:val="clear" w:color="auto" w:fill="auto"/>
            <w:noWrap/>
            <w:vAlign w:val="center"/>
          </w:tcPr>
          <w:p w14:paraId="2DD284F5" w14:textId="77777777" w:rsidR="00B57597" w:rsidRPr="00B75EA3" w:rsidRDefault="00B57597" w:rsidP="00B75EA3">
            <w:pPr>
              <w:keepNext/>
              <w:spacing w:after="0"/>
              <w:ind w:right="205"/>
              <w:jc w:val="right"/>
              <w:rPr>
                <w:rFonts w:eastAsia="Calibri" w:cs="Calibri"/>
                <w:color w:val="000000"/>
                <w:sz w:val="18"/>
                <w:szCs w:val="18"/>
              </w:rPr>
            </w:pPr>
            <w:r w:rsidRPr="00B75EA3">
              <w:rPr>
                <w:color w:val="000000"/>
                <w:sz w:val="18"/>
                <w:szCs w:val="18"/>
              </w:rPr>
              <w:t>1 500 904,51</w:t>
            </w:r>
          </w:p>
        </w:tc>
        <w:tc>
          <w:tcPr>
            <w:tcW w:w="822" w:type="pct"/>
            <w:tcBorders>
              <w:top w:val="nil"/>
              <w:left w:val="nil"/>
              <w:bottom w:val="single" w:sz="4" w:space="0" w:color="auto"/>
              <w:right w:val="single" w:sz="4" w:space="0" w:color="auto"/>
            </w:tcBorders>
            <w:shd w:val="clear" w:color="auto" w:fill="auto"/>
            <w:noWrap/>
            <w:vAlign w:val="center"/>
          </w:tcPr>
          <w:p w14:paraId="004367A0" w14:textId="77777777" w:rsidR="00B57597" w:rsidRPr="00B75EA3" w:rsidRDefault="00B57597" w:rsidP="00B75EA3">
            <w:pPr>
              <w:keepNext/>
              <w:spacing w:after="0"/>
              <w:ind w:right="205"/>
              <w:jc w:val="right"/>
              <w:rPr>
                <w:rFonts w:eastAsia="Calibri" w:cs="Calibri"/>
                <w:color w:val="000000"/>
                <w:sz w:val="18"/>
                <w:szCs w:val="18"/>
              </w:rPr>
            </w:pPr>
            <w:r w:rsidRPr="00B75EA3">
              <w:rPr>
                <w:color w:val="000000"/>
                <w:sz w:val="18"/>
                <w:szCs w:val="18"/>
              </w:rPr>
              <w:t>1 499 022,54</w:t>
            </w:r>
          </w:p>
        </w:tc>
        <w:tc>
          <w:tcPr>
            <w:tcW w:w="822" w:type="pct"/>
            <w:tcBorders>
              <w:top w:val="nil"/>
              <w:left w:val="nil"/>
              <w:bottom w:val="single" w:sz="4" w:space="0" w:color="auto"/>
              <w:right w:val="single" w:sz="4" w:space="0" w:color="auto"/>
            </w:tcBorders>
            <w:shd w:val="clear" w:color="auto" w:fill="auto"/>
            <w:noWrap/>
            <w:vAlign w:val="center"/>
          </w:tcPr>
          <w:p w14:paraId="34EB1694" w14:textId="77777777" w:rsidR="00B57597" w:rsidRPr="00B75EA3" w:rsidRDefault="00B57597" w:rsidP="00B75EA3">
            <w:pPr>
              <w:keepNext/>
              <w:spacing w:after="0"/>
              <w:ind w:right="205"/>
              <w:jc w:val="right"/>
              <w:rPr>
                <w:rFonts w:eastAsia="Calibri" w:cs="Calibri"/>
                <w:color w:val="000000"/>
                <w:sz w:val="18"/>
                <w:szCs w:val="18"/>
              </w:rPr>
            </w:pPr>
            <w:r w:rsidRPr="00B75EA3">
              <w:rPr>
                <w:color w:val="000000"/>
                <w:sz w:val="18"/>
                <w:szCs w:val="18"/>
              </w:rPr>
              <w:t>1 904 692,20</w:t>
            </w:r>
          </w:p>
        </w:tc>
        <w:tc>
          <w:tcPr>
            <w:tcW w:w="822" w:type="pct"/>
            <w:tcBorders>
              <w:top w:val="nil"/>
              <w:left w:val="nil"/>
              <w:bottom w:val="single" w:sz="4" w:space="0" w:color="auto"/>
              <w:right w:val="single" w:sz="4" w:space="0" w:color="auto"/>
            </w:tcBorders>
            <w:vAlign w:val="center"/>
          </w:tcPr>
          <w:p w14:paraId="39CE011C" w14:textId="77777777" w:rsidR="00B57597" w:rsidRPr="00B75EA3" w:rsidRDefault="00B57597" w:rsidP="00B75EA3">
            <w:pPr>
              <w:keepNext/>
              <w:spacing w:after="0"/>
              <w:ind w:right="205"/>
              <w:jc w:val="right"/>
              <w:rPr>
                <w:rFonts w:cs="Calibri"/>
                <w:color w:val="000000"/>
                <w:sz w:val="18"/>
                <w:szCs w:val="18"/>
              </w:rPr>
            </w:pPr>
            <w:r w:rsidRPr="00B75EA3">
              <w:rPr>
                <w:rFonts w:cs="Calibri"/>
                <w:color w:val="000000"/>
                <w:sz w:val="18"/>
                <w:szCs w:val="18"/>
              </w:rPr>
              <w:t>6 397 522,76</w:t>
            </w:r>
          </w:p>
        </w:tc>
      </w:tr>
      <w:tr w:rsidR="00B57597" w:rsidRPr="00B75EA3" w14:paraId="6B35E845" w14:textId="77777777" w:rsidTr="00B57597">
        <w:trPr>
          <w:trHeight w:val="255"/>
        </w:trPr>
        <w:tc>
          <w:tcPr>
            <w:tcW w:w="891" w:type="pct"/>
            <w:tcBorders>
              <w:top w:val="nil"/>
              <w:left w:val="single" w:sz="4" w:space="0" w:color="auto"/>
              <w:bottom w:val="single" w:sz="4" w:space="0" w:color="auto"/>
              <w:right w:val="single" w:sz="4" w:space="0" w:color="auto"/>
            </w:tcBorders>
            <w:shd w:val="clear" w:color="auto" w:fill="auto"/>
            <w:noWrap/>
            <w:vAlign w:val="center"/>
          </w:tcPr>
          <w:p w14:paraId="3206784E" w14:textId="77777777" w:rsidR="00B57597" w:rsidRPr="00B75EA3" w:rsidRDefault="00B57597" w:rsidP="00B75EA3">
            <w:pPr>
              <w:keepNext/>
              <w:spacing w:after="0"/>
              <w:rPr>
                <w:rFonts w:eastAsia="Calibri" w:cs="Calibri"/>
                <w:color w:val="000000"/>
                <w:sz w:val="18"/>
                <w:szCs w:val="18"/>
              </w:rPr>
            </w:pPr>
            <w:r w:rsidRPr="00B75EA3">
              <w:rPr>
                <w:color w:val="000000"/>
                <w:sz w:val="18"/>
                <w:szCs w:val="18"/>
              </w:rPr>
              <w:t>OSS bez MPO</w:t>
            </w:r>
          </w:p>
        </w:tc>
        <w:tc>
          <w:tcPr>
            <w:tcW w:w="822" w:type="pct"/>
            <w:tcBorders>
              <w:top w:val="nil"/>
              <w:left w:val="nil"/>
              <w:bottom w:val="single" w:sz="4" w:space="0" w:color="auto"/>
              <w:right w:val="single" w:sz="4" w:space="0" w:color="auto"/>
            </w:tcBorders>
            <w:shd w:val="clear" w:color="auto" w:fill="auto"/>
            <w:noWrap/>
            <w:vAlign w:val="center"/>
          </w:tcPr>
          <w:p w14:paraId="3D420E78" w14:textId="77777777" w:rsidR="00B57597" w:rsidRPr="00B75EA3" w:rsidRDefault="00B57597" w:rsidP="00B75EA3">
            <w:pPr>
              <w:keepNext/>
              <w:spacing w:after="0"/>
              <w:ind w:right="205"/>
              <w:jc w:val="right"/>
              <w:rPr>
                <w:rFonts w:eastAsia="Calibri" w:cs="Calibri"/>
                <w:color w:val="000000"/>
                <w:sz w:val="18"/>
                <w:szCs w:val="18"/>
              </w:rPr>
            </w:pPr>
            <w:r w:rsidRPr="00B75EA3">
              <w:rPr>
                <w:color w:val="000000"/>
                <w:sz w:val="18"/>
                <w:szCs w:val="18"/>
              </w:rPr>
              <w:t>1 115 810,55</w:t>
            </w:r>
          </w:p>
        </w:tc>
        <w:tc>
          <w:tcPr>
            <w:tcW w:w="822" w:type="pct"/>
            <w:tcBorders>
              <w:top w:val="nil"/>
              <w:left w:val="nil"/>
              <w:bottom w:val="single" w:sz="4" w:space="0" w:color="auto"/>
              <w:right w:val="single" w:sz="4" w:space="0" w:color="auto"/>
            </w:tcBorders>
            <w:shd w:val="clear" w:color="auto" w:fill="auto"/>
            <w:noWrap/>
            <w:vAlign w:val="center"/>
          </w:tcPr>
          <w:p w14:paraId="2A31EC09" w14:textId="77777777" w:rsidR="00B57597" w:rsidRPr="00B75EA3" w:rsidRDefault="00B57597" w:rsidP="00B75EA3">
            <w:pPr>
              <w:keepNext/>
              <w:spacing w:after="0"/>
              <w:ind w:right="205"/>
              <w:jc w:val="right"/>
              <w:rPr>
                <w:rFonts w:eastAsia="Calibri" w:cs="Calibri"/>
                <w:color w:val="000000"/>
                <w:sz w:val="18"/>
                <w:szCs w:val="18"/>
              </w:rPr>
            </w:pPr>
            <w:r w:rsidRPr="00B75EA3">
              <w:rPr>
                <w:color w:val="000000"/>
                <w:sz w:val="18"/>
                <w:szCs w:val="18"/>
              </w:rPr>
              <w:t>1 235 260,38</w:t>
            </w:r>
          </w:p>
        </w:tc>
        <w:tc>
          <w:tcPr>
            <w:tcW w:w="822" w:type="pct"/>
            <w:tcBorders>
              <w:top w:val="nil"/>
              <w:left w:val="nil"/>
              <w:bottom w:val="single" w:sz="4" w:space="0" w:color="auto"/>
              <w:right w:val="single" w:sz="4" w:space="0" w:color="auto"/>
            </w:tcBorders>
            <w:shd w:val="clear" w:color="auto" w:fill="auto"/>
            <w:noWrap/>
            <w:vAlign w:val="center"/>
          </w:tcPr>
          <w:p w14:paraId="5838D1F6" w14:textId="77777777" w:rsidR="00B57597" w:rsidRPr="00B75EA3" w:rsidRDefault="00B57597" w:rsidP="00B75EA3">
            <w:pPr>
              <w:keepNext/>
              <w:spacing w:after="0"/>
              <w:ind w:right="205"/>
              <w:jc w:val="right"/>
              <w:rPr>
                <w:rFonts w:eastAsia="Calibri" w:cs="Calibri"/>
                <w:color w:val="000000"/>
                <w:sz w:val="18"/>
                <w:szCs w:val="18"/>
              </w:rPr>
            </w:pPr>
            <w:r w:rsidRPr="00B75EA3">
              <w:rPr>
                <w:color w:val="000000"/>
                <w:sz w:val="18"/>
                <w:szCs w:val="18"/>
              </w:rPr>
              <w:t>1 347 986,95</w:t>
            </w:r>
          </w:p>
        </w:tc>
        <w:tc>
          <w:tcPr>
            <w:tcW w:w="822" w:type="pct"/>
            <w:tcBorders>
              <w:top w:val="nil"/>
              <w:left w:val="nil"/>
              <w:bottom w:val="single" w:sz="4" w:space="0" w:color="auto"/>
              <w:right w:val="single" w:sz="4" w:space="0" w:color="auto"/>
            </w:tcBorders>
            <w:shd w:val="clear" w:color="auto" w:fill="auto"/>
            <w:noWrap/>
            <w:vAlign w:val="center"/>
          </w:tcPr>
          <w:p w14:paraId="16DBA928" w14:textId="77777777" w:rsidR="00B57597" w:rsidRPr="00B75EA3" w:rsidRDefault="00B57597" w:rsidP="00B75EA3">
            <w:pPr>
              <w:keepNext/>
              <w:spacing w:after="0"/>
              <w:ind w:right="205"/>
              <w:jc w:val="right"/>
              <w:rPr>
                <w:rFonts w:eastAsia="Calibri" w:cs="Calibri"/>
                <w:color w:val="000000"/>
                <w:sz w:val="18"/>
                <w:szCs w:val="18"/>
              </w:rPr>
            </w:pPr>
            <w:r w:rsidRPr="00B75EA3">
              <w:rPr>
                <w:color w:val="000000"/>
                <w:sz w:val="18"/>
                <w:szCs w:val="18"/>
              </w:rPr>
              <w:t>1 332 637,39</w:t>
            </w:r>
          </w:p>
        </w:tc>
        <w:tc>
          <w:tcPr>
            <w:tcW w:w="822" w:type="pct"/>
            <w:tcBorders>
              <w:top w:val="nil"/>
              <w:left w:val="nil"/>
              <w:bottom w:val="single" w:sz="4" w:space="0" w:color="auto"/>
              <w:right w:val="single" w:sz="4" w:space="0" w:color="auto"/>
            </w:tcBorders>
            <w:vAlign w:val="center"/>
          </w:tcPr>
          <w:p w14:paraId="03F50E65" w14:textId="77777777" w:rsidR="00B57597" w:rsidRPr="00B75EA3" w:rsidRDefault="00B57597" w:rsidP="00B75EA3">
            <w:pPr>
              <w:keepNext/>
              <w:spacing w:after="0"/>
              <w:ind w:right="205"/>
              <w:jc w:val="right"/>
              <w:rPr>
                <w:rFonts w:eastAsia="Calibri" w:cs="Calibri"/>
                <w:color w:val="000000"/>
                <w:sz w:val="18"/>
                <w:szCs w:val="18"/>
              </w:rPr>
            </w:pPr>
            <w:r w:rsidRPr="00B75EA3">
              <w:rPr>
                <w:rFonts w:cs="Calibri"/>
                <w:color w:val="000000"/>
                <w:sz w:val="18"/>
                <w:szCs w:val="18"/>
              </w:rPr>
              <w:t>1 453 476,25</w:t>
            </w:r>
          </w:p>
        </w:tc>
      </w:tr>
    </w:tbl>
    <w:p w14:paraId="0E1C8605" w14:textId="77777777" w:rsidR="00B57597" w:rsidRPr="001C7501" w:rsidRDefault="00B57597" w:rsidP="00B57597">
      <w:pPr>
        <w:spacing w:before="40"/>
        <w:rPr>
          <w:rFonts w:cs="Calibri"/>
          <w:color w:val="000000"/>
          <w:sz w:val="20"/>
          <w:szCs w:val="20"/>
          <w:lang w:eastAsia="cs-CZ"/>
        </w:rPr>
      </w:pPr>
      <w:bookmarkStart w:id="98" w:name="_Toc520714947"/>
      <w:r w:rsidRPr="009B5FA2">
        <w:rPr>
          <w:rFonts w:cs="Calibri"/>
          <w:b/>
          <w:color w:val="000000"/>
          <w:sz w:val="20"/>
          <w:szCs w:val="20"/>
          <w:lang w:eastAsia="cs-CZ"/>
        </w:rPr>
        <w:t>Zdroj</w:t>
      </w:r>
      <w:r>
        <w:rPr>
          <w:rFonts w:cs="Calibri"/>
          <w:color w:val="000000"/>
          <w:sz w:val="20"/>
          <w:szCs w:val="20"/>
          <w:lang w:eastAsia="cs-CZ"/>
        </w:rPr>
        <w:t>:</w:t>
      </w:r>
      <w:r w:rsidRPr="009B5FA2">
        <w:rPr>
          <w:rFonts w:cs="Calibri"/>
          <w:color w:val="000000"/>
          <w:sz w:val="20"/>
          <w:szCs w:val="20"/>
          <w:lang w:eastAsia="cs-CZ"/>
        </w:rPr>
        <w:t xml:space="preserve"> výpočet </w:t>
      </w:r>
      <w:r>
        <w:rPr>
          <w:rFonts w:cs="Calibri"/>
          <w:color w:val="000000"/>
          <w:sz w:val="20"/>
          <w:szCs w:val="20"/>
          <w:lang w:eastAsia="cs-CZ"/>
        </w:rPr>
        <w:t>vypracoval NKÚ.</w:t>
      </w:r>
    </w:p>
    <w:bookmarkEnd w:id="98"/>
    <w:p w14:paraId="774E3778" w14:textId="4A64B232" w:rsidR="00B57597" w:rsidRPr="009B5FA2" w:rsidRDefault="00B57597" w:rsidP="00B57597">
      <w:pPr>
        <w:spacing w:before="120"/>
        <w:jc w:val="both"/>
        <w:rPr>
          <w:rFonts w:asciiTheme="minorHAnsi" w:hAnsiTheme="minorHAnsi" w:cstheme="minorHAnsi"/>
        </w:rPr>
      </w:pPr>
      <w:r w:rsidRPr="009B5FA2">
        <w:rPr>
          <w:rFonts w:asciiTheme="minorHAnsi" w:hAnsiTheme="minorHAnsi" w:cstheme="minorHAnsi"/>
        </w:rPr>
        <w:lastRenderedPageBreak/>
        <w:t xml:space="preserve">Vývoj nákladů z činnosti přepočtený na </w:t>
      </w:r>
      <w:r w:rsidR="00D12A3C">
        <w:rPr>
          <w:rFonts w:asciiTheme="minorHAnsi" w:hAnsiTheme="minorHAnsi" w:cstheme="minorHAnsi"/>
        </w:rPr>
        <w:t>jednoho</w:t>
      </w:r>
      <w:r w:rsidRPr="009B5FA2">
        <w:rPr>
          <w:rFonts w:asciiTheme="minorHAnsi" w:hAnsiTheme="minorHAnsi" w:cstheme="minorHAnsi"/>
        </w:rPr>
        <w:t xml:space="preserve"> zaměstnance ve sledovaném období v podstatě kopíroval vývoj samotných nákladů z činnosti.</w:t>
      </w:r>
    </w:p>
    <w:p w14:paraId="00207F8D" w14:textId="0FA508E2" w:rsidR="00B57597" w:rsidRPr="001944AC" w:rsidRDefault="00B57597" w:rsidP="001944AC">
      <w:pPr>
        <w:pStyle w:val="Titulek1"/>
        <w:tabs>
          <w:tab w:val="clear" w:pos="1134"/>
          <w:tab w:val="clear" w:pos="9356"/>
          <w:tab w:val="right" w:pos="9070"/>
        </w:tabs>
        <w:ind w:left="1446" w:hanging="1446"/>
        <w:rPr>
          <w:sz w:val="24"/>
        </w:rPr>
      </w:pPr>
      <w:bookmarkStart w:id="99" w:name="_Toc8984547"/>
      <w:bookmarkStart w:id="100" w:name="_Toc520714340"/>
      <w:bookmarkStart w:id="101" w:name="_Toc72157488"/>
      <w:r w:rsidRPr="001944AC">
        <w:rPr>
          <w:sz w:val="24"/>
        </w:rPr>
        <w:t xml:space="preserve">Tabulka č. </w:t>
      </w:r>
      <w:r w:rsidR="005F2931" w:rsidRPr="001944AC">
        <w:rPr>
          <w:sz w:val="24"/>
        </w:rPr>
        <w:fldChar w:fldCharType="begin"/>
      </w:r>
      <w:r w:rsidR="005F2931" w:rsidRPr="001944AC">
        <w:rPr>
          <w:sz w:val="24"/>
        </w:rPr>
        <w:instrText xml:space="preserve"> SEQ Tabulka \* ARABIC </w:instrText>
      </w:r>
      <w:r w:rsidR="005F2931" w:rsidRPr="001944AC">
        <w:rPr>
          <w:sz w:val="24"/>
        </w:rPr>
        <w:fldChar w:fldCharType="separate"/>
      </w:r>
      <w:r w:rsidR="00E544AA">
        <w:rPr>
          <w:noProof/>
          <w:sz w:val="24"/>
        </w:rPr>
        <w:t>30</w:t>
      </w:r>
      <w:r w:rsidR="005F2931" w:rsidRPr="001944AC">
        <w:rPr>
          <w:noProof/>
          <w:sz w:val="24"/>
        </w:rPr>
        <w:fldChar w:fldCharType="end"/>
      </w:r>
      <w:r w:rsidRPr="001944AC">
        <w:rPr>
          <w:sz w:val="24"/>
        </w:rPr>
        <w:t>: Náklady na transfery (položka A.III. výkazu zisku a ztráty) a jejich porovnání</w:t>
      </w:r>
      <w:bookmarkEnd w:id="99"/>
      <w:r w:rsidRPr="001944AC">
        <w:rPr>
          <w:sz w:val="24"/>
        </w:rPr>
        <w:t xml:space="preserve"> s</w:t>
      </w:r>
      <w:r w:rsidR="001944AC">
        <w:rPr>
          <w:sz w:val="24"/>
        </w:rPr>
        <w:t> </w:t>
      </w:r>
      <w:r w:rsidRPr="001944AC">
        <w:rPr>
          <w:sz w:val="24"/>
        </w:rPr>
        <w:t>celkovými náklady, které vykázalo MPO a OSS v rozpočtové kapitole 322 (bez MPO)</w:t>
      </w:r>
      <w:bookmarkEnd w:id="100"/>
      <w:bookmarkEnd w:id="101"/>
    </w:p>
    <w:tbl>
      <w:tblPr>
        <w:tblW w:w="9068" w:type="dxa"/>
        <w:tblLayout w:type="fixed"/>
        <w:tblCellMar>
          <w:left w:w="70" w:type="dxa"/>
          <w:right w:w="70" w:type="dxa"/>
        </w:tblCellMar>
        <w:tblLook w:val="04A0" w:firstRow="1" w:lastRow="0" w:firstColumn="1" w:lastColumn="0" w:noHBand="0" w:noVBand="1"/>
      </w:tblPr>
      <w:tblGrid>
        <w:gridCol w:w="562"/>
        <w:gridCol w:w="1701"/>
        <w:gridCol w:w="1361"/>
        <w:gridCol w:w="1361"/>
        <w:gridCol w:w="1361"/>
        <w:gridCol w:w="1361"/>
        <w:gridCol w:w="1361"/>
      </w:tblGrid>
      <w:tr w:rsidR="00B57597" w:rsidRPr="001944AC" w14:paraId="700249F4" w14:textId="77777777" w:rsidTr="001944AC">
        <w:trPr>
          <w:trHeight w:val="283"/>
        </w:trPr>
        <w:tc>
          <w:tcPr>
            <w:tcW w:w="562" w:type="dxa"/>
            <w:tcBorders>
              <w:top w:val="single" w:sz="4" w:space="0" w:color="auto"/>
              <w:left w:val="single" w:sz="4" w:space="0" w:color="auto"/>
              <w:bottom w:val="single" w:sz="4" w:space="0" w:color="auto"/>
              <w:right w:val="single" w:sz="4" w:space="0" w:color="auto"/>
            </w:tcBorders>
            <w:shd w:val="clear" w:color="auto" w:fill="E5F1FF"/>
            <w:vAlign w:val="center"/>
          </w:tcPr>
          <w:p w14:paraId="79C9F5D2" w14:textId="77777777" w:rsidR="00B57597" w:rsidRPr="001944AC" w:rsidRDefault="00B57597" w:rsidP="001944AC">
            <w:pPr>
              <w:spacing w:after="0"/>
              <w:jc w:val="center"/>
              <w:rPr>
                <w:rFonts w:cs="Calibri"/>
                <w:b/>
                <w:bCs/>
                <w:color w:val="000000"/>
                <w:sz w:val="16"/>
                <w:szCs w:val="16"/>
                <w:lang w:eastAsia="cs-CZ"/>
              </w:rPr>
            </w:pPr>
            <w:proofErr w:type="spellStart"/>
            <w:r w:rsidRPr="001944AC">
              <w:rPr>
                <w:rFonts w:cs="Calibri"/>
                <w:b/>
                <w:bCs/>
                <w:color w:val="000000"/>
                <w:sz w:val="16"/>
                <w:szCs w:val="16"/>
              </w:rPr>
              <w:t>Org</w:t>
            </w:r>
            <w:proofErr w:type="spellEnd"/>
            <w:r w:rsidRPr="001944AC">
              <w:rPr>
                <w:rFonts w:cs="Calibri"/>
                <w:b/>
                <w:bCs/>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3E882EF" w14:textId="77777777" w:rsidR="00B57597" w:rsidRPr="001944AC" w:rsidRDefault="00B57597" w:rsidP="001944AC">
            <w:pPr>
              <w:spacing w:after="0"/>
              <w:jc w:val="center"/>
              <w:rPr>
                <w:rFonts w:cs="Calibri"/>
                <w:b/>
                <w:bCs/>
                <w:color w:val="000000"/>
                <w:sz w:val="16"/>
                <w:szCs w:val="16"/>
                <w:lang w:eastAsia="cs-CZ"/>
              </w:rPr>
            </w:pPr>
            <w:r w:rsidRPr="001944AC">
              <w:rPr>
                <w:rFonts w:cs="Calibri"/>
                <w:b/>
                <w:bCs/>
                <w:color w:val="000000"/>
                <w:sz w:val="16"/>
                <w:szCs w:val="16"/>
              </w:rPr>
              <w:t>Ukazatel</w:t>
            </w:r>
          </w:p>
        </w:tc>
        <w:tc>
          <w:tcPr>
            <w:tcW w:w="1361" w:type="dxa"/>
            <w:tcBorders>
              <w:top w:val="single" w:sz="4" w:space="0" w:color="auto"/>
              <w:left w:val="nil"/>
              <w:bottom w:val="single" w:sz="4" w:space="0" w:color="auto"/>
              <w:right w:val="single" w:sz="4" w:space="0" w:color="auto"/>
            </w:tcBorders>
            <w:shd w:val="clear" w:color="auto" w:fill="E5F1FF"/>
            <w:noWrap/>
            <w:vAlign w:val="center"/>
            <w:hideMark/>
          </w:tcPr>
          <w:p w14:paraId="19F3E69D" w14:textId="77777777" w:rsidR="00B57597" w:rsidRPr="001944AC" w:rsidRDefault="00B57597" w:rsidP="001944AC">
            <w:pPr>
              <w:spacing w:after="0"/>
              <w:jc w:val="center"/>
              <w:rPr>
                <w:rFonts w:cs="Calibri"/>
                <w:b/>
                <w:bCs/>
                <w:color w:val="000000"/>
                <w:sz w:val="16"/>
                <w:szCs w:val="16"/>
                <w:lang w:eastAsia="cs-CZ"/>
              </w:rPr>
            </w:pPr>
            <w:r w:rsidRPr="001944AC">
              <w:rPr>
                <w:rFonts w:cs="Calibri"/>
                <w:b/>
                <w:bCs/>
                <w:color w:val="000000"/>
                <w:sz w:val="16"/>
                <w:szCs w:val="16"/>
              </w:rPr>
              <w:t>2016</w:t>
            </w:r>
          </w:p>
        </w:tc>
        <w:tc>
          <w:tcPr>
            <w:tcW w:w="1361" w:type="dxa"/>
            <w:tcBorders>
              <w:top w:val="single" w:sz="4" w:space="0" w:color="auto"/>
              <w:left w:val="nil"/>
              <w:bottom w:val="single" w:sz="4" w:space="0" w:color="auto"/>
              <w:right w:val="single" w:sz="4" w:space="0" w:color="auto"/>
            </w:tcBorders>
            <w:shd w:val="clear" w:color="auto" w:fill="E5F1FF"/>
            <w:noWrap/>
            <w:vAlign w:val="center"/>
            <w:hideMark/>
          </w:tcPr>
          <w:p w14:paraId="3CE2DC11" w14:textId="77777777" w:rsidR="00B57597" w:rsidRPr="001944AC" w:rsidRDefault="00B57597" w:rsidP="001944AC">
            <w:pPr>
              <w:spacing w:after="0"/>
              <w:jc w:val="center"/>
              <w:rPr>
                <w:rFonts w:cs="Calibri"/>
                <w:b/>
                <w:bCs/>
                <w:color w:val="000000"/>
                <w:sz w:val="16"/>
                <w:szCs w:val="16"/>
                <w:lang w:eastAsia="cs-CZ"/>
              </w:rPr>
            </w:pPr>
            <w:r w:rsidRPr="001944AC">
              <w:rPr>
                <w:rFonts w:cs="Calibri"/>
                <w:b/>
                <w:bCs/>
                <w:color w:val="000000"/>
                <w:sz w:val="16"/>
                <w:szCs w:val="16"/>
              </w:rPr>
              <w:t>2017</w:t>
            </w:r>
          </w:p>
        </w:tc>
        <w:tc>
          <w:tcPr>
            <w:tcW w:w="1361" w:type="dxa"/>
            <w:tcBorders>
              <w:top w:val="single" w:sz="4" w:space="0" w:color="auto"/>
              <w:left w:val="nil"/>
              <w:bottom w:val="single" w:sz="4" w:space="0" w:color="auto"/>
              <w:right w:val="single" w:sz="4" w:space="0" w:color="auto"/>
            </w:tcBorders>
            <w:shd w:val="clear" w:color="auto" w:fill="E5F1FF"/>
            <w:noWrap/>
            <w:vAlign w:val="center"/>
            <w:hideMark/>
          </w:tcPr>
          <w:p w14:paraId="66215981" w14:textId="77777777" w:rsidR="00B57597" w:rsidRPr="001944AC" w:rsidRDefault="00B57597" w:rsidP="001944AC">
            <w:pPr>
              <w:spacing w:after="0"/>
              <w:jc w:val="center"/>
              <w:rPr>
                <w:rFonts w:cs="Calibri"/>
                <w:b/>
                <w:bCs/>
                <w:color w:val="000000"/>
                <w:sz w:val="16"/>
                <w:szCs w:val="16"/>
                <w:lang w:eastAsia="cs-CZ"/>
              </w:rPr>
            </w:pPr>
            <w:r w:rsidRPr="001944AC">
              <w:rPr>
                <w:rFonts w:cs="Calibri"/>
                <w:b/>
                <w:bCs/>
                <w:color w:val="000000"/>
                <w:sz w:val="16"/>
                <w:szCs w:val="16"/>
              </w:rPr>
              <w:t>2018</w:t>
            </w:r>
          </w:p>
        </w:tc>
        <w:tc>
          <w:tcPr>
            <w:tcW w:w="1361" w:type="dxa"/>
            <w:tcBorders>
              <w:top w:val="single" w:sz="4" w:space="0" w:color="auto"/>
              <w:left w:val="nil"/>
              <w:bottom w:val="single" w:sz="4" w:space="0" w:color="auto"/>
              <w:right w:val="single" w:sz="4" w:space="0" w:color="auto"/>
            </w:tcBorders>
            <w:shd w:val="clear" w:color="auto" w:fill="E5F1FF"/>
            <w:noWrap/>
            <w:vAlign w:val="center"/>
            <w:hideMark/>
          </w:tcPr>
          <w:p w14:paraId="2873A832" w14:textId="77777777" w:rsidR="00B57597" w:rsidRPr="001944AC" w:rsidRDefault="00B57597" w:rsidP="001944AC">
            <w:pPr>
              <w:spacing w:after="0"/>
              <w:jc w:val="center"/>
              <w:rPr>
                <w:rFonts w:cs="Calibri"/>
                <w:b/>
                <w:bCs/>
                <w:color w:val="000000"/>
                <w:sz w:val="16"/>
                <w:szCs w:val="16"/>
                <w:lang w:eastAsia="cs-CZ"/>
              </w:rPr>
            </w:pPr>
            <w:r w:rsidRPr="001944AC">
              <w:rPr>
                <w:rFonts w:cs="Calibri"/>
                <w:b/>
                <w:bCs/>
                <w:color w:val="000000"/>
                <w:sz w:val="16"/>
                <w:szCs w:val="16"/>
              </w:rPr>
              <w:t>2019</w:t>
            </w:r>
          </w:p>
        </w:tc>
        <w:tc>
          <w:tcPr>
            <w:tcW w:w="1361" w:type="dxa"/>
            <w:tcBorders>
              <w:top w:val="single" w:sz="4" w:space="0" w:color="auto"/>
              <w:left w:val="nil"/>
              <w:bottom w:val="single" w:sz="4" w:space="0" w:color="auto"/>
              <w:right w:val="single" w:sz="4" w:space="0" w:color="auto"/>
            </w:tcBorders>
            <w:shd w:val="clear" w:color="auto" w:fill="E5F1FF"/>
            <w:vAlign w:val="center"/>
          </w:tcPr>
          <w:p w14:paraId="78084314" w14:textId="77777777" w:rsidR="00B57597" w:rsidRPr="001944AC" w:rsidRDefault="00B57597" w:rsidP="001944AC">
            <w:pPr>
              <w:spacing w:after="0"/>
              <w:jc w:val="center"/>
              <w:rPr>
                <w:rFonts w:cs="Calibri"/>
                <w:b/>
                <w:bCs/>
                <w:color w:val="000000"/>
                <w:sz w:val="16"/>
                <w:szCs w:val="16"/>
                <w:lang w:eastAsia="cs-CZ"/>
              </w:rPr>
            </w:pPr>
            <w:r w:rsidRPr="001944AC">
              <w:rPr>
                <w:rFonts w:cs="Calibri"/>
                <w:b/>
                <w:bCs/>
                <w:color w:val="000000"/>
                <w:sz w:val="16"/>
                <w:szCs w:val="16"/>
              </w:rPr>
              <w:t>2020</w:t>
            </w:r>
          </w:p>
        </w:tc>
      </w:tr>
      <w:tr w:rsidR="00B57597" w:rsidRPr="001944AC" w14:paraId="13ECEC8D" w14:textId="77777777" w:rsidTr="001944AC">
        <w:trPr>
          <w:trHeight w:val="283"/>
        </w:trPr>
        <w:tc>
          <w:tcPr>
            <w:tcW w:w="562" w:type="dxa"/>
            <w:vMerge w:val="restart"/>
            <w:tcBorders>
              <w:top w:val="nil"/>
              <w:left w:val="single" w:sz="4" w:space="0" w:color="auto"/>
              <w:right w:val="single" w:sz="4" w:space="0" w:color="auto"/>
            </w:tcBorders>
            <w:vAlign w:val="center"/>
          </w:tcPr>
          <w:p w14:paraId="22DC00DD" w14:textId="77777777" w:rsidR="00B57597" w:rsidRPr="001944AC" w:rsidRDefault="00B57597" w:rsidP="001944AC">
            <w:pPr>
              <w:spacing w:after="0"/>
              <w:jc w:val="center"/>
              <w:rPr>
                <w:rFonts w:eastAsia="Calibri" w:cs="Calibri"/>
                <w:color w:val="000000"/>
                <w:sz w:val="16"/>
                <w:szCs w:val="16"/>
              </w:rPr>
            </w:pPr>
            <w:r w:rsidRPr="001944AC">
              <w:rPr>
                <w:rFonts w:cs="Calibri"/>
                <w:color w:val="000000"/>
                <w:sz w:val="16"/>
                <w:szCs w:val="16"/>
              </w:rPr>
              <w:t>MPO</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6D19F56D" w14:textId="19492BDE" w:rsidR="00B57597" w:rsidRPr="001944AC" w:rsidRDefault="00B57597" w:rsidP="001944AC">
            <w:pPr>
              <w:spacing w:after="40"/>
              <w:rPr>
                <w:rFonts w:eastAsia="Calibri" w:cs="Calibri"/>
                <w:color w:val="000000"/>
                <w:sz w:val="16"/>
                <w:szCs w:val="16"/>
              </w:rPr>
            </w:pPr>
            <w:r w:rsidRPr="001944AC">
              <w:rPr>
                <w:rFonts w:cs="Calibri"/>
                <w:color w:val="000000"/>
                <w:sz w:val="16"/>
                <w:szCs w:val="16"/>
              </w:rPr>
              <w:t>Náklady na transfery (v</w:t>
            </w:r>
            <w:r w:rsidR="005F2931" w:rsidRPr="001944AC">
              <w:rPr>
                <w:rFonts w:cs="Calibri"/>
                <w:color w:val="000000"/>
                <w:sz w:val="16"/>
                <w:szCs w:val="16"/>
              </w:rPr>
              <w:t> </w:t>
            </w:r>
            <w:r w:rsidRPr="001944AC">
              <w:rPr>
                <w:rFonts w:cs="Calibri"/>
                <w:color w:val="000000"/>
                <w:sz w:val="16"/>
                <w:szCs w:val="16"/>
              </w:rPr>
              <w:t>Kč)</w:t>
            </w:r>
          </w:p>
        </w:tc>
        <w:tc>
          <w:tcPr>
            <w:tcW w:w="1361" w:type="dxa"/>
            <w:tcBorders>
              <w:top w:val="nil"/>
              <w:left w:val="nil"/>
              <w:bottom w:val="single" w:sz="4" w:space="0" w:color="auto"/>
              <w:right w:val="single" w:sz="4" w:space="0" w:color="auto"/>
            </w:tcBorders>
            <w:shd w:val="clear" w:color="auto" w:fill="auto"/>
            <w:noWrap/>
            <w:vAlign w:val="center"/>
          </w:tcPr>
          <w:p w14:paraId="17E939F5" w14:textId="77777777"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27 130 552 493,34</w:t>
            </w:r>
          </w:p>
        </w:tc>
        <w:tc>
          <w:tcPr>
            <w:tcW w:w="1361" w:type="dxa"/>
            <w:tcBorders>
              <w:top w:val="nil"/>
              <w:left w:val="nil"/>
              <w:bottom w:val="single" w:sz="4" w:space="0" w:color="auto"/>
              <w:right w:val="single" w:sz="4" w:space="0" w:color="auto"/>
            </w:tcBorders>
            <w:shd w:val="clear" w:color="auto" w:fill="auto"/>
            <w:noWrap/>
            <w:vAlign w:val="center"/>
          </w:tcPr>
          <w:p w14:paraId="69611A15" w14:textId="77777777"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33 765 811 042,77</w:t>
            </w:r>
          </w:p>
        </w:tc>
        <w:tc>
          <w:tcPr>
            <w:tcW w:w="1361" w:type="dxa"/>
            <w:tcBorders>
              <w:top w:val="nil"/>
              <w:left w:val="nil"/>
              <w:bottom w:val="single" w:sz="4" w:space="0" w:color="auto"/>
              <w:right w:val="single" w:sz="4" w:space="0" w:color="auto"/>
            </w:tcBorders>
            <w:shd w:val="clear" w:color="auto" w:fill="auto"/>
            <w:noWrap/>
            <w:vAlign w:val="center"/>
          </w:tcPr>
          <w:p w14:paraId="4D328CAB" w14:textId="77777777"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42 237 954 178,91</w:t>
            </w:r>
          </w:p>
        </w:tc>
        <w:tc>
          <w:tcPr>
            <w:tcW w:w="1361" w:type="dxa"/>
            <w:tcBorders>
              <w:top w:val="nil"/>
              <w:left w:val="nil"/>
              <w:bottom w:val="single" w:sz="4" w:space="0" w:color="auto"/>
              <w:right w:val="single" w:sz="4" w:space="0" w:color="auto"/>
            </w:tcBorders>
            <w:shd w:val="clear" w:color="auto" w:fill="auto"/>
            <w:noWrap/>
            <w:vAlign w:val="center"/>
          </w:tcPr>
          <w:p w14:paraId="274B4B52" w14:textId="77777777"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41 858 821 745,41</w:t>
            </w:r>
          </w:p>
        </w:tc>
        <w:tc>
          <w:tcPr>
            <w:tcW w:w="1361" w:type="dxa"/>
            <w:tcBorders>
              <w:top w:val="nil"/>
              <w:left w:val="nil"/>
              <w:bottom w:val="single" w:sz="4" w:space="0" w:color="auto"/>
              <w:right w:val="single" w:sz="4" w:space="0" w:color="auto"/>
            </w:tcBorders>
            <w:vAlign w:val="center"/>
          </w:tcPr>
          <w:p w14:paraId="0E956268" w14:textId="77777777"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50 510 589 942,62</w:t>
            </w:r>
          </w:p>
        </w:tc>
      </w:tr>
      <w:tr w:rsidR="00B57597" w:rsidRPr="001944AC" w14:paraId="1598F626" w14:textId="77777777" w:rsidTr="001944AC">
        <w:trPr>
          <w:trHeight w:val="283"/>
        </w:trPr>
        <w:tc>
          <w:tcPr>
            <w:tcW w:w="562" w:type="dxa"/>
            <w:vMerge/>
            <w:tcBorders>
              <w:left w:val="single" w:sz="4" w:space="0" w:color="auto"/>
              <w:right w:val="single" w:sz="4" w:space="0" w:color="auto"/>
            </w:tcBorders>
            <w:vAlign w:val="center"/>
          </w:tcPr>
          <w:p w14:paraId="033B9C9E" w14:textId="77777777" w:rsidR="00B57597" w:rsidRPr="001944AC" w:rsidRDefault="00B57597" w:rsidP="001944AC">
            <w:pPr>
              <w:spacing w:after="0"/>
              <w:jc w:val="center"/>
              <w:rPr>
                <w:rFonts w:eastAsia="Calibri" w:cs="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40023" w14:textId="3C1B0912" w:rsidR="00B57597" w:rsidRPr="001944AC" w:rsidRDefault="00B57597" w:rsidP="001944AC">
            <w:pPr>
              <w:spacing w:after="0"/>
              <w:rPr>
                <w:rFonts w:eastAsia="Calibri" w:cs="Calibri"/>
                <w:color w:val="000000"/>
                <w:sz w:val="16"/>
                <w:szCs w:val="16"/>
              </w:rPr>
            </w:pPr>
            <w:r w:rsidRPr="001944AC">
              <w:rPr>
                <w:rFonts w:cs="Calibri"/>
                <w:color w:val="000000"/>
                <w:sz w:val="16"/>
                <w:szCs w:val="16"/>
              </w:rPr>
              <w:t>Náklady celkem (v</w:t>
            </w:r>
            <w:r w:rsidR="005F2931" w:rsidRPr="001944AC">
              <w:rPr>
                <w:rFonts w:cs="Calibri"/>
                <w:color w:val="000000"/>
                <w:sz w:val="16"/>
                <w:szCs w:val="16"/>
              </w:rPr>
              <w:t> </w:t>
            </w:r>
            <w:r w:rsidRPr="001944AC">
              <w:rPr>
                <w:rFonts w:cs="Calibri"/>
                <w:color w:val="000000"/>
                <w:sz w:val="16"/>
                <w:szCs w:val="16"/>
              </w:rPr>
              <w:t>Kč)</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4BB61509" w14:textId="77777777"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28 243 813 722,29</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351CE57" w14:textId="77777777"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34 977 394 234,84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465B1CE" w14:textId="77777777"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43 635 480 807,35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C62E948" w14:textId="77777777"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43 527 996 297,06</w:t>
            </w:r>
          </w:p>
        </w:tc>
        <w:tc>
          <w:tcPr>
            <w:tcW w:w="1361" w:type="dxa"/>
            <w:tcBorders>
              <w:top w:val="single" w:sz="4" w:space="0" w:color="auto"/>
              <w:left w:val="nil"/>
              <w:bottom w:val="single" w:sz="4" w:space="0" w:color="auto"/>
              <w:right w:val="single" w:sz="4" w:space="0" w:color="auto"/>
            </w:tcBorders>
            <w:vAlign w:val="center"/>
          </w:tcPr>
          <w:p w14:paraId="199C2089" w14:textId="77777777"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56 115 965 822,76</w:t>
            </w:r>
          </w:p>
        </w:tc>
      </w:tr>
      <w:tr w:rsidR="00B57597" w:rsidRPr="001944AC" w14:paraId="75361AC2" w14:textId="77777777" w:rsidTr="001944AC">
        <w:trPr>
          <w:trHeight w:val="283"/>
        </w:trPr>
        <w:tc>
          <w:tcPr>
            <w:tcW w:w="562" w:type="dxa"/>
            <w:vMerge/>
            <w:tcBorders>
              <w:left w:val="single" w:sz="4" w:space="0" w:color="auto"/>
              <w:bottom w:val="single" w:sz="4" w:space="0" w:color="auto"/>
              <w:right w:val="single" w:sz="4" w:space="0" w:color="auto"/>
            </w:tcBorders>
            <w:vAlign w:val="center"/>
          </w:tcPr>
          <w:p w14:paraId="2827C322" w14:textId="77777777" w:rsidR="00B57597" w:rsidRPr="001944AC" w:rsidRDefault="00B57597" w:rsidP="001944AC">
            <w:pPr>
              <w:spacing w:after="0"/>
              <w:jc w:val="center"/>
              <w:rPr>
                <w:rFonts w:eastAsia="Calibri" w:cs="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2C6C9"/>
            <w:noWrap/>
            <w:vAlign w:val="center"/>
          </w:tcPr>
          <w:p w14:paraId="1875B317" w14:textId="77777777" w:rsidR="00B57597" w:rsidRPr="001944AC" w:rsidRDefault="00B57597" w:rsidP="001944AC">
            <w:pPr>
              <w:spacing w:after="40"/>
              <w:rPr>
                <w:rFonts w:eastAsia="Calibri" w:cs="Calibri"/>
                <w:color w:val="000000"/>
                <w:sz w:val="16"/>
                <w:szCs w:val="16"/>
              </w:rPr>
            </w:pPr>
            <w:r w:rsidRPr="001944AC">
              <w:rPr>
                <w:rFonts w:cs="Calibri"/>
                <w:color w:val="000000"/>
                <w:sz w:val="16"/>
                <w:szCs w:val="16"/>
              </w:rPr>
              <w:t>Podíl transferových nákladů k celkovým nákladům v %</w:t>
            </w:r>
          </w:p>
        </w:tc>
        <w:tc>
          <w:tcPr>
            <w:tcW w:w="1361" w:type="dxa"/>
            <w:tcBorders>
              <w:top w:val="single" w:sz="4" w:space="0" w:color="auto"/>
              <w:left w:val="nil"/>
              <w:bottom w:val="single" w:sz="4" w:space="0" w:color="auto"/>
              <w:right w:val="single" w:sz="4" w:space="0" w:color="auto"/>
            </w:tcBorders>
            <w:shd w:val="clear" w:color="auto" w:fill="F2C6C9"/>
            <w:noWrap/>
            <w:vAlign w:val="center"/>
          </w:tcPr>
          <w:p w14:paraId="7664349F" w14:textId="7C308D7B"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96,06</w:t>
            </w:r>
            <w:r w:rsidR="00B94DFC">
              <w:rPr>
                <w:rFonts w:cs="Calibri"/>
                <w:color w:val="000000"/>
                <w:sz w:val="16"/>
                <w:szCs w:val="16"/>
              </w:rPr>
              <w:t> </w:t>
            </w:r>
            <w:r w:rsidRPr="001944AC">
              <w:rPr>
                <w:rFonts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F2C6C9"/>
            <w:noWrap/>
            <w:vAlign w:val="center"/>
          </w:tcPr>
          <w:p w14:paraId="7D43AB99" w14:textId="6DB0A2CA"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96,54</w:t>
            </w:r>
            <w:r w:rsidR="00B94DFC">
              <w:rPr>
                <w:rFonts w:cs="Calibri"/>
                <w:color w:val="000000"/>
                <w:sz w:val="16"/>
                <w:szCs w:val="16"/>
              </w:rPr>
              <w:t> </w:t>
            </w:r>
            <w:r w:rsidRPr="001944AC">
              <w:rPr>
                <w:rFonts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F2C6C9"/>
            <w:noWrap/>
            <w:vAlign w:val="center"/>
          </w:tcPr>
          <w:p w14:paraId="281B05E5" w14:textId="2C620A02"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96,80</w:t>
            </w:r>
            <w:r w:rsidR="00B94DFC">
              <w:rPr>
                <w:rFonts w:cs="Calibri"/>
                <w:color w:val="000000"/>
                <w:sz w:val="16"/>
                <w:szCs w:val="16"/>
              </w:rPr>
              <w:t> </w:t>
            </w:r>
            <w:r w:rsidRPr="001944AC">
              <w:rPr>
                <w:rFonts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F2C6C9"/>
            <w:noWrap/>
            <w:vAlign w:val="center"/>
          </w:tcPr>
          <w:p w14:paraId="2FBDD8AA" w14:textId="4826B47C"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96,17</w:t>
            </w:r>
            <w:r w:rsidR="00B94DFC">
              <w:rPr>
                <w:rFonts w:cs="Calibri"/>
                <w:color w:val="000000"/>
                <w:sz w:val="16"/>
                <w:szCs w:val="16"/>
              </w:rPr>
              <w:t> </w:t>
            </w:r>
            <w:r w:rsidRPr="001944AC">
              <w:rPr>
                <w:rFonts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F2C6C9"/>
            <w:vAlign w:val="center"/>
          </w:tcPr>
          <w:p w14:paraId="212DCD9F" w14:textId="0FE6D703"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90,01</w:t>
            </w:r>
            <w:r w:rsidR="00B94DFC">
              <w:rPr>
                <w:rFonts w:cs="Calibri"/>
                <w:color w:val="000000"/>
                <w:sz w:val="16"/>
                <w:szCs w:val="16"/>
              </w:rPr>
              <w:t> </w:t>
            </w:r>
            <w:r w:rsidRPr="001944AC">
              <w:rPr>
                <w:rFonts w:cs="Calibri"/>
                <w:color w:val="000000"/>
                <w:sz w:val="16"/>
                <w:szCs w:val="16"/>
              </w:rPr>
              <w:t>%</w:t>
            </w:r>
          </w:p>
        </w:tc>
      </w:tr>
      <w:tr w:rsidR="00B57597" w:rsidRPr="001944AC" w14:paraId="612B777F" w14:textId="77777777" w:rsidTr="001944AC">
        <w:trPr>
          <w:trHeight w:val="283"/>
        </w:trPr>
        <w:tc>
          <w:tcPr>
            <w:tcW w:w="562" w:type="dxa"/>
            <w:vMerge w:val="restart"/>
            <w:tcBorders>
              <w:top w:val="single" w:sz="4" w:space="0" w:color="auto"/>
              <w:left w:val="single" w:sz="4" w:space="0" w:color="auto"/>
              <w:right w:val="single" w:sz="4" w:space="0" w:color="auto"/>
            </w:tcBorders>
            <w:vAlign w:val="center"/>
          </w:tcPr>
          <w:p w14:paraId="37AD880D" w14:textId="77777777" w:rsidR="00B57597" w:rsidRPr="001944AC" w:rsidRDefault="00B57597" w:rsidP="001944AC">
            <w:pPr>
              <w:spacing w:after="0"/>
              <w:jc w:val="center"/>
              <w:rPr>
                <w:rFonts w:eastAsia="Calibri" w:cs="Calibri"/>
                <w:color w:val="000000"/>
                <w:sz w:val="16"/>
                <w:szCs w:val="16"/>
              </w:rPr>
            </w:pPr>
            <w:r w:rsidRPr="001944AC">
              <w:rPr>
                <w:rFonts w:cs="Calibri"/>
                <w:color w:val="000000"/>
                <w:sz w:val="16"/>
                <w:szCs w:val="16"/>
              </w:rPr>
              <w:t>OSS (bez MPO)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93311" w14:textId="529B80BD" w:rsidR="00B57597" w:rsidRPr="001944AC" w:rsidRDefault="00B57597" w:rsidP="001944AC">
            <w:pPr>
              <w:spacing w:after="40"/>
              <w:rPr>
                <w:rFonts w:eastAsia="Calibri" w:cs="Calibri"/>
                <w:color w:val="000000"/>
                <w:sz w:val="16"/>
                <w:szCs w:val="16"/>
              </w:rPr>
            </w:pPr>
            <w:r w:rsidRPr="001944AC">
              <w:rPr>
                <w:rFonts w:cs="Calibri"/>
                <w:color w:val="000000"/>
                <w:sz w:val="16"/>
                <w:szCs w:val="16"/>
              </w:rPr>
              <w:t>Náklady na transfery (v</w:t>
            </w:r>
            <w:r w:rsidR="001944AC" w:rsidRPr="001944AC">
              <w:rPr>
                <w:rFonts w:cs="Calibri"/>
                <w:color w:val="000000"/>
                <w:sz w:val="16"/>
                <w:szCs w:val="16"/>
              </w:rPr>
              <w:t> </w:t>
            </w:r>
            <w:r w:rsidRPr="001944AC">
              <w:rPr>
                <w:rFonts w:cs="Calibri"/>
                <w:color w:val="000000"/>
                <w:sz w:val="16"/>
                <w:szCs w:val="16"/>
              </w:rPr>
              <w:t>Kč)</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E38CC92" w14:textId="77777777"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108 517 245,83</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40CDC20" w14:textId="77777777"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108 805 694,94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4C657E6F" w14:textId="77777777"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102 307 912,38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CB034C0" w14:textId="77777777"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112 917 987,80</w:t>
            </w:r>
          </w:p>
        </w:tc>
        <w:tc>
          <w:tcPr>
            <w:tcW w:w="1361" w:type="dxa"/>
            <w:tcBorders>
              <w:top w:val="single" w:sz="4" w:space="0" w:color="auto"/>
              <w:left w:val="nil"/>
              <w:bottom w:val="single" w:sz="4" w:space="0" w:color="auto"/>
              <w:right w:val="single" w:sz="4" w:space="0" w:color="auto"/>
            </w:tcBorders>
            <w:vAlign w:val="center"/>
          </w:tcPr>
          <w:p w14:paraId="3EE48E14" w14:textId="77777777"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106 046 666,52</w:t>
            </w:r>
          </w:p>
        </w:tc>
      </w:tr>
      <w:tr w:rsidR="00B57597" w:rsidRPr="001944AC" w14:paraId="416E45F7" w14:textId="77777777" w:rsidTr="001944AC">
        <w:trPr>
          <w:trHeight w:val="283"/>
        </w:trPr>
        <w:tc>
          <w:tcPr>
            <w:tcW w:w="562" w:type="dxa"/>
            <w:vMerge/>
            <w:tcBorders>
              <w:left w:val="single" w:sz="4" w:space="0" w:color="auto"/>
              <w:right w:val="single" w:sz="4" w:space="0" w:color="auto"/>
            </w:tcBorders>
            <w:vAlign w:val="center"/>
          </w:tcPr>
          <w:p w14:paraId="5B9421FF" w14:textId="77777777" w:rsidR="00B57597" w:rsidRPr="001944AC" w:rsidRDefault="00B57597" w:rsidP="001944AC">
            <w:pPr>
              <w:spacing w:after="0"/>
              <w:jc w:val="center"/>
              <w:rPr>
                <w:rFonts w:eastAsia="Calibri" w:cs="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90BD3" w14:textId="41EC1CE0" w:rsidR="00B57597" w:rsidRPr="001944AC" w:rsidRDefault="00B57597" w:rsidP="001944AC">
            <w:pPr>
              <w:spacing w:after="0"/>
              <w:rPr>
                <w:rFonts w:eastAsia="Calibri" w:cs="Calibri"/>
                <w:color w:val="000000"/>
                <w:sz w:val="16"/>
                <w:szCs w:val="16"/>
              </w:rPr>
            </w:pPr>
            <w:r w:rsidRPr="001944AC">
              <w:rPr>
                <w:rFonts w:cs="Calibri"/>
                <w:color w:val="000000"/>
                <w:sz w:val="16"/>
                <w:szCs w:val="16"/>
              </w:rPr>
              <w:t>Náklady celkem (v</w:t>
            </w:r>
            <w:r w:rsidR="001944AC" w:rsidRPr="001944AC">
              <w:rPr>
                <w:rFonts w:cs="Calibri"/>
                <w:color w:val="000000"/>
                <w:sz w:val="16"/>
                <w:szCs w:val="16"/>
              </w:rPr>
              <w:t> </w:t>
            </w:r>
            <w:r w:rsidRPr="001944AC">
              <w:rPr>
                <w:rFonts w:cs="Calibri"/>
                <w:color w:val="000000"/>
                <w:sz w:val="16"/>
                <w:szCs w:val="16"/>
              </w:rPr>
              <w:t>Kč)</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737795D6" w14:textId="77777777"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959 696 189,77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4DBC1A11" w14:textId="77777777"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1 114 566 422,40</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4440EA99" w14:textId="77777777"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1 158 540 659,77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0974C30E" w14:textId="77777777"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1 137 218 761,45</w:t>
            </w:r>
          </w:p>
        </w:tc>
        <w:tc>
          <w:tcPr>
            <w:tcW w:w="1361" w:type="dxa"/>
            <w:tcBorders>
              <w:top w:val="single" w:sz="4" w:space="0" w:color="auto"/>
              <w:left w:val="nil"/>
              <w:bottom w:val="single" w:sz="4" w:space="0" w:color="auto"/>
              <w:right w:val="single" w:sz="4" w:space="0" w:color="auto"/>
            </w:tcBorders>
            <w:vAlign w:val="center"/>
          </w:tcPr>
          <w:p w14:paraId="5F6BB0E6" w14:textId="77777777"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1 236 601 500,41</w:t>
            </w:r>
          </w:p>
        </w:tc>
      </w:tr>
      <w:tr w:rsidR="00B57597" w:rsidRPr="001944AC" w14:paraId="60CEDEAF" w14:textId="77777777" w:rsidTr="001944AC">
        <w:trPr>
          <w:trHeight w:val="283"/>
        </w:trPr>
        <w:tc>
          <w:tcPr>
            <w:tcW w:w="562" w:type="dxa"/>
            <w:vMerge/>
            <w:tcBorders>
              <w:left w:val="single" w:sz="4" w:space="0" w:color="auto"/>
              <w:bottom w:val="single" w:sz="4" w:space="0" w:color="auto"/>
              <w:right w:val="single" w:sz="4" w:space="0" w:color="auto"/>
            </w:tcBorders>
            <w:vAlign w:val="center"/>
          </w:tcPr>
          <w:p w14:paraId="3E7EE97A" w14:textId="77777777" w:rsidR="00B57597" w:rsidRPr="001944AC" w:rsidRDefault="00B57597" w:rsidP="001944AC">
            <w:pPr>
              <w:spacing w:after="0"/>
              <w:jc w:val="center"/>
              <w:rPr>
                <w:rFonts w:eastAsia="Calibri" w:cs="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2C6C9"/>
            <w:noWrap/>
            <w:vAlign w:val="center"/>
          </w:tcPr>
          <w:p w14:paraId="25CFB182" w14:textId="55D66B2B" w:rsidR="00B57597" w:rsidRPr="001944AC" w:rsidRDefault="00B57597" w:rsidP="001944AC">
            <w:pPr>
              <w:spacing w:after="40"/>
              <w:rPr>
                <w:rFonts w:eastAsia="Calibri" w:cs="Calibri"/>
                <w:color w:val="000000"/>
                <w:sz w:val="16"/>
                <w:szCs w:val="16"/>
              </w:rPr>
            </w:pPr>
            <w:r w:rsidRPr="001944AC">
              <w:rPr>
                <w:rFonts w:cs="Calibri"/>
                <w:color w:val="000000"/>
                <w:sz w:val="16"/>
                <w:szCs w:val="16"/>
              </w:rPr>
              <w:t>Podíl transferových nákladů k celkovým nákladům v</w:t>
            </w:r>
            <w:r w:rsidR="001944AC" w:rsidRPr="001944AC">
              <w:rPr>
                <w:rFonts w:cs="Calibri"/>
                <w:color w:val="000000"/>
                <w:sz w:val="16"/>
                <w:szCs w:val="16"/>
              </w:rPr>
              <w:t> </w:t>
            </w:r>
            <w:r w:rsidRPr="001944AC">
              <w:rPr>
                <w:rFonts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F2C6C9"/>
            <w:noWrap/>
            <w:vAlign w:val="center"/>
          </w:tcPr>
          <w:p w14:paraId="2BD986F1" w14:textId="25D33907"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11,31</w:t>
            </w:r>
            <w:r w:rsidR="00B94DFC">
              <w:rPr>
                <w:rFonts w:cs="Calibri"/>
                <w:color w:val="000000"/>
                <w:sz w:val="16"/>
                <w:szCs w:val="16"/>
              </w:rPr>
              <w:t> </w:t>
            </w:r>
            <w:r w:rsidRPr="001944AC">
              <w:rPr>
                <w:rFonts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F2C6C9"/>
            <w:noWrap/>
            <w:vAlign w:val="center"/>
          </w:tcPr>
          <w:p w14:paraId="531AA6AA" w14:textId="333F7818"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9,76</w:t>
            </w:r>
            <w:r w:rsidR="00B94DFC">
              <w:rPr>
                <w:rFonts w:cs="Calibri"/>
                <w:color w:val="000000"/>
                <w:sz w:val="16"/>
                <w:szCs w:val="16"/>
              </w:rPr>
              <w:t> </w:t>
            </w:r>
            <w:r w:rsidRPr="001944AC">
              <w:rPr>
                <w:rFonts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F2C6C9"/>
            <w:noWrap/>
            <w:vAlign w:val="center"/>
          </w:tcPr>
          <w:p w14:paraId="40789CCD" w14:textId="24EEED30"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8,83</w:t>
            </w:r>
            <w:r w:rsidR="00B94DFC">
              <w:rPr>
                <w:rFonts w:cs="Calibri"/>
                <w:color w:val="000000"/>
                <w:sz w:val="16"/>
                <w:szCs w:val="16"/>
              </w:rPr>
              <w:t> </w:t>
            </w:r>
            <w:r w:rsidRPr="001944AC">
              <w:rPr>
                <w:rFonts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F2C6C9"/>
            <w:noWrap/>
            <w:vAlign w:val="center"/>
          </w:tcPr>
          <w:p w14:paraId="6E244487" w14:textId="7D0E1450"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9,93</w:t>
            </w:r>
            <w:r w:rsidR="00B94DFC">
              <w:rPr>
                <w:rFonts w:cs="Calibri"/>
                <w:color w:val="000000"/>
                <w:sz w:val="16"/>
                <w:szCs w:val="16"/>
              </w:rPr>
              <w:t> </w:t>
            </w:r>
            <w:r w:rsidRPr="001944AC">
              <w:rPr>
                <w:rFonts w:cs="Calibri"/>
                <w:color w:val="000000"/>
                <w:sz w:val="16"/>
                <w:szCs w:val="16"/>
              </w:rPr>
              <w:t>%</w:t>
            </w:r>
          </w:p>
        </w:tc>
        <w:tc>
          <w:tcPr>
            <w:tcW w:w="1361" w:type="dxa"/>
            <w:tcBorders>
              <w:top w:val="single" w:sz="4" w:space="0" w:color="auto"/>
              <w:left w:val="nil"/>
              <w:bottom w:val="single" w:sz="4" w:space="0" w:color="auto"/>
              <w:right w:val="single" w:sz="4" w:space="0" w:color="auto"/>
            </w:tcBorders>
            <w:shd w:val="clear" w:color="auto" w:fill="F2C6C9"/>
            <w:vAlign w:val="center"/>
          </w:tcPr>
          <w:p w14:paraId="0065EA01" w14:textId="202E4503" w:rsidR="00B57597" w:rsidRPr="001944AC" w:rsidRDefault="00B57597" w:rsidP="001944AC">
            <w:pPr>
              <w:spacing w:after="0"/>
              <w:jc w:val="right"/>
              <w:rPr>
                <w:rFonts w:eastAsia="Calibri" w:cs="Calibri"/>
                <w:color w:val="000000"/>
                <w:sz w:val="16"/>
                <w:szCs w:val="16"/>
              </w:rPr>
            </w:pPr>
            <w:r w:rsidRPr="001944AC">
              <w:rPr>
                <w:rFonts w:cs="Calibri"/>
                <w:color w:val="000000"/>
                <w:sz w:val="16"/>
                <w:szCs w:val="16"/>
              </w:rPr>
              <w:t>8,58</w:t>
            </w:r>
            <w:r w:rsidR="00B94DFC">
              <w:rPr>
                <w:rFonts w:cs="Calibri"/>
                <w:color w:val="000000"/>
                <w:sz w:val="16"/>
                <w:szCs w:val="16"/>
              </w:rPr>
              <w:t> </w:t>
            </w:r>
            <w:r w:rsidRPr="001944AC">
              <w:rPr>
                <w:rFonts w:cs="Calibri"/>
                <w:color w:val="000000"/>
                <w:sz w:val="16"/>
                <w:szCs w:val="16"/>
              </w:rPr>
              <w:t>%</w:t>
            </w:r>
          </w:p>
        </w:tc>
      </w:tr>
    </w:tbl>
    <w:p w14:paraId="7B41D3DC" w14:textId="77777777" w:rsidR="00B57597" w:rsidRPr="00682D65" w:rsidRDefault="00B57597" w:rsidP="00B57597">
      <w:pPr>
        <w:spacing w:before="40"/>
        <w:rPr>
          <w:rFonts w:cs="Calibri"/>
          <w:color w:val="000000"/>
          <w:sz w:val="20"/>
          <w:szCs w:val="20"/>
          <w:lang w:eastAsia="cs-CZ"/>
        </w:rPr>
      </w:pPr>
      <w:r w:rsidRPr="00682D65">
        <w:rPr>
          <w:rFonts w:cs="Calibri"/>
          <w:b/>
          <w:color w:val="000000"/>
          <w:sz w:val="20"/>
          <w:szCs w:val="20"/>
          <w:lang w:eastAsia="cs-CZ"/>
        </w:rPr>
        <w:t xml:space="preserve">Zdroj: </w:t>
      </w:r>
      <w:r w:rsidRPr="00682D65">
        <w:rPr>
          <w:rFonts w:cs="Calibri"/>
          <w:color w:val="000000"/>
          <w:sz w:val="20"/>
          <w:szCs w:val="20"/>
          <w:lang w:eastAsia="cs-CZ"/>
        </w:rPr>
        <w:t>informační portál MONITOR.</w:t>
      </w:r>
    </w:p>
    <w:p w14:paraId="1BA84DC0" w14:textId="058D4B72" w:rsidR="00B57597" w:rsidRPr="00F335C4" w:rsidRDefault="00B57597" w:rsidP="00B57597">
      <w:pPr>
        <w:jc w:val="both"/>
        <w:rPr>
          <w:rFonts w:asciiTheme="minorHAnsi" w:hAnsiTheme="minorHAnsi" w:cstheme="minorHAnsi"/>
        </w:rPr>
      </w:pPr>
      <w:r w:rsidRPr="00F335C4">
        <w:rPr>
          <w:rFonts w:asciiTheme="minorHAnsi" w:hAnsiTheme="minorHAnsi" w:cstheme="minorHAnsi"/>
        </w:rPr>
        <w:t xml:space="preserve">Ve sledovaném období vykazovalo drtivou většinu (více </w:t>
      </w:r>
      <w:r w:rsidR="00B94DFC">
        <w:rPr>
          <w:rFonts w:asciiTheme="minorHAnsi" w:hAnsiTheme="minorHAnsi" w:cstheme="minorHAnsi"/>
        </w:rPr>
        <w:t>než</w:t>
      </w:r>
      <w:r w:rsidRPr="00F335C4">
        <w:rPr>
          <w:rFonts w:asciiTheme="minorHAnsi" w:hAnsiTheme="minorHAnsi" w:cstheme="minorHAnsi"/>
        </w:rPr>
        <w:t xml:space="preserve"> 99 %) nákladů na transfery MPO. Vývoj nákladů na transfery MPO vykazoval rostoucí tendenci v rámci celého sledovaného období, avšak podíl transferových nákladů k celkovým nákladům klesal, tudíž podíl ostatních nákladů, zejména nákladů z činnosti, postupně rostl. Přesto však náklady na transfery představovaly za sledované období vždy více </w:t>
      </w:r>
      <w:r w:rsidR="00B94DFC">
        <w:rPr>
          <w:rFonts w:asciiTheme="minorHAnsi" w:hAnsiTheme="minorHAnsi" w:cstheme="minorHAnsi"/>
        </w:rPr>
        <w:t>než</w:t>
      </w:r>
      <w:r w:rsidRPr="00F335C4">
        <w:rPr>
          <w:rFonts w:asciiTheme="minorHAnsi" w:hAnsiTheme="minorHAnsi" w:cstheme="minorHAnsi"/>
        </w:rPr>
        <w:t xml:space="preserve"> 90 % všech nákladů. </w:t>
      </w:r>
    </w:p>
    <w:p w14:paraId="22BB8D21" w14:textId="2E200B0B" w:rsidR="00B57597" w:rsidRPr="00F335C4" w:rsidRDefault="00B57597" w:rsidP="00B57597">
      <w:pPr>
        <w:spacing w:before="120"/>
        <w:jc w:val="both"/>
        <w:rPr>
          <w:rFonts w:asciiTheme="minorHAnsi" w:hAnsiTheme="minorHAnsi" w:cstheme="minorHAnsi"/>
        </w:rPr>
      </w:pPr>
      <w:r w:rsidRPr="00F335C4">
        <w:rPr>
          <w:rFonts w:asciiTheme="minorHAnsi" w:hAnsiTheme="minorHAnsi" w:cstheme="minorHAnsi"/>
        </w:rPr>
        <w:t>U ostatních OSS (bez MPO) kolísal podíl transferových nákladů k celkovým nákladům kolem 10</w:t>
      </w:r>
      <w:r w:rsidR="00CE51E5">
        <w:rPr>
          <w:rFonts w:asciiTheme="minorHAnsi" w:hAnsiTheme="minorHAnsi" w:cstheme="minorHAnsi"/>
        </w:rPr>
        <w:t> </w:t>
      </w:r>
      <w:r w:rsidRPr="00F335C4">
        <w:rPr>
          <w:rFonts w:asciiTheme="minorHAnsi" w:hAnsiTheme="minorHAnsi" w:cstheme="minorHAnsi"/>
        </w:rPr>
        <w:t>% a na vývoj celkových nákladů měly výrazně menší vliv, než tomu bylo v případě MPO.</w:t>
      </w:r>
    </w:p>
    <w:p w14:paraId="1021DE51" w14:textId="50AE368D" w:rsidR="00B57597" w:rsidRPr="00CE51E5" w:rsidRDefault="00B57597" w:rsidP="00CE51E5">
      <w:pPr>
        <w:pStyle w:val="Titulek1"/>
        <w:tabs>
          <w:tab w:val="clear" w:pos="1134"/>
        </w:tabs>
        <w:spacing w:before="240"/>
        <w:ind w:left="1446" w:hanging="1446"/>
        <w:rPr>
          <w:sz w:val="24"/>
        </w:rPr>
      </w:pPr>
      <w:bookmarkStart w:id="102" w:name="_Toc8984548"/>
      <w:bookmarkStart w:id="103" w:name="_Toc520714341"/>
      <w:bookmarkStart w:id="104" w:name="_Toc72157489"/>
      <w:r w:rsidRPr="00CE51E5">
        <w:rPr>
          <w:sz w:val="24"/>
        </w:rPr>
        <w:t xml:space="preserve">Tabulka č. </w:t>
      </w:r>
      <w:r w:rsidR="005F2931" w:rsidRPr="00CE51E5">
        <w:rPr>
          <w:sz w:val="24"/>
        </w:rPr>
        <w:fldChar w:fldCharType="begin"/>
      </w:r>
      <w:r w:rsidR="005F2931" w:rsidRPr="00CE51E5">
        <w:rPr>
          <w:sz w:val="24"/>
        </w:rPr>
        <w:instrText xml:space="preserve"> SEQ Tabulka \* ARABIC </w:instrText>
      </w:r>
      <w:r w:rsidR="005F2931" w:rsidRPr="00CE51E5">
        <w:rPr>
          <w:sz w:val="24"/>
        </w:rPr>
        <w:fldChar w:fldCharType="separate"/>
      </w:r>
      <w:r w:rsidR="00E544AA">
        <w:rPr>
          <w:noProof/>
          <w:sz w:val="24"/>
        </w:rPr>
        <w:t>31</w:t>
      </w:r>
      <w:r w:rsidR="005F2931" w:rsidRPr="00CE51E5">
        <w:rPr>
          <w:noProof/>
          <w:sz w:val="24"/>
        </w:rPr>
        <w:fldChar w:fldCharType="end"/>
      </w:r>
      <w:r w:rsidRPr="00CE51E5">
        <w:rPr>
          <w:sz w:val="24"/>
        </w:rPr>
        <w:t xml:space="preserve">: Náklady na transfery přepočtené na </w:t>
      </w:r>
      <w:r w:rsidR="00B94DFC">
        <w:rPr>
          <w:sz w:val="24"/>
        </w:rPr>
        <w:t>jednoho</w:t>
      </w:r>
      <w:r w:rsidRPr="00CE51E5">
        <w:rPr>
          <w:sz w:val="24"/>
        </w:rPr>
        <w:t xml:space="preserve"> zaměstnance, které vykázalo MPO a</w:t>
      </w:r>
      <w:bookmarkEnd w:id="102"/>
      <w:r w:rsidR="00CE51E5">
        <w:rPr>
          <w:sz w:val="24"/>
        </w:rPr>
        <w:t> </w:t>
      </w:r>
      <w:r w:rsidRPr="00CE51E5">
        <w:rPr>
          <w:sz w:val="24"/>
        </w:rPr>
        <w:t>OSS v rozpočtové kapitole 322 (bez MPO</w:t>
      </w:r>
      <w:r w:rsidR="00B94DFC">
        <w:rPr>
          <w:sz w:val="24"/>
        </w:rPr>
        <w:t>;</w:t>
      </w:r>
      <w:r w:rsidRPr="00CE51E5">
        <w:rPr>
          <w:sz w:val="24"/>
        </w:rPr>
        <w:t xml:space="preserve"> v Kč)</w:t>
      </w:r>
      <w:bookmarkEnd w:id="103"/>
      <w:bookmarkEnd w:id="104"/>
    </w:p>
    <w:tbl>
      <w:tblPr>
        <w:tblW w:w="5000" w:type="pct"/>
        <w:tblCellMar>
          <w:left w:w="70" w:type="dxa"/>
          <w:right w:w="70" w:type="dxa"/>
        </w:tblCellMar>
        <w:tblLook w:val="04A0" w:firstRow="1" w:lastRow="0" w:firstColumn="1" w:lastColumn="0" w:noHBand="0" w:noVBand="1"/>
      </w:tblPr>
      <w:tblGrid>
        <w:gridCol w:w="1614"/>
        <w:gridCol w:w="1490"/>
        <w:gridCol w:w="1489"/>
        <w:gridCol w:w="1489"/>
        <w:gridCol w:w="1489"/>
        <w:gridCol w:w="1489"/>
      </w:tblGrid>
      <w:tr w:rsidR="00B57597" w:rsidRPr="00CE51E5" w14:paraId="5EABF3F7" w14:textId="77777777" w:rsidTr="00B57597">
        <w:trPr>
          <w:trHeight w:val="255"/>
        </w:trPr>
        <w:tc>
          <w:tcPr>
            <w:tcW w:w="890"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7E5A8D28" w14:textId="77777777" w:rsidR="00B57597" w:rsidRPr="00CE51E5" w:rsidRDefault="00B57597" w:rsidP="00CE51E5">
            <w:pPr>
              <w:spacing w:after="0"/>
              <w:rPr>
                <w:rFonts w:cs="Calibri"/>
                <w:b/>
                <w:bCs/>
                <w:color w:val="000000"/>
                <w:sz w:val="20"/>
                <w:szCs w:val="18"/>
                <w:lang w:eastAsia="cs-CZ"/>
              </w:rPr>
            </w:pPr>
            <w:r w:rsidRPr="00CE51E5">
              <w:rPr>
                <w:rFonts w:cs="Calibri"/>
                <w:b/>
                <w:bCs/>
                <w:color w:val="000000"/>
                <w:sz w:val="20"/>
                <w:szCs w:val="18"/>
              </w:rPr>
              <w:t>Organizace</w:t>
            </w:r>
          </w:p>
        </w:tc>
        <w:tc>
          <w:tcPr>
            <w:tcW w:w="822" w:type="pct"/>
            <w:tcBorders>
              <w:top w:val="single" w:sz="4" w:space="0" w:color="auto"/>
              <w:left w:val="nil"/>
              <w:bottom w:val="single" w:sz="4" w:space="0" w:color="auto"/>
              <w:right w:val="single" w:sz="4" w:space="0" w:color="auto"/>
            </w:tcBorders>
            <w:shd w:val="clear" w:color="auto" w:fill="E5F1FF"/>
            <w:noWrap/>
            <w:vAlign w:val="center"/>
            <w:hideMark/>
          </w:tcPr>
          <w:p w14:paraId="72E63F86" w14:textId="77777777" w:rsidR="00B57597" w:rsidRPr="00CE51E5" w:rsidRDefault="00B57597" w:rsidP="00CE51E5">
            <w:pPr>
              <w:spacing w:after="0"/>
              <w:jc w:val="center"/>
              <w:rPr>
                <w:rFonts w:cs="Calibri"/>
                <w:b/>
                <w:bCs/>
                <w:color w:val="000000"/>
                <w:sz w:val="20"/>
                <w:szCs w:val="18"/>
                <w:lang w:eastAsia="cs-CZ"/>
              </w:rPr>
            </w:pPr>
            <w:r w:rsidRPr="00CE51E5">
              <w:rPr>
                <w:rFonts w:cs="Calibri"/>
                <w:b/>
                <w:bCs/>
                <w:color w:val="000000"/>
                <w:sz w:val="20"/>
                <w:szCs w:val="18"/>
              </w:rPr>
              <w:t>2016</w:t>
            </w:r>
          </w:p>
        </w:tc>
        <w:tc>
          <w:tcPr>
            <w:tcW w:w="822" w:type="pct"/>
            <w:tcBorders>
              <w:top w:val="single" w:sz="4" w:space="0" w:color="auto"/>
              <w:left w:val="nil"/>
              <w:bottom w:val="single" w:sz="4" w:space="0" w:color="auto"/>
              <w:right w:val="single" w:sz="4" w:space="0" w:color="auto"/>
            </w:tcBorders>
            <w:shd w:val="clear" w:color="auto" w:fill="E5F1FF"/>
            <w:noWrap/>
            <w:vAlign w:val="center"/>
            <w:hideMark/>
          </w:tcPr>
          <w:p w14:paraId="061FEB99" w14:textId="77777777" w:rsidR="00B57597" w:rsidRPr="00CE51E5" w:rsidRDefault="00B57597" w:rsidP="00CE51E5">
            <w:pPr>
              <w:spacing w:after="0"/>
              <w:jc w:val="center"/>
              <w:rPr>
                <w:rFonts w:cs="Calibri"/>
                <w:b/>
                <w:bCs/>
                <w:color w:val="000000"/>
                <w:sz w:val="20"/>
                <w:szCs w:val="18"/>
                <w:lang w:eastAsia="cs-CZ"/>
              </w:rPr>
            </w:pPr>
            <w:r w:rsidRPr="00CE51E5">
              <w:rPr>
                <w:rFonts w:cs="Calibri"/>
                <w:b/>
                <w:bCs/>
                <w:color w:val="000000"/>
                <w:sz w:val="20"/>
                <w:szCs w:val="18"/>
              </w:rPr>
              <w:t>2017</w:t>
            </w:r>
          </w:p>
        </w:tc>
        <w:tc>
          <w:tcPr>
            <w:tcW w:w="822" w:type="pct"/>
            <w:tcBorders>
              <w:top w:val="single" w:sz="4" w:space="0" w:color="auto"/>
              <w:left w:val="nil"/>
              <w:bottom w:val="single" w:sz="4" w:space="0" w:color="auto"/>
              <w:right w:val="single" w:sz="4" w:space="0" w:color="auto"/>
            </w:tcBorders>
            <w:shd w:val="clear" w:color="auto" w:fill="E5F1FF"/>
            <w:noWrap/>
            <w:vAlign w:val="center"/>
            <w:hideMark/>
          </w:tcPr>
          <w:p w14:paraId="119E0010" w14:textId="77777777" w:rsidR="00B57597" w:rsidRPr="00CE51E5" w:rsidRDefault="00B57597" w:rsidP="00CE51E5">
            <w:pPr>
              <w:spacing w:after="0"/>
              <w:jc w:val="center"/>
              <w:rPr>
                <w:rFonts w:cs="Calibri"/>
                <w:b/>
                <w:bCs/>
                <w:color w:val="000000"/>
                <w:sz w:val="20"/>
                <w:szCs w:val="18"/>
                <w:lang w:eastAsia="cs-CZ"/>
              </w:rPr>
            </w:pPr>
            <w:r w:rsidRPr="00CE51E5">
              <w:rPr>
                <w:rFonts w:cs="Calibri"/>
                <w:b/>
                <w:bCs/>
                <w:color w:val="000000"/>
                <w:sz w:val="20"/>
                <w:szCs w:val="18"/>
              </w:rPr>
              <w:t>2018</w:t>
            </w:r>
          </w:p>
        </w:tc>
        <w:tc>
          <w:tcPr>
            <w:tcW w:w="822" w:type="pct"/>
            <w:tcBorders>
              <w:top w:val="single" w:sz="4" w:space="0" w:color="auto"/>
              <w:left w:val="nil"/>
              <w:bottom w:val="single" w:sz="4" w:space="0" w:color="auto"/>
              <w:right w:val="single" w:sz="4" w:space="0" w:color="auto"/>
            </w:tcBorders>
            <w:shd w:val="clear" w:color="auto" w:fill="E5F1FF"/>
            <w:noWrap/>
            <w:vAlign w:val="center"/>
            <w:hideMark/>
          </w:tcPr>
          <w:p w14:paraId="7575111E" w14:textId="77777777" w:rsidR="00B57597" w:rsidRPr="00CE51E5" w:rsidRDefault="00B57597" w:rsidP="00CE51E5">
            <w:pPr>
              <w:spacing w:after="0"/>
              <w:jc w:val="center"/>
              <w:rPr>
                <w:rFonts w:cs="Calibri"/>
                <w:b/>
                <w:bCs/>
                <w:color w:val="000000"/>
                <w:sz w:val="20"/>
                <w:szCs w:val="18"/>
                <w:lang w:eastAsia="cs-CZ"/>
              </w:rPr>
            </w:pPr>
            <w:r w:rsidRPr="00CE51E5">
              <w:rPr>
                <w:rFonts w:cs="Calibri"/>
                <w:b/>
                <w:bCs/>
                <w:color w:val="000000"/>
                <w:sz w:val="20"/>
                <w:szCs w:val="18"/>
              </w:rPr>
              <w:t>2019</w:t>
            </w:r>
          </w:p>
        </w:tc>
        <w:tc>
          <w:tcPr>
            <w:tcW w:w="822" w:type="pct"/>
            <w:tcBorders>
              <w:top w:val="single" w:sz="4" w:space="0" w:color="auto"/>
              <w:left w:val="nil"/>
              <w:bottom w:val="single" w:sz="4" w:space="0" w:color="auto"/>
              <w:right w:val="single" w:sz="4" w:space="0" w:color="auto"/>
            </w:tcBorders>
            <w:shd w:val="clear" w:color="auto" w:fill="E5F1FF"/>
            <w:vAlign w:val="center"/>
          </w:tcPr>
          <w:p w14:paraId="271EABA7" w14:textId="77777777" w:rsidR="00B57597" w:rsidRPr="00CE51E5" w:rsidRDefault="00B57597" w:rsidP="00CE51E5">
            <w:pPr>
              <w:spacing w:after="0"/>
              <w:jc w:val="center"/>
              <w:rPr>
                <w:rFonts w:cs="Calibri"/>
                <w:b/>
                <w:bCs/>
                <w:color w:val="000000"/>
                <w:sz w:val="20"/>
                <w:szCs w:val="18"/>
                <w:lang w:eastAsia="cs-CZ"/>
              </w:rPr>
            </w:pPr>
            <w:r w:rsidRPr="00CE51E5">
              <w:rPr>
                <w:rFonts w:cs="Calibri"/>
                <w:b/>
                <w:bCs/>
                <w:color w:val="000000"/>
                <w:sz w:val="20"/>
                <w:szCs w:val="18"/>
              </w:rPr>
              <w:t>2020</w:t>
            </w:r>
          </w:p>
        </w:tc>
      </w:tr>
      <w:tr w:rsidR="00B57597" w:rsidRPr="00CE51E5" w14:paraId="240FF253" w14:textId="77777777" w:rsidTr="00B57597">
        <w:trPr>
          <w:trHeight w:val="255"/>
        </w:trPr>
        <w:tc>
          <w:tcPr>
            <w:tcW w:w="890" w:type="pct"/>
            <w:tcBorders>
              <w:top w:val="nil"/>
              <w:left w:val="single" w:sz="4" w:space="0" w:color="auto"/>
              <w:bottom w:val="single" w:sz="4" w:space="0" w:color="auto"/>
              <w:right w:val="single" w:sz="4" w:space="0" w:color="auto"/>
            </w:tcBorders>
            <w:shd w:val="clear" w:color="auto" w:fill="auto"/>
            <w:noWrap/>
            <w:vAlign w:val="center"/>
          </w:tcPr>
          <w:p w14:paraId="05BB43D2" w14:textId="77777777" w:rsidR="00B57597" w:rsidRPr="00CE51E5" w:rsidRDefault="00B57597" w:rsidP="00CE51E5">
            <w:pPr>
              <w:spacing w:after="0"/>
              <w:rPr>
                <w:rFonts w:eastAsia="Calibri" w:cs="Calibri"/>
                <w:color w:val="000000"/>
                <w:sz w:val="20"/>
                <w:szCs w:val="18"/>
              </w:rPr>
            </w:pPr>
            <w:r w:rsidRPr="00CE51E5">
              <w:rPr>
                <w:rFonts w:cs="Calibri"/>
                <w:color w:val="000000"/>
                <w:sz w:val="20"/>
                <w:szCs w:val="18"/>
              </w:rPr>
              <w:t>MPO</w:t>
            </w:r>
          </w:p>
        </w:tc>
        <w:tc>
          <w:tcPr>
            <w:tcW w:w="822" w:type="pct"/>
            <w:tcBorders>
              <w:top w:val="nil"/>
              <w:left w:val="nil"/>
              <w:bottom w:val="single" w:sz="4" w:space="0" w:color="auto"/>
              <w:right w:val="single" w:sz="4" w:space="0" w:color="auto"/>
            </w:tcBorders>
            <w:shd w:val="clear" w:color="auto" w:fill="auto"/>
            <w:noWrap/>
            <w:vAlign w:val="center"/>
          </w:tcPr>
          <w:p w14:paraId="7C2570C7" w14:textId="77777777" w:rsidR="00B57597" w:rsidRPr="00CE51E5" w:rsidRDefault="00B57597" w:rsidP="00CE51E5">
            <w:pPr>
              <w:spacing w:after="0"/>
              <w:ind w:right="57"/>
              <w:jc w:val="right"/>
              <w:rPr>
                <w:rFonts w:eastAsia="Calibri" w:cs="Calibri"/>
                <w:color w:val="000000"/>
                <w:sz w:val="20"/>
                <w:szCs w:val="18"/>
              </w:rPr>
            </w:pPr>
            <w:r w:rsidRPr="00CE51E5">
              <w:rPr>
                <w:rFonts w:cs="Calibri"/>
                <w:color w:val="000000"/>
                <w:sz w:val="20"/>
                <w:szCs w:val="18"/>
              </w:rPr>
              <w:t>35 007 164,51</w:t>
            </w:r>
          </w:p>
        </w:tc>
        <w:tc>
          <w:tcPr>
            <w:tcW w:w="822" w:type="pct"/>
            <w:tcBorders>
              <w:top w:val="nil"/>
              <w:left w:val="nil"/>
              <w:bottom w:val="single" w:sz="4" w:space="0" w:color="auto"/>
              <w:right w:val="single" w:sz="4" w:space="0" w:color="auto"/>
            </w:tcBorders>
            <w:shd w:val="clear" w:color="auto" w:fill="auto"/>
            <w:noWrap/>
            <w:vAlign w:val="center"/>
          </w:tcPr>
          <w:p w14:paraId="436489EA" w14:textId="77777777" w:rsidR="00B57597" w:rsidRPr="00CE51E5" w:rsidRDefault="00B57597" w:rsidP="00CE51E5">
            <w:pPr>
              <w:spacing w:after="0"/>
              <w:ind w:right="57"/>
              <w:jc w:val="right"/>
              <w:rPr>
                <w:rFonts w:eastAsia="Calibri" w:cs="Calibri"/>
                <w:color w:val="000000"/>
                <w:sz w:val="20"/>
                <w:szCs w:val="18"/>
              </w:rPr>
            </w:pPr>
            <w:r w:rsidRPr="00CE51E5">
              <w:rPr>
                <w:rFonts w:cs="Calibri"/>
                <w:color w:val="000000"/>
                <w:sz w:val="20"/>
                <w:szCs w:val="18"/>
              </w:rPr>
              <w:t>42 207 263,80</w:t>
            </w:r>
          </w:p>
        </w:tc>
        <w:tc>
          <w:tcPr>
            <w:tcW w:w="822" w:type="pct"/>
            <w:tcBorders>
              <w:top w:val="nil"/>
              <w:left w:val="nil"/>
              <w:bottom w:val="single" w:sz="4" w:space="0" w:color="auto"/>
              <w:right w:val="single" w:sz="4" w:space="0" w:color="auto"/>
            </w:tcBorders>
            <w:shd w:val="clear" w:color="auto" w:fill="auto"/>
            <w:noWrap/>
            <w:vAlign w:val="center"/>
          </w:tcPr>
          <w:p w14:paraId="030BA729" w14:textId="77777777" w:rsidR="00B57597" w:rsidRPr="00CE51E5" w:rsidRDefault="00B57597" w:rsidP="00CE51E5">
            <w:pPr>
              <w:spacing w:after="0"/>
              <w:ind w:right="57"/>
              <w:jc w:val="right"/>
              <w:rPr>
                <w:rFonts w:eastAsia="Calibri" w:cs="Calibri"/>
                <w:color w:val="000000"/>
                <w:sz w:val="20"/>
                <w:szCs w:val="18"/>
              </w:rPr>
            </w:pPr>
            <w:r w:rsidRPr="00CE51E5">
              <w:rPr>
                <w:rFonts w:cs="Calibri"/>
                <w:color w:val="000000"/>
                <w:sz w:val="20"/>
                <w:szCs w:val="18"/>
              </w:rPr>
              <w:t>49 750 240,49</w:t>
            </w:r>
          </w:p>
        </w:tc>
        <w:tc>
          <w:tcPr>
            <w:tcW w:w="822" w:type="pct"/>
            <w:tcBorders>
              <w:top w:val="nil"/>
              <w:left w:val="nil"/>
              <w:bottom w:val="single" w:sz="4" w:space="0" w:color="auto"/>
              <w:right w:val="single" w:sz="4" w:space="0" w:color="auto"/>
            </w:tcBorders>
            <w:shd w:val="clear" w:color="auto" w:fill="auto"/>
            <w:noWrap/>
            <w:vAlign w:val="center"/>
          </w:tcPr>
          <w:p w14:paraId="71187881" w14:textId="77777777" w:rsidR="00B57597" w:rsidRPr="00CE51E5" w:rsidRDefault="00B57597" w:rsidP="00CE51E5">
            <w:pPr>
              <w:spacing w:after="0"/>
              <w:ind w:right="57"/>
              <w:jc w:val="right"/>
              <w:rPr>
                <w:rFonts w:eastAsia="Calibri" w:cs="Calibri"/>
                <w:color w:val="000000"/>
                <w:sz w:val="20"/>
                <w:szCs w:val="18"/>
              </w:rPr>
            </w:pPr>
            <w:r w:rsidRPr="00CE51E5">
              <w:rPr>
                <w:rFonts w:cs="Calibri"/>
                <w:color w:val="000000"/>
                <w:sz w:val="20"/>
                <w:szCs w:val="18"/>
              </w:rPr>
              <w:t>49 176 825,09</w:t>
            </w:r>
          </w:p>
        </w:tc>
        <w:tc>
          <w:tcPr>
            <w:tcW w:w="822" w:type="pct"/>
            <w:tcBorders>
              <w:top w:val="nil"/>
              <w:left w:val="nil"/>
              <w:bottom w:val="single" w:sz="4" w:space="0" w:color="auto"/>
              <w:right w:val="single" w:sz="4" w:space="0" w:color="auto"/>
            </w:tcBorders>
            <w:vAlign w:val="center"/>
          </w:tcPr>
          <w:p w14:paraId="52D3D7F0" w14:textId="77777777" w:rsidR="00B57597" w:rsidRPr="00CE51E5" w:rsidRDefault="00B57597" w:rsidP="00CE51E5">
            <w:pPr>
              <w:spacing w:after="0"/>
              <w:ind w:right="57"/>
              <w:jc w:val="right"/>
              <w:rPr>
                <w:rFonts w:eastAsia="Calibri" w:cs="Calibri"/>
                <w:color w:val="000000"/>
                <w:sz w:val="20"/>
                <w:szCs w:val="18"/>
              </w:rPr>
            </w:pPr>
            <w:r w:rsidRPr="00CE51E5">
              <w:rPr>
                <w:rFonts w:cs="Calibri"/>
                <w:color w:val="000000"/>
                <w:sz w:val="20"/>
                <w:szCs w:val="18"/>
              </w:rPr>
              <w:t>59 450 101,74</w:t>
            </w:r>
          </w:p>
        </w:tc>
      </w:tr>
      <w:tr w:rsidR="00B57597" w:rsidRPr="00CE51E5" w14:paraId="6AFFDA69" w14:textId="77777777" w:rsidTr="00B57597">
        <w:trPr>
          <w:trHeight w:val="255"/>
        </w:trPr>
        <w:tc>
          <w:tcPr>
            <w:tcW w:w="890" w:type="pct"/>
            <w:tcBorders>
              <w:top w:val="nil"/>
              <w:left w:val="single" w:sz="4" w:space="0" w:color="auto"/>
              <w:bottom w:val="single" w:sz="4" w:space="0" w:color="auto"/>
              <w:right w:val="single" w:sz="4" w:space="0" w:color="auto"/>
            </w:tcBorders>
            <w:shd w:val="clear" w:color="auto" w:fill="auto"/>
            <w:noWrap/>
            <w:vAlign w:val="center"/>
          </w:tcPr>
          <w:p w14:paraId="12D00F5B" w14:textId="77777777" w:rsidR="00B57597" w:rsidRPr="00CE51E5" w:rsidRDefault="00B57597" w:rsidP="00CE51E5">
            <w:pPr>
              <w:spacing w:after="0"/>
              <w:rPr>
                <w:rFonts w:eastAsia="Calibri" w:cs="Calibri"/>
                <w:color w:val="000000"/>
                <w:sz w:val="20"/>
                <w:szCs w:val="18"/>
              </w:rPr>
            </w:pPr>
            <w:r w:rsidRPr="00CE51E5">
              <w:rPr>
                <w:rFonts w:cs="Calibri"/>
                <w:color w:val="000000"/>
                <w:sz w:val="20"/>
                <w:szCs w:val="18"/>
              </w:rPr>
              <w:t>OSS bez MPO</w:t>
            </w:r>
          </w:p>
        </w:tc>
        <w:tc>
          <w:tcPr>
            <w:tcW w:w="822" w:type="pct"/>
            <w:tcBorders>
              <w:top w:val="nil"/>
              <w:left w:val="nil"/>
              <w:bottom w:val="single" w:sz="4" w:space="0" w:color="auto"/>
              <w:right w:val="single" w:sz="4" w:space="0" w:color="auto"/>
            </w:tcBorders>
            <w:shd w:val="clear" w:color="auto" w:fill="auto"/>
            <w:noWrap/>
            <w:vAlign w:val="center"/>
          </w:tcPr>
          <w:p w14:paraId="52E9C82F" w14:textId="77777777" w:rsidR="00B57597" w:rsidRPr="00CE51E5" w:rsidRDefault="00B57597" w:rsidP="00CE51E5">
            <w:pPr>
              <w:spacing w:after="0"/>
              <w:ind w:right="57"/>
              <w:jc w:val="right"/>
              <w:rPr>
                <w:rFonts w:eastAsia="Calibri" w:cs="Calibri"/>
                <w:color w:val="000000"/>
                <w:sz w:val="20"/>
                <w:szCs w:val="18"/>
              </w:rPr>
            </w:pPr>
            <w:r w:rsidRPr="00CE51E5">
              <w:rPr>
                <w:rFonts w:cs="Calibri"/>
                <w:color w:val="000000"/>
                <w:sz w:val="20"/>
                <w:szCs w:val="18"/>
              </w:rPr>
              <w:t>142 973,97</w:t>
            </w:r>
          </w:p>
        </w:tc>
        <w:tc>
          <w:tcPr>
            <w:tcW w:w="822" w:type="pct"/>
            <w:tcBorders>
              <w:top w:val="nil"/>
              <w:left w:val="nil"/>
              <w:bottom w:val="single" w:sz="4" w:space="0" w:color="auto"/>
              <w:right w:val="single" w:sz="4" w:space="0" w:color="auto"/>
            </w:tcBorders>
            <w:shd w:val="clear" w:color="auto" w:fill="auto"/>
            <w:noWrap/>
            <w:vAlign w:val="center"/>
          </w:tcPr>
          <w:p w14:paraId="6DB1A0C4" w14:textId="77777777" w:rsidR="00B57597" w:rsidRPr="00CE51E5" w:rsidRDefault="00B57597" w:rsidP="00CE51E5">
            <w:pPr>
              <w:spacing w:after="0"/>
              <w:ind w:right="57"/>
              <w:jc w:val="right"/>
              <w:rPr>
                <w:rFonts w:eastAsia="Calibri" w:cs="Calibri"/>
                <w:color w:val="000000"/>
                <w:sz w:val="20"/>
                <w:szCs w:val="18"/>
              </w:rPr>
            </w:pPr>
            <w:r w:rsidRPr="00CE51E5">
              <w:rPr>
                <w:rFonts w:cs="Calibri"/>
                <w:color w:val="000000"/>
                <w:sz w:val="20"/>
                <w:szCs w:val="18"/>
              </w:rPr>
              <w:t>134 328,02</w:t>
            </w:r>
          </w:p>
        </w:tc>
        <w:tc>
          <w:tcPr>
            <w:tcW w:w="822" w:type="pct"/>
            <w:tcBorders>
              <w:top w:val="nil"/>
              <w:left w:val="nil"/>
              <w:bottom w:val="single" w:sz="4" w:space="0" w:color="auto"/>
              <w:right w:val="single" w:sz="4" w:space="0" w:color="auto"/>
            </w:tcBorders>
            <w:shd w:val="clear" w:color="auto" w:fill="auto"/>
            <w:noWrap/>
            <w:vAlign w:val="center"/>
          </w:tcPr>
          <w:p w14:paraId="52717C68" w14:textId="77777777" w:rsidR="00B57597" w:rsidRPr="00CE51E5" w:rsidRDefault="00B57597" w:rsidP="00CE51E5">
            <w:pPr>
              <w:spacing w:after="0"/>
              <w:ind w:right="57"/>
              <w:jc w:val="right"/>
              <w:rPr>
                <w:rFonts w:eastAsia="Calibri" w:cs="Calibri"/>
                <w:color w:val="000000"/>
                <w:sz w:val="20"/>
                <w:szCs w:val="18"/>
              </w:rPr>
            </w:pPr>
            <w:r w:rsidRPr="00CE51E5">
              <w:rPr>
                <w:rFonts w:cs="Calibri"/>
                <w:color w:val="000000"/>
                <w:sz w:val="20"/>
                <w:szCs w:val="18"/>
              </w:rPr>
              <w:t>130 828,53</w:t>
            </w:r>
          </w:p>
        </w:tc>
        <w:tc>
          <w:tcPr>
            <w:tcW w:w="822" w:type="pct"/>
            <w:tcBorders>
              <w:top w:val="nil"/>
              <w:left w:val="nil"/>
              <w:bottom w:val="single" w:sz="4" w:space="0" w:color="auto"/>
              <w:right w:val="single" w:sz="4" w:space="0" w:color="auto"/>
            </w:tcBorders>
            <w:shd w:val="clear" w:color="auto" w:fill="auto"/>
            <w:noWrap/>
            <w:vAlign w:val="center"/>
          </w:tcPr>
          <w:p w14:paraId="66BE8FB3" w14:textId="77777777" w:rsidR="00B57597" w:rsidRPr="00CE51E5" w:rsidRDefault="00B57597" w:rsidP="00CE51E5">
            <w:pPr>
              <w:spacing w:after="0"/>
              <w:ind w:right="57"/>
              <w:jc w:val="right"/>
              <w:rPr>
                <w:rFonts w:eastAsia="Calibri" w:cs="Calibri"/>
                <w:color w:val="000000"/>
                <w:sz w:val="20"/>
                <w:szCs w:val="18"/>
              </w:rPr>
            </w:pPr>
            <w:r w:rsidRPr="00CE51E5">
              <w:rPr>
                <w:rFonts w:cs="Calibri"/>
                <w:color w:val="000000"/>
                <w:sz w:val="20"/>
                <w:szCs w:val="18"/>
              </w:rPr>
              <w:t>147 297,14</w:t>
            </w:r>
          </w:p>
        </w:tc>
        <w:tc>
          <w:tcPr>
            <w:tcW w:w="822" w:type="pct"/>
            <w:tcBorders>
              <w:top w:val="nil"/>
              <w:left w:val="nil"/>
              <w:bottom w:val="single" w:sz="4" w:space="0" w:color="auto"/>
              <w:right w:val="single" w:sz="4" w:space="0" w:color="auto"/>
            </w:tcBorders>
            <w:vAlign w:val="center"/>
          </w:tcPr>
          <w:p w14:paraId="379BB1C6" w14:textId="77777777" w:rsidR="00B57597" w:rsidRPr="00CE51E5" w:rsidRDefault="00B57597" w:rsidP="00CE51E5">
            <w:pPr>
              <w:spacing w:after="0"/>
              <w:ind w:right="57"/>
              <w:jc w:val="right"/>
              <w:rPr>
                <w:rFonts w:eastAsia="Calibri" w:cs="Calibri"/>
                <w:color w:val="000000"/>
                <w:sz w:val="20"/>
                <w:szCs w:val="18"/>
              </w:rPr>
            </w:pPr>
            <w:r w:rsidRPr="00CE51E5">
              <w:rPr>
                <w:rFonts w:cs="Calibri"/>
                <w:color w:val="000000"/>
                <w:sz w:val="20"/>
                <w:szCs w:val="18"/>
              </w:rPr>
              <w:t>136 710,93</w:t>
            </w:r>
          </w:p>
        </w:tc>
      </w:tr>
    </w:tbl>
    <w:p w14:paraId="746AD40B" w14:textId="77777777" w:rsidR="00B57597" w:rsidRPr="00F335C4" w:rsidRDefault="00B57597" w:rsidP="00B57597">
      <w:pPr>
        <w:spacing w:before="40"/>
        <w:rPr>
          <w:rFonts w:cs="Calibri"/>
          <w:b/>
          <w:bCs/>
          <w:color w:val="000000"/>
          <w:sz w:val="20"/>
          <w:szCs w:val="20"/>
          <w:lang w:eastAsia="cs-CZ"/>
        </w:rPr>
      </w:pPr>
      <w:r w:rsidRPr="00F335C4">
        <w:rPr>
          <w:rFonts w:cs="Calibri"/>
          <w:b/>
          <w:color w:val="000000"/>
          <w:sz w:val="20"/>
          <w:szCs w:val="20"/>
          <w:lang w:eastAsia="cs-CZ"/>
        </w:rPr>
        <w:t>Zdroj</w:t>
      </w:r>
      <w:r w:rsidRPr="00F335C4">
        <w:rPr>
          <w:rFonts w:cs="Calibri"/>
          <w:color w:val="000000"/>
          <w:sz w:val="20"/>
          <w:szCs w:val="20"/>
          <w:lang w:eastAsia="cs-CZ"/>
        </w:rPr>
        <w:t>: výpočet vypracoval NKÚ.</w:t>
      </w:r>
    </w:p>
    <w:p w14:paraId="0E9D3635" w14:textId="6C54E04E" w:rsidR="00B57597" w:rsidRPr="00F335C4" w:rsidRDefault="00B57597" w:rsidP="00B57597">
      <w:pPr>
        <w:jc w:val="both"/>
        <w:rPr>
          <w:rFonts w:asciiTheme="minorHAnsi" w:hAnsiTheme="minorHAnsi" w:cstheme="minorHAnsi"/>
        </w:rPr>
      </w:pPr>
      <w:r w:rsidRPr="00F335C4">
        <w:rPr>
          <w:rFonts w:asciiTheme="minorHAnsi" w:hAnsiTheme="minorHAnsi" w:cstheme="minorHAnsi"/>
        </w:rPr>
        <w:t xml:space="preserve">Vývoj nákladů na transfery přepočtené na </w:t>
      </w:r>
      <w:r w:rsidR="00B94DFC">
        <w:rPr>
          <w:rFonts w:asciiTheme="minorHAnsi" w:hAnsiTheme="minorHAnsi" w:cstheme="minorHAnsi"/>
        </w:rPr>
        <w:t>jednoho</w:t>
      </w:r>
      <w:r w:rsidRPr="00F335C4">
        <w:rPr>
          <w:rFonts w:asciiTheme="minorHAnsi" w:hAnsiTheme="minorHAnsi" w:cstheme="minorHAnsi"/>
        </w:rPr>
        <w:t xml:space="preserve"> zaměstnance ve sledovaném období v podstatě kopíroval vývoj samotných nákladů na transfery.</w:t>
      </w:r>
    </w:p>
    <w:p w14:paraId="4035540A" w14:textId="51988B3D" w:rsidR="00B57597" w:rsidRPr="00C82846" w:rsidRDefault="00B57597" w:rsidP="00C82846">
      <w:pPr>
        <w:pStyle w:val="Titulek1"/>
        <w:tabs>
          <w:tab w:val="clear" w:pos="1134"/>
        </w:tabs>
        <w:spacing w:before="240"/>
        <w:ind w:left="1446" w:hanging="1446"/>
        <w:rPr>
          <w:sz w:val="24"/>
        </w:rPr>
      </w:pPr>
      <w:bookmarkStart w:id="105" w:name="_Toc8984549"/>
      <w:bookmarkStart w:id="106" w:name="_Toc520714342"/>
      <w:bookmarkStart w:id="107" w:name="_Toc72157490"/>
      <w:r w:rsidRPr="00C82846">
        <w:rPr>
          <w:sz w:val="24"/>
        </w:rPr>
        <w:t xml:space="preserve">Tabulka č. </w:t>
      </w:r>
      <w:r w:rsidR="005F2931" w:rsidRPr="00C82846">
        <w:rPr>
          <w:sz w:val="24"/>
        </w:rPr>
        <w:fldChar w:fldCharType="begin"/>
      </w:r>
      <w:r w:rsidR="005F2931" w:rsidRPr="00C82846">
        <w:rPr>
          <w:sz w:val="24"/>
        </w:rPr>
        <w:instrText xml:space="preserve"> SEQ Tabulka \* ARABIC </w:instrText>
      </w:r>
      <w:r w:rsidR="005F2931" w:rsidRPr="00C82846">
        <w:rPr>
          <w:sz w:val="24"/>
        </w:rPr>
        <w:fldChar w:fldCharType="separate"/>
      </w:r>
      <w:r w:rsidR="00E544AA">
        <w:rPr>
          <w:noProof/>
          <w:sz w:val="24"/>
        </w:rPr>
        <w:t>32</w:t>
      </w:r>
      <w:r w:rsidR="005F2931" w:rsidRPr="00C82846">
        <w:rPr>
          <w:noProof/>
          <w:sz w:val="24"/>
        </w:rPr>
        <w:fldChar w:fldCharType="end"/>
      </w:r>
      <w:r w:rsidRPr="00C82846">
        <w:rPr>
          <w:sz w:val="24"/>
        </w:rPr>
        <w:t xml:space="preserve">: </w:t>
      </w:r>
      <w:r w:rsidR="00980596">
        <w:rPr>
          <w:sz w:val="24"/>
        </w:rPr>
        <w:tab/>
      </w:r>
      <w:r w:rsidRPr="00C82846">
        <w:rPr>
          <w:sz w:val="24"/>
        </w:rPr>
        <w:t>Výnosy z transferů (položka B.IV. výkazu zisku a ztráty) u MPO a OSS</w:t>
      </w:r>
      <w:bookmarkEnd w:id="105"/>
      <w:r w:rsidRPr="00C82846">
        <w:rPr>
          <w:sz w:val="24"/>
        </w:rPr>
        <w:t xml:space="preserve"> v rozpočtové kapitole 322 (bez MPO) (v Kč)</w:t>
      </w:r>
      <w:bookmarkEnd w:id="106"/>
      <w:bookmarkEnd w:id="107"/>
    </w:p>
    <w:tbl>
      <w:tblPr>
        <w:tblW w:w="5033" w:type="pct"/>
        <w:tblCellMar>
          <w:left w:w="70" w:type="dxa"/>
          <w:right w:w="70" w:type="dxa"/>
        </w:tblCellMar>
        <w:tblLook w:val="04A0" w:firstRow="1" w:lastRow="0" w:firstColumn="1" w:lastColumn="0" w:noHBand="0" w:noVBand="1"/>
      </w:tblPr>
      <w:tblGrid>
        <w:gridCol w:w="1360"/>
        <w:gridCol w:w="1528"/>
        <w:gridCol w:w="1529"/>
        <w:gridCol w:w="1587"/>
        <w:gridCol w:w="1529"/>
        <w:gridCol w:w="1587"/>
      </w:tblGrid>
      <w:tr w:rsidR="00980596" w:rsidRPr="00F335C4" w14:paraId="761838C3" w14:textId="77777777" w:rsidTr="00980596">
        <w:trPr>
          <w:trHeight w:val="255"/>
        </w:trPr>
        <w:tc>
          <w:tcPr>
            <w:tcW w:w="746"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8E5D3BB" w14:textId="77777777" w:rsidR="00B57597" w:rsidRPr="00F335C4" w:rsidRDefault="00B57597" w:rsidP="00980596">
            <w:pPr>
              <w:spacing w:after="0"/>
              <w:rPr>
                <w:rFonts w:cs="Calibri"/>
                <w:b/>
                <w:bCs/>
                <w:color w:val="000000"/>
                <w:sz w:val="18"/>
                <w:szCs w:val="18"/>
                <w:lang w:eastAsia="cs-CZ"/>
              </w:rPr>
            </w:pPr>
            <w:r w:rsidRPr="00F335C4">
              <w:rPr>
                <w:b/>
                <w:bCs/>
                <w:color w:val="000000"/>
                <w:sz w:val="18"/>
                <w:szCs w:val="18"/>
              </w:rPr>
              <w:t>Organizace</w:t>
            </w:r>
          </w:p>
        </w:tc>
        <w:tc>
          <w:tcPr>
            <w:tcW w:w="838" w:type="pct"/>
            <w:tcBorders>
              <w:top w:val="single" w:sz="4" w:space="0" w:color="auto"/>
              <w:left w:val="nil"/>
              <w:bottom w:val="single" w:sz="4" w:space="0" w:color="auto"/>
              <w:right w:val="single" w:sz="4" w:space="0" w:color="auto"/>
            </w:tcBorders>
            <w:shd w:val="clear" w:color="auto" w:fill="E5F1FF"/>
            <w:noWrap/>
            <w:vAlign w:val="center"/>
            <w:hideMark/>
          </w:tcPr>
          <w:p w14:paraId="03F88D72" w14:textId="77777777" w:rsidR="00B57597" w:rsidRPr="00F335C4" w:rsidRDefault="00B57597" w:rsidP="00980596">
            <w:pPr>
              <w:spacing w:after="0"/>
              <w:jc w:val="center"/>
              <w:rPr>
                <w:rFonts w:cs="Calibri"/>
                <w:b/>
                <w:bCs/>
                <w:color w:val="000000"/>
                <w:sz w:val="18"/>
                <w:szCs w:val="18"/>
                <w:lang w:eastAsia="cs-CZ"/>
              </w:rPr>
            </w:pPr>
            <w:r w:rsidRPr="00F335C4">
              <w:rPr>
                <w:b/>
                <w:bCs/>
                <w:color w:val="000000"/>
                <w:sz w:val="18"/>
                <w:szCs w:val="18"/>
              </w:rPr>
              <w:t>2016</w:t>
            </w:r>
          </w:p>
        </w:tc>
        <w:tc>
          <w:tcPr>
            <w:tcW w:w="838" w:type="pct"/>
            <w:tcBorders>
              <w:top w:val="single" w:sz="4" w:space="0" w:color="auto"/>
              <w:left w:val="nil"/>
              <w:bottom w:val="single" w:sz="4" w:space="0" w:color="auto"/>
              <w:right w:val="single" w:sz="4" w:space="0" w:color="auto"/>
            </w:tcBorders>
            <w:shd w:val="clear" w:color="auto" w:fill="E5F1FF"/>
            <w:noWrap/>
            <w:vAlign w:val="center"/>
            <w:hideMark/>
          </w:tcPr>
          <w:p w14:paraId="71570017" w14:textId="77777777" w:rsidR="00B57597" w:rsidRPr="00F335C4" w:rsidRDefault="00B57597" w:rsidP="00980596">
            <w:pPr>
              <w:spacing w:after="0"/>
              <w:jc w:val="center"/>
              <w:rPr>
                <w:rFonts w:cs="Calibri"/>
                <w:b/>
                <w:bCs/>
                <w:color w:val="000000"/>
                <w:sz w:val="18"/>
                <w:szCs w:val="18"/>
                <w:lang w:eastAsia="cs-CZ"/>
              </w:rPr>
            </w:pPr>
            <w:r w:rsidRPr="00F335C4">
              <w:rPr>
                <w:b/>
                <w:bCs/>
                <w:color w:val="000000"/>
                <w:sz w:val="18"/>
                <w:szCs w:val="18"/>
              </w:rPr>
              <w:t>2017</w:t>
            </w:r>
          </w:p>
        </w:tc>
        <w:tc>
          <w:tcPr>
            <w:tcW w:w="870" w:type="pct"/>
            <w:tcBorders>
              <w:top w:val="single" w:sz="4" w:space="0" w:color="auto"/>
              <w:left w:val="nil"/>
              <w:bottom w:val="single" w:sz="4" w:space="0" w:color="auto"/>
              <w:right w:val="single" w:sz="4" w:space="0" w:color="auto"/>
            </w:tcBorders>
            <w:shd w:val="clear" w:color="auto" w:fill="E5F1FF"/>
            <w:noWrap/>
            <w:vAlign w:val="center"/>
            <w:hideMark/>
          </w:tcPr>
          <w:p w14:paraId="31AB5C9B" w14:textId="77777777" w:rsidR="00B57597" w:rsidRPr="00F335C4" w:rsidRDefault="00B57597" w:rsidP="00980596">
            <w:pPr>
              <w:spacing w:after="0"/>
              <w:jc w:val="center"/>
              <w:rPr>
                <w:rFonts w:cs="Calibri"/>
                <w:b/>
                <w:bCs/>
                <w:color w:val="000000"/>
                <w:sz w:val="18"/>
                <w:szCs w:val="18"/>
                <w:lang w:eastAsia="cs-CZ"/>
              </w:rPr>
            </w:pPr>
            <w:r w:rsidRPr="00F335C4">
              <w:rPr>
                <w:b/>
                <w:bCs/>
                <w:color w:val="000000"/>
                <w:sz w:val="18"/>
                <w:szCs w:val="18"/>
              </w:rPr>
              <w:t>2018</w:t>
            </w:r>
          </w:p>
        </w:tc>
        <w:tc>
          <w:tcPr>
            <w:tcW w:w="838" w:type="pct"/>
            <w:tcBorders>
              <w:top w:val="single" w:sz="4" w:space="0" w:color="auto"/>
              <w:left w:val="nil"/>
              <w:bottom w:val="single" w:sz="4" w:space="0" w:color="auto"/>
              <w:right w:val="single" w:sz="4" w:space="0" w:color="auto"/>
            </w:tcBorders>
            <w:shd w:val="clear" w:color="auto" w:fill="E5F1FF"/>
            <w:noWrap/>
            <w:vAlign w:val="center"/>
            <w:hideMark/>
          </w:tcPr>
          <w:p w14:paraId="160C6FAB" w14:textId="77777777" w:rsidR="00B57597" w:rsidRPr="00F335C4" w:rsidRDefault="00B57597" w:rsidP="00980596">
            <w:pPr>
              <w:spacing w:after="0"/>
              <w:jc w:val="center"/>
              <w:rPr>
                <w:rFonts w:cs="Calibri"/>
                <w:b/>
                <w:bCs/>
                <w:color w:val="000000"/>
                <w:sz w:val="18"/>
                <w:szCs w:val="18"/>
                <w:lang w:eastAsia="cs-CZ"/>
              </w:rPr>
            </w:pPr>
            <w:r w:rsidRPr="00F335C4">
              <w:rPr>
                <w:b/>
                <w:bCs/>
                <w:color w:val="000000"/>
                <w:sz w:val="18"/>
                <w:szCs w:val="18"/>
              </w:rPr>
              <w:t>2019</w:t>
            </w:r>
          </w:p>
        </w:tc>
        <w:tc>
          <w:tcPr>
            <w:tcW w:w="870" w:type="pct"/>
            <w:tcBorders>
              <w:top w:val="single" w:sz="4" w:space="0" w:color="auto"/>
              <w:left w:val="nil"/>
              <w:bottom w:val="single" w:sz="4" w:space="0" w:color="auto"/>
              <w:right w:val="single" w:sz="4" w:space="0" w:color="auto"/>
            </w:tcBorders>
            <w:shd w:val="clear" w:color="auto" w:fill="E5F1FF"/>
            <w:vAlign w:val="center"/>
          </w:tcPr>
          <w:p w14:paraId="76249FED" w14:textId="77777777" w:rsidR="00B57597" w:rsidRPr="00F335C4" w:rsidRDefault="00B57597" w:rsidP="00980596">
            <w:pPr>
              <w:spacing w:after="0"/>
              <w:jc w:val="center"/>
              <w:rPr>
                <w:rFonts w:cs="Calibri"/>
                <w:b/>
                <w:bCs/>
                <w:color w:val="000000"/>
                <w:sz w:val="18"/>
                <w:szCs w:val="18"/>
                <w:lang w:eastAsia="cs-CZ"/>
              </w:rPr>
            </w:pPr>
            <w:r w:rsidRPr="00F335C4">
              <w:rPr>
                <w:b/>
                <w:bCs/>
                <w:color w:val="000000"/>
                <w:sz w:val="18"/>
                <w:szCs w:val="18"/>
              </w:rPr>
              <w:t>2020</w:t>
            </w:r>
          </w:p>
        </w:tc>
      </w:tr>
      <w:tr w:rsidR="00980596" w:rsidRPr="00F335C4" w14:paraId="534F4298" w14:textId="77777777" w:rsidTr="00980596">
        <w:trPr>
          <w:trHeight w:val="255"/>
        </w:trPr>
        <w:tc>
          <w:tcPr>
            <w:tcW w:w="746" w:type="pct"/>
            <w:tcBorders>
              <w:top w:val="nil"/>
              <w:left w:val="single" w:sz="4" w:space="0" w:color="auto"/>
              <w:bottom w:val="single" w:sz="4" w:space="0" w:color="auto"/>
              <w:right w:val="single" w:sz="4" w:space="0" w:color="auto"/>
            </w:tcBorders>
            <w:shd w:val="clear" w:color="auto" w:fill="auto"/>
            <w:noWrap/>
            <w:vAlign w:val="center"/>
          </w:tcPr>
          <w:p w14:paraId="1A467FD0" w14:textId="77777777" w:rsidR="00B57597" w:rsidRPr="00F335C4" w:rsidRDefault="00B57597" w:rsidP="00980596">
            <w:pPr>
              <w:spacing w:after="0"/>
              <w:rPr>
                <w:rFonts w:eastAsia="Calibri" w:cs="Calibri"/>
                <w:color w:val="000000"/>
                <w:sz w:val="18"/>
                <w:szCs w:val="18"/>
              </w:rPr>
            </w:pPr>
            <w:r w:rsidRPr="00F335C4">
              <w:rPr>
                <w:color w:val="000000"/>
                <w:sz w:val="18"/>
                <w:szCs w:val="18"/>
              </w:rPr>
              <w:t>MPO</w:t>
            </w:r>
          </w:p>
        </w:tc>
        <w:tc>
          <w:tcPr>
            <w:tcW w:w="838" w:type="pct"/>
            <w:tcBorders>
              <w:top w:val="nil"/>
              <w:left w:val="nil"/>
              <w:bottom w:val="single" w:sz="4" w:space="0" w:color="auto"/>
              <w:right w:val="single" w:sz="4" w:space="0" w:color="auto"/>
            </w:tcBorders>
            <w:shd w:val="clear" w:color="auto" w:fill="auto"/>
            <w:noWrap/>
            <w:vAlign w:val="center"/>
          </w:tcPr>
          <w:p w14:paraId="1DA2027D" w14:textId="77777777" w:rsidR="00B57597" w:rsidRPr="00F335C4" w:rsidRDefault="00B57597" w:rsidP="00980596">
            <w:pPr>
              <w:spacing w:after="0"/>
              <w:ind w:right="57"/>
              <w:jc w:val="right"/>
              <w:rPr>
                <w:rFonts w:eastAsia="Calibri" w:cs="Calibri"/>
                <w:color w:val="000000"/>
                <w:sz w:val="18"/>
                <w:szCs w:val="18"/>
              </w:rPr>
            </w:pPr>
            <w:r w:rsidRPr="00F335C4">
              <w:rPr>
                <w:color w:val="000000"/>
                <w:sz w:val="18"/>
                <w:szCs w:val="18"/>
              </w:rPr>
              <w:t>1 659 613 245,84</w:t>
            </w:r>
          </w:p>
        </w:tc>
        <w:tc>
          <w:tcPr>
            <w:tcW w:w="838" w:type="pct"/>
            <w:tcBorders>
              <w:top w:val="nil"/>
              <w:left w:val="nil"/>
              <w:bottom w:val="single" w:sz="4" w:space="0" w:color="auto"/>
              <w:right w:val="single" w:sz="4" w:space="0" w:color="auto"/>
            </w:tcBorders>
            <w:shd w:val="clear" w:color="auto" w:fill="auto"/>
            <w:noWrap/>
            <w:vAlign w:val="center"/>
          </w:tcPr>
          <w:p w14:paraId="6B464A87" w14:textId="77777777" w:rsidR="00B57597" w:rsidRPr="00F335C4" w:rsidRDefault="00B57597" w:rsidP="00980596">
            <w:pPr>
              <w:spacing w:after="0"/>
              <w:ind w:right="57"/>
              <w:jc w:val="right"/>
              <w:rPr>
                <w:rFonts w:eastAsia="Calibri" w:cs="Calibri"/>
                <w:color w:val="000000"/>
                <w:sz w:val="18"/>
                <w:szCs w:val="18"/>
              </w:rPr>
            </w:pPr>
            <w:r w:rsidRPr="00F335C4">
              <w:rPr>
                <w:color w:val="000000"/>
                <w:sz w:val="18"/>
                <w:szCs w:val="18"/>
              </w:rPr>
              <w:t>5 199 570 158,58</w:t>
            </w:r>
          </w:p>
        </w:tc>
        <w:tc>
          <w:tcPr>
            <w:tcW w:w="870" w:type="pct"/>
            <w:tcBorders>
              <w:top w:val="nil"/>
              <w:left w:val="nil"/>
              <w:bottom w:val="single" w:sz="4" w:space="0" w:color="auto"/>
              <w:right w:val="single" w:sz="4" w:space="0" w:color="auto"/>
            </w:tcBorders>
            <w:shd w:val="clear" w:color="auto" w:fill="auto"/>
            <w:noWrap/>
            <w:vAlign w:val="center"/>
          </w:tcPr>
          <w:p w14:paraId="02A60413" w14:textId="77777777" w:rsidR="00B57597" w:rsidRPr="00F335C4" w:rsidRDefault="00B57597" w:rsidP="00980596">
            <w:pPr>
              <w:spacing w:after="0"/>
              <w:ind w:right="57"/>
              <w:jc w:val="right"/>
              <w:rPr>
                <w:rFonts w:eastAsia="Calibri" w:cs="Calibri"/>
                <w:color w:val="000000"/>
                <w:sz w:val="18"/>
                <w:szCs w:val="18"/>
              </w:rPr>
            </w:pPr>
            <w:r w:rsidRPr="00F335C4">
              <w:rPr>
                <w:color w:val="000000"/>
                <w:sz w:val="18"/>
                <w:szCs w:val="18"/>
              </w:rPr>
              <w:t>10 564 519 123,25</w:t>
            </w:r>
          </w:p>
        </w:tc>
        <w:tc>
          <w:tcPr>
            <w:tcW w:w="838" w:type="pct"/>
            <w:tcBorders>
              <w:top w:val="nil"/>
              <w:left w:val="nil"/>
              <w:bottom w:val="single" w:sz="4" w:space="0" w:color="auto"/>
              <w:right w:val="single" w:sz="4" w:space="0" w:color="auto"/>
            </w:tcBorders>
            <w:shd w:val="clear" w:color="auto" w:fill="auto"/>
            <w:noWrap/>
            <w:vAlign w:val="center"/>
          </w:tcPr>
          <w:p w14:paraId="35F6F717" w14:textId="77777777" w:rsidR="00B57597" w:rsidRPr="00F335C4" w:rsidRDefault="00B57597" w:rsidP="00980596">
            <w:pPr>
              <w:spacing w:after="0"/>
              <w:ind w:right="57"/>
              <w:jc w:val="right"/>
              <w:rPr>
                <w:rFonts w:eastAsia="Calibri" w:cs="Calibri"/>
                <w:color w:val="000000"/>
                <w:sz w:val="18"/>
                <w:szCs w:val="18"/>
              </w:rPr>
            </w:pPr>
            <w:r w:rsidRPr="00F335C4">
              <w:rPr>
                <w:color w:val="000000"/>
                <w:sz w:val="18"/>
                <w:szCs w:val="18"/>
              </w:rPr>
              <w:t>9 314 954 752,35</w:t>
            </w:r>
          </w:p>
        </w:tc>
        <w:tc>
          <w:tcPr>
            <w:tcW w:w="870" w:type="pct"/>
            <w:tcBorders>
              <w:top w:val="nil"/>
              <w:left w:val="nil"/>
              <w:bottom w:val="single" w:sz="4" w:space="0" w:color="auto"/>
              <w:right w:val="single" w:sz="4" w:space="0" w:color="auto"/>
            </w:tcBorders>
            <w:vAlign w:val="center"/>
          </w:tcPr>
          <w:p w14:paraId="5E71EAF3" w14:textId="77777777" w:rsidR="00B57597" w:rsidRPr="00F335C4" w:rsidRDefault="00B57597" w:rsidP="00980596">
            <w:pPr>
              <w:spacing w:after="0"/>
              <w:ind w:right="57"/>
              <w:jc w:val="right"/>
              <w:rPr>
                <w:rFonts w:cs="Calibri"/>
                <w:color w:val="000000"/>
                <w:sz w:val="18"/>
                <w:szCs w:val="18"/>
              </w:rPr>
            </w:pPr>
            <w:r w:rsidRPr="00F335C4">
              <w:rPr>
                <w:rFonts w:cs="Calibri"/>
                <w:color w:val="000000"/>
                <w:sz w:val="18"/>
                <w:szCs w:val="18"/>
              </w:rPr>
              <w:t>12 456 375 368,90</w:t>
            </w:r>
          </w:p>
        </w:tc>
      </w:tr>
      <w:tr w:rsidR="00980596" w:rsidRPr="00B567F4" w14:paraId="2CC90A72" w14:textId="77777777" w:rsidTr="00980596">
        <w:trPr>
          <w:trHeight w:val="255"/>
        </w:trPr>
        <w:tc>
          <w:tcPr>
            <w:tcW w:w="746" w:type="pct"/>
            <w:tcBorders>
              <w:top w:val="nil"/>
              <w:left w:val="single" w:sz="4" w:space="0" w:color="auto"/>
              <w:bottom w:val="single" w:sz="4" w:space="0" w:color="auto"/>
              <w:right w:val="single" w:sz="4" w:space="0" w:color="auto"/>
            </w:tcBorders>
            <w:shd w:val="clear" w:color="auto" w:fill="auto"/>
            <w:noWrap/>
            <w:vAlign w:val="center"/>
          </w:tcPr>
          <w:p w14:paraId="22BAA4A7" w14:textId="77777777" w:rsidR="00B57597" w:rsidRPr="00F335C4" w:rsidRDefault="00B57597" w:rsidP="00980596">
            <w:pPr>
              <w:spacing w:after="0"/>
              <w:rPr>
                <w:rFonts w:eastAsia="Calibri" w:cs="Calibri"/>
                <w:color w:val="000000"/>
                <w:sz w:val="18"/>
                <w:szCs w:val="18"/>
              </w:rPr>
            </w:pPr>
            <w:r w:rsidRPr="00F335C4">
              <w:rPr>
                <w:color w:val="000000"/>
                <w:sz w:val="18"/>
                <w:szCs w:val="18"/>
              </w:rPr>
              <w:t>OSS bez MPO</w:t>
            </w:r>
          </w:p>
        </w:tc>
        <w:tc>
          <w:tcPr>
            <w:tcW w:w="838" w:type="pct"/>
            <w:tcBorders>
              <w:top w:val="nil"/>
              <w:left w:val="nil"/>
              <w:bottom w:val="single" w:sz="4" w:space="0" w:color="auto"/>
              <w:right w:val="single" w:sz="4" w:space="0" w:color="auto"/>
            </w:tcBorders>
            <w:shd w:val="clear" w:color="auto" w:fill="auto"/>
            <w:noWrap/>
            <w:vAlign w:val="center"/>
          </w:tcPr>
          <w:p w14:paraId="6D4B4F91" w14:textId="77777777" w:rsidR="00B57597" w:rsidRPr="00F335C4" w:rsidRDefault="00B57597" w:rsidP="00980596">
            <w:pPr>
              <w:spacing w:after="0"/>
              <w:ind w:right="57"/>
              <w:jc w:val="right"/>
              <w:rPr>
                <w:rFonts w:eastAsia="Calibri" w:cs="Calibri"/>
                <w:color w:val="000000"/>
                <w:sz w:val="18"/>
                <w:szCs w:val="18"/>
              </w:rPr>
            </w:pPr>
            <w:r w:rsidRPr="00F335C4">
              <w:rPr>
                <w:color w:val="000000"/>
                <w:sz w:val="18"/>
                <w:szCs w:val="18"/>
              </w:rPr>
              <w:t>183 824 678,01</w:t>
            </w:r>
          </w:p>
        </w:tc>
        <w:tc>
          <w:tcPr>
            <w:tcW w:w="838" w:type="pct"/>
            <w:tcBorders>
              <w:top w:val="nil"/>
              <w:left w:val="nil"/>
              <w:bottom w:val="single" w:sz="4" w:space="0" w:color="auto"/>
              <w:right w:val="single" w:sz="4" w:space="0" w:color="auto"/>
            </w:tcBorders>
            <w:shd w:val="clear" w:color="auto" w:fill="auto"/>
            <w:noWrap/>
            <w:vAlign w:val="center"/>
          </w:tcPr>
          <w:p w14:paraId="7D3850A7" w14:textId="77777777" w:rsidR="00B57597" w:rsidRPr="00F335C4" w:rsidRDefault="00B57597" w:rsidP="00980596">
            <w:pPr>
              <w:spacing w:after="0"/>
              <w:ind w:right="57"/>
              <w:jc w:val="right"/>
              <w:rPr>
                <w:rFonts w:eastAsia="Calibri" w:cs="Calibri"/>
                <w:color w:val="000000"/>
                <w:sz w:val="18"/>
                <w:szCs w:val="18"/>
              </w:rPr>
            </w:pPr>
            <w:r w:rsidRPr="00F335C4">
              <w:rPr>
                <w:color w:val="000000"/>
                <w:sz w:val="18"/>
                <w:szCs w:val="18"/>
              </w:rPr>
              <w:t>0</w:t>
            </w:r>
          </w:p>
        </w:tc>
        <w:tc>
          <w:tcPr>
            <w:tcW w:w="870" w:type="pct"/>
            <w:tcBorders>
              <w:top w:val="nil"/>
              <w:left w:val="nil"/>
              <w:bottom w:val="single" w:sz="4" w:space="0" w:color="auto"/>
              <w:right w:val="single" w:sz="4" w:space="0" w:color="auto"/>
            </w:tcBorders>
            <w:shd w:val="clear" w:color="auto" w:fill="auto"/>
            <w:noWrap/>
            <w:vAlign w:val="center"/>
          </w:tcPr>
          <w:p w14:paraId="747B14EB" w14:textId="77777777" w:rsidR="00B57597" w:rsidRPr="00F335C4" w:rsidRDefault="00B57597" w:rsidP="00980596">
            <w:pPr>
              <w:spacing w:after="0"/>
              <w:ind w:right="57"/>
              <w:jc w:val="right"/>
              <w:rPr>
                <w:rFonts w:eastAsia="Calibri" w:cs="Calibri"/>
                <w:color w:val="000000"/>
                <w:sz w:val="18"/>
                <w:szCs w:val="18"/>
              </w:rPr>
            </w:pPr>
            <w:r w:rsidRPr="00F335C4">
              <w:rPr>
                <w:color w:val="000000"/>
                <w:sz w:val="18"/>
                <w:szCs w:val="18"/>
              </w:rPr>
              <w:t>0</w:t>
            </w:r>
          </w:p>
        </w:tc>
        <w:tc>
          <w:tcPr>
            <w:tcW w:w="838" w:type="pct"/>
            <w:tcBorders>
              <w:top w:val="nil"/>
              <w:left w:val="nil"/>
              <w:bottom w:val="single" w:sz="4" w:space="0" w:color="auto"/>
              <w:right w:val="single" w:sz="4" w:space="0" w:color="auto"/>
            </w:tcBorders>
            <w:shd w:val="clear" w:color="auto" w:fill="auto"/>
            <w:noWrap/>
            <w:vAlign w:val="center"/>
          </w:tcPr>
          <w:p w14:paraId="30DE7E1F" w14:textId="77777777" w:rsidR="00B57597" w:rsidRPr="00F335C4" w:rsidRDefault="00B57597" w:rsidP="00980596">
            <w:pPr>
              <w:spacing w:after="0"/>
              <w:ind w:right="57"/>
              <w:jc w:val="right"/>
              <w:rPr>
                <w:rFonts w:eastAsia="Calibri" w:cs="Calibri"/>
                <w:color w:val="000000"/>
                <w:sz w:val="18"/>
                <w:szCs w:val="18"/>
              </w:rPr>
            </w:pPr>
            <w:r w:rsidRPr="00F335C4">
              <w:rPr>
                <w:color w:val="000000"/>
                <w:sz w:val="18"/>
                <w:szCs w:val="18"/>
              </w:rPr>
              <w:t>84 250,00</w:t>
            </w:r>
          </w:p>
        </w:tc>
        <w:tc>
          <w:tcPr>
            <w:tcW w:w="870" w:type="pct"/>
            <w:tcBorders>
              <w:top w:val="nil"/>
              <w:left w:val="nil"/>
              <w:bottom w:val="single" w:sz="4" w:space="0" w:color="auto"/>
              <w:right w:val="single" w:sz="4" w:space="0" w:color="auto"/>
            </w:tcBorders>
            <w:vAlign w:val="center"/>
          </w:tcPr>
          <w:p w14:paraId="629943C0" w14:textId="77777777" w:rsidR="00B57597" w:rsidRPr="00F335C4" w:rsidRDefault="00B57597" w:rsidP="00980596">
            <w:pPr>
              <w:spacing w:after="0"/>
              <w:ind w:right="57"/>
              <w:jc w:val="right"/>
              <w:rPr>
                <w:rFonts w:eastAsia="Calibri" w:cs="Calibri"/>
                <w:color w:val="000000"/>
                <w:sz w:val="18"/>
                <w:szCs w:val="18"/>
              </w:rPr>
            </w:pPr>
            <w:r w:rsidRPr="00F335C4">
              <w:rPr>
                <w:color w:val="000000"/>
                <w:sz w:val="18"/>
                <w:szCs w:val="18"/>
              </w:rPr>
              <w:t>0,00</w:t>
            </w:r>
          </w:p>
        </w:tc>
      </w:tr>
    </w:tbl>
    <w:p w14:paraId="37A28E42" w14:textId="77777777" w:rsidR="00B57597" w:rsidRPr="00682D65" w:rsidRDefault="00B57597" w:rsidP="00B57597">
      <w:pPr>
        <w:spacing w:before="40"/>
        <w:rPr>
          <w:rFonts w:cs="Calibri"/>
          <w:color w:val="000000"/>
          <w:sz w:val="20"/>
          <w:szCs w:val="20"/>
          <w:lang w:eastAsia="cs-CZ"/>
        </w:rPr>
      </w:pPr>
      <w:bookmarkStart w:id="108" w:name="_Toc520714950"/>
      <w:r w:rsidRPr="00682D65">
        <w:rPr>
          <w:rFonts w:cs="Calibri"/>
          <w:b/>
          <w:color w:val="000000"/>
          <w:sz w:val="20"/>
          <w:szCs w:val="20"/>
          <w:lang w:eastAsia="cs-CZ"/>
        </w:rPr>
        <w:t xml:space="preserve">Zdroj: </w:t>
      </w:r>
      <w:r w:rsidRPr="00682D65">
        <w:rPr>
          <w:rFonts w:cs="Calibri"/>
          <w:color w:val="000000"/>
          <w:sz w:val="20"/>
          <w:szCs w:val="20"/>
          <w:lang w:eastAsia="cs-CZ"/>
        </w:rPr>
        <w:t>informační portál MONITOR.</w:t>
      </w:r>
    </w:p>
    <w:bookmarkEnd w:id="108"/>
    <w:p w14:paraId="72384175" w14:textId="7573ED7F" w:rsidR="00B57597" w:rsidRPr="00F335C4" w:rsidRDefault="00B57597" w:rsidP="00B57597">
      <w:pPr>
        <w:spacing w:before="120"/>
        <w:jc w:val="both"/>
        <w:rPr>
          <w:rFonts w:asciiTheme="minorHAnsi" w:hAnsiTheme="minorHAnsi" w:cstheme="minorHAnsi"/>
        </w:rPr>
      </w:pPr>
      <w:r w:rsidRPr="00F335C4">
        <w:rPr>
          <w:rFonts w:asciiTheme="minorHAnsi" w:hAnsiTheme="minorHAnsi" w:cstheme="minorHAnsi"/>
        </w:rPr>
        <w:t xml:space="preserve">Ve sledovaném období vykazovalo výnosy z transferů kromě let 2016 a 2019 pouze MPO. Ve zmíněných letech však představovaly výnosy z transferů u ostatních OSS (bez MPO) pouze nepatrné částky, </w:t>
      </w:r>
      <w:r w:rsidR="00B94DFC">
        <w:rPr>
          <w:rFonts w:asciiTheme="minorHAnsi" w:hAnsiTheme="minorHAnsi" w:cstheme="minorHAnsi"/>
        </w:rPr>
        <w:t>přičemž</w:t>
      </w:r>
      <w:r w:rsidRPr="00F335C4">
        <w:rPr>
          <w:rFonts w:asciiTheme="minorHAnsi" w:hAnsiTheme="minorHAnsi" w:cstheme="minorHAnsi"/>
        </w:rPr>
        <w:t xml:space="preserve"> u MPO představují výnosy z transferů dlouhodobě nejvýznamnější skupinu výnosů v řádech miliard </w:t>
      </w:r>
      <w:r w:rsidR="00B94DFC">
        <w:rPr>
          <w:rFonts w:asciiTheme="minorHAnsi" w:hAnsiTheme="minorHAnsi" w:cstheme="minorHAnsi"/>
        </w:rPr>
        <w:t>korun</w:t>
      </w:r>
      <w:r w:rsidRPr="00F335C4">
        <w:rPr>
          <w:rFonts w:asciiTheme="minorHAnsi" w:hAnsiTheme="minorHAnsi" w:cstheme="minorHAnsi"/>
        </w:rPr>
        <w:t xml:space="preserve"> (v roce 2020 představovaly 83,55 % celkových výnosů MPO).</w:t>
      </w:r>
    </w:p>
    <w:p w14:paraId="73340A48" w14:textId="77777777" w:rsidR="00B57597" w:rsidRPr="00F335C4" w:rsidRDefault="00B57597" w:rsidP="00B57597">
      <w:pPr>
        <w:spacing w:before="120"/>
        <w:jc w:val="both"/>
        <w:rPr>
          <w:rFonts w:asciiTheme="minorHAnsi" w:hAnsiTheme="minorHAnsi" w:cstheme="minorHAnsi"/>
        </w:rPr>
      </w:pPr>
      <w:r w:rsidRPr="00F335C4">
        <w:rPr>
          <w:rFonts w:asciiTheme="minorHAnsi" w:hAnsiTheme="minorHAnsi" w:cstheme="minorHAnsi"/>
        </w:rPr>
        <w:lastRenderedPageBreak/>
        <w:t>Vývoj výnosů z transferů u MPO vykazoval rostoucí tendenci v rámci celého sledovaného období, přičemž mezi léty 2018 a 2019 došlo k poklesu o téměř 1,25 mld. Kč, avšak mezi léty 2019 a 2020 opět k nárůstu o 3,14 mld. Kč.</w:t>
      </w:r>
    </w:p>
    <w:p w14:paraId="2E7B51D6" w14:textId="77777777" w:rsidR="00B57597" w:rsidRPr="00B567F4" w:rsidRDefault="00B57597" w:rsidP="00B57597">
      <w:pPr>
        <w:jc w:val="both"/>
        <w:rPr>
          <w:rFonts w:asciiTheme="minorHAnsi" w:hAnsiTheme="minorHAnsi" w:cstheme="minorHAnsi"/>
          <w:highlight w:val="yellow"/>
        </w:rPr>
      </w:pPr>
    </w:p>
    <w:p w14:paraId="4BFF44F3" w14:textId="77777777" w:rsidR="00B57597" w:rsidRPr="00980596" w:rsidRDefault="00B57597" w:rsidP="00980596">
      <w:pPr>
        <w:pStyle w:val="Nadpis3"/>
        <w:numPr>
          <w:ilvl w:val="0"/>
          <w:numId w:val="0"/>
        </w:numPr>
        <w:spacing w:before="240" w:after="120"/>
        <w:contextualSpacing w:val="0"/>
        <w:jc w:val="center"/>
      </w:pPr>
      <w:r w:rsidRPr="00980596">
        <w:t>Oddíl VII. Struktura nákladů u MPO v roce 2019 a 2020</w:t>
      </w:r>
    </w:p>
    <w:p w14:paraId="1B04FFB0" w14:textId="4652ADD4" w:rsidR="00B57597" w:rsidRPr="00980596" w:rsidRDefault="00B57597" w:rsidP="00980596">
      <w:pPr>
        <w:pStyle w:val="Titulek1"/>
        <w:rPr>
          <w:sz w:val="24"/>
          <w:szCs w:val="24"/>
        </w:rPr>
      </w:pPr>
      <w:bookmarkStart w:id="109" w:name="_Toc520714343"/>
      <w:bookmarkStart w:id="110" w:name="_Toc8984550"/>
      <w:bookmarkStart w:id="111" w:name="_Toc72157483"/>
      <w:r w:rsidRPr="00980596">
        <w:rPr>
          <w:sz w:val="24"/>
          <w:szCs w:val="24"/>
        </w:rPr>
        <w:t xml:space="preserve">Tabulka č. </w:t>
      </w:r>
      <w:r w:rsidR="005F2931" w:rsidRPr="00980596">
        <w:rPr>
          <w:sz w:val="24"/>
          <w:szCs w:val="24"/>
        </w:rPr>
        <w:fldChar w:fldCharType="begin"/>
      </w:r>
      <w:r w:rsidR="005F2931" w:rsidRPr="00980596">
        <w:rPr>
          <w:sz w:val="24"/>
          <w:szCs w:val="24"/>
        </w:rPr>
        <w:instrText xml:space="preserve"> SEQ Tabulka \* ARABIC </w:instrText>
      </w:r>
      <w:r w:rsidR="005F2931" w:rsidRPr="00980596">
        <w:rPr>
          <w:sz w:val="24"/>
          <w:szCs w:val="24"/>
        </w:rPr>
        <w:fldChar w:fldCharType="separate"/>
      </w:r>
      <w:r w:rsidR="00E544AA">
        <w:rPr>
          <w:noProof/>
          <w:sz w:val="24"/>
          <w:szCs w:val="24"/>
        </w:rPr>
        <w:t>33</w:t>
      </w:r>
      <w:r w:rsidR="005F2931" w:rsidRPr="00980596">
        <w:rPr>
          <w:noProof/>
          <w:sz w:val="24"/>
          <w:szCs w:val="24"/>
        </w:rPr>
        <w:fldChar w:fldCharType="end"/>
      </w:r>
      <w:r w:rsidRPr="00980596">
        <w:rPr>
          <w:sz w:val="24"/>
          <w:szCs w:val="24"/>
        </w:rPr>
        <w:t>: Struktura nákladů MPO v roce 2019 a 20</w:t>
      </w:r>
      <w:bookmarkEnd w:id="109"/>
      <w:bookmarkEnd w:id="110"/>
      <w:r w:rsidRPr="00980596">
        <w:rPr>
          <w:sz w:val="24"/>
          <w:szCs w:val="24"/>
        </w:rPr>
        <w:t>20</w:t>
      </w:r>
      <w:bookmarkEnd w:id="111"/>
    </w:p>
    <w:tbl>
      <w:tblPr>
        <w:tblW w:w="9072" w:type="dxa"/>
        <w:jc w:val="center"/>
        <w:tblLayout w:type="fixed"/>
        <w:tblCellMar>
          <w:left w:w="70" w:type="dxa"/>
          <w:right w:w="70" w:type="dxa"/>
        </w:tblCellMar>
        <w:tblLook w:val="04A0" w:firstRow="1" w:lastRow="0" w:firstColumn="1" w:lastColumn="0" w:noHBand="0" w:noVBand="1"/>
      </w:tblPr>
      <w:tblGrid>
        <w:gridCol w:w="624"/>
        <w:gridCol w:w="2948"/>
        <w:gridCol w:w="454"/>
        <w:gridCol w:w="1559"/>
        <w:gridCol w:w="1559"/>
        <w:gridCol w:w="964"/>
        <w:gridCol w:w="964"/>
      </w:tblGrid>
      <w:tr w:rsidR="00B57597" w:rsidRPr="00562D84" w14:paraId="2885F072" w14:textId="77777777" w:rsidTr="00283183">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auto" w:fill="E5F1FF"/>
            <w:noWrap/>
            <w:vAlign w:val="center"/>
          </w:tcPr>
          <w:p w14:paraId="29D1BB83" w14:textId="77777777" w:rsidR="00B57597" w:rsidRPr="00562D84" w:rsidRDefault="00B57597" w:rsidP="00562D84">
            <w:pPr>
              <w:keepNext/>
              <w:spacing w:after="0"/>
              <w:jc w:val="center"/>
              <w:rPr>
                <w:rFonts w:cs="Calibri"/>
                <w:b/>
                <w:bCs/>
                <w:color w:val="000000"/>
                <w:sz w:val="17"/>
                <w:szCs w:val="17"/>
                <w:lang w:eastAsia="cs-CZ"/>
              </w:rPr>
            </w:pPr>
            <w:r w:rsidRPr="00562D84">
              <w:rPr>
                <w:rFonts w:cs="Calibri"/>
                <w:b/>
                <w:bCs/>
                <w:color w:val="000000"/>
                <w:sz w:val="17"/>
                <w:szCs w:val="17"/>
              </w:rPr>
              <w:t>Pol. VZZ</w:t>
            </w:r>
          </w:p>
        </w:tc>
        <w:tc>
          <w:tcPr>
            <w:tcW w:w="2948" w:type="dxa"/>
            <w:tcBorders>
              <w:top w:val="single" w:sz="4" w:space="0" w:color="auto"/>
              <w:left w:val="nil"/>
              <w:bottom w:val="single" w:sz="4" w:space="0" w:color="auto"/>
              <w:right w:val="single" w:sz="4" w:space="0" w:color="auto"/>
            </w:tcBorders>
            <w:shd w:val="clear" w:color="auto" w:fill="E5F1FF"/>
            <w:noWrap/>
            <w:vAlign w:val="center"/>
          </w:tcPr>
          <w:p w14:paraId="6E134962" w14:textId="77777777" w:rsidR="00B57597" w:rsidRPr="00562D84" w:rsidRDefault="00B57597" w:rsidP="00980596">
            <w:pPr>
              <w:keepNext/>
              <w:spacing w:after="0"/>
              <w:jc w:val="center"/>
              <w:rPr>
                <w:rFonts w:cs="Calibri"/>
                <w:b/>
                <w:bCs/>
                <w:color w:val="000000"/>
                <w:sz w:val="17"/>
                <w:szCs w:val="17"/>
                <w:lang w:eastAsia="cs-CZ"/>
              </w:rPr>
            </w:pPr>
            <w:r w:rsidRPr="00562D84">
              <w:rPr>
                <w:rFonts w:cs="Calibri"/>
                <w:b/>
                <w:bCs/>
                <w:color w:val="000000"/>
                <w:sz w:val="17"/>
                <w:szCs w:val="17"/>
              </w:rPr>
              <w:t>Název položky VZZ</w:t>
            </w:r>
          </w:p>
        </w:tc>
        <w:tc>
          <w:tcPr>
            <w:tcW w:w="454" w:type="dxa"/>
            <w:tcBorders>
              <w:top w:val="single" w:sz="4" w:space="0" w:color="auto"/>
              <w:left w:val="nil"/>
              <w:bottom w:val="single" w:sz="4" w:space="0" w:color="auto"/>
              <w:right w:val="single" w:sz="4" w:space="0" w:color="auto"/>
            </w:tcBorders>
            <w:shd w:val="clear" w:color="auto" w:fill="E5F1FF"/>
            <w:vAlign w:val="center"/>
          </w:tcPr>
          <w:p w14:paraId="74F328AA" w14:textId="77777777" w:rsidR="00B57597" w:rsidRPr="00562D84" w:rsidRDefault="00B57597" w:rsidP="00980596">
            <w:pPr>
              <w:keepNext/>
              <w:spacing w:after="0"/>
              <w:jc w:val="center"/>
              <w:rPr>
                <w:rFonts w:cs="Calibri"/>
                <w:b/>
                <w:bCs/>
                <w:color w:val="000000"/>
                <w:sz w:val="17"/>
                <w:szCs w:val="17"/>
                <w:lang w:eastAsia="cs-CZ"/>
              </w:rPr>
            </w:pPr>
            <w:r w:rsidRPr="00562D84">
              <w:rPr>
                <w:rFonts w:cs="Calibri"/>
                <w:b/>
                <w:bCs/>
                <w:color w:val="000000"/>
                <w:sz w:val="17"/>
                <w:szCs w:val="17"/>
              </w:rPr>
              <w:t>SÚ</w:t>
            </w:r>
          </w:p>
        </w:tc>
        <w:tc>
          <w:tcPr>
            <w:tcW w:w="1559" w:type="dxa"/>
            <w:tcBorders>
              <w:top w:val="single" w:sz="4" w:space="0" w:color="auto"/>
              <w:left w:val="single" w:sz="4" w:space="0" w:color="auto"/>
              <w:bottom w:val="single" w:sz="4" w:space="0" w:color="auto"/>
              <w:right w:val="single" w:sz="4" w:space="0" w:color="auto"/>
            </w:tcBorders>
            <w:shd w:val="clear" w:color="auto" w:fill="E5F1FF"/>
            <w:noWrap/>
            <w:vAlign w:val="center"/>
          </w:tcPr>
          <w:p w14:paraId="2F6BE989" w14:textId="5D4EB738" w:rsidR="00B57597" w:rsidRPr="00562D84" w:rsidRDefault="00B57597" w:rsidP="00980596">
            <w:pPr>
              <w:keepNext/>
              <w:spacing w:after="0"/>
              <w:jc w:val="center"/>
              <w:rPr>
                <w:rFonts w:cs="Calibri"/>
                <w:b/>
                <w:bCs/>
                <w:color w:val="000000"/>
                <w:sz w:val="17"/>
                <w:szCs w:val="17"/>
                <w:lang w:eastAsia="cs-CZ"/>
              </w:rPr>
            </w:pPr>
            <w:r w:rsidRPr="00562D84">
              <w:rPr>
                <w:rFonts w:cs="Calibri"/>
                <w:b/>
                <w:bCs/>
                <w:color w:val="000000"/>
                <w:sz w:val="17"/>
                <w:szCs w:val="17"/>
              </w:rPr>
              <w:t xml:space="preserve">Částka v roce 2019 </w:t>
            </w:r>
            <w:r w:rsidR="00980596" w:rsidRPr="00562D84">
              <w:rPr>
                <w:rFonts w:cs="Calibri"/>
                <w:b/>
                <w:bCs/>
                <w:color w:val="000000"/>
                <w:sz w:val="17"/>
                <w:szCs w:val="17"/>
              </w:rPr>
              <w:t>(</w:t>
            </w:r>
            <w:r w:rsidRPr="00562D84">
              <w:rPr>
                <w:rFonts w:cs="Calibri"/>
                <w:b/>
                <w:bCs/>
                <w:color w:val="000000"/>
                <w:sz w:val="17"/>
                <w:szCs w:val="17"/>
              </w:rPr>
              <w:t>v</w:t>
            </w:r>
            <w:r w:rsidR="00980596" w:rsidRPr="00562D84">
              <w:rPr>
                <w:rFonts w:cs="Calibri"/>
                <w:b/>
                <w:bCs/>
                <w:color w:val="000000"/>
                <w:sz w:val="17"/>
                <w:szCs w:val="17"/>
              </w:rPr>
              <w:t> </w:t>
            </w:r>
            <w:r w:rsidRPr="00562D84">
              <w:rPr>
                <w:rFonts w:cs="Calibri"/>
                <w:b/>
                <w:bCs/>
                <w:color w:val="000000"/>
                <w:sz w:val="17"/>
                <w:szCs w:val="17"/>
              </w:rPr>
              <w:t xml:space="preserve">Kč) </w:t>
            </w:r>
          </w:p>
        </w:tc>
        <w:tc>
          <w:tcPr>
            <w:tcW w:w="1559" w:type="dxa"/>
            <w:tcBorders>
              <w:top w:val="single" w:sz="4" w:space="0" w:color="auto"/>
              <w:left w:val="nil"/>
              <w:bottom w:val="single" w:sz="4" w:space="0" w:color="auto"/>
              <w:right w:val="single" w:sz="4" w:space="0" w:color="auto"/>
            </w:tcBorders>
            <w:shd w:val="clear" w:color="auto" w:fill="E5F1FF"/>
            <w:noWrap/>
            <w:vAlign w:val="center"/>
          </w:tcPr>
          <w:p w14:paraId="59EAF646" w14:textId="2C67A89F" w:rsidR="00B57597" w:rsidRPr="00562D84" w:rsidRDefault="00B57597" w:rsidP="00980596">
            <w:pPr>
              <w:keepNext/>
              <w:spacing w:after="0"/>
              <w:jc w:val="center"/>
              <w:rPr>
                <w:rFonts w:cs="Calibri"/>
                <w:b/>
                <w:bCs/>
                <w:color w:val="000000"/>
                <w:sz w:val="17"/>
                <w:szCs w:val="17"/>
                <w:lang w:eastAsia="cs-CZ"/>
              </w:rPr>
            </w:pPr>
            <w:r w:rsidRPr="00562D84">
              <w:rPr>
                <w:rFonts w:cs="Calibri"/>
                <w:b/>
                <w:bCs/>
                <w:color w:val="000000"/>
                <w:sz w:val="17"/>
                <w:szCs w:val="17"/>
              </w:rPr>
              <w:t>Částka v roce 2020 (v</w:t>
            </w:r>
            <w:r w:rsidR="00980596" w:rsidRPr="00562D84">
              <w:rPr>
                <w:rFonts w:cs="Calibri"/>
                <w:b/>
                <w:bCs/>
                <w:color w:val="000000"/>
                <w:sz w:val="17"/>
                <w:szCs w:val="17"/>
              </w:rPr>
              <w:t> </w:t>
            </w:r>
            <w:r w:rsidRPr="00562D84">
              <w:rPr>
                <w:rFonts w:cs="Calibri"/>
                <w:b/>
                <w:bCs/>
                <w:color w:val="000000"/>
                <w:sz w:val="17"/>
                <w:szCs w:val="17"/>
              </w:rPr>
              <w:t>Kč)</w:t>
            </w:r>
          </w:p>
        </w:tc>
        <w:tc>
          <w:tcPr>
            <w:tcW w:w="964" w:type="dxa"/>
            <w:tcBorders>
              <w:top w:val="single" w:sz="4" w:space="0" w:color="auto"/>
              <w:left w:val="nil"/>
              <w:bottom w:val="single" w:sz="4" w:space="0" w:color="auto"/>
              <w:right w:val="single" w:sz="4" w:space="0" w:color="auto"/>
            </w:tcBorders>
            <w:shd w:val="clear" w:color="auto" w:fill="E5F1FF"/>
            <w:noWrap/>
            <w:vAlign w:val="center"/>
            <w:hideMark/>
          </w:tcPr>
          <w:p w14:paraId="25F6BC8A" w14:textId="77777777" w:rsidR="00B57597" w:rsidRPr="00562D84" w:rsidRDefault="00B57597" w:rsidP="00980596">
            <w:pPr>
              <w:keepNext/>
              <w:spacing w:after="0"/>
              <w:jc w:val="center"/>
              <w:rPr>
                <w:rFonts w:cs="Calibri"/>
                <w:b/>
                <w:bCs/>
                <w:color w:val="000000"/>
                <w:sz w:val="17"/>
                <w:szCs w:val="17"/>
                <w:lang w:eastAsia="cs-CZ"/>
              </w:rPr>
            </w:pPr>
            <w:r w:rsidRPr="00562D84">
              <w:rPr>
                <w:rFonts w:cs="Calibri"/>
                <w:b/>
                <w:bCs/>
                <w:color w:val="000000"/>
                <w:sz w:val="17"/>
                <w:szCs w:val="17"/>
              </w:rPr>
              <w:t>Podíl v roce 2019</w:t>
            </w:r>
          </w:p>
        </w:tc>
        <w:tc>
          <w:tcPr>
            <w:tcW w:w="964" w:type="dxa"/>
            <w:tcBorders>
              <w:top w:val="single" w:sz="4" w:space="0" w:color="auto"/>
              <w:left w:val="nil"/>
              <w:bottom w:val="single" w:sz="4" w:space="0" w:color="auto"/>
              <w:right w:val="single" w:sz="4" w:space="0" w:color="auto"/>
            </w:tcBorders>
            <w:shd w:val="clear" w:color="auto" w:fill="E5F1FF"/>
            <w:vAlign w:val="center"/>
          </w:tcPr>
          <w:p w14:paraId="05ABBD33" w14:textId="77777777" w:rsidR="00B57597" w:rsidRPr="00562D84" w:rsidRDefault="00B57597" w:rsidP="00980596">
            <w:pPr>
              <w:keepNext/>
              <w:spacing w:after="0"/>
              <w:jc w:val="center"/>
              <w:rPr>
                <w:rFonts w:cs="Calibri"/>
                <w:b/>
                <w:bCs/>
                <w:color w:val="000000"/>
                <w:sz w:val="17"/>
                <w:szCs w:val="17"/>
                <w:lang w:eastAsia="cs-CZ"/>
              </w:rPr>
            </w:pPr>
            <w:r w:rsidRPr="00562D84">
              <w:rPr>
                <w:rFonts w:cs="Calibri"/>
                <w:b/>
                <w:bCs/>
                <w:color w:val="000000"/>
                <w:sz w:val="17"/>
                <w:szCs w:val="17"/>
              </w:rPr>
              <w:t>Podíl v roce 2020</w:t>
            </w:r>
          </w:p>
        </w:tc>
      </w:tr>
      <w:tr w:rsidR="00B57597" w:rsidRPr="00562D84" w14:paraId="6B50DCBB" w14:textId="77777777" w:rsidTr="00283183">
        <w:trPr>
          <w:trHeight w:val="255"/>
          <w:jc w:val="center"/>
        </w:trPr>
        <w:tc>
          <w:tcPr>
            <w:tcW w:w="624" w:type="dxa"/>
            <w:tcBorders>
              <w:top w:val="nil"/>
              <w:left w:val="single" w:sz="4" w:space="0" w:color="auto"/>
              <w:bottom w:val="single" w:sz="4" w:space="0" w:color="auto"/>
              <w:right w:val="single" w:sz="4" w:space="0" w:color="auto"/>
            </w:tcBorders>
            <w:shd w:val="clear" w:color="auto" w:fill="auto"/>
            <w:noWrap/>
            <w:vAlign w:val="center"/>
          </w:tcPr>
          <w:p w14:paraId="3566119E" w14:textId="77777777" w:rsidR="00B57597" w:rsidRPr="00562D84" w:rsidRDefault="00B57597" w:rsidP="00562D84">
            <w:pPr>
              <w:keepNext/>
              <w:spacing w:after="0"/>
              <w:rPr>
                <w:rFonts w:eastAsia="Calibri" w:cs="Calibri"/>
                <w:color w:val="000000"/>
                <w:sz w:val="17"/>
                <w:szCs w:val="17"/>
              </w:rPr>
            </w:pPr>
            <w:r w:rsidRPr="00562D84">
              <w:rPr>
                <w:rFonts w:cs="Calibri"/>
                <w:color w:val="000000"/>
                <w:sz w:val="17"/>
                <w:szCs w:val="17"/>
              </w:rPr>
              <w:t>A.</w:t>
            </w:r>
          </w:p>
        </w:tc>
        <w:tc>
          <w:tcPr>
            <w:tcW w:w="2948" w:type="dxa"/>
            <w:tcBorders>
              <w:top w:val="nil"/>
              <w:left w:val="nil"/>
              <w:bottom w:val="single" w:sz="4" w:space="0" w:color="auto"/>
              <w:right w:val="single" w:sz="4" w:space="0" w:color="auto"/>
            </w:tcBorders>
            <w:shd w:val="clear" w:color="auto" w:fill="auto"/>
            <w:noWrap/>
            <w:vAlign w:val="center"/>
          </w:tcPr>
          <w:p w14:paraId="27BEA9D3" w14:textId="77777777" w:rsidR="00B57597" w:rsidRPr="00562D84" w:rsidRDefault="00B57597" w:rsidP="00980596">
            <w:pPr>
              <w:keepNext/>
              <w:spacing w:after="0"/>
              <w:rPr>
                <w:rFonts w:eastAsia="Calibri" w:cs="Calibri"/>
                <w:color w:val="000000"/>
                <w:sz w:val="17"/>
                <w:szCs w:val="17"/>
              </w:rPr>
            </w:pPr>
            <w:r w:rsidRPr="00562D84">
              <w:rPr>
                <w:rFonts w:cs="Calibri"/>
                <w:color w:val="000000"/>
                <w:sz w:val="17"/>
                <w:szCs w:val="17"/>
              </w:rPr>
              <w:t>NÁKLADY CELKEM</w:t>
            </w:r>
          </w:p>
        </w:tc>
        <w:tc>
          <w:tcPr>
            <w:tcW w:w="454" w:type="dxa"/>
            <w:tcBorders>
              <w:top w:val="single" w:sz="4" w:space="0" w:color="auto"/>
              <w:left w:val="nil"/>
              <w:bottom w:val="single" w:sz="4" w:space="0" w:color="auto"/>
              <w:right w:val="single" w:sz="4" w:space="0" w:color="auto"/>
            </w:tcBorders>
            <w:vAlign w:val="center"/>
          </w:tcPr>
          <w:p w14:paraId="5885CBCF" w14:textId="77777777" w:rsidR="00B57597" w:rsidRPr="00562D84" w:rsidRDefault="00B57597" w:rsidP="00980596">
            <w:pPr>
              <w:keepNext/>
              <w:spacing w:after="0"/>
              <w:jc w:val="center"/>
              <w:rPr>
                <w:rFonts w:eastAsia="Calibri" w:cs="Calibri"/>
                <w:color w:val="000000"/>
                <w:sz w:val="17"/>
                <w:szCs w:val="17"/>
              </w:rPr>
            </w:pPr>
            <w:r w:rsidRPr="00562D84">
              <w:rPr>
                <w:rFonts w:cs="Calibri"/>
                <w:color w:val="000000"/>
                <w:sz w:val="17"/>
                <w:szCs w:val="17"/>
              </w:rPr>
              <w:t>-</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FE89AF8" w14:textId="77777777" w:rsidR="00B57597" w:rsidRPr="00562D84" w:rsidRDefault="00B57597" w:rsidP="00980596">
            <w:pPr>
              <w:keepNext/>
              <w:spacing w:after="0"/>
              <w:jc w:val="right"/>
              <w:rPr>
                <w:rFonts w:eastAsia="Calibri" w:cs="Calibri"/>
                <w:color w:val="000000"/>
                <w:sz w:val="17"/>
                <w:szCs w:val="17"/>
              </w:rPr>
            </w:pPr>
            <w:r w:rsidRPr="00562D84">
              <w:rPr>
                <w:rFonts w:cs="Calibri"/>
                <w:color w:val="000000"/>
                <w:sz w:val="17"/>
                <w:szCs w:val="17"/>
              </w:rPr>
              <w:t>43 527 996 297,06</w:t>
            </w:r>
          </w:p>
        </w:tc>
        <w:tc>
          <w:tcPr>
            <w:tcW w:w="1559" w:type="dxa"/>
            <w:tcBorders>
              <w:top w:val="nil"/>
              <w:left w:val="nil"/>
              <w:bottom w:val="single" w:sz="4" w:space="0" w:color="auto"/>
              <w:right w:val="single" w:sz="4" w:space="0" w:color="auto"/>
            </w:tcBorders>
            <w:shd w:val="clear" w:color="auto" w:fill="auto"/>
            <w:noWrap/>
            <w:vAlign w:val="center"/>
          </w:tcPr>
          <w:p w14:paraId="398DDC9C" w14:textId="77777777" w:rsidR="00B57597" w:rsidRPr="00562D84" w:rsidRDefault="00B57597" w:rsidP="00980596">
            <w:pPr>
              <w:keepNext/>
              <w:spacing w:after="0"/>
              <w:jc w:val="right"/>
              <w:rPr>
                <w:rFonts w:eastAsia="Calibri" w:cs="Calibri"/>
                <w:color w:val="000000"/>
                <w:sz w:val="17"/>
                <w:szCs w:val="17"/>
              </w:rPr>
            </w:pPr>
            <w:r w:rsidRPr="00562D84">
              <w:rPr>
                <w:rFonts w:cs="Calibri"/>
                <w:color w:val="000000"/>
                <w:sz w:val="17"/>
                <w:szCs w:val="17"/>
              </w:rPr>
              <w:t>56 115 965 822,76</w:t>
            </w:r>
          </w:p>
        </w:tc>
        <w:tc>
          <w:tcPr>
            <w:tcW w:w="964" w:type="dxa"/>
            <w:tcBorders>
              <w:top w:val="nil"/>
              <w:left w:val="nil"/>
              <w:bottom w:val="single" w:sz="4" w:space="0" w:color="auto"/>
              <w:right w:val="single" w:sz="4" w:space="0" w:color="auto"/>
            </w:tcBorders>
            <w:shd w:val="clear" w:color="auto" w:fill="auto"/>
            <w:noWrap/>
            <w:vAlign w:val="center"/>
          </w:tcPr>
          <w:p w14:paraId="12550F36" w14:textId="17EA423E" w:rsidR="00B57597" w:rsidRPr="00562D84" w:rsidRDefault="00B57597" w:rsidP="00562D84">
            <w:pPr>
              <w:keepNext/>
              <w:spacing w:after="0"/>
              <w:ind w:right="57"/>
              <w:jc w:val="right"/>
              <w:rPr>
                <w:rFonts w:eastAsia="Calibri" w:cs="Calibri"/>
                <w:color w:val="000000"/>
                <w:sz w:val="17"/>
                <w:szCs w:val="17"/>
              </w:rPr>
            </w:pPr>
            <w:r w:rsidRPr="00562D84">
              <w:rPr>
                <w:rFonts w:cs="Calibri"/>
                <w:color w:val="000000"/>
                <w:sz w:val="17"/>
                <w:szCs w:val="17"/>
              </w:rPr>
              <w:t>100,00</w:t>
            </w:r>
            <w:r w:rsidR="00BB0A48">
              <w:rPr>
                <w:rFonts w:cs="Calibri"/>
                <w:color w:val="000000"/>
                <w:sz w:val="17"/>
                <w:szCs w:val="17"/>
              </w:rPr>
              <w:t> </w:t>
            </w:r>
            <w:r w:rsidRPr="00562D84">
              <w:rPr>
                <w:rFonts w:cs="Calibri"/>
                <w:color w:val="000000"/>
                <w:sz w:val="17"/>
                <w:szCs w:val="17"/>
              </w:rPr>
              <w:t>%</w:t>
            </w:r>
          </w:p>
        </w:tc>
        <w:tc>
          <w:tcPr>
            <w:tcW w:w="964" w:type="dxa"/>
            <w:tcBorders>
              <w:top w:val="nil"/>
              <w:left w:val="nil"/>
              <w:bottom w:val="single" w:sz="4" w:space="0" w:color="auto"/>
              <w:right w:val="single" w:sz="4" w:space="0" w:color="auto"/>
            </w:tcBorders>
            <w:vAlign w:val="center"/>
          </w:tcPr>
          <w:p w14:paraId="6435497B" w14:textId="09947108" w:rsidR="00B57597" w:rsidRPr="00562D84" w:rsidRDefault="00B57597" w:rsidP="00562D84">
            <w:pPr>
              <w:keepNext/>
              <w:spacing w:after="0"/>
              <w:ind w:right="57"/>
              <w:jc w:val="right"/>
              <w:rPr>
                <w:rFonts w:eastAsia="Calibri" w:cs="Calibri"/>
                <w:color w:val="000000"/>
                <w:sz w:val="17"/>
                <w:szCs w:val="17"/>
              </w:rPr>
            </w:pPr>
            <w:r w:rsidRPr="00562D84">
              <w:rPr>
                <w:rFonts w:cs="Calibri"/>
                <w:color w:val="000000"/>
                <w:sz w:val="17"/>
                <w:szCs w:val="17"/>
              </w:rPr>
              <w:t>100,00</w:t>
            </w:r>
            <w:r w:rsidR="00FC7BFA">
              <w:rPr>
                <w:rFonts w:cs="Calibri"/>
                <w:color w:val="000000"/>
                <w:sz w:val="17"/>
                <w:szCs w:val="17"/>
              </w:rPr>
              <w:t> </w:t>
            </w:r>
            <w:r w:rsidRPr="00562D84">
              <w:rPr>
                <w:rFonts w:cs="Calibri"/>
                <w:color w:val="000000"/>
                <w:sz w:val="17"/>
                <w:szCs w:val="17"/>
              </w:rPr>
              <w:t>%</w:t>
            </w:r>
          </w:p>
        </w:tc>
      </w:tr>
      <w:tr w:rsidR="00B57597" w:rsidRPr="00562D84" w14:paraId="7026E2BD" w14:textId="77777777" w:rsidTr="00283183">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0E51A" w14:textId="77777777" w:rsidR="00B57597" w:rsidRPr="00562D84" w:rsidRDefault="00B57597" w:rsidP="00562D84">
            <w:pPr>
              <w:keepNext/>
              <w:spacing w:after="0"/>
              <w:rPr>
                <w:rFonts w:eastAsia="Calibri" w:cs="Calibri"/>
                <w:color w:val="000000"/>
                <w:sz w:val="17"/>
                <w:szCs w:val="17"/>
              </w:rPr>
            </w:pPr>
            <w:r w:rsidRPr="00562D84">
              <w:rPr>
                <w:rFonts w:cs="Calibri"/>
                <w:color w:val="000000"/>
                <w:sz w:val="17"/>
                <w:szCs w:val="17"/>
              </w:rPr>
              <w:t>A.I.</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26D1D0F7" w14:textId="77777777" w:rsidR="00B57597" w:rsidRPr="00562D84" w:rsidRDefault="00B57597" w:rsidP="00980596">
            <w:pPr>
              <w:keepNext/>
              <w:spacing w:after="0"/>
              <w:rPr>
                <w:rFonts w:eastAsia="Calibri" w:cs="Calibri"/>
                <w:color w:val="000000"/>
                <w:sz w:val="17"/>
                <w:szCs w:val="17"/>
              </w:rPr>
            </w:pPr>
            <w:r w:rsidRPr="00562D84">
              <w:rPr>
                <w:rFonts w:cs="Calibri"/>
                <w:color w:val="000000"/>
                <w:sz w:val="17"/>
                <w:szCs w:val="17"/>
              </w:rPr>
              <w:t>Náklady z činnosti</w:t>
            </w:r>
          </w:p>
        </w:tc>
        <w:tc>
          <w:tcPr>
            <w:tcW w:w="454" w:type="dxa"/>
            <w:tcBorders>
              <w:top w:val="single" w:sz="4" w:space="0" w:color="auto"/>
              <w:left w:val="nil"/>
              <w:bottom w:val="single" w:sz="4" w:space="0" w:color="auto"/>
              <w:right w:val="single" w:sz="4" w:space="0" w:color="auto"/>
            </w:tcBorders>
            <w:vAlign w:val="center"/>
          </w:tcPr>
          <w:p w14:paraId="5A4A6840" w14:textId="77777777" w:rsidR="00B57597" w:rsidRPr="00562D84" w:rsidRDefault="00B57597" w:rsidP="00980596">
            <w:pPr>
              <w:keepNext/>
              <w:spacing w:after="0"/>
              <w:jc w:val="center"/>
              <w:rPr>
                <w:rFonts w:eastAsia="Calibri" w:cs="Calibri"/>
                <w:color w:val="000000"/>
                <w:sz w:val="17"/>
                <w:szCs w:val="17"/>
              </w:rPr>
            </w:pPr>
            <w:r w:rsidRPr="00562D84">
              <w:rPr>
                <w:rFonts w:cs="Calibri"/>
                <w:color w:val="000000"/>
                <w:sz w:val="17"/>
                <w:szCs w:val="17"/>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E34E4" w14:textId="77777777" w:rsidR="00B57597" w:rsidRPr="00562D84" w:rsidRDefault="00B57597" w:rsidP="00980596">
            <w:pPr>
              <w:keepNext/>
              <w:spacing w:after="0"/>
              <w:jc w:val="right"/>
              <w:rPr>
                <w:rFonts w:eastAsia="Calibri" w:cs="Calibri"/>
                <w:color w:val="000000"/>
                <w:sz w:val="17"/>
                <w:szCs w:val="17"/>
              </w:rPr>
            </w:pPr>
            <w:r w:rsidRPr="00562D84">
              <w:rPr>
                <w:rFonts w:cs="Calibri"/>
                <w:color w:val="000000"/>
                <w:sz w:val="17"/>
                <w:szCs w:val="17"/>
              </w:rPr>
              <w:t>1 620 893 058,61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1900045" w14:textId="77777777" w:rsidR="00B57597" w:rsidRPr="00562D84" w:rsidRDefault="00B57597" w:rsidP="00980596">
            <w:pPr>
              <w:keepNext/>
              <w:spacing w:after="0"/>
              <w:jc w:val="right"/>
              <w:rPr>
                <w:rFonts w:eastAsia="Calibri" w:cs="Calibri"/>
                <w:color w:val="000000"/>
                <w:sz w:val="17"/>
                <w:szCs w:val="17"/>
              </w:rPr>
            </w:pPr>
            <w:r w:rsidRPr="00562D84">
              <w:rPr>
                <w:rFonts w:cs="Calibri"/>
                <w:color w:val="000000"/>
                <w:sz w:val="17"/>
                <w:szCs w:val="17"/>
              </w:rPr>
              <w:t>5 435 527 260,51</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7C673134" w14:textId="10FBF59B" w:rsidR="00B57597" w:rsidRPr="00562D84" w:rsidRDefault="00B57597" w:rsidP="00562D84">
            <w:pPr>
              <w:keepNext/>
              <w:spacing w:after="0"/>
              <w:ind w:right="57"/>
              <w:jc w:val="right"/>
              <w:rPr>
                <w:rFonts w:eastAsia="Calibri" w:cs="Calibri"/>
                <w:color w:val="000000"/>
                <w:sz w:val="17"/>
                <w:szCs w:val="17"/>
              </w:rPr>
            </w:pPr>
            <w:r w:rsidRPr="00562D84">
              <w:rPr>
                <w:rFonts w:cs="Calibri"/>
                <w:color w:val="000000"/>
                <w:sz w:val="17"/>
                <w:szCs w:val="17"/>
              </w:rPr>
              <w:t>3,72</w:t>
            </w:r>
            <w:r w:rsidR="00BB0A48">
              <w:rPr>
                <w:rFonts w:cs="Calibri"/>
                <w:color w:val="000000"/>
                <w:sz w:val="17"/>
                <w:szCs w:val="17"/>
              </w:rPr>
              <w:t> </w:t>
            </w:r>
            <w:r w:rsidRPr="00562D84">
              <w:rPr>
                <w:rFonts w:cs="Calibri"/>
                <w:color w:val="000000"/>
                <w:sz w:val="17"/>
                <w:szCs w:val="17"/>
              </w:rPr>
              <w:t>%</w:t>
            </w:r>
          </w:p>
        </w:tc>
        <w:tc>
          <w:tcPr>
            <w:tcW w:w="964" w:type="dxa"/>
            <w:tcBorders>
              <w:top w:val="single" w:sz="4" w:space="0" w:color="auto"/>
              <w:left w:val="nil"/>
              <w:bottom w:val="single" w:sz="4" w:space="0" w:color="auto"/>
              <w:right w:val="single" w:sz="4" w:space="0" w:color="auto"/>
            </w:tcBorders>
            <w:vAlign w:val="center"/>
          </w:tcPr>
          <w:p w14:paraId="1DD78570" w14:textId="1EC0E67F" w:rsidR="00B57597" w:rsidRPr="00562D84" w:rsidRDefault="00B57597" w:rsidP="00562D84">
            <w:pPr>
              <w:keepNext/>
              <w:spacing w:after="0"/>
              <w:ind w:right="57"/>
              <w:jc w:val="right"/>
              <w:rPr>
                <w:rFonts w:eastAsia="Calibri" w:cs="Calibri"/>
                <w:color w:val="000000"/>
                <w:sz w:val="17"/>
                <w:szCs w:val="17"/>
              </w:rPr>
            </w:pPr>
            <w:r w:rsidRPr="00562D84">
              <w:rPr>
                <w:rFonts w:cs="Calibri"/>
                <w:color w:val="000000"/>
                <w:sz w:val="17"/>
                <w:szCs w:val="17"/>
              </w:rPr>
              <w:t>9,69</w:t>
            </w:r>
            <w:r w:rsidR="00FC7BFA">
              <w:rPr>
                <w:rFonts w:cs="Calibri"/>
                <w:color w:val="000000"/>
                <w:sz w:val="17"/>
                <w:szCs w:val="17"/>
              </w:rPr>
              <w:t> </w:t>
            </w:r>
            <w:r w:rsidRPr="00562D84">
              <w:rPr>
                <w:rFonts w:cs="Calibri"/>
                <w:color w:val="000000"/>
                <w:sz w:val="17"/>
                <w:szCs w:val="17"/>
              </w:rPr>
              <w:t>%</w:t>
            </w:r>
          </w:p>
        </w:tc>
      </w:tr>
      <w:tr w:rsidR="00B57597" w:rsidRPr="00562D84" w14:paraId="0914F0AA" w14:textId="77777777" w:rsidTr="00283183">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570B0" w14:textId="77777777" w:rsidR="00B57597" w:rsidRPr="00562D84" w:rsidRDefault="00B57597" w:rsidP="00562D84">
            <w:pPr>
              <w:keepNext/>
              <w:spacing w:after="0"/>
              <w:rPr>
                <w:rFonts w:eastAsia="Calibri" w:cs="Calibri"/>
                <w:color w:val="000000"/>
                <w:sz w:val="17"/>
                <w:szCs w:val="17"/>
              </w:rPr>
            </w:pPr>
            <w:r w:rsidRPr="00562D84">
              <w:rPr>
                <w:rFonts w:cs="Calibri"/>
                <w:color w:val="000000"/>
                <w:sz w:val="17"/>
                <w:szCs w:val="17"/>
              </w:rPr>
              <w:t>A.II.</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7D50C582" w14:textId="77777777" w:rsidR="00B57597" w:rsidRPr="00562D84" w:rsidRDefault="00B57597" w:rsidP="00980596">
            <w:pPr>
              <w:keepNext/>
              <w:spacing w:after="0"/>
              <w:rPr>
                <w:rFonts w:eastAsia="Calibri" w:cs="Calibri"/>
                <w:color w:val="000000"/>
                <w:sz w:val="17"/>
                <w:szCs w:val="17"/>
              </w:rPr>
            </w:pPr>
            <w:r w:rsidRPr="00562D84">
              <w:rPr>
                <w:rFonts w:cs="Calibri"/>
                <w:color w:val="000000"/>
                <w:sz w:val="17"/>
                <w:szCs w:val="17"/>
              </w:rPr>
              <w:t>Finanční náklady</w:t>
            </w:r>
          </w:p>
        </w:tc>
        <w:tc>
          <w:tcPr>
            <w:tcW w:w="454" w:type="dxa"/>
            <w:tcBorders>
              <w:top w:val="single" w:sz="4" w:space="0" w:color="auto"/>
              <w:left w:val="nil"/>
              <w:bottom w:val="single" w:sz="4" w:space="0" w:color="auto"/>
              <w:right w:val="single" w:sz="4" w:space="0" w:color="auto"/>
            </w:tcBorders>
            <w:vAlign w:val="center"/>
          </w:tcPr>
          <w:p w14:paraId="1EB60790" w14:textId="77777777" w:rsidR="00B57597" w:rsidRPr="00562D84" w:rsidRDefault="00B57597" w:rsidP="00980596">
            <w:pPr>
              <w:keepNext/>
              <w:spacing w:after="0"/>
              <w:jc w:val="center"/>
              <w:rPr>
                <w:rFonts w:eastAsia="Calibri" w:cs="Calibri"/>
                <w:color w:val="000000"/>
                <w:sz w:val="17"/>
                <w:szCs w:val="17"/>
              </w:rPr>
            </w:pPr>
            <w:r w:rsidRPr="00562D84">
              <w:rPr>
                <w:rFonts w:cs="Calibri"/>
                <w:color w:val="000000"/>
                <w:sz w:val="17"/>
                <w:szCs w:val="17"/>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CD230" w14:textId="77777777" w:rsidR="00B57597" w:rsidRPr="00562D84" w:rsidRDefault="00B57597" w:rsidP="00980596">
            <w:pPr>
              <w:keepNext/>
              <w:spacing w:after="0"/>
              <w:jc w:val="right"/>
              <w:rPr>
                <w:rFonts w:eastAsia="Calibri" w:cs="Calibri"/>
                <w:color w:val="000000"/>
                <w:sz w:val="17"/>
                <w:szCs w:val="17"/>
              </w:rPr>
            </w:pPr>
            <w:r w:rsidRPr="00562D84">
              <w:rPr>
                <w:rFonts w:cs="Calibri"/>
                <w:color w:val="000000"/>
                <w:sz w:val="17"/>
                <w:szCs w:val="17"/>
              </w:rPr>
              <w:t>48 281 493,04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286217" w14:textId="77777777" w:rsidR="00B57597" w:rsidRPr="00562D84" w:rsidRDefault="00B57597" w:rsidP="00980596">
            <w:pPr>
              <w:keepNext/>
              <w:spacing w:after="0"/>
              <w:jc w:val="right"/>
              <w:rPr>
                <w:rFonts w:eastAsia="Calibri" w:cs="Calibri"/>
                <w:color w:val="000000"/>
                <w:sz w:val="17"/>
                <w:szCs w:val="17"/>
              </w:rPr>
            </w:pPr>
            <w:r w:rsidRPr="00562D84">
              <w:rPr>
                <w:rFonts w:cs="Calibri"/>
                <w:color w:val="000000"/>
                <w:sz w:val="17"/>
                <w:szCs w:val="17"/>
              </w:rPr>
              <w:t>169 848 619,63</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1647E05A" w14:textId="2D09EDD0" w:rsidR="00B57597" w:rsidRPr="00562D84" w:rsidRDefault="00B57597" w:rsidP="00562D84">
            <w:pPr>
              <w:keepNext/>
              <w:spacing w:after="0"/>
              <w:ind w:right="57"/>
              <w:jc w:val="right"/>
              <w:rPr>
                <w:rFonts w:eastAsia="Calibri" w:cs="Calibri"/>
                <w:color w:val="000000"/>
                <w:sz w:val="17"/>
                <w:szCs w:val="17"/>
              </w:rPr>
            </w:pPr>
            <w:r w:rsidRPr="00562D84">
              <w:rPr>
                <w:rFonts w:cs="Calibri"/>
                <w:color w:val="000000"/>
                <w:sz w:val="17"/>
                <w:szCs w:val="17"/>
              </w:rPr>
              <w:t>0,11</w:t>
            </w:r>
            <w:r w:rsidR="00BB0A48">
              <w:rPr>
                <w:rFonts w:cs="Calibri"/>
                <w:color w:val="000000"/>
                <w:sz w:val="17"/>
                <w:szCs w:val="17"/>
              </w:rPr>
              <w:t> </w:t>
            </w:r>
            <w:r w:rsidRPr="00562D84">
              <w:rPr>
                <w:rFonts w:cs="Calibri"/>
                <w:color w:val="000000"/>
                <w:sz w:val="17"/>
                <w:szCs w:val="17"/>
              </w:rPr>
              <w:t>%</w:t>
            </w:r>
          </w:p>
        </w:tc>
        <w:tc>
          <w:tcPr>
            <w:tcW w:w="964" w:type="dxa"/>
            <w:tcBorders>
              <w:top w:val="single" w:sz="4" w:space="0" w:color="auto"/>
              <w:left w:val="nil"/>
              <w:bottom w:val="single" w:sz="4" w:space="0" w:color="auto"/>
              <w:right w:val="single" w:sz="4" w:space="0" w:color="auto"/>
            </w:tcBorders>
            <w:vAlign w:val="center"/>
          </w:tcPr>
          <w:p w14:paraId="5E76A7EC" w14:textId="69575E84" w:rsidR="00B57597" w:rsidRPr="00562D84" w:rsidRDefault="00B57597" w:rsidP="00562D84">
            <w:pPr>
              <w:keepNext/>
              <w:spacing w:after="0"/>
              <w:ind w:right="57"/>
              <w:jc w:val="right"/>
              <w:rPr>
                <w:rFonts w:eastAsia="Calibri" w:cs="Calibri"/>
                <w:color w:val="000000"/>
                <w:sz w:val="17"/>
                <w:szCs w:val="17"/>
              </w:rPr>
            </w:pPr>
            <w:r w:rsidRPr="00562D84">
              <w:rPr>
                <w:rFonts w:cs="Calibri"/>
                <w:color w:val="000000"/>
                <w:sz w:val="17"/>
                <w:szCs w:val="17"/>
              </w:rPr>
              <w:t>0,30</w:t>
            </w:r>
            <w:r w:rsidR="00FC7BFA">
              <w:rPr>
                <w:rFonts w:cs="Calibri"/>
                <w:color w:val="000000"/>
                <w:sz w:val="17"/>
                <w:szCs w:val="17"/>
              </w:rPr>
              <w:t> </w:t>
            </w:r>
            <w:r w:rsidRPr="00562D84">
              <w:rPr>
                <w:rFonts w:cs="Calibri"/>
                <w:color w:val="000000"/>
                <w:sz w:val="17"/>
                <w:szCs w:val="17"/>
              </w:rPr>
              <w:t>%</w:t>
            </w:r>
          </w:p>
        </w:tc>
      </w:tr>
      <w:tr w:rsidR="00B57597" w:rsidRPr="00562D84" w14:paraId="39AD0CDE" w14:textId="77777777" w:rsidTr="00283183">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15AC4" w14:textId="77777777" w:rsidR="00B57597" w:rsidRPr="00562D84" w:rsidRDefault="00B57597" w:rsidP="00562D84">
            <w:pPr>
              <w:keepNext/>
              <w:spacing w:after="0"/>
              <w:rPr>
                <w:rFonts w:eastAsia="Calibri" w:cs="Calibri"/>
                <w:color w:val="000000"/>
                <w:sz w:val="17"/>
                <w:szCs w:val="17"/>
              </w:rPr>
            </w:pPr>
            <w:r w:rsidRPr="00562D84">
              <w:rPr>
                <w:rFonts w:cs="Calibri"/>
                <w:color w:val="000000"/>
                <w:sz w:val="17"/>
                <w:szCs w:val="17"/>
              </w:rPr>
              <w:t>A.III.</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48E3BCBC" w14:textId="77777777" w:rsidR="00B57597" w:rsidRPr="00562D84" w:rsidRDefault="00B57597" w:rsidP="00980596">
            <w:pPr>
              <w:keepNext/>
              <w:spacing w:after="0"/>
              <w:rPr>
                <w:rFonts w:eastAsia="Calibri" w:cs="Calibri"/>
                <w:color w:val="000000"/>
                <w:sz w:val="17"/>
                <w:szCs w:val="17"/>
              </w:rPr>
            </w:pPr>
            <w:r w:rsidRPr="00562D84">
              <w:rPr>
                <w:rFonts w:cs="Calibri"/>
                <w:color w:val="000000"/>
                <w:sz w:val="17"/>
                <w:szCs w:val="17"/>
              </w:rPr>
              <w:t>Náklady na transfery</w:t>
            </w:r>
          </w:p>
        </w:tc>
        <w:tc>
          <w:tcPr>
            <w:tcW w:w="454" w:type="dxa"/>
            <w:tcBorders>
              <w:top w:val="single" w:sz="4" w:space="0" w:color="auto"/>
              <w:left w:val="nil"/>
              <w:bottom w:val="single" w:sz="4" w:space="0" w:color="auto"/>
              <w:right w:val="single" w:sz="4" w:space="0" w:color="auto"/>
            </w:tcBorders>
            <w:vAlign w:val="center"/>
          </w:tcPr>
          <w:p w14:paraId="63CC6697" w14:textId="77777777" w:rsidR="00B57597" w:rsidRPr="00562D84" w:rsidRDefault="00B57597" w:rsidP="00980596">
            <w:pPr>
              <w:keepNext/>
              <w:spacing w:after="0"/>
              <w:jc w:val="center"/>
              <w:rPr>
                <w:rFonts w:eastAsia="Calibri" w:cs="Calibri"/>
                <w:color w:val="000000"/>
                <w:sz w:val="17"/>
                <w:szCs w:val="17"/>
              </w:rPr>
            </w:pPr>
            <w:r w:rsidRPr="00562D84">
              <w:rPr>
                <w:rFonts w:cs="Calibri"/>
                <w:color w:val="000000"/>
                <w:sz w:val="17"/>
                <w:szCs w:val="17"/>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89715" w14:textId="77777777" w:rsidR="00B57597" w:rsidRPr="00562D84" w:rsidRDefault="00B57597" w:rsidP="00980596">
            <w:pPr>
              <w:keepNext/>
              <w:spacing w:after="0"/>
              <w:jc w:val="right"/>
              <w:rPr>
                <w:rFonts w:eastAsia="Calibri" w:cs="Calibri"/>
                <w:color w:val="000000"/>
                <w:sz w:val="17"/>
                <w:szCs w:val="17"/>
              </w:rPr>
            </w:pPr>
            <w:r w:rsidRPr="00562D84">
              <w:rPr>
                <w:rFonts w:cs="Calibri"/>
                <w:color w:val="000000"/>
                <w:sz w:val="17"/>
                <w:szCs w:val="17"/>
              </w:rPr>
              <w:t>41 858 821 745,41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A18CD82" w14:textId="77777777" w:rsidR="00B57597" w:rsidRPr="00562D84" w:rsidRDefault="00B57597" w:rsidP="00980596">
            <w:pPr>
              <w:keepNext/>
              <w:spacing w:after="0"/>
              <w:jc w:val="right"/>
              <w:rPr>
                <w:rFonts w:eastAsia="Calibri" w:cs="Calibri"/>
                <w:color w:val="000000"/>
                <w:sz w:val="17"/>
                <w:szCs w:val="17"/>
              </w:rPr>
            </w:pPr>
            <w:r w:rsidRPr="00562D84">
              <w:rPr>
                <w:rFonts w:cs="Calibri"/>
                <w:color w:val="000000"/>
                <w:sz w:val="17"/>
                <w:szCs w:val="17"/>
              </w:rPr>
              <w:t>50 510 589 942,62</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4490B5A4" w14:textId="70F5085F" w:rsidR="00B57597" w:rsidRPr="00562D84" w:rsidRDefault="00B57597" w:rsidP="00562D84">
            <w:pPr>
              <w:keepNext/>
              <w:spacing w:after="0"/>
              <w:ind w:right="57"/>
              <w:jc w:val="right"/>
              <w:rPr>
                <w:rFonts w:eastAsia="Calibri" w:cs="Calibri"/>
                <w:color w:val="000000"/>
                <w:sz w:val="17"/>
                <w:szCs w:val="17"/>
              </w:rPr>
            </w:pPr>
            <w:r w:rsidRPr="00562D84">
              <w:rPr>
                <w:rFonts w:cs="Calibri"/>
                <w:color w:val="000000"/>
                <w:sz w:val="17"/>
                <w:szCs w:val="17"/>
              </w:rPr>
              <w:t>96,17</w:t>
            </w:r>
            <w:r w:rsidR="00BB0A48">
              <w:rPr>
                <w:rFonts w:cs="Calibri"/>
                <w:color w:val="000000"/>
                <w:sz w:val="17"/>
                <w:szCs w:val="17"/>
              </w:rPr>
              <w:t> </w:t>
            </w:r>
            <w:r w:rsidRPr="00562D84">
              <w:rPr>
                <w:rFonts w:cs="Calibri"/>
                <w:color w:val="000000"/>
                <w:sz w:val="17"/>
                <w:szCs w:val="17"/>
              </w:rPr>
              <w:t>%</w:t>
            </w:r>
          </w:p>
        </w:tc>
        <w:tc>
          <w:tcPr>
            <w:tcW w:w="964" w:type="dxa"/>
            <w:tcBorders>
              <w:top w:val="single" w:sz="4" w:space="0" w:color="auto"/>
              <w:left w:val="nil"/>
              <w:bottom w:val="single" w:sz="4" w:space="0" w:color="auto"/>
              <w:right w:val="single" w:sz="4" w:space="0" w:color="auto"/>
            </w:tcBorders>
            <w:vAlign w:val="center"/>
          </w:tcPr>
          <w:p w14:paraId="7E951E01" w14:textId="57D1D9A0" w:rsidR="00B57597" w:rsidRPr="00562D84" w:rsidRDefault="00B57597" w:rsidP="00562D84">
            <w:pPr>
              <w:keepNext/>
              <w:spacing w:after="0"/>
              <w:ind w:right="57"/>
              <w:jc w:val="right"/>
              <w:rPr>
                <w:rFonts w:eastAsia="Calibri" w:cs="Calibri"/>
                <w:color w:val="000000"/>
                <w:sz w:val="17"/>
                <w:szCs w:val="17"/>
              </w:rPr>
            </w:pPr>
            <w:r w:rsidRPr="00562D84">
              <w:rPr>
                <w:rFonts w:cs="Calibri"/>
                <w:color w:val="000000"/>
                <w:sz w:val="17"/>
                <w:szCs w:val="17"/>
              </w:rPr>
              <w:t>90,01</w:t>
            </w:r>
            <w:r w:rsidR="00FC7BFA">
              <w:rPr>
                <w:rFonts w:cs="Calibri"/>
                <w:color w:val="000000"/>
                <w:sz w:val="17"/>
                <w:szCs w:val="17"/>
              </w:rPr>
              <w:t> </w:t>
            </w:r>
            <w:r w:rsidRPr="00562D84">
              <w:rPr>
                <w:rFonts w:cs="Calibri"/>
                <w:color w:val="000000"/>
                <w:sz w:val="17"/>
                <w:szCs w:val="17"/>
              </w:rPr>
              <w:t>%</w:t>
            </w:r>
          </w:p>
        </w:tc>
      </w:tr>
      <w:tr w:rsidR="00B57597" w:rsidRPr="00562D84" w14:paraId="506647BB" w14:textId="77777777" w:rsidTr="00283183">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367E8" w14:textId="77777777" w:rsidR="00B57597" w:rsidRPr="00562D84" w:rsidRDefault="00B57597" w:rsidP="00562D84">
            <w:pPr>
              <w:keepNext/>
              <w:spacing w:after="0"/>
              <w:rPr>
                <w:rFonts w:eastAsia="Calibri" w:cs="Calibri"/>
                <w:i/>
                <w:color w:val="000000"/>
                <w:sz w:val="17"/>
                <w:szCs w:val="17"/>
              </w:rPr>
            </w:pPr>
            <w:r w:rsidRPr="00562D84">
              <w:rPr>
                <w:rFonts w:cs="Calibri"/>
                <w:color w:val="000000"/>
                <w:sz w:val="17"/>
                <w:szCs w:val="17"/>
              </w:rPr>
              <w:t>A.III.1.</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4F45FF27" w14:textId="77777777" w:rsidR="00B57597" w:rsidRPr="00562D84" w:rsidRDefault="00B57597" w:rsidP="00980596">
            <w:pPr>
              <w:keepNext/>
              <w:spacing w:after="0"/>
              <w:rPr>
                <w:rFonts w:eastAsia="Calibri" w:cs="Calibri"/>
                <w:i/>
                <w:color w:val="000000"/>
                <w:sz w:val="17"/>
                <w:szCs w:val="17"/>
              </w:rPr>
            </w:pPr>
            <w:r w:rsidRPr="00562D84">
              <w:rPr>
                <w:rFonts w:cs="Calibri"/>
                <w:color w:val="000000"/>
                <w:sz w:val="17"/>
                <w:szCs w:val="17"/>
              </w:rPr>
              <w:t>Náklady vybraných ústředních vládních institucí na transfery</w:t>
            </w:r>
          </w:p>
        </w:tc>
        <w:tc>
          <w:tcPr>
            <w:tcW w:w="454" w:type="dxa"/>
            <w:tcBorders>
              <w:top w:val="single" w:sz="4" w:space="0" w:color="auto"/>
              <w:left w:val="nil"/>
              <w:bottom w:val="single" w:sz="4" w:space="0" w:color="auto"/>
              <w:right w:val="single" w:sz="4" w:space="0" w:color="auto"/>
            </w:tcBorders>
            <w:vAlign w:val="center"/>
          </w:tcPr>
          <w:p w14:paraId="4B5A6D22" w14:textId="77777777" w:rsidR="00B57597" w:rsidRPr="00562D84" w:rsidRDefault="00B57597" w:rsidP="00980596">
            <w:pPr>
              <w:keepNext/>
              <w:spacing w:after="0"/>
              <w:jc w:val="center"/>
              <w:rPr>
                <w:rFonts w:eastAsia="Calibri" w:cs="Calibri"/>
                <w:i/>
                <w:color w:val="000000"/>
                <w:sz w:val="17"/>
                <w:szCs w:val="17"/>
              </w:rPr>
            </w:pPr>
            <w:r w:rsidRPr="00562D84">
              <w:rPr>
                <w:rFonts w:cs="Calibri"/>
                <w:color w:val="000000"/>
                <w:sz w:val="17"/>
                <w:szCs w:val="17"/>
              </w:rPr>
              <w:t>571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995C1" w14:textId="77777777" w:rsidR="00B57597" w:rsidRPr="00562D84" w:rsidRDefault="00B57597" w:rsidP="00980596">
            <w:pPr>
              <w:keepNext/>
              <w:spacing w:after="0"/>
              <w:jc w:val="right"/>
              <w:rPr>
                <w:rFonts w:eastAsia="Calibri" w:cs="Calibri"/>
                <w:i/>
                <w:color w:val="000000"/>
                <w:sz w:val="17"/>
                <w:szCs w:val="17"/>
              </w:rPr>
            </w:pPr>
            <w:r w:rsidRPr="00562D84">
              <w:rPr>
                <w:rFonts w:cs="Calibri"/>
                <w:color w:val="000000"/>
                <w:sz w:val="17"/>
                <w:szCs w:val="17"/>
              </w:rPr>
              <w:t>33 296 945 836,45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B92F63C" w14:textId="77777777" w:rsidR="00B57597" w:rsidRPr="00562D84" w:rsidRDefault="00B57597" w:rsidP="00980596">
            <w:pPr>
              <w:keepNext/>
              <w:spacing w:after="0"/>
              <w:jc w:val="right"/>
              <w:rPr>
                <w:rFonts w:eastAsia="Calibri" w:cs="Calibri"/>
                <w:i/>
                <w:color w:val="000000"/>
                <w:sz w:val="17"/>
                <w:szCs w:val="17"/>
              </w:rPr>
            </w:pPr>
            <w:r w:rsidRPr="00562D84">
              <w:rPr>
                <w:rFonts w:cs="Calibri"/>
                <w:color w:val="000000"/>
                <w:sz w:val="17"/>
                <w:szCs w:val="17"/>
              </w:rPr>
              <w:t>39 224 267 532,83</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2FFD55EE" w14:textId="034F0D1E" w:rsidR="00B57597" w:rsidRPr="00562D84" w:rsidRDefault="00B57597" w:rsidP="00562D84">
            <w:pPr>
              <w:keepNext/>
              <w:spacing w:after="0"/>
              <w:ind w:right="57"/>
              <w:jc w:val="right"/>
              <w:rPr>
                <w:rFonts w:eastAsia="Calibri" w:cs="Calibri"/>
                <w:i/>
                <w:color w:val="000000"/>
                <w:sz w:val="17"/>
                <w:szCs w:val="17"/>
              </w:rPr>
            </w:pPr>
            <w:r w:rsidRPr="00562D84">
              <w:rPr>
                <w:rFonts w:cs="Calibri"/>
                <w:color w:val="000000"/>
                <w:sz w:val="17"/>
                <w:szCs w:val="17"/>
              </w:rPr>
              <w:t>76,50</w:t>
            </w:r>
            <w:r w:rsidR="00BB0A48">
              <w:rPr>
                <w:rFonts w:cs="Calibri"/>
                <w:color w:val="000000"/>
                <w:sz w:val="17"/>
                <w:szCs w:val="17"/>
              </w:rPr>
              <w:t> </w:t>
            </w:r>
            <w:r w:rsidRPr="00562D84">
              <w:rPr>
                <w:rFonts w:cs="Calibri"/>
                <w:color w:val="000000"/>
                <w:sz w:val="17"/>
                <w:szCs w:val="17"/>
              </w:rPr>
              <w:t>%</w:t>
            </w:r>
          </w:p>
        </w:tc>
        <w:tc>
          <w:tcPr>
            <w:tcW w:w="964" w:type="dxa"/>
            <w:tcBorders>
              <w:top w:val="single" w:sz="4" w:space="0" w:color="auto"/>
              <w:left w:val="nil"/>
              <w:bottom w:val="single" w:sz="4" w:space="0" w:color="auto"/>
              <w:right w:val="single" w:sz="4" w:space="0" w:color="auto"/>
            </w:tcBorders>
            <w:vAlign w:val="center"/>
          </w:tcPr>
          <w:p w14:paraId="24D66826" w14:textId="2896A9A4" w:rsidR="00B57597" w:rsidRPr="00562D84" w:rsidRDefault="00B57597" w:rsidP="00562D84">
            <w:pPr>
              <w:keepNext/>
              <w:spacing w:after="0"/>
              <w:ind w:right="57"/>
              <w:jc w:val="right"/>
              <w:rPr>
                <w:rFonts w:eastAsia="Calibri" w:cs="Calibri"/>
                <w:i/>
                <w:color w:val="000000"/>
                <w:sz w:val="17"/>
                <w:szCs w:val="17"/>
              </w:rPr>
            </w:pPr>
            <w:r w:rsidRPr="00562D84">
              <w:rPr>
                <w:rFonts w:cs="Calibri"/>
                <w:color w:val="000000"/>
                <w:sz w:val="17"/>
                <w:szCs w:val="17"/>
              </w:rPr>
              <w:t>69,90</w:t>
            </w:r>
            <w:r w:rsidR="00FC7BFA">
              <w:rPr>
                <w:rFonts w:cs="Calibri"/>
                <w:color w:val="000000"/>
                <w:sz w:val="17"/>
                <w:szCs w:val="17"/>
              </w:rPr>
              <w:t> </w:t>
            </w:r>
            <w:r w:rsidRPr="00562D84">
              <w:rPr>
                <w:rFonts w:cs="Calibri"/>
                <w:color w:val="000000"/>
                <w:sz w:val="17"/>
                <w:szCs w:val="17"/>
              </w:rPr>
              <w:t>%</w:t>
            </w:r>
          </w:p>
        </w:tc>
      </w:tr>
      <w:tr w:rsidR="00B57597" w:rsidRPr="00562D84" w14:paraId="5A08038E" w14:textId="77777777" w:rsidTr="00283183">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AA72C" w14:textId="77777777" w:rsidR="00B57597" w:rsidRPr="00562D84" w:rsidRDefault="00B57597" w:rsidP="00562D84">
            <w:pPr>
              <w:keepNext/>
              <w:spacing w:after="0"/>
              <w:rPr>
                <w:rFonts w:eastAsia="Calibri" w:cs="Calibri"/>
                <w:i/>
                <w:color w:val="000000"/>
                <w:sz w:val="17"/>
                <w:szCs w:val="17"/>
              </w:rPr>
            </w:pPr>
            <w:r w:rsidRPr="00562D84">
              <w:rPr>
                <w:rFonts w:cs="Calibri"/>
                <w:color w:val="000000"/>
                <w:sz w:val="17"/>
                <w:szCs w:val="17"/>
              </w:rPr>
              <w:t>A.III.3.</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254C45D0" w14:textId="77777777" w:rsidR="00B57597" w:rsidRPr="00562D84" w:rsidRDefault="00B57597" w:rsidP="00980596">
            <w:pPr>
              <w:keepNext/>
              <w:spacing w:after="0"/>
              <w:rPr>
                <w:rFonts w:eastAsia="Calibri" w:cs="Calibri"/>
                <w:i/>
                <w:color w:val="000000"/>
                <w:sz w:val="17"/>
                <w:szCs w:val="17"/>
              </w:rPr>
            </w:pPr>
            <w:r w:rsidRPr="00562D84">
              <w:rPr>
                <w:rFonts w:cs="Calibri"/>
                <w:color w:val="000000"/>
                <w:sz w:val="17"/>
                <w:szCs w:val="17"/>
              </w:rPr>
              <w:t>Náklady vybraných ústředních vládních institucí na předfinancování transferů</w:t>
            </w:r>
          </w:p>
        </w:tc>
        <w:tc>
          <w:tcPr>
            <w:tcW w:w="454" w:type="dxa"/>
            <w:tcBorders>
              <w:top w:val="single" w:sz="4" w:space="0" w:color="auto"/>
              <w:left w:val="nil"/>
              <w:bottom w:val="single" w:sz="4" w:space="0" w:color="auto"/>
              <w:right w:val="single" w:sz="4" w:space="0" w:color="auto"/>
            </w:tcBorders>
            <w:vAlign w:val="center"/>
          </w:tcPr>
          <w:p w14:paraId="7A1EF5BB" w14:textId="77777777" w:rsidR="00B57597" w:rsidRPr="00562D84" w:rsidRDefault="00B57597" w:rsidP="00980596">
            <w:pPr>
              <w:keepNext/>
              <w:spacing w:after="0"/>
              <w:jc w:val="center"/>
              <w:rPr>
                <w:rFonts w:eastAsia="Calibri" w:cs="Calibri"/>
                <w:i/>
                <w:color w:val="000000"/>
                <w:sz w:val="17"/>
                <w:szCs w:val="17"/>
              </w:rPr>
            </w:pPr>
            <w:r w:rsidRPr="00562D84">
              <w:rPr>
                <w:rFonts w:cs="Calibri"/>
                <w:color w:val="000000"/>
                <w:sz w:val="17"/>
                <w:szCs w:val="17"/>
              </w:rPr>
              <w:t>575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5F77B" w14:textId="77777777" w:rsidR="00B57597" w:rsidRPr="00562D84" w:rsidRDefault="00B57597" w:rsidP="00980596">
            <w:pPr>
              <w:keepNext/>
              <w:spacing w:after="0"/>
              <w:jc w:val="right"/>
              <w:rPr>
                <w:rFonts w:eastAsia="Calibri" w:cs="Calibri"/>
                <w:i/>
                <w:color w:val="000000"/>
                <w:sz w:val="17"/>
                <w:szCs w:val="17"/>
              </w:rPr>
            </w:pPr>
            <w:r w:rsidRPr="00562D84">
              <w:rPr>
                <w:rFonts w:cs="Calibri"/>
                <w:color w:val="000000"/>
                <w:sz w:val="17"/>
                <w:szCs w:val="17"/>
              </w:rPr>
              <w:t>8 561 875 908,96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5B3D692" w14:textId="77777777" w:rsidR="00B57597" w:rsidRPr="00562D84" w:rsidRDefault="00B57597" w:rsidP="00980596">
            <w:pPr>
              <w:keepNext/>
              <w:spacing w:after="0"/>
              <w:jc w:val="right"/>
              <w:rPr>
                <w:rFonts w:eastAsia="Calibri" w:cs="Calibri"/>
                <w:i/>
                <w:color w:val="000000"/>
                <w:sz w:val="17"/>
                <w:szCs w:val="17"/>
              </w:rPr>
            </w:pPr>
            <w:r w:rsidRPr="00562D84">
              <w:rPr>
                <w:rFonts w:cs="Calibri"/>
                <w:color w:val="000000"/>
                <w:sz w:val="17"/>
                <w:szCs w:val="17"/>
              </w:rPr>
              <w:t>11 286 322 409,79</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2F3B4AF3" w14:textId="0AB6DAE5" w:rsidR="00B57597" w:rsidRPr="00562D84" w:rsidRDefault="00B57597" w:rsidP="00562D84">
            <w:pPr>
              <w:keepNext/>
              <w:spacing w:after="0"/>
              <w:ind w:right="57"/>
              <w:jc w:val="right"/>
              <w:rPr>
                <w:rFonts w:eastAsia="Calibri" w:cs="Calibri"/>
                <w:i/>
                <w:color w:val="000000"/>
                <w:sz w:val="17"/>
                <w:szCs w:val="17"/>
              </w:rPr>
            </w:pPr>
            <w:r w:rsidRPr="00562D84">
              <w:rPr>
                <w:rFonts w:cs="Calibri"/>
                <w:color w:val="000000"/>
                <w:sz w:val="17"/>
                <w:szCs w:val="17"/>
              </w:rPr>
              <w:t>19,67</w:t>
            </w:r>
            <w:r w:rsidR="00BB0A48">
              <w:rPr>
                <w:rFonts w:cs="Calibri"/>
                <w:color w:val="000000"/>
                <w:sz w:val="17"/>
                <w:szCs w:val="17"/>
              </w:rPr>
              <w:t> </w:t>
            </w:r>
            <w:r w:rsidRPr="00562D84">
              <w:rPr>
                <w:rFonts w:cs="Calibri"/>
                <w:color w:val="000000"/>
                <w:sz w:val="17"/>
                <w:szCs w:val="17"/>
              </w:rPr>
              <w:t>%</w:t>
            </w:r>
          </w:p>
        </w:tc>
        <w:tc>
          <w:tcPr>
            <w:tcW w:w="964" w:type="dxa"/>
            <w:tcBorders>
              <w:top w:val="single" w:sz="4" w:space="0" w:color="auto"/>
              <w:left w:val="nil"/>
              <w:bottom w:val="single" w:sz="4" w:space="0" w:color="auto"/>
              <w:right w:val="single" w:sz="4" w:space="0" w:color="auto"/>
            </w:tcBorders>
            <w:vAlign w:val="center"/>
          </w:tcPr>
          <w:p w14:paraId="10B710B1" w14:textId="36F6BC3D" w:rsidR="00B57597" w:rsidRPr="00562D84" w:rsidRDefault="00B57597" w:rsidP="00562D84">
            <w:pPr>
              <w:keepNext/>
              <w:spacing w:after="0"/>
              <w:ind w:right="57"/>
              <w:jc w:val="right"/>
              <w:rPr>
                <w:rFonts w:eastAsia="Calibri" w:cs="Calibri"/>
                <w:i/>
                <w:color w:val="000000"/>
                <w:sz w:val="17"/>
                <w:szCs w:val="17"/>
              </w:rPr>
            </w:pPr>
            <w:r w:rsidRPr="00562D84">
              <w:rPr>
                <w:rFonts w:cs="Calibri"/>
                <w:color w:val="000000"/>
                <w:sz w:val="17"/>
                <w:szCs w:val="17"/>
              </w:rPr>
              <w:t>20,11</w:t>
            </w:r>
            <w:r w:rsidR="00FC7BFA">
              <w:rPr>
                <w:rFonts w:cs="Calibri"/>
                <w:color w:val="000000"/>
                <w:sz w:val="17"/>
                <w:szCs w:val="17"/>
              </w:rPr>
              <w:t> </w:t>
            </w:r>
            <w:r w:rsidRPr="00562D84">
              <w:rPr>
                <w:rFonts w:cs="Calibri"/>
                <w:color w:val="000000"/>
                <w:sz w:val="17"/>
                <w:szCs w:val="17"/>
              </w:rPr>
              <w:t>%</w:t>
            </w:r>
          </w:p>
        </w:tc>
      </w:tr>
      <w:tr w:rsidR="00B57597" w:rsidRPr="00562D84" w14:paraId="648A08D0" w14:textId="77777777" w:rsidTr="00283183">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D53B4" w14:textId="77777777" w:rsidR="00B57597" w:rsidRPr="00562D84" w:rsidRDefault="00B57597" w:rsidP="00562D84">
            <w:pPr>
              <w:keepNext/>
              <w:spacing w:after="0"/>
              <w:rPr>
                <w:rFonts w:eastAsia="Calibri" w:cs="Calibri"/>
                <w:color w:val="000000"/>
                <w:sz w:val="17"/>
                <w:szCs w:val="17"/>
              </w:rPr>
            </w:pPr>
            <w:r w:rsidRPr="00562D84">
              <w:rPr>
                <w:rFonts w:cs="Calibri"/>
                <w:color w:val="000000"/>
                <w:sz w:val="17"/>
                <w:szCs w:val="17"/>
              </w:rPr>
              <w:t>A.IV.</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6300D031" w14:textId="77777777" w:rsidR="00B57597" w:rsidRPr="00562D84" w:rsidRDefault="00B57597" w:rsidP="00980596">
            <w:pPr>
              <w:keepNext/>
              <w:spacing w:after="0"/>
              <w:rPr>
                <w:rFonts w:eastAsia="Calibri" w:cs="Calibri"/>
                <w:color w:val="000000"/>
                <w:sz w:val="17"/>
                <w:szCs w:val="17"/>
              </w:rPr>
            </w:pPr>
            <w:r w:rsidRPr="00562D84">
              <w:rPr>
                <w:rFonts w:cs="Calibri"/>
                <w:color w:val="000000"/>
                <w:sz w:val="17"/>
                <w:szCs w:val="17"/>
              </w:rPr>
              <w:t>Náklady ze sdílených daní a poplatků</w:t>
            </w:r>
          </w:p>
        </w:tc>
        <w:tc>
          <w:tcPr>
            <w:tcW w:w="454" w:type="dxa"/>
            <w:tcBorders>
              <w:top w:val="single" w:sz="4" w:space="0" w:color="auto"/>
              <w:left w:val="nil"/>
              <w:bottom w:val="single" w:sz="4" w:space="0" w:color="auto"/>
              <w:right w:val="single" w:sz="4" w:space="0" w:color="auto"/>
            </w:tcBorders>
            <w:vAlign w:val="center"/>
          </w:tcPr>
          <w:p w14:paraId="313FE3A9" w14:textId="77777777" w:rsidR="00B57597" w:rsidRPr="00562D84" w:rsidRDefault="00B57597" w:rsidP="00980596">
            <w:pPr>
              <w:keepNext/>
              <w:spacing w:after="0"/>
              <w:jc w:val="center"/>
              <w:rPr>
                <w:rFonts w:eastAsia="Calibri" w:cs="Calibri"/>
                <w:color w:val="000000"/>
                <w:sz w:val="17"/>
                <w:szCs w:val="17"/>
              </w:rPr>
            </w:pPr>
            <w:r w:rsidRPr="00562D84">
              <w:rPr>
                <w:rFonts w:cs="Calibri"/>
                <w:color w:val="000000"/>
                <w:sz w:val="17"/>
                <w:szCs w:val="17"/>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D92FF" w14:textId="77777777" w:rsidR="00B57597" w:rsidRPr="00562D84" w:rsidRDefault="00B57597" w:rsidP="00980596">
            <w:pPr>
              <w:keepNext/>
              <w:spacing w:after="0"/>
              <w:jc w:val="right"/>
              <w:rPr>
                <w:rFonts w:eastAsia="Calibri" w:cs="Calibri"/>
                <w:color w:val="000000"/>
                <w:sz w:val="17"/>
                <w:szCs w:val="17"/>
              </w:rPr>
            </w:pPr>
            <w:r w:rsidRPr="00562D84">
              <w:rPr>
                <w:rFonts w:cs="Calibri"/>
                <w:color w:val="000000"/>
                <w:sz w:val="17"/>
                <w:szCs w:val="17"/>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CD4136" w14:textId="77777777" w:rsidR="00B57597" w:rsidRPr="00562D84" w:rsidRDefault="00B57597" w:rsidP="00980596">
            <w:pPr>
              <w:keepNext/>
              <w:spacing w:after="0"/>
              <w:jc w:val="right"/>
              <w:rPr>
                <w:rFonts w:eastAsia="Calibri" w:cs="Calibri"/>
                <w:color w:val="000000"/>
                <w:sz w:val="17"/>
                <w:szCs w:val="17"/>
              </w:rPr>
            </w:pPr>
            <w:r w:rsidRPr="00562D84">
              <w:rPr>
                <w:rFonts w:cs="Calibri"/>
                <w:color w:val="000000"/>
                <w:sz w:val="17"/>
                <w:szCs w:val="17"/>
              </w:rPr>
              <w:t>0</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274BA922" w14:textId="23F83001" w:rsidR="00B57597" w:rsidRPr="00562D84" w:rsidRDefault="00B57597" w:rsidP="00562D84">
            <w:pPr>
              <w:keepNext/>
              <w:spacing w:after="0"/>
              <w:ind w:right="57"/>
              <w:jc w:val="right"/>
              <w:rPr>
                <w:rFonts w:eastAsia="Calibri" w:cs="Calibri"/>
                <w:color w:val="000000"/>
                <w:sz w:val="17"/>
                <w:szCs w:val="17"/>
              </w:rPr>
            </w:pPr>
            <w:r w:rsidRPr="00562D84">
              <w:rPr>
                <w:rFonts w:cs="Calibri"/>
                <w:color w:val="000000"/>
                <w:sz w:val="17"/>
                <w:szCs w:val="17"/>
              </w:rPr>
              <w:t>0,00</w:t>
            </w:r>
            <w:r w:rsidR="00BB0A48">
              <w:rPr>
                <w:rFonts w:cs="Calibri"/>
                <w:color w:val="000000"/>
                <w:sz w:val="17"/>
                <w:szCs w:val="17"/>
              </w:rPr>
              <w:t> </w:t>
            </w:r>
            <w:r w:rsidRPr="00562D84">
              <w:rPr>
                <w:rFonts w:cs="Calibri"/>
                <w:color w:val="000000"/>
                <w:sz w:val="17"/>
                <w:szCs w:val="17"/>
              </w:rPr>
              <w:t>%</w:t>
            </w:r>
          </w:p>
        </w:tc>
        <w:tc>
          <w:tcPr>
            <w:tcW w:w="964" w:type="dxa"/>
            <w:tcBorders>
              <w:top w:val="single" w:sz="4" w:space="0" w:color="auto"/>
              <w:left w:val="nil"/>
              <w:bottom w:val="single" w:sz="4" w:space="0" w:color="auto"/>
              <w:right w:val="single" w:sz="4" w:space="0" w:color="auto"/>
            </w:tcBorders>
            <w:vAlign w:val="center"/>
          </w:tcPr>
          <w:p w14:paraId="1CA44223" w14:textId="32A04AD3" w:rsidR="00B57597" w:rsidRPr="00562D84" w:rsidRDefault="00B57597" w:rsidP="00562D84">
            <w:pPr>
              <w:keepNext/>
              <w:spacing w:after="0"/>
              <w:ind w:right="57"/>
              <w:jc w:val="right"/>
              <w:rPr>
                <w:rFonts w:eastAsia="Calibri" w:cs="Calibri"/>
                <w:color w:val="000000"/>
                <w:sz w:val="17"/>
                <w:szCs w:val="17"/>
              </w:rPr>
            </w:pPr>
            <w:r w:rsidRPr="00562D84">
              <w:rPr>
                <w:rFonts w:cs="Calibri"/>
                <w:color w:val="000000"/>
                <w:sz w:val="17"/>
                <w:szCs w:val="17"/>
              </w:rPr>
              <w:t>0,00</w:t>
            </w:r>
            <w:r w:rsidR="00FC7BFA">
              <w:rPr>
                <w:rFonts w:cs="Calibri"/>
                <w:color w:val="000000"/>
                <w:sz w:val="17"/>
                <w:szCs w:val="17"/>
              </w:rPr>
              <w:t> </w:t>
            </w:r>
            <w:r w:rsidRPr="00562D84">
              <w:rPr>
                <w:rFonts w:cs="Calibri"/>
                <w:color w:val="000000"/>
                <w:sz w:val="17"/>
                <w:szCs w:val="17"/>
              </w:rPr>
              <w:t>%</w:t>
            </w:r>
          </w:p>
        </w:tc>
      </w:tr>
      <w:tr w:rsidR="00B57597" w:rsidRPr="00562D84" w14:paraId="7205DE49" w14:textId="77777777" w:rsidTr="00283183">
        <w:trPr>
          <w:trHeight w:val="255"/>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0F413" w14:textId="77777777" w:rsidR="00B57597" w:rsidRPr="00562D84" w:rsidRDefault="00B57597" w:rsidP="00562D84">
            <w:pPr>
              <w:keepNext/>
              <w:spacing w:after="0"/>
              <w:rPr>
                <w:rFonts w:eastAsia="Calibri" w:cs="Calibri"/>
                <w:color w:val="000000"/>
                <w:sz w:val="17"/>
                <w:szCs w:val="17"/>
              </w:rPr>
            </w:pPr>
            <w:r w:rsidRPr="00562D84">
              <w:rPr>
                <w:rFonts w:cs="Calibri"/>
                <w:color w:val="000000"/>
                <w:sz w:val="17"/>
                <w:szCs w:val="17"/>
              </w:rPr>
              <w:t>A.V.</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54202E94" w14:textId="77777777" w:rsidR="00B57597" w:rsidRPr="00562D84" w:rsidRDefault="00B57597" w:rsidP="00980596">
            <w:pPr>
              <w:keepNext/>
              <w:spacing w:after="0"/>
              <w:rPr>
                <w:rFonts w:eastAsia="Calibri" w:cs="Calibri"/>
                <w:color w:val="000000"/>
                <w:sz w:val="17"/>
                <w:szCs w:val="17"/>
              </w:rPr>
            </w:pPr>
            <w:r w:rsidRPr="00562D84">
              <w:rPr>
                <w:rFonts w:cs="Calibri"/>
                <w:color w:val="000000"/>
                <w:sz w:val="17"/>
                <w:szCs w:val="17"/>
              </w:rPr>
              <w:t>Daň z příjmů</w:t>
            </w:r>
          </w:p>
        </w:tc>
        <w:tc>
          <w:tcPr>
            <w:tcW w:w="454" w:type="dxa"/>
            <w:tcBorders>
              <w:top w:val="single" w:sz="4" w:space="0" w:color="auto"/>
              <w:left w:val="nil"/>
              <w:bottom w:val="single" w:sz="4" w:space="0" w:color="auto"/>
              <w:right w:val="single" w:sz="4" w:space="0" w:color="auto"/>
            </w:tcBorders>
            <w:vAlign w:val="center"/>
          </w:tcPr>
          <w:p w14:paraId="71A7CE03" w14:textId="77777777" w:rsidR="00B57597" w:rsidRPr="00562D84" w:rsidRDefault="00B57597" w:rsidP="00980596">
            <w:pPr>
              <w:keepNext/>
              <w:spacing w:after="0"/>
              <w:jc w:val="center"/>
              <w:rPr>
                <w:rFonts w:eastAsia="Calibri" w:cs="Calibri"/>
                <w:color w:val="000000"/>
                <w:sz w:val="17"/>
                <w:szCs w:val="17"/>
              </w:rPr>
            </w:pPr>
            <w:r w:rsidRPr="00562D84">
              <w:rPr>
                <w:rFonts w:cs="Calibri"/>
                <w:color w:val="000000"/>
                <w:sz w:val="17"/>
                <w:szCs w:val="17"/>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738A8" w14:textId="77777777" w:rsidR="00B57597" w:rsidRPr="00562D84" w:rsidRDefault="00B57597" w:rsidP="00980596">
            <w:pPr>
              <w:keepNext/>
              <w:spacing w:after="0"/>
              <w:jc w:val="right"/>
              <w:rPr>
                <w:rFonts w:eastAsia="Calibri" w:cs="Calibri"/>
                <w:color w:val="000000"/>
                <w:sz w:val="17"/>
                <w:szCs w:val="17"/>
              </w:rPr>
            </w:pPr>
            <w:r w:rsidRPr="00562D84">
              <w:rPr>
                <w:rFonts w:cs="Calibri"/>
                <w:color w:val="000000"/>
                <w:sz w:val="17"/>
                <w:szCs w:val="17"/>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D6570B4" w14:textId="77777777" w:rsidR="00B57597" w:rsidRPr="00562D84" w:rsidRDefault="00B57597" w:rsidP="00980596">
            <w:pPr>
              <w:keepNext/>
              <w:spacing w:after="0"/>
              <w:jc w:val="right"/>
              <w:rPr>
                <w:rFonts w:eastAsia="Calibri" w:cs="Calibri"/>
                <w:color w:val="000000"/>
                <w:sz w:val="17"/>
                <w:szCs w:val="17"/>
              </w:rPr>
            </w:pPr>
            <w:r w:rsidRPr="00562D84">
              <w:rPr>
                <w:rFonts w:cs="Calibri"/>
                <w:color w:val="000000"/>
                <w:sz w:val="17"/>
                <w:szCs w:val="17"/>
              </w:rPr>
              <w:t>0</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77A183E7" w14:textId="0356524D" w:rsidR="00B57597" w:rsidRPr="00562D84" w:rsidRDefault="00B57597" w:rsidP="00562D84">
            <w:pPr>
              <w:keepNext/>
              <w:spacing w:after="0"/>
              <w:ind w:right="57"/>
              <w:jc w:val="right"/>
              <w:rPr>
                <w:rFonts w:eastAsia="Calibri" w:cs="Calibri"/>
                <w:color w:val="000000"/>
                <w:sz w:val="17"/>
                <w:szCs w:val="17"/>
              </w:rPr>
            </w:pPr>
            <w:r w:rsidRPr="00562D84">
              <w:rPr>
                <w:rFonts w:cs="Calibri"/>
                <w:color w:val="000000"/>
                <w:sz w:val="17"/>
                <w:szCs w:val="17"/>
              </w:rPr>
              <w:t>0,00</w:t>
            </w:r>
            <w:r w:rsidR="00BB0A48">
              <w:rPr>
                <w:rFonts w:cs="Calibri"/>
                <w:color w:val="000000"/>
                <w:sz w:val="17"/>
                <w:szCs w:val="17"/>
              </w:rPr>
              <w:t> </w:t>
            </w:r>
            <w:r w:rsidRPr="00562D84">
              <w:rPr>
                <w:rFonts w:cs="Calibri"/>
                <w:color w:val="000000"/>
                <w:sz w:val="17"/>
                <w:szCs w:val="17"/>
              </w:rPr>
              <w:t>%</w:t>
            </w:r>
          </w:p>
        </w:tc>
        <w:tc>
          <w:tcPr>
            <w:tcW w:w="964" w:type="dxa"/>
            <w:tcBorders>
              <w:top w:val="single" w:sz="4" w:space="0" w:color="auto"/>
              <w:left w:val="nil"/>
              <w:bottom w:val="single" w:sz="4" w:space="0" w:color="auto"/>
              <w:right w:val="single" w:sz="4" w:space="0" w:color="auto"/>
            </w:tcBorders>
            <w:vAlign w:val="center"/>
          </w:tcPr>
          <w:p w14:paraId="0A4E1EF2" w14:textId="4A635240" w:rsidR="00B57597" w:rsidRPr="00562D84" w:rsidRDefault="00B57597" w:rsidP="00562D84">
            <w:pPr>
              <w:keepNext/>
              <w:spacing w:after="0"/>
              <w:ind w:right="57"/>
              <w:jc w:val="right"/>
              <w:rPr>
                <w:rFonts w:eastAsia="Calibri" w:cs="Calibri"/>
                <w:color w:val="000000"/>
                <w:sz w:val="17"/>
                <w:szCs w:val="17"/>
              </w:rPr>
            </w:pPr>
            <w:r w:rsidRPr="00562D84">
              <w:rPr>
                <w:rFonts w:cs="Calibri"/>
                <w:color w:val="000000"/>
                <w:sz w:val="17"/>
                <w:szCs w:val="17"/>
              </w:rPr>
              <w:t>0,00</w:t>
            </w:r>
            <w:r w:rsidR="00FC7BFA">
              <w:rPr>
                <w:rFonts w:cs="Calibri"/>
                <w:color w:val="000000"/>
                <w:sz w:val="17"/>
                <w:szCs w:val="17"/>
              </w:rPr>
              <w:t> </w:t>
            </w:r>
            <w:r w:rsidRPr="00562D84">
              <w:rPr>
                <w:rFonts w:cs="Calibri"/>
                <w:color w:val="000000"/>
                <w:sz w:val="17"/>
                <w:szCs w:val="17"/>
              </w:rPr>
              <w:t>%</w:t>
            </w:r>
          </w:p>
        </w:tc>
      </w:tr>
    </w:tbl>
    <w:p w14:paraId="662D9572" w14:textId="77777777" w:rsidR="00B57597" w:rsidRPr="00682D65" w:rsidRDefault="00B57597" w:rsidP="00B57597">
      <w:pPr>
        <w:spacing w:before="40"/>
        <w:rPr>
          <w:rFonts w:cs="Calibri"/>
          <w:color w:val="000000"/>
          <w:sz w:val="20"/>
          <w:szCs w:val="20"/>
          <w:lang w:eastAsia="cs-CZ"/>
        </w:rPr>
      </w:pPr>
      <w:r w:rsidRPr="00682D65">
        <w:rPr>
          <w:rFonts w:cs="Calibri"/>
          <w:b/>
          <w:color w:val="000000"/>
          <w:sz w:val="20"/>
          <w:szCs w:val="20"/>
          <w:lang w:eastAsia="cs-CZ"/>
        </w:rPr>
        <w:t xml:space="preserve">Zdroj: </w:t>
      </w:r>
      <w:r w:rsidRPr="00682D65">
        <w:rPr>
          <w:rFonts w:cs="Calibri"/>
          <w:color w:val="000000"/>
          <w:sz w:val="20"/>
          <w:szCs w:val="20"/>
          <w:lang w:eastAsia="cs-CZ"/>
        </w:rPr>
        <w:t>informační portál MONITOR.</w:t>
      </w:r>
    </w:p>
    <w:p w14:paraId="7DCB2B39" w14:textId="77777777" w:rsidR="00B57597" w:rsidRPr="00F335C4" w:rsidRDefault="00B57597" w:rsidP="00B57597">
      <w:pPr>
        <w:jc w:val="both"/>
        <w:rPr>
          <w:rFonts w:asciiTheme="minorHAnsi" w:hAnsiTheme="minorHAnsi" w:cstheme="minorHAnsi"/>
        </w:rPr>
      </w:pPr>
      <w:r w:rsidRPr="00F335C4">
        <w:rPr>
          <w:rFonts w:asciiTheme="minorHAnsi" w:hAnsiTheme="minorHAnsi" w:cstheme="minorHAnsi"/>
        </w:rPr>
        <w:t>Převážnou většinu všech nákladů (69,90 %) tvořily v roce 2020 náklady vybraných ústředních vládních institucí na transfery vykazované na SÚ 571, s meziročním poklesem o 6,60 p. b. Na SÚ 575 – Náklady vybraných ústředních vládních institucí na předfinancování transferů bylo vykázáno 20,11 % celkových nákladů, přičemž meziročně došlo k nárůstu podílu těchto nákladů o 0,44 p. b. Náklady z činnosti představovaly v roce 2020 pouze 9,69 % celkových nákladů a meziročně došlo k jejich nárůstu o 5,96 p. b.</w:t>
      </w:r>
    </w:p>
    <w:p w14:paraId="764630BA" w14:textId="77777777" w:rsidR="00B57597" w:rsidRPr="00B567F4" w:rsidRDefault="00B57597" w:rsidP="00B57597">
      <w:pPr>
        <w:jc w:val="both"/>
        <w:rPr>
          <w:rFonts w:asciiTheme="minorHAnsi" w:hAnsiTheme="minorHAnsi" w:cstheme="minorHAnsi"/>
          <w:highlight w:val="yellow"/>
        </w:rPr>
      </w:pPr>
    </w:p>
    <w:p w14:paraId="7DC835B2" w14:textId="77777777" w:rsidR="00B57597" w:rsidRPr="00CA56AB" w:rsidRDefault="00B57597" w:rsidP="00283183">
      <w:pPr>
        <w:pStyle w:val="Nadpis3"/>
        <w:numPr>
          <w:ilvl w:val="0"/>
          <w:numId w:val="0"/>
        </w:numPr>
        <w:spacing w:before="240" w:after="120"/>
        <w:ind w:left="720" w:hanging="720"/>
        <w:contextualSpacing w:val="0"/>
        <w:jc w:val="center"/>
      </w:pPr>
      <w:r w:rsidRPr="00CA56AB">
        <w:t>Oddíl V</w:t>
      </w:r>
      <w:r>
        <w:t>III</w:t>
      </w:r>
      <w:r w:rsidRPr="00CA56AB">
        <w:t xml:space="preserve">. </w:t>
      </w:r>
      <w:r>
        <w:t>Struktura výdajů z hlediska odvětvového u MPO v roce 2020</w:t>
      </w:r>
    </w:p>
    <w:p w14:paraId="04C0DDB0" w14:textId="4A0F86E1" w:rsidR="00B57597" w:rsidRPr="00283183" w:rsidRDefault="00B57597" w:rsidP="00B57597">
      <w:pPr>
        <w:pStyle w:val="Titulek1"/>
        <w:rPr>
          <w:sz w:val="24"/>
        </w:rPr>
      </w:pPr>
      <w:bookmarkStart w:id="112" w:name="_Toc520714344"/>
      <w:bookmarkStart w:id="113" w:name="_Toc8984551"/>
      <w:bookmarkStart w:id="114" w:name="_Toc72157469"/>
      <w:r w:rsidRPr="00283183">
        <w:rPr>
          <w:sz w:val="24"/>
        </w:rPr>
        <w:t xml:space="preserve">Tabulka č. </w:t>
      </w:r>
      <w:r w:rsidR="005F2931" w:rsidRPr="00283183">
        <w:rPr>
          <w:sz w:val="24"/>
        </w:rPr>
        <w:fldChar w:fldCharType="begin"/>
      </w:r>
      <w:r w:rsidR="005F2931" w:rsidRPr="00283183">
        <w:rPr>
          <w:sz w:val="24"/>
        </w:rPr>
        <w:instrText xml:space="preserve"> SEQ Tabulka \* ARABIC </w:instrText>
      </w:r>
      <w:r w:rsidR="005F2931" w:rsidRPr="00283183">
        <w:rPr>
          <w:sz w:val="24"/>
        </w:rPr>
        <w:fldChar w:fldCharType="separate"/>
      </w:r>
      <w:r w:rsidR="00E544AA">
        <w:rPr>
          <w:noProof/>
          <w:sz w:val="24"/>
        </w:rPr>
        <w:t>34</w:t>
      </w:r>
      <w:r w:rsidR="005F2931" w:rsidRPr="00283183">
        <w:rPr>
          <w:noProof/>
          <w:sz w:val="24"/>
        </w:rPr>
        <w:fldChar w:fldCharType="end"/>
      </w:r>
      <w:r w:rsidRPr="00283183">
        <w:rPr>
          <w:sz w:val="24"/>
        </w:rPr>
        <w:t>: Struktura výdajů MPO v roce 2020 z hlediska odvětvového třídění</w:t>
      </w:r>
      <w:bookmarkEnd w:id="112"/>
      <w:bookmarkEnd w:id="113"/>
      <w:bookmarkEnd w:id="114"/>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1928"/>
        <w:gridCol w:w="1928"/>
        <w:gridCol w:w="1984"/>
        <w:gridCol w:w="2041"/>
      </w:tblGrid>
      <w:tr w:rsidR="00B35432" w:rsidRPr="0000214D" w14:paraId="55C164E0" w14:textId="77777777" w:rsidTr="00B35432">
        <w:trPr>
          <w:trHeight w:val="255"/>
          <w:tblHeader/>
          <w:jc w:val="center"/>
        </w:trPr>
        <w:tc>
          <w:tcPr>
            <w:tcW w:w="1134" w:type="dxa"/>
            <w:shd w:val="clear" w:color="auto" w:fill="E5F1FF"/>
            <w:vAlign w:val="center"/>
          </w:tcPr>
          <w:p w14:paraId="76054B54" w14:textId="77777777" w:rsidR="00B57597" w:rsidRPr="0000214D" w:rsidRDefault="00B57597" w:rsidP="0000214D">
            <w:pPr>
              <w:spacing w:after="0"/>
              <w:jc w:val="center"/>
              <w:rPr>
                <w:rFonts w:cs="Calibri"/>
                <w:b/>
                <w:bCs/>
                <w:color w:val="000000"/>
                <w:sz w:val="20"/>
                <w:szCs w:val="20"/>
                <w:lang w:eastAsia="cs-CZ"/>
              </w:rPr>
            </w:pPr>
            <w:r w:rsidRPr="0000214D">
              <w:rPr>
                <w:rFonts w:cs="Calibri"/>
                <w:b/>
                <w:bCs/>
                <w:color w:val="000000"/>
                <w:sz w:val="20"/>
                <w:szCs w:val="20"/>
                <w:lang w:eastAsia="cs-CZ"/>
              </w:rPr>
              <w:t>Rozpočtový paragraf</w:t>
            </w:r>
          </w:p>
        </w:tc>
        <w:tc>
          <w:tcPr>
            <w:tcW w:w="1928" w:type="dxa"/>
            <w:shd w:val="clear" w:color="auto" w:fill="E5F1FF"/>
            <w:noWrap/>
            <w:vAlign w:val="center"/>
          </w:tcPr>
          <w:p w14:paraId="4427BDAB" w14:textId="77777777" w:rsidR="00B57597" w:rsidRPr="0000214D" w:rsidRDefault="00B57597" w:rsidP="0000214D">
            <w:pPr>
              <w:spacing w:after="0"/>
              <w:jc w:val="center"/>
              <w:rPr>
                <w:rFonts w:cs="Calibri"/>
                <w:b/>
                <w:bCs/>
                <w:color w:val="000000"/>
                <w:sz w:val="20"/>
                <w:szCs w:val="20"/>
                <w:lang w:eastAsia="cs-CZ"/>
              </w:rPr>
            </w:pPr>
            <w:r w:rsidRPr="0000214D">
              <w:rPr>
                <w:rFonts w:cs="Calibri"/>
                <w:b/>
                <w:bCs/>
                <w:color w:val="000000"/>
                <w:sz w:val="20"/>
                <w:szCs w:val="20"/>
                <w:lang w:eastAsia="cs-CZ"/>
              </w:rPr>
              <w:t>Schválený rozpočet (v Kč)</w:t>
            </w:r>
          </w:p>
        </w:tc>
        <w:tc>
          <w:tcPr>
            <w:tcW w:w="1928" w:type="dxa"/>
            <w:shd w:val="clear" w:color="auto" w:fill="E5F1FF"/>
            <w:noWrap/>
            <w:vAlign w:val="center"/>
          </w:tcPr>
          <w:p w14:paraId="43A40F2E" w14:textId="77777777" w:rsidR="00B57597" w:rsidRPr="0000214D" w:rsidRDefault="00B57597" w:rsidP="0000214D">
            <w:pPr>
              <w:spacing w:after="0"/>
              <w:jc w:val="center"/>
              <w:rPr>
                <w:rFonts w:cs="Calibri"/>
                <w:b/>
                <w:bCs/>
                <w:color w:val="000000"/>
                <w:sz w:val="20"/>
                <w:szCs w:val="20"/>
                <w:lang w:eastAsia="cs-CZ"/>
              </w:rPr>
            </w:pPr>
            <w:r w:rsidRPr="0000214D">
              <w:rPr>
                <w:rFonts w:cs="Calibri"/>
                <w:b/>
                <w:bCs/>
                <w:color w:val="000000"/>
                <w:sz w:val="20"/>
                <w:szCs w:val="20"/>
                <w:lang w:eastAsia="cs-CZ"/>
              </w:rPr>
              <w:t>Skutečnost (v Kč)</w:t>
            </w:r>
          </w:p>
        </w:tc>
        <w:tc>
          <w:tcPr>
            <w:tcW w:w="1984" w:type="dxa"/>
            <w:shd w:val="clear" w:color="auto" w:fill="E5F1FF"/>
            <w:noWrap/>
            <w:vAlign w:val="center"/>
            <w:hideMark/>
          </w:tcPr>
          <w:p w14:paraId="07E72B2F" w14:textId="77777777" w:rsidR="00B57597" w:rsidRPr="0000214D" w:rsidRDefault="00B57597" w:rsidP="0000214D">
            <w:pPr>
              <w:spacing w:after="0"/>
              <w:jc w:val="center"/>
              <w:rPr>
                <w:rFonts w:cs="Calibri"/>
                <w:b/>
                <w:bCs/>
                <w:color w:val="000000"/>
                <w:sz w:val="20"/>
                <w:szCs w:val="20"/>
                <w:lang w:eastAsia="cs-CZ"/>
              </w:rPr>
            </w:pPr>
            <w:r w:rsidRPr="0000214D">
              <w:rPr>
                <w:rFonts w:cs="Calibri"/>
                <w:b/>
                <w:bCs/>
                <w:color w:val="000000"/>
                <w:sz w:val="20"/>
                <w:szCs w:val="20"/>
                <w:lang w:eastAsia="cs-CZ"/>
              </w:rPr>
              <w:t xml:space="preserve">Podíl rozpočtového paragrafu na celkových výdajích – schválený rozpočet </w:t>
            </w:r>
          </w:p>
        </w:tc>
        <w:tc>
          <w:tcPr>
            <w:tcW w:w="2041" w:type="dxa"/>
            <w:shd w:val="clear" w:color="auto" w:fill="E5F1FF"/>
          </w:tcPr>
          <w:p w14:paraId="4A706AE3" w14:textId="77777777" w:rsidR="00B57597" w:rsidRPr="0000214D" w:rsidRDefault="00B57597" w:rsidP="0000214D">
            <w:pPr>
              <w:spacing w:after="0"/>
              <w:jc w:val="center"/>
              <w:rPr>
                <w:rFonts w:cs="Calibri"/>
                <w:b/>
                <w:bCs/>
                <w:color w:val="000000"/>
                <w:sz w:val="20"/>
                <w:szCs w:val="20"/>
                <w:lang w:eastAsia="cs-CZ"/>
              </w:rPr>
            </w:pPr>
            <w:r w:rsidRPr="0000214D">
              <w:rPr>
                <w:rFonts w:cs="Calibri"/>
                <w:b/>
                <w:bCs/>
                <w:color w:val="000000"/>
                <w:sz w:val="20"/>
                <w:szCs w:val="20"/>
                <w:lang w:eastAsia="cs-CZ"/>
              </w:rPr>
              <w:t>Podíl rozpočtového paragrafu na celkových výdajích – skutečnost</w:t>
            </w:r>
          </w:p>
        </w:tc>
      </w:tr>
      <w:tr w:rsidR="00B35432" w:rsidRPr="0000214D" w14:paraId="350539B1" w14:textId="77777777" w:rsidTr="00B35432">
        <w:trPr>
          <w:trHeight w:val="255"/>
          <w:jc w:val="center"/>
        </w:trPr>
        <w:tc>
          <w:tcPr>
            <w:tcW w:w="1134" w:type="dxa"/>
            <w:vAlign w:val="center"/>
          </w:tcPr>
          <w:p w14:paraId="7747BA1E" w14:textId="77777777" w:rsidR="00B57597" w:rsidRPr="0000214D" w:rsidRDefault="00B57597" w:rsidP="0000214D">
            <w:pPr>
              <w:spacing w:after="0"/>
              <w:jc w:val="center"/>
              <w:rPr>
                <w:rFonts w:eastAsia="Calibri" w:cs="Calibri"/>
                <w:color w:val="000000"/>
                <w:sz w:val="20"/>
                <w:szCs w:val="20"/>
              </w:rPr>
            </w:pPr>
            <w:r w:rsidRPr="0000214D">
              <w:rPr>
                <w:rFonts w:cs="Calibri"/>
                <w:color w:val="000000"/>
                <w:sz w:val="20"/>
                <w:szCs w:val="20"/>
              </w:rPr>
              <w:t>211500</w:t>
            </w:r>
          </w:p>
        </w:tc>
        <w:tc>
          <w:tcPr>
            <w:tcW w:w="1928" w:type="dxa"/>
            <w:shd w:val="clear" w:color="auto" w:fill="auto"/>
            <w:noWrap/>
            <w:vAlign w:val="center"/>
          </w:tcPr>
          <w:p w14:paraId="15BBFB73"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27 157 900 000,00</w:t>
            </w:r>
          </w:p>
        </w:tc>
        <w:tc>
          <w:tcPr>
            <w:tcW w:w="1928" w:type="dxa"/>
            <w:shd w:val="clear" w:color="auto" w:fill="auto"/>
            <w:noWrap/>
            <w:vAlign w:val="center"/>
          </w:tcPr>
          <w:p w14:paraId="67AA29A4"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26 700 233 063,60</w:t>
            </w:r>
          </w:p>
        </w:tc>
        <w:tc>
          <w:tcPr>
            <w:tcW w:w="1984" w:type="dxa"/>
            <w:shd w:val="clear" w:color="auto" w:fill="auto"/>
            <w:noWrap/>
            <w:vAlign w:val="center"/>
          </w:tcPr>
          <w:p w14:paraId="060C61A2" w14:textId="33F95010"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56,90</w:t>
            </w:r>
            <w:r w:rsidR="00B94DFC">
              <w:rPr>
                <w:rFonts w:cs="Calibri"/>
                <w:color w:val="000000"/>
                <w:sz w:val="20"/>
                <w:szCs w:val="20"/>
              </w:rPr>
              <w:t> </w:t>
            </w:r>
            <w:r w:rsidRPr="0000214D">
              <w:rPr>
                <w:rFonts w:cs="Calibri"/>
                <w:color w:val="000000"/>
                <w:sz w:val="20"/>
                <w:szCs w:val="20"/>
              </w:rPr>
              <w:t>%</w:t>
            </w:r>
          </w:p>
        </w:tc>
        <w:tc>
          <w:tcPr>
            <w:tcW w:w="2041" w:type="dxa"/>
            <w:vAlign w:val="center"/>
          </w:tcPr>
          <w:p w14:paraId="240A2A4B" w14:textId="571A9486"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44,81</w:t>
            </w:r>
            <w:r w:rsidR="00B94DFC">
              <w:rPr>
                <w:rFonts w:cs="Calibri"/>
                <w:color w:val="000000"/>
                <w:sz w:val="20"/>
                <w:szCs w:val="20"/>
              </w:rPr>
              <w:t> </w:t>
            </w:r>
            <w:r w:rsidRPr="0000214D">
              <w:rPr>
                <w:rFonts w:cs="Calibri"/>
                <w:color w:val="000000"/>
                <w:sz w:val="20"/>
                <w:szCs w:val="20"/>
              </w:rPr>
              <w:t>%</w:t>
            </w:r>
          </w:p>
        </w:tc>
      </w:tr>
      <w:tr w:rsidR="00B35432" w:rsidRPr="0000214D" w14:paraId="0F321AC1" w14:textId="77777777" w:rsidTr="00B35432">
        <w:trPr>
          <w:trHeight w:val="255"/>
          <w:jc w:val="center"/>
        </w:trPr>
        <w:tc>
          <w:tcPr>
            <w:tcW w:w="1134" w:type="dxa"/>
            <w:vAlign w:val="center"/>
          </w:tcPr>
          <w:p w14:paraId="248308DB" w14:textId="77777777" w:rsidR="00B57597" w:rsidRPr="0000214D" w:rsidRDefault="00B57597" w:rsidP="0000214D">
            <w:pPr>
              <w:spacing w:after="0"/>
              <w:jc w:val="center"/>
              <w:rPr>
                <w:rFonts w:eastAsia="Calibri" w:cs="Calibri"/>
                <w:color w:val="000000"/>
                <w:sz w:val="20"/>
                <w:szCs w:val="20"/>
              </w:rPr>
            </w:pPr>
            <w:r w:rsidRPr="0000214D">
              <w:rPr>
                <w:rFonts w:cs="Calibri"/>
                <w:color w:val="000000"/>
                <w:sz w:val="20"/>
                <w:szCs w:val="20"/>
              </w:rPr>
              <w:t>212400</w:t>
            </w:r>
          </w:p>
        </w:tc>
        <w:tc>
          <w:tcPr>
            <w:tcW w:w="1928" w:type="dxa"/>
            <w:shd w:val="clear" w:color="auto" w:fill="auto"/>
            <w:noWrap/>
            <w:vAlign w:val="center"/>
          </w:tcPr>
          <w:p w14:paraId="51F76CF5"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8 374 672 590,00</w:t>
            </w:r>
          </w:p>
        </w:tc>
        <w:tc>
          <w:tcPr>
            <w:tcW w:w="1928" w:type="dxa"/>
            <w:shd w:val="clear" w:color="auto" w:fill="auto"/>
            <w:noWrap/>
            <w:vAlign w:val="center"/>
          </w:tcPr>
          <w:p w14:paraId="1C1BE413"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15 166 727 344,00</w:t>
            </w:r>
          </w:p>
        </w:tc>
        <w:tc>
          <w:tcPr>
            <w:tcW w:w="1984" w:type="dxa"/>
            <w:shd w:val="clear" w:color="auto" w:fill="auto"/>
            <w:noWrap/>
            <w:vAlign w:val="center"/>
          </w:tcPr>
          <w:p w14:paraId="7509640C" w14:textId="7E8138DF"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17,55</w:t>
            </w:r>
            <w:r w:rsidR="00B94DFC">
              <w:rPr>
                <w:rFonts w:cs="Calibri"/>
                <w:color w:val="000000"/>
                <w:sz w:val="20"/>
                <w:szCs w:val="20"/>
              </w:rPr>
              <w:t> </w:t>
            </w:r>
            <w:r w:rsidRPr="0000214D">
              <w:rPr>
                <w:rFonts w:cs="Calibri"/>
                <w:color w:val="000000"/>
                <w:sz w:val="20"/>
                <w:szCs w:val="20"/>
              </w:rPr>
              <w:t>%</w:t>
            </w:r>
          </w:p>
        </w:tc>
        <w:tc>
          <w:tcPr>
            <w:tcW w:w="2041" w:type="dxa"/>
            <w:vAlign w:val="center"/>
          </w:tcPr>
          <w:p w14:paraId="04501494" w14:textId="31C0B405"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25,45</w:t>
            </w:r>
            <w:r w:rsidR="00B94DFC">
              <w:rPr>
                <w:rFonts w:cs="Calibri"/>
                <w:color w:val="000000"/>
                <w:sz w:val="20"/>
                <w:szCs w:val="20"/>
              </w:rPr>
              <w:t> </w:t>
            </w:r>
            <w:r w:rsidRPr="0000214D">
              <w:rPr>
                <w:rFonts w:cs="Calibri"/>
                <w:color w:val="000000"/>
                <w:sz w:val="20"/>
                <w:szCs w:val="20"/>
              </w:rPr>
              <w:t>%</w:t>
            </w:r>
          </w:p>
        </w:tc>
      </w:tr>
      <w:tr w:rsidR="00B35432" w:rsidRPr="0000214D" w14:paraId="57D7F5AD" w14:textId="77777777" w:rsidTr="00B35432">
        <w:trPr>
          <w:trHeight w:val="255"/>
          <w:jc w:val="center"/>
        </w:trPr>
        <w:tc>
          <w:tcPr>
            <w:tcW w:w="1134" w:type="dxa"/>
            <w:vAlign w:val="center"/>
          </w:tcPr>
          <w:p w14:paraId="10391F4E" w14:textId="77777777" w:rsidR="00B57597" w:rsidRPr="0000214D" w:rsidRDefault="00B57597" w:rsidP="0000214D">
            <w:pPr>
              <w:spacing w:after="0"/>
              <w:jc w:val="center"/>
              <w:rPr>
                <w:rFonts w:eastAsia="Calibri" w:cs="Calibri"/>
                <w:color w:val="000000"/>
                <w:sz w:val="20"/>
                <w:szCs w:val="20"/>
              </w:rPr>
            </w:pPr>
            <w:r w:rsidRPr="0000214D">
              <w:rPr>
                <w:rFonts w:cs="Calibri"/>
                <w:color w:val="000000"/>
                <w:sz w:val="20"/>
                <w:szCs w:val="20"/>
              </w:rPr>
              <w:t>212500</w:t>
            </w:r>
          </w:p>
        </w:tc>
        <w:tc>
          <w:tcPr>
            <w:tcW w:w="1928" w:type="dxa"/>
            <w:shd w:val="clear" w:color="auto" w:fill="auto"/>
            <w:noWrap/>
            <w:vAlign w:val="center"/>
          </w:tcPr>
          <w:p w14:paraId="7A72A7DC"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0,00</w:t>
            </w:r>
          </w:p>
        </w:tc>
        <w:tc>
          <w:tcPr>
            <w:tcW w:w="1928" w:type="dxa"/>
            <w:shd w:val="clear" w:color="auto" w:fill="auto"/>
            <w:noWrap/>
            <w:vAlign w:val="center"/>
          </w:tcPr>
          <w:p w14:paraId="1B9E896D"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6 845 679 509,79</w:t>
            </w:r>
          </w:p>
        </w:tc>
        <w:tc>
          <w:tcPr>
            <w:tcW w:w="1984" w:type="dxa"/>
            <w:shd w:val="clear" w:color="auto" w:fill="auto"/>
            <w:noWrap/>
            <w:vAlign w:val="center"/>
          </w:tcPr>
          <w:p w14:paraId="2C0AE0A8" w14:textId="3E6FB2A8"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0,00</w:t>
            </w:r>
            <w:r w:rsidR="00B94DFC">
              <w:rPr>
                <w:rFonts w:cs="Calibri"/>
                <w:color w:val="000000"/>
                <w:sz w:val="20"/>
                <w:szCs w:val="20"/>
              </w:rPr>
              <w:t> </w:t>
            </w:r>
            <w:r w:rsidRPr="0000214D">
              <w:rPr>
                <w:rFonts w:cs="Calibri"/>
                <w:color w:val="000000"/>
                <w:sz w:val="20"/>
                <w:szCs w:val="20"/>
              </w:rPr>
              <w:t>%</w:t>
            </w:r>
          </w:p>
        </w:tc>
        <w:tc>
          <w:tcPr>
            <w:tcW w:w="2041" w:type="dxa"/>
            <w:vAlign w:val="center"/>
          </w:tcPr>
          <w:p w14:paraId="38596081" w14:textId="48C6E767"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11,49</w:t>
            </w:r>
            <w:r w:rsidR="00B94DFC">
              <w:rPr>
                <w:rFonts w:cs="Calibri"/>
                <w:color w:val="000000"/>
                <w:sz w:val="20"/>
                <w:szCs w:val="20"/>
              </w:rPr>
              <w:t> </w:t>
            </w:r>
            <w:r w:rsidRPr="0000214D">
              <w:rPr>
                <w:rFonts w:cs="Calibri"/>
                <w:color w:val="000000"/>
                <w:sz w:val="20"/>
                <w:szCs w:val="20"/>
              </w:rPr>
              <w:t>%</w:t>
            </w:r>
          </w:p>
        </w:tc>
      </w:tr>
      <w:tr w:rsidR="00B35432" w:rsidRPr="0000214D" w14:paraId="26DCD805" w14:textId="77777777" w:rsidTr="00B35432">
        <w:trPr>
          <w:trHeight w:val="255"/>
          <w:jc w:val="center"/>
        </w:trPr>
        <w:tc>
          <w:tcPr>
            <w:tcW w:w="1134" w:type="dxa"/>
            <w:vAlign w:val="center"/>
          </w:tcPr>
          <w:p w14:paraId="12F8CC43" w14:textId="77777777" w:rsidR="00B57597" w:rsidRPr="0000214D" w:rsidRDefault="00B57597" w:rsidP="0000214D">
            <w:pPr>
              <w:spacing w:after="0"/>
              <w:jc w:val="center"/>
              <w:rPr>
                <w:rFonts w:eastAsia="Calibri" w:cs="Calibri"/>
                <w:color w:val="000000"/>
                <w:sz w:val="20"/>
                <w:szCs w:val="20"/>
              </w:rPr>
            </w:pPr>
            <w:r w:rsidRPr="0000214D">
              <w:rPr>
                <w:rFonts w:cs="Calibri"/>
                <w:color w:val="000000"/>
                <w:sz w:val="20"/>
                <w:szCs w:val="20"/>
              </w:rPr>
              <w:t>218200</w:t>
            </w:r>
          </w:p>
        </w:tc>
        <w:tc>
          <w:tcPr>
            <w:tcW w:w="1928" w:type="dxa"/>
            <w:shd w:val="clear" w:color="auto" w:fill="auto"/>
            <w:noWrap/>
            <w:vAlign w:val="center"/>
          </w:tcPr>
          <w:p w14:paraId="6DC0D4B8"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3 683 333 333,00</w:t>
            </w:r>
          </w:p>
        </w:tc>
        <w:tc>
          <w:tcPr>
            <w:tcW w:w="1928" w:type="dxa"/>
            <w:shd w:val="clear" w:color="auto" w:fill="auto"/>
            <w:noWrap/>
            <w:vAlign w:val="center"/>
          </w:tcPr>
          <w:p w14:paraId="19AD8165"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3 278 344 860,02</w:t>
            </w:r>
          </w:p>
        </w:tc>
        <w:tc>
          <w:tcPr>
            <w:tcW w:w="1984" w:type="dxa"/>
            <w:shd w:val="clear" w:color="auto" w:fill="auto"/>
            <w:noWrap/>
            <w:vAlign w:val="center"/>
          </w:tcPr>
          <w:p w14:paraId="3049BE8F" w14:textId="5E25A362"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7,72</w:t>
            </w:r>
            <w:r w:rsidR="00B94DFC">
              <w:rPr>
                <w:rFonts w:cs="Calibri"/>
                <w:color w:val="000000"/>
                <w:sz w:val="20"/>
                <w:szCs w:val="20"/>
              </w:rPr>
              <w:t> </w:t>
            </w:r>
            <w:r w:rsidRPr="0000214D">
              <w:rPr>
                <w:rFonts w:cs="Calibri"/>
                <w:color w:val="000000"/>
                <w:sz w:val="20"/>
                <w:szCs w:val="20"/>
              </w:rPr>
              <w:t>%</w:t>
            </w:r>
          </w:p>
        </w:tc>
        <w:tc>
          <w:tcPr>
            <w:tcW w:w="2041" w:type="dxa"/>
            <w:vAlign w:val="center"/>
          </w:tcPr>
          <w:p w14:paraId="182036A3" w14:textId="11A82E1E"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5,50</w:t>
            </w:r>
            <w:r w:rsidR="00B94DFC">
              <w:rPr>
                <w:rFonts w:cs="Calibri"/>
                <w:color w:val="000000"/>
                <w:sz w:val="20"/>
                <w:szCs w:val="20"/>
              </w:rPr>
              <w:t> </w:t>
            </w:r>
            <w:r w:rsidRPr="0000214D">
              <w:rPr>
                <w:rFonts w:cs="Calibri"/>
                <w:color w:val="000000"/>
                <w:sz w:val="20"/>
                <w:szCs w:val="20"/>
              </w:rPr>
              <w:t>%</w:t>
            </w:r>
          </w:p>
        </w:tc>
      </w:tr>
      <w:tr w:rsidR="00B35432" w:rsidRPr="0000214D" w14:paraId="10E619E4" w14:textId="77777777" w:rsidTr="00B35432">
        <w:trPr>
          <w:trHeight w:val="255"/>
          <w:jc w:val="center"/>
        </w:trPr>
        <w:tc>
          <w:tcPr>
            <w:tcW w:w="1134" w:type="dxa"/>
            <w:vAlign w:val="center"/>
          </w:tcPr>
          <w:p w14:paraId="0157F244" w14:textId="77777777" w:rsidR="00B57597" w:rsidRPr="0000214D" w:rsidRDefault="00B57597" w:rsidP="0000214D">
            <w:pPr>
              <w:spacing w:after="0"/>
              <w:jc w:val="center"/>
              <w:rPr>
                <w:rFonts w:eastAsia="Calibri" w:cs="Calibri"/>
                <w:color w:val="000000"/>
                <w:sz w:val="20"/>
                <w:szCs w:val="20"/>
              </w:rPr>
            </w:pPr>
            <w:r w:rsidRPr="0000214D">
              <w:rPr>
                <w:rFonts w:cs="Calibri"/>
                <w:color w:val="000000"/>
                <w:sz w:val="20"/>
                <w:szCs w:val="20"/>
              </w:rPr>
              <w:t>211100</w:t>
            </w:r>
          </w:p>
        </w:tc>
        <w:tc>
          <w:tcPr>
            <w:tcW w:w="1928" w:type="dxa"/>
            <w:shd w:val="clear" w:color="auto" w:fill="auto"/>
            <w:noWrap/>
            <w:vAlign w:val="center"/>
          </w:tcPr>
          <w:p w14:paraId="25F5C1E4"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1 570 175 000,00</w:t>
            </w:r>
          </w:p>
        </w:tc>
        <w:tc>
          <w:tcPr>
            <w:tcW w:w="1928" w:type="dxa"/>
            <w:shd w:val="clear" w:color="auto" w:fill="auto"/>
            <w:noWrap/>
            <w:vAlign w:val="center"/>
          </w:tcPr>
          <w:p w14:paraId="601C2197"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1 931 282 748,00</w:t>
            </w:r>
          </w:p>
        </w:tc>
        <w:tc>
          <w:tcPr>
            <w:tcW w:w="1984" w:type="dxa"/>
            <w:shd w:val="clear" w:color="auto" w:fill="auto"/>
            <w:noWrap/>
            <w:vAlign w:val="center"/>
          </w:tcPr>
          <w:p w14:paraId="32419A6D" w14:textId="64F9C3F6"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3,29</w:t>
            </w:r>
            <w:r w:rsidR="00B94DFC">
              <w:rPr>
                <w:rFonts w:cs="Calibri"/>
                <w:color w:val="000000"/>
                <w:sz w:val="20"/>
                <w:szCs w:val="20"/>
              </w:rPr>
              <w:t> </w:t>
            </w:r>
            <w:r w:rsidRPr="0000214D">
              <w:rPr>
                <w:rFonts w:cs="Calibri"/>
                <w:color w:val="000000"/>
                <w:sz w:val="20"/>
                <w:szCs w:val="20"/>
              </w:rPr>
              <w:t>%</w:t>
            </w:r>
          </w:p>
        </w:tc>
        <w:tc>
          <w:tcPr>
            <w:tcW w:w="2041" w:type="dxa"/>
            <w:vAlign w:val="center"/>
          </w:tcPr>
          <w:p w14:paraId="19CE0D6F" w14:textId="7BFDE440"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3,24</w:t>
            </w:r>
            <w:r w:rsidR="00B94DFC">
              <w:rPr>
                <w:rFonts w:cs="Calibri"/>
                <w:color w:val="000000"/>
                <w:sz w:val="20"/>
                <w:szCs w:val="20"/>
              </w:rPr>
              <w:t> </w:t>
            </w:r>
            <w:r w:rsidRPr="0000214D">
              <w:rPr>
                <w:rFonts w:cs="Calibri"/>
                <w:color w:val="000000"/>
                <w:sz w:val="20"/>
                <w:szCs w:val="20"/>
              </w:rPr>
              <w:t>%</w:t>
            </w:r>
          </w:p>
        </w:tc>
      </w:tr>
      <w:tr w:rsidR="00B35432" w:rsidRPr="0000214D" w14:paraId="72D1211F" w14:textId="77777777" w:rsidTr="00B35432">
        <w:trPr>
          <w:trHeight w:val="255"/>
          <w:jc w:val="center"/>
        </w:trPr>
        <w:tc>
          <w:tcPr>
            <w:tcW w:w="1134" w:type="dxa"/>
            <w:vAlign w:val="center"/>
          </w:tcPr>
          <w:p w14:paraId="667C0D01" w14:textId="77777777" w:rsidR="00B57597" w:rsidRPr="0000214D" w:rsidRDefault="00B57597" w:rsidP="0000214D">
            <w:pPr>
              <w:spacing w:after="0"/>
              <w:jc w:val="center"/>
              <w:rPr>
                <w:rFonts w:eastAsia="Calibri" w:cs="Calibri"/>
                <w:color w:val="000000"/>
                <w:sz w:val="20"/>
                <w:szCs w:val="20"/>
              </w:rPr>
            </w:pPr>
            <w:r w:rsidRPr="0000214D">
              <w:rPr>
                <w:rFonts w:cs="Calibri"/>
                <w:color w:val="000000"/>
                <w:sz w:val="20"/>
                <w:szCs w:val="20"/>
              </w:rPr>
              <w:t>218220</w:t>
            </w:r>
          </w:p>
        </w:tc>
        <w:tc>
          <w:tcPr>
            <w:tcW w:w="1928" w:type="dxa"/>
            <w:shd w:val="clear" w:color="auto" w:fill="auto"/>
            <w:noWrap/>
            <w:vAlign w:val="center"/>
          </w:tcPr>
          <w:p w14:paraId="400BBCA6"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1 706 250 000,00</w:t>
            </w:r>
          </w:p>
        </w:tc>
        <w:tc>
          <w:tcPr>
            <w:tcW w:w="1928" w:type="dxa"/>
            <w:shd w:val="clear" w:color="auto" w:fill="auto"/>
            <w:noWrap/>
            <w:vAlign w:val="center"/>
          </w:tcPr>
          <w:p w14:paraId="1D510B9E"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1 274 904 808,72</w:t>
            </w:r>
          </w:p>
        </w:tc>
        <w:tc>
          <w:tcPr>
            <w:tcW w:w="1984" w:type="dxa"/>
            <w:shd w:val="clear" w:color="auto" w:fill="auto"/>
            <w:noWrap/>
            <w:vAlign w:val="center"/>
          </w:tcPr>
          <w:p w14:paraId="493761AC" w14:textId="5CDF9AA5"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3,58</w:t>
            </w:r>
            <w:r w:rsidR="00B94DFC">
              <w:rPr>
                <w:rFonts w:cs="Calibri"/>
                <w:color w:val="000000"/>
                <w:sz w:val="20"/>
                <w:szCs w:val="20"/>
              </w:rPr>
              <w:t> </w:t>
            </w:r>
            <w:r w:rsidRPr="0000214D">
              <w:rPr>
                <w:rFonts w:cs="Calibri"/>
                <w:color w:val="000000"/>
                <w:sz w:val="20"/>
                <w:szCs w:val="20"/>
              </w:rPr>
              <w:t>%</w:t>
            </w:r>
          </w:p>
        </w:tc>
        <w:tc>
          <w:tcPr>
            <w:tcW w:w="2041" w:type="dxa"/>
            <w:vAlign w:val="center"/>
          </w:tcPr>
          <w:p w14:paraId="6CAAE2F1" w14:textId="562A63A9"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2,14</w:t>
            </w:r>
            <w:r w:rsidR="00B94DFC">
              <w:rPr>
                <w:rFonts w:cs="Calibri"/>
                <w:color w:val="000000"/>
                <w:sz w:val="20"/>
                <w:szCs w:val="20"/>
              </w:rPr>
              <w:t> </w:t>
            </w:r>
            <w:r w:rsidRPr="0000214D">
              <w:rPr>
                <w:rFonts w:cs="Calibri"/>
                <w:color w:val="000000"/>
                <w:sz w:val="20"/>
                <w:szCs w:val="20"/>
              </w:rPr>
              <w:t>%</w:t>
            </w:r>
          </w:p>
        </w:tc>
      </w:tr>
      <w:tr w:rsidR="00B35432" w:rsidRPr="0000214D" w14:paraId="3F5FB5B9" w14:textId="77777777" w:rsidTr="00B35432">
        <w:trPr>
          <w:trHeight w:val="255"/>
          <w:jc w:val="center"/>
        </w:trPr>
        <w:tc>
          <w:tcPr>
            <w:tcW w:w="1134" w:type="dxa"/>
            <w:vAlign w:val="center"/>
          </w:tcPr>
          <w:p w14:paraId="5BF09FEA" w14:textId="77777777" w:rsidR="00B57597" w:rsidRPr="0000214D" w:rsidRDefault="00B57597" w:rsidP="0000214D">
            <w:pPr>
              <w:spacing w:after="0"/>
              <w:jc w:val="center"/>
              <w:rPr>
                <w:rFonts w:eastAsia="Calibri" w:cs="Calibri"/>
                <w:color w:val="000000"/>
                <w:sz w:val="20"/>
                <w:szCs w:val="20"/>
              </w:rPr>
            </w:pPr>
            <w:r w:rsidRPr="0000214D">
              <w:rPr>
                <w:rFonts w:cs="Calibri"/>
                <w:color w:val="000000"/>
                <w:sz w:val="20"/>
                <w:szCs w:val="20"/>
              </w:rPr>
              <w:t>373200</w:t>
            </w:r>
          </w:p>
        </w:tc>
        <w:tc>
          <w:tcPr>
            <w:tcW w:w="1928" w:type="dxa"/>
            <w:shd w:val="clear" w:color="auto" w:fill="auto"/>
            <w:noWrap/>
            <w:vAlign w:val="center"/>
          </w:tcPr>
          <w:p w14:paraId="3933C560"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1 277 190 000,00</w:t>
            </w:r>
          </w:p>
        </w:tc>
        <w:tc>
          <w:tcPr>
            <w:tcW w:w="1928" w:type="dxa"/>
            <w:shd w:val="clear" w:color="auto" w:fill="auto"/>
            <w:noWrap/>
            <w:vAlign w:val="center"/>
          </w:tcPr>
          <w:p w14:paraId="1227C6E6"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1 186 714 121,00</w:t>
            </w:r>
          </w:p>
        </w:tc>
        <w:tc>
          <w:tcPr>
            <w:tcW w:w="1984" w:type="dxa"/>
            <w:shd w:val="clear" w:color="auto" w:fill="auto"/>
            <w:noWrap/>
            <w:vAlign w:val="center"/>
          </w:tcPr>
          <w:p w14:paraId="1B0622EC" w14:textId="093C8376"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2,68</w:t>
            </w:r>
            <w:r w:rsidR="00B94DFC">
              <w:rPr>
                <w:rFonts w:cs="Calibri"/>
                <w:color w:val="000000"/>
                <w:sz w:val="20"/>
                <w:szCs w:val="20"/>
              </w:rPr>
              <w:t> </w:t>
            </w:r>
            <w:r w:rsidRPr="0000214D">
              <w:rPr>
                <w:rFonts w:cs="Calibri"/>
                <w:color w:val="000000"/>
                <w:sz w:val="20"/>
                <w:szCs w:val="20"/>
              </w:rPr>
              <w:t>%</w:t>
            </w:r>
          </w:p>
        </w:tc>
        <w:tc>
          <w:tcPr>
            <w:tcW w:w="2041" w:type="dxa"/>
            <w:vAlign w:val="center"/>
          </w:tcPr>
          <w:p w14:paraId="55768882" w14:textId="333E2057"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1,99</w:t>
            </w:r>
            <w:r w:rsidR="00B94DFC">
              <w:rPr>
                <w:rFonts w:cs="Calibri"/>
                <w:color w:val="000000"/>
                <w:sz w:val="20"/>
                <w:szCs w:val="20"/>
              </w:rPr>
              <w:t> </w:t>
            </w:r>
            <w:r w:rsidRPr="0000214D">
              <w:rPr>
                <w:rFonts w:cs="Calibri"/>
                <w:color w:val="000000"/>
                <w:sz w:val="20"/>
                <w:szCs w:val="20"/>
              </w:rPr>
              <w:t>%</w:t>
            </w:r>
          </w:p>
        </w:tc>
      </w:tr>
      <w:tr w:rsidR="00B35432" w:rsidRPr="0000214D" w14:paraId="2A3A938D" w14:textId="77777777" w:rsidTr="00B35432">
        <w:trPr>
          <w:trHeight w:val="255"/>
          <w:jc w:val="center"/>
        </w:trPr>
        <w:tc>
          <w:tcPr>
            <w:tcW w:w="1134" w:type="dxa"/>
            <w:vAlign w:val="center"/>
          </w:tcPr>
          <w:p w14:paraId="55CB5385" w14:textId="77777777" w:rsidR="00B57597" w:rsidRPr="0000214D" w:rsidRDefault="00B57597" w:rsidP="0000214D">
            <w:pPr>
              <w:spacing w:after="0"/>
              <w:jc w:val="center"/>
              <w:rPr>
                <w:rFonts w:eastAsia="Calibri" w:cs="Calibri"/>
                <w:color w:val="000000"/>
                <w:sz w:val="20"/>
                <w:szCs w:val="20"/>
              </w:rPr>
            </w:pPr>
            <w:r w:rsidRPr="0000214D">
              <w:rPr>
                <w:rFonts w:cs="Calibri"/>
                <w:color w:val="000000"/>
                <w:sz w:val="20"/>
                <w:szCs w:val="20"/>
              </w:rPr>
              <w:t>216100</w:t>
            </w:r>
          </w:p>
        </w:tc>
        <w:tc>
          <w:tcPr>
            <w:tcW w:w="1928" w:type="dxa"/>
            <w:shd w:val="clear" w:color="auto" w:fill="auto"/>
            <w:noWrap/>
            <w:vAlign w:val="center"/>
          </w:tcPr>
          <w:p w14:paraId="745002EF"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1 234 776 149,00</w:t>
            </w:r>
          </w:p>
        </w:tc>
        <w:tc>
          <w:tcPr>
            <w:tcW w:w="1928" w:type="dxa"/>
            <w:shd w:val="clear" w:color="auto" w:fill="auto"/>
            <w:noWrap/>
            <w:vAlign w:val="center"/>
          </w:tcPr>
          <w:p w14:paraId="3C8D8110"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1 155 417 297,47</w:t>
            </w:r>
          </w:p>
        </w:tc>
        <w:tc>
          <w:tcPr>
            <w:tcW w:w="1984" w:type="dxa"/>
            <w:shd w:val="clear" w:color="auto" w:fill="auto"/>
            <w:noWrap/>
            <w:vAlign w:val="center"/>
          </w:tcPr>
          <w:p w14:paraId="1B9D0E91" w14:textId="718BFF56"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2,59</w:t>
            </w:r>
            <w:r w:rsidR="00B94DFC">
              <w:rPr>
                <w:rFonts w:cs="Calibri"/>
                <w:color w:val="000000"/>
                <w:sz w:val="20"/>
                <w:szCs w:val="20"/>
              </w:rPr>
              <w:t> </w:t>
            </w:r>
            <w:r w:rsidRPr="0000214D">
              <w:rPr>
                <w:rFonts w:cs="Calibri"/>
                <w:color w:val="000000"/>
                <w:sz w:val="20"/>
                <w:szCs w:val="20"/>
              </w:rPr>
              <w:t>%</w:t>
            </w:r>
          </w:p>
        </w:tc>
        <w:tc>
          <w:tcPr>
            <w:tcW w:w="2041" w:type="dxa"/>
            <w:vAlign w:val="center"/>
          </w:tcPr>
          <w:p w14:paraId="73449CA6" w14:textId="716B6A31"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1,94</w:t>
            </w:r>
            <w:r w:rsidR="00B94DFC">
              <w:rPr>
                <w:rFonts w:cs="Calibri"/>
                <w:color w:val="000000"/>
                <w:sz w:val="20"/>
                <w:szCs w:val="20"/>
              </w:rPr>
              <w:t> </w:t>
            </w:r>
            <w:r w:rsidRPr="0000214D">
              <w:rPr>
                <w:rFonts w:cs="Calibri"/>
                <w:color w:val="000000"/>
                <w:sz w:val="20"/>
                <w:szCs w:val="20"/>
              </w:rPr>
              <w:t>%</w:t>
            </w:r>
          </w:p>
        </w:tc>
      </w:tr>
      <w:tr w:rsidR="00B35432" w:rsidRPr="0000214D" w14:paraId="6F48F21B" w14:textId="77777777" w:rsidTr="00B35432">
        <w:trPr>
          <w:trHeight w:val="255"/>
          <w:jc w:val="center"/>
        </w:trPr>
        <w:tc>
          <w:tcPr>
            <w:tcW w:w="1134" w:type="dxa"/>
            <w:vAlign w:val="center"/>
          </w:tcPr>
          <w:p w14:paraId="243B5CD2" w14:textId="77777777" w:rsidR="00B57597" w:rsidRPr="0000214D" w:rsidRDefault="00B57597" w:rsidP="0000214D">
            <w:pPr>
              <w:spacing w:after="0"/>
              <w:jc w:val="center"/>
              <w:rPr>
                <w:rFonts w:eastAsia="Calibri" w:cs="Calibri"/>
                <w:color w:val="000000"/>
                <w:sz w:val="20"/>
                <w:szCs w:val="20"/>
              </w:rPr>
            </w:pPr>
            <w:r w:rsidRPr="0000214D">
              <w:rPr>
                <w:rFonts w:cs="Calibri"/>
                <w:color w:val="000000"/>
                <w:sz w:val="20"/>
                <w:szCs w:val="20"/>
              </w:rPr>
              <w:t>218210</w:t>
            </w:r>
          </w:p>
        </w:tc>
        <w:tc>
          <w:tcPr>
            <w:tcW w:w="1928" w:type="dxa"/>
            <w:shd w:val="clear" w:color="auto" w:fill="auto"/>
            <w:noWrap/>
            <w:vAlign w:val="center"/>
          </w:tcPr>
          <w:p w14:paraId="14649A8A"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468 787 000,00</w:t>
            </w:r>
          </w:p>
        </w:tc>
        <w:tc>
          <w:tcPr>
            <w:tcW w:w="1928" w:type="dxa"/>
            <w:shd w:val="clear" w:color="auto" w:fill="auto"/>
            <w:noWrap/>
            <w:vAlign w:val="center"/>
          </w:tcPr>
          <w:p w14:paraId="72896716"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472 276 724,00</w:t>
            </w:r>
          </w:p>
        </w:tc>
        <w:tc>
          <w:tcPr>
            <w:tcW w:w="1984" w:type="dxa"/>
            <w:shd w:val="clear" w:color="auto" w:fill="auto"/>
            <w:noWrap/>
            <w:vAlign w:val="center"/>
          </w:tcPr>
          <w:p w14:paraId="1C44B7B9" w14:textId="22CF6C4C"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0,98</w:t>
            </w:r>
            <w:r w:rsidR="00B94DFC">
              <w:rPr>
                <w:rFonts w:cs="Calibri"/>
                <w:color w:val="000000"/>
                <w:sz w:val="20"/>
                <w:szCs w:val="20"/>
              </w:rPr>
              <w:t> </w:t>
            </w:r>
            <w:r w:rsidRPr="0000214D">
              <w:rPr>
                <w:rFonts w:cs="Calibri"/>
                <w:color w:val="000000"/>
                <w:sz w:val="20"/>
                <w:szCs w:val="20"/>
              </w:rPr>
              <w:t>%</w:t>
            </w:r>
          </w:p>
        </w:tc>
        <w:tc>
          <w:tcPr>
            <w:tcW w:w="2041" w:type="dxa"/>
            <w:vAlign w:val="center"/>
          </w:tcPr>
          <w:p w14:paraId="1348EA15" w14:textId="40D5C9AB"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0,79</w:t>
            </w:r>
            <w:r w:rsidR="00B94DFC">
              <w:rPr>
                <w:rFonts w:cs="Calibri"/>
                <w:color w:val="000000"/>
                <w:sz w:val="20"/>
                <w:szCs w:val="20"/>
              </w:rPr>
              <w:t> </w:t>
            </w:r>
            <w:r w:rsidRPr="0000214D">
              <w:rPr>
                <w:rFonts w:cs="Calibri"/>
                <w:color w:val="000000"/>
                <w:sz w:val="20"/>
                <w:szCs w:val="20"/>
              </w:rPr>
              <w:t>%</w:t>
            </w:r>
          </w:p>
        </w:tc>
      </w:tr>
      <w:tr w:rsidR="00B35432" w:rsidRPr="0000214D" w14:paraId="3580A4AC" w14:textId="77777777" w:rsidTr="00B35432">
        <w:trPr>
          <w:trHeight w:val="255"/>
          <w:jc w:val="center"/>
        </w:trPr>
        <w:tc>
          <w:tcPr>
            <w:tcW w:w="1134" w:type="dxa"/>
            <w:vAlign w:val="center"/>
          </w:tcPr>
          <w:p w14:paraId="5C7CE4C7" w14:textId="77777777" w:rsidR="00B57597" w:rsidRPr="0000214D" w:rsidRDefault="00B57597" w:rsidP="0000214D">
            <w:pPr>
              <w:spacing w:after="0"/>
              <w:jc w:val="center"/>
              <w:rPr>
                <w:rFonts w:eastAsia="Calibri" w:cs="Calibri"/>
                <w:color w:val="000000"/>
                <w:sz w:val="20"/>
                <w:szCs w:val="20"/>
              </w:rPr>
            </w:pPr>
            <w:r w:rsidRPr="0000214D">
              <w:rPr>
                <w:rFonts w:cs="Calibri"/>
                <w:color w:val="000000"/>
                <w:sz w:val="20"/>
                <w:szCs w:val="20"/>
              </w:rPr>
              <w:t>219900</w:t>
            </w:r>
          </w:p>
        </w:tc>
        <w:tc>
          <w:tcPr>
            <w:tcW w:w="1928" w:type="dxa"/>
            <w:shd w:val="clear" w:color="auto" w:fill="auto"/>
            <w:noWrap/>
            <w:vAlign w:val="center"/>
          </w:tcPr>
          <w:p w14:paraId="3E618095"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322 100 400,00</w:t>
            </w:r>
          </w:p>
        </w:tc>
        <w:tc>
          <w:tcPr>
            <w:tcW w:w="1928" w:type="dxa"/>
            <w:shd w:val="clear" w:color="auto" w:fill="auto"/>
            <w:noWrap/>
            <w:vAlign w:val="center"/>
          </w:tcPr>
          <w:p w14:paraId="3D8EA93F"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339 687 456,83</w:t>
            </w:r>
          </w:p>
        </w:tc>
        <w:tc>
          <w:tcPr>
            <w:tcW w:w="1984" w:type="dxa"/>
            <w:shd w:val="clear" w:color="auto" w:fill="auto"/>
            <w:noWrap/>
            <w:vAlign w:val="center"/>
          </w:tcPr>
          <w:p w14:paraId="24FFBCEA" w14:textId="0A7A6260"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0,67</w:t>
            </w:r>
            <w:r w:rsidR="00B94DFC">
              <w:rPr>
                <w:rFonts w:cs="Calibri"/>
                <w:color w:val="000000"/>
                <w:sz w:val="20"/>
                <w:szCs w:val="20"/>
              </w:rPr>
              <w:t> </w:t>
            </w:r>
            <w:r w:rsidRPr="0000214D">
              <w:rPr>
                <w:rFonts w:cs="Calibri"/>
                <w:color w:val="000000"/>
                <w:sz w:val="20"/>
                <w:szCs w:val="20"/>
              </w:rPr>
              <w:t>%</w:t>
            </w:r>
          </w:p>
        </w:tc>
        <w:tc>
          <w:tcPr>
            <w:tcW w:w="2041" w:type="dxa"/>
            <w:vAlign w:val="center"/>
          </w:tcPr>
          <w:p w14:paraId="01FF2D7C" w14:textId="64A6864D"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0,57</w:t>
            </w:r>
            <w:r w:rsidR="00B94DFC">
              <w:rPr>
                <w:rFonts w:cs="Calibri"/>
                <w:color w:val="000000"/>
                <w:sz w:val="20"/>
                <w:szCs w:val="20"/>
              </w:rPr>
              <w:t> </w:t>
            </w:r>
            <w:r w:rsidRPr="0000214D">
              <w:rPr>
                <w:rFonts w:cs="Calibri"/>
                <w:color w:val="000000"/>
                <w:sz w:val="20"/>
                <w:szCs w:val="20"/>
              </w:rPr>
              <w:t>%</w:t>
            </w:r>
          </w:p>
        </w:tc>
      </w:tr>
      <w:tr w:rsidR="00B35432" w:rsidRPr="0000214D" w14:paraId="3F877B1A" w14:textId="77777777" w:rsidTr="00B35432">
        <w:trPr>
          <w:trHeight w:val="255"/>
          <w:jc w:val="center"/>
        </w:trPr>
        <w:tc>
          <w:tcPr>
            <w:tcW w:w="1134" w:type="dxa"/>
            <w:vAlign w:val="center"/>
          </w:tcPr>
          <w:p w14:paraId="233A1DED" w14:textId="77777777" w:rsidR="00B57597" w:rsidRPr="0000214D" w:rsidRDefault="00B57597" w:rsidP="0000214D">
            <w:pPr>
              <w:spacing w:after="0"/>
              <w:jc w:val="center"/>
              <w:rPr>
                <w:rFonts w:eastAsia="Calibri" w:cs="Calibri"/>
                <w:color w:val="000000"/>
                <w:sz w:val="20"/>
                <w:szCs w:val="20"/>
              </w:rPr>
            </w:pPr>
            <w:r w:rsidRPr="0000214D">
              <w:rPr>
                <w:rFonts w:cs="Calibri"/>
                <w:color w:val="000000"/>
                <w:sz w:val="20"/>
                <w:szCs w:val="20"/>
              </w:rPr>
              <w:t>425000</w:t>
            </w:r>
          </w:p>
        </w:tc>
        <w:tc>
          <w:tcPr>
            <w:tcW w:w="1928" w:type="dxa"/>
            <w:shd w:val="clear" w:color="auto" w:fill="auto"/>
            <w:noWrap/>
            <w:vAlign w:val="center"/>
          </w:tcPr>
          <w:p w14:paraId="079AC380"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501 000 000,00</w:t>
            </w:r>
          </w:p>
        </w:tc>
        <w:tc>
          <w:tcPr>
            <w:tcW w:w="1928" w:type="dxa"/>
            <w:shd w:val="clear" w:color="auto" w:fill="auto"/>
            <w:noWrap/>
            <w:vAlign w:val="center"/>
          </w:tcPr>
          <w:p w14:paraId="574AB408"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330 768 009,00</w:t>
            </w:r>
          </w:p>
        </w:tc>
        <w:tc>
          <w:tcPr>
            <w:tcW w:w="1984" w:type="dxa"/>
            <w:shd w:val="clear" w:color="auto" w:fill="auto"/>
            <w:noWrap/>
            <w:vAlign w:val="center"/>
          </w:tcPr>
          <w:p w14:paraId="67E96907" w14:textId="141CAA49"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1,05</w:t>
            </w:r>
            <w:r w:rsidR="00B94DFC">
              <w:rPr>
                <w:rFonts w:cs="Calibri"/>
                <w:color w:val="000000"/>
                <w:sz w:val="20"/>
                <w:szCs w:val="20"/>
              </w:rPr>
              <w:t> </w:t>
            </w:r>
            <w:r w:rsidRPr="0000214D">
              <w:rPr>
                <w:rFonts w:cs="Calibri"/>
                <w:color w:val="000000"/>
                <w:sz w:val="20"/>
                <w:szCs w:val="20"/>
              </w:rPr>
              <w:t>%</w:t>
            </w:r>
          </w:p>
        </w:tc>
        <w:tc>
          <w:tcPr>
            <w:tcW w:w="2041" w:type="dxa"/>
            <w:vAlign w:val="center"/>
          </w:tcPr>
          <w:p w14:paraId="006F0E62" w14:textId="637B285D"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0,56</w:t>
            </w:r>
            <w:r w:rsidR="00B94DFC">
              <w:rPr>
                <w:rFonts w:cs="Calibri"/>
                <w:color w:val="000000"/>
                <w:sz w:val="20"/>
                <w:szCs w:val="20"/>
              </w:rPr>
              <w:t> </w:t>
            </w:r>
            <w:r w:rsidRPr="0000214D">
              <w:rPr>
                <w:rFonts w:cs="Calibri"/>
                <w:color w:val="000000"/>
                <w:sz w:val="20"/>
                <w:szCs w:val="20"/>
              </w:rPr>
              <w:t>%</w:t>
            </w:r>
          </w:p>
        </w:tc>
      </w:tr>
      <w:tr w:rsidR="00B35432" w:rsidRPr="0000214D" w14:paraId="3B232254" w14:textId="77777777" w:rsidTr="00B35432">
        <w:trPr>
          <w:trHeight w:val="255"/>
          <w:jc w:val="center"/>
        </w:trPr>
        <w:tc>
          <w:tcPr>
            <w:tcW w:w="1134" w:type="dxa"/>
            <w:vAlign w:val="center"/>
          </w:tcPr>
          <w:p w14:paraId="4B8A6272" w14:textId="77777777" w:rsidR="00B57597" w:rsidRPr="0000214D" w:rsidRDefault="00B57597" w:rsidP="0000214D">
            <w:pPr>
              <w:spacing w:after="0"/>
              <w:jc w:val="center"/>
              <w:rPr>
                <w:rFonts w:eastAsia="Calibri" w:cs="Calibri"/>
                <w:color w:val="000000"/>
                <w:sz w:val="20"/>
                <w:szCs w:val="20"/>
              </w:rPr>
            </w:pPr>
            <w:r w:rsidRPr="0000214D">
              <w:rPr>
                <w:rFonts w:cs="Calibri"/>
                <w:color w:val="000000"/>
                <w:sz w:val="20"/>
                <w:szCs w:val="20"/>
              </w:rPr>
              <w:t>212300</w:t>
            </w:r>
          </w:p>
        </w:tc>
        <w:tc>
          <w:tcPr>
            <w:tcW w:w="1928" w:type="dxa"/>
            <w:shd w:val="clear" w:color="auto" w:fill="auto"/>
            <w:noWrap/>
            <w:vAlign w:val="center"/>
          </w:tcPr>
          <w:p w14:paraId="16EF9817"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460 000 000,00</w:t>
            </w:r>
          </w:p>
        </w:tc>
        <w:tc>
          <w:tcPr>
            <w:tcW w:w="1928" w:type="dxa"/>
            <w:shd w:val="clear" w:color="auto" w:fill="auto"/>
            <w:noWrap/>
            <w:vAlign w:val="center"/>
          </w:tcPr>
          <w:p w14:paraId="00AA7AAF" w14:textId="77777777" w:rsidR="00B57597" w:rsidRPr="0000214D" w:rsidRDefault="00B57597" w:rsidP="00B35432">
            <w:pPr>
              <w:spacing w:after="0"/>
              <w:ind w:right="113"/>
              <w:jc w:val="right"/>
              <w:rPr>
                <w:rFonts w:eastAsia="Calibri" w:cs="Calibri"/>
                <w:color w:val="000000"/>
                <w:sz w:val="20"/>
                <w:szCs w:val="20"/>
              </w:rPr>
            </w:pPr>
            <w:r w:rsidRPr="0000214D">
              <w:rPr>
                <w:rFonts w:cs="Calibri"/>
                <w:color w:val="000000"/>
                <w:sz w:val="20"/>
                <w:szCs w:val="20"/>
              </w:rPr>
              <w:t>228 807 040,41</w:t>
            </w:r>
          </w:p>
        </w:tc>
        <w:tc>
          <w:tcPr>
            <w:tcW w:w="1984" w:type="dxa"/>
            <w:shd w:val="clear" w:color="auto" w:fill="auto"/>
            <w:noWrap/>
            <w:vAlign w:val="center"/>
          </w:tcPr>
          <w:p w14:paraId="27313443" w14:textId="2ABD68D8"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0,96</w:t>
            </w:r>
            <w:r w:rsidR="00B94DFC">
              <w:rPr>
                <w:rFonts w:cs="Calibri"/>
                <w:color w:val="000000"/>
                <w:sz w:val="20"/>
                <w:szCs w:val="20"/>
              </w:rPr>
              <w:t> </w:t>
            </w:r>
            <w:r w:rsidRPr="0000214D">
              <w:rPr>
                <w:rFonts w:cs="Calibri"/>
                <w:color w:val="000000"/>
                <w:sz w:val="20"/>
                <w:szCs w:val="20"/>
              </w:rPr>
              <w:t>%</w:t>
            </w:r>
          </w:p>
        </w:tc>
        <w:tc>
          <w:tcPr>
            <w:tcW w:w="2041" w:type="dxa"/>
            <w:vAlign w:val="center"/>
          </w:tcPr>
          <w:p w14:paraId="25AEBA05" w14:textId="3CA961B2" w:rsidR="00B57597" w:rsidRPr="0000214D" w:rsidRDefault="00B57597" w:rsidP="00B35432">
            <w:pPr>
              <w:spacing w:after="0"/>
              <w:ind w:right="448"/>
              <w:jc w:val="right"/>
              <w:rPr>
                <w:rFonts w:eastAsia="Calibri" w:cs="Calibri"/>
                <w:color w:val="000000"/>
                <w:sz w:val="20"/>
                <w:szCs w:val="20"/>
              </w:rPr>
            </w:pPr>
            <w:r w:rsidRPr="0000214D">
              <w:rPr>
                <w:rFonts w:cs="Calibri"/>
                <w:color w:val="000000"/>
                <w:sz w:val="20"/>
                <w:szCs w:val="20"/>
              </w:rPr>
              <w:t>0,38</w:t>
            </w:r>
            <w:r w:rsidR="00B94DFC">
              <w:rPr>
                <w:rFonts w:cs="Calibri"/>
                <w:color w:val="000000"/>
                <w:sz w:val="20"/>
                <w:szCs w:val="20"/>
              </w:rPr>
              <w:t> </w:t>
            </w:r>
            <w:r w:rsidRPr="0000214D">
              <w:rPr>
                <w:rFonts w:cs="Calibri"/>
                <w:color w:val="000000"/>
                <w:sz w:val="20"/>
                <w:szCs w:val="20"/>
              </w:rPr>
              <w:t>%</w:t>
            </w:r>
          </w:p>
        </w:tc>
      </w:tr>
      <w:tr w:rsidR="00B35432" w:rsidRPr="0000214D" w14:paraId="23643680" w14:textId="77777777" w:rsidTr="00B35432">
        <w:trPr>
          <w:trHeight w:val="255"/>
          <w:jc w:val="center"/>
        </w:trPr>
        <w:tc>
          <w:tcPr>
            <w:tcW w:w="1134" w:type="dxa"/>
            <w:vAlign w:val="center"/>
          </w:tcPr>
          <w:p w14:paraId="4DE8BDCE" w14:textId="77777777" w:rsidR="00B57597" w:rsidRPr="0000214D" w:rsidRDefault="00B57597" w:rsidP="0000214D">
            <w:pPr>
              <w:spacing w:after="0"/>
              <w:jc w:val="center"/>
              <w:rPr>
                <w:rFonts w:cs="Calibri"/>
                <w:color w:val="000000"/>
                <w:sz w:val="20"/>
                <w:szCs w:val="20"/>
              </w:rPr>
            </w:pPr>
            <w:r w:rsidRPr="0000214D">
              <w:rPr>
                <w:rFonts w:cs="Calibri"/>
                <w:color w:val="000000"/>
                <w:sz w:val="20"/>
                <w:szCs w:val="20"/>
              </w:rPr>
              <w:t>219100</w:t>
            </w:r>
          </w:p>
        </w:tc>
        <w:tc>
          <w:tcPr>
            <w:tcW w:w="1928" w:type="dxa"/>
            <w:shd w:val="clear" w:color="auto" w:fill="auto"/>
            <w:noWrap/>
            <w:vAlign w:val="center"/>
          </w:tcPr>
          <w:p w14:paraId="74C65C5A"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224 677 280,00</w:t>
            </w:r>
          </w:p>
        </w:tc>
        <w:tc>
          <w:tcPr>
            <w:tcW w:w="1928" w:type="dxa"/>
            <w:shd w:val="clear" w:color="auto" w:fill="auto"/>
            <w:noWrap/>
            <w:vAlign w:val="center"/>
          </w:tcPr>
          <w:p w14:paraId="78D1E4B3"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221 721 113,83</w:t>
            </w:r>
          </w:p>
        </w:tc>
        <w:tc>
          <w:tcPr>
            <w:tcW w:w="1984" w:type="dxa"/>
            <w:shd w:val="clear" w:color="auto" w:fill="auto"/>
            <w:noWrap/>
            <w:vAlign w:val="center"/>
          </w:tcPr>
          <w:p w14:paraId="273F988C" w14:textId="3F6BF465"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0,47</w:t>
            </w:r>
            <w:r w:rsidR="00B94DFC">
              <w:rPr>
                <w:rFonts w:cs="Calibri"/>
                <w:color w:val="000000"/>
                <w:sz w:val="20"/>
                <w:szCs w:val="20"/>
              </w:rPr>
              <w:t> </w:t>
            </w:r>
            <w:r w:rsidRPr="0000214D">
              <w:rPr>
                <w:rFonts w:cs="Calibri"/>
                <w:color w:val="000000"/>
                <w:sz w:val="20"/>
                <w:szCs w:val="20"/>
              </w:rPr>
              <w:t>%</w:t>
            </w:r>
          </w:p>
        </w:tc>
        <w:tc>
          <w:tcPr>
            <w:tcW w:w="2041" w:type="dxa"/>
            <w:vAlign w:val="center"/>
          </w:tcPr>
          <w:p w14:paraId="4DCBED87" w14:textId="4915C394"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0,37</w:t>
            </w:r>
            <w:r w:rsidR="00B94DFC">
              <w:rPr>
                <w:rFonts w:cs="Calibri"/>
                <w:color w:val="000000"/>
                <w:sz w:val="20"/>
                <w:szCs w:val="20"/>
              </w:rPr>
              <w:t> </w:t>
            </w:r>
            <w:r w:rsidRPr="0000214D">
              <w:rPr>
                <w:rFonts w:cs="Calibri"/>
                <w:color w:val="000000"/>
                <w:sz w:val="20"/>
                <w:szCs w:val="20"/>
              </w:rPr>
              <w:t>%</w:t>
            </w:r>
          </w:p>
        </w:tc>
      </w:tr>
      <w:tr w:rsidR="00B35432" w:rsidRPr="0000214D" w14:paraId="3E9F7514" w14:textId="77777777" w:rsidTr="00B35432">
        <w:trPr>
          <w:trHeight w:val="255"/>
          <w:jc w:val="center"/>
        </w:trPr>
        <w:tc>
          <w:tcPr>
            <w:tcW w:w="1134" w:type="dxa"/>
            <w:vAlign w:val="center"/>
          </w:tcPr>
          <w:p w14:paraId="568B99E6" w14:textId="77777777" w:rsidR="00B57597" w:rsidRPr="0000214D" w:rsidRDefault="00B57597" w:rsidP="0000214D">
            <w:pPr>
              <w:spacing w:after="0"/>
              <w:jc w:val="center"/>
              <w:rPr>
                <w:rFonts w:cs="Calibri"/>
                <w:color w:val="000000"/>
                <w:sz w:val="20"/>
                <w:szCs w:val="20"/>
              </w:rPr>
            </w:pPr>
            <w:r w:rsidRPr="0000214D">
              <w:rPr>
                <w:rFonts w:cs="Calibri"/>
                <w:color w:val="000000"/>
                <w:sz w:val="20"/>
                <w:szCs w:val="20"/>
              </w:rPr>
              <w:t>374300</w:t>
            </w:r>
          </w:p>
        </w:tc>
        <w:tc>
          <w:tcPr>
            <w:tcW w:w="1928" w:type="dxa"/>
            <w:shd w:val="clear" w:color="auto" w:fill="auto"/>
            <w:noWrap/>
            <w:vAlign w:val="center"/>
          </w:tcPr>
          <w:p w14:paraId="449BFEBF"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154 005 642,00</w:t>
            </w:r>
          </w:p>
        </w:tc>
        <w:tc>
          <w:tcPr>
            <w:tcW w:w="1928" w:type="dxa"/>
            <w:shd w:val="clear" w:color="auto" w:fill="auto"/>
            <w:noWrap/>
            <w:vAlign w:val="center"/>
          </w:tcPr>
          <w:p w14:paraId="2F88B855"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148 195 180,00</w:t>
            </w:r>
          </w:p>
        </w:tc>
        <w:tc>
          <w:tcPr>
            <w:tcW w:w="1984" w:type="dxa"/>
            <w:shd w:val="clear" w:color="auto" w:fill="auto"/>
            <w:noWrap/>
            <w:vAlign w:val="center"/>
          </w:tcPr>
          <w:p w14:paraId="2B1471A4" w14:textId="2B8B9CEF"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0,32</w:t>
            </w:r>
            <w:r w:rsidR="00B94DFC">
              <w:rPr>
                <w:rFonts w:cs="Calibri"/>
                <w:color w:val="000000"/>
                <w:sz w:val="20"/>
                <w:szCs w:val="20"/>
              </w:rPr>
              <w:t> </w:t>
            </w:r>
            <w:r w:rsidRPr="0000214D">
              <w:rPr>
                <w:rFonts w:cs="Calibri"/>
                <w:color w:val="000000"/>
                <w:sz w:val="20"/>
                <w:szCs w:val="20"/>
              </w:rPr>
              <w:t>%</w:t>
            </w:r>
          </w:p>
        </w:tc>
        <w:tc>
          <w:tcPr>
            <w:tcW w:w="2041" w:type="dxa"/>
            <w:vAlign w:val="center"/>
          </w:tcPr>
          <w:p w14:paraId="4A587579" w14:textId="62FCDD67"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0,25</w:t>
            </w:r>
            <w:r w:rsidR="00B94DFC">
              <w:rPr>
                <w:rFonts w:cs="Calibri"/>
                <w:color w:val="000000"/>
                <w:sz w:val="20"/>
                <w:szCs w:val="20"/>
              </w:rPr>
              <w:t> </w:t>
            </w:r>
            <w:r w:rsidRPr="0000214D">
              <w:rPr>
                <w:rFonts w:cs="Calibri"/>
                <w:color w:val="000000"/>
                <w:sz w:val="20"/>
                <w:szCs w:val="20"/>
              </w:rPr>
              <w:t>%</w:t>
            </w:r>
          </w:p>
        </w:tc>
      </w:tr>
      <w:tr w:rsidR="00B35432" w:rsidRPr="0000214D" w14:paraId="2DB51227" w14:textId="77777777" w:rsidTr="00B35432">
        <w:trPr>
          <w:trHeight w:val="255"/>
          <w:jc w:val="center"/>
        </w:trPr>
        <w:tc>
          <w:tcPr>
            <w:tcW w:w="1134" w:type="dxa"/>
            <w:vAlign w:val="center"/>
          </w:tcPr>
          <w:p w14:paraId="065B5D1B" w14:textId="77777777" w:rsidR="00B57597" w:rsidRPr="0000214D" w:rsidRDefault="00B57597" w:rsidP="0000214D">
            <w:pPr>
              <w:spacing w:after="0"/>
              <w:jc w:val="center"/>
              <w:rPr>
                <w:rFonts w:cs="Calibri"/>
                <w:color w:val="000000"/>
                <w:sz w:val="20"/>
                <w:szCs w:val="20"/>
              </w:rPr>
            </w:pPr>
            <w:r w:rsidRPr="0000214D">
              <w:rPr>
                <w:rFonts w:cs="Calibri"/>
                <w:color w:val="000000"/>
                <w:sz w:val="20"/>
                <w:szCs w:val="20"/>
              </w:rPr>
              <w:t>212900</w:t>
            </w:r>
          </w:p>
        </w:tc>
        <w:tc>
          <w:tcPr>
            <w:tcW w:w="1928" w:type="dxa"/>
            <w:shd w:val="clear" w:color="auto" w:fill="auto"/>
            <w:noWrap/>
            <w:vAlign w:val="center"/>
          </w:tcPr>
          <w:p w14:paraId="7A0F8A4E"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400 000 000,00</w:t>
            </w:r>
          </w:p>
        </w:tc>
        <w:tc>
          <w:tcPr>
            <w:tcW w:w="1928" w:type="dxa"/>
            <w:shd w:val="clear" w:color="auto" w:fill="auto"/>
            <w:noWrap/>
            <w:vAlign w:val="center"/>
          </w:tcPr>
          <w:p w14:paraId="4139C6B3"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107 661 209,00</w:t>
            </w:r>
          </w:p>
        </w:tc>
        <w:tc>
          <w:tcPr>
            <w:tcW w:w="1984" w:type="dxa"/>
            <w:shd w:val="clear" w:color="auto" w:fill="auto"/>
            <w:noWrap/>
            <w:vAlign w:val="center"/>
          </w:tcPr>
          <w:p w14:paraId="60889E50" w14:textId="2610594A"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0,84</w:t>
            </w:r>
            <w:r w:rsidR="00B94DFC">
              <w:rPr>
                <w:rFonts w:cs="Calibri"/>
                <w:color w:val="000000"/>
                <w:sz w:val="20"/>
                <w:szCs w:val="20"/>
              </w:rPr>
              <w:t> </w:t>
            </w:r>
            <w:r w:rsidRPr="0000214D">
              <w:rPr>
                <w:rFonts w:cs="Calibri"/>
                <w:color w:val="000000"/>
                <w:sz w:val="20"/>
                <w:szCs w:val="20"/>
              </w:rPr>
              <w:t>%</w:t>
            </w:r>
          </w:p>
        </w:tc>
        <w:tc>
          <w:tcPr>
            <w:tcW w:w="2041" w:type="dxa"/>
            <w:vAlign w:val="center"/>
          </w:tcPr>
          <w:p w14:paraId="742E425E" w14:textId="19C6B40D"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0,18</w:t>
            </w:r>
            <w:r w:rsidR="00B94DFC">
              <w:rPr>
                <w:rFonts w:cs="Calibri"/>
                <w:color w:val="000000"/>
                <w:sz w:val="20"/>
                <w:szCs w:val="20"/>
              </w:rPr>
              <w:t> </w:t>
            </w:r>
            <w:r w:rsidRPr="0000214D">
              <w:rPr>
                <w:rFonts w:cs="Calibri"/>
                <w:color w:val="000000"/>
                <w:sz w:val="20"/>
                <w:szCs w:val="20"/>
              </w:rPr>
              <w:t>%</w:t>
            </w:r>
          </w:p>
        </w:tc>
      </w:tr>
      <w:tr w:rsidR="00B35432" w:rsidRPr="0000214D" w14:paraId="48E507A6" w14:textId="77777777" w:rsidTr="00B35432">
        <w:trPr>
          <w:trHeight w:val="255"/>
          <w:jc w:val="center"/>
        </w:trPr>
        <w:tc>
          <w:tcPr>
            <w:tcW w:w="1134" w:type="dxa"/>
            <w:vAlign w:val="center"/>
          </w:tcPr>
          <w:p w14:paraId="16861B57" w14:textId="77777777" w:rsidR="00B57597" w:rsidRPr="0000214D" w:rsidRDefault="00B57597" w:rsidP="0000214D">
            <w:pPr>
              <w:spacing w:after="0"/>
              <w:jc w:val="center"/>
              <w:rPr>
                <w:rFonts w:cs="Calibri"/>
                <w:color w:val="000000"/>
                <w:sz w:val="20"/>
                <w:szCs w:val="20"/>
              </w:rPr>
            </w:pPr>
            <w:r w:rsidRPr="0000214D">
              <w:rPr>
                <w:rFonts w:cs="Calibri"/>
                <w:color w:val="000000"/>
                <w:sz w:val="20"/>
                <w:szCs w:val="20"/>
              </w:rPr>
              <w:t>256200</w:t>
            </w:r>
          </w:p>
        </w:tc>
        <w:tc>
          <w:tcPr>
            <w:tcW w:w="1928" w:type="dxa"/>
            <w:shd w:val="clear" w:color="auto" w:fill="auto"/>
            <w:noWrap/>
            <w:vAlign w:val="center"/>
          </w:tcPr>
          <w:p w14:paraId="31D3A2C9"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65 000 000,00</w:t>
            </w:r>
          </w:p>
        </w:tc>
        <w:tc>
          <w:tcPr>
            <w:tcW w:w="1928" w:type="dxa"/>
            <w:shd w:val="clear" w:color="auto" w:fill="auto"/>
            <w:noWrap/>
            <w:vAlign w:val="center"/>
          </w:tcPr>
          <w:p w14:paraId="1F18CC1E"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83 880 000,00</w:t>
            </w:r>
          </w:p>
        </w:tc>
        <w:tc>
          <w:tcPr>
            <w:tcW w:w="1984" w:type="dxa"/>
            <w:shd w:val="clear" w:color="auto" w:fill="auto"/>
            <w:noWrap/>
            <w:vAlign w:val="center"/>
          </w:tcPr>
          <w:p w14:paraId="155B5F3C" w14:textId="5C3E24E7"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0,14</w:t>
            </w:r>
            <w:r w:rsidR="00B94DFC">
              <w:rPr>
                <w:rFonts w:cs="Calibri"/>
                <w:color w:val="000000"/>
                <w:sz w:val="20"/>
                <w:szCs w:val="20"/>
              </w:rPr>
              <w:t> </w:t>
            </w:r>
            <w:r w:rsidRPr="0000214D">
              <w:rPr>
                <w:rFonts w:cs="Calibri"/>
                <w:color w:val="000000"/>
                <w:sz w:val="20"/>
                <w:szCs w:val="20"/>
              </w:rPr>
              <w:t>%</w:t>
            </w:r>
          </w:p>
        </w:tc>
        <w:tc>
          <w:tcPr>
            <w:tcW w:w="2041" w:type="dxa"/>
            <w:vAlign w:val="center"/>
          </w:tcPr>
          <w:p w14:paraId="6D614D72" w14:textId="76F62552"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0,14</w:t>
            </w:r>
            <w:r w:rsidR="00B94DFC">
              <w:rPr>
                <w:rFonts w:cs="Calibri"/>
                <w:color w:val="000000"/>
                <w:sz w:val="20"/>
                <w:szCs w:val="20"/>
              </w:rPr>
              <w:t> </w:t>
            </w:r>
            <w:r w:rsidRPr="0000214D">
              <w:rPr>
                <w:rFonts w:cs="Calibri"/>
                <w:color w:val="000000"/>
                <w:sz w:val="20"/>
                <w:szCs w:val="20"/>
              </w:rPr>
              <w:t>%</w:t>
            </w:r>
          </w:p>
        </w:tc>
      </w:tr>
      <w:tr w:rsidR="00B35432" w:rsidRPr="0000214D" w14:paraId="406A8D20" w14:textId="77777777" w:rsidTr="00B35432">
        <w:trPr>
          <w:trHeight w:val="255"/>
          <w:jc w:val="center"/>
        </w:trPr>
        <w:tc>
          <w:tcPr>
            <w:tcW w:w="1134" w:type="dxa"/>
            <w:vAlign w:val="center"/>
          </w:tcPr>
          <w:p w14:paraId="15634140" w14:textId="77777777" w:rsidR="00B57597" w:rsidRPr="0000214D" w:rsidRDefault="00B57597" w:rsidP="0000214D">
            <w:pPr>
              <w:spacing w:after="0"/>
              <w:jc w:val="center"/>
              <w:rPr>
                <w:rFonts w:cs="Calibri"/>
                <w:color w:val="000000"/>
                <w:sz w:val="20"/>
                <w:szCs w:val="20"/>
              </w:rPr>
            </w:pPr>
            <w:r w:rsidRPr="0000214D">
              <w:rPr>
                <w:rFonts w:cs="Calibri"/>
                <w:color w:val="000000"/>
                <w:sz w:val="20"/>
                <w:szCs w:val="20"/>
              </w:rPr>
              <w:lastRenderedPageBreak/>
              <w:t>372900</w:t>
            </w:r>
          </w:p>
        </w:tc>
        <w:tc>
          <w:tcPr>
            <w:tcW w:w="1928" w:type="dxa"/>
            <w:shd w:val="clear" w:color="auto" w:fill="auto"/>
            <w:noWrap/>
            <w:vAlign w:val="center"/>
          </w:tcPr>
          <w:p w14:paraId="1BCAF4D7"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12 000 000,00</w:t>
            </w:r>
          </w:p>
        </w:tc>
        <w:tc>
          <w:tcPr>
            <w:tcW w:w="1928" w:type="dxa"/>
            <w:shd w:val="clear" w:color="auto" w:fill="auto"/>
            <w:noWrap/>
            <w:vAlign w:val="center"/>
          </w:tcPr>
          <w:p w14:paraId="541FA59C"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32 000 000,00</w:t>
            </w:r>
          </w:p>
        </w:tc>
        <w:tc>
          <w:tcPr>
            <w:tcW w:w="1984" w:type="dxa"/>
            <w:shd w:val="clear" w:color="auto" w:fill="auto"/>
            <w:noWrap/>
            <w:vAlign w:val="center"/>
          </w:tcPr>
          <w:p w14:paraId="5D2132C7" w14:textId="5C02A962"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0,03</w:t>
            </w:r>
            <w:r w:rsidR="00B94DFC">
              <w:rPr>
                <w:rFonts w:cs="Calibri"/>
                <w:color w:val="000000"/>
                <w:sz w:val="20"/>
                <w:szCs w:val="20"/>
              </w:rPr>
              <w:t> </w:t>
            </w:r>
            <w:r w:rsidRPr="0000214D">
              <w:rPr>
                <w:rFonts w:cs="Calibri"/>
                <w:color w:val="000000"/>
                <w:sz w:val="20"/>
                <w:szCs w:val="20"/>
              </w:rPr>
              <w:t>%</w:t>
            </w:r>
          </w:p>
        </w:tc>
        <w:tc>
          <w:tcPr>
            <w:tcW w:w="2041" w:type="dxa"/>
            <w:vAlign w:val="center"/>
          </w:tcPr>
          <w:p w14:paraId="5DA5E5B7" w14:textId="1E958F7E"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0,05</w:t>
            </w:r>
            <w:r w:rsidR="00B94DFC">
              <w:rPr>
                <w:rFonts w:cs="Calibri"/>
                <w:color w:val="000000"/>
                <w:sz w:val="20"/>
                <w:szCs w:val="20"/>
              </w:rPr>
              <w:t> </w:t>
            </w:r>
            <w:r w:rsidRPr="0000214D">
              <w:rPr>
                <w:rFonts w:cs="Calibri"/>
                <w:color w:val="000000"/>
                <w:sz w:val="20"/>
                <w:szCs w:val="20"/>
              </w:rPr>
              <w:t>%</w:t>
            </w:r>
          </w:p>
        </w:tc>
      </w:tr>
      <w:tr w:rsidR="00B35432" w:rsidRPr="0000214D" w14:paraId="23A22618" w14:textId="77777777" w:rsidTr="00B35432">
        <w:trPr>
          <w:trHeight w:val="255"/>
          <w:jc w:val="center"/>
        </w:trPr>
        <w:tc>
          <w:tcPr>
            <w:tcW w:w="1134" w:type="dxa"/>
            <w:vAlign w:val="center"/>
          </w:tcPr>
          <w:p w14:paraId="52B4D0D4" w14:textId="77777777" w:rsidR="00B57597" w:rsidRPr="0000214D" w:rsidRDefault="00B57597" w:rsidP="0000214D">
            <w:pPr>
              <w:spacing w:after="0"/>
              <w:jc w:val="center"/>
              <w:rPr>
                <w:rFonts w:cs="Calibri"/>
                <w:color w:val="000000"/>
                <w:sz w:val="20"/>
                <w:szCs w:val="20"/>
              </w:rPr>
            </w:pPr>
            <w:r w:rsidRPr="0000214D">
              <w:rPr>
                <w:rFonts w:cs="Calibri"/>
                <w:color w:val="000000"/>
                <w:sz w:val="20"/>
                <w:szCs w:val="20"/>
              </w:rPr>
              <w:t>213900</w:t>
            </w:r>
          </w:p>
        </w:tc>
        <w:tc>
          <w:tcPr>
            <w:tcW w:w="1928" w:type="dxa"/>
            <w:shd w:val="clear" w:color="auto" w:fill="auto"/>
            <w:noWrap/>
            <w:vAlign w:val="center"/>
          </w:tcPr>
          <w:p w14:paraId="7DBC2470"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52 265 000,00</w:t>
            </w:r>
          </w:p>
        </w:tc>
        <w:tc>
          <w:tcPr>
            <w:tcW w:w="1928" w:type="dxa"/>
            <w:shd w:val="clear" w:color="auto" w:fill="auto"/>
            <w:noWrap/>
            <w:vAlign w:val="center"/>
          </w:tcPr>
          <w:p w14:paraId="35CECB35"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22 889 808,68</w:t>
            </w:r>
          </w:p>
        </w:tc>
        <w:tc>
          <w:tcPr>
            <w:tcW w:w="1984" w:type="dxa"/>
            <w:shd w:val="clear" w:color="auto" w:fill="auto"/>
            <w:noWrap/>
            <w:vAlign w:val="center"/>
          </w:tcPr>
          <w:p w14:paraId="59568718" w14:textId="6D28F256"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0,11</w:t>
            </w:r>
            <w:r w:rsidR="00B94DFC">
              <w:rPr>
                <w:rFonts w:cs="Calibri"/>
                <w:color w:val="000000"/>
                <w:sz w:val="20"/>
                <w:szCs w:val="20"/>
              </w:rPr>
              <w:t> </w:t>
            </w:r>
            <w:r w:rsidRPr="0000214D">
              <w:rPr>
                <w:rFonts w:cs="Calibri"/>
                <w:color w:val="000000"/>
                <w:sz w:val="20"/>
                <w:szCs w:val="20"/>
              </w:rPr>
              <w:t>%</w:t>
            </w:r>
          </w:p>
        </w:tc>
        <w:tc>
          <w:tcPr>
            <w:tcW w:w="2041" w:type="dxa"/>
            <w:vAlign w:val="center"/>
          </w:tcPr>
          <w:p w14:paraId="67899190" w14:textId="6AAE93F0"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0,04</w:t>
            </w:r>
            <w:r w:rsidR="00B94DFC">
              <w:rPr>
                <w:rFonts w:cs="Calibri"/>
                <w:color w:val="000000"/>
                <w:sz w:val="20"/>
                <w:szCs w:val="20"/>
              </w:rPr>
              <w:t> </w:t>
            </w:r>
            <w:r w:rsidRPr="0000214D">
              <w:rPr>
                <w:rFonts w:cs="Calibri"/>
                <w:color w:val="000000"/>
                <w:sz w:val="20"/>
                <w:szCs w:val="20"/>
              </w:rPr>
              <w:t>%</w:t>
            </w:r>
          </w:p>
        </w:tc>
      </w:tr>
      <w:tr w:rsidR="00B35432" w:rsidRPr="0000214D" w14:paraId="3DCFF59B" w14:textId="77777777" w:rsidTr="00B35432">
        <w:trPr>
          <w:trHeight w:val="255"/>
          <w:jc w:val="center"/>
        </w:trPr>
        <w:tc>
          <w:tcPr>
            <w:tcW w:w="1134" w:type="dxa"/>
            <w:vAlign w:val="center"/>
          </w:tcPr>
          <w:p w14:paraId="1E9C25F6" w14:textId="77777777" w:rsidR="00B57597" w:rsidRPr="0000214D" w:rsidRDefault="00B57597" w:rsidP="0000214D">
            <w:pPr>
              <w:spacing w:after="0"/>
              <w:jc w:val="center"/>
              <w:rPr>
                <w:rFonts w:cs="Calibri"/>
                <w:color w:val="000000"/>
                <w:sz w:val="20"/>
                <w:szCs w:val="20"/>
              </w:rPr>
            </w:pPr>
            <w:r w:rsidRPr="0000214D">
              <w:rPr>
                <w:rFonts w:cs="Calibri"/>
                <w:color w:val="000000"/>
                <w:sz w:val="20"/>
                <w:szCs w:val="20"/>
              </w:rPr>
              <w:t>251000</w:t>
            </w:r>
          </w:p>
        </w:tc>
        <w:tc>
          <w:tcPr>
            <w:tcW w:w="1928" w:type="dxa"/>
            <w:shd w:val="clear" w:color="auto" w:fill="auto"/>
            <w:noWrap/>
            <w:vAlign w:val="center"/>
          </w:tcPr>
          <w:p w14:paraId="67690D88"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19 790 000,00</w:t>
            </w:r>
          </w:p>
        </w:tc>
        <w:tc>
          <w:tcPr>
            <w:tcW w:w="1928" w:type="dxa"/>
            <w:shd w:val="clear" w:color="auto" w:fill="auto"/>
            <w:noWrap/>
            <w:vAlign w:val="center"/>
          </w:tcPr>
          <w:p w14:paraId="4438F8F7"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19 790 000,00</w:t>
            </w:r>
          </w:p>
        </w:tc>
        <w:tc>
          <w:tcPr>
            <w:tcW w:w="1984" w:type="dxa"/>
            <w:shd w:val="clear" w:color="auto" w:fill="auto"/>
            <w:noWrap/>
            <w:vAlign w:val="center"/>
          </w:tcPr>
          <w:p w14:paraId="58B3FE69" w14:textId="56E5AFFF"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0,04</w:t>
            </w:r>
            <w:r w:rsidR="00B94DFC">
              <w:rPr>
                <w:rFonts w:cs="Calibri"/>
                <w:color w:val="000000"/>
                <w:sz w:val="20"/>
                <w:szCs w:val="20"/>
              </w:rPr>
              <w:t> </w:t>
            </w:r>
            <w:r w:rsidRPr="0000214D">
              <w:rPr>
                <w:rFonts w:cs="Calibri"/>
                <w:color w:val="000000"/>
                <w:sz w:val="20"/>
                <w:szCs w:val="20"/>
              </w:rPr>
              <w:t>%</w:t>
            </w:r>
          </w:p>
        </w:tc>
        <w:tc>
          <w:tcPr>
            <w:tcW w:w="2041" w:type="dxa"/>
            <w:vAlign w:val="center"/>
          </w:tcPr>
          <w:p w14:paraId="0C33E474" w14:textId="466E3CBF"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0,03</w:t>
            </w:r>
            <w:r w:rsidR="00B94DFC">
              <w:rPr>
                <w:rFonts w:cs="Calibri"/>
                <w:color w:val="000000"/>
                <w:sz w:val="20"/>
                <w:szCs w:val="20"/>
              </w:rPr>
              <w:t> </w:t>
            </w:r>
            <w:r w:rsidRPr="0000214D">
              <w:rPr>
                <w:rFonts w:cs="Calibri"/>
                <w:color w:val="000000"/>
                <w:sz w:val="20"/>
                <w:szCs w:val="20"/>
              </w:rPr>
              <w:t>%</w:t>
            </w:r>
          </w:p>
        </w:tc>
      </w:tr>
      <w:tr w:rsidR="00B35432" w:rsidRPr="0000214D" w14:paraId="5A4BA197" w14:textId="77777777" w:rsidTr="00B35432">
        <w:trPr>
          <w:trHeight w:val="255"/>
          <w:jc w:val="center"/>
        </w:trPr>
        <w:tc>
          <w:tcPr>
            <w:tcW w:w="1134" w:type="dxa"/>
            <w:vAlign w:val="center"/>
          </w:tcPr>
          <w:p w14:paraId="6E0E0F60" w14:textId="77777777" w:rsidR="00B57597" w:rsidRPr="0000214D" w:rsidRDefault="00B57597" w:rsidP="0000214D">
            <w:pPr>
              <w:spacing w:after="0"/>
              <w:jc w:val="center"/>
              <w:rPr>
                <w:rFonts w:cs="Calibri"/>
                <w:color w:val="000000"/>
                <w:sz w:val="20"/>
                <w:szCs w:val="20"/>
              </w:rPr>
            </w:pPr>
            <w:r w:rsidRPr="0000214D">
              <w:rPr>
                <w:rFonts w:cs="Calibri"/>
                <w:color w:val="000000"/>
                <w:sz w:val="20"/>
                <w:szCs w:val="20"/>
              </w:rPr>
              <w:t>214100</w:t>
            </w:r>
          </w:p>
        </w:tc>
        <w:tc>
          <w:tcPr>
            <w:tcW w:w="1928" w:type="dxa"/>
            <w:shd w:val="clear" w:color="auto" w:fill="auto"/>
            <w:noWrap/>
            <w:vAlign w:val="center"/>
          </w:tcPr>
          <w:p w14:paraId="2C70CE70"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21 000 000,00</w:t>
            </w:r>
          </w:p>
        </w:tc>
        <w:tc>
          <w:tcPr>
            <w:tcW w:w="1928" w:type="dxa"/>
            <w:shd w:val="clear" w:color="auto" w:fill="auto"/>
            <w:noWrap/>
            <w:vAlign w:val="center"/>
          </w:tcPr>
          <w:p w14:paraId="7EAC5C33"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19 123 452,00</w:t>
            </w:r>
          </w:p>
        </w:tc>
        <w:tc>
          <w:tcPr>
            <w:tcW w:w="1984" w:type="dxa"/>
            <w:shd w:val="clear" w:color="auto" w:fill="auto"/>
            <w:noWrap/>
            <w:vAlign w:val="center"/>
          </w:tcPr>
          <w:p w14:paraId="355A159A" w14:textId="449DB310"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0,04</w:t>
            </w:r>
            <w:r w:rsidR="00B94DFC">
              <w:rPr>
                <w:rFonts w:cs="Calibri"/>
                <w:color w:val="000000"/>
                <w:sz w:val="20"/>
                <w:szCs w:val="20"/>
              </w:rPr>
              <w:t> </w:t>
            </w:r>
            <w:r w:rsidRPr="0000214D">
              <w:rPr>
                <w:rFonts w:cs="Calibri"/>
                <w:color w:val="000000"/>
                <w:sz w:val="20"/>
                <w:szCs w:val="20"/>
              </w:rPr>
              <w:t>%</w:t>
            </w:r>
          </w:p>
        </w:tc>
        <w:tc>
          <w:tcPr>
            <w:tcW w:w="2041" w:type="dxa"/>
            <w:vAlign w:val="center"/>
          </w:tcPr>
          <w:p w14:paraId="5BFB7F33" w14:textId="0E1D4E12"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0,03</w:t>
            </w:r>
            <w:r w:rsidR="00B94DFC">
              <w:rPr>
                <w:rFonts w:cs="Calibri"/>
                <w:color w:val="000000"/>
                <w:sz w:val="20"/>
                <w:szCs w:val="20"/>
              </w:rPr>
              <w:t> </w:t>
            </w:r>
            <w:r w:rsidRPr="0000214D">
              <w:rPr>
                <w:rFonts w:cs="Calibri"/>
                <w:color w:val="000000"/>
                <w:sz w:val="20"/>
                <w:szCs w:val="20"/>
              </w:rPr>
              <w:t>%</w:t>
            </w:r>
          </w:p>
        </w:tc>
      </w:tr>
      <w:tr w:rsidR="00B35432" w:rsidRPr="0000214D" w14:paraId="1F666AE4" w14:textId="77777777" w:rsidTr="00B35432">
        <w:trPr>
          <w:trHeight w:val="255"/>
          <w:jc w:val="center"/>
        </w:trPr>
        <w:tc>
          <w:tcPr>
            <w:tcW w:w="1134" w:type="dxa"/>
            <w:vAlign w:val="center"/>
          </w:tcPr>
          <w:p w14:paraId="2283046F" w14:textId="77777777" w:rsidR="00B57597" w:rsidRPr="0000214D" w:rsidRDefault="00B57597" w:rsidP="0000214D">
            <w:pPr>
              <w:spacing w:after="0"/>
              <w:jc w:val="center"/>
              <w:rPr>
                <w:rFonts w:cs="Calibri"/>
                <w:color w:val="000000"/>
                <w:sz w:val="20"/>
                <w:szCs w:val="20"/>
              </w:rPr>
            </w:pPr>
            <w:r w:rsidRPr="0000214D">
              <w:rPr>
                <w:rFonts w:cs="Calibri"/>
                <w:color w:val="000000"/>
                <w:sz w:val="20"/>
                <w:szCs w:val="20"/>
              </w:rPr>
              <w:t>259000</w:t>
            </w:r>
          </w:p>
        </w:tc>
        <w:tc>
          <w:tcPr>
            <w:tcW w:w="1928" w:type="dxa"/>
            <w:shd w:val="clear" w:color="auto" w:fill="auto"/>
            <w:noWrap/>
            <w:vAlign w:val="center"/>
          </w:tcPr>
          <w:p w14:paraId="174DE35A"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16 319 000,00</w:t>
            </w:r>
          </w:p>
        </w:tc>
        <w:tc>
          <w:tcPr>
            <w:tcW w:w="1928" w:type="dxa"/>
            <w:shd w:val="clear" w:color="auto" w:fill="auto"/>
            <w:noWrap/>
            <w:vAlign w:val="center"/>
          </w:tcPr>
          <w:p w14:paraId="2217C30C"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13 138 474,35</w:t>
            </w:r>
          </w:p>
        </w:tc>
        <w:tc>
          <w:tcPr>
            <w:tcW w:w="1984" w:type="dxa"/>
            <w:shd w:val="clear" w:color="auto" w:fill="auto"/>
            <w:noWrap/>
            <w:vAlign w:val="center"/>
          </w:tcPr>
          <w:p w14:paraId="04A2648D" w14:textId="70EB3617"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0,03</w:t>
            </w:r>
            <w:r w:rsidR="00B94DFC">
              <w:rPr>
                <w:rFonts w:cs="Calibri"/>
                <w:color w:val="000000"/>
                <w:sz w:val="20"/>
                <w:szCs w:val="20"/>
              </w:rPr>
              <w:t> </w:t>
            </w:r>
            <w:r w:rsidRPr="0000214D">
              <w:rPr>
                <w:rFonts w:cs="Calibri"/>
                <w:color w:val="000000"/>
                <w:sz w:val="20"/>
                <w:szCs w:val="20"/>
              </w:rPr>
              <w:t>%</w:t>
            </w:r>
          </w:p>
        </w:tc>
        <w:tc>
          <w:tcPr>
            <w:tcW w:w="2041" w:type="dxa"/>
            <w:vAlign w:val="center"/>
          </w:tcPr>
          <w:p w14:paraId="64F829BF" w14:textId="1548C47C"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0,02</w:t>
            </w:r>
            <w:r w:rsidR="00B94DFC">
              <w:rPr>
                <w:rFonts w:cs="Calibri"/>
                <w:color w:val="000000"/>
                <w:sz w:val="20"/>
                <w:szCs w:val="20"/>
              </w:rPr>
              <w:t> </w:t>
            </w:r>
            <w:r w:rsidRPr="0000214D">
              <w:rPr>
                <w:rFonts w:cs="Calibri"/>
                <w:color w:val="000000"/>
                <w:sz w:val="20"/>
                <w:szCs w:val="20"/>
              </w:rPr>
              <w:t>%</w:t>
            </w:r>
          </w:p>
        </w:tc>
      </w:tr>
      <w:tr w:rsidR="00B35432" w:rsidRPr="0000214D" w14:paraId="56363603" w14:textId="77777777" w:rsidTr="00B35432">
        <w:trPr>
          <w:trHeight w:val="255"/>
          <w:jc w:val="center"/>
        </w:trPr>
        <w:tc>
          <w:tcPr>
            <w:tcW w:w="1134" w:type="dxa"/>
            <w:vAlign w:val="center"/>
          </w:tcPr>
          <w:p w14:paraId="371F72E3" w14:textId="77777777" w:rsidR="00B57597" w:rsidRPr="0000214D" w:rsidRDefault="00B57597" w:rsidP="0000214D">
            <w:pPr>
              <w:spacing w:after="0"/>
              <w:jc w:val="center"/>
              <w:rPr>
                <w:rFonts w:cs="Calibri"/>
                <w:color w:val="000000"/>
                <w:sz w:val="20"/>
                <w:szCs w:val="20"/>
              </w:rPr>
            </w:pPr>
            <w:r w:rsidRPr="0000214D">
              <w:rPr>
                <w:rFonts w:cs="Calibri"/>
                <w:color w:val="000000"/>
                <w:sz w:val="20"/>
                <w:szCs w:val="20"/>
              </w:rPr>
              <w:t>622230</w:t>
            </w:r>
          </w:p>
        </w:tc>
        <w:tc>
          <w:tcPr>
            <w:tcW w:w="1928" w:type="dxa"/>
            <w:shd w:val="clear" w:color="auto" w:fill="auto"/>
            <w:noWrap/>
            <w:vAlign w:val="center"/>
          </w:tcPr>
          <w:p w14:paraId="4C8741EF"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0,00</w:t>
            </w:r>
          </w:p>
        </w:tc>
        <w:tc>
          <w:tcPr>
            <w:tcW w:w="1928" w:type="dxa"/>
            <w:shd w:val="clear" w:color="auto" w:fill="auto"/>
            <w:noWrap/>
            <w:vAlign w:val="center"/>
          </w:tcPr>
          <w:p w14:paraId="7BF954FF"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5 488 845,90</w:t>
            </w:r>
          </w:p>
        </w:tc>
        <w:tc>
          <w:tcPr>
            <w:tcW w:w="1984" w:type="dxa"/>
            <w:shd w:val="clear" w:color="auto" w:fill="auto"/>
            <w:noWrap/>
            <w:vAlign w:val="center"/>
          </w:tcPr>
          <w:p w14:paraId="273EBF69" w14:textId="0A8702ED"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0,00</w:t>
            </w:r>
            <w:r w:rsidR="00B94DFC">
              <w:rPr>
                <w:rFonts w:cs="Calibri"/>
                <w:color w:val="000000"/>
                <w:sz w:val="20"/>
                <w:szCs w:val="20"/>
              </w:rPr>
              <w:t> </w:t>
            </w:r>
            <w:r w:rsidRPr="0000214D">
              <w:rPr>
                <w:rFonts w:cs="Calibri"/>
                <w:color w:val="000000"/>
                <w:sz w:val="20"/>
                <w:szCs w:val="20"/>
              </w:rPr>
              <w:t>%</w:t>
            </w:r>
          </w:p>
        </w:tc>
        <w:tc>
          <w:tcPr>
            <w:tcW w:w="2041" w:type="dxa"/>
            <w:vAlign w:val="center"/>
          </w:tcPr>
          <w:p w14:paraId="2D41F3E4" w14:textId="23A68883"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0,01</w:t>
            </w:r>
            <w:r w:rsidR="00B94DFC">
              <w:rPr>
                <w:rFonts w:cs="Calibri"/>
                <w:color w:val="000000"/>
                <w:sz w:val="20"/>
                <w:szCs w:val="20"/>
              </w:rPr>
              <w:t> </w:t>
            </w:r>
            <w:r w:rsidRPr="0000214D">
              <w:rPr>
                <w:rFonts w:cs="Calibri"/>
                <w:color w:val="000000"/>
                <w:sz w:val="20"/>
                <w:szCs w:val="20"/>
              </w:rPr>
              <w:t>%</w:t>
            </w:r>
          </w:p>
        </w:tc>
      </w:tr>
      <w:tr w:rsidR="00B35432" w:rsidRPr="0000214D" w14:paraId="56056F4E" w14:textId="77777777" w:rsidTr="00B35432">
        <w:trPr>
          <w:trHeight w:val="255"/>
          <w:jc w:val="center"/>
        </w:trPr>
        <w:tc>
          <w:tcPr>
            <w:tcW w:w="1134" w:type="dxa"/>
            <w:vAlign w:val="center"/>
          </w:tcPr>
          <w:p w14:paraId="78C2F62A" w14:textId="77777777" w:rsidR="00B57597" w:rsidRPr="0000214D" w:rsidRDefault="00B57597" w:rsidP="0000214D">
            <w:pPr>
              <w:spacing w:after="0"/>
              <w:jc w:val="center"/>
              <w:rPr>
                <w:rFonts w:cs="Calibri"/>
                <w:color w:val="000000"/>
                <w:sz w:val="20"/>
                <w:szCs w:val="20"/>
              </w:rPr>
            </w:pPr>
            <w:r w:rsidRPr="0000214D">
              <w:rPr>
                <w:rFonts w:cs="Calibri"/>
                <w:color w:val="000000"/>
                <w:sz w:val="20"/>
                <w:szCs w:val="20"/>
              </w:rPr>
              <w:t>218219</w:t>
            </w:r>
          </w:p>
        </w:tc>
        <w:tc>
          <w:tcPr>
            <w:tcW w:w="1928" w:type="dxa"/>
            <w:shd w:val="clear" w:color="auto" w:fill="auto"/>
            <w:noWrap/>
            <w:vAlign w:val="center"/>
          </w:tcPr>
          <w:p w14:paraId="6A6AAABB"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4 000 000,00</w:t>
            </w:r>
          </w:p>
        </w:tc>
        <w:tc>
          <w:tcPr>
            <w:tcW w:w="1928" w:type="dxa"/>
            <w:shd w:val="clear" w:color="auto" w:fill="auto"/>
            <w:noWrap/>
            <w:vAlign w:val="center"/>
          </w:tcPr>
          <w:p w14:paraId="1924C358"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4 167 204,00</w:t>
            </w:r>
          </w:p>
        </w:tc>
        <w:tc>
          <w:tcPr>
            <w:tcW w:w="1984" w:type="dxa"/>
            <w:shd w:val="clear" w:color="auto" w:fill="auto"/>
            <w:noWrap/>
            <w:vAlign w:val="center"/>
          </w:tcPr>
          <w:p w14:paraId="3266C0AA" w14:textId="7887E73B"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0,01</w:t>
            </w:r>
            <w:r w:rsidR="00B94DFC">
              <w:rPr>
                <w:rFonts w:cs="Calibri"/>
                <w:color w:val="000000"/>
                <w:sz w:val="20"/>
                <w:szCs w:val="20"/>
              </w:rPr>
              <w:t> </w:t>
            </w:r>
            <w:r w:rsidRPr="0000214D">
              <w:rPr>
                <w:rFonts w:cs="Calibri"/>
                <w:color w:val="000000"/>
                <w:sz w:val="20"/>
                <w:szCs w:val="20"/>
              </w:rPr>
              <w:t>%</w:t>
            </w:r>
          </w:p>
        </w:tc>
        <w:tc>
          <w:tcPr>
            <w:tcW w:w="2041" w:type="dxa"/>
            <w:vAlign w:val="center"/>
          </w:tcPr>
          <w:p w14:paraId="2AFA0E5A" w14:textId="46CFDDA9"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0,01</w:t>
            </w:r>
            <w:r w:rsidR="00B94DFC">
              <w:rPr>
                <w:rFonts w:cs="Calibri"/>
                <w:color w:val="000000"/>
                <w:sz w:val="20"/>
                <w:szCs w:val="20"/>
              </w:rPr>
              <w:t> </w:t>
            </w:r>
            <w:r w:rsidRPr="0000214D">
              <w:rPr>
                <w:rFonts w:cs="Calibri"/>
                <w:color w:val="000000"/>
                <w:sz w:val="20"/>
                <w:szCs w:val="20"/>
              </w:rPr>
              <w:t>%</w:t>
            </w:r>
          </w:p>
        </w:tc>
      </w:tr>
      <w:tr w:rsidR="00B35432" w:rsidRPr="0000214D" w14:paraId="41FD213B" w14:textId="77777777" w:rsidTr="00B35432">
        <w:trPr>
          <w:trHeight w:val="255"/>
          <w:jc w:val="center"/>
        </w:trPr>
        <w:tc>
          <w:tcPr>
            <w:tcW w:w="1134" w:type="dxa"/>
            <w:vAlign w:val="center"/>
          </w:tcPr>
          <w:p w14:paraId="298BF0A8" w14:textId="77777777" w:rsidR="00B57597" w:rsidRPr="0000214D" w:rsidRDefault="00B57597" w:rsidP="0000214D">
            <w:pPr>
              <w:spacing w:after="0"/>
              <w:jc w:val="center"/>
              <w:rPr>
                <w:rFonts w:cs="Calibri"/>
                <w:color w:val="000000"/>
                <w:sz w:val="20"/>
                <w:szCs w:val="20"/>
              </w:rPr>
            </w:pPr>
            <w:r w:rsidRPr="0000214D">
              <w:rPr>
                <w:rFonts w:cs="Calibri"/>
                <w:color w:val="000000"/>
                <w:sz w:val="20"/>
                <w:szCs w:val="20"/>
              </w:rPr>
              <w:t>249100</w:t>
            </w:r>
          </w:p>
        </w:tc>
        <w:tc>
          <w:tcPr>
            <w:tcW w:w="1928" w:type="dxa"/>
            <w:shd w:val="clear" w:color="auto" w:fill="auto"/>
            <w:noWrap/>
            <w:vAlign w:val="center"/>
          </w:tcPr>
          <w:p w14:paraId="789C3764"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405 000,00</w:t>
            </w:r>
          </w:p>
        </w:tc>
        <w:tc>
          <w:tcPr>
            <w:tcW w:w="1928" w:type="dxa"/>
            <w:shd w:val="clear" w:color="auto" w:fill="auto"/>
            <w:noWrap/>
            <w:vAlign w:val="center"/>
          </w:tcPr>
          <w:p w14:paraId="1C05F9C8" w14:textId="77777777" w:rsidR="00B57597" w:rsidRPr="0000214D" w:rsidRDefault="00B57597" w:rsidP="00B35432">
            <w:pPr>
              <w:spacing w:after="0"/>
              <w:ind w:right="113"/>
              <w:jc w:val="right"/>
              <w:rPr>
                <w:rFonts w:cs="Calibri"/>
                <w:color w:val="000000"/>
                <w:sz w:val="20"/>
                <w:szCs w:val="20"/>
              </w:rPr>
            </w:pPr>
            <w:r w:rsidRPr="0000214D">
              <w:rPr>
                <w:rFonts w:cs="Calibri"/>
                <w:color w:val="000000"/>
                <w:sz w:val="20"/>
                <w:szCs w:val="20"/>
              </w:rPr>
              <w:t>243 099,67</w:t>
            </w:r>
          </w:p>
        </w:tc>
        <w:tc>
          <w:tcPr>
            <w:tcW w:w="1984" w:type="dxa"/>
            <w:shd w:val="clear" w:color="auto" w:fill="auto"/>
            <w:noWrap/>
            <w:vAlign w:val="center"/>
          </w:tcPr>
          <w:p w14:paraId="2C4C2A46" w14:textId="10BEB7ED"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0,00</w:t>
            </w:r>
            <w:r w:rsidR="00B94DFC">
              <w:rPr>
                <w:rFonts w:cs="Calibri"/>
                <w:color w:val="000000"/>
                <w:sz w:val="20"/>
                <w:szCs w:val="20"/>
              </w:rPr>
              <w:t> </w:t>
            </w:r>
            <w:r w:rsidRPr="0000214D">
              <w:rPr>
                <w:rFonts w:cs="Calibri"/>
                <w:color w:val="000000"/>
                <w:sz w:val="20"/>
                <w:szCs w:val="20"/>
              </w:rPr>
              <w:t>%</w:t>
            </w:r>
          </w:p>
        </w:tc>
        <w:tc>
          <w:tcPr>
            <w:tcW w:w="2041" w:type="dxa"/>
            <w:vAlign w:val="center"/>
          </w:tcPr>
          <w:p w14:paraId="00FE9740" w14:textId="2F776E98" w:rsidR="00B57597" w:rsidRPr="0000214D" w:rsidRDefault="00B57597" w:rsidP="00B35432">
            <w:pPr>
              <w:spacing w:after="0"/>
              <w:ind w:right="448"/>
              <w:jc w:val="right"/>
              <w:rPr>
                <w:rFonts w:cs="Calibri"/>
                <w:color w:val="000000"/>
                <w:sz w:val="20"/>
                <w:szCs w:val="20"/>
              </w:rPr>
            </w:pPr>
            <w:r w:rsidRPr="0000214D">
              <w:rPr>
                <w:rFonts w:cs="Calibri"/>
                <w:color w:val="000000"/>
                <w:sz w:val="20"/>
                <w:szCs w:val="20"/>
              </w:rPr>
              <w:t>0,00</w:t>
            </w:r>
            <w:r w:rsidR="00B94DFC">
              <w:rPr>
                <w:rFonts w:cs="Calibri"/>
                <w:color w:val="000000"/>
                <w:sz w:val="20"/>
                <w:szCs w:val="20"/>
              </w:rPr>
              <w:t> </w:t>
            </w:r>
            <w:r w:rsidRPr="0000214D">
              <w:rPr>
                <w:rFonts w:cs="Calibri"/>
                <w:color w:val="000000"/>
                <w:sz w:val="20"/>
                <w:szCs w:val="20"/>
              </w:rPr>
              <w:t>%</w:t>
            </w:r>
          </w:p>
        </w:tc>
      </w:tr>
      <w:tr w:rsidR="00B35432" w:rsidRPr="0000214D" w14:paraId="2961CF5D" w14:textId="77777777" w:rsidTr="00B35432">
        <w:trPr>
          <w:trHeight w:val="255"/>
          <w:jc w:val="center"/>
        </w:trPr>
        <w:tc>
          <w:tcPr>
            <w:tcW w:w="1134" w:type="dxa"/>
            <w:shd w:val="clear" w:color="auto" w:fill="F2C6C9"/>
            <w:vAlign w:val="center"/>
          </w:tcPr>
          <w:p w14:paraId="26F0AA01" w14:textId="77777777" w:rsidR="00B57597" w:rsidRPr="0000214D" w:rsidRDefault="00B57597" w:rsidP="0000214D">
            <w:pPr>
              <w:spacing w:after="0"/>
              <w:jc w:val="center"/>
              <w:rPr>
                <w:rFonts w:eastAsia="Calibri" w:cs="Calibri"/>
                <w:b/>
                <w:color w:val="000000"/>
                <w:sz w:val="20"/>
                <w:szCs w:val="20"/>
              </w:rPr>
            </w:pPr>
            <w:r w:rsidRPr="0000214D">
              <w:rPr>
                <w:rFonts w:cs="Calibri"/>
                <w:b/>
                <w:bCs/>
                <w:color w:val="000000"/>
                <w:sz w:val="20"/>
                <w:szCs w:val="20"/>
              </w:rPr>
              <w:t>Celkem</w:t>
            </w:r>
          </w:p>
        </w:tc>
        <w:tc>
          <w:tcPr>
            <w:tcW w:w="1928" w:type="dxa"/>
            <w:shd w:val="clear" w:color="auto" w:fill="F2C6C9"/>
            <w:noWrap/>
            <w:vAlign w:val="center"/>
          </w:tcPr>
          <w:p w14:paraId="79B6B7EF" w14:textId="77777777" w:rsidR="00B57597" w:rsidRPr="0000214D" w:rsidRDefault="00B57597" w:rsidP="00B35432">
            <w:pPr>
              <w:spacing w:after="0"/>
              <w:ind w:right="113"/>
              <w:jc w:val="right"/>
              <w:rPr>
                <w:rFonts w:eastAsia="Calibri" w:cs="Calibri"/>
                <w:b/>
                <w:color w:val="000000"/>
                <w:sz w:val="20"/>
                <w:szCs w:val="20"/>
              </w:rPr>
            </w:pPr>
            <w:r w:rsidRPr="0000214D">
              <w:rPr>
                <w:rFonts w:cs="Calibri"/>
                <w:b/>
                <w:bCs/>
                <w:color w:val="000000"/>
                <w:sz w:val="20"/>
                <w:szCs w:val="20"/>
              </w:rPr>
              <w:t>47 725 646 394,00</w:t>
            </w:r>
          </w:p>
        </w:tc>
        <w:tc>
          <w:tcPr>
            <w:tcW w:w="1928" w:type="dxa"/>
            <w:shd w:val="clear" w:color="auto" w:fill="F2C6C9"/>
            <w:noWrap/>
            <w:vAlign w:val="center"/>
          </w:tcPr>
          <w:p w14:paraId="71BB4847" w14:textId="77777777" w:rsidR="00B57597" w:rsidRPr="0000214D" w:rsidRDefault="00B57597" w:rsidP="00B35432">
            <w:pPr>
              <w:spacing w:after="0"/>
              <w:ind w:right="113"/>
              <w:jc w:val="right"/>
              <w:rPr>
                <w:rFonts w:eastAsia="Calibri" w:cs="Calibri"/>
                <w:b/>
                <w:color w:val="000000"/>
                <w:sz w:val="20"/>
                <w:szCs w:val="20"/>
              </w:rPr>
            </w:pPr>
            <w:r w:rsidRPr="0000214D">
              <w:rPr>
                <w:rFonts w:cs="Calibri"/>
                <w:b/>
                <w:bCs/>
                <w:color w:val="000000"/>
                <w:sz w:val="20"/>
                <w:szCs w:val="20"/>
              </w:rPr>
              <w:t>59 589 141 370,27</w:t>
            </w:r>
          </w:p>
        </w:tc>
        <w:tc>
          <w:tcPr>
            <w:tcW w:w="1984" w:type="dxa"/>
            <w:shd w:val="clear" w:color="auto" w:fill="F2C6C9"/>
            <w:noWrap/>
            <w:vAlign w:val="center"/>
          </w:tcPr>
          <w:p w14:paraId="38D0C0C2" w14:textId="7FA2AB60" w:rsidR="00B57597" w:rsidRPr="0000214D" w:rsidRDefault="00B57597" w:rsidP="00B35432">
            <w:pPr>
              <w:spacing w:after="0"/>
              <w:ind w:right="448"/>
              <w:jc w:val="right"/>
              <w:rPr>
                <w:rFonts w:eastAsia="Calibri" w:cs="Calibri"/>
                <w:b/>
                <w:color w:val="000000"/>
                <w:sz w:val="20"/>
                <w:szCs w:val="20"/>
              </w:rPr>
            </w:pPr>
            <w:r w:rsidRPr="0000214D">
              <w:rPr>
                <w:rFonts w:cs="Calibri"/>
                <w:b/>
                <w:bCs/>
                <w:color w:val="000000"/>
                <w:sz w:val="20"/>
                <w:szCs w:val="20"/>
              </w:rPr>
              <w:t>100,00</w:t>
            </w:r>
            <w:r w:rsidR="00B94DFC">
              <w:rPr>
                <w:rFonts w:cs="Calibri"/>
                <w:b/>
                <w:bCs/>
                <w:color w:val="000000"/>
                <w:sz w:val="20"/>
                <w:szCs w:val="20"/>
              </w:rPr>
              <w:t> </w:t>
            </w:r>
            <w:r w:rsidRPr="0000214D">
              <w:rPr>
                <w:rFonts w:cs="Calibri"/>
                <w:b/>
                <w:bCs/>
                <w:color w:val="000000"/>
                <w:sz w:val="20"/>
                <w:szCs w:val="20"/>
              </w:rPr>
              <w:t>%</w:t>
            </w:r>
          </w:p>
        </w:tc>
        <w:tc>
          <w:tcPr>
            <w:tcW w:w="2041" w:type="dxa"/>
            <w:shd w:val="clear" w:color="auto" w:fill="F2C6C9"/>
            <w:vAlign w:val="center"/>
          </w:tcPr>
          <w:p w14:paraId="3B7F9AC8" w14:textId="13DA7AAA" w:rsidR="00B57597" w:rsidRPr="0000214D" w:rsidRDefault="00B57597" w:rsidP="00B35432">
            <w:pPr>
              <w:spacing w:after="0"/>
              <w:ind w:right="448"/>
              <w:jc w:val="right"/>
              <w:rPr>
                <w:rFonts w:eastAsia="Calibri" w:cs="Calibri"/>
                <w:b/>
                <w:color w:val="000000"/>
                <w:sz w:val="20"/>
                <w:szCs w:val="20"/>
              </w:rPr>
            </w:pPr>
            <w:r w:rsidRPr="0000214D">
              <w:rPr>
                <w:rFonts w:cs="Calibri"/>
                <w:b/>
                <w:bCs/>
                <w:color w:val="000000"/>
                <w:sz w:val="20"/>
                <w:szCs w:val="20"/>
              </w:rPr>
              <w:t>100,00</w:t>
            </w:r>
            <w:r w:rsidR="00B94DFC">
              <w:rPr>
                <w:rFonts w:cs="Calibri"/>
                <w:b/>
                <w:bCs/>
                <w:color w:val="000000"/>
                <w:sz w:val="20"/>
                <w:szCs w:val="20"/>
              </w:rPr>
              <w:t> </w:t>
            </w:r>
            <w:r w:rsidRPr="0000214D">
              <w:rPr>
                <w:rFonts w:cs="Calibri"/>
                <w:b/>
                <w:bCs/>
                <w:color w:val="000000"/>
                <w:sz w:val="20"/>
                <w:szCs w:val="20"/>
              </w:rPr>
              <w:t>%</w:t>
            </w:r>
          </w:p>
        </w:tc>
      </w:tr>
    </w:tbl>
    <w:p w14:paraId="285CDB0F" w14:textId="77777777" w:rsidR="00B57597" w:rsidRPr="00682D65" w:rsidRDefault="00B57597" w:rsidP="00B57597">
      <w:pPr>
        <w:spacing w:before="40"/>
        <w:rPr>
          <w:rFonts w:cs="Calibri"/>
          <w:color w:val="000000"/>
          <w:sz w:val="20"/>
          <w:szCs w:val="20"/>
          <w:lang w:eastAsia="cs-CZ"/>
        </w:rPr>
      </w:pPr>
      <w:r w:rsidRPr="00682D65">
        <w:rPr>
          <w:rFonts w:cs="Calibri"/>
          <w:b/>
          <w:color w:val="000000"/>
          <w:sz w:val="20"/>
          <w:szCs w:val="20"/>
          <w:lang w:eastAsia="cs-CZ"/>
        </w:rPr>
        <w:t xml:space="preserve">Zdroj: </w:t>
      </w:r>
      <w:r w:rsidRPr="00682D65">
        <w:rPr>
          <w:rFonts w:cs="Calibri"/>
          <w:color w:val="000000"/>
          <w:sz w:val="20"/>
          <w:szCs w:val="20"/>
          <w:lang w:eastAsia="cs-CZ"/>
        </w:rPr>
        <w:t>informační portál MONITOR.</w:t>
      </w:r>
    </w:p>
    <w:p w14:paraId="4D7FB77B" w14:textId="7CE911AC" w:rsidR="00B57597" w:rsidRPr="008826DE" w:rsidRDefault="00B57597" w:rsidP="00B57597">
      <w:pPr>
        <w:jc w:val="both"/>
        <w:rPr>
          <w:rFonts w:asciiTheme="minorHAnsi" w:hAnsiTheme="minorHAnsi" w:cstheme="minorHAnsi"/>
        </w:rPr>
      </w:pPr>
      <w:r w:rsidRPr="008826DE">
        <w:rPr>
          <w:rFonts w:asciiTheme="minorHAnsi" w:hAnsiTheme="minorHAnsi" w:cstheme="minorHAnsi"/>
        </w:rPr>
        <w:t>Veškeré výdaje roku 2020 zatřídilo MPO na rozpočtové paragrafy obdobně předchozím letům</w:t>
      </w:r>
      <w:r w:rsidR="00DA32B7">
        <w:rPr>
          <w:rFonts w:asciiTheme="minorHAnsi" w:hAnsiTheme="minorHAnsi" w:cstheme="minorHAnsi"/>
        </w:rPr>
        <w:t xml:space="preserve">. </w:t>
      </w:r>
      <w:r w:rsidRPr="008826DE">
        <w:rPr>
          <w:rFonts w:asciiTheme="minorHAnsi" w:hAnsiTheme="minorHAnsi" w:cstheme="minorHAnsi"/>
        </w:rPr>
        <w:t xml:space="preserve">Nejvíce výdajů MPO (skutečnost) v roce 2020 zatřídilo na paragraf 2115 – </w:t>
      </w:r>
      <w:r w:rsidRPr="008826DE">
        <w:rPr>
          <w:rFonts w:asciiTheme="minorHAnsi" w:hAnsiTheme="minorHAnsi" w:cstheme="minorHAnsi"/>
          <w:i/>
        </w:rPr>
        <w:t>Úspora energie a</w:t>
      </w:r>
      <w:r w:rsidR="00B35432">
        <w:rPr>
          <w:rFonts w:asciiTheme="minorHAnsi" w:hAnsiTheme="minorHAnsi" w:cstheme="minorHAnsi"/>
          <w:i/>
        </w:rPr>
        <w:t> </w:t>
      </w:r>
      <w:r w:rsidRPr="008826DE">
        <w:rPr>
          <w:rFonts w:asciiTheme="minorHAnsi" w:hAnsiTheme="minorHAnsi" w:cstheme="minorHAnsi"/>
          <w:i/>
        </w:rPr>
        <w:t>obnovitelné zdroje</w:t>
      </w:r>
      <w:r w:rsidRPr="008826DE">
        <w:rPr>
          <w:rFonts w:asciiTheme="minorHAnsi" w:hAnsiTheme="minorHAnsi" w:cstheme="minorHAnsi"/>
        </w:rPr>
        <w:t xml:space="preserve"> (26 700 233 063,60 Kč, tj. 44,81 %), 2124 – </w:t>
      </w:r>
      <w:r w:rsidRPr="008826DE">
        <w:rPr>
          <w:rFonts w:asciiTheme="minorHAnsi" w:hAnsiTheme="minorHAnsi" w:cstheme="minorHAnsi"/>
          <w:i/>
        </w:rPr>
        <w:t>Opatření ke zvýšení konkurenceschopnosti průmyslových odvětví</w:t>
      </w:r>
      <w:r w:rsidRPr="008826DE">
        <w:rPr>
          <w:rFonts w:asciiTheme="minorHAnsi" w:hAnsiTheme="minorHAnsi" w:cstheme="minorHAnsi"/>
        </w:rPr>
        <w:t xml:space="preserve"> (15 166 727 344,00 Kč, tj. 25,45 %)</w:t>
      </w:r>
      <w:r w:rsidR="00B35432">
        <w:rPr>
          <w:rFonts w:asciiTheme="minorHAnsi" w:hAnsiTheme="minorHAnsi" w:cstheme="minorHAnsi"/>
        </w:rPr>
        <w:t xml:space="preserve"> </w:t>
      </w:r>
      <w:r w:rsidR="00DA32B7">
        <w:rPr>
          <w:rFonts w:asciiTheme="minorHAnsi" w:hAnsiTheme="minorHAnsi" w:cstheme="minorHAnsi"/>
        </w:rPr>
        <w:br/>
      </w:r>
      <w:r w:rsidRPr="008826DE">
        <w:rPr>
          <w:rFonts w:asciiTheme="minorHAnsi" w:hAnsiTheme="minorHAnsi" w:cstheme="minorHAnsi"/>
        </w:rPr>
        <w:t>a</w:t>
      </w:r>
      <w:r w:rsidR="00B35432">
        <w:rPr>
          <w:rFonts w:asciiTheme="minorHAnsi" w:hAnsiTheme="minorHAnsi" w:cstheme="minorHAnsi"/>
        </w:rPr>
        <w:t> </w:t>
      </w:r>
      <w:r w:rsidRPr="008826DE">
        <w:rPr>
          <w:rFonts w:asciiTheme="minorHAnsi" w:hAnsiTheme="minorHAnsi" w:cstheme="minorHAnsi"/>
        </w:rPr>
        <w:t xml:space="preserve">2125 – </w:t>
      </w:r>
      <w:r w:rsidRPr="008826DE">
        <w:rPr>
          <w:rFonts w:asciiTheme="minorHAnsi" w:hAnsiTheme="minorHAnsi" w:cstheme="minorHAnsi"/>
          <w:i/>
        </w:rPr>
        <w:t>Podpora podnikání a inovací</w:t>
      </w:r>
      <w:r w:rsidRPr="008826DE">
        <w:rPr>
          <w:rFonts w:asciiTheme="minorHAnsi" w:hAnsiTheme="minorHAnsi" w:cstheme="minorHAnsi"/>
        </w:rPr>
        <w:t xml:space="preserve"> (6 845 679 509,79 Kč, tj. 11,49 %). Výdaje na ostatních paragrafech činily pouze jednotky procent.</w:t>
      </w:r>
    </w:p>
    <w:p w14:paraId="486A0803" w14:textId="77777777" w:rsidR="00B57597" w:rsidRPr="008826DE" w:rsidRDefault="00B57597" w:rsidP="00B57597">
      <w:pPr>
        <w:jc w:val="both"/>
        <w:rPr>
          <w:rFonts w:asciiTheme="minorHAnsi" w:hAnsiTheme="minorHAnsi" w:cstheme="minorHAnsi"/>
        </w:rPr>
      </w:pPr>
      <w:r w:rsidRPr="008826DE">
        <w:rPr>
          <w:rFonts w:asciiTheme="minorHAnsi" w:hAnsiTheme="minorHAnsi" w:cstheme="minorHAnsi"/>
        </w:rPr>
        <w:t xml:space="preserve">Další výdaje byly vynaloženy např. v rámci paragrafů 2182 – </w:t>
      </w:r>
      <w:r w:rsidRPr="008826DE">
        <w:rPr>
          <w:rFonts w:asciiTheme="minorHAnsi" w:hAnsiTheme="minorHAnsi" w:cstheme="minorHAnsi"/>
          <w:i/>
        </w:rPr>
        <w:t>Výzkum a vývoj v průmyslu kromě paliv a energetiky</w:t>
      </w:r>
      <w:r w:rsidRPr="008826DE">
        <w:rPr>
          <w:rFonts w:asciiTheme="minorHAnsi" w:hAnsiTheme="minorHAnsi" w:cstheme="minorHAnsi"/>
        </w:rPr>
        <w:t xml:space="preserve">, 2111 – </w:t>
      </w:r>
      <w:r w:rsidRPr="008826DE">
        <w:rPr>
          <w:rFonts w:asciiTheme="minorHAnsi" w:hAnsiTheme="minorHAnsi" w:cstheme="minorHAnsi"/>
          <w:i/>
        </w:rPr>
        <w:t>Uhelné hornictví</w:t>
      </w:r>
      <w:r w:rsidRPr="008826DE">
        <w:rPr>
          <w:rFonts w:asciiTheme="minorHAnsi" w:hAnsiTheme="minorHAnsi" w:cstheme="minorHAnsi"/>
        </w:rPr>
        <w:t xml:space="preserve"> a 2161 – </w:t>
      </w:r>
      <w:r w:rsidRPr="008826DE">
        <w:rPr>
          <w:rFonts w:asciiTheme="minorHAnsi" w:hAnsiTheme="minorHAnsi" w:cstheme="minorHAnsi"/>
          <w:i/>
        </w:rPr>
        <w:t>Činnost ústředního orgánu státní správy v odvětví energetiky, průmyslu, stavebnictví, obchodu a služeb</w:t>
      </w:r>
      <w:r w:rsidRPr="008826DE">
        <w:rPr>
          <w:rFonts w:asciiTheme="minorHAnsi" w:hAnsiTheme="minorHAnsi" w:cstheme="minorHAnsi"/>
        </w:rPr>
        <w:t>.</w:t>
      </w:r>
    </w:p>
    <w:p w14:paraId="3DFB5547" w14:textId="77777777" w:rsidR="002A445D" w:rsidRDefault="002A445D">
      <w:pPr>
        <w:spacing w:after="160" w:line="259" w:lineRule="auto"/>
        <w:rPr>
          <w:rFonts w:asciiTheme="minorHAnsi" w:eastAsiaTheme="minorHAnsi" w:hAnsiTheme="minorHAnsi" w:cstheme="minorHAnsi"/>
          <w:b/>
          <w:sz w:val="28"/>
          <w:szCs w:val="28"/>
        </w:rPr>
      </w:pPr>
      <w:r>
        <w:br w:type="page"/>
      </w:r>
    </w:p>
    <w:p w14:paraId="26C23F0C" w14:textId="6956B219" w:rsidR="00B57597" w:rsidRPr="00B567F4" w:rsidRDefault="00B57597" w:rsidP="00B57597">
      <w:pPr>
        <w:pStyle w:val="Nadpis1"/>
      </w:pPr>
      <w:r>
        <w:lastRenderedPageBreak/>
        <w:t>B</w:t>
      </w:r>
      <w:r w:rsidRPr="00B567F4">
        <w:t xml:space="preserve">. </w:t>
      </w:r>
      <w:r>
        <w:t xml:space="preserve">Příspěvkové organizace v rozpočtové kapitole </w:t>
      </w:r>
      <w:r w:rsidRPr="00B567F4">
        <w:t>322 MPO</w:t>
      </w:r>
    </w:p>
    <w:p w14:paraId="7017A8FA" w14:textId="5E277C3B" w:rsidR="00B57597" w:rsidRPr="00DA32B7" w:rsidRDefault="00B57597" w:rsidP="00B57597">
      <w:pPr>
        <w:pStyle w:val="Titulek1"/>
        <w:rPr>
          <w:sz w:val="24"/>
        </w:rPr>
      </w:pPr>
      <w:bookmarkStart w:id="115" w:name="_Toc520714346"/>
      <w:bookmarkStart w:id="116" w:name="_Toc8984553"/>
      <w:bookmarkStart w:id="117" w:name="_Toc72157491"/>
      <w:r w:rsidRPr="00DA32B7">
        <w:rPr>
          <w:sz w:val="24"/>
        </w:rPr>
        <w:t xml:space="preserve">Tabulka č. </w:t>
      </w:r>
      <w:r w:rsidR="005F2931" w:rsidRPr="00DA32B7">
        <w:rPr>
          <w:sz w:val="24"/>
        </w:rPr>
        <w:fldChar w:fldCharType="begin"/>
      </w:r>
      <w:r w:rsidR="005F2931" w:rsidRPr="00DA32B7">
        <w:rPr>
          <w:sz w:val="24"/>
        </w:rPr>
        <w:instrText xml:space="preserve"> SEQ Tabulka \* ARABIC </w:instrText>
      </w:r>
      <w:r w:rsidR="005F2931" w:rsidRPr="00DA32B7">
        <w:rPr>
          <w:sz w:val="24"/>
        </w:rPr>
        <w:fldChar w:fldCharType="separate"/>
      </w:r>
      <w:r w:rsidR="00E544AA">
        <w:rPr>
          <w:noProof/>
          <w:sz w:val="24"/>
        </w:rPr>
        <w:t>35</w:t>
      </w:r>
      <w:r w:rsidR="005F2931" w:rsidRPr="00DA32B7">
        <w:rPr>
          <w:noProof/>
          <w:sz w:val="24"/>
        </w:rPr>
        <w:fldChar w:fldCharType="end"/>
      </w:r>
      <w:r w:rsidRPr="00DA32B7">
        <w:rPr>
          <w:sz w:val="24"/>
        </w:rPr>
        <w:t>: PO v rámci kapitoly 3</w:t>
      </w:r>
      <w:bookmarkEnd w:id="115"/>
      <w:bookmarkEnd w:id="116"/>
      <w:r w:rsidRPr="00DA32B7">
        <w:rPr>
          <w:sz w:val="24"/>
        </w:rPr>
        <w:t>22</w:t>
      </w:r>
      <w:bookmarkEnd w:id="117"/>
    </w:p>
    <w:tbl>
      <w:tblPr>
        <w:tblW w:w="5002" w:type="pct"/>
        <w:jc w:val="center"/>
        <w:tblCellMar>
          <w:left w:w="70" w:type="dxa"/>
          <w:right w:w="70" w:type="dxa"/>
        </w:tblCellMar>
        <w:tblLook w:val="04A0" w:firstRow="1" w:lastRow="0" w:firstColumn="1" w:lastColumn="0" w:noHBand="0" w:noVBand="1"/>
      </w:tblPr>
      <w:tblGrid>
        <w:gridCol w:w="2268"/>
        <w:gridCol w:w="6796"/>
      </w:tblGrid>
      <w:tr w:rsidR="00B57597" w:rsidRPr="00DA32B7" w14:paraId="73B9E594" w14:textId="77777777" w:rsidTr="00DA32B7">
        <w:trPr>
          <w:trHeight w:val="283"/>
          <w:tblHeader/>
          <w:jc w:val="center"/>
        </w:trPr>
        <w:tc>
          <w:tcPr>
            <w:tcW w:w="1251"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6BA7F9F" w14:textId="77777777" w:rsidR="00B57597" w:rsidRPr="00DA32B7" w:rsidRDefault="00B57597" w:rsidP="00DA32B7">
            <w:pPr>
              <w:spacing w:after="0"/>
              <w:jc w:val="center"/>
              <w:rPr>
                <w:rFonts w:cs="Calibri"/>
                <w:b/>
                <w:bCs/>
                <w:color w:val="000000"/>
                <w:sz w:val="20"/>
                <w:szCs w:val="20"/>
                <w:lang w:eastAsia="cs-CZ"/>
              </w:rPr>
            </w:pPr>
            <w:r w:rsidRPr="00DA32B7">
              <w:rPr>
                <w:rFonts w:cs="Calibri"/>
                <w:b/>
                <w:bCs/>
                <w:color w:val="000000"/>
                <w:sz w:val="20"/>
                <w:szCs w:val="20"/>
                <w:lang w:eastAsia="cs-CZ"/>
              </w:rPr>
              <w:t>IČO</w:t>
            </w:r>
          </w:p>
        </w:tc>
        <w:tc>
          <w:tcPr>
            <w:tcW w:w="3749" w:type="pct"/>
            <w:tcBorders>
              <w:top w:val="single" w:sz="4" w:space="0" w:color="auto"/>
              <w:left w:val="nil"/>
              <w:bottom w:val="single" w:sz="4" w:space="0" w:color="auto"/>
              <w:right w:val="single" w:sz="4" w:space="0" w:color="auto"/>
            </w:tcBorders>
            <w:shd w:val="clear" w:color="auto" w:fill="E5F1FF"/>
            <w:noWrap/>
            <w:vAlign w:val="center"/>
            <w:hideMark/>
          </w:tcPr>
          <w:p w14:paraId="4BBED9E4" w14:textId="77777777" w:rsidR="00B57597" w:rsidRPr="00DA32B7" w:rsidRDefault="00B57597" w:rsidP="00DA32B7">
            <w:pPr>
              <w:spacing w:after="0"/>
              <w:jc w:val="center"/>
              <w:rPr>
                <w:rFonts w:cs="Calibri"/>
                <w:b/>
                <w:bCs/>
                <w:color w:val="000000"/>
                <w:sz w:val="20"/>
                <w:szCs w:val="20"/>
                <w:lang w:eastAsia="cs-CZ"/>
              </w:rPr>
            </w:pPr>
            <w:r w:rsidRPr="00DA32B7">
              <w:rPr>
                <w:rFonts w:cs="Calibri"/>
                <w:b/>
                <w:bCs/>
                <w:color w:val="000000"/>
                <w:sz w:val="20"/>
                <w:szCs w:val="20"/>
                <w:lang w:eastAsia="cs-CZ"/>
              </w:rPr>
              <w:t>Účetní jednotka</w:t>
            </w:r>
          </w:p>
        </w:tc>
      </w:tr>
      <w:tr w:rsidR="00B57597" w:rsidRPr="00DA32B7" w14:paraId="4335C40D" w14:textId="77777777" w:rsidTr="00DA32B7">
        <w:trPr>
          <w:trHeight w:val="283"/>
          <w:jc w:val="center"/>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A9523B" w14:textId="77777777" w:rsidR="00B57597" w:rsidRPr="00DA32B7" w:rsidRDefault="00B57597" w:rsidP="00DA32B7">
            <w:pPr>
              <w:spacing w:after="0"/>
              <w:rPr>
                <w:rFonts w:eastAsia="Calibri" w:cs="Calibri"/>
                <w:color w:val="000000"/>
                <w:sz w:val="20"/>
                <w:szCs w:val="20"/>
              </w:rPr>
            </w:pPr>
            <w:r w:rsidRPr="00DA32B7">
              <w:rPr>
                <w:rFonts w:cs="Calibri"/>
                <w:color w:val="000000"/>
                <w:sz w:val="20"/>
                <w:szCs w:val="20"/>
              </w:rPr>
              <w:t>05108861</w:t>
            </w:r>
          </w:p>
        </w:tc>
        <w:tc>
          <w:tcPr>
            <w:tcW w:w="3749" w:type="pct"/>
            <w:tcBorders>
              <w:top w:val="single" w:sz="4" w:space="0" w:color="auto"/>
              <w:left w:val="nil"/>
              <w:bottom w:val="single" w:sz="4" w:space="0" w:color="auto"/>
              <w:right w:val="single" w:sz="4" w:space="0" w:color="auto"/>
            </w:tcBorders>
            <w:shd w:val="clear" w:color="auto" w:fill="auto"/>
            <w:noWrap/>
            <w:vAlign w:val="center"/>
          </w:tcPr>
          <w:p w14:paraId="23C477D4" w14:textId="77777777" w:rsidR="00B57597" w:rsidRPr="00DA32B7" w:rsidRDefault="00B57597" w:rsidP="00DA32B7">
            <w:pPr>
              <w:spacing w:after="0"/>
              <w:rPr>
                <w:rFonts w:eastAsia="Calibri" w:cs="Calibri"/>
                <w:color w:val="000000"/>
                <w:sz w:val="20"/>
                <w:szCs w:val="20"/>
              </w:rPr>
            </w:pPr>
            <w:r w:rsidRPr="00DA32B7">
              <w:rPr>
                <w:rFonts w:cs="Calibri"/>
                <w:color w:val="000000"/>
                <w:sz w:val="20"/>
                <w:szCs w:val="20"/>
              </w:rPr>
              <w:t>Agentura pro podnikání a inovace</w:t>
            </w:r>
          </w:p>
        </w:tc>
      </w:tr>
      <w:tr w:rsidR="00B57597" w:rsidRPr="00DA32B7" w14:paraId="4C2F69E0" w14:textId="77777777" w:rsidTr="00DA32B7">
        <w:trPr>
          <w:trHeight w:val="283"/>
          <w:jc w:val="center"/>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AEFDDE" w14:textId="77777777" w:rsidR="00B57597" w:rsidRPr="00DA32B7" w:rsidRDefault="00B57597" w:rsidP="00DA32B7">
            <w:pPr>
              <w:spacing w:after="0"/>
              <w:rPr>
                <w:rFonts w:eastAsia="Calibri" w:cs="Calibri"/>
                <w:color w:val="000000"/>
                <w:sz w:val="20"/>
                <w:szCs w:val="20"/>
              </w:rPr>
            </w:pPr>
            <w:r w:rsidRPr="00DA32B7">
              <w:rPr>
                <w:rFonts w:cs="Calibri"/>
                <w:color w:val="000000"/>
                <w:sz w:val="20"/>
                <w:szCs w:val="20"/>
              </w:rPr>
              <w:t>71377999</w:t>
            </w:r>
          </w:p>
        </w:tc>
        <w:tc>
          <w:tcPr>
            <w:tcW w:w="3749" w:type="pct"/>
            <w:tcBorders>
              <w:top w:val="single" w:sz="4" w:space="0" w:color="auto"/>
              <w:left w:val="nil"/>
              <w:bottom w:val="single" w:sz="4" w:space="0" w:color="auto"/>
              <w:right w:val="single" w:sz="4" w:space="0" w:color="auto"/>
            </w:tcBorders>
            <w:shd w:val="clear" w:color="auto" w:fill="auto"/>
            <w:noWrap/>
            <w:vAlign w:val="center"/>
          </w:tcPr>
          <w:p w14:paraId="544DEAA4" w14:textId="77777777" w:rsidR="00B57597" w:rsidRPr="00DA32B7" w:rsidRDefault="00B57597" w:rsidP="00DA32B7">
            <w:pPr>
              <w:spacing w:after="0"/>
              <w:rPr>
                <w:rFonts w:eastAsia="Calibri" w:cs="Calibri"/>
                <w:color w:val="000000"/>
                <w:sz w:val="20"/>
                <w:szCs w:val="20"/>
              </w:rPr>
            </w:pPr>
            <w:r w:rsidRPr="00DA32B7">
              <w:rPr>
                <w:rFonts w:cs="Calibri"/>
                <w:color w:val="000000"/>
                <w:sz w:val="20"/>
                <w:szCs w:val="20"/>
              </w:rPr>
              <w:t xml:space="preserve">Agentura pro podporu podnikání a investic </w:t>
            </w:r>
            <w:proofErr w:type="spellStart"/>
            <w:r w:rsidRPr="00DA32B7">
              <w:rPr>
                <w:rFonts w:cs="Calibri"/>
                <w:color w:val="000000"/>
                <w:sz w:val="20"/>
                <w:szCs w:val="20"/>
              </w:rPr>
              <w:t>CzechInvest</w:t>
            </w:r>
            <w:proofErr w:type="spellEnd"/>
          </w:p>
        </w:tc>
      </w:tr>
      <w:tr w:rsidR="00B57597" w:rsidRPr="00DA32B7" w14:paraId="2F5D1AF5" w14:textId="77777777" w:rsidTr="00DA32B7">
        <w:trPr>
          <w:trHeight w:val="283"/>
          <w:jc w:val="center"/>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D8294" w14:textId="77777777" w:rsidR="00B57597" w:rsidRPr="00DA32B7" w:rsidRDefault="00B57597" w:rsidP="00DA32B7">
            <w:pPr>
              <w:spacing w:after="0"/>
              <w:rPr>
                <w:rFonts w:eastAsia="Calibri" w:cs="Calibri"/>
                <w:color w:val="000000"/>
                <w:sz w:val="20"/>
                <w:szCs w:val="20"/>
              </w:rPr>
            </w:pPr>
            <w:r w:rsidRPr="00DA32B7">
              <w:rPr>
                <w:rFonts w:cs="Calibri"/>
                <w:color w:val="000000"/>
                <w:sz w:val="20"/>
                <w:szCs w:val="20"/>
              </w:rPr>
              <w:t>00001171</w:t>
            </w:r>
          </w:p>
        </w:tc>
        <w:tc>
          <w:tcPr>
            <w:tcW w:w="3749" w:type="pct"/>
            <w:tcBorders>
              <w:top w:val="single" w:sz="4" w:space="0" w:color="auto"/>
              <w:left w:val="nil"/>
              <w:bottom w:val="single" w:sz="4" w:space="0" w:color="auto"/>
              <w:right w:val="single" w:sz="4" w:space="0" w:color="auto"/>
            </w:tcBorders>
            <w:shd w:val="clear" w:color="auto" w:fill="auto"/>
            <w:noWrap/>
            <w:vAlign w:val="center"/>
          </w:tcPr>
          <w:p w14:paraId="05873732" w14:textId="77777777" w:rsidR="00B57597" w:rsidRPr="00DA32B7" w:rsidRDefault="00B57597" w:rsidP="00DA32B7">
            <w:pPr>
              <w:spacing w:after="0"/>
              <w:rPr>
                <w:rFonts w:eastAsia="Calibri" w:cs="Calibri"/>
                <w:color w:val="000000"/>
                <w:sz w:val="20"/>
                <w:szCs w:val="20"/>
              </w:rPr>
            </w:pPr>
            <w:r w:rsidRPr="00DA32B7">
              <w:rPr>
                <w:rFonts w:cs="Calibri"/>
                <w:color w:val="000000"/>
                <w:sz w:val="20"/>
                <w:szCs w:val="20"/>
              </w:rPr>
              <w:t>Česká agentura na podporu obchodu</w:t>
            </w:r>
          </w:p>
        </w:tc>
      </w:tr>
      <w:tr w:rsidR="00B57597" w:rsidRPr="00DA32B7" w14:paraId="7EB14AF2" w14:textId="77777777" w:rsidTr="00DA32B7">
        <w:trPr>
          <w:trHeight w:val="283"/>
          <w:jc w:val="center"/>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FFFC6" w14:textId="77777777" w:rsidR="00B57597" w:rsidRPr="00DA32B7" w:rsidRDefault="00B57597" w:rsidP="00DA32B7">
            <w:pPr>
              <w:spacing w:after="0"/>
              <w:rPr>
                <w:rFonts w:eastAsia="Calibri" w:cs="Calibri"/>
                <w:color w:val="000000"/>
                <w:sz w:val="20"/>
                <w:szCs w:val="20"/>
              </w:rPr>
            </w:pPr>
            <w:r w:rsidRPr="00DA32B7">
              <w:rPr>
                <w:rFonts w:cs="Calibri"/>
                <w:color w:val="000000"/>
                <w:sz w:val="20"/>
                <w:szCs w:val="20"/>
              </w:rPr>
              <w:t>06578705</w:t>
            </w:r>
          </w:p>
        </w:tc>
        <w:tc>
          <w:tcPr>
            <w:tcW w:w="3749" w:type="pct"/>
            <w:tcBorders>
              <w:top w:val="single" w:sz="4" w:space="0" w:color="auto"/>
              <w:left w:val="nil"/>
              <w:bottom w:val="single" w:sz="4" w:space="0" w:color="auto"/>
              <w:right w:val="single" w:sz="4" w:space="0" w:color="auto"/>
            </w:tcBorders>
            <w:shd w:val="clear" w:color="auto" w:fill="auto"/>
            <w:noWrap/>
            <w:vAlign w:val="center"/>
          </w:tcPr>
          <w:p w14:paraId="29640F72" w14:textId="77777777" w:rsidR="00B57597" w:rsidRPr="00DA32B7" w:rsidRDefault="00B57597" w:rsidP="00DA32B7">
            <w:pPr>
              <w:spacing w:after="0"/>
              <w:rPr>
                <w:rFonts w:eastAsia="Calibri" w:cs="Calibri"/>
                <w:color w:val="000000"/>
                <w:sz w:val="20"/>
                <w:szCs w:val="20"/>
              </w:rPr>
            </w:pPr>
            <w:r w:rsidRPr="00DA32B7">
              <w:rPr>
                <w:rFonts w:cs="Calibri"/>
                <w:color w:val="000000"/>
                <w:sz w:val="20"/>
                <w:szCs w:val="20"/>
              </w:rPr>
              <w:t>Česká agentura pro standardizaci</w:t>
            </w:r>
          </w:p>
        </w:tc>
      </w:tr>
      <w:tr w:rsidR="00B57597" w:rsidRPr="00DA32B7" w14:paraId="6A475FC1" w14:textId="77777777" w:rsidTr="00DA32B7">
        <w:trPr>
          <w:trHeight w:val="283"/>
          <w:jc w:val="center"/>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53181" w14:textId="77777777" w:rsidR="00B57597" w:rsidRPr="00DA32B7" w:rsidRDefault="00B57597" w:rsidP="00DA32B7">
            <w:pPr>
              <w:spacing w:after="0"/>
              <w:rPr>
                <w:rFonts w:eastAsia="Calibri" w:cs="Calibri"/>
                <w:color w:val="000000"/>
                <w:sz w:val="20"/>
                <w:szCs w:val="20"/>
              </w:rPr>
            </w:pPr>
            <w:r w:rsidRPr="00DA32B7">
              <w:rPr>
                <w:rFonts w:cs="Calibri"/>
                <w:color w:val="000000"/>
                <w:sz w:val="20"/>
                <w:szCs w:val="20"/>
              </w:rPr>
              <w:t>00177016</w:t>
            </w:r>
          </w:p>
        </w:tc>
        <w:tc>
          <w:tcPr>
            <w:tcW w:w="3749" w:type="pct"/>
            <w:tcBorders>
              <w:top w:val="single" w:sz="4" w:space="0" w:color="auto"/>
              <w:left w:val="nil"/>
              <w:bottom w:val="single" w:sz="4" w:space="0" w:color="auto"/>
              <w:right w:val="single" w:sz="4" w:space="0" w:color="auto"/>
            </w:tcBorders>
            <w:shd w:val="clear" w:color="auto" w:fill="auto"/>
            <w:noWrap/>
            <w:vAlign w:val="center"/>
          </w:tcPr>
          <w:p w14:paraId="60990AFC" w14:textId="77777777" w:rsidR="00B57597" w:rsidRPr="00DA32B7" w:rsidRDefault="00B57597" w:rsidP="00DA32B7">
            <w:pPr>
              <w:spacing w:after="0"/>
              <w:rPr>
                <w:rFonts w:eastAsia="Calibri" w:cs="Calibri"/>
                <w:color w:val="000000"/>
                <w:sz w:val="20"/>
                <w:szCs w:val="20"/>
              </w:rPr>
            </w:pPr>
            <w:r w:rsidRPr="00DA32B7">
              <w:rPr>
                <w:rFonts w:cs="Calibri"/>
                <w:color w:val="000000"/>
                <w:sz w:val="20"/>
                <w:szCs w:val="20"/>
              </w:rPr>
              <w:t>Český metrologický institut</w:t>
            </w:r>
          </w:p>
        </w:tc>
      </w:tr>
      <w:tr w:rsidR="00B57597" w:rsidRPr="00DA32B7" w14:paraId="06772822" w14:textId="77777777" w:rsidTr="00DA32B7">
        <w:trPr>
          <w:trHeight w:val="283"/>
          <w:jc w:val="center"/>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3152C4" w14:textId="77777777" w:rsidR="00B57597" w:rsidRPr="00DA32B7" w:rsidRDefault="00B57597" w:rsidP="00DA32B7">
            <w:pPr>
              <w:spacing w:after="0"/>
              <w:rPr>
                <w:rFonts w:eastAsia="Calibri" w:cs="Calibri"/>
                <w:color w:val="000000"/>
                <w:sz w:val="20"/>
                <w:szCs w:val="20"/>
              </w:rPr>
            </w:pPr>
            <w:r w:rsidRPr="00DA32B7">
              <w:rPr>
                <w:rFonts w:cs="Calibri"/>
                <w:color w:val="000000"/>
                <w:sz w:val="20"/>
                <w:szCs w:val="20"/>
              </w:rPr>
              <w:t>61382060</w:t>
            </w:r>
          </w:p>
        </w:tc>
        <w:tc>
          <w:tcPr>
            <w:tcW w:w="3749" w:type="pct"/>
            <w:tcBorders>
              <w:top w:val="single" w:sz="4" w:space="0" w:color="auto"/>
              <w:left w:val="nil"/>
              <w:bottom w:val="single" w:sz="4" w:space="0" w:color="auto"/>
              <w:right w:val="single" w:sz="4" w:space="0" w:color="auto"/>
            </w:tcBorders>
            <w:shd w:val="clear" w:color="auto" w:fill="auto"/>
            <w:noWrap/>
            <w:vAlign w:val="center"/>
          </w:tcPr>
          <w:p w14:paraId="3241195F" w14:textId="77777777" w:rsidR="00B57597" w:rsidRPr="00DA32B7" w:rsidRDefault="00B57597" w:rsidP="00DA32B7">
            <w:pPr>
              <w:spacing w:after="0"/>
              <w:rPr>
                <w:rFonts w:eastAsia="Calibri" w:cs="Calibri"/>
                <w:color w:val="000000"/>
                <w:sz w:val="20"/>
                <w:szCs w:val="20"/>
              </w:rPr>
            </w:pPr>
            <w:r w:rsidRPr="00DA32B7">
              <w:rPr>
                <w:rFonts w:cs="Calibri"/>
                <w:color w:val="000000"/>
                <w:sz w:val="20"/>
                <w:szCs w:val="20"/>
              </w:rPr>
              <w:t>Správa služeb Ministerstva průmyslu a obchodu ČR</w:t>
            </w:r>
          </w:p>
        </w:tc>
      </w:tr>
      <w:tr w:rsidR="00B57597" w:rsidRPr="00DA32B7" w14:paraId="75BBEBA3" w14:textId="77777777" w:rsidTr="00DA32B7">
        <w:trPr>
          <w:trHeight w:val="283"/>
          <w:jc w:val="center"/>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4B52EE" w14:textId="77777777" w:rsidR="00B57597" w:rsidRPr="00DA32B7" w:rsidRDefault="00B57597" w:rsidP="00DA32B7">
            <w:pPr>
              <w:spacing w:after="0"/>
              <w:rPr>
                <w:rFonts w:eastAsia="Calibri" w:cs="Calibri"/>
                <w:color w:val="000000"/>
                <w:sz w:val="20"/>
                <w:szCs w:val="20"/>
              </w:rPr>
            </w:pPr>
            <w:r w:rsidRPr="00DA32B7">
              <w:rPr>
                <w:rFonts w:cs="Calibri"/>
                <w:color w:val="000000"/>
                <w:sz w:val="20"/>
                <w:szCs w:val="20"/>
              </w:rPr>
              <w:t>00002348</w:t>
            </w:r>
          </w:p>
        </w:tc>
        <w:tc>
          <w:tcPr>
            <w:tcW w:w="3749" w:type="pct"/>
            <w:tcBorders>
              <w:top w:val="single" w:sz="4" w:space="0" w:color="auto"/>
              <w:left w:val="nil"/>
              <w:bottom w:val="single" w:sz="4" w:space="0" w:color="auto"/>
              <w:right w:val="single" w:sz="4" w:space="0" w:color="auto"/>
            </w:tcBorders>
            <w:shd w:val="clear" w:color="auto" w:fill="auto"/>
            <w:noWrap/>
            <w:vAlign w:val="center"/>
          </w:tcPr>
          <w:p w14:paraId="78B93F3C" w14:textId="77777777" w:rsidR="00B57597" w:rsidRPr="00DA32B7" w:rsidRDefault="00B57597" w:rsidP="00DA32B7">
            <w:pPr>
              <w:spacing w:after="0"/>
              <w:rPr>
                <w:rFonts w:eastAsia="Calibri" w:cs="Calibri"/>
                <w:color w:val="000000"/>
                <w:sz w:val="20"/>
                <w:szCs w:val="20"/>
              </w:rPr>
            </w:pPr>
            <w:r w:rsidRPr="00DA32B7">
              <w:rPr>
                <w:rFonts w:cs="Calibri"/>
                <w:color w:val="000000"/>
                <w:sz w:val="20"/>
                <w:szCs w:val="20"/>
              </w:rPr>
              <w:t>Státní výzkumný ústav materiálu</w:t>
            </w:r>
          </w:p>
        </w:tc>
      </w:tr>
    </w:tbl>
    <w:p w14:paraId="454BBC62" w14:textId="77777777" w:rsidR="00B57597" w:rsidRPr="00682D65" w:rsidRDefault="00B57597" w:rsidP="00B57597">
      <w:pPr>
        <w:spacing w:before="40"/>
        <w:rPr>
          <w:rFonts w:cs="Calibri"/>
          <w:color w:val="000000"/>
          <w:sz w:val="20"/>
          <w:szCs w:val="20"/>
          <w:lang w:eastAsia="cs-CZ"/>
        </w:rPr>
      </w:pPr>
      <w:r w:rsidRPr="00682D65">
        <w:rPr>
          <w:rFonts w:cs="Calibri"/>
          <w:b/>
          <w:color w:val="000000"/>
          <w:sz w:val="20"/>
          <w:szCs w:val="20"/>
          <w:lang w:eastAsia="cs-CZ"/>
        </w:rPr>
        <w:t xml:space="preserve">Zdroj: </w:t>
      </w:r>
      <w:r w:rsidRPr="00682D65">
        <w:rPr>
          <w:rFonts w:cs="Calibri"/>
          <w:color w:val="000000"/>
          <w:sz w:val="20"/>
          <w:szCs w:val="20"/>
          <w:lang w:eastAsia="cs-CZ"/>
        </w:rPr>
        <w:t>informační portál MONITOR.</w:t>
      </w:r>
    </w:p>
    <w:p w14:paraId="203E6728" w14:textId="57030007" w:rsidR="00B57597" w:rsidRPr="00DA32B7" w:rsidRDefault="00B57597" w:rsidP="00B57597">
      <w:pPr>
        <w:pStyle w:val="Titulek1"/>
        <w:rPr>
          <w:sz w:val="24"/>
        </w:rPr>
      </w:pPr>
      <w:bookmarkStart w:id="118" w:name="_Toc520714347"/>
      <w:bookmarkStart w:id="119" w:name="_Toc8984554"/>
      <w:bookmarkStart w:id="120" w:name="_Toc72157492"/>
      <w:r w:rsidRPr="00DA32B7">
        <w:rPr>
          <w:sz w:val="24"/>
        </w:rPr>
        <w:t xml:space="preserve">Tabulka č. </w:t>
      </w:r>
      <w:r w:rsidR="005F2931" w:rsidRPr="00DA32B7">
        <w:rPr>
          <w:sz w:val="24"/>
        </w:rPr>
        <w:fldChar w:fldCharType="begin"/>
      </w:r>
      <w:r w:rsidR="005F2931" w:rsidRPr="00DA32B7">
        <w:rPr>
          <w:sz w:val="24"/>
        </w:rPr>
        <w:instrText xml:space="preserve"> SEQ Tabulka \* ARABIC </w:instrText>
      </w:r>
      <w:r w:rsidR="005F2931" w:rsidRPr="00DA32B7">
        <w:rPr>
          <w:sz w:val="24"/>
        </w:rPr>
        <w:fldChar w:fldCharType="separate"/>
      </w:r>
      <w:r w:rsidR="00E544AA">
        <w:rPr>
          <w:noProof/>
          <w:sz w:val="24"/>
        </w:rPr>
        <w:t>36</w:t>
      </w:r>
      <w:r w:rsidR="005F2931" w:rsidRPr="00DA32B7">
        <w:rPr>
          <w:noProof/>
          <w:sz w:val="24"/>
        </w:rPr>
        <w:fldChar w:fldCharType="end"/>
      </w:r>
      <w:r w:rsidRPr="00DA32B7">
        <w:rPr>
          <w:sz w:val="24"/>
        </w:rPr>
        <w:t>: Celkové výnosy OSS a PO v kapitole 322 za období 2016–2020 (v Kč)</w:t>
      </w:r>
      <w:bookmarkEnd w:id="118"/>
      <w:bookmarkEnd w:id="119"/>
      <w:bookmarkEnd w:id="120"/>
    </w:p>
    <w:tbl>
      <w:tblPr>
        <w:tblW w:w="9044" w:type="dxa"/>
        <w:jc w:val="center"/>
        <w:tblLayout w:type="fixed"/>
        <w:tblCellMar>
          <w:left w:w="70" w:type="dxa"/>
          <w:right w:w="70" w:type="dxa"/>
        </w:tblCellMar>
        <w:tblLook w:val="04A0" w:firstRow="1" w:lastRow="0" w:firstColumn="1" w:lastColumn="0" w:noHBand="0" w:noVBand="1"/>
      </w:tblPr>
      <w:tblGrid>
        <w:gridCol w:w="1134"/>
        <w:gridCol w:w="1531"/>
        <w:gridCol w:w="1531"/>
        <w:gridCol w:w="1616"/>
        <w:gridCol w:w="1616"/>
        <w:gridCol w:w="1616"/>
      </w:tblGrid>
      <w:tr w:rsidR="00DA32B7" w:rsidRPr="00DA32B7" w14:paraId="1345F531" w14:textId="77777777" w:rsidTr="002C4FB2">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15083031" w14:textId="77777777" w:rsidR="00B57597" w:rsidRPr="00DA32B7" w:rsidRDefault="00B57597" w:rsidP="002C4FB2">
            <w:pPr>
              <w:spacing w:after="0"/>
              <w:ind w:left="-57" w:right="-57"/>
              <w:jc w:val="center"/>
              <w:rPr>
                <w:rFonts w:cs="Calibri"/>
                <w:b/>
                <w:bCs/>
                <w:color w:val="000000"/>
                <w:sz w:val="20"/>
                <w:szCs w:val="18"/>
                <w:lang w:eastAsia="cs-CZ"/>
              </w:rPr>
            </w:pPr>
            <w:r w:rsidRPr="00DA32B7">
              <w:rPr>
                <w:b/>
                <w:bCs/>
                <w:color w:val="000000"/>
                <w:sz w:val="20"/>
                <w:szCs w:val="18"/>
              </w:rPr>
              <w:t>Organizace</w:t>
            </w:r>
          </w:p>
        </w:tc>
        <w:tc>
          <w:tcPr>
            <w:tcW w:w="1531" w:type="dxa"/>
            <w:tcBorders>
              <w:top w:val="single" w:sz="4" w:space="0" w:color="auto"/>
              <w:left w:val="nil"/>
              <w:bottom w:val="single" w:sz="4" w:space="0" w:color="auto"/>
              <w:right w:val="single" w:sz="4" w:space="0" w:color="auto"/>
            </w:tcBorders>
            <w:shd w:val="clear" w:color="auto" w:fill="E5F1FF"/>
            <w:noWrap/>
            <w:vAlign w:val="center"/>
            <w:hideMark/>
          </w:tcPr>
          <w:p w14:paraId="762D864A" w14:textId="77777777" w:rsidR="00B57597" w:rsidRPr="00DA32B7" w:rsidRDefault="00B57597" w:rsidP="00DA32B7">
            <w:pPr>
              <w:spacing w:after="0"/>
              <w:jc w:val="center"/>
              <w:rPr>
                <w:rFonts w:cs="Calibri"/>
                <w:b/>
                <w:bCs/>
                <w:color w:val="000000"/>
                <w:sz w:val="20"/>
                <w:szCs w:val="18"/>
                <w:lang w:eastAsia="cs-CZ"/>
              </w:rPr>
            </w:pPr>
            <w:r w:rsidRPr="00DA32B7">
              <w:rPr>
                <w:b/>
                <w:bCs/>
                <w:color w:val="000000"/>
                <w:sz w:val="20"/>
                <w:szCs w:val="18"/>
              </w:rPr>
              <w:t>2016</w:t>
            </w:r>
          </w:p>
        </w:tc>
        <w:tc>
          <w:tcPr>
            <w:tcW w:w="1531" w:type="dxa"/>
            <w:tcBorders>
              <w:top w:val="single" w:sz="4" w:space="0" w:color="auto"/>
              <w:left w:val="nil"/>
              <w:bottom w:val="single" w:sz="4" w:space="0" w:color="auto"/>
              <w:right w:val="single" w:sz="4" w:space="0" w:color="auto"/>
            </w:tcBorders>
            <w:shd w:val="clear" w:color="auto" w:fill="E5F1FF"/>
            <w:noWrap/>
            <w:vAlign w:val="center"/>
            <w:hideMark/>
          </w:tcPr>
          <w:p w14:paraId="4B85B174" w14:textId="77777777" w:rsidR="00B57597" w:rsidRPr="00DA32B7" w:rsidRDefault="00B57597" w:rsidP="00DA32B7">
            <w:pPr>
              <w:spacing w:after="0"/>
              <w:jc w:val="center"/>
              <w:rPr>
                <w:rFonts w:cs="Calibri"/>
                <w:b/>
                <w:bCs/>
                <w:color w:val="000000"/>
                <w:sz w:val="20"/>
                <w:szCs w:val="18"/>
                <w:lang w:eastAsia="cs-CZ"/>
              </w:rPr>
            </w:pPr>
            <w:r w:rsidRPr="00DA32B7">
              <w:rPr>
                <w:b/>
                <w:bCs/>
                <w:color w:val="000000"/>
                <w:sz w:val="20"/>
                <w:szCs w:val="18"/>
              </w:rPr>
              <w:t>2017</w:t>
            </w:r>
          </w:p>
        </w:tc>
        <w:tc>
          <w:tcPr>
            <w:tcW w:w="1616" w:type="dxa"/>
            <w:tcBorders>
              <w:top w:val="single" w:sz="4" w:space="0" w:color="auto"/>
              <w:left w:val="nil"/>
              <w:bottom w:val="single" w:sz="4" w:space="0" w:color="auto"/>
              <w:right w:val="single" w:sz="4" w:space="0" w:color="auto"/>
            </w:tcBorders>
            <w:shd w:val="clear" w:color="auto" w:fill="E5F1FF"/>
            <w:noWrap/>
            <w:vAlign w:val="center"/>
            <w:hideMark/>
          </w:tcPr>
          <w:p w14:paraId="62F5909F" w14:textId="77777777" w:rsidR="00B57597" w:rsidRPr="00DA32B7" w:rsidRDefault="00B57597" w:rsidP="00DA32B7">
            <w:pPr>
              <w:spacing w:after="0"/>
              <w:jc w:val="center"/>
              <w:rPr>
                <w:rFonts w:cs="Calibri"/>
                <w:b/>
                <w:bCs/>
                <w:color w:val="000000"/>
                <w:sz w:val="20"/>
                <w:szCs w:val="18"/>
                <w:lang w:eastAsia="cs-CZ"/>
              </w:rPr>
            </w:pPr>
            <w:r w:rsidRPr="00DA32B7">
              <w:rPr>
                <w:b/>
                <w:bCs/>
                <w:color w:val="000000"/>
                <w:sz w:val="20"/>
                <w:szCs w:val="18"/>
              </w:rPr>
              <w:t>2018</w:t>
            </w:r>
          </w:p>
        </w:tc>
        <w:tc>
          <w:tcPr>
            <w:tcW w:w="1616" w:type="dxa"/>
            <w:tcBorders>
              <w:top w:val="single" w:sz="4" w:space="0" w:color="auto"/>
              <w:left w:val="nil"/>
              <w:bottom w:val="single" w:sz="4" w:space="0" w:color="auto"/>
              <w:right w:val="single" w:sz="4" w:space="0" w:color="auto"/>
            </w:tcBorders>
            <w:shd w:val="clear" w:color="auto" w:fill="E5F1FF"/>
            <w:noWrap/>
            <w:vAlign w:val="center"/>
            <w:hideMark/>
          </w:tcPr>
          <w:p w14:paraId="01BA09AB" w14:textId="77777777" w:rsidR="00B57597" w:rsidRPr="00DA32B7" w:rsidRDefault="00B57597" w:rsidP="00DA32B7">
            <w:pPr>
              <w:spacing w:after="0"/>
              <w:jc w:val="center"/>
              <w:rPr>
                <w:rFonts w:cs="Calibri"/>
                <w:b/>
                <w:bCs/>
                <w:color w:val="000000"/>
                <w:sz w:val="20"/>
                <w:szCs w:val="18"/>
                <w:lang w:eastAsia="cs-CZ"/>
              </w:rPr>
            </w:pPr>
            <w:r w:rsidRPr="00DA32B7">
              <w:rPr>
                <w:b/>
                <w:bCs/>
                <w:color w:val="000000"/>
                <w:sz w:val="20"/>
                <w:szCs w:val="18"/>
              </w:rPr>
              <w:t>2019</w:t>
            </w:r>
          </w:p>
        </w:tc>
        <w:tc>
          <w:tcPr>
            <w:tcW w:w="1616" w:type="dxa"/>
            <w:tcBorders>
              <w:top w:val="single" w:sz="4" w:space="0" w:color="auto"/>
              <w:left w:val="nil"/>
              <w:bottom w:val="single" w:sz="4" w:space="0" w:color="auto"/>
              <w:right w:val="single" w:sz="4" w:space="0" w:color="auto"/>
            </w:tcBorders>
            <w:shd w:val="clear" w:color="auto" w:fill="E5F1FF"/>
            <w:vAlign w:val="center"/>
          </w:tcPr>
          <w:p w14:paraId="591199CB" w14:textId="77777777" w:rsidR="00B57597" w:rsidRPr="00DA32B7" w:rsidRDefault="00B57597" w:rsidP="00DA32B7">
            <w:pPr>
              <w:spacing w:after="0"/>
              <w:jc w:val="center"/>
              <w:rPr>
                <w:rFonts w:cs="Calibri"/>
                <w:b/>
                <w:bCs/>
                <w:color w:val="000000"/>
                <w:sz w:val="20"/>
                <w:szCs w:val="18"/>
                <w:lang w:eastAsia="cs-CZ"/>
              </w:rPr>
            </w:pPr>
            <w:r w:rsidRPr="00DA32B7">
              <w:rPr>
                <w:b/>
                <w:bCs/>
                <w:color w:val="000000"/>
                <w:sz w:val="20"/>
                <w:szCs w:val="18"/>
              </w:rPr>
              <w:t>2020</w:t>
            </w:r>
          </w:p>
        </w:tc>
      </w:tr>
      <w:tr w:rsidR="00DA32B7" w:rsidRPr="00DA32B7" w14:paraId="08ABC87B" w14:textId="77777777" w:rsidTr="002230D3">
        <w:trPr>
          <w:trHeight w:val="283"/>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7DDC0741" w14:textId="77777777" w:rsidR="00B57597" w:rsidRPr="00DA32B7" w:rsidRDefault="00B57597" w:rsidP="002230D3">
            <w:pPr>
              <w:spacing w:after="0"/>
              <w:ind w:left="-57" w:right="-57"/>
              <w:rPr>
                <w:rFonts w:eastAsia="Calibri" w:cs="Calibri"/>
                <w:color w:val="000000"/>
                <w:sz w:val="20"/>
                <w:szCs w:val="18"/>
              </w:rPr>
            </w:pPr>
            <w:r w:rsidRPr="00DA32B7">
              <w:rPr>
                <w:color w:val="000000"/>
                <w:sz w:val="20"/>
                <w:szCs w:val="18"/>
              </w:rPr>
              <w:t>OSS bez MPO</w:t>
            </w:r>
          </w:p>
        </w:tc>
        <w:tc>
          <w:tcPr>
            <w:tcW w:w="1531" w:type="dxa"/>
            <w:tcBorders>
              <w:top w:val="nil"/>
              <w:left w:val="nil"/>
              <w:bottom w:val="single" w:sz="4" w:space="0" w:color="auto"/>
              <w:right w:val="single" w:sz="4" w:space="0" w:color="auto"/>
            </w:tcBorders>
            <w:shd w:val="clear" w:color="auto" w:fill="auto"/>
            <w:noWrap/>
            <w:vAlign w:val="center"/>
          </w:tcPr>
          <w:p w14:paraId="7D0F3A20" w14:textId="77777777" w:rsidR="00B57597" w:rsidRPr="00DA32B7" w:rsidRDefault="00B57597" w:rsidP="00DA32B7">
            <w:pPr>
              <w:spacing w:after="0"/>
              <w:ind w:left="-28" w:right="-28"/>
              <w:jc w:val="right"/>
              <w:rPr>
                <w:rFonts w:eastAsia="Calibri" w:cs="Calibri"/>
                <w:color w:val="000000"/>
                <w:sz w:val="20"/>
                <w:szCs w:val="18"/>
              </w:rPr>
            </w:pPr>
            <w:r w:rsidRPr="00DA32B7">
              <w:rPr>
                <w:color w:val="000000"/>
                <w:sz w:val="20"/>
                <w:szCs w:val="18"/>
              </w:rPr>
              <w:t>577 018 906,91</w:t>
            </w:r>
          </w:p>
        </w:tc>
        <w:tc>
          <w:tcPr>
            <w:tcW w:w="1531" w:type="dxa"/>
            <w:tcBorders>
              <w:top w:val="nil"/>
              <w:left w:val="nil"/>
              <w:bottom w:val="single" w:sz="4" w:space="0" w:color="auto"/>
              <w:right w:val="single" w:sz="4" w:space="0" w:color="auto"/>
            </w:tcBorders>
            <w:shd w:val="clear" w:color="auto" w:fill="auto"/>
            <w:noWrap/>
            <w:vAlign w:val="center"/>
          </w:tcPr>
          <w:p w14:paraId="4C35E505" w14:textId="77777777" w:rsidR="00B57597" w:rsidRPr="00DA32B7" w:rsidRDefault="00B57597" w:rsidP="00DA32B7">
            <w:pPr>
              <w:spacing w:after="0"/>
              <w:ind w:left="-28" w:right="-28"/>
              <w:jc w:val="right"/>
              <w:rPr>
                <w:rFonts w:eastAsia="Calibri" w:cs="Calibri"/>
                <w:color w:val="000000"/>
                <w:sz w:val="20"/>
                <w:szCs w:val="18"/>
              </w:rPr>
            </w:pPr>
            <w:r w:rsidRPr="00DA32B7">
              <w:rPr>
                <w:color w:val="000000"/>
                <w:sz w:val="20"/>
                <w:szCs w:val="18"/>
              </w:rPr>
              <w:t>325 757 102,13</w:t>
            </w:r>
          </w:p>
        </w:tc>
        <w:tc>
          <w:tcPr>
            <w:tcW w:w="1616" w:type="dxa"/>
            <w:tcBorders>
              <w:top w:val="nil"/>
              <w:left w:val="nil"/>
              <w:bottom w:val="single" w:sz="4" w:space="0" w:color="auto"/>
              <w:right w:val="single" w:sz="4" w:space="0" w:color="auto"/>
            </w:tcBorders>
            <w:shd w:val="clear" w:color="auto" w:fill="auto"/>
            <w:noWrap/>
            <w:vAlign w:val="center"/>
          </w:tcPr>
          <w:p w14:paraId="4A9FD359" w14:textId="77777777" w:rsidR="00B57597" w:rsidRPr="00DA32B7" w:rsidRDefault="00B57597" w:rsidP="00DA32B7">
            <w:pPr>
              <w:spacing w:after="0"/>
              <w:ind w:left="-28" w:right="-28"/>
              <w:jc w:val="right"/>
              <w:rPr>
                <w:rFonts w:eastAsia="Calibri" w:cs="Calibri"/>
                <w:color w:val="000000"/>
                <w:sz w:val="20"/>
                <w:szCs w:val="18"/>
              </w:rPr>
            </w:pPr>
            <w:r w:rsidRPr="00DA32B7">
              <w:rPr>
                <w:color w:val="000000"/>
                <w:sz w:val="20"/>
                <w:szCs w:val="18"/>
              </w:rPr>
              <w:t>269 510 421,29</w:t>
            </w:r>
          </w:p>
        </w:tc>
        <w:tc>
          <w:tcPr>
            <w:tcW w:w="1616" w:type="dxa"/>
            <w:tcBorders>
              <w:top w:val="nil"/>
              <w:left w:val="nil"/>
              <w:bottom w:val="single" w:sz="4" w:space="0" w:color="auto"/>
              <w:right w:val="single" w:sz="4" w:space="0" w:color="auto"/>
            </w:tcBorders>
            <w:shd w:val="clear" w:color="auto" w:fill="auto"/>
            <w:noWrap/>
            <w:vAlign w:val="center"/>
          </w:tcPr>
          <w:p w14:paraId="707BD1B3" w14:textId="77777777" w:rsidR="00B57597" w:rsidRPr="00DA32B7" w:rsidRDefault="00B57597" w:rsidP="00DA32B7">
            <w:pPr>
              <w:spacing w:after="0"/>
              <w:ind w:left="-28" w:right="-28"/>
              <w:jc w:val="right"/>
              <w:rPr>
                <w:rFonts w:eastAsia="Calibri" w:cs="Calibri"/>
                <w:color w:val="000000"/>
                <w:sz w:val="20"/>
                <w:szCs w:val="18"/>
              </w:rPr>
            </w:pPr>
            <w:r w:rsidRPr="00DA32B7">
              <w:rPr>
                <w:color w:val="000000"/>
                <w:sz w:val="20"/>
                <w:szCs w:val="18"/>
              </w:rPr>
              <w:t>254 036 803,67</w:t>
            </w:r>
          </w:p>
        </w:tc>
        <w:tc>
          <w:tcPr>
            <w:tcW w:w="1616" w:type="dxa"/>
            <w:tcBorders>
              <w:top w:val="nil"/>
              <w:left w:val="nil"/>
              <w:bottom w:val="single" w:sz="4" w:space="0" w:color="auto"/>
              <w:right w:val="single" w:sz="4" w:space="0" w:color="auto"/>
            </w:tcBorders>
            <w:vAlign w:val="center"/>
          </w:tcPr>
          <w:p w14:paraId="5928AE19" w14:textId="77777777" w:rsidR="00B57597" w:rsidRPr="00DA32B7" w:rsidRDefault="00B57597" w:rsidP="00DA32B7">
            <w:pPr>
              <w:spacing w:after="0"/>
              <w:ind w:left="-28" w:right="-28"/>
              <w:jc w:val="right"/>
              <w:rPr>
                <w:rFonts w:eastAsia="Calibri" w:cs="Calibri"/>
                <w:color w:val="000000"/>
                <w:sz w:val="20"/>
                <w:szCs w:val="18"/>
              </w:rPr>
            </w:pPr>
            <w:r w:rsidRPr="00DA32B7">
              <w:rPr>
                <w:color w:val="000000"/>
                <w:sz w:val="20"/>
                <w:szCs w:val="18"/>
              </w:rPr>
              <w:t>200 607 381,46</w:t>
            </w:r>
          </w:p>
        </w:tc>
      </w:tr>
      <w:tr w:rsidR="00DA32B7" w:rsidRPr="00DA32B7" w14:paraId="263783C9" w14:textId="77777777" w:rsidTr="002230D3">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6D087" w14:textId="77777777" w:rsidR="00B57597" w:rsidRPr="00DA32B7" w:rsidRDefault="00B57597" w:rsidP="002230D3">
            <w:pPr>
              <w:spacing w:after="0"/>
              <w:ind w:left="-57" w:right="-57"/>
              <w:rPr>
                <w:rFonts w:eastAsia="Calibri" w:cs="Calibri"/>
                <w:color w:val="000000"/>
                <w:sz w:val="20"/>
                <w:szCs w:val="18"/>
              </w:rPr>
            </w:pPr>
            <w:r w:rsidRPr="00DA32B7">
              <w:rPr>
                <w:color w:val="000000"/>
                <w:sz w:val="20"/>
                <w:szCs w:val="18"/>
              </w:rPr>
              <w:t>MPO</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EEAAD92" w14:textId="77777777" w:rsidR="00B57597" w:rsidRPr="00DA32B7" w:rsidRDefault="00B57597" w:rsidP="00DA32B7">
            <w:pPr>
              <w:spacing w:after="0"/>
              <w:ind w:left="-28" w:right="-28"/>
              <w:jc w:val="right"/>
              <w:rPr>
                <w:rFonts w:eastAsia="Calibri" w:cs="Calibri"/>
                <w:color w:val="000000"/>
                <w:sz w:val="20"/>
                <w:szCs w:val="18"/>
              </w:rPr>
            </w:pPr>
            <w:r w:rsidRPr="00DA32B7">
              <w:rPr>
                <w:color w:val="000000"/>
                <w:sz w:val="20"/>
                <w:szCs w:val="18"/>
              </w:rPr>
              <w:t>2 268 039 135,48</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C11B4C6" w14:textId="77777777" w:rsidR="00B57597" w:rsidRPr="00DA32B7" w:rsidRDefault="00B57597" w:rsidP="00DA32B7">
            <w:pPr>
              <w:spacing w:after="0"/>
              <w:ind w:left="-28" w:right="-28"/>
              <w:jc w:val="right"/>
              <w:rPr>
                <w:rFonts w:eastAsia="Calibri" w:cs="Calibri"/>
                <w:color w:val="000000"/>
                <w:sz w:val="20"/>
                <w:szCs w:val="18"/>
              </w:rPr>
            </w:pPr>
            <w:r w:rsidRPr="00DA32B7">
              <w:rPr>
                <w:color w:val="000000"/>
                <w:sz w:val="20"/>
                <w:szCs w:val="18"/>
              </w:rPr>
              <w:t>5 700 693 866,57</w:t>
            </w:r>
          </w:p>
        </w:tc>
        <w:tc>
          <w:tcPr>
            <w:tcW w:w="1616" w:type="dxa"/>
            <w:tcBorders>
              <w:top w:val="single" w:sz="4" w:space="0" w:color="auto"/>
              <w:left w:val="nil"/>
              <w:bottom w:val="single" w:sz="4" w:space="0" w:color="auto"/>
              <w:right w:val="single" w:sz="4" w:space="0" w:color="auto"/>
            </w:tcBorders>
            <w:shd w:val="clear" w:color="auto" w:fill="auto"/>
            <w:noWrap/>
            <w:vAlign w:val="center"/>
          </w:tcPr>
          <w:p w14:paraId="0E50D7CA" w14:textId="77777777" w:rsidR="00B57597" w:rsidRPr="00DA32B7" w:rsidRDefault="00B57597" w:rsidP="00DA32B7">
            <w:pPr>
              <w:spacing w:after="0"/>
              <w:ind w:left="-28" w:right="-28"/>
              <w:jc w:val="right"/>
              <w:rPr>
                <w:rFonts w:eastAsia="Calibri" w:cs="Calibri"/>
                <w:color w:val="000000"/>
                <w:sz w:val="20"/>
                <w:szCs w:val="18"/>
              </w:rPr>
            </w:pPr>
            <w:r w:rsidRPr="00DA32B7">
              <w:rPr>
                <w:color w:val="000000"/>
                <w:sz w:val="20"/>
                <w:szCs w:val="18"/>
              </w:rPr>
              <w:t>11 690 926 461,16</w:t>
            </w:r>
          </w:p>
        </w:tc>
        <w:tc>
          <w:tcPr>
            <w:tcW w:w="1616" w:type="dxa"/>
            <w:tcBorders>
              <w:top w:val="single" w:sz="4" w:space="0" w:color="auto"/>
              <w:left w:val="nil"/>
              <w:bottom w:val="single" w:sz="4" w:space="0" w:color="auto"/>
              <w:right w:val="single" w:sz="4" w:space="0" w:color="auto"/>
            </w:tcBorders>
            <w:shd w:val="clear" w:color="auto" w:fill="auto"/>
            <w:noWrap/>
            <w:vAlign w:val="center"/>
          </w:tcPr>
          <w:p w14:paraId="4E731B47" w14:textId="77777777" w:rsidR="00B57597" w:rsidRPr="00DA32B7" w:rsidRDefault="00B57597" w:rsidP="00DA32B7">
            <w:pPr>
              <w:spacing w:after="0"/>
              <w:ind w:left="-28" w:right="-28"/>
              <w:jc w:val="right"/>
              <w:rPr>
                <w:rFonts w:eastAsia="Calibri" w:cs="Calibri"/>
                <w:color w:val="000000"/>
                <w:sz w:val="20"/>
                <w:szCs w:val="18"/>
              </w:rPr>
            </w:pPr>
            <w:r w:rsidRPr="00DA32B7">
              <w:rPr>
                <w:color w:val="000000"/>
                <w:sz w:val="20"/>
                <w:szCs w:val="18"/>
              </w:rPr>
              <w:t>10 544 492 313,32</w:t>
            </w:r>
          </w:p>
        </w:tc>
        <w:tc>
          <w:tcPr>
            <w:tcW w:w="1616" w:type="dxa"/>
            <w:tcBorders>
              <w:top w:val="single" w:sz="4" w:space="0" w:color="auto"/>
              <w:left w:val="nil"/>
              <w:bottom w:val="single" w:sz="4" w:space="0" w:color="auto"/>
              <w:right w:val="single" w:sz="4" w:space="0" w:color="auto"/>
            </w:tcBorders>
            <w:vAlign w:val="center"/>
          </w:tcPr>
          <w:p w14:paraId="30EA43CB" w14:textId="77777777" w:rsidR="00B57597" w:rsidRPr="00DA32B7" w:rsidRDefault="00B57597" w:rsidP="00DA32B7">
            <w:pPr>
              <w:spacing w:after="0"/>
              <w:ind w:left="-28" w:right="-28"/>
              <w:jc w:val="right"/>
              <w:rPr>
                <w:rFonts w:eastAsia="Calibri" w:cs="Calibri"/>
                <w:color w:val="000000"/>
                <w:sz w:val="20"/>
                <w:szCs w:val="18"/>
              </w:rPr>
            </w:pPr>
            <w:r w:rsidRPr="00DA32B7">
              <w:rPr>
                <w:color w:val="000000"/>
                <w:sz w:val="20"/>
                <w:szCs w:val="18"/>
              </w:rPr>
              <w:t>14 908 846 917,27</w:t>
            </w:r>
          </w:p>
        </w:tc>
      </w:tr>
      <w:tr w:rsidR="00DA32B7" w:rsidRPr="00DA32B7" w14:paraId="698DBA50" w14:textId="77777777" w:rsidTr="002230D3">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782F9" w14:textId="77777777" w:rsidR="00B57597" w:rsidRPr="00DA32B7" w:rsidRDefault="00B57597" w:rsidP="002230D3">
            <w:pPr>
              <w:spacing w:after="0"/>
              <w:ind w:left="-57" w:right="-57"/>
              <w:rPr>
                <w:rFonts w:eastAsia="Calibri" w:cs="Calibri"/>
                <w:color w:val="000000"/>
                <w:sz w:val="20"/>
                <w:szCs w:val="18"/>
              </w:rPr>
            </w:pPr>
            <w:r w:rsidRPr="00DA32B7">
              <w:rPr>
                <w:color w:val="000000"/>
                <w:sz w:val="20"/>
                <w:szCs w:val="18"/>
              </w:rPr>
              <w:t>PO</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12F852D7" w14:textId="77777777" w:rsidR="00B57597" w:rsidRPr="00DA32B7" w:rsidRDefault="00B57597" w:rsidP="00DA32B7">
            <w:pPr>
              <w:spacing w:after="0"/>
              <w:ind w:left="-28" w:right="-28"/>
              <w:jc w:val="right"/>
              <w:rPr>
                <w:rFonts w:eastAsia="Calibri" w:cs="Calibri"/>
                <w:color w:val="000000"/>
                <w:sz w:val="20"/>
                <w:szCs w:val="18"/>
              </w:rPr>
            </w:pPr>
            <w:r w:rsidRPr="00DA32B7">
              <w:rPr>
                <w:color w:val="000000"/>
                <w:sz w:val="20"/>
                <w:szCs w:val="18"/>
              </w:rPr>
              <w:t>1 260 312 619,53</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B8EC76A" w14:textId="77777777" w:rsidR="00B57597" w:rsidRPr="00DA32B7" w:rsidRDefault="00B57597" w:rsidP="00DA32B7">
            <w:pPr>
              <w:spacing w:after="0"/>
              <w:ind w:left="-28" w:right="-28"/>
              <w:jc w:val="right"/>
              <w:rPr>
                <w:rFonts w:eastAsia="Calibri" w:cs="Calibri"/>
                <w:color w:val="000000"/>
                <w:sz w:val="20"/>
                <w:szCs w:val="18"/>
              </w:rPr>
            </w:pPr>
            <w:r w:rsidRPr="00DA32B7">
              <w:rPr>
                <w:color w:val="000000"/>
                <w:sz w:val="20"/>
                <w:szCs w:val="18"/>
              </w:rPr>
              <w:t>1 544 918 042,61</w:t>
            </w:r>
          </w:p>
        </w:tc>
        <w:tc>
          <w:tcPr>
            <w:tcW w:w="1616" w:type="dxa"/>
            <w:tcBorders>
              <w:top w:val="single" w:sz="4" w:space="0" w:color="auto"/>
              <w:left w:val="nil"/>
              <w:bottom w:val="single" w:sz="4" w:space="0" w:color="auto"/>
              <w:right w:val="single" w:sz="4" w:space="0" w:color="auto"/>
            </w:tcBorders>
            <w:shd w:val="clear" w:color="auto" w:fill="auto"/>
            <w:noWrap/>
            <w:vAlign w:val="center"/>
          </w:tcPr>
          <w:p w14:paraId="0F850806" w14:textId="77777777" w:rsidR="00B57597" w:rsidRPr="00DA32B7" w:rsidRDefault="00B57597" w:rsidP="00DA32B7">
            <w:pPr>
              <w:spacing w:after="0"/>
              <w:ind w:left="-28" w:right="-28"/>
              <w:jc w:val="right"/>
              <w:rPr>
                <w:rFonts w:eastAsia="Calibri" w:cs="Calibri"/>
                <w:color w:val="000000"/>
                <w:sz w:val="20"/>
                <w:szCs w:val="18"/>
              </w:rPr>
            </w:pPr>
            <w:r w:rsidRPr="00DA32B7">
              <w:rPr>
                <w:color w:val="000000"/>
                <w:sz w:val="20"/>
                <w:szCs w:val="18"/>
              </w:rPr>
              <w:t>1 730 902 670,11</w:t>
            </w:r>
          </w:p>
        </w:tc>
        <w:tc>
          <w:tcPr>
            <w:tcW w:w="1616" w:type="dxa"/>
            <w:tcBorders>
              <w:top w:val="single" w:sz="4" w:space="0" w:color="auto"/>
              <w:left w:val="nil"/>
              <w:bottom w:val="single" w:sz="4" w:space="0" w:color="auto"/>
              <w:right w:val="single" w:sz="4" w:space="0" w:color="auto"/>
            </w:tcBorders>
            <w:shd w:val="clear" w:color="auto" w:fill="auto"/>
            <w:noWrap/>
            <w:vAlign w:val="center"/>
          </w:tcPr>
          <w:p w14:paraId="7D9191D6" w14:textId="77777777" w:rsidR="00B57597" w:rsidRPr="00DA32B7" w:rsidRDefault="00B57597" w:rsidP="00DA32B7">
            <w:pPr>
              <w:spacing w:after="0"/>
              <w:ind w:left="-28" w:right="-28"/>
              <w:jc w:val="right"/>
              <w:rPr>
                <w:rFonts w:eastAsia="Calibri" w:cs="Calibri"/>
                <w:color w:val="000000"/>
                <w:sz w:val="20"/>
                <w:szCs w:val="18"/>
              </w:rPr>
            </w:pPr>
            <w:r w:rsidRPr="00DA32B7">
              <w:rPr>
                <w:color w:val="000000"/>
                <w:sz w:val="20"/>
                <w:szCs w:val="18"/>
              </w:rPr>
              <w:t>1 765 996 165,64</w:t>
            </w:r>
          </w:p>
        </w:tc>
        <w:tc>
          <w:tcPr>
            <w:tcW w:w="1616" w:type="dxa"/>
            <w:tcBorders>
              <w:top w:val="single" w:sz="4" w:space="0" w:color="auto"/>
              <w:left w:val="nil"/>
              <w:bottom w:val="single" w:sz="4" w:space="0" w:color="auto"/>
              <w:right w:val="single" w:sz="4" w:space="0" w:color="auto"/>
            </w:tcBorders>
            <w:vAlign w:val="center"/>
          </w:tcPr>
          <w:p w14:paraId="5494BFC5" w14:textId="77777777" w:rsidR="00B57597" w:rsidRPr="00DA32B7" w:rsidRDefault="00B57597" w:rsidP="00DA32B7">
            <w:pPr>
              <w:spacing w:after="0"/>
              <w:ind w:left="-28" w:right="-28"/>
              <w:jc w:val="right"/>
              <w:rPr>
                <w:rFonts w:eastAsia="Calibri" w:cs="Calibri"/>
                <w:color w:val="000000"/>
                <w:sz w:val="20"/>
                <w:szCs w:val="18"/>
              </w:rPr>
            </w:pPr>
            <w:r w:rsidRPr="00DA32B7">
              <w:rPr>
                <w:color w:val="000000"/>
                <w:sz w:val="20"/>
                <w:szCs w:val="18"/>
              </w:rPr>
              <w:t>1 655 872 017,11</w:t>
            </w:r>
          </w:p>
        </w:tc>
      </w:tr>
    </w:tbl>
    <w:p w14:paraId="7D316F6B" w14:textId="77777777" w:rsidR="00B57597" w:rsidRPr="00682D65" w:rsidRDefault="00B57597" w:rsidP="00B57597">
      <w:pPr>
        <w:spacing w:before="40"/>
        <w:rPr>
          <w:rFonts w:cs="Calibri"/>
          <w:color w:val="000000"/>
          <w:sz w:val="20"/>
          <w:szCs w:val="20"/>
          <w:lang w:eastAsia="cs-CZ"/>
        </w:rPr>
      </w:pPr>
      <w:r w:rsidRPr="00682D65">
        <w:rPr>
          <w:rFonts w:cs="Calibri"/>
          <w:b/>
          <w:color w:val="000000"/>
          <w:sz w:val="20"/>
          <w:szCs w:val="20"/>
          <w:lang w:eastAsia="cs-CZ"/>
        </w:rPr>
        <w:t xml:space="preserve">Zdroj: </w:t>
      </w:r>
      <w:r w:rsidRPr="00682D65">
        <w:rPr>
          <w:rFonts w:cs="Calibri"/>
          <w:color w:val="000000"/>
          <w:sz w:val="20"/>
          <w:szCs w:val="20"/>
          <w:lang w:eastAsia="cs-CZ"/>
        </w:rPr>
        <w:t>informační portál MONITOR.</w:t>
      </w:r>
    </w:p>
    <w:p w14:paraId="5D5971CE" w14:textId="719D9393" w:rsidR="00B57597" w:rsidRPr="004060BE" w:rsidRDefault="00B57597" w:rsidP="00B57597">
      <w:pPr>
        <w:pStyle w:val="Titulek1"/>
        <w:rPr>
          <w:sz w:val="24"/>
        </w:rPr>
      </w:pPr>
      <w:bookmarkStart w:id="121" w:name="_Toc520714348"/>
      <w:bookmarkStart w:id="122" w:name="_Toc8984555"/>
      <w:bookmarkStart w:id="123" w:name="_Toc72157493"/>
      <w:r w:rsidRPr="004060BE">
        <w:rPr>
          <w:sz w:val="24"/>
        </w:rPr>
        <w:t xml:space="preserve">Tabulka č. </w:t>
      </w:r>
      <w:r w:rsidR="005F2931" w:rsidRPr="004060BE">
        <w:rPr>
          <w:sz w:val="24"/>
        </w:rPr>
        <w:fldChar w:fldCharType="begin"/>
      </w:r>
      <w:r w:rsidR="005F2931" w:rsidRPr="004060BE">
        <w:rPr>
          <w:sz w:val="24"/>
        </w:rPr>
        <w:instrText xml:space="preserve"> SEQ Tabulka \* ARABIC </w:instrText>
      </w:r>
      <w:r w:rsidR="005F2931" w:rsidRPr="004060BE">
        <w:rPr>
          <w:sz w:val="24"/>
        </w:rPr>
        <w:fldChar w:fldCharType="separate"/>
      </w:r>
      <w:r w:rsidR="00E544AA">
        <w:rPr>
          <w:noProof/>
          <w:sz w:val="24"/>
        </w:rPr>
        <w:t>37</w:t>
      </w:r>
      <w:r w:rsidR="005F2931" w:rsidRPr="004060BE">
        <w:rPr>
          <w:noProof/>
          <w:sz w:val="24"/>
        </w:rPr>
        <w:fldChar w:fldCharType="end"/>
      </w:r>
      <w:r w:rsidRPr="004060BE">
        <w:rPr>
          <w:sz w:val="24"/>
        </w:rPr>
        <w:t>: Celkové výnosy PO v rozpočtové kapitole 322 (v Kč)</w:t>
      </w:r>
      <w:bookmarkEnd w:id="121"/>
      <w:bookmarkEnd w:id="122"/>
      <w:bookmarkEnd w:id="123"/>
    </w:p>
    <w:tbl>
      <w:tblPr>
        <w:tblW w:w="9157" w:type="dxa"/>
        <w:jc w:val="center"/>
        <w:tblLayout w:type="fixed"/>
        <w:tblCellMar>
          <w:left w:w="70" w:type="dxa"/>
          <w:right w:w="70" w:type="dxa"/>
        </w:tblCellMar>
        <w:tblLook w:val="04A0" w:firstRow="1" w:lastRow="0" w:firstColumn="1" w:lastColumn="0" w:noHBand="0" w:noVBand="1"/>
      </w:tblPr>
      <w:tblGrid>
        <w:gridCol w:w="794"/>
        <w:gridCol w:w="2268"/>
        <w:gridCol w:w="1219"/>
        <w:gridCol w:w="1219"/>
        <w:gridCol w:w="1219"/>
        <w:gridCol w:w="1219"/>
        <w:gridCol w:w="1219"/>
      </w:tblGrid>
      <w:tr w:rsidR="00B57597" w:rsidRPr="00964C83" w14:paraId="2AC8D2BB" w14:textId="77777777" w:rsidTr="00964C83">
        <w:trPr>
          <w:trHeight w:val="255"/>
          <w:jc w:val="center"/>
        </w:trPr>
        <w:tc>
          <w:tcPr>
            <w:tcW w:w="794" w:type="dxa"/>
            <w:tcBorders>
              <w:top w:val="single" w:sz="4" w:space="0" w:color="auto"/>
              <w:left w:val="single" w:sz="4" w:space="0" w:color="auto"/>
              <w:bottom w:val="single" w:sz="4" w:space="0" w:color="auto"/>
              <w:right w:val="single" w:sz="4" w:space="0" w:color="auto"/>
            </w:tcBorders>
            <w:shd w:val="clear" w:color="auto" w:fill="E5F1FF"/>
            <w:vAlign w:val="center"/>
          </w:tcPr>
          <w:p w14:paraId="4B6FE1B3" w14:textId="77777777" w:rsidR="00B57597" w:rsidRPr="00964C83" w:rsidRDefault="00B57597" w:rsidP="004060BE">
            <w:pPr>
              <w:spacing w:after="0"/>
              <w:jc w:val="center"/>
              <w:rPr>
                <w:rFonts w:cs="Calibri"/>
                <w:b/>
                <w:bCs/>
                <w:color w:val="000000"/>
                <w:sz w:val="15"/>
                <w:szCs w:val="15"/>
                <w:lang w:eastAsia="cs-CZ"/>
              </w:rPr>
            </w:pPr>
            <w:r w:rsidRPr="00964C83">
              <w:rPr>
                <w:rFonts w:cs="Calibri"/>
                <w:b/>
                <w:bCs/>
                <w:color w:val="000000"/>
                <w:sz w:val="15"/>
                <w:szCs w:val="15"/>
              </w:rPr>
              <w:t>IČO</w:t>
            </w:r>
          </w:p>
        </w:tc>
        <w:tc>
          <w:tcPr>
            <w:tcW w:w="2268"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1E325F27" w14:textId="77777777" w:rsidR="00B57597" w:rsidRPr="00964C83" w:rsidRDefault="00B57597" w:rsidP="004060BE">
            <w:pPr>
              <w:spacing w:after="0"/>
              <w:jc w:val="center"/>
              <w:rPr>
                <w:rFonts w:cs="Calibri"/>
                <w:b/>
                <w:bCs/>
                <w:color w:val="000000"/>
                <w:sz w:val="15"/>
                <w:szCs w:val="15"/>
                <w:lang w:eastAsia="cs-CZ"/>
              </w:rPr>
            </w:pPr>
            <w:r w:rsidRPr="00964C83">
              <w:rPr>
                <w:rFonts w:cs="Calibri"/>
                <w:b/>
                <w:bCs/>
                <w:color w:val="000000"/>
                <w:sz w:val="15"/>
                <w:szCs w:val="15"/>
              </w:rPr>
              <w:t>Účetní jednotka</w:t>
            </w:r>
          </w:p>
        </w:tc>
        <w:tc>
          <w:tcPr>
            <w:tcW w:w="1219" w:type="dxa"/>
            <w:tcBorders>
              <w:top w:val="single" w:sz="4" w:space="0" w:color="auto"/>
              <w:left w:val="nil"/>
              <w:bottom w:val="single" w:sz="4" w:space="0" w:color="auto"/>
              <w:right w:val="single" w:sz="4" w:space="0" w:color="auto"/>
            </w:tcBorders>
            <w:shd w:val="clear" w:color="auto" w:fill="E5F1FF"/>
            <w:noWrap/>
            <w:vAlign w:val="center"/>
            <w:hideMark/>
          </w:tcPr>
          <w:p w14:paraId="0D792DD1" w14:textId="77777777" w:rsidR="00B57597" w:rsidRPr="00964C83" w:rsidRDefault="00B57597" w:rsidP="004060BE">
            <w:pPr>
              <w:spacing w:after="0"/>
              <w:jc w:val="center"/>
              <w:rPr>
                <w:rFonts w:cs="Calibri"/>
                <w:b/>
                <w:bCs/>
                <w:color w:val="000000"/>
                <w:sz w:val="15"/>
                <w:szCs w:val="15"/>
                <w:lang w:eastAsia="cs-CZ"/>
              </w:rPr>
            </w:pPr>
            <w:r w:rsidRPr="00964C83">
              <w:rPr>
                <w:rFonts w:cs="Calibri"/>
                <w:b/>
                <w:bCs/>
                <w:color w:val="000000"/>
                <w:sz w:val="15"/>
                <w:szCs w:val="15"/>
              </w:rPr>
              <w:t>2016</w:t>
            </w:r>
          </w:p>
        </w:tc>
        <w:tc>
          <w:tcPr>
            <w:tcW w:w="1219" w:type="dxa"/>
            <w:tcBorders>
              <w:top w:val="single" w:sz="4" w:space="0" w:color="auto"/>
              <w:left w:val="nil"/>
              <w:bottom w:val="single" w:sz="4" w:space="0" w:color="auto"/>
              <w:right w:val="single" w:sz="4" w:space="0" w:color="auto"/>
            </w:tcBorders>
            <w:shd w:val="clear" w:color="auto" w:fill="E5F1FF"/>
            <w:noWrap/>
            <w:vAlign w:val="center"/>
            <w:hideMark/>
          </w:tcPr>
          <w:p w14:paraId="7CDF6BCF" w14:textId="77777777" w:rsidR="00B57597" w:rsidRPr="00964C83" w:rsidRDefault="00B57597" w:rsidP="004060BE">
            <w:pPr>
              <w:spacing w:after="0"/>
              <w:jc w:val="center"/>
              <w:rPr>
                <w:rFonts w:cs="Calibri"/>
                <w:b/>
                <w:bCs/>
                <w:color w:val="000000"/>
                <w:sz w:val="15"/>
                <w:szCs w:val="15"/>
                <w:lang w:eastAsia="cs-CZ"/>
              </w:rPr>
            </w:pPr>
            <w:r w:rsidRPr="00964C83">
              <w:rPr>
                <w:rFonts w:cs="Calibri"/>
                <w:b/>
                <w:bCs/>
                <w:color w:val="000000"/>
                <w:sz w:val="15"/>
                <w:szCs w:val="15"/>
              </w:rPr>
              <w:t>2017</w:t>
            </w:r>
          </w:p>
        </w:tc>
        <w:tc>
          <w:tcPr>
            <w:tcW w:w="1219" w:type="dxa"/>
            <w:tcBorders>
              <w:top w:val="single" w:sz="4" w:space="0" w:color="auto"/>
              <w:left w:val="nil"/>
              <w:bottom w:val="single" w:sz="4" w:space="0" w:color="auto"/>
              <w:right w:val="single" w:sz="4" w:space="0" w:color="auto"/>
            </w:tcBorders>
            <w:shd w:val="clear" w:color="auto" w:fill="E5F1FF"/>
            <w:noWrap/>
            <w:vAlign w:val="center"/>
            <w:hideMark/>
          </w:tcPr>
          <w:p w14:paraId="2237EFF1" w14:textId="77777777" w:rsidR="00B57597" w:rsidRPr="00964C83" w:rsidRDefault="00B57597" w:rsidP="004060BE">
            <w:pPr>
              <w:spacing w:after="0"/>
              <w:jc w:val="center"/>
              <w:rPr>
                <w:rFonts w:cs="Calibri"/>
                <w:b/>
                <w:bCs/>
                <w:color w:val="000000"/>
                <w:sz w:val="15"/>
                <w:szCs w:val="15"/>
                <w:lang w:eastAsia="cs-CZ"/>
              </w:rPr>
            </w:pPr>
            <w:r w:rsidRPr="00964C83">
              <w:rPr>
                <w:rFonts w:cs="Calibri"/>
                <w:b/>
                <w:bCs/>
                <w:color w:val="000000"/>
                <w:sz w:val="15"/>
                <w:szCs w:val="15"/>
              </w:rPr>
              <w:t>2018</w:t>
            </w:r>
          </w:p>
        </w:tc>
        <w:tc>
          <w:tcPr>
            <w:tcW w:w="1219" w:type="dxa"/>
            <w:tcBorders>
              <w:top w:val="single" w:sz="4" w:space="0" w:color="auto"/>
              <w:left w:val="nil"/>
              <w:bottom w:val="single" w:sz="4" w:space="0" w:color="auto"/>
              <w:right w:val="single" w:sz="4" w:space="0" w:color="auto"/>
            </w:tcBorders>
            <w:shd w:val="clear" w:color="auto" w:fill="E5F1FF"/>
            <w:noWrap/>
            <w:vAlign w:val="center"/>
            <w:hideMark/>
          </w:tcPr>
          <w:p w14:paraId="56FCC13F" w14:textId="77777777" w:rsidR="00B57597" w:rsidRPr="00964C83" w:rsidRDefault="00B57597" w:rsidP="004060BE">
            <w:pPr>
              <w:spacing w:after="0"/>
              <w:jc w:val="center"/>
              <w:rPr>
                <w:rFonts w:cs="Calibri"/>
                <w:b/>
                <w:bCs/>
                <w:color w:val="000000"/>
                <w:sz w:val="15"/>
                <w:szCs w:val="15"/>
                <w:lang w:eastAsia="cs-CZ"/>
              </w:rPr>
            </w:pPr>
            <w:r w:rsidRPr="00964C83">
              <w:rPr>
                <w:rFonts w:cs="Calibri"/>
                <w:b/>
                <w:bCs/>
                <w:color w:val="000000"/>
                <w:sz w:val="15"/>
                <w:szCs w:val="15"/>
              </w:rPr>
              <w:t>2019</w:t>
            </w:r>
          </w:p>
        </w:tc>
        <w:tc>
          <w:tcPr>
            <w:tcW w:w="1219" w:type="dxa"/>
            <w:tcBorders>
              <w:top w:val="single" w:sz="4" w:space="0" w:color="auto"/>
              <w:left w:val="nil"/>
              <w:bottom w:val="single" w:sz="4" w:space="0" w:color="auto"/>
              <w:right w:val="single" w:sz="4" w:space="0" w:color="auto"/>
            </w:tcBorders>
            <w:shd w:val="clear" w:color="auto" w:fill="E5F1FF"/>
            <w:vAlign w:val="center"/>
          </w:tcPr>
          <w:p w14:paraId="398E7FC7" w14:textId="77777777" w:rsidR="00B57597" w:rsidRPr="00964C83" w:rsidRDefault="00B57597" w:rsidP="004060BE">
            <w:pPr>
              <w:spacing w:after="0"/>
              <w:jc w:val="center"/>
              <w:rPr>
                <w:rFonts w:cs="Calibri"/>
                <w:b/>
                <w:bCs/>
                <w:color w:val="000000"/>
                <w:sz w:val="15"/>
                <w:szCs w:val="15"/>
                <w:lang w:eastAsia="cs-CZ"/>
              </w:rPr>
            </w:pPr>
            <w:r w:rsidRPr="00964C83">
              <w:rPr>
                <w:rFonts w:cs="Calibri"/>
                <w:b/>
                <w:bCs/>
                <w:color w:val="000000"/>
                <w:sz w:val="15"/>
                <w:szCs w:val="15"/>
              </w:rPr>
              <w:t>2020</w:t>
            </w:r>
          </w:p>
        </w:tc>
      </w:tr>
      <w:tr w:rsidR="00B57597" w:rsidRPr="00964C83" w14:paraId="3FBD1202" w14:textId="77777777" w:rsidTr="00964C83">
        <w:trPr>
          <w:trHeight w:val="255"/>
          <w:jc w:val="center"/>
        </w:trPr>
        <w:tc>
          <w:tcPr>
            <w:tcW w:w="794" w:type="dxa"/>
            <w:tcBorders>
              <w:top w:val="nil"/>
              <w:left w:val="single" w:sz="4" w:space="0" w:color="auto"/>
              <w:bottom w:val="single" w:sz="4" w:space="0" w:color="auto"/>
              <w:right w:val="single" w:sz="4" w:space="0" w:color="auto"/>
            </w:tcBorders>
            <w:vAlign w:val="center"/>
          </w:tcPr>
          <w:p w14:paraId="754916D0" w14:textId="77777777" w:rsidR="00B57597" w:rsidRPr="00964C83" w:rsidRDefault="00B57597" w:rsidP="004060BE">
            <w:pPr>
              <w:spacing w:after="0"/>
              <w:jc w:val="center"/>
              <w:rPr>
                <w:rFonts w:eastAsia="Calibri" w:cs="Calibri"/>
                <w:color w:val="000000"/>
                <w:sz w:val="15"/>
                <w:szCs w:val="15"/>
              </w:rPr>
            </w:pPr>
            <w:r w:rsidRPr="00964C83">
              <w:rPr>
                <w:rFonts w:cs="Calibri"/>
                <w:color w:val="000000"/>
                <w:sz w:val="15"/>
                <w:szCs w:val="15"/>
              </w:rPr>
              <w:t>05108861</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0FFD2353" w14:textId="77777777" w:rsidR="00B57597" w:rsidRPr="00964C83" w:rsidRDefault="00B57597" w:rsidP="004060BE">
            <w:pPr>
              <w:spacing w:after="0"/>
              <w:rPr>
                <w:rFonts w:eastAsia="Calibri" w:cs="Calibri"/>
                <w:color w:val="000000"/>
                <w:sz w:val="15"/>
                <w:szCs w:val="15"/>
              </w:rPr>
            </w:pPr>
            <w:r w:rsidRPr="00964C83">
              <w:rPr>
                <w:rFonts w:cs="Calibri"/>
                <w:color w:val="000000"/>
                <w:sz w:val="15"/>
                <w:szCs w:val="15"/>
              </w:rPr>
              <w:t>Agentura pro podnikání a inovace</w:t>
            </w:r>
          </w:p>
        </w:tc>
        <w:tc>
          <w:tcPr>
            <w:tcW w:w="1219" w:type="dxa"/>
            <w:tcBorders>
              <w:top w:val="nil"/>
              <w:left w:val="nil"/>
              <w:bottom w:val="single" w:sz="4" w:space="0" w:color="auto"/>
              <w:right w:val="single" w:sz="4" w:space="0" w:color="auto"/>
            </w:tcBorders>
            <w:shd w:val="clear" w:color="auto" w:fill="auto"/>
            <w:noWrap/>
            <w:vAlign w:val="center"/>
          </w:tcPr>
          <w:p w14:paraId="7D40E112"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76 886 700,66</w:t>
            </w:r>
          </w:p>
        </w:tc>
        <w:tc>
          <w:tcPr>
            <w:tcW w:w="1219" w:type="dxa"/>
            <w:tcBorders>
              <w:top w:val="nil"/>
              <w:left w:val="nil"/>
              <w:bottom w:val="single" w:sz="4" w:space="0" w:color="auto"/>
              <w:right w:val="single" w:sz="4" w:space="0" w:color="auto"/>
            </w:tcBorders>
            <w:shd w:val="clear" w:color="auto" w:fill="auto"/>
            <w:noWrap/>
            <w:vAlign w:val="center"/>
          </w:tcPr>
          <w:p w14:paraId="3D07590A"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140 938 302,51</w:t>
            </w:r>
          </w:p>
        </w:tc>
        <w:tc>
          <w:tcPr>
            <w:tcW w:w="1219" w:type="dxa"/>
            <w:tcBorders>
              <w:top w:val="nil"/>
              <w:left w:val="nil"/>
              <w:bottom w:val="single" w:sz="4" w:space="0" w:color="auto"/>
              <w:right w:val="single" w:sz="4" w:space="0" w:color="auto"/>
            </w:tcBorders>
            <w:shd w:val="clear" w:color="auto" w:fill="auto"/>
            <w:noWrap/>
            <w:vAlign w:val="center"/>
          </w:tcPr>
          <w:p w14:paraId="5DEFA4E1"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173 610 417,72</w:t>
            </w:r>
          </w:p>
        </w:tc>
        <w:tc>
          <w:tcPr>
            <w:tcW w:w="1219" w:type="dxa"/>
            <w:tcBorders>
              <w:top w:val="nil"/>
              <w:left w:val="nil"/>
              <w:bottom w:val="single" w:sz="4" w:space="0" w:color="auto"/>
              <w:right w:val="single" w:sz="4" w:space="0" w:color="auto"/>
            </w:tcBorders>
            <w:shd w:val="clear" w:color="auto" w:fill="auto"/>
            <w:noWrap/>
            <w:vAlign w:val="center"/>
          </w:tcPr>
          <w:p w14:paraId="4D953A2F"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168 680 799,39</w:t>
            </w:r>
          </w:p>
        </w:tc>
        <w:tc>
          <w:tcPr>
            <w:tcW w:w="1219" w:type="dxa"/>
            <w:tcBorders>
              <w:top w:val="nil"/>
              <w:left w:val="nil"/>
              <w:bottom w:val="single" w:sz="4" w:space="0" w:color="auto"/>
              <w:right w:val="single" w:sz="4" w:space="0" w:color="auto"/>
            </w:tcBorders>
            <w:vAlign w:val="center"/>
          </w:tcPr>
          <w:p w14:paraId="70E5ECDF"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180 579 712,73</w:t>
            </w:r>
          </w:p>
        </w:tc>
      </w:tr>
      <w:tr w:rsidR="00B57597" w:rsidRPr="00964C83" w14:paraId="0024A49A" w14:textId="77777777" w:rsidTr="00964C83">
        <w:trPr>
          <w:trHeight w:val="255"/>
          <w:jc w:val="center"/>
        </w:trPr>
        <w:tc>
          <w:tcPr>
            <w:tcW w:w="794" w:type="dxa"/>
            <w:tcBorders>
              <w:top w:val="single" w:sz="4" w:space="0" w:color="auto"/>
              <w:left w:val="single" w:sz="4" w:space="0" w:color="auto"/>
              <w:bottom w:val="single" w:sz="4" w:space="0" w:color="auto"/>
              <w:right w:val="single" w:sz="4" w:space="0" w:color="auto"/>
            </w:tcBorders>
            <w:vAlign w:val="center"/>
          </w:tcPr>
          <w:p w14:paraId="5368BF40" w14:textId="77777777" w:rsidR="00B57597" w:rsidRPr="00964C83" w:rsidRDefault="00B57597" w:rsidP="004060BE">
            <w:pPr>
              <w:spacing w:after="0"/>
              <w:jc w:val="center"/>
              <w:rPr>
                <w:rFonts w:eastAsia="Calibri" w:cs="Calibri"/>
                <w:color w:val="000000"/>
                <w:sz w:val="15"/>
                <w:szCs w:val="15"/>
              </w:rPr>
            </w:pPr>
            <w:r w:rsidRPr="00964C83">
              <w:rPr>
                <w:rFonts w:cs="Calibri"/>
                <w:color w:val="000000"/>
                <w:sz w:val="15"/>
                <w:szCs w:val="15"/>
              </w:rPr>
              <w:t>71377999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DE2FF" w14:textId="0CB3EBF8" w:rsidR="00B57597" w:rsidRPr="00964C83" w:rsidRDefault="00B57597" w:rsidP="004060BE">
            <w:pPr>
              <w:spacing w:after="0"/>
              <w:rPr>
                <w:rFonts w:eastAsia="Calibri" w:cs="Calibri"/>
                <w:color w:val="000000"/>
                <w:sz w:val="15"/>
                <w:szCs w:val="15"/>
              </w:rPr>
            </w:pPr>
            <w:r w:rsidRPr="00964C83">
              <w:rPr>
                <w:rFonts w:cs="Calibri"/>
                <w:color w:val="000000"/>
                <w:sz w:val="15"/>
                <w:szCs w:val="15"/>
              </w:rPr>
              <w:t>Agentura pro podporu podnikání a</w:t>
            </w:r>
            <w:r w:rsidR="00964C83">
              <w:rPr>
                <w:rFonts w:cs="Calibri"/>
                <w:color w:val="000000"/>
                <w:sz w:val="15"/>
                <w:szCs w:val="15"/>
              </w:rPr>
              <w:t> </w:t>
            </w:r>
            <w:r w:rsidRPr="00964C83">
              <w:rPr>
                <w:rFonts w:cs="Calibri"/>
                <w:color w:val="000000"/>
                <w:sz w:val="15"/>
                <w:szCs w:val="15"/>
              </w:rPr>
              <w:t xml:space="preserve">investic </w:t>
            </w:r>
            <w:proofErr w:type="spellStart"/>
            <w:r w:rsidRPr="00964C83">
              <w:rPr>
                <w:rFonts w:cs="Calibri"/>
                <w:color w:val="000000"/>
                <w:sz w:val="15"/>
                <w:szCs w:val="15"/>
              </w:rPr>
              <w:t>CzechInvest</w:t>
            </w:r>
            <w:proofErr w:type="spellEnd"/>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1C7A4E4B"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262 108 746,09</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1B1A5E40"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289 461 464,20</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5D9E9045"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297 149 418,71</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27118ACC"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303 183 189,35</w:t>
            </w:r>
          </w:p>
        </w:tc>
        <w:tc>
          <w:tcPr>
            <w:tcW w:w="1219" w:type="dxa"/>
            <w:tcBorders>
              <w:top w:val="single" w:sz="4" w:space="0" w:color="auto"/>
              <w:left w:val="nil"/>
              <w:bottom w:val="single" w:sz="4" w:space="0" w:color="auto"/>
              <w:right w:val="single" w:sz="4" w:space="0" w:color="auto"/>
            </w:tcBorders>
            <w:vAlign w:val="center"/>
          </w:tcPr>
          <w:p w14:paraId="670684E1"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268 502 406,96</w:t>
            </w:r>
          </w:p>
        </w:tc>
      </w:tr>
      <w:tr w:rsidR="00B57597" w:rsidRPr="00964C83" w14:paraId="54A819F4" w14:textId="77777777" w:rsidTr="00964C83">
        <w:trPr>
          <w:trHeight w:val="255"/>
          <w:jc w:val="center"/>
        </w:trPr>
        <w:tc>
          <w:tcPr>
            <w:tcW w:w="794" w:type="dxa"/>
            <w:tcBorders>
              <w:top w:val="single" w:sz="4" w:space="0" w:color="auto"/>
              <w:left w:val="single" w:sz="4" w:space="0" w:color="auto"/>
              <w:bottom w:val="single" w:sz="4" w:space="0" w:color="auto"/>
              <w:right w:val="single" w:sz="4" w:space="0" w:color="auto"/>
            </w:tcBorders>
            <w:vAlign w:val="center"/>
          </w:tcPr>
          <w:p w14:paraId="18CB5AE6" w14:textId="77777777" w:rsidR="00B57597" w:rsidRPr="00964C83" w:rsidRDefault="00B57597" w:rsidP="004060BE">
            <w:pPr>
              <w:spacing w:after="0"/>
              <w:jc w:val="center"/>
              <w:rPr>
                <w:rFonts w:eastAsia="Calibri" w:cs="Calibri"/>
                <w:color w:val="000000"/>
                <w:sz w:val="15"/>
                <w:szCs w:val="15"/>
              </w:rPr>
            </w:pPr>
            <w:r w:rsidRPr="00964C83">
              <w:rPr>
                <w:rFonts w:cs="Calibri"/>
                <w:color w:val="000000"/>
                <w:sz w:val="15"/>
                <w:szCs w:val="15"/>
              </w:rPr>
              <w:t>00001171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AF0D0" w14:textId="77777777" w:rsidR="00B57597" w:rsidRPr="00964C83" w:rsidRDefault="00B57597" w:rsidP="004060BE">
            <w:pPr>
              <w:spacing w:after="0"/>
              <w:rPr>
                <w:rFonts w:eastAsia="Calibri" w:cs="Calibri"/>
                <w:color w:val="000000"/>
                <w:sz w:val="15"/>
                <w:szCs w:val="15"/>
              </w:rPr>
            </w:pPr>
            <w:r w:rsidRPr="00964C83">
              <w:rPr>
                <w:rFonts w:cs="Calibri"/>
                <w:color w:val="000000"/>
                <w:sz w:val="15"/>
                <w:szCs w:val="15"/>
              </w:rPr>
              <w:t>Česká agentura na podporu obchodu</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3DA539CE"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331 715 772,39</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06A76284"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487 715 759,11</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5E7B0ACA"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416 448 932,63</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3159C100"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418 408 085,58</w:t>
            </w:r>
          </w:p>
        </w:tc>
        <w:tc>
          <w:tcPr>
            <w:tcW w:w="1219" w:type="dxa"/>
            <w:tcBorders>
              <w:top w:val="single" w:sz="4" w:space="0" w:color="auto"/>
              <w:left w:val="nil"/>
              <w:bottom w:val="single" w:sz="4" w:space="0" w:color="auto"/>
              <w:right w:val="single" w:sz="4" w:space="0" w:color="auto"/>
            </w:tcBorders>
            <w:vAlign w:val="center"/>
          </w:tcPr>
          <w:p w14:paraId="5B4DD9C4"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332 205 753,05</w:t>
            </w:r>
          </w:p>
        </w:tc>
      </w:tr>
      <w:tr w:rsidR="00B57597" w:rsidRPr="00964C83" w14:paraId="56B8FB6B" w14:textId="77777777" w:rsidTr="00964C83">
        <w:trPr>
          <w:trHeight w:val="255"/>
          <w:jc w:val="center"/>
        </w:trPr>
        <w:tc>
          <w:tcPr>
            <w:tcW w:w="794" w:type="dxa"/>
            <w:tcBorders>
              <w:top w:val="single" w:sz="4" w:space="0" w:color="auto"/>
              <w:left w:val="single" w:sz="4" w:space="0" w:color="auto"/>
              <w:bottom w:val="single" w:sz="4" w:space="0" w:color="auto"/>
              <w:right w:val="single" w:sz="4" w:space="0" w:color="auto"/>
            </w:tcBorders>
            <w:vAlign w:val="center"/>
          </w:tcPr>
          <w:p w14:paraId="4FF8991B" w14:textId="77777777" w:rsidR="00B57597" w:rsidRPr="00964C83" w:rsidRDefault="00B57597" w:rsidP="004060BE">
            <w:pPr>
              <w:spacing w:after="0"/>
              <w:jc w:val="center"/>
              <w:rPr>
                <w:rFonts w:eastAsia="Calibri" w:cs="Calibri"/>
                <w:color w:val="000000"/>
                <w:sz w:val="15"/>
                <w:szCs w:val="15"/>
              </w:rPr>
            </w:pPr>
            <w:r w:rsidRPr="00964C83">
              <w:rPr>
                <w:rFonts w:cs="Calibri"/>
                <w:color w:val="000000"/>
                <w:sz w:val="15"/>
                <w:szCs w:val="15"/>
              </w:rPr>
              <w:t>06578705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67721" w14:textId="77777777" w:rsidR="00B57597" w:rsidRPr="00964C83" w:rsidRDefault="00B57597" w:rsidP="004060BE">
            <w:pPr>
              <w:spacing w:after="0"/>
              <w:rPr>
                <w:rFonts w:eastAsia="Calibri" w:cs="Calibri"/>
                <w:color w:val="000000"/>
                <w:sz w:val="15"/>
                <w:szCs w:val="15"/>
              </w:rPr>
            </w:pPr>
            <w:r w:rsidRPr="00964C83">
              <w:rPr>
                <w:rFonts w:cs="Calibri"/>
                <w:color w:val="000000"/>
                <w:sz w:val="15"/>
                <w:szCs w:val="15"/>
              </w:rPr>
              <w:t>Česká agentura pro standardizaci</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6BE4EA0D"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x </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47F3F659"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x </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753E9776"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131 178 862,47</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7D456F9E"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155 922 835,31</w:t>
            </w:r>
          </w:p>
        </w:tc>
        <w:tc>
          <w:tcPr>
            <w:tcW w:w="1219" w:type="dxa"/>
            <w:tcBorders>
              <w:top w:val="single" w:sz="4" w:space="0" w:color="auto"/>
              <w:left w:val="nil"/>
              <w:bottom w:val="single" w:sz="4" w:space="0" w:color="auto"/>
              <w:right w:val="single" w:sz="4" w:space="0" w:color="auto"/>
            </w:tcBorders>
            <w:vAlign w:val="center"/>
          </w:tcPr>
          <w:p w14:paraId="6BD7F403"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147 696 358,89</w:t>
            </w:r>
          </w:p>
        </w:tc>
      </w:tr>
      <w:tr w:rsidR="00B57597" w:rsidRPr="00964C83" w14:paraId="363E72B9" w14:textId="77777777" w:rsidTr="00964C83">
        <w:trPr>
          <w:trHeight w:val="255"/>
          <w:jc w:val="center"/>
        </w:trPr>
        <w:tc>
          <w:tcPr>
            <w:tcW w:w="794" w:type="dxa"/>
            <w:tcBorders>
              <w:top w:val="single" w:sz="4" w:space="0" w:color="auto"/>
              <w:left w:val="single" w:sz="4" w:space="0" w:color="auto"/>
              <w:bottom w:val="single" w:sz="4" w:space="0" w:color="auto"/>
              <w:right w:val="single" w:sz="4" w:space="0" w:color="auto"/>
            </w:tcBorders>
            <w:vAlign w:val="center"/>
          </w:tcPr>
          <w:p w14:paraId="11921A1B" w14:textId="77777777" w:rsidR="00B57597" w:rsidRPr="00964C83" w:rsidRDefault="00B57597" w:rsidP="004060BE">
            <w:pPr>
              <w:spacing w:after="0"/>
              <w:jc w:val="center"/>
              <w:rPr>
                <w:rFonts w:eastAsia="Calibri" w:cs="Calibri"/>
                <w:color w:val="000000"/>
                <w:sz w:val="15"/>
                <w:szCs w:val="15"/>
              </w:rPr>
            </w:pPr>
            <w:r w:rsidRPr="00964C83">
              <w:rPr>
                <w:rFonts w:cs="Calibri"/>
                <w:color w:val="000000"/>
                <w:sz w:val="15"/>
                <w:szCs w:val="15"/>
              </w:rPr>
              <w:t>00177016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364E" w14:textId="77777777" w:rsidR="00B57597" w:rsidRPr="00964C83" w:rsidRDefault="00B57597" w:rsidP="004060BE">
            <w:pPr>
              <w:spacing w:after="0"/>
              <w:rPr>
                <w:rFonts w:eastAsia="Calibri" w:cs="Calibri"/>
                <w:color w:val="000000"/>
                <w:sz w:val="15"/>
                <w:szCs w:val="15"/>
              </w:rPr>
            </w:pPr>
            <w:r w:rsidRPr="00964C83">
              <w:rPr>
                <w:rFonts w:cs="Calibri"/>
                <w:color w:val="000000"/>
                <w:sz w:val="15"/>
                <w:szCs w:val="15"/>
              </w:rPr>
              <w:t>Český metrologický institut</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7C302686"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564 555 742,66</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5E42DADD"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601 514 371,79</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45D3379C"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685 556 605,58</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53094804"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690 835 233,01</w:t>
            </w:r>
          </w:p>
        </w:tc>
        <w:tc>
          <w:tcPr>
            <w:tcW w:w="1219" w:type="dxa"/>
            <w:tcBorders>
              <w:top w:val="single" w:sz="4" w:space="0" w:color="auto"/>
              <w:left w:val="nil"/>
              <w:bottom w:val="single" w:sz="4" w:space="0" w:color="auto"/>
              <w:right w:val="single" w:sz="4" w:space="0" w:color="auto"/>
            </w:tcBorders>
            <w:vAlign w:val="center"/>
          </w:tcPr>
          <w:p w14:paraId="261CB452"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683 435 845,07</w:t>
            </w:r>
          </w:p>
        </w:tc>
      </w:tr>
      <w:tr w:rsidR="00B57597" w:rsidRPr="00964C83" w14:paraId="66887715" w14:textId="77777777" w:rsidTr="00964C83">
        <w:trPr>
          <w:trHeight w:val="255"/>
          <w:jc w:val="center"/>
        </w:trPr>
        <w:tc>
          <w:tcPr>
            <w:tcW w:w="794" w:type="dxa"/>
            <w:tcBorders>
              <w:top w:val="single" w:sz="4" w:space="0" w:color="auto"/>
              <w:left w:val="single" w:sz="4" w:space="0" w:color="auto"/>
              <w:bottom w:val="single" w:sz="4" w:space="0" w:color="auto"/>
              <w:right w:val="single" w:sz="4" w:space="0" w:color="auto"/>
            </w:tcBorders>
            <w:vAlign w:val="center"/>
          </w:tcPr>
          <w:p w14:paraId="14C4013F" w14:textId="77777777" w:rsidR="00B57597" w:rsidRPr="00964C83" w:rsidRDefault="00B57597" w:rsidP="004060BE">
            <w:pPr>
              <w:spacing w:after="0"/>
              <w:jc w:val="center"/>
              <w:rPr>
                <w:rFonts w:eastAsia="Calibri" w:cs="Calibri"/>
                <w:color w:val="000000"/>
                <w:sz w:val="15"/>
                <w:szCs w:val="15"/>
              </w:rPr>
            </w:pPr>
            <w:r w:rsidRPr="00964C83">
              <w:rPr>
                <w:rFonts w:cs="Calibri"/>
                <w:color w:val="000000"/>
                <w:sz w:val="15"/>
                <w:szCs w:val="15"/>
              </w:rPr>
              <w:t>61382060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07FCA" w14:textId="77777777" w:rsidR="00B57597" w:rsidRPr="00964C83" w:rsidRDefault="00B57597" w:rsidP="004060BE">
            <w:pPr>
              <w:spacing w:after="0"/>
              <w:rPr>
                <w:rFonts w:eastAsia="Calibri" w:cs="Calibri"/>
                <w:color w:val="000000"/>
                <w:sz w:val="15"/>
                <w:szCs w:val="15"/>
              </w:rPr>
            </w:pPr>
            <w:r w:rsidRPr="00964C83">
              <w:rPr>
                <w:rFonts w:cs="Calibri"/>
                <w:color w:val="000000"/>
                <w:sz w:val="15"/>
                <w:szCs w:val="15"/>
              </w:rPr>
              <w:t>Správa služeb Ministerstva průmyslu a obchodu ČR</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7CE3412B"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25 045 657,73</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35481831"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25 288 145,00</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29D4D629"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26 958 433,00</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6528ABDF"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28 966 023,00</w:t>
            </w:r>
          </w:p>
        </w:tc>
        <w:tc>
          <w:tcPr>
            <w:tcW w:w="1219" w:type="dxa"/>
            <w:tcBorders>
              <w:top w:val="single" w:sz="4" w:space="0" w:color="auto"/>
              <w:left w:val="nil"/>
              <w:bottom w:val="single" w:sz="4" w:space="0" w:color="auto"/>
              <w:right w:val="single" w:sz="4" w:space="0" w:color="auto"/>
            </w:tcBorders>
            <w:vAlign w:val="center"/>
          </w:tcPr>
          <w:p w14:paraId="64568711"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43 451 940,41</w:t>
            </w:r>
          </w:p>
        </w:tc>
      </w:tr>
      <w:tr w:rsidR="00B57597" w:rsidRPr="00964C83" w14:paraId="04FDED91" w14:textId="77777777" w:rsidTr="00BD4E68">
        <w:trPr>
          <w:trHeight w:val="255"/>
          <w:jc w:val="center"/>
        </w:trPr>
        <w:tc>
          <w:tcPr>
            <w:tcW w:w="794" w:type="dxa"/>
            <w:tcBorders>
              <w:top w:val="single" w:sz="4" w:space="0" w:color="auto"/>
              <w:left w:val="single" w:sz="4" w:space="0" w:color="auto"/>
              <w:bottom w:val="single" w:sz="4" w:space="0" w:color="auto"/>
              <w:right w:val="single" w:sz="4" w:space="0" w:color="auto"/>
            </w:tcBorders>
            <w:vAlign w:val="center"/>
          </w:tcPr>
          <w:p w14:paraId="1C4D4DA7" w14:textId="77777777" w:rsidR="00B57597" w:rsidRPr="00964C83" w:rsidRDefault="00B57597" w:rsidP="004060BE">
            <w:pPr>
              <w:spacing w:after="0"/>
              <w:jc w:val="center"/>
              <w:rPr>
                <w:rFonts w:eastAsia="Calibri" w:cs="Calibri"/>
                <w:color w:val="000000"/>
                <w:sz w:val="15"/>
                <w:szCs w:val="15"/>
              </w:rPr>
            </w:pPr>
            <w:r w:rsidRPr="00964C83">
              <w:rPr>
                <w:rFonts w:cs="Calibri"/>
                <w:color w:val="000000"/>
                <w:sz w:val="15"/>
                <w:szCs w:val="15"/>
              </w:rPr>
              <w:t>00002348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8BE28" w14:textId="77777777" w:rsidR="00B57597" w:rsidRPr="00964C83" w:rsidRDefault="00B57597" w:rsidP="004060BE">
            <w:pPr>
              <w:spacing w:after="0"/>
              <w:rPr>
                <w:rFonts w:eastAsia="Calibri" w:cs="Calibri"/>
                <w:color w:val="000000"/>
                <w:sz w:val="15"/>
                <w:szCs w:val="15"/>
              </w:rPr>
            </w:pPr>
            <w:r w:rsidRPr="00964C83">
              <w:rPr>
                <w:rFonts w:cs="Calibri"/>
                <w:color w:val="000000"/>
                <w:sz w:val="15"/>
                <w:szCs w:val="15"/>
              </w:rPr>
              <w:t>Státní výzkumný ústav materiálu</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5093F11A"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0</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569553DA"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x </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39BEB121"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x </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639E1E25"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x </w:t>
            </w:r>
          </w:p>
        </w:tc>
        <w:tc>
          <w:tcPr>
            <w:tcW w:w="1219" w:type="dxa"/>
            <w:tcBorders>
              <w:top w:val="single" w:sz="4" w:space="0" w:color="auto"/>
              <w:left w:val="nil"/>
              <w:bottom w:val="single" w:sz="4" w:space="0" w:color="auto"/>
              <w:right w:val="single" w:sz="4" w:space="0" w:color="auto"/>
            </w:tcBorders>
            <w:vAlign w:val="center"/>
          </w:tcPr>
          <w:p w14:paraId="43F76581" w14:textId="77777777" w:rsidR="00B57597" w:rsidRPr="00964C83" w:rsidRDefault="00B57597" w:rsidP="004060BE">
            <w:pPr>
              <w:spacing w:after="0"/>
              <w:jc w:val="right"/>
              <w:rPr>
                <w:rFonts w:eastAsia="Calibri" w:cs="Calibri"/>
                <w:color w:val="000000"/>
                <w:sz w:val="15"/>
                <w:szCs w:val="15"/>
              </w:rPr>
            </w:pPr>
            <w:r w:rsidRPr="00964C83">
              <w:rPr>
                <w:rFonts w:cs="Calibri"/>
                <w:color w:val="000000"/>
                <w:sz w:val="15"/>
                <w:szCs w:val="15"/>
              </w:rPr>
              <w:t>x </w:t>
            </w:r>
          </w:p>
        </w:tc>
      </w:tr>
      <w:tr w:rsidR="00964C83" w:rsidRPr="00964C83" w14:paraId="351510A2" w14:textId="77777777" w:rsidTr="00BD4E68">
        <w:trPr>
          <w:trHeight w:val="255"/>
          <w:jc w:val="center"/>
        </w:trPr>
        <w:tc>
          <w:tcPr>
            <w:tcW w:w="3062" w:type="dxa"/>
            <w:gridSpan w:val="2"/>
            <w:tcBorders>
              <w:top w:val="single" w:sz="4" w:space="0" w:color="auto"/>
              <w:left w:val="single" w:sz="4" w:space="0" w:color="auto"/>
              <w:bottom w:val="single" w:sz="4" w:space="0" w:color="auto"/>
              <w:right w:val="single" w:sz="4" w:space="0" w:color="auto"/>
            </w:tcBorders>
            <w:shd w:val="clear" w:color="auto" w:fill="F2C6C9"/>
            <w:vAlign w:val="center"/>
          </w:tcPr>
          <w:p w14:paraId="3A6F6055" w14:textId="460788D5" w:rsidR="00964C83" w:rsidRPr="00964C83" w:rsidRDefault="00964C83" w:rsidP="004060BE">
            <w:pPr>
              <w:spacing w:after="0"/>
              <w:rPr>
                <w:rFonts w:cs="Calibri"/>
                <w:color w:val="000000"/>
                <w:sz w:val="15"/>
                <w:szCs w:val="15"/>
              </w:rPr>
            </w:pPr>
            <w:r w:rsidRPr="00964C83">
              <w:rPr>
                <w:rFonts w:cs="Calibri"/>
                <w:b/>
                <w:bCs/>
                <w:color w:val="000000"/>
                <w:sz w:val="15"/>
                <w:szCs w:val="15"/>
              </w:rPr>
              <w:t>Celkem</w:t>
            </w:r>
          </w:p>
        </w:tc>
        <w:tc>
          <w:tcPr>
            <w:tcW w:w="1219" w:type="dxa"/>
            <w:tcBorders>
              <w:top w:val="single" w:sz="4" w:space="0" w:color="auto"/>
              <w:left w:val="nil"/>
              <w:bottom w:val="single" w:sz="4" w:space="0" w:color="auto"/>
              <w:right w:val="single" w:sz="4" w:space="0" w:color="auto"/>
            </w:tcBorders>
            <w:shd w:val="clear" w:color="auto" w:fill="F2C6C9"/>
            <w:noWrap/>
            <w:vAlign w:val="center"/>
          </w:tcPr>
          <w:p w14:paraId="5DCF63FC" w14:textId="3C17A284" w:rsidR="00964C83" w:rsidRPr="00964C83" w:rsidRDefault="00964C83" w:rsidP="004060BE">
            <w:pPr>
              <w:spacing w:after="0"/>
              <w:jc w:val="right"/>
              <w:rPr>
                <w:rFonts w:cs="Calibri"/>
                <w:color w:val="000000"/>
                <w:sz w:val="15"/>
                <w:szCs w:val="15"/>
              </w:rPr>
            </w:pPr>
            <w:r w:rsidRPr="00964C83">
              <w:rPr>
                <w:rFonts w:cs="Calibri"/>
                <w:b/>
                <w:bCs/>
                <w:color w:val="000000"/>
                <w:sz w:val="15"/>
                <w:szCs w:val="15"/>
              </w:rPr>
              <w:t>1 260 312 619,53</w:t>
            </w:r>
          </w:p>
        </w:tc>
        <w:tc>
          <w:tcPr>
            <w:tcW w:w="1219" w:type="dxa"/>
            <w:tcBorders>
              <w:top w:val="single" w:sz="4" w:space="0" w:color="auto"/>
              <w:left w:val="nil"/>
              <w:bottom w:val="single" w:sz="4" w:space="0" w:color="auto"/>
              <w:right w:val="single" w:sz="4" w:space="0" w:color="auto"/>
            </w:tcBorders>
            <w:shd w:val="clear" w:color="auto" w:fill="F2C6C9"/>
            <w:noWrap/>
            <w:vAlign w:val="center"/>
          </w:tcPr>
          <w:p w14:paraId="783BA2D8" w14:textId="71C26E3B" w:rsidR="00964C83" w:rsidRPr="00964C83" w:rsidRDefault="00964C83" w:rsidP="004060BE">
            <w:pPr>
              <w:spacing w:after="0"/>
              <w:jc w:val="right"/>
              <w:rPr>
                <w:rFonts w:cs="Calibri"/>
                <w:color w:val="000000"/>
                <w:sz w:val="15"/>
                <w:szCs w:val="15"/>
              </w:rPr>
            </w:pPr>
            <w:r w:rsidRPr="00964C83">
              <w:rPr>
                <w:rFonts w:cs="Calibri"/>
                <w:b/>
                <w:bCs/>
                <w:color w:val="000000"/>
                <w:sz w:val="15"/>
                <w:szCs w:val="15"/>
              </w:rPr>
              <w:t>1 544 918 042,61</w:t>
            </w:r>
          </w:p>
        </w:tc>
        <w:tc>
          <w:tcPr>
            <w:tcW w:w="1219" w:type="dxa"/>
            <w:tcBorders>
              <w:top w:val="single" w:sz="4" w:space="0" w:color="auto"/>
              <w:left w:val="nil"/>
              <w:bottom w:val="single" w:sz="4" w:space="0" w:color="auto"/>
              <w:right w:val="single" w:sz="4" w:space="0" w:color="auto"/>
            </w:tcBorders>
            <w:shd w:val="clear" w:color="auto" w:fill="F2C6C9"/>
            <w:noWrap/>
            <w:vAlign w:val="center"/>
          </w:tcPr>
          <w:p w14:paraId="22E332AE" w14:textId="4B0BBAD4" w:rsidR="00964C83" w:rsidRPr="00964C83" w:rsidRDefault="00964C83" w:rsidP="004060BE">
            <w:pPr>
              <w:spacing w:after="0"/>
              <w:jc w:val="right"/>
              <w:rPr>
                <w:rFonts w:cs="Calibri"/>
                <w:color w:val="000000"/>
                <w:sz w:val="15"/>
                <w:szCs w:val="15"/>
              </w:rPr>
            </w:pPr>
            <w:r w:rsidRPr="00964C83">
              <w:rPr>
                <w:rFonts w:cs="Calibri"/>
                <w:b/>
                <w:bCs/>
                <w:color w:val="000000"/>
                <w:sz w:val="15"/>
                <w:szCs w:val="15"/>
              </w:rPr>
              <w:t>1 730 902 670,11</w:t>
            </w:r>
          </w:p>
        </w:tc>
        <w:tc>
          <w:tcPr>
            <w:tcW w:w="1219" w:type="dxa"/>
            <w:tcBorders>
              <w:top w:val="single" w:sz="4" w:space="0" w:color="auto"/>
              <w:left w:val="nil"/>
              <w:bottom w:val="single" w:sz="4" w:space="0" w:color="auto"/>
              <w:right w:val="single" w:sz="4" w:space="0" w:color="auto"/>
            </w:tcBorders>
            <w:shd w:val="clear" w:color="auto" w:fill="F2C6C9"/>
            <w:noWrap/>
            <w:vAlign w:val="center"/>
          </w:tcPr>
          <w:p w14:paraId="011BFA95" w14:textId="1C0B385A" w:rsidR="00964C83" w:rsidRPr="00964C83" w:rsidRDefault="00964C83" w:rsidP="004060BE">
            <w:pPr>
              <w:spacing w:after="0"/>
              <w:jc w:val="right"/>
              <w:rPr>
                <w:rFonts w:cs="Calibri"/>
                <w:color w:val="000000"/>
                <w:sz w:val="15"/>
                <w:szCs w:val="15"/>
              </w:rPr>
            </w:pPr>
            <w:r w:rsidRPr="00964C83">
              <w:rPr>
                <w:rFonts w:cs="Calibri"/>
                <w:b/>
                <w:bCs/>
                <w:color w:val="000000"/>
                <w:sz w:val="15"/>
                <w:szCs w:val="15"/>
              </w:rPr>
              <w:t>1 765 996 165,64</w:t>
            </w:r>
          </w:p>
        </w:tc>
        <w:tc>
          <w:tcPr>
            <w:tcW w:w="1219" w:type="dxa"/>
            <w:tcBorders>
              <w:top w:val="single" w:sz="4" w:space="0" w:color="auto"/>
              <w:left w:val="nil"/>
              <w:bottom w:val="single" w:sz="4" w:space="0" w:color="auto"/>
              <w:right w:val="single" w:sz="4" w:space="0" w:color="auto"/>
            </w:tcBorders>
            <w:shd w:val="clear" w:color="auto" w:fill="F2C6C9"/>
            <w:vAlign w:val="center"/>
          </w:tcPr>
          <w:p w14:paraId="2968D08A" w14:textId="757D864B" w:rsidR="00964C83" w:rsidRPr="00964C83" w:rsidRDefault="00964C83" w:rsidP="004060BE">
            <w:pPr>
              <w:spacing w:after="0"/>
              <w:jc w:val="right"/>
              <w:rPr>
                <w:rFonts w:cs="Calibri"/>
                <w:color w:val="000000"/>
                <w:sz w:val="15"/>
                <w:szCs w:val="15"/>
              </w:rPr>
            </w:pPr>
            <w:r w:rsidRPr="00964C83">
              <w:rPr>
                <w:rFonts w:cs="Calibri"/>
                <w:b/>
                <w:bCs/>
                <w:color w:val="000000"/>
                <w:sz w:val="15"/>
                <w:szCs w:val="15"/>
              </w:rPr>
              <w:t>1 655 872 017,11</w:t>
            </w:r>
          </w:p>
        </w:tc>
      </w:tr>
    </w:tbl>
    <w:p w14:paraId="733024F7" w14:textId="77777777" w:rsidR="00B57597" w:rsidRPr="00682D65" w:rsidRDefault="00B57597" w:rsidP="00B57597">
      <w:pPr>
        <w:spacing w:before="40"/>
        <w:rPr>
          <w:rFonts w:cs="Calibri"/>
          <w:color w:val="000000"/>
          <w:sz w:val="20"/>
          <w:szCs w:val="20"/>
          <w:lang w:eastAsia="cs-CZ"/>
        </w:rPr>
      </w:pPr>
      <w:r w:rsidRPr="00682D65">
        <w:rPr>
          <w:rFonts w:cs="Calibri"/>
          <w:b/>
          <w:color w:val="000000"/>
          <w:sz w:val="20"/>
          <w:szCs w:val="20"/>
          <w:lang w:eastAsia="cs-CZ"/>
        </w:rPr>
        <w:t xml:space="preserve">Zdroj: </w:t>
      </w:r>
      <w:r w:rsidRPr="00682D65">
        <w:rPr>
          <w:rFonts w:cs="Calibri"/>
          <w:color w:val="000000"/>
          <w:sz w:val="20"/>
          <w:szCs w:val="20"/>
          <w:lang w:eastAsia="cs-CZ"/>
        </w:rPr>
        <w:t>informační portál MONITOR.</w:t>
      </w:r>
    </w:p>
    <w:p w14:paraId="3DAFDA48" w14:textId="45AE5200" w:rsidR="00B57597" w:rsidRDefault="00B57597" w:rsidP="00B36253">
      <w:pPr>
        <w:pStyle w:val="Titulek1"/>
        <w:tabs>
          <w:tab w:val="clear" w:pos="1134"/>
        </w:tabs>
        <w:ind w:left="1446" w:hanging="1446"/>
        <w:rPr>
          <w:sz w:val="24"/>
        </w:rPr>
      </w:pPr>
      <w:bookmarkStart w:id="124" w:name="_Toc8984556"/>
      <w:bookmarkStart w:id="125" w:name="_Toc520714349"/>
      <w:bookmarkStart w:id="126" w:name="_Toc72157494"/>
      <w:r w:rsidRPr="00B36253">
        <w:rPr>
          <w:sz w:val="24"/>
        </w:rPr>
        <w:t xml:space="preserve">Tabulka č. </w:t>
      </w:r>
      <w:r w:rsidR="005F2931" w:rsidRPr="00B36253">
        <w:rPr>
          <w:sz w:val="24"/>
        </w:rPr>
        <w:fldChar w:fldCharType="begin"/>
      </w:r>
      <w:r w:rsidR="005F2931" w:rsidRPr="00B36253">
        <w:rPr>
          <w:sz w:val="24"/>
        </w:rPr>
        <w:instrText xml:space="preserve"> SEQ Tabulka \* ARABIC </w:instrText>
      </w:r>
      <w:r w:rsidR="005F2931" w:rsidRPr="00B36253">
        <w:rPr>
          <w:sz w:val="24"/>
        </w:rPr>
        <w:fldChar w:fldCharType="separate"/>
      </w:r>
      <w:r w:rsidR="00E544AA">
        <w:rPr>
          <w:noProof/>
          <w:sz w:val="24"/>
        </w:rPr>
        <w:t>38</w:t>
      </w:r>
      <w:r w:rsidR="005F2931" w:rsidRPr="00B36253">
        <w:rPr>
          <w:noProof/>
          <w:sz w:val="24"/>
        </w:rPr>
        <w:fldChar w:fldCharType="end"/>
      </w:r>
      <w:r w:rsidRPr="00B36253">
        <w:rPr>
          <w:sz w:val="24"/>
        </w:rPr>
        <w:t xml:space="preserve">: </w:t>
      </w:r>
      <w:r w:rsidR="00B36253">
        <w:rPr>
          <w:sz w:val="24"/>
        </w:rPr>
        <w:tab/>
      </w:r>
      <w:r w:rsidRPr="00B36253">
        <w:rPr>
          <w:sz w:val="24"/>
        </w:rPr>
        <w:t>Výnosy PO v rozpočtové kapitole 322 na položce B.IV.1 VZZ „Výnosy</w:t>
      </w:r>
      <w:bookmarkEnd w:id="124"/>
      <w:r w:rsidRPr="00B36253">
        <w:rPr>
          <w:sz w:val="24"/>
        </w:rPr>
        <w:t xml:space="preserve"> vybraných ústředních vládních institucí z transferů“ (SÚ 671) (v Kč)</w:t>
      </w:r>
      <w:bookmarkEnd w:id="125"/>
      <w:bookmarkEnd w:id="126"/>
    </w:p>
    <w:tbl>
      <w:tblPr>
        <w:tblW w:w="9157" w:type="dxa"/>
        <w:jc w:val="center"/>
        <w:tblLayout w:type="fixed"/>
        <w:tblCellMar>
          <w:left w:w="70" w:type="dxa"/>
          <w:right w:w="70" w:type="dxa"/>
        </w:tblCellMar>
        <w:tblLook w:val="04A0" w:firstRow="1" w:lastRow="0" w:firstColumn="1" w:lastColumn="0" w:noHBand="0" w:noVBand="1"/>
      </w:tblPr>
      <w:tblGrid>
        <w:gridCol w:w="794"/>
        <w:gridCol w:w="2268"/>
        <w:gridCol w:w="1219"/>
        <w:gridCol w:w="1219"/>
        <w:gridCol w:w="1219"/>
        <w:gridCol w:w="1219"/>
        <w:gridCol w:w="1219"/>
      </w:tblGrid>
      <w:tr w:rsidR="00B36253" w:rsidRPr="00964C83" w14:paraId="685626A7" w14:textId="77777777" w:rsidTr="00FC0815">
        <w:trPr>
          <w:trHeight w:val="255"/>
          <w:jc w:val="center"/>
        </w:trPr>
        <w:tc>
          <w:tcPr>
            <w:tcW w:w="794" w:type="dxa"/>
            <w:tcBorders>
              <w:top w:val="single" w:sz="4" w:space="0" w:color="auto"/>
              <w:left w:val="single" w:sz="4" w:space="0" w:color="auto"/>
              <w:bottom w:val="single" w:sz="4" w:space="0" w:color="auto"/>
              <w:right w:val="single" w:sz="4" w:space="0" w:color="auto"/>
            </w:tcBorders>
            <w:shd w:val="clear" w:color="auto" w:fill="E5F1FF"/>
            <w:vAlign w:val="center"/>
          </w:tcPr>
          <w:p w14:paraId="036BA802" w14:textId="77777777" w:rsidR="00B36253" w:rsidRPr="00964C83" w:rsidRDefault="00B36253" w:rsidP="00FC0815">
            <w:pPr>
              <w:spacing w:after="0"/>
              <w:jc w:val="center"/>
              <w:rPr>
                <w:rFonts w:cs="Calibri"/>
                <w:b/>
                <w:bCs/>
                <w:color w:val="000000"/>
                <w:sz w:val="15"/>
                <w:szCs w:val="15"/>
                <w:lang w:eastAsia="cs-CZ"/>
              </w:rPr>
            </w:pPr>
            <w:r w:rsidRPr="00964C83">
              <w:rPr>
                <w:rFonts w:cs="Calibri"/>
                <w:b/>
                <w:bCs/>
                <w:color w:val="000000"/>
                <w:sz w:val="15"/>
                <w:szCs w:val="15"/>
              </w:rPr>
              <w:t>IČO</w:t>
            </w:r>
          </w:p>
        </w:tc>
        <w:tc>
          <w:tcPr>
            <w:tcW w:w="2268"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418FC4A" w14:textId="77777777" w:rsidR="00B36253" w:rsidRPr="00964C83" w:rsidRDefault="00B36253" w:rsidP="00FC0815">
            <w:pPr>
              <w:spacing w:after="0"/>
              <w:jc w:val="center"/>
              <w:rPr>
                <w:rFonts w:cs="Calibri"/>
                <w:b/>
                <w:bCs/>
                <w:color w:val="000000"/>
                <w:sz w:val="15"/>
                <w:szCs w:val="15"/>
                <w:lang w:eastAsia="cs-CZ"/>
              </w:rPr>
            </w:pPr>
            <w:r w:rsidRPr="00964C83">
              <w:rPr>
                <w:rFonts w:cs="Calibri"/>
                <w:b/>
                <w:bCs/>
                <w:color w:val="000000"/>
                <w:sz w:val="15"/>
                <w:szCs w:val="15"/>
              </w:rPr>
              <w:t>Účetní jednotka</w:t>
            </w:r>
          </w:p>
        </w:tc>
        <w:tc>
          <w:tcPr>
            <w:tcW w:w="1219" w:type="dxa"/>
            <w:tcBorders>
              <w:top w:val="single" w:sz="4" w:space="0" w:color="auto"/>
              <w:left w:val="nil"/>
              <w:bottom w:val="single" w:sz="4" w:space="0" w:color="auto"/>
              <w:right w:val="single" w:sz="4" w:space="0" w:color="auto"/>
            </w:tcBorders>
            <w:shd w:val="clear" w:color="auto" w:fill="E5F1FF"/>
            <w:noWrap/>
            <w:vAlign w:val="center"/>
            <w:hideMark/>
          </w:tcPr>
          <w:p w14:paraId="5D937920" w14:textId="77777777" w:rsidR="00B36253" w:rsidRPr="00964C83" w:rsidRDefault="00B36253" w:rsidP="00FC0815">
            <w:pPr>
              <w:spacing w:after="0"/>
              <w:jc w:val="center"/>
              <w:rPr>
                <w:rFonts w:cs="Calibri"/>
                <w:b/>
                <w:bCs/>
                <w:color w:val="000000"/>
                <w:sz w:val="15"/>
                <w:szCs w:val="15"/>
                <w:lang w:eastAsia="cs-CZ"/>
              </w:rPr>
            </w:pPr>
            <w:r w:rsidRPr="00964C83">
              <w:rPr>
                <w:rFonts w:cs="Calibri"/>
                <w:b/>
                <w:bCs/>
                <w:color w:val="000000"/>
                <w:sz w:val="15"/>
                <w:szCs w:val="15"/>
              </w:rPr>
              <w:t>2016</w:t>
            </w:r>
          </w:p>
        </w:tc>
        <w:tc>
          <w:tcPr>
            <w:tcW w:w="1219" w:type="dxa"/>
            <w:tcBorders>
              <w:top w:val="single" w:sz="4" w:space="0" w:color="auto"/>
              <w:left w:val="nil"/>
              <w:bottom w:val="single" w:sz="4" w:space="0" w:color="auto"/>
              <w:right w:val="single" w:sz="4" w:space="0" w:color="auto"/>
            </w:tcBorders>
            <w:shd w:val="clear" w:color="auto" w:fill="E5F1FF"/>
            <w:noWrap/>
            <w:vAlign w:val="center"/>
            <w:hideMark/>
          </w:tcPr>
          <w:p w14:paraId="7D9A9D15" w14:textId="77777777" w:rsidR="00B36253" w:rsidRPr="00964C83" w:rsidRDefault="00B36253" w:rsidP="00FC0815">
            <w:pPr>
              <w:spacing w:after="0"/>
              <w:jc w:val="center"/>
              <w:rPr>
                <w:rFonts w:cs="Calibri"/>
                <w:b/>
                <w:bCs/>
                <w:color w:val="000000"/>
                <w:sz w:val="15"/>
                <w:szCs w:val="15"/>
                <w:lang w:eastAsia="cs-CZ"/>
              </w:rPr>
            </w:pPr>
            <w:r w:rsidRPr="00964C83">
              <w:rPr>
                <w:rFonts w:cs="Calibri"/>
                <w:b/>
                <w:bCs/>
                <w:color w:val="000000"/>
                <w:sz w:val="15"/>
                <w:szCs w:val="15"/>
              </w:rPr>
              <w:t>2017</w:t>
            </w:r>
          </w:p>
        </w:tc>
        <w:tc>
          <w:tcPr>
            <w:tcW w:w="1219" w:type="dxa"/>
            <w:tcBorders>
              <w:top w:val="single" w:sz="4" w:space="0" w:color="auto"/>
              <w:left w:val="nil"/>
              <w:bottom w:val="single" w:sz="4" w:space="0" w:color="auto"/>
              <w:right w:val="single" w:sz="4" w:space="0" w:color="auto"/>
            </w:tcBorders>
            <w:shd w:val="clear" w:color="auto" w:fill="E5F1FF"/>
            <w:noWrap/>
            <w:vAlign w:val="center"/>
            <w:hideMark/>
          </w:tcPr>
          <w:p w14:paraId="2F893461" w14:textId="77777777" w:rsidR="00B36253" w:rsidRPr="00964C83" w:rsidRDefault="00B36253" w:rsidP="00FC0815">
            <w:pPr>
              <w:spacing w:after="0"/>
              <w:jc w:val="center"/>
              <w:rPr>
                <w:rFonts w:cs="Calibri"/>
                <w:b/>
                <w:bCs/>
                <w:color w:val="000000"/>
                <w:sz w:val="15"/>
                <w:szCs w:val="15"/>
                <w:lang w:eastAsia="cs-CZ"/>
              </w:rPr>
            </w:pPr>
            <w:r w:rsidRPr="00964C83">
              <w:rPr>
                <w:rFonts w:cs="Calibri"/>
                <w:b/>
                <w:bCs/>
                <w:color w:val="000000"/>
                <w:sz w:val="15"/>
                <w:szCs w:val="15"/>
              </w:rPr>
              <w:t>2018</w:t>
            </w:r>
          </w:p>
        </w:tc>
        <w:tc>
          <w:tcPr>
            <w:tcW w:w="1219" w:type="dxa"/>
            <w:tcBorders>
              <w:top w:val="single" w:sz="4" w:space="0" w:color="auto"/>
              <w:left w:val="nil"/>
              <w:bottom w:val="single" w:sz="4" w:space="0" w:color="auto"/>
              <w:right w:val="single" w:sz="4" w:space="0" w:color="auto"/>
            </w:tcBorders>
            <w:shd w:val="clear" w:color="auto" w:fill="E5F1FF"/>
            <w:noWrap/>
            <w:vAlign w:val="center"/>
            <w:hideMark/>
          </w:tcPr>
          <w:p w14:paraId="3DAB298E" w14:textId="77777777" w:rsidR="00B36253" w:rsidRPr="00964C83" w:rsidRDefault="00B36253" w:rsidP="00FC0815">
            <w:pPr>
              <w:spacing w:after="0"/>
              <w:jc w:val="center"/>
              <w:rPr>
                <w:rFonts w:cs="Calibri"/>
                <w:b/>
                <w:bCs/>
                <w:color w:val="000000"/>
                <w:sz w:val="15"/>
                <w:szCs w:val="15"/>
                <w:lang w:eastAsia="cs-CZ"/>
              </w:rPr>
            </w:pPr>
            <w:r w:rsidRPr="00964C83">
              <w:rPr>
                <w:rFonts w:cs="Calibri"/>
                <w:b/>
                <w:bCs/>
                <w:color w:val="000000"/>
                <w:sz w:val="15"/>
                <w:szCs w:val="15"/>
              </w:rPr>
              <w:t>2019</w:t>
            </w:r>
          </w:p>
        </w:tc>
        <w:tc>
          <w:tcPr>
            <w:tcW w:w="1219" w:type="dxa"/>
            <w:tcBorders>
              <w:top w:val="single" w:sz="4" w:space="0" w:color="auto"/>
              <w:left w:val="nil"/>
              <w:bottom w:val="single" w:sz="4" w:space="0" w:color="auto"/>
              <w:right w:val="single" w:sz="4" w:space="0" w:color="auto"/>
            </w:tcBorders>
            <w:shd w:val="clear" w:color="auto" w:fill="E5F1FF"/>
            <w:vAlign w:val="center"/>
          </w:tcPr>
          <w:p w14:paraId="6A660EE4" w14:textId="77777777" w:rsidR="00B36253" w:rsidRPr="00964C83" w:rsidRDefault="00B36253" w:rsidP="00FC0815">
            <w:pPr>
              <w:spacing w:after="0"/>
              <w:jc w:val="center"/>
              <w:rPr>
                <w:rFonts w:cs="Calibri"/>
                <w:b/>
                <w:bCs/>
                <w:color w:val="000000"/>
                <w:sz w:val="15"/>
                <w:szCs w:val="15"/>
                <w:lang w:eastAsia="cs-CZ"/>
              </w:rPr>
            </w:pPr>
            <w:r w:rsidRPr="00964C83">
              <w:rPr>
                <w:rFonts w:cs="Calibri"/>
                <w:b/>
                <w:bCs/>
                <w:color w:val="000000"/>
                <w:sz w:val="15"/>
                <w:szCs w:val="15"/>
              </w:rPr>
              <w:t>2020</w:t>
            </w:r>
          </w:p>
        </w:tc>
      </w:tr>
      <w:tr w:rsidR="00B36253" w:rsidRPr="00964C83" w14:paraId="6737517D" w14:textId="77777777" w:rsidTr="00FC0815">
        <w:trPr>
          <w:trHeight w:val="255"/>
          <w:jc w:val="center"/>
        </w:trPr>
        <w:tc>
          <w:tcPr>
            <w:tcW w:w="794" w:type="dxa"/>
            <w:tcBorders>
              <w:top w:val="nil"/>
              <w:left w:val="single" w:sz="4" w:space="0" w:color="auto"/>
              <w:bottom w:val="single" w:sz="4" w:space="0" w:color="auto"/>
              <w:right w:val="single" w:sz="4" w:space="0" w:color="auto"/>
            </w:tcBorders>
            <w:vAlign w:val="center"/>
          </w:tcPr>
          <w:p w14:paraId="4C15CF1A" w14:textId="37AFDD10" w:rsidR="00B36253" w:rsidRPr="00964C83" w:rsidRDefault="00B36253" w:rsidP="00B36253">
            <w:pPr>
              <w:spacing w:after="0"/>
              <w:jc w:val="center"/>
              <w:rPr>
                <w:rFonts w:eastAsia="Calibri" w:cs="Calibri"/>
                <w:color w:val="000000"/>
                <w:sz w:val="15"/>
                <w:szCs w:val="15"/>
              </w:rPr>
            </w:pPr>
            <w:r w:rsidRPr="0059487C">
              <w:rPr>
                <w:color w:val="000000"/>
                <w:sz w:val="16"/>
                <w:szCs w:val="16"/>
              </w:rPr>
              <w:t>05108861</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7BB6EAA3" w14:textId="306302DC" w:rsidR="00B36253" w:rsidRPr="00B36253" w:rsidRDefault="00B36253" w:rsidP="00B36253">
            <w:pPr>
              <w:spacing w:after="0"/>
              <w:rPr>
                <w:rFonts w:eastAsia="Calibri" w:cs="Calibri"/>
                <w:color w:val="000000"/>
                <w:sz w:val="15"/>
                <w:szCs w:val="15"/>
              </w:rPr>
            </w:pPr>
            <w:r w:rsidRPr="00B36253">
              <w:rPr>
                <w:color w:val="000000"/>
                <w:sz w:val="15"/>
                <w:szCs w:val="15"/>
              </w:rPr>
              <w:t>Agentura pro podnikání a inovace</w:t>
            </w:r>
          </w:p>
        </w:tc>
        <w:tc>
          <w:tcPr>
            <w:tcW w:w="1219" w:type="dxa"/>
            <w:tcBorders>
              <w:top w:val="nil"/>
              <w:left w:val="nil"/>
              <w:bottom w:val="single" w:sz="4" w:space="0" w:color="auto"/>
              <w:right w:val="single" w:sz="4" w:space="0" w:color="auto"/>
            </w:tcBorders>
            <w:shd w:val="clear" w:color="auto" w:fill="auto"/>
            <w:noWrap/>
            <w:vAlign w:val="center"/>
          </w:tcPr>
          <w:p w14:paraId="33547962" w14:textId="4DACD1F6" w:rsidR="00B36253" w:rsidRPr="00B36253" w:rsidRDefault="00B36253" w:rsidP="00B36253">
            <w:pPr>
              <w:spacing w:after="0"/>
              <w:jc w:val="right"/>
              <w:rPr>
                <w:rFonts w:eastAsia="Calibri" w:cs="Calibri"/>
                <w:color w:val="000000"/>
                <w:sz w:val="15"/>
                <w:szCs w:val="15"/>
              </w:rPr>
            </w:pPr>
            <w:r w:rsidRPr="00B36253">
              <w:rPr>
                <w:color w:val="000000"/>
                <w:sz w:val="15"/>
                <w:szCs w:val="15"/>
              </w:rPr>
              <w:t>76 886 194,90</w:t>
            </w:r>
          </w:p>
        </w:tc>
        <w:tc>
          <w:tcPr>
            <w:tcW w:w="1219" w:type="dxa"/>
            <w:tcBorders>
              <w:top w:val="nil"/>
              <w:left w:val="nil"/>
              <w:bottom w:val="single" w:sz="4" w:space="0" w:color="auto"/>
              <w:right w:val="single" w:sz="4" w:space="0" w:color="auto"/>
            </w:tcBorders>
            <w:shd w:val="clear" w:color="auto" w:fill="auto"/>
            <w:noWrap/>
            <w:vAlign w:val="center"/>
          </w:tcPr>
          <w:p w14:paraId="4AC17C58" w14:textId="6208B75E" w:rsidR="00B36253" w:rsidRPr="00964C83" w:rsidRDefault="00B36253" w:rsidP="00B36253">
            <w:pPr>
              <w:spacing w:after="0"/>
              <w:jc w:val="right"/>
              <w:rPr>
                <w:rFonts w:eastAsia="Calibri" w:cs="Calibri"/>
                <w:color w:val="000000"/>
                <w:sz w:val="15"/>
                <w:szCs w:val="15"/>
              </w:rPr>
            </w:pPr>
            <w:r w:rsidRPr="0059487C">
              <w:rPr>
                <w:color w:val="000000"/>
                <w:sz w:val="16"/>
                <w:szCs w:val="16"/>
              </w:rPr>
              <w:t>140 921 342,13</w:t>
            </w:r>
          </w:p>
        </w:tc>
        <w:tc>
          <w:tcPr>
            <w:tcW w:w="1219" w:type="dxa"/>
            <w:tcBorders>
              <w:top w:val="nil"/>
              <w:left w:val="nil"/>
              <w:bottom w:val="single" w:sz="4" w:space="0" w:color="auto"/>
              <w:right w:val="single" w:sz="4" w:space="0" w:color="auto"/>
            </w:tcBorders>
            <w:shd w:val="clear" w:color="auto" w:fill="auto"/>
            <w:noWrap/>
            <w:vAlign w:val="center"/>
          </w:tcPr>
          <w:p w14:paraId="7BCC0A57" w14:textId="68E609D9" w:rsidR="00B36253" w:rsidRPr="00964C83" w:rsidRDefault="00B36253" w:rsidP="00B36253">
            <w:pPr>
              <w:spacing w:after="0"/>
              <w:ind w:left="-28" w:right="-28"/>
              <w:jc w:val="right"/>
              <w:rPr>
                <w:rFonts w:eastAsia="Calibri" w:cs="Calibri"/>
                <w:color w:val="000000"/>
                <w:sz w:val="15"/>
                <w:szCs w:val="15"/>
              </w:rPr>
            </w:pPr>
            <w:r w:rsidRPr="0059487C">
              <w:rPr>
                <w:color w:val="000000"/>
                <w:sz w:val="16"/>
                <w:szCs w:val="16"/>
              </w:rPr>
              <w:t>173 277 803,63</w:t>
            </w:r>
          </w:p>
        </w:tc>
        <w:tc>
          <w:tcPr>
            <w:tcW w:w="1219" w:type="dxa"/>
            <w:tcBorders>
              <w:top w:val="nil"/>
              <w:left w:val="nil"/>
              <w:bottom w:val="single" w:sz="4" w:space="0" w:color="auto"/>
              <w:right w:val="single" w:sz="4" w:space="0" w:color="auto"/>
            </w:tcBorders>
            <w:shd w:val="clear" w:color="auto" w:fill="auto"/>
            <w:noWrap/>
            <w:vAlign w:val="center"/>
          </w:tcPr>
          <w:p w14:paraId="5DB5ABA8" w14:textId="24B44BA6" w:rsidR="00B36253" w:rsidRPr="00964C83" w:rsidRDefault="00B36253" w:rsidP="00B36253">
            <w:pPr>
              <w:spacing w:after="0"/>
              <w:ind w:left="-28" w:right="-28"/>
              <w:jc w:val="right"/>
              <w:rPr>
                <w:rFonts w:eastAsia="Calibri" w:cs="Calibri"/>
                <w:color w:val="000000"/>
                <w:sz w:val="15"/>
                <w:szCs w:val="15"/>
              </w:rPr>
            </w:pPr>
            <w:r w:rsidRPr="0059487C">
              <w:rPr>
                <w:color w:val="000000"/>
                <w:sz w:val="16"/>
                <w:szCs w:val="16"/>
              </w:rPr>
              <w:t>160 915 426,49</w:t>
            </w:r>
          </w:p>
        </w:tc>
        <w:tc>
          <w:tcPr>
            <w:tcW w:w="1219" w:type="dxa"/>
            <w:tcBorders>
              <w:top w:val="nil"/>
              <w:left w:val="nil"/>
              <w:bottom w:val="single" w:sz="4" w:space="0" w:color="auto"/>
              <w:right w:val="single" w:sz="4" w:space="0" w:color="auto"/>
            </w:tcBorders>
            <w:vAlign w:val="center"/>
          </w:tcPr>
          <w:p w14:paraId="1D873635" w14:textId="72D257CD" w:rsidR="00B36253" w:rsidRPr="00964C83" w:rsidRDefault="00B36253" w:rsidP="00B36253">
            <w:pPr>
              <w:spacing w:after="0"/>
              <w:ind w:left="-28" w:right="-28"/>
              <w:jc w:val="right"/>
              <w:rPr>
                <w:rFonts w:eastAsia="Calibri" w:cs="Calibri"/>
                <w:color w:val="000000"/>
                <w:sz w:val="15"/>
                <w:szCs w:val="15"/>
              </w:rPr>
            </w:pPr>
            <w:r w:rsidRPr="0059487C">
              <w:rPr>
                <w:color w:val="000000"/>
                <w:sz w:val="16"/>
                <w:szCs w:val="16"/>
              </w:rPr>
              <w:t>173 971 100,15</w:t>
            </w:r>
          </w:p>
        </w:tc>
      </w:tr>
      <w:tr w:rsidR="00B36253" w:rsidRPr="00964C83" w14:paraId="163A31B9" w14:textId="77777777" w:rsidTr="00FC0815">
        <w:trPr>
          <w:trHeight w:val="255"/>
          <w:jc w:val="center"/>
        </w:trPr>
        <w:tc>
          <w:tcPr>
            <w:tcW w:w="794" w:type="dxa"/>
            <w:tcBorders>
              <w:top w:val="single" w:sz="4" w:space="0" w:color="auto"/>
              <w:left w:val="single" w:sz="4" w:space="0" w:color="auto"/>
              <w:bottom w:val="single" w:sz="4" w:space="0" w:color="auto"/>
              <w:right w:val="single" w:sz="4" w:space="0" w:color="auto"/>
            </w:tcBorders>
            <w:vAlign w:val="center"/>
          </w:tcPr>
          <w:p w14:paraId="503E1821" w14:textId="247B2986" w:rsidR="00B36253" w:rsidRPr="00964C83" w:rsidRDefault="00B36253" w:rsidP="00B36253">
            <w:pPr>
              <w:spacing w:after="0"/>
              <w:jc w:val="center"/>
              <w:rPr>
                <w:rFonts w:eastAsia="Calibri" w:cs="Calibri"/>
                <w:color w:val="000000"/>
                <w:sz w:val="15"/>
                <w:szCs w:val="15"/>
              </w:rPr>
            </w:pPr>
            <w:r w:rsidRPr="0059487C">
              <w:rPr>
                <w:color w:val="000000"/>
                <w:sz w:val="16"/>
                <w:szCs w:val="16"/>
              </w:rPr>
              <w:t>71377999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07D28" w14:textId="37C13174" w:rsidR="00B36253" w:rsidRPr="00B36253" w:rsidRDefault="00B36253" w:rsidP="00B36253">
            <w:pPr>
              <w:spacing w:after="0"/>
              <w:rPr>
                <w:rFonts w:eastAsia="Calibri" w:cs="Calibri"/>
                <w:color w:val="000000"/>
                <w:sz w:val="15"/>
                <w:szCs w:val="15"/>
              </w:rPr>
            </w:pPr>
            <w:r w:rsidRPr="00B36253">
              <w:rPr>
                <w:color w:val="000000"/>
                <w:sz w:val="15"/>
                <w:szCs w:val="15"/>
              </w:rPr>
              <w:t>Agentura pro podporu podnikání a</w:t>
            </w:r>
            <w:r>
              <w:rPr>
                <w:color w:val="000000"/>
                <w:sz w:val="15"/>
                <w:szCs w:val="15"/>
              </w:rPr>
              <w:t> </w:t>
            </w:r>
            <w:r w:rsidRPr="00B36253">
              <w:rPr>
                <w:color w:val="000000"/>
                <w:sz w:val="15"/>
                <w:szCs w:val="15"/>
              </w:rPr>
              <w:t xml:space="preserve">investic </w:t>
            </w:r>
            <w:proofErr w:type="spellStart"/>
            <w:r w:rsidRPr="00B36253">
              <w:rPr>
                <w:color w:val="000000"/>
                <w:sz w:val="15"/>
                <w:szCs w:val="15"/>
              </w:rPr>
              <w:t>CzechInvest</w:t>
            </w:r>
            <w:proofErr w:type="spellEnd"/>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543E5932" w14:textId="5016387A" w:rsidR="00B36253" w:rsidRPr="00B36253" w:rsidRDefault="00B36253" w:rsidP="00B36253">
            <w:pPr>
              <w:spacing w:after="0"/>
              <w:jc w:val="right"/>
              <w:rPr>
                <w:rFonts w:eastAsia="Calibri" w:cs="Calibri"/>
                <w:color w:val="000000"/>
                <w:sz w:val="15"/>
                <w:szCs w:val="15"/>
              </w:rPr>
            </w:pPr>
            <w:r w:rsidRPr="00B36253">
              <w:rPr>
                <w:color w:val="000000"/>
                <w:sz w:val="15"/>
                <w:szCs w:val="15"/>
              </w:rPr>
              <w:t>244 483 865,66</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76F0C221" w14:textId="2460B245" w:rsidR="00B36253" w:rsidRPr="00964C83" w:rsidRDefault="00B36253" w:rsidP="00B36253">
            <w:pPr>
              <w:spacing w:after="0"/>
              <w:jc w:val="right"/>
              <w:rPr>
                <w:rFonts w:eastAsia="Calibri" w:cs="Calibri"/>
                <w:color w:val="000000"/>
                <w:sz w:val="15"/>
                <w:szCs w:val="15"/>
              </w:rPr>
            </w:pPr>
            <w:r w:rsidRPr="0059487C">
              <w:rPr>
                <w:color w:val="000000"/>
                <w:sz w:val="16"/>
                <w:szCs w:val="16"/>
              </w:rPr>
              <w:t>256 406 917,91</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0D546C92" w14:textId="1F970711" w:rsidR="00B36253" w:rsidRPr="00964C83" w:rsidRDefault="00B36253" w:rsidP="00B36253">
            <w:pPr>
              <w:spacing w:after="0"/>
              <w:ind w:left="-28" w:right="-28"/>
              <w:jc w:val="right"/>
              <w:rPr>
                <w:rFonts w:eastAsia="Calibri" w:cs="Calibri"/>
                <w:color w:val="000000"/>
                <w:sz w:val="15"/>
                <w:szCs w:val="15"/>
              </w:rPr>
            </w:pPr>
            <w:r w:rsidRPr="0059487C">
              <w:rPr>
                <w:color w:val="000000"/>
                <w:sz w:val="16"/>
                <w:szCs w:val="16"/>
              </w:rPr>
              <w:t>267 349 330,11</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7AD5C4D3" w14:textId="3C24DF2F" w:rsidR="00B36253" w:rsidRPr="00964C83" w:rsidRDefault="00B36253" w:rsidP="00B36253">
            <w:pPr>
              <w:spacing w:after="0"/>
              <w:ind w:left="-28" w:right="-28"/>
              <w:jc w:val="right"/>
              <w:rPr>
                <w:rFonts w:eastAsia="Calibri" w:cs="Calibri"/>
                <w:color w:val="000000"/>
                <w:sz w:val="15"/>
                <w:szCs w:val="15"/>
              </w:rPr>
            </w:pPr>
            <w:r w:rsidRPr="0059487C">
              <w:rPr>
                <w:color w:val="000000"/>
                <w:sz w:val="16"/>
                <w:szCs w:val="16"/>
              </w:rPr>
              <w:t>288 317 896,96</w:t>
            </w:r>
          </w:p>
        </w:tc>
        <w:tc>
          <w:tcPr>
            <w:tcW w:w="1219" w:type="dxa"/>
            <w:tcBorders>
              <w:top w:val="single" w:sz="4" w:space="0" w:color="auto"/>
              <w:left w:val="nil"/>
              <w:bottom w:val="single" w:sz="4" w:space="0" w:color="auto"/>
              <w:right w:val="single" w:sz="4" w:space="0" w:color="auto"/>
            </w:tcBorders>
            <w:vAlign w:val="center"/>
          </w:tcPr>
          <w:p w14:paraId="75ECBDCC" w14:textId="34907372" w:rsidR="00B36253" w:rsidRPr="00964C83" w:rsidRDefault="00B36253" w:rsidP="00B36253">
            <w:pPr>
              <w:spacing w:after="0"/>
              <w:ind w:left="-28" w:right="-28"/>
              <w:jc w:val="right"/>
              <w:rPr>
                <w:rFonts w:eastAsia="Calibri" w:cs="Calibri"/>
                <w:color w:val="000000"/>
                <w:sz w:val="15"/>
                <w:szCs w:val="15"/>
              </w:rPr>
            </w:pPr>
            <w:r w:rsidRPr="0059487C">
              <w:rPr>
                <w:color w:val="000000"/>
                <w:sz w:val="16"/>
                <w:szCs w:val="16"/>
              </w:rPr>
              <w:t>250 330 375,67</w:t>
            </w:r>
          </w:p>
        </w:tc>
      </w:tr>
      <w:tr w:rsidR="00B36253" w:rsidRPr="00964C83" w14:paraId="7CC32FE7" w14:textId="77777777" w:rsidTr="00FC0815">
        <w:trPr>
          <w:trHeight w:val="255"/>
          <w:jc w:val="center"/>
        </w:trPr>
        <w:tc>
          <w:tcPr>
            <w:tcW w:w="794" w:type="dxa"/>
            <w:tcBorders>
              <w:top w:val="single" w:sz="4" w:space="0" w:color="auto"/>
              <w:left w:val="single" w:sz="4" w:space="0" w:color="auto"/>
              <w:bottom w:val="single" w:sz="4" w:space="0" w:color="auto"/>
              <w:right w:val="single" w:sz="4" w:space="0" w:color="auto"/>
            </w:tcBorders>
            <w:vAlign w:val="center"/>
          </w:tcPr>
          <w:p w14:paraId="51924E5D" w14:textId="00300057" w:rsidR="00B36253" w:rsidRPr="00964C83" w:rsidRDefault="00B36253" w:rsidP="00B36253">
            <w:pPr>
              <w:spacing w:after="0"/>
              <w:jc w:val="center"/>
              <w:rPr>
                <w:rFonts w:eastAsia="Calibri" w:cs="Calibri"/>
                <w:color w:val="000000"/>
                <w:sz w:val="15"/>
                <w:szCs w:val="15"/>
              </w:rPr>
            </w:pPr>
            <w:r w:rsidRPr="0059487C">
              <w:rPr>
                <w:color w:val="000000"/>
                <w:sz w:val="16"/>
                <w:szCs w:val="16"/>
              </w:rPr>
              <w:t>00001171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51C8D" w14:textId="3730857D" w:rsidR="00B36253" w:rsidRPr="00B36253" w:rsidRDefault="00B36253" w:rsidP="00B36253">
            <w:pPr>
              <w:spacing w:after="0"/>
              <w:rPr>
                <w:rFonts w:eastAsia="Calibri" w:cs="Calibri"/>
                <w:color w:val="000000"/>
                <w:sz w:val="15"/>
                <w:szCs w:val="15"/>
              </w:rPr>
            </w:pPr>
            <w:r w:rsidRPr="00B36253">
              <w:rPr>
                <w:color w:val="000000"/>
                <w:sz w:val="15"/>
                <w:szCs w:val="15"/>
              </w:rPr>
              <w:t>Česká agentura na podporu obchodu</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2EB5341A" w14:textId="1A12D7B5" w:rsidR="00B36253" w:rsidRPr="00B36253" w:rsidRDefault="00B36253" w:rsidP="00B36253">
            <w:pPr>
              <w:spacing w:after="0"/>
              <w:jc w:val="right"/>
              <w:rPr>
                <w:rFonts w:eastAsia="Calibri" w:cs="Calibri"/>
                <w:color w:val="000000"/>
                <w:sz w:val="15"/>
                <w:szCs w:val="15"/>
              </w:rPr>
            </w:pPr>
            <w:r w:rsidRPr="00B36253">
              <w:rPr>
                <w:color w:val="000000"/>
                <w:sz w:val="15"/>
                <w:szCs w:val="15"/>
              </w:rPr>
              <w:t>260 205 860,45</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789C8C0E" w14:textId="2DACD05D" w:rsidR="00B36253" w:rsidRPr="00964C83" w:rsidRDefault="00B36253" w:rsidP="00B36253">
            <w:pPr>
              <w:spacing w:after="0"/>
              <w:jc w:val="right"/>
              <w:rPr>
                <w:rFonts w:eastAsia="Calibri" w:cs="Calibri"/>
                <w:color w:val="000000"/>
                <w:sz w:val="15"/>
                <w:szCs w:val="15"/>
              </w:rPr>
            </w:pPr>
            <w:r w:rsidRPr="0059487C">
              <w:rPr>
                <w:color w:val="000000"/>
                <w:sz w:val="16"/>
                <w:szCs w:val="16"/>
              </w:rPr>
              <w:t>412 016 468,02</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28B5E149" w14:textId="0E79B1DF" w:rsidR="00B36253" w:rsidRPr="00964C83" w:rsidRDefault="00B36253" w:rsidP="00B36253">
            <w:pPr>
              <w:spacing w:after="0"/>
              <w:ind w:left="-28" w:right="-28"/>
              <w:jc w:val="right"/>
              <w:rPr>
                <w:rFonts w:eastAsia="Calibri" w:cs="Calibri"/>
                <w:color w:val="000000"/>
                <w:sz w:val="15"/>
                <w:szCs w:val="15"/>
              </w:rPr>
            </w:pPr>
            <w:r w:rsidRPr="0059487C">
              <w:rPr>
                <w:color w:val="000000"/>
                <w:sz w:val="16"/>
                <w:szCs w:val="16"/>
              </w:rPr>
              <w:t>339 961 204,15</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64906C15" w14:textId="1884A0F6" w:rsidR="00B36253" w:rsidRPr="00964C83" w:rsidRDefault="00B36253" w:rsidP="00B36253">
            <w:pPr>
              <w:spacing w:after="0"/>
              <w:ind w:left="-28" w:right="-28"/>
              <w:jc w:val="right"/>
              <w:rPr>
                <w:rFonts w:eastAsia="Calibri" w:cs="Calibri"/>
                <w:color w:val="000000"/>
                <w:sz w:val="15"/>
                <w:szCs w:val="15"/>
              </w:rPr>
            </w:pPr>
            <w:r w:rsidRPr="0059487C">
              <w:rPr>
                <w:color w:val="000000"/>
                <w:sz w:val="16"/>
                <w:szCs w:val="16"/>
              </w:rPr>
              <w:t>333 038 830,72</w:t>
            </w:r>
          </w:p>
        </w:tc>
        <w:tc>
          <w:tcPr>
            <w:tcW w:w="1219" w:type="dxa"/>
            <w:tcBorders>
              <w:top w:val="single" w:sz="4" w:space="0" w:color="auto"/>
              <w:left w:val="nil"/>
              <w:bottom w:val="single" w:sz="4" w:space="0" w:color="auto"/>
              <w:right w:val="single" w:sz="4" w:space="0" w:color="auto"/>
            </w:tcBorders>
            <w:vAlign w:val="center"/>
          </w:tcPr>
          <w:p w14:paraId="138F552C" w14:textId="661FEE7A" w:rsidR="00B36253" w:rsidRPr="00964C83" w:rsidRDefault="00B36253" w:rsidP="00B36253">
            <w:pPr>
              <w:spacing w:after="0"/>
              <w:ind w:left="-28" w:right="-28"/>
              <w:jc w:val="right"/>
              <w:rPr>
                <w:rFonts w:eastAsia="Calibri" w:cs="Calibri"/>
                <w:color w:val="000000"/>
                <w:sz w:val="15"/>
                <w:szCs w:val="15"/>
              </w:rPr>
            </w:pPr>
            <w:r w:rsidRPr="0059487C">
              <w:rPr>
                <w:color w:val="000000"/>
                <w:sz w:val="16"/>
                <w:szCs w:val="16"/>
              </w:rPr>
              <w:t>306 164 451,63</w:t>
            </w:r>
          </w:p>
        </w:tc>
      </w:tr>
      <w:tr w:rsidR="00B36253" w:rsidRPr="00964C83" w14:paraId="32049556" w14:textId="77777777" w:rsidTr="00FC0815">
        <w:trPr>
          <w:trHeight w:val="255"/>
          <w:jc w:val="center"/>
        </w:trPr>
        <w:tc>
          <w:tcPr>
            <w:tcW w:w="794" w:type="dxa"/>
            <w:tcBorders>
              <w:top w:val="single" w:sz="4" w:space="0" w:color="auto"/>
              <w:left w:val="single" w:sz="4" w:space="0" w:color="auto"/>
              <w:bottom w:val="single" w:sz="4" w:space="0" w:color="auto"/>
              <w:right w:val="single" w:sz="4" w:space="0" w:color="auto"/>
            </w:tcBorders>
            <w:vAlign w:val="center"/>
          </w:tcPr>
          <w:p w14:paraId="6711B697" w14:textId="5B66DD75" w:rsidR="00B36253" w:rsidRPr="00964C83" w:rsidRDefault="00B36253" w:rsidP="00B36253">
            <w:pPr>
              <w:spacing w:after="0"/>
              <w:jc w:val="center"/>
              <w:rPr>
                <w:rFonts w:eastAsia="Calibri" w:cs="Calibri"/>
                <w:color w:val="000000"/>
                <w:sz w:val="15"/>
                <w:szCs w:val="15"/>
              </w:rPr>
            </w:pPr>
            <w:r w:rsidRPr="0059487C">
              <w:rPr>
                <w:color w:val="000000"/>
                <w:sz w:val="16"/>
                <w:szCs w:val="16"/>
              </w:rPr>
              <w:t>06578705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69A7F" w14:textId="06140CA7" w:rsidR="00B36253" w:rsidRPr="00B36253" w:rsidRDefault="00B36253" w:rsidP="00B36253">
            <w:pPr>
              <w:spacing w:after="0"/>
              <w:rPr>
                <w:rFonts w:eastAsia="Calibri" w:cs="Calibri"/>
                <w:color w:val="000000"/>
                <w:sz w:val="15"/>
                <w:szCs w:val="15"/>
              </w:rPr>
            </w:pPr>
            <w:r w:rsidRPr="00B36253">
              <w:rPr>
                <w:color w:val="000000"/>
                <w:sz w:val="15"/>
                <w:szCs w:val="15"/>
              </w:rPr>
              <w:t>Česká agentura pro standardizaci</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05B1B33C" w14:textId="6C74BDAE" w:rsidR="00B36253" w:rsidRPr="00B36253" w:rsidRDefault="00B36253" w:rsidP="00B36253">
            <w:pPr>
              <w:spacing w:after="0"/>
              <w:jc w:val="right"/>
              <w:rPr>
                <w:rFonts w:eastAsia="Calibri" w:cs="Calibri"/>
                <w:color w:val="000000"/>
                <w:sz w:val="15"/>
                <w:szCs w:val="15"/>
              </w:rPr>
            </w:pPr>
            <w:r w:rsidRPr="00B36253">
              <w:rPr>
                <w:color w:val="000000"/>
                <w:sz w:val="15"/>
                <w:szCs w:val="15"/>
              </w:rPr>
              <w:t>x </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0D35C803" w14:textId="1BC5A920" w:rsidR="00B36253" w:rsidRPr="00964C83" w:rsidRDefault="00B36253" w:rsidP="00B36253">
            <w:pPr>
              <w:spacing w:after="0"/>
              <w:jc w:val="right"/>
              <w:rPr>
                <w:rFonts w:eastAsia="Calibri" w:cs="Calibri"/>
                <w:color w:val="000000"/>
                <w:sz w:val="15"/>
                <w:szCs w:val="15"/>
              </w:rPr>
            </w:pPr>
            <w:r w:rsidRPr="0059487C">
              <w:rPr>
                <w:color w:val="000000"/>
                <w:sz w:val="16"/>
                <w:szCs w:val="16"/>
              </w:rPr>
              <w:t>x </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6346CBF1" w14:textId="5CE6237C" w:rsidR="00B36253" w:rsidRPr="00964C83" w:rsidRDefault="00B36253" w:rsidP="00B36253">
            <w:pPr>
              <w:spacing w:after="0"/>
              <w:ind w:left="-28" w:right="-28"/>
              <w:jc w:val="right"/>
              <w:rPr>
                <w:rFonts w:eastAsia="Calibri" w:cs="Calibri"/>
                <w:color w:val="000000"/>
                <w:sz w:val="15"/>
                <w:szCs w:val="15"/>
              </w:rPr>
            </w:pPr>
            <w:r w:rsidRPr="0059487C">
              <w:rPr>
                <w:color w:val="000000"/>
                <w:sz w:val="16"/>
                <w:szCs w:val="16"/>
              </w:rPr>
              <w:t>41 727 280,99</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2E0AC6E0" w14:textId="19337C13" w:rsidR="00B36253" w:rsidRPr="00964C83" w:rsidRDefault="00B36253" w:rsidP="00B36253">
            <w:pPr>
              <w:spacing w:after="0"/>
              <w:ind w:left="-28" w:right="-28"/>
              <w:jc w:val="right"/>
              <w:rPr>
                <w:rFonts w:eastAsia="Calibri" w:cs="Calibri"/>
                <w:color w:val="000000"/>
                <w:sz w:val="15"/>
                <w:szCs w:val="15"/>
              </w:rPr>
            </w:pPr>
            <w:r w:rsidRPr="0059487C">
              <w:rPr>
                <w:color w:val="000000"/>
                <w:sz w:val="16"/>
                <w:szCs w:val="16"/>
              </w:rPr>
              <w:t>55 585 833,90</w:t>
            </w:r>
          </w:p>
        </w:tc>
        <w:tc>
          <w:tcPr>
            <w:tcW w:w="1219" w:type="dxa"/>
            <w:tcBorders>
              <w:top w:val="single" w:sz="4" w:space="0" w:color="auto"/>
              <w:left w:val="nil"/>
              <w:bottom w:val="single" w:sz="4" w:space="0" w:color="auto"/>
              <w:right w:val="single" w:sz="4" w:space="0" w:color="auto"/>
            </w:tcBorders>
            <w:vAlign w:val="center"/>
          </w:tcPr>
          <w:p w14:paraId="6E7C4F8C" w14:textId="0FC0A48F" w:rsidR="00B36253" w:rsidRPr="00964C83" w:rsidRDefault="00B36253" w:rsidP="00B36253">
            <w:pPr>
              <w:spacing w:after="0"/>
              <w:ind w:left="-28" w:right="-28"/>
              <w:jc w:val="right"/>
              <w:rPr>
                <w:rFonts w:eastAsia="Calibri" w:cs="Calibri"/>
                <w:color w:val="000000"/>
                <w:sz w:val="15"/>
                <w:szCs w:val="15"/>
              </w:rPr>
            </w:pPr>
            <w:r w:rsidRPr="0059487C">
              <w:rPr>
                <w:color w:val="000000"/>
                <w:sz w:val="16"/>
                <w:szCs w:val="16"/>
              </w:rPr>
              <w:t>52 999 137,76</w:t>
            </w:r>
          </w:p>
        </w:tc>
      </w:tr>
      <w:tr w:rsidR="00B36253" w:rsidRPr="00964C83" w14:paraId="2CB93021" w14:textId="77777777" w:rsidTr="00FC0815">
        <w:trPr>
          <w:trHeight w:val="255"/>
          <w:jc w:val="center"/>
        </w:trPr>
        <w:tc>
          <w:tcPr>
            <w:tcW w:w="794" w:type="dxa"/>
            <w:tcBorders>
              <w:top w:val="single" w:sz="4" w:space="0" w:color="auto"/>
              <w:left w:val="single" w:sz="4" w:space="0" w:color="auto"/>
              <w:bottom w:val="single" w:sz="4" w:space="0" w:color="auto"/>
              <w:right w:val="single" w:sz="4" w:space="0" w:color="auto"/>
            </w:tcBorders>
            <w:vAlign w:val="center"/>
          </w:tcPr>
          <w:p w14:paraId="74E1D83C" w14:textId="0F9C20A5" w:rsidR="00B36253" w:rsidRPr="00964C83" w:rsidRDefault="00B36253" w:rsidP="00B36253">
            <w:pPr>
              <w:spacing w:after="0"/>
              <w:jc w:val="center"/>
              <w:rPr>
                <w:rFonts w:eastAsia="Calibri" w:cs="Calibri"/>
                <w:color w:val="000000"/>
                <w:sz w:val="15"/>
                <w:szCs w:val="15"/>
              </w:rPr>
            </w:pPr>
            <w:r w:rsidRPr="0059487C">
              <w:rPr>
                <w:color w:val="000000"/>
                <w:sz w:val="16"/>
                <w:szCs w:val="16"/>
              </w:rPr>
              <w:t>00177016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16764" w14:textId="183018CA" w:rsidR="00B36253" w:rsidRPr="00B36253" w:rsidRDefault="00B36253" w:rsidP="00B36253">
            <w:pPr>
              <w:spacing w:after="0"/>
              <w:rPr>
                <w:rFonts w:eastAsia="Calibri" w:cs="Calibri"/>
                <w:color w:val="000000"/>
                <w:sz w:val="15"/>
                <w:szCs w:val="15"/>
              </w:rPr>
            </w:pPr>
            <w:r w:rsidRPr="00B36253">
              <w:rPr>
                <w:color w:val="000000"/>
                <w:sz w:val="15"/>
                <w:szCs w:val="15"/>
              </w:rPr>
              <w:t>Český metrologický institut</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5D5828E4" w14:textId="7B1CC400" w:rsidR="00B36253" w:rsidRPr="00B36253" w:rsidRDefault="00B36253" w:rsidP="00B36253">
            <w:pPr>
              <w:spacing w:after="0"/>
              <w:jc w:val="right"/>
              <w:rPr>
                <w:rFonts w:eastAsia="Calibri" w:cs="Calibri"/>
                <w:color w:val="000000"/>
                <w:sz w:val="15"/>
                <w:szCs w:val="15"/>
              </w:rPr>
            </w:pPr>
            <w:r w:rsidRPr="00B36253">
              <w:rPr>
                <w:color w:val="000000"/>
                <w:sz w:val="15"/>
                <w:szCs w:val="15"/>
              </w:rPr>
              <w:t>155 398 609,14</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1A258A32" w14:textId="7BE7255D" w:rsidR="00B36253" w:rsidRPr="00964C83" w:rsidRDefault="00B36253" w:rsidP="00B36253">
            <w:pPr>
              <w:spacing w:after="0"/>
              <w:jc w:val="right"/>
              <w:rPr>
                <w:rFonts w:eastAsia="Calibri" w:cs="Calibri"/>
                <w:color w:val="000000"/>
                <w:sz w:val="15"/>
                <w:szCs w:val="15"/>
              </w:rPr>
            </w:pPr>
            <w:r w:rsidRPr="0059487C">
              <w:rPr>
                <w:color w:val="000000"/>
                <w:sz w:val="16"/>
                <w:szCs w:val="16"/>
              </w:rPr>
              <w:t>170 547 304,81</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2D337210" w14:textId="7B685111" w:rsidR="00B36253" w:rsidRPr="00964C83" w:rsidRDefault="00B36253" w:rsidP="00B36253">
            <w:pPr>
              <w:spacing w:after="0"/>
              <w:ind w:left="-28" w:right="-28"/>
              <w:jc w:val="right"/>
              <w:rPr>
                <w:rFonts w:eastAsia="Calibri" w:cs="Calibri"/>
                <w:color w:val="000000"/>
                <w:sz w:val="15"/>
                <w:szCs w:val="15"/>
              </w:rPr>
            </w:pPr>
            <w:r w:rsidRPr="0059487C">
              <w:rPr>
                <w:color w:val="000000"/>
                <w:sz w:val="16"/>
                <w:szCs w:val="16"/>
              </w:rPr>
              <w:t>232 965 059,87</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29AB97BF" w14:textId="16B0CAD1" w:rsidR="00B36253" w:rsidRPr="00964C83" w:rsidRDefault="00B36253" w:rsidP="00B36253">
            <w:pPr>
              <w:spacing w:after="0"/>
              <w:ind w:left="-28" w:right="-28"/>
              <w:jc w:val="right"/>
              <w:rPr>
                <w:rFonts w:eastAsia="Calibri" w:cs="Calibri"/>
                <w:color w:val="000000"/>
                <w:sz w:val="15"/>
                <w:szCs w:val="15"/>
              </w:rPr>
            </w:pPr>
            <w:r w:rsidRPr="0059487C">
              <w:rPr>
                <w:color w:val="000000"/>
                <w:sz w:val="16"/>
                <w:szCs w:val="16"/>
              </w:rPr>
              <w:t>196 988 255,54</w:t>
            </w:r>
          </w:p>
        </w:tc>
        <w:tc>
          <w:tcPr>
            <w:tcW w:w="1219" w:type="dxa"/>
            <w:tcBorders>
              <w:top w:val="single" w:sz="4" w:space="0" w:color="auto"/>
              <w:left w:val="nil"/>
              <w:bottom w:val="single" w:sz="4" w:space="0" w:color="auto"/>
              <w:right w:val="single" w:sz="4" w:space="0" w:color="auto"/>
            </w:tcBorders>
            <w:vAlign w:val="center"/>
          </w:tcPr>
          <w:p w14:paraId="36E93C40" w14:textId="0E10B45F" w:rsidR="00B36253" w:rsidRPr="00964C83" w:rsidRDefault="00B36253" w:rsidP="00B36253">
            <w:pPr>
              <w:spacing w:after="0"/>
              <w:ind w:left="-28" w:right="-28"/>
              <w:jc w:val="right"/>
              <w:rPr>
                <w:rFonts w:eastAsia="Calibri" w:cs="Calibri"/>
                <w:color w:val="000000"/>
                <w:sz w:val="15"/>
                <w:szCs w:val="15"/>
              </w:rPr>
            </w:pPr>
            <w:r w:rsidRPr="0059487C">
              <w:rPr>
                <w:color w:val="000000"/>
                <w:sz w:val="16"/>
                <w:szCs w:val="16"/>
              </w:rPr>
              <w:t>180 982 613,40</w:t>
            </w:r>
          </w:p>
        </w:tc>
      </w:tr>
      <w:tr w:rsidR="00B36253" w:rsidRPr="00964C83" w14:paraId="694D4CF0" w14:textId="77777777" w:rsidTr="00FC0815">
        <w:trPr>
          <w:trHeight w:val="255"/>
          <w:jc w:val="center"/>
        </w:trPr>
        <w:tc>
          <w:tcPr>
            <w:tcW w:w="794" w:type="dxa"/>
            <w:tcBorders>
              <w:top w:val="single" w:sz="4" w:space="0" w:color="auto"/>
              <w:left w:val="single" w:sz="4" w:space="0" w:color="auto"/>
              <w:bottom w:val="single" w:sz="4" w:space="0" w:color="auto"/>
              <w:right w:val="single" w:sz="4" w:space="0" w:color="auto"/>
            </w:tcBorders>
            <w:vAlign w:val="center"/>
          </w:tcPr>
          <w:p w14:paraId="57782366" w14:textId="6B075451" w:rsidR="00B36253" w:rsidRPr="00964C83" w:rsidRDefault="00B36253" w:rsidP="00B36253">
            <w:pPr>
              <w:spacing w:after="0"/>
              <w:jc w:val="center"/>
              <w:rPr>
                <w:rFonts w:eastAsia="Calibri" w:cs="Calibri"/>
                <w:color w:val="000000"/>
                <w:sz w:val="15"/>
                <w:szCs w:val="15"/>
              </w:rPr>
            </w:pPr>
            <w:r w:rsidRPr="0059487C">
              <w:rPr>
                <w:color w:val="000000"/>
                <w:sz w:val="16"/>
                <w:szCs w:val="16"/>
              </w:rPr>
              <w:t>61382060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2EFD9" w14:textId="426535F9" w:rsidR="00B36253" w:rsidRPr="00B36253" w:rsidRDefault="00B36253" w:rsidP="00B36253">
            <w:pPr>
              <w:spacing w:after="0"/>
              <w:rPr>
                <w:rFonts w:eastAsia="Calibri" w:cs="Calibri"/>
                <w:color w:val="000000"/>
                <w:sz w:val="15"/>
                <w:szCs w:val="15"/>
              </w:rPr>
            </w:pPr>
            <w:r w:rsidRPr="00B36253">
              <w:rPr>
                <w:color w:val="000000"/>
                <w:sz w:val="15"/>
                <w:szCs w:val="15"/>
              </w:rPr>
              <w:t>Správa služeb Ministerstva průmyslu a obchodu ČR</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20E831F9" w14:textId="1EADABA3" w:rsidR="00B36253" w:rsidRPr="00B36253" w:rsidRDefault="00B36253" w:rsidP="00B36253">
            <w:pPr>
              <w:spacing w:after="0"/>
              <w:jc w:val="right"/>
              <w:rPr>
                <w:rFonts w:eastAsia="Calibri" w:cs="Calibri"/>
                <w:color w:val="000000"/>
                <w:sz w:val="15"/>
                <w:szCs w:val="15"/>
              </w:rPr>
            </w:pPr>
            <w:r w:rsidRPr="00B36253">
              <w:rPr>
                <w:color w:val="000000"/>
                <w:sz w:val="15"/>
                <w:szCs w:val="15"/>
              </w:rPr>
              <w:t>23 549 115,00</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06D1E4A5" w14:textId="5FE99959" w:rsidR="00B36253" w:rsidRPr="00964C83" w:rsidRDefault="00B36253" w:rsidP="00B36253">
            <w:pPr>
              <w:spacing w:after="0"/>
              <w:jc w:val="right"/>
              <w:rPr>
                <w:rFonts w:eastAsia="Calibri" w:cs="Calibri"/>
                <w:color w:val="000000"/>
                <w:sz w:val="15"/>
                <w:szCs w:val="15"/>
              </w:rPr>
            </w:pPr>
            <w:r w:rsidRPr="0059487C">
              <w:rPr>
                <w:color w:val="000000"/>
                <w:sz w:val="16"/>
                <w:szCs w:val="16"/>
              </w:rPr>
              <w:t>24 241 841,00</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3D3D307C" w14:textId="426B36C7" w:rsidR="00B36253" w:rsidRPr="00964C83" w:rsidRDefault="00B36253" w:rsidP="00B36253">
            <w:pPr>
              <w:spacing w:after="0"/>
              <w:ind w:left="-28" w:right="-28"/>
              <w:jc w:val="right"/>
              <w:rPr>
                <w:rFonts w:eastAsia="Calibri" w:cs="Calibri"/>
                <w:color w:val="000000"/>
                <w:sz w:val="15"/>
                <w:szCs w:val="15"/>
              </w:rPr>
            </w:pPr>
            <w:r w:rsidRPr="0059487C">
              <w:rPr>
                <w:color w:val="000000"/>
                <w:sz w:val="16"/>
                <w:szCs w:val="16"/>
              </w:rPr>
              <w:t>26 072 808,00</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6F79D4C5" w14:textId="64CCDB8A" w:rsidR="00B36253" w:rsidRPr="00964C83" w:rsidRDefault="00B36253" w:rsidP="00B36253">
            <w:pPr>
              <w:spacing w:after="0"/>
              <w:ind w:left="-28" w:right="-28"/>
              <w:jc w:val="right"/>
              <w:rPr>
                <w:rFonts w:eastAsia="Calibri" w:cs="Calibri"/>
                <w:color w:val="000000"/>
                <w:sz w:val="15"/>
                <w:szCs w:val="15"/>
              </w:rPr>
            </w:pPr>
            <w:r w:rsidRPr="0059487C">
              <w:rPr>
                <w:color w:val="000000"/>
                <w:sz w:val="16"/>
                <w:szCs w:val="16"/>
              </w:rPr>
              <w:t>27 618 253,00</w:t>
            </w:r>
          </w:p>
        </w:tc>
        <w:tc>
          <w:tcPr>
            <w:tcW w:w="1219" w:type="dxa"/>
            <w:tcBorders>
              <w:top w:val="single" w:sz="4" w:space="0" w:color="auto"/>
              <w:left w:val="nil"/>
              <w:bottom w:val="single" w:sz="4" w:space="0" w:color="auto"/>
              <w:right w:val="single" w:sz="4" w:space="0" w:color="auto"/>
            </w:tcBorders>
            <w:vAlign w:val="center"/>
          </w:tcPr>
          <w:p w14:paraId="2FE46D99" w14:textId="3CFEA5EF" w:rsidR="00B36253" w:rsidRPr="00964C83" w:rsidRDefault="00B36253" w:rsidP="00B36253">
            <w:pPr>
              <w:spacing w:after="0"/>
              <w:ind w:left="-28" w:right="-28"/>
              <w:jc w:val="right"/>
              <w:rPr>
                <w:rFonts w:eastAsia="Calibri" w:cs="Calibri"/>
                <w:color w:val="000000"/>
                <w:sz w:val="15"/>
                <w:szCs w:val="15"/>
              </w:rPr>
            </w:pPr>
            <w:r w:rsidRPr="0059487C">
              <w:rPr>
                <w:color w:val="000000"/>
                <w:sz w:val="16"/>
                <w:szCs w:val="16"/>
              </w:rPr>
              <w:t>42 784 200,83</w:t>
            </w:r>
          </w:p>
        </w:tc>
      </w:tr>
      <w:tr w:rsidR="00B36253" w:rsidRPr="00964C83" w14:paraId="4C4224E9" w14:textId="77777777" w:rsidTr="00FC0815">
        <w:trPr>
          <w:trHeight w:val="255"/>
          <w:jc w:val="center"/>
        </w:trPr>
        <w:tc>
          <w:tcPr>
            <w:tcW w:w="794" w:type="dxa"/>
            <w:tcBorders>
              <w:top w:val="single" w:sz="4" w:space="0" w:color="auto"/>
              <w:left w:val="single" w:sz="4" w:space="0" w:color="auto"/>
              <w:bottom w:val="single" w:sz="4" w:space="0" w:color="auto"/>
              <w:right w:val="single" w:sz="4" w:space="0" w:color="auto"/>
            </w:tcBorders>
            <w:vAlign w:val="center"/>
          </w:tcPr>
          <w:p w14:paraId="558D8288" w14:textId="4A21358C" w:rsidR="00B36253" w:rsidRPr="00964C83" w:rsidRDefault="00B36253" w:rsidP="00B36253">
            <w:pPr>
              <w:spacing w:after="0"/>
              <w:jc w:val="center"/>
              <w:rPr>
                <w:rFonts w:eastAsia="Calibri" w:cs="Calibri"/>
                <w:color w:val="000000"/>
                <w:sz w:val="15"/>
                <w:szCs w:val="15"/>
              </w:rPr>
            </w:pPr>
            <w:r w:rsidRPr="0059487C">
              <w:rPr>
                <w:color w:val="000000"/>
                <w:sz w:val="16"/>
                <w:szCs w:val="16"/>
              </w:rPr>
              <w:t>00002348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57219" w14:textId="53085593" w:rsidR="00B36253" w:rsidRPr="00B36253" w:rsidRDefault="00B36253" w:rsidP="00B36253">
            <w:pPr>
              <w:spacing w:after="0"/>
              <w:rPr>
                <w:rFonts w:eastAsia="Calibri" w:cs="Calibri"/>
                <w:color w:val="000000"/>
                <w:sz w:val="15"/>
                <w:szCs w:val="15"/>
              </w:rPr>
            </w:pPr>
            <w:r w:rsidRPr="00B36253">
              <w:rPr>
                <w:color w:val="000000"/>
                <w:sz w:val="15"/>
                <w:szCs w:val="15"/>
              </w:rPr>
              <w:t>Státní výzkumný ústav materiálu</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078708FE" w14:textId="31CB31B6" w:rsidR="00B36253" w:rsidRPr="00B36253" w:rsidRDefault="00B36253" w:rsidP="00B36253">
            <w:pPr>
              <w:spacing w:after="0"/>
              <w:jc w:val="right"/>
              <w:rPr>
                <w:rFonts w:eastAsia="Calibri" w:cs="Calibri"/>
                <w:color w:val="000000"/>
                <w:sz w:val="15"/>
                <w:szCs w:val="15"/>
              </w:rPr>
            </w:pPr>
            <w:r w:rsidRPr="00B36253">
              <w:rPr>
                <w:color w:val="000000"/>
                <w:sz w:val="15"/>
                <w:szCs w:val="15"/>
              </w:rPr>
              <w:t>0</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6270BEEE" w14:textId="1432B16D" w:rsidR="00B36253" w:rsidRPr="00964C83" w:rsidRDefault="00B36253" w:rsidP="00B36253">
            <w:pPr>
              <w:spacing w:after="0"/>
              <w:jc w:val="right"/>
              <w:rPr>
                <w:rFonts w:eastAsia="Calibri" w:cs="Calibri"/>
                <w:color w:val="000000"/>
                <w:sz w:val="15"/>
                <w:szCs w:val="15"/>
              </w:rPr>
            </w:pPr>
            <w:r w:rsidRPr="0059487C">
              <w:rPr>
                <w:color w:val="000000"/>
                <w:sz w:val="16"/>
                <w:szCs w:val="16"/>
              </w:rPr>
              <w:t>x </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1A599551" w14:textId="1C51DE3B" w:rsidR="00B36253" w:rsidRPr="00964C83" w:rsidRDefault="00B36253" w:rsidP="00B36253">
            <w:pPr>
              <w:spacing w:after="0"/>
              <w:ind w:left="-28" w:right="-28"/>
              <w:jc w:val="right"/>
              <w:rPr>
                <w:rFonts w:eastAsia="Calibri" w:cs="Calibri"/>
                <w:color w:val="000000"/>
                <w:sz w:val="15"/>
                <w:szCs w:val="15"/>
              </w:rPr>
            </w:pPr>
            <w:r w:rsidRPr="0059487C">
              <w:rPr>
                <w:color w:val="000000"/>
                <w:sz w:val="16"/>
                <w:szCs w:val="16"/>
              </w:rPr>
              <w:t>x </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79C20AA1" w14:textId="75F691EE" w:rsidR="00B36253" w:rsidRPr="00964C83" w:rsidRDefault="00B36253" w:rsidP="00B36253">
            <w:pPr>
              <w:spacing w:after="0"/>
              <w:ind w:left="-28" w:right="-28"/>
              <w:jc w:val="right"/>
              <w:rPr>
                <w:rFonts w:eastAsia="Calibri" w:cs="Calibri"/>
                <w:color w:val="000000"/>
                <w:sz w:val="15"/>
                <w:szCs w:val="15"/>
              </w:rPr>
            </w:pPr>
            <w:r w:rsidRPr="0059487C">
              <w:rPr>
                <w:color w:val="000000"/>
                <w:sz w:val="16"/>
                <w:szCs w:val="16"/>
              </w:rPr>
              <w:t>x </w:t>
            </w:r>
          </w:p>
        </w:tc>
        <w:tc>
          <w:tcPr>
            <w:tcW w:w="1219" w:type="dxa"/>
            <w:tcBorders>
              <w:top w:val="single" w:sz="4" w:space="0" w:color="auto"/>
              <w:left w:val="nil"/>
              <w:bottom w:val="single" w:sz="4" w:space="0" w:color="auto"/>
              <w:right w:val="single" w:sz="4" w:space="0" w:color="auto"/>
            </w:tcBorders>
            <w:vAlign w:val="center"/>
          </w:tcPr>
          <w:p w14:paraId="241ECA43" w14:textId="0C222198" w:rsidR="00B36253" w:rsidRPr="00964C83" w:rsidRDefault="00B36253" w:rsidP="00B36253">
            <w:pPr>
              <w:spacing w:after="0"/>
              <w:ind w:left="-28" w:right="-28"/>
              <w:jc w:val="right"/>
              <w:rPr>
                <w:rFonts w:eastAsia="Calibri" w:cs="Calibri"/>
                <w:color w:val="000000"/>
                <w:sz w:val="15"/>
                <w:szCs w:val="15"/>
              </w:rPr>
            </w:pPr>
            <w:r w:rsidRPr="0059487C">
              <w:rPr>
                <w:color w:val="000000"/>
                <w:sz w:val="16"/>
                <w:szCs w:val="16"/>
              </w:rPr>
              <w:t>x </w:t>
            </w:r>
          </w:p>
        </w:tc>
      </w:tr>
      <w:tr w:rsidR="00B36253" w:rsidRPr="00964C83" w14:paraId="54D83765" w14:textId="77777777" w:rsidTr="00FC0815">
        <w:trPr>
          <w:trHeight w:val="255"/>
          <w:jc w:val="center"/>
        </w:trPr>
        <w:tc>
          <w:tcPr>
            <w:tcW w:w="3062" w:type="dxa"/>
            <w:gridSpan w:val="2"/>
            <w:tcBorders>
              <w:top w:val="single" w:sz="4" w:space="0" w:color="auto"/>
              <w:left w:val="single" w:sz="4" w:space="0" w:color="auto"/>
              <w:bottom w:val="single" w:sz="4" w:space="0" w:color="auto"/>
              <w:right w:val="single" w:sz="4" w:space="0" w:color="auto"/>
            </w:tcBorders>
            <w:shd w:val="clear" w:color="auto" w:fill="F2C6C9"/>
            <w:vAlign w:val="center"/>
          </w:tcPr>
          <w:p w14:paraId="208EDDCE" w14:textId="77777777" w:rsidR="00B36253" w:rsidRPr="00964C83" w:rsidRDefault="00B36253" w:rsidP="00B36253">
            <w:pPr>
              <w:spacing w:after="0"/>
              <w:rPr>
                <w:rFonts w:cs="Calibri"/>
                <w:color w:val="000000"/>
                <w:sz w:val="15"/>
                <w:szCs w:val="15"/>
              </w:rPr>
            </w:pPr>
            <w:r w:rsidRPr="00964C83">
              <w:rPr>
                <w:rFonts w:cs="Calibri"/>
                <w:b/>
                <w:bCs/>
                <w:color w:val="000000"/>
                <w:sz w:val="15"/>
                <w:szCs w:val="15"/>
              </w:rPr>
              <w:t>Celkem</w:t>
            </w:r>
          </w:p>
        </w:tc>
        <w:tc>
          <w:tcPr>
            <w:tcW w:w="1219" w:type="dxa"/>
            <w:tcBorders>
              <w:top w:val="single" w:sz="4" w:space="0" w:color="auto"/>
              <w:left w:val="nil"/>
              <w:bottom w:val="single" w:sz="4" w:space="0" w:color="auto"/>
              <w:right w:val="single" w:sz="4" w:space="0" w:color="auto"/>
            </w:tcBorders>
            <w:shd w:val="clear" w:color="auto" w:fill="F2C6C9"/>
            <w:noWrap/>
            <w:vAlign w:val="center"/>
          </w:tcPr>
          <w:p w14:paraId="23DFF58A" w14:textId="77777777" w:rsidR="00B36253" w:rsidRPr="00964C83" w:rsidRDefault="00B36253" w:rsidP="00B36253">
            <w:pPr>
              <w:spacing w:after="0"/>
              <w:jc w:val="right"/>
              <w:rPr>
                <w:rFonts w:cs="Calibri"/>
                <w:color w:val="000000"/>
                <w:sz w:val="15"/>
                <w:szCs w:val="15"/>
              </w:rPr>
            </w:pPr>
            <w:r w:rsidRPr="00964C83">
              <w:rPr>
                <w:rFonts w:cs="Calibri"/>
                <w:b/>
                <w:bCs/>
                <w:color w:val="000000"/>
                <w:sz w:val="15"/>
                <w:szCs w:val="15"/>
              </w:rPr>
              <w:t>1 260 312 619,53</w:t>
            </w:r>
          </w:p>
        </w:tc>
        <w:tc>
          <w:tcPr>
            <w:tcW w:w="1219" w:type="dxa"/>
            <w:tcBorders>
              <w:top w:val="single" w:sz="4" w:space="0" w:color="auto"/>
              <w:left w:val="nil"/>
              <w:bottom w:val="single" w:sz="4" w:space="0" w:color="auto"/>
              <w:right w:val="single" w:sz="4" w:space="0" w:color="auto"/>
            </w:tcBorders>
            <w:shd w:val="clear" w:color="auto" w:fill="F2C6C9"/>
            <w:noWrap/>
            <w:vAlign w:val="center"/>
          </w:tcPr>
          <w:p w14:paraId="61DB7078" w14:textId="13D11385" w:rsidR="00B36253" w:rsidRPr="00964C83" w:rsidRDefault="00B36253" w:rsidP="00B36253">
            <w:pPr>
              <w:spacing w:after="0"/>
              <w:jc w:val="right"/>
              <w:rPr>
                <w:rFonts w:cs="Calibri"/>
                <w:color w:val="000000"/>
                <w:sz w:val="15"/>
                <w:szCs w:val="15"/>
              </w:rPr>
            </w:pPr>
            <w:r w:rsidRPr="0059487C">
              <w:rPr>
                <w:b/>
                <w:bCs/>
                <w:color w:val="000000"/>
                <w:sz w:val="16"/>
                <w:szCs w:val="16"/>
              </w:rPr>
              <w:t>760 523 645,15</w:t>
            </w:r>
          </w:p>
        </w:tc>
        <w:tc>
          <w:tcPr>
            <w:tcW w:w="1219" w:type="dxa"/>
            <w:tcBorders>
              <w:top w:val="single" w:sz="4" w:space="0" w:color="auto"/>
              <w:left w:val="nil"/>
              <w:bottom w:val="single" w:sz="4" w:space="0" w:color="auto"/>
              <w:right w:val="single" w:sz="4" w:space="0" w:color="auto"/>
            </w:tcBorders>
            <w:shd w:val="clear" w:color="auto" w:fill="F2C6C9"/>
            <w:noWrap/>
            <w:vAlign w:val="center"/>
          </w:tcPr>
          <w:p w14:paraId="3A76946B" w14:textId="65FDBB33" w:rsidR="00B36253" w:rsidRPr="00964C83" w:rsidRDefault="00B36253" w:rsidP="00B36253">
            <w:pPr>
              <w:spacing w:after="0"/>
              <w:ind w:left="-28" w:right="-28"/>
              <w:jc w:val="right"/>
              <w:rPr>
                <w:rFonts w:cs="Calibri"/>
                <w:color w:val="000000"/>
                <w:sz w:val="15"/>
                <w:szCs w:val="15"/>
              </w:rPr>
            </w:pPr>
            <w:r w:rsidRPr="0059487C">
              <w:rPr>
                <w:b/>
                <w:bCs/>
                <w:color w:val="000000"/>
                <w:sz w:val="16"/>
                <w:szCs w:val="16"/>
              </w:rPr>
              <w:t>1 004 133 873,87</w:t>
            </w:r>
          </w:p>
        </w:tc>
        <w:tc>
          <w:tcPr>
            <w:tcW w:w="1219" w:type="dxa"/>
            <w:tcBorders>
              <w:top w:val="single" w:sz="4" w:space="0" w:color="auto"/>
              <w:left w:val="nil"/>
              <w:bottom w:val="single" w:sz="4" w:space="0" w:color="auto"/>
              <w:right w:val="single" w:sz="4" w:space="0" w:color="auto"/>
            </w:tcBorders>
            <w:shd w:val="clear" w:color="auto" w:fill="F2C6C9"/>
            <w:noWrap/>
            <w:vAlign w:val="center"/>
          </w:tcPr>
          <w:p w14:paraId="7228AB21" w14:textId="6B6A3F95" w:rsidR="00B36253" w:rsidRPr="00964C83" w:rsidRDefault="00B36253" w:rsidP="00B36253">
            <w:pPr>
              <w:spacing w:after="0"/>
              <w:ind w:left="-28" w:right="-28"/>
              <w:jc w:val="right"/>
              <w:rPr>
                <w:rFonts w:cs="Calibri"/>
                <w:color w:val="000000"/>
                <w:sz w:val="15"/>
                <w:szCs w:val="15"/>
              </w:rPr>
            </w:pPr>
            <w:r w:rsidRPr="0059487C">
              <w:rPr>
                <w:b/>
                <w:bCs/>
                <w:color w:val="000000"/>
                <w:sz w:val="16"/>
                <w:szCs w:val="16"/>
              </w:rPr>
              <w:t>1 081 353 486,75</w:t>
            </w:r>
          </w:p>
        </w:tc>
        <w:tc>
          <w:tcPr>
            <w:tcW w:w="1219" w:type="dxa"/>
            <w:tcBorders>
              <w:top w:val="single" w:sz="4" w:space="0" w:color="auto"/>
              <w:left w:val="nil"/>
              <w:bottom w:val="single" w:sz="4" w:space="0" w:color="auto"/>
              <w:right w:val="single" w:sz="4" w:space="0" w:color="auto"/>
            </w:tcBorders>
            <w:shd w:val="clear" w:color="auto" w:fill="F2C6C9"/>
            <w:vAlign w:val="center"/>
          </w:tcPr>
          <w:p w14:paraId="1D39FE29" w14:textId="79C652B2" w:rsidR="00B36253" w:rsidRPr="00964C83" w:rsidRDefault="00B36253" w:rsidP="00B36253">
            <w:pPr>
              <w:spacing w:after="0"/>
              <w:ind w:left="-28" w:right="-28"/>
              <w:jc w:val="right"/>
              <w:rPr>
                <w:rFonts w:cs="Calibri"/>
                <w:color w:val="000000"/>
                <w:sz w:val="15"/>
                <w:szCs w:val="15"/>
              </w:rPr>
            </w:pPr>
            <w:r w:rsidRPr="0059487C">
              <w:rPr>
                <w:b/>
                <w:bCs/>
                <w:color w:val="000000"/>
                <w:sz w:val="16"/>
                <w:szCs w:val="16"/>
              </w:rPr>
              <w:t>1 062 464 496,61</w:t>
            </w:r>
          </w:p>
        </w:tc>
      </w:tr>
    </w:tbl>
    <w:p w14:paraId="3A0CC794" w14:textId="77777777" w:rsidR="00B57597" w:rsidRPr="00682D65" w:rsidRDefault="00B57597" w:rsidP="00B57597">
      <w:pPr>
        <w:spacing w:before="40"/>
        <w:rPr>
          <w:rFonts w:cs="Calibri"/>
          <w:color w:val="000000"/>
          <w:sz w:val="20"/>
          <w:szCs w:val="20"/>
          <w:lang w:eastAsia="cs-CZ"/>
        </w:rPr>
      </w:pPr>
      <w:r w:rsidRPr="00682D65">
        <w:rPr>
          <w:rFonts w:cs="Calibri"/>
          <w:b/>
          <w:color w:val="000000"/>
          <w:sz w:val="20"/>
          <w:szCs w:val="20"/>
          <w:lang w:eastAsia="cs-CZ"/>
        </w:rPr>
        <w:t xml:space="preserve">Zdroj: </w:t>
      </w:r>
      <w:r w:rsidRPr="00682D65">
        <w:rPr>
          <w:rFonts w:cs="Calibri"/>
          <w:color w:val="000000"/>
          <w:sz w:val="20"/>
          <w:szCs w:val="20"/>
          <w:lang w:eastAsia="cs-CZ"/>
        </w:rPr>
        <w:t>informační portál MONITOR.</w:t>
      </w:r>
    </w:p>
    <w:p w14:paraId="6F3A8E4D" w14:textId="636B1836" w:rsidR="00B57597" w:rsidRDefault="00B57597" w:rsidP="003C6695">
      <w:pPr>
        <w:pStyle w:val="Titulek1"/>
        <w:tabs>
          <w:tab w:val="clear" w:pos="1134"/>
        </w:tabs>
        <w:ind w:left="1446" w:hanging="1446"/>
        <w:rPr>
          <w:sz w:val="24"/>
        </w:rPr>
      </w:pPr>
      <w:bookmarkStart w:id="127" w:name="_Toc520714350"/>
      <w:bookmarkStart w:id="128" w:name="_Toc8984557"/>
      <w:bookmarkStart w:id="129" w:name="_Toc72157495"/>
      <w:r w:rsidRPr="003C6695">
        <w:rPr>
          <w:sz w:val="24"/>
        </w:rPr>
        <w:lastRenderedPageBreak/>
        <w:t xml:space="preserve">Tabulka č. </w:t>
      </w:r>
      <w:r w:rsidR="005F2931" w:rsidRPr="003C6695">
        <w:rPr>
          <w:sz w:val="24"/>
        </w:rPr>
        <w:fldChar w:fldCharType="begin"/>
      </w:r>
      <w:r w:rsidR="005F2931" w:rsidRPr="003C6695">
        <w:rPr>
          <w:sz w:val="24"/>
        </w:rPr>
        <w:instrText xml:space="preserve"> SEQ Tabulka \* ARABIC </w:instrText>
      </w:r>
      <w:r w:rsidR="005F2931" w:rsidRPr="003C6695">
        <w:rPr>
          <w:sz w:val="24"/>
        </w:rPr>
        <w:fldChar w:fldCharType="separate"/>
      </w:r>
      <w:r w:rsidR="00E544AA">
        <w:rPr>
          <w:noProof/>
          <w:sz w:val="24"/>
        </w:rPr>
        <w:t>39</w:t>
      </w:r>
      <w:r w:rsidR="005F2931" w:rsidRPr="003C6695">
        <w:rPr>
          <w:noProof/>
          <w:sz w:val="24"/>
        </w:rPr>
        <w:fldChar w:fldCharType="end"/>
      </w:r>
      <w:r w:rsidRPr="003C6695">
        <w:rPr>
          <w:sz w:val="24"/>
        </w:rPr>
        <w:t>: Výše příspěvku na provoz PO dle zákona č. 218/2000 Sb. (v Kč)</w:t>
      </w:r>
      <w:bookmarkEnd w:id="127"/>
      <w:bookmarkEnd w:id="128"/>
      <w:bookmarkEnd w:id="129"/>
    </w:p>
    <w:tbl>
      <w:tblPr>
        <w:tblW w:w="9017" w:type="dxa"/>
        <w:jc w:val="center"/>
        <w:tblLayout w:type="fixed"/>
        <w:tblCellMar>
          <w:left w:w="70" w:type="dxa"/>
          <w:right w:w="70" w:type="dxa"/>
        </w:tblCellMar>
        <w:tblLook w:val="04A0" w:firstRow="1" w:lastRow="0" w:firstColumn="1" w:lastColumn="0" w:noHBand="0" w:noVBand="1"/>
      </w:tblPr>
      <w:tblGrid>
        <w:gridCol w:w="794"/>
        <w:gridCol w:w="2268"/>
        <w:gridCol w:w="1191"/>
        <w:gridCol w:w="1191"/>
        <w:gridCol w:w="1191"/>
        <w:gridCol w:w="1191"/>
        <w:gridCol w:w="1191"/>
      </w:tblGrid>
      <w:tr w:rsidR="003C6695" w:rsidRPr="00964C83" w14:paraId="31792EFE" w14:textId="77777777" w:rsidTr="000412D1">
        <w:trPr>
          <w:trHeight w:val="255"/>
          <w:jc w:val="center"/>
        </w:trPr>
        <w:tc>
          <w:tcPr>
            <w:tcW w:w="794" w:type="dxa"/>
            <w:tcBorders>
              <w:top w:val="single" w:sz="4" w:space="0" w:color="auto"/>
              <w:left w:val="single" w:sz="4" w:space="0" w:color="auto"/>
              <w:bottom w:val="single" w:sz="4" w:space="0" w:color="auto"/>
              <w:right w:val="single" w:sz="4" w:space="0" w:color="auto"/>
            </w:tcBorders>
            <w:shd w:val="clear" w:color="auto" w:fill="E5F1FF"/>
            <w:vAlign w:val="center"/>
          </w:tcPr>
          <w:p w14:paraId="1E8FABBA" w14:textId="77777777" w:rsidR="003C6695" w:rsidRPr="00964C83" w:rsidRDefault="003C6695" w:rsidP="003C6695">
            <w:pPr>
              <w:keepNext/>
              <w:spacing w:after="0"/>
              <w:jc w:val="center"/>
              <w:rPr>
                <w:rFonts w:cs="Calibri"/>
                <w:b/>
                <w:bCs/>
                <w:color w:val="000000"/>
                <w:sz w:val="15"/>
                <w:szCs w:val="15"/>
                <w:lang w:eastAsia="cs-CZ"/>
              </w:rPr>
            </w:pPr>
            <w:r w:rsidRPr="00964C83">
              <w:rPr>
                <w:rFonts w:cs="Calibri"/>
                <w:b/>
                <w:bCs/>
                <w:color w:val="000000"/>
                <w:sz w:val="15"/>
                <w:szCs w:val="15"/>
              </w:rPr>
              <w:t>IČO</w:t>
            </w:r>
          </w:p>
        </w:tc>
        <w:tc>
          <w:tcPr>
            <w:tcW w:w="2268"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08BBD2CB" w14:textId="77777777" w:rsidR="003C6695" w:rsidRPr="00964C83" w:rsidRDefault="003C6695" w:rsidP="003C6695">
            <w:pPr>
              <w:keepNext/>
              <w:spacing w:after="0"/>
              <w:jc w:val="center"/>
              <w:rPr>
                <w:rFonts w:cs="Calibri"/>
                <w:b/>
                <w:bCs/>
                <w:color w:val="000000"/>
                <w:sz w:val="15"/>
                <w:szCs w:val="15"/>
                <w:lang w:eastAsia="cs-CZ"/>
              </w:rPr>
            </w:pPr>
            <w:r w:rsidRPr="00964C83">
              <w:rPr>
                <w:rFonts w:cs="Calibri"/>
                <w:b/>
                <w:bCs/>
                <w:color w:val="000000"/>
                <w:sz w:val="15"/>
                <w:szCs w:val="15"/>
              </w:rPr>
              <w:t>Účetní jednotka</w:t>
            </w:r>
          </w:p>
        </w:tc>
        <w:tc>
          <w:tcPr>
            <w:tcW w:w="1191" w:type="dxa"/>
            <w:tcBorders>
              <w:top w:val="single" w:sz="4" w:space="0" w:color="auto"/>
              <w:left w:val="nil"/>
              <w:bottom w:val="single" w:sz="4" w:space="0" w:color="auto"/>
              <w:right w:val="single" w:sz="4" w:space="0" w:color="auto"/>
            </w:tcBorders>
            <w:shd w:val="clear" w:color="auto" w:fill="E5F1FF"/>
            <w:noWrap/>
            <w:vAlign w:val="center"/>
            <w:hideMark/>
          </w:tcPr>
          <w:p w14:paraId="28926F84" w14:textId="77777777" w:rsidR="003C6695" w:rsidRPr="00964C83" w:rsidRDefault="003C6695" w:rsidP="003C6695">
            <w:pPr>
              <w:keepNext/>
              <w:spacing w:after="0"/>
              <w:jc w:val="center"/>
              <w:rPr>
                <w:rFonts w:cs="Calibri"/>
                <w:b/>
                <w:bCs/>
                <w:color w:val="000000"/>
                <w:sz w:val="15"/>
                <w:szCs w:val="15"/>
                <w:lang w:eastAsia="cs-CZ"/>
              </w:rPr>
            </w:pPr>
            <w:r w:rsidRPr="00964C83">
              <w:rPr>
                <w:rFonts w:cs="Calibri"/>
                <w:b/>
                <w:bCs/>
                <w:color w:val="000000"/>
                <w:sz w:val="15"/>
                <w:szCs w:val="15"/>
              </w:rPr>
              <w:t>2016</w:t>
            </w:r>
          </w:p>
        </w:tc>
        <w:tc>
          <w:tcPr>
            <w:tcW w:w="1191" w:type="dxa"/>
            <w:tcBorders>
              <w:top w:val="single" w:sz="4" w:space="0" w:color="auto"/>
              <w:left w:val="nil"/>
              <w:bottom w:val="single" w:sz="4" w:space="0" w:color="auto"/>
              <w:right w:val="single" w:sz="4" w:space="0" w:color="auto"/>
            </w:tcBorders>
            <w:shd w:val="clear" w:color="auto" w:fill="E5F1FF"/>
            <w:noWrap/>
            <w:vAlign w:val="center"/>
            <w:hideMark/>
          </w:tcPr>
          <w:p w14:paraId="14CCF685" w14:textId="77777777" w:rsidR="003C6695" w:rsidRPr="00964C83" w:rsidRDefault="003C6695" w:rsidP="003C6695">
            <w:pPr>
              <w:keepNext/>
              <w:spacing w:after="0"/>
              <w:jc w:val="center"/>
              <w:rPr>
                <w:rFonts w:cs="Calibri"/>
                <w:b/>
                <w:bCs/>
                <w:color w:val="000000"/>
                <w:sz w:val="15"/>
                <w:szCs w:val="15"/>
                <w:lang w:eastAsia="cs-CZ"/>
              </w:rPr>
            </w:pPr>
            <w:r w:rsidRPr="00964C83">
              <w:rPr>
                <w:rFonts w:cs="Calibri"/>
                <w:b/>
                <w:bCs/>
                <w:color w:val="000000"/>
                <w:sz w:val="15"/>
                <w:szCs w:val="15"/>
              </w:rPr>
              <w:t>2017</w:t>
            </w:r>
          </w:p>
        </w:tc>
        <w:tc>
          <w:tcPr>
            <w:tcW w:w="1191" w:type="dxa"/>
            <w:tcBorders>
              <w:top w:val="single" w:sz="4" w:space="0" w:color="auto"/>
              <w:left w:val="nil"/>
              <w:bottom w:val="single" w:sz="4" w:space="0" w:color="auto"/>
              <w:right w:val="single" w:sz="4" w:space="0" w:color="auto"/>
            </w:tcBorders>
            <w:shd w:val="clear" w:color="auto" w:fill="E5F1FF"/>
            <w:noWrap/>
            <w:vAlign w:val="center"/>
            <w:hideMark/>
          </w:tcPr>
          <w:p w14:paraId="1619FE72" w14:textId="77777777" w:rsidR="003C6695" w:rsidRPr="00964C83" w:rsidRDefault="003C6695" w:rsidP="003C6695">
            <w:pPr>
              <w:keepNext/>
              <w:spacing w:after="0"/>
              <w:jc w:val="center"/>
              <w:rPr>
                <w:rFonts w:cs="Calibri"/>
                <w:b/>
                <w:bCs/>
                <w:color w:val="000000"/>
                <w:sz w:val="15"/>
                <w:szCs w:val="15"/>
                <w:lang w:eastAsia="cs-CZ"/>
              </w:rPr>
            </w:pPr>
            <w:r w:rsidRPr="00964C83">
              <w:rPr>
                <w:rFonts w:cs="Calibri"/>
                <w:b/>
                <w:bCs/>
                <w:color w:val="000000"/>
                <w:sz w:val="15"/>
                <w:szCs w:val="15"/>
              </w:rPr>
              <w:t>2018</w:t>
            </w:r>
          </w:p>
        </w:tc>
        <w:tc>
          <w:tcPr>
            <w:tcW w:w="1191" w:type="dxa"/>
            <w:tcBorders>
              <w:top w:val="single" w:sz="4" w:space="0" w:color="auto"/>
              <w:left w:val="nil"/>
              <w:bottom w:val="single" w:sz="4" w:space="0" w:color="auto"/>
              <w:right w:val="single" w:sz="4" w:space="0" w:color="auto"/>
            </w:tcBorders>
            <w:shd w:val="clear" w:color="auto" w:fill="E5F1FF"/>
            <w:noWrap/>
            <w:vAlign w:val="center"/>
            <w:hideMark/>
          </w:tcPr>
          <w:p w14:paraId="7E4322BE" w14:textId="77777777" w:rsidR="003C6695" w:rsidRPr="00964C83" w:rsidRDefault="003C6695" w:rsidP="003C6695">
            <w:pPr>
              <w:keepNext/>
              <w:spacing w:after="0"/>
              <w:jc w:val="center"/>
              <w:rPr>
                <w:rFonts w:cs="Calibri"/>
                <w:b/>
                <w:bCs/>
                <w:color w:val="000000"/>
                <w:sz w:val="15"/>
                <w:szCs w:val="15"/>
                <w:lang w:eastAsia="cs-CZ"/>
              </w:rPr>
            </w:pPr>
            <w:r w:rsidRPr="00964C83">
              <w:rPr>
                <w:rFonts w:cs="Calibri"/>
                <w:b/>
                <w:bCs/>
                <w:color w:val="000000"/>
                <w:sz w:val="15"/>
                <w:szCs w:val="15"/>
              </w:rPr>
              <w:t>2019</w:t>
            </w:r>
          </w:p>
        </w:tc>
        <w:tc>
          <w:tcPr>
            <w:tcW w:w="1191" w:type="dxa"/>
            <w:tcBorders>
              <w:top w:val="single" w:sz="4" w:space="0" w:color="auto"/>
              <w:left w:val="nil"/>
              <w:bottom w:val="single" w:sz="4" w:space="0" w:color="auto"/>
              <w:right w:val="single" w:sz="4" w:space="0" w:color="auto"/>
            </w:tcBorders>
            <w:shd w:val="clear" w:color="auto" w:fill="E5F1FF"/>
            <w:vAlign w:val="center"/>
          </w:tcPr>
          <w:p w14:paraId="7098D03A" w14:textId="77777777" w:rsidR="003C6695" w:rsidRPr="00964C83" w:rsidRDefault="003C6695" w:rsidP="003C6695">
            <w:pPr>
              <w:keepNext/>
              <w:spacing w:after="0"/>
              <w:jc w:val="center"/>
              <w:rPr>
                <w:rFonts w:cs="Calibri"/>
                <w:b/>
                <w:bCs/>
                <w:color w:val="000000"/>
                <w:sz w:val="15"/>
                <w:szCs w:val="15"/>
                <w:lang w:eastAsia="cs-CZ"/>
              </w:rPr>
            </w:pPr>
            <w:r w:rsidRPr="00964C83">
              <w:rPr>
                <w:rFonts w:cs="Calibri"/>
                <w:b/>
                <w:bCs/>
                <w:color w:val="000000"/>
                <w:sz w:val="15"/>
                <w:szCs w:val="15"/>
              </w:rPr>
              <w:t>2020</w:t>
            </w:r>
          </w:p>
        </w:tc>
      </w:tr>
      <w:tr w:rsidR="003C6695" w:rsidRPr="00964C83" w14:paraId="183A87B4" w14:textId="77777777" w:rsidTr="000412D1">
        <w:trPr>
          <w:trHeight w:val="255"/>
          <w:jc w:val="center"/>
        </w:trPr>
        <w:tc>
          <w:tcPr>
            <w:tcW w:w="794" w:type="dxa"/>
            <w:tcBorders>
              <w:top w:val="nil"/>
              <w:left w:val="single" w:sz="4" w:space="0" w:color="auto"/>
              <w:bottom w:val="single" w:sz="4" w:space="0" w:color="auto"/>
              <w:right w:val="single" w:sz="4" w:space="0" w:color="auto"/>
            </w:tcBorders>
            <w:vAlign w:val="center"/>
          </w:tcPr>
          <w:p w14:paraId="110C8BBC" w14:textId="648A5A44" w:rsidR="003C6695" w:rsidRPr="00964C83" w:rsidRDefault="003C6695" w:rsidP="003C6695">
            <w:pPr>
              <w:keepNext/>
              <w:spacing w:after="0"/>
              <w:jc w:val="center"/>
              <w:rPr>
                <w:rFonts w:eastAsia="Calibri" w:cs="Calibri"/>
                <w:color w:val="000000"/>
                <w:sz w:val="15"/>
                <w:szCs w:val="15"/>
              </w:rPr>
            </w:pPr>
            <w:r w:rsidRPr="0059487C">
              <w:rPr>
                <w:color w:val="000000"/>
                <w:sz w:val="16"/>
                <w:szCs w:val="16"/>
              </w:rPr>
              <w:t>05108861</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29596D63" w14:textId="3F811EA6" w:rsidR="003C6695" w:rsidRPr="003C6695" w:rsidRDefault="003C6695" w:rsidP="003C6695">
            <w:pPr>
              <w:keepNext/>
              <w:spacing w:after="0"/>
              <w:rPr>
                <w:rFonts w:eastAsia="Calibri" w:cs="Calibri"/>
                <w:color w:val="000000"/>
                <w:sz w:val="15"/>
                <w:szCs w:val="15"/>
              </w:rPr>
            </w:pPr>
            <w:r w:rsidRPr="003C6695">
              <w:rPr>
                <w:color w:val="000000"/>
                <w:sz w:val="15"/>
                <w:szCs w:val="15"/>
              </w:rPr>
              <w:t>Agentura pro podnikání a inovace</w:t>
            </w:r>
          </w:p>
        </w:tc>
        <w:tc>
          <w:tcPr>
            <w:tcW w:w="1191" w:type="dxa"/>
            <w:tcBorders>
              <w:top w:val="nil"/>
              <w:left w:val="nil"/>
              <w:bottom w:val="single" w:sz="4" w:space="0" w:color="auto"/>
              <w:right w:val="single" w:sz="4" w:space="0" w:color="auto"/>
            </w:tcBorders>
            <w:shd w:val="clear" w:color="auto" w:fill="auto"/>
            <w:noWrap/>
            <w:vAlign w:val="center"/>
          </w:tcPr>
          <w:p w14:paraId="66C62A62" w14:textId="03E04323" w:rsidR="003C6695" w:rsidRPr="00B36253" w:rsidRDefault="003C6695" w:rsidP="003C6695">
            <w:pPr>
              <w:keepNext/>
              <w:spacing w:after="0"/>
              <w:ind w:left="-28" w:right="-28"/>
              <w:jc w:val="right"/>
              <w:rPr>
                <w:rFonts w:eastAsia="Calibri" w:cs="Calibri"/>
                <w:color w:val="000000"/>
                <w:sz w:val="15"/>
                <w:szCs w:val="15"/>
              </w:rPr>
            </w:pPr>
            <w:r w:rsidRPr="0059487C">
              <w:rPr>
                <w:color w:val="000000"/>
                <w:sz w:val="16"/>
                <w:szCs w:val="16"/>
              </w:rPr>
              <w:t>9 963 398,00</w:t>
            </w:r>
          </w:p>
        </w:tc>
        <w:tc>
          <w:tcPr>
            <w:tcW w:w="1191" w:type="dxa"/>
            <w:tcBorders>
              <w:top w:val="nil"/>
              <w:left w:val="nil"/>
              <w:bottom w:val="single" w:sz="4" w:space="0" w:color="auto"/>
              <w:right w:val="single" w:sz="4" w:space="0" w:color="auto"/>
            </w:tcBorders>
            <w:shd w:val="clear" w:color="auto" w:fill="auto"/>
            <w:noWrap/>
            <w:vAlign w:val="center"/>
          </w:tcPr>
          <w:p w14:paraId="5B54CD03" w14:textId="3607B7D7"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18 309 000,00</w:t>
            </w:r>
          </w:p>
        </w:tc>
        <w:tc>
          <w:tcPr>
            <w:tcW w:w="1191" w:type="dxa"/>
            <w:tcBorders>
              <w:top w:val="nil"/>
              <w:left w:val="nil"/>
              <w:bottom w:val="single" w:sz="4" w:space="0" w:color="auto"/>
              <w:right w:val="single" w:sz="4" w:space="0" w:color="auto"/>
            </w:tcBorders>
            <w:shd w:val="clear" w:color="auto" w:fill="auto"/>
            <w:noWrap/>
            <w:vAlign w:val="center"/>
          </w:tcPr>
          <w:p w14:paraId="5F49DD01" w14:textId="5356C50A"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17 309 000,00</w:t>
            </w:r>
          </w:p>
        </w:tc>
        <w:tc>
          <w:tcPr>
            <w:tcW w:w="1191" w:type="dxa"/>
            <w:tcBorders>
              <w:top w:val="nil"/>
              <w:left w:val="nil"/>
              <w:bottom w:val="single" w:sz="4" w:space="0" w:color="auto"/>
              <w:right w:val="single" w:sz="4" w:space="0" w:color="auto"/>
            </w:tcBorders>
            <w:shd w:val="clear" w:color="auto" w:fill="auto"/>
            <w:noWrap/>
            <w:vAlign w:val="center"/>
          </w:tcPr>
          <w:p w14:paraId="2FB0654D" w14:textId="0D617000"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17 309 000,00</w:t>
            </w:r>
          </w:p>
        </w:tc>
        <w:tc>
          <w:tcPr>
            <w:tcW w:w="1191" w:type="dxa"/>
            <w:tcBorders>
              <w:top w:val="nil"/>
              <w:left w:val="nil"/>
              <w:bottom w:val="single" w:sz="4" w:space="0" w:color="auto"/>
              <w:right w:val="single" w:sz="4" w:space="0" w:color="auto"/>
            </w:tcBorders>
            <w:vAlign w:val="center"/>
          </w:tcPr>
          <w:p w14:paraId="1D2B1111" w14:textId="50EF82F8"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16 419 056,00</w:t>
            </w:r>
          </w:p>
        </w:tc>
      </w:tr>
      <w:tr w:rsidR="003C6695" w:rsidRPr="00964C83" w14:paraId="50850E78" w14:textId="77777777" w:rsidTr="000412D1">
        <w:trPr>
          <w:trHeight w:val="255"/>
          <w:jc w:val="center"/>
        </w:trPr>
        <w:tc>
          <w:tcPr>
            <w:tcW w:w="794" w:type="dxa"/>
            <w:tcBorders>
              <w:top w:val="single" w:sz="4" w:space="0" w:color="auto"/>
              <w:left w:val="single" w:sz="4" w:space="0" w:color="auto"/>
              <w:bottom w:val="single" w:sz="4" w:space="0" w:color="auto"/>
              <w:right w:val="single" w:sz="4" w:space="0" w:color="auto"/>
            </w:tcBorders>
            <w:vAlign w:val="center"/>
          </w:tcPr>
          <w:p w14:paraId="1874C5A8" w14:textId="1A371BDA" w:rsidR="003C6695" w:rsidRPr="00964C83" w:rsidRDefault="003C6695" w:rsidP="003C6695">
            <w:pPr>
              <w:keepNext/>
              <w:spacing w:after="0"/>
              <w:jc w:val="center"/>
              <w:rPr>
                <w:rFonts w:eastAsia="Calibri" w:cs="Calibri"/>
                <w:color w:val="000000"/>
                <w:sz w:val="15"/>
                <w:szCs w:val="15"/>
              </w:rPr>
            </w:pPr>
            <w:r w:rsidRPr="0059487C">
              <w:rPr>
                <w:color w:val="000000"/>
                <w:sz w:val="16"/>
                <w:szCs w:val="16"/>
              </w:rPr>
              <w:t>71377999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F7986" w14:textId="1949FE2B" w:rsidR="003C6695" w:rsidRPr="003C6695" w:rsidRDefault="003C6695" w:rsidP="003C6695">
            <w:pPr>
              <w:keepNext/>
              <w:spacing w:after="0"/>
              <w:rPr>
                <w:rFonts w:eastAsia="Calibri" w:cs="Calibri"/>
                <w:color w:val="000000"/>
                <w:sz w:val="15"/>
                <w:szCs w:val="15"/>
              </w:rPr>
            </w:pPr>
            <w:r w:rsidRPr="003C6695">
              <w:rPr>
                <w:color w:val="000000"/>
                <w:sz w:val="15"/>
                <w:szCs w:val="15"/>
              </w:rPr>
              <w:t>Agentura pro podporu podnikání a</w:t>
            </w:r>
            <w:r>
              <w:rPr>
                <w:color w:val="000000"/>
                <w:sz w:val="15"/>
                <w:szCs w:val="15"/>
              </w:rPr>
              <w:t> </w:t>
            </w:r>
            <w:r w:rsidRPr="003C6695">
              <w:rPr>
                <w:color w:val="000000"/>
                <w:sz w:val="15"/>
                <w:szCs w:val="15"/>
              </w:rPr>
              <w:t xml:space="preserve">investic </w:t>
            </w:r>
            <w:proofErr w:type="spellStart"/>
            <w:r w:rsidRPr="003C6695">
              <w:rPr>
                <w:color w:val="000000"/>
                <w:sz w:val="15"/>
                <w:szCs w:val="15"/>
              </w:rPr>
              <w:t>CzechInvest</w:t>
            </w:r>
            <w:proofErr w:type="spellEnd"/>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C75EC0F" w14:textId="4561D0AB" w:rsidR="003C6695" w:rsidRPr="00B36253" w:rsidRDefault="003C6695" w:rsidP="003C6695">
            <w:pPr>
              <w:keepNext/>
              <w:spacing w:after="0"/>
              <w:ind w:left="-28" w:right="-28"/>
              <w:jc w:val="right"/>
              <w:rPr>
                <w:rFonts w:eastAsia="Calibri" w:cs="Calibri"/>
                <w:color w:val="000000"/>
                <w:sz w:val="15"/>
                <w:szCs w:val="15"/>
              </w:rPr>
            </w:pPr>
            <w:r w:rsidRPr="0059487C">
              <w:rPr>
                <w:color w:val="000000"/>
                <w:sz w:val="16"/>
                <w:szCs w:val="16"/>
              </w:rPr>
              <w:t>205 549 768,00</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2EDE83F" w14:textId="1021A129"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256 406 917,91</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0BF388D7" w14:textId="5C085B02"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224 885 813,93</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8D54C51" w14:textId="36A4BDD4"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227 785 825,78</w:t>
            </w:r>
          </w:p>
        </w:tc>
        <w:tc>
          <w:tcPr>
            <w:tcW w:w="1191" w:type="dxa"/>
            <w:tcBorders>
              <w:top w:val="single" w:sz="4" w:space="0" w:color="auto"/>
              <w:left w:val="nil"/>
              <w:bottom w:val="single" w:sz="4" w:space="0" w:color="auto"/>
              <w:right w:val="single" w:sz="4" w:space="0" w:color="auto"/>
            </w:tcBorders>
            <w:vAlign w:val="center"/>
          </w:tcPr>
          <w:p w14:paraId="49DD7958" w14:textId="244827C4"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198 288 308,82</w:t>
            </w:r>
          </w:p>
        </w:tc>
      </w:tr>
      <w:tr w:rsidR="003C6695" w:rsidRPr="00964C83" w14:paraId="5A1FFF98" w14:textId="77777777" w:rsidTr="000412D1">
        <w:trPr>
          <w:trHeight w:val="255"/>
          <w:jc w:val="center"/>
        </w:trPr>
        <w:tc>
          <w:tcPr>
            <w:tcW w:w="794" w:type="dxa"/>
            <w:tcBorders>
              <w:top w:val="single" w:sz="4" w:space="0" w:color="auto"/>
              <w:left w:val="single" w:sz="4" w:space="0" w:color="auto"/>
              <w:bottom w:val="single" w:sz="4" w:space="0" w:color="auto"/>
              <w:right w:val="single" w:sz="4" w:space="0" w:color="auto"/>
            </w:tcBorders>
            <w:vAlign w:val="center"/>
          </w:tcPr>
          <w:p w14:paraId="1B88E1D8" w14:textId="23BCC3A3" w:rsidR="003C6695" w:rsidRPr="00964C83" w:rsidRDefault="003C6695" w:rsidP="003C6695">
            <w:pPr>
              <w:keepNext/>
              <w:spacing w:after="0"/>
              <w:jc w:val="center"/>
              <w:rPr>
                <w:rFonts w:eastAsia="Calibri" w:cs="Calibri"/>
                <w:color w:val="000000"/>
                <w:sz w:val="15"/>
                <w:szCs w:val="15"/>
              </w:rPr>
            </w:pPr>
            <w:r w:rsidRPr="0059487C">
              <w:rPr>
                <w:color w:val="000000"/>
                <w:sz w:val="16"/>
                <w:szCs w:val="16"/>
              </w:rPr>
              <w:t>00001171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CE38C" w14:textId="586CE8CD" w:rsidR="003C6695" w:rsidRPr="003C6695" w:rsidRDefault="003C6695" w:rsidP="003C6695">
            <w:pPr>
              <w:keepNext/>
              <w:spacing w:after="0"/>
              <w:rPr>
                <w:rFonts w:eastAsia="Calibri" w:cs="Calibri"/>
                <w:color w:val="000000"/>
                <w:sz w:val="15"/>
                <w:szCs w:val="15"/>
              </w:rPr>
            </w:pPr>
            <w:r w:rsidRPr="003C6695">
              <w:rPr>
                <w:color w:val="000000"/>
                <w:sz w:val="15"/>
                <w:szCs w:val="15"/>
              </w:rPr>
              <w:t>Česká agentura na podporu obchodu</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9C26806" w14:textId="16196505" w:rsidR="003C6695" w:rsidRPr="00B36253" w:rsidRDefault="003C6695" w:rsidP="003C6695">
            <w:pPr>
              <w:keepNext/>
              <w:spacing w:after="0"/>
              <w:ind w:left="-28" w:right="-28"/>
              <w:jc w:val="right"/>
              <w:rPr>
                <w:rFonts w:eastAsia="Calibri" w:cs="Calibri"/>
                <w:color w:val="000000"/>
                <w:sz w:val="15"/>
                <w:szCs w:val="15"/>
              </w:rPr>
            </w:pPr>
            <w:r w:rsidRPr="0059487C">
              <w:rPr>
                <w:color w:val="000000"/>
                <w:sz w:val="16"/>
                <w:szCs w:val="16"/>
              </w:rPr>
              <w:t>254 117 121,00</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21D72E3" w14:textId="62D31FD0"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369 798 579,00</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ECD5DF5" w14:textId="1BDA0DEF"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290 518 060,00</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79A64A2" w14:textId="3E95E831"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285 890 995,00</w:t>
            </w:r>
          </w:p>
        </w:tc>
        <w:tc>
          <w:tcPr>
            <w:tcW w:w="1191" w:type="dxa"/>
            <w:tcBorders>
              <w:top w:val="single" w:sz="4" w:space="0" w:color="auto"/>
              <w:left w:val="nil"/>
              <w:bottom w:val="single" w:sz="4" w:space="0" w:color="auto"/>
              <w:right w:val="single" w:sz="4" w:space="0" w:color="auto"/>
            </w:tcBorders>
            <w:vAlign w:val="center"/>
          </w:tcPr>
          <w:p w14:paraId="59137297" w14:textId="5AC782B6"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297 032 616,00</w:t>
            </w:r>
          </w:p>
        </w:tc>
      </w:tr>
      <w:tr w:rsidR="003C6695" w:rsidRPr="00964C83" w14:paraId="34171416" w14:textId="77777777" w:rsidTr="000412D1">
        <w:trPr>
          <w:trHeight w:val="255"/>
          <w:jc w:val="center"/>
        </w:trPr>
        <w:tc>
          <w:tcPr>
            <w:tcW w:w="794" w:type="dxa"/>
            <w:tcBorders>
              <w:top w:val="single" w:sz="4" w:space="0" w:color="auto"/>
              <w:left w:val="single" w:sz="4" w:space="0" w:color="auto"/>
              <w:bottom w:val="single" w:sz="4" w:space="0" w:color="auto"/>
              <w:right w:val="single" w:sz="4" w:space="0" w:color="auto"/>
            </w:tcBorders>
            <w:vAlign w:val="center"/>
          </w:tcPr>
          <w:p w14:paraId="189D43E9" w14:textId="6392C755" w:rsidR="003C6695" w:rsidRPr="00964C83" w:rsidRDefault="003C6695" w:rsidP="003C6695">
            <w:pPr>
              <w:keepNext/>
              <w:spacing w:after="0"/>
              <w:jc w:val="center"/>
              <w:rPr>
                <w:rFonts w:eastAsia="Calibri" w:cs="Calibri"/>
                <w:color w:val="000000"/>
                <w:sz w:val="15"/>
                <w:szCs w:val="15"/>
              </w:rPr>
            </w:pPr>
            <w:r w:rsidRPr="0059487C">
              <w:rPr>
                <w:color w:val="000000"/>
                <w:sz w:val="16"/>
                <w:szCs w:val="16"/>
              </w:rPr>
              <w:t>06578705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30561" w14:textId="6079A8AE" w:rsidR="003C6695" w:rsidRPr="003C6695" w:rsidRDefault="003C6695" w:rsidP="003C6695">
            <w:pPr>
              <w:keepNext/>
              <w:spacing w:after="0"/>
              <w:rPr>
                <w:rFonts w:eastAsia="Calibri" w:cs="Calibri"/>
                <w:color w:val="000000"/>
                <w:sz w:val="15"/>
                <w:szCs w:val="15"/>
              </w:rPr>
            </w:pPr>
            <w:r w:rsidRPr="003C6695">
              <w:rPr>
                <w:color w:val="000000"/>
                <w:sz w:val="15"/>
                <w:szCs w:val="15"/>
              </w:rPr>
              <w:t>Česká agentura pro standardizaci</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A323BDE" w14:textId="7F81C0B4" w:rsidR="003C6695" w:rsidRPr="00B36253" w:rsidRDefault="003C6695" w:rsidP="003C6695">
            <w:pPr>
              <w:keepNext/>
              <w:spacing w:after="0"/>
              <w:ind w:left="-28" w:right="-28"/>
              <w:jc w:val="right"/>
              <w:rPr>
                <w:rFonts w:eastAsia="Calibri" w:cs="Calibri"/>
                <w:color w:val="000000"/>
                <w:sz w:val="15"/>
                <w:szCs w:val="15"/>
              </w:rPr>
            </w:pPr>
            <w:r w:rsidRPr="0059487C">
              <w:rPr>
                <w:color w:val="000000"/>
                <w:sz w:val="16"/>
                <w:szCs w:val="16"/>
              </w:rPr>
              <w:t>x </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42FA77C" w14:textId="0ED192E2"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x </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339395B" w14:textId="2F5C1DC1"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22 900 000,00</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55A34E6" w14:textId="01184FA7"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15 000 000,00</w:t>
            </w:r>
          </w:p>
        </w:tc>
        <w:tc>
          <w:tcPr>
            <w:tcW w:w="1191" w:type="dxa"/>
            <w:tcBorders>
              <w:top w:val="single" w:sz="4" w:space="0" w:color="auto"/>
              <w:left w:val="nil"/>
              <w:bottom w:val="single" w:sz="4" w:space="0" w:color="auto"/>
              <w:right w:val="single" w:sz="4" w:space="0" w:color="auto"/>
            </w:tcBorders>
            <w:vAlign w:val="center"/>
          </w:tcPr>
          <w:p w14:paraId="10AC110F" w14:textId="4F9B43D3"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25 768 064,80</w:t>
            </w:r>
          </w:p>
        </w:tc>
      </w:tr>
      <w:tr w:rsidR="003C6695" w:rsidRPr="00964C83" w14:paraId="3EFB3F53" w14:textId="77777777" w:rsidTr="000412D1">
        <w:trPr>
          <w:trHeight w:val="255"/>
          <w:jc w:val="center"/>
        </w:trPr>
        <w:tc>
          <w:tcPr>
            <w:tcW w:w="794" w:type="dxa"/>
            <w:tcBorders>
              <w:top w:val="single" w:sz="4" w:space="0" w:color="auto"/>
              <w:left w:val="single" w:sz="4" w:space="0" w:color="auto"/>
              <w:bottom w:val="single" w:sz="4" w:space="0" w:color="auto"/>
              <w:right w:val="single" w:sz="4" w:space="0" w:color="auto"/>
            </w:tcBorders>
            <w:vAlign w:val="center"/>
          </w:tcPr>
          <w:p w14:paraId="746A6D33" w14:textId="45B88C4E" w:rsidR="003C6695" w:rsidRPr="00964C83" w:rsidRDefault="003C6695" w:rsidP="003C6695">
            <w:pPr>
              <w:keepNext/>
              <w:spacing w:after="0"/>
              <w:jc w:val="center"/>
              <w:rPr>
                <w:rFonts w:eastAsia="Calibri" w:cs="Calibri"/>
                <w:color w:val="000000"/>
                <w:sz w:val="15"/>
                <w:szCs w:val="15"/>
              </w:rPr>
            </w:pPr>
            <w:r w:rsidRPr="0059487C">
              <w:rPr>
                <w:color w:val="000000"/>
                <w:sz w:val="16"/>
                <w:szCs w:val="16"/>
              </w:rPr>
              <w:t>00177016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C3C3B" w14:textId="27F944E1" w:rsidR="003C6695" w:rsidRPr="003C6695" w:rsidRDefault="003C6695" w:rsidP="003C6695">
            <w:pPr>
              <w:keepNext/>
              <w:spacing w:after="0"/>
              <w:rPr>
                <w:rFonts w:eastAsia="Calibri" w:cs="Calibri"/>
                <w:color w:val="000000"/>
                <w:sz w:val="15"/>
                <w:szCs w:val="15"/>
              </w:rPr>
            </w:pPr>
            <w:r w:rsidRPr="003C6695">
              <w:rPr>
                <w:color w:val="000000"/>
                <w:sz w:val="15"/>
                <w:szCs w:val="15"/>
              </w:rPr>
              <w:t>Český metrologický institut</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4ECF8344" w14:textId="30974C04" w:rsidR="003C6695" w:rsidRPr="00B36253" w:rsidRDefault="003C6695" w:rsidP="003C6695">
            <w:pPr>
              <w:keepNext/>
              <w:spacing w:after="0"/>
              <w:ind w:left="-28" w:right="-28"/>
              <w:jc w:val="right"/>
              <w:rPr>
                <w:rFonts w:eastAsia="Calibri" w:cs="Calibri"/>
                <w:color w:val="000000"/>
                <w:sz w:val="15"/>
                <w:szCs w:val="15"/>
              </w:rPr>
            </w:pPr>
            <w:r w:rsidRPr="0059487C">
              <w:rPr>
                <w:color w:val="000000"/>
                <w:sz w:val="16"/>
                <w:szCs w:val="16"/>
              </w:rPr>
              <w:t>52 140 000,00</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09EBADC2" w14:textId="7BBFC43E"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92 366 920,00</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175AE17" w14:textId="3A0F7C7E"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137 248 099,00</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0AA46E31" w14:textId="3110E704"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100 980 000,00</w:t>
            </w:r>
          </w:p>
        </w:tc>
        <w:tc>
          <w:tcPr>
            <w:tcW w:w="1191" w:type="dxa"/>
            <w:tcBorders>
              <w:top w:val="single" w:sz="4" w:space="0" w:color="auto"/>
              <w:left w:val="nil"/>
              <w:bottom w:val="single" w:sz="4" w:space="0" w:color="auto"/>
              <w:right w:val="single" w:sz="4" w:space="0" w:color="auto"/>
            </w:tcBorders>
            <w:vAlign w:val="center"/>
          </w:tcPr>
          <w:p w14:paraId="61240C5D" w14:textId="43EF222F"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85 842 425,60</w:t>
            </w:r>
          </w:p>
        </w:tc>
      </w:tr>
      <w:tr w:rsidR="003C6695" w:rsidRPr="00964C83" w14:paraId="791ABC98" w14:textId="77777777" w:rsidTr="000412D1">
        <w:trPr>
          <w:trHeight w:val="255"/>
          <w:jc w:val="center"/>
        </w:trPr>
        <w:tc>
          <w:tcPr>
            <w:tcW w:w="794" w:type="dxa"/>
            <w:tcBorders>
              <w:top w:val="single" w:sz="4" w:space="0" w:color="auto"/>
              <w:left w:val="single" w:sz="4" w:space="0" w:color="auto"/>
              <w:bottom w:val="single" w:sz="4" w:space="0" w:color="auto"/>
              <w:right w:val="single" w:sz="4" w:space="0" w:color="auto"/>
            </w:tcBorders>
            <w:vAlign w:val="center"/>
          </w:tcPr>
          <w:p w14:paraId="47B93070" w14:textId="0ADDC573" w:rsidR="003C6695" w:rsidRPr="00964C83" w:rsidRDefault="003C6695" w:rsidP="003C6695">
            <w:pPr>
              <w:keepNext/>
              <w:spacing w:after="0"/>
              <w:jc w:val="center"/>
              <w:rPr>
                <w:rFonts w:eastAsia="Calibri" w:cs="Calibri"/>
                <w:color w:val="000000"/>
                <w:sz w:val="15"/>
                <w:szCs w:val="15"/>
              </w:rPr>
            </w:pPr>
            <w:r w:rsidRPr="0059487C">
              <w:rPr>
                <w:color w:val="000000"/>
                <w:sz w:val="16"/>
                <w:szCs w:val="16"/>
              </w:rPr>
              <w:t>61382060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41800" w14:textId="07F46DAB" w:rsidR="003C6695" w:rsidRPr="003C6695" w:rsidRDefault="003C6695" w:rsidP="003C6695">
            <w:pPr>
              <w:keepNext/>
              <w:spacing w:after="0"/>
              <w:rPr>
                <w:rFonts w:eastAsia="Calibri" w:cs="Calibri"/>
                <w:color w:val="000000"/>
                <w:sz w:val="15"/>
                <w:szCs w:val="15"/>
              </w:rPr>
            </w:pPr>
            <w:r w:rsidRPr="003C6695">
              <w:rPr>
                <w:color w:val="000000"/>
                <w:sz w:val="15"/>
                <w:szCs w:val="15"/>
              </w:rPr>
              <w:t>Správa služeb Ministerstva průmyslu a obchodu ČR</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4996D46" w14:textId="23BC0419" w:rsidR="003C6695" w:rsidRPr="00B36253" w:rsidRDefault="003C6695" w:rsidP="003C6695">
            <w:pPr>
              <w:keepNext/>
              <w:spacing w:after="0"/>
              <w:ind w:left="-28" w:right="-28"/>
              <w:jc w:val="right"/>
              <w:rPr>
                <w:rFonts w:eastAsia="Calibri" w:cs="Calibri"/>
                <w:color w:val="000000"/>
                <w:sz w:val="15"/>
                <w:szCs w:val="15"/>
              </w:rPr>
            </w:pPr>
            <w:r w:rsidRPr="0059487C">
              <w:rPr>
                <w:color w:val="000000"/>
                <w:sz w:val="16"/>
                <w:szCs w:val="16"/>
              </w:rPr>
              <w:t>23 549 115,00</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D01F5E3" w14:textId="3EFBDB2F"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24 241 841,00</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4F42EF0A" w14:textId="2F39A379"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26 072 808,00</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5D929EC" w14:textId="4C4F58E7"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27 618 253,00</w:t>
            </w:r>
          </w:p>
        </w:tc>
        <w:tc>
          <w:tcPr>
            <w:tcW w:w="1191" w:type="dxa"/>
            <w:tcBorders>
              <w:top w:val="single" w:sz="4" w:space="0" w:color="auto"/>
              <w:left w:val="nil"/>
              <w:bottom w:val="single" w:sz="4" w:space="0" w:color="auto"/>
              <w:right w:val="single" w:sz="4" w:space="0" w:color="auto"/>
            </w:tcBorders>
            <w:vAlign w:val="center"/>
          </w:tcPr>
          <w:p w14:paraId="072A3408" w14:textId="2EA3A826"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42 654 840,83</w:t>
            </w:r>
          </w:p>
        </w:tc>
      </w:tr>
      <w:tr w:rsidR="003C6695" w:rsidRPr="00964C83" w14:paraId="601D1190" w14:textId="77777777" w:rsidTr="000412D1">
        <w:trPr>
          <w:trHeight w:val="255"/>
          <w:jc w:val="center"/>
        </w:trPr>
        <w:tc>
          <w:tcPr>
            <w:tcW w:w="794" w:type="dxa"/>
            <w:tcBorders>
              <w:top w:val="single" w:sz="4" w:space="0" w:color="auto"/>
              <w:left w:val="single" w:sz="4" w:space="0" w:color="auto"/>
              <w:bottom w:val="single" w:sz="4" w:space="0" w:color="auto"/>
              <w:right w:val="single" w:sz="4" w:space="0" w:color="auto"/>
            </w:tcBorders>
            <w:vAlign w:val="center"/>
          </w:tcPr>
          <w:p w14:paraId="11C1FB13" w14:textId="2753E902" w:rsidR="003C6695" w:rsidRPr="00964C83" w:rsidRDefault="003C6695" w:rsidP="003C6695">
            <w:pPr>
              <w:keepNext/>
              <w:spacing w:after="0"/>
              <w:jc w:val="center"/>
              <w:rPr>
                <w:rFonts w:eastAsia="Calibri" w:cs="Calibri"/>
                <w:color w:val="000000"/>
                <w:sz w:val="15"/>
                <w:szCs w:val="15"/>
              </w:rPr>
            </w:pPr>
            <w:r w:rsidRPr="0059487C">
              <w:rPr>
                <w:color w:val="000000"/>
                <w:sz w:val="16"/>
                <w:szCs w:val="16"/>
              </w:rPr>
              <w:t>00002348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9B216" w14:textId="304B69AB" w:rsidR="003C6695" w:rsidRPr="003C6695" w:rsidRDefault="003C6695" w:rsidP="003C6695">
            <w:pPr>
              <w:keepNext/>
              <w:spacing w:after="0"/>
              <w:rPr>
                <w:rFonts w:eastAsia="Calibri" w:cs="Calibri"/>
                <w:color w:val="000000"/>
                <w:sz w:val="15"/>
                <w:szCs w:val="15"/>
              </w:rPr>
            </w:pPr>
            <w:r w:rsidRPr="003C6695">
              <w:rPr>
                <w:color w:val="000000"/>
                <w:sz w:val="15"/>
                <w:szCs w:val="15"/>
              </w:rPr>
              <w:t>Státní výzkumný ústav materiálu</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9C1D9F3" w14:textId="785351E8" w:rsidR="003C6695" w:rsidRPr="00B36253" w:rsidRDefault="003C6695" w:rsidP="003C6695">
            <w:pPr>
              <w:keepNext/>
              <w:spacing w:after="0"/>
              <w:ind w:left="-28" w:right="-28"/>
              <w:jc w:val="right"/>
              <w:rPr>
                <w:rFonts w:eastAsia="Calibri" w:cs="Calibri"/>
                <w:color w:val="000000"/>
                <w:sz w:val="15"/>
                <w:szCs w:val="15"/>
              </w:rPr>
            </w:pPr>
            <w:r w:rsidRPr="0059487C">
              <w:rPr>
                <w:color w:val="000000"/>
                <w:sz w:val="16"/>
                <w:szCs w:val="16"/>
              </w:rPr>
              <w:t>0</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0CD2FE98" w14:textId="7DB234D3"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x </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57DD35B" w14:textId="2750FB71"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x </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721FE23" w14:textId="4C1668B3"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x </w:t>
            </w:r>
          </w:p>
        </w:tc>
        <w:tc>
          <w:tcPr>
            <w:tcW w:w="1191" w:type="dxa"/>
            <w:tcBorders>
              <w:top w:val="single" w:sz="4" w:space="0" w:color="auto"/>
              <w:left w:val="nil"/>
              <w:bottom w:val="single" w:sz="4" w:space="0" w:color="auto"/>
              <w:right w:val="single" w:sz="4" w:space="0" w:color="auto"/>
            </w:tcBorders>
            <w:vAlign w:val="center"/>
          </w:tcPr>
          <w:p w14:paraId="0E1F4169" w14:textId="3E148816" w:rsidR="003C6695" w:rsidRPr="00964C83" w:rsidRDefault="003C6695" w:rsidP="003C6695">
            <w:pPr>
              <w:keepNext/>
              <w:spacing w:after="0"/>
              <w:ind w:left="-28" w:right="-28"/>
              <w:jc w:val="right"/>
              <w:rPr>
                <w:rFonts w:eastAsia="Calibri" w:cs="Calibri"/>
                <w:color w:val="000000"/>
                <w:sz w:val="15"/>
                <w:szCs w:val="15"/>
              </w:rPr>
            </w:pPr>
            <w:r w:rsidRPr="0059487C">
              <w:rPr>
                <w:color w:val="000000"/>
                <w:sz w:val="16"/>
                <w:szCs w:val="16"/>
              </w:rPr>
              <w:t>x </w:t>
            </w:r>
          </w:p>
        </w:tc>
      </w:tr>
      <w:tr w:rsidR="000412D1" w:rsidRPr="00964C83" w14:paraId="50027E16" w14:textId="77777777" w:rsidTr="000412D1">
        <w:trPr>
          <w:trHeight w:val="255"/>
          <w:jc w:val="center"/>
        </w:trPr>
        <w:tc>
          <w:tcPr>
            <w:tcW w:w="3062" w:type="dxa"/>
            <w:gridSpan w:val="2"/>
            <w:tcBorders>
              <w:top w:val="single" w:sz="4" w:space="0" w:color="auto"/>
              <w:left w:val="single" w:sz="4" w:space="0" w:color="auto"/>
              <w:bottom w:val="single" w:sz="4" w:space="0" w:color="auto"/>
              <w:right w:val="single" w:sz="4" w:space="0" w:color="auto"/>
            </w:tcBorders>
            <w:shd w:val="clear" w:color="auto" w:fill="F2C6C9"/>
            <w:vAlign w:val="center"/>
          </w:tcPr>
          <w:p w14:paraId="1319FC82" w14:textId="148DF791" w:rsidR="000412D1" w:rsidRPr="003C6695" w:rsidRDefault="000412D1" w:rsidP="000412D1">
            <w:pPr>
              <w:keepNext/>
              <w:spacing w:after="0"/>
              <w:rPr>
                <w:color w:val="000000"/>
                <w:sz w:val="15"/>
                <w:szCs w:val="15"/>
              </w:rPr>
            </w:pPr>
            <w:r w:rsidRPr="00964C83">
              <w:rPr>
                <w:rFonts w:cs="Calibri"/>
                <w:b/>
                <w:bCs/>
                <w:color w:val="000000"/>
                <w:sz w:val="15"/>
                <w:szCs w:val="15"/>
              </w:rPr>
              <w:t>Celkem</w:t>
            </w:r>
          </w:p>
        </w:tc>
        <w:tc>
          <w:tcPr>
            <w:tcW w:w="1191" w:type="dxa"/>
            <w:tcBorders>
              <w:top w:val="single" w:sz="4" w:space="0" w:color="auto"/>
              <w:left w:val="nil"/>
              <w:bottom w:val="single" w:sz="4" w:space="0" w:color="auto"/>
              <w:right w:val="single" w:sz="4" w:space="0" w:color="auto"/>
            </w:tcBorders>
            <w:shd w:val="clear" w:color="auto" w:fill="F2C6C9"/>
            <w:noWrap/>
            <w:vAlign w:val="center"/>
          </w:tcPr>
          <w:p w14:paraId="66F8CF15" w14:textId="3F77EA48" w:rsidR="000412D1" w:rsidRPr="0059487C" w:rsidRDefault="000412D1" w:rsidP="000412D1">
            <w:pPr>
              <w:keepNext/>
              <w:spacing w:after="0"/>
              <w:ind w:left="-28" w:right="-28"/>
              <w:jc w:val="right"/>
              <w:rPr>
                <w:color w:val="000000"/>
                <w:sz w:val="16"/>
                <w:szCs w:val="16"/>
              </w:rPr>
            </w:pPr>
            <w:r w:rsidRPr="0059487C">
              <w:rPr>
                <w:b/>
                <w:bCs/>
                <w:color w:val="000000"/>
                <w:sz w:val="16"/>
                <w:szCs w:val="16"/>
              </w:rPr>
              <w:t>545 319 402,00</w:t>
            </w:r>
          </w:p>
        </w:tc>
        <w:tc>
          <w:tcPr>
            <w:tcW w:w="1191" w:type="dxa"/>
            <w:tcBorders>
              <w:top w:val="single" w:sz="4" w:space="0" w:color="auto"/>
              <w:left w:val="nil"/>
              <w:bottom w:val="single" w:sz="4" w:space="0" w:color="auto"/>
              <w:right w:val="single" w:sz="4" w:space="0" w:color="auto"/>
            </w:tcBorders>
            <w:shd w:val="clear" w:color="auto" w:fill="F2C6C9"/>
            <w:noWrap/>
            <w:vAlign w:val="center"/>
          </w:tcPr>
          <w:p w14:paraId="722D39E2" w14:textId="76639C7A" w:rsidR="000412D1" w:rsidRPr="0059487C" w:rsidRDefault="000412D1" w:rsidP="000412D1">
            <w:pPr>
              <w:keepNext/>
              <w:spacing w:after="0"/>
              <w:ind w:left="-28" w:right="-28"/>
              <w:jc w:val="right"/>
              <w:rPr>
                <w:color w:val="000000"/>
                <w:sz w:val="16"/>
                <w:szCs w:val="16"/>
              </w:rPr>
            </w:pPr>
            <w:r w:rsidRPr="0059487C">
              <w:rPr>
                <w:b/>
                <w:bCs/>
                <w:color w:val="000000"/>
                <w:sz w:val="16"/>
                <w:szCs w:val="16"/>
              </w:rPr>
              <w:t>761 123 257,91</w:t>
            </w:r>
          </w:p>
        </w:tc>
        <w:tc>
          <w:tcPr>
            <w:tcW w:w="1191" w:type="dxa"/>
            <w:tcBorders>
              <w:top w:val="single" w:sz="4" w:space="0" w:color="auto"/>
              <w:left w:val="nil"/>
              <w:bottom w:val="single" w:sz="4" w:space="0" w:color="auto"/>
              <w:right w:val="single" w:sz="4" w:space="0" w:color="auto"/>
            </w:tcBorders>
            <w:shd w:val="clear" w:color="auto" w:fill="F2C6C9"/>
            <w:noWrap/>
            <w:vAlign w:val="center"/>
          </w:tcPr>
          <w:p w14:paraId="4C128A76" w14:textId="6676E9BB" w:rsidR="000412D1" w:rsidRPr="0059487C" w:rsidRDefault="000412D1" w:rsidP="000412D1">
            <w:pPr>
              <w:keepNext/>
              <w:spacing w:after="0"/>
              <w:ind w:left="-28" w:right="-28"/>
              <w:jc w:val="right"/>
              <w:rPr>
                <w:color w:val="000000"/>
                <w:sz w:val="16"/>
                <w:szCs w:val="16"/>
              </w:rPr>
            </w:pPr>
            <w:r w:rsidRPr="0059487C">
              <w:rPr>
                <w:b/>
                <w:bCs/>
                <w:color w:val="000000"/>
                <w:sz w:val="16"/>
                <w:szCs w:val="16"/>
              </w:rPr>
              <w:t>718 933 780,93</w:t>
            </w:r>
          </w:p>
        </w:tc>
        <w:tc>
          <w:tcPr>
            <w:tcW w:w="1191" w:type="dxa"/>
            <w:tcBorders>
              <w:top w:val="single" w:sz="4" w:space="0" w:color="auto"/>
              <w:left w:val="nil"/>
              <w:bottom w:val="single" w:sz="4" w:space="0" w:color="auto"/>
              <w:right w:val="single" w:sz="4" w:space="0" w:color="auto"/>
            </w:tcBorders>
            <w:shd w:val="clear" w:color="auto" w:fill="F2C6C9"/>
            <w:noWrap/>
            <w:vAlign w:val="center"/>
          </w:tcPr>
          <w:p w14:paraId="7E56B857" w14:textId="7AF19D0C" w:rsidR="000412D1" w:rsidRPr="0059487C" w:rsidRDefault="000412D1" w:rsidP="000412D1">
            <w:pPr>
              <w:keepNext/>
              <w:spacing w:after="0"/>
              <w:ind w:left="-28" w:right="-28"/>
              <w:jc w:val="right"/>
              <w:rPr>
                <w:color w:val="000000"/>
                <w:sz w:val="16"/>
                <w:szCs w:val="16"/>
              </w:rPr>
            </w:pPr>
            <w:r w:rsidRPr="0059487C">
              <w:rPr>
                <w:b/>
                <w:bCs/>
                <w:color w:val="000000"/>
                <w:sz w:val="16"/>
                <w:szCs w:val="16"/>
              </w:rPr>
              <w:t>674 584 073,78</w:t>
            </w:r>
          </w:p>
        </w:tc>
        <w:tc>
          <w:tcPr>
            <w:tcW w:w="1191" w:type="dxa"/>
            <w:tcBorders>
              <w:top w:val="single" w:sz="4" w:space="0" w:color="auto"/>
              <w:left w:val="nil"/>
              <w:bottom w:val="single" w:sz="4" w:space="0" w:color="auto"/>
              <w:right w:val="single" w:sz="4" w:space="0" w:color="auto"/>
            </w:tcBorders>
            <w:shd w:val="clear" w:color="auto" w:fill="F2C6C9"/>
            <w:vAlign w:val="center"/>
          </w:tcPr>
          <w:p w14:paraId="5FEADBE3" w14:textId="2222C7B4" w:rsidR="000412D1" w:rsidRPr="0059487C" w:rsidRDefault="000412D1" w:rsidP="000412D1">
            <w:pPr>
              <w:keepNext/>
              <w:spacing w:after="0"/>
              <w:ind w:left="-28" w:right="-28"/>
              <w:jc w:val="right"/>
              <w:rPr>
                <w:color w:val="000000"/>
                <w:sz w:val="16"/>
                <w:szCs w:val="16"/>
              </w:rPr>
            </w:pPr>
            <w:r w:rsidRPr="0059487C">
              <w:rPr>
                <w:b/>
                <w:bCs/>
                <w:color w:val="000000"/>
                <w:sz w:val="16"/>
                <w:szCs w:val="16"/>
              </w:rPr>
              <w:t>666 005 312,05</w:t>
            </w:r>
          </w:p>
        </w:tc>
      </w:tr>
    </w:tbl>
    <w:p w14:paraId="064EBB45" w14:textId="77777777" w:rsidR="00B57597" w:rsidRPr="0059487C" w:rsidRDefault="00B57597" w:rsidP="00B57597">
      <w:pPr>
        <w:spacing w:before="40"/>
        <w:rPr>
          <w:rFonts w:cs="Calibri"/>
          <w:b/>
          <w:bCs/>
          <w:color w:val="000000"/>
          <w:sz w:val="20"/>
          <w:szCs w:val="20"/>
          <w:lang w:eastAsia="cs-CZ"/>
        </w:rPr>
      </w:pPr>
      <w:r w:rsidRPr="0059487C">
        <w:rPr>
          <w:rFonts w:cs="Calibri"/>
          <w:b/>
          <w:color w:val="000000"/>
          <w:sz w:val="20"/>
          <w:szCs w:val="20"/>
          <w:lang w:eastAsia="cs-CZ"/>
        </w:rPr>
        <w:t xml:space="preserve">Zdroj: </w:t>
      </w:r>
      <w:r w:rsidRPr="0059487C">
        <w:rPr>
          <w:rFonts w:cs="Calibri"/>
          <w:color w:val="000000"/>
          <w:sz w:val="20"/>
          <w:szCs w:val="20"/>
          <w:lang w:eastAsia="cs-CZ"/>
        </w:rPr>
        <w:t xml:space="preserve">ISSP-CSÚIS – výkaz </w:t>
      </w:r>
      <w:r>
        <w:rPr>
          <w:rFonts w:cs="Calibri"/>
          <w:color w:val="000000"/>
          <w:sz w:val="20"/>
          <w:szCs w:val="20"/>
          <w:lang w:eastAsia="cs-CZ"/>
        </w:rPr>
        <w:t>„p</w:t>
      </w:r>
      <w:r w:rsidRPr="0059487C">
        <w:rPr>
          <w:rFonts w:cs="Calibri"/>
          <w:color w:val="000000"/>
          <w:sz w:val="20"/>
          <w:szCs w:val="20"/>
          <w:lang w:eastAsia="cs-CZ"/>
        </w:rPr>
        <w:t>řehled o rozpočtu SPO – část II</w:t>
      </w:r>
      <w:r>
        <w:rPr>
          <w:rFonts w:cs="Calibri"/>
          <w:color w:val="000000"/>
          <w:sz w:val="20"/>
          <w:szCs w:val="20"/>
          <w:lang w:eastAsia="cs-CZ"/>
        </w:rPr>
        <w:t>“</w:t>
      </w:r>
      <w:r w:rsidRPr="0059487C">
        <w:rPr>
          <w:rFonts w:cs="Calibri"/>
          <w:color w:val="000000"/>
          <w:sz w:val="20"/>
          <w:szCs w:val="20"/>
          <w:lang w:eastAsia="cs-CZ"/>
        </w:rPr>
        <w:t xml:space="preserve"> (údaje ze sloupce </w:t>
      </w:r>
      <w:r w:rsidRPr="00682D65">
        <w:rPr>
          <w:rFonts w:cs="Calibri"/>
          <w:i/>
          <w:color w:val="000000"/>
          <w:sz w:val="20"/>
          <w:szCs w:val="20"/>
          <w:lang w:eastAsia="cs-CZ"/>
        </w:rPr>
        <w:t>Skutečnost minulého roku v Kč</w:t>
      </w:r>
      <w:r w:rsidRPr="0059487C">
        <w:rPr>
          <w:rFonts w:cs="Calibri"/>
          <w:color w:val="000000"/>
          <w:sz w:val="20"/>
          <w:szCs w:val="20"/>
          <w:lang w:eastAsia="cs-CZ"/>
        </w:rPr>
        <w:t>)</w:t>
      </w:r>
      <w:r>
        <w:rPr>
          <w:rFonts w:cs="Calibri"/>
          <w:color w:val="000000"/>
          <w:sz w:val="20"/>
          <w:szCs w:val="20"/>
          <w:lang w:eastAsia="cs-CZ"/>
        </w:rPr>
        <w:t>.</w:t>
      </w:r>
    </w:p>
    <w:p w14:paraId="791B014D" w14:textId="50E304D3" w:rsidR="00B57597" w:rsidRPr="00AF72D0" w:rsidRDefault="00B57597" w:rsidP="000412D1">
      <w:pPr>
        <w:pStyle w:val="Titulek1"/>
        <w:tabs>
          <w:tab w:val="clear" w:pos="9356"/>
        </w:tabs>
        <w:rPr>
          <w:sz w:val="24"/>
        </w:rPr>
      </w:pPr>
      <w:bookmarkStart w:id="130" w:name="_Toc8984558"/>
      <w:bookmarkStart w:id="131" w:name="_Toc72157496"/>
      <w:r w:rsidRPr="00AF72D0">
        <w:rPr>
          <w:sz w:val="24"/>
        </w:rPr>
        <w:t xml:space="preserve">Tabulka č. </w:t>
      </w:r>
      <w:r w:rsidR="005F2931" w:rsidRPr="00AF72D0">
        <w:rPr>
          <w:sz w:val="24"/>
        </w:rPr>
        <w:fldChar w:fldCharType="begin"/>
      </w:r>
      <w:r w:rsidR="005F2931" w:rsidRPr="00AF72D0">
        <w:rPr>
          <w:sz w:val="24"/>
        </w:rPr>
        <w:instrText xml:space="preserve"> SEQ Tabulka \* ARABIC </w:instrText>
      </w:r>
      <w:r w:rsidR="005F2931" w:rsidRPr="00AF72D0">
        <w:rPr>
          <w:sz w:val="24"/>
        </w:rPr>
        <w:fldChar w:fldCharType="separate"/>
      </w:r>
      <w:r w:rsidR="00E544AA">
        <w:rPr>
          <w:noProof/>
          <w:sz w:val="24"/>
        </w:rPr>
        <w:t>40</w:t>
      </w:r>
      <w:r w:rsidR="005F2931" w:rsidRPr="00AF72D0">
        <w:rPr>
          <w:noProof/>
          <w:sz w:val="24"/>
        </w:rPr>
        <w:fldChar w:fldCharType="end"/>
      </w:r>
      <w:r w:rsidRPr="00AF72D0">
        <w:rPr>
          <w:sz w:val="24"/>
        </w:rPr>
        <w:t>: Podíl výnosů z transferů PO v </w:t>
      </w:r>
      <w:proofErr w:type="spellStart"/>
      <w:r w:rsidRPr="00AF72D0">
        <w:rPr>
          <w:sz w:val="24"/>
        </w:rPr>
        <w:t>rozp</w:t>
      </w:r>
      <w:proofErr w:type="spellEnd"/>
      <w:r w:rsidRPr="00AF72D0">
        <w:rPr>
          <w:sz w:val="24"/>
        </w:rPr>
        <w:t>. kapitole 322 na celkových výnosech PO</w:t>
      </w:r>
      <w:bookmarkEnd w:id="130"/>
      <w:bookmarkEnd w:id="131"/>
    </w:p>
    <w:tbl>
      <w:tblPr>
        <w:tblW w:w="5000" w:type="pct"/>
        <w:tblCellMar>
          <w:left w:w="70" w:type="dxa"/>
          <w:right w:w="70" w:type="dxa"/>
        </w:tblCellMar>
        <w:tblLook w:val="04A0" w:firstRow="1" w:lastRow="0" w:firstColumn="1" w:lastColumn="0" w:noHBand="0" w:noVBand="1"/>
      </w:tblPr>
      <w:tblGrid>
        <w:gridCol w:w="789"/>
        <w:gridCol w:w="3730"/>
        <w:gridCol w:w="895"/>
        <w:gridCol w:w="911"/>
        <w:gridCol w:w="913"/>
        <w:gridCol w:w="913"/>
        <w:gridCol w:w="909"/>
      </w:tblGrid>
      <w:tr w:rsidR="00B57597" w:rsidRPr="00AF72D0" w14:paraId="3E7234C9" w14:textId="77777777" w:rsidTr="00B57597">
        <w:trPr>
          <w:trHeight w:val="255"/>
        </w:trPr>
        <w:tc>
          <w:tcPr>
            <w:tcW w:w="428" w:type="pct"/>
            <w:tcBorders>
              <w:top w:val="single" w:sz="4" w:space="0" w:color="auto"/>
              <w:left w:val="single" w:sz="4" w:space="0" w:color="auto"/>
              <w:bottom w:val="single" w:sz="4" w:space="0" w:color="auto"/>
              <w:right w:val="single" w:sz="4" w:space="0" w:color="auto"/>
            </w:tcBorders>
            <w:shd w:val="clear" w:color="auto" w:fill="E5F1FF"/>
            <w:vAlign w:val="center"/>
          </w:tcPr>
          <w:p w14:paraId="1C0DD425" w14:textId="77777777" w:rsidR="00B57597" w:rsidRPr="00AF72D0" w:rsidRDefault="00B57597" w:rsidP="00AF72D0">
            <w:pPr>
              <w:spacing w:after="0"/>
              <w:jc w:val="center"/>
              <w:rPr>
                <w:rFonts w:cs="Calibri"/>
                <w:b/>
                <w:bCs/>
                <w:color w:val="000000"/>
                <w:sz w:val="16"/>
                <w:szCs w:val="16"/>
                <w:lang w:eastAsia="cs-CZ"/>
              </w:rPr>
            </w:pPr>
            <w:r w:rsidRPr="00AF72D0">
              <w:rPr>
                <w:rFonts w:cs="Calibri"/>
                <w:b/>
                <w:bCs/>
                <w:color w:val="000000"/>
                <w:sz w:val="16"/>
                <w:szCs w:val="16"/>
              </w:rPr>
              <w:t>IČO</w:t>
            </w:r>
          </w:p>
        </w:tc>
        <w:tc>
          <w:tcPr>
            <w:tcW w:w="2025"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9905BF1" w14:textId="77777777" w:rsidR="00B57597" w:rsidRPr="00AF72D0" w:rsidRDefault="00B57597" w:rsidP="00AF72D0">
            <w:pPr>
              <w:spacing w:after="0"/>
              <w:jc w:val="center"/>
              <w:rPr>
                <w:rFonts w:cs="Calibri"/>
                <w:b/>
                <w:bCs/>
                <w:color w:val="000000"/>
                <w:sz w:val="16"/>
                <w:szCs w:val="16"/>
                <w:lang w:eastAsia="cs-CZ"/>
              </w:rPr>
            </w:pPr>
            <w:r w:rsidRPr="00AF72D0">
              <w:rPr>
                <w:rFonts w:cs="Calibri"/>
                <w:b/>
                <w:bCs/>
                <w:color w:val="000000"/>
                <w:sz w:val="16"/>
                <w:szCs w:val="16"/>
              </w:rPr>
              <w:t>Účetní jednotka</w:t>
            </w:r>
          </w:p>
        </w:tc>
        <w:tc>
          <w:tcPr>
            <w:tcW w:w="502" w:type="pct"/>
            <w:tcBorders>
              <w:top w:val="single" w:sz="4" w:space="0" w:color="auto"/>
              <w:left w:val="nil"/>
              <w:bottom w:val="single" w:sz="4" w:space="0" w:color="auto"/>
              <w:right w:val="single" w:sz="4" w:space="0" w:color="auto"/>
            </w:tcBorders>
            <w:shd w:val="clear" w:color="auto" w:fill="E5F1FF"/>
            <w:noWrap/>
            <w:vAlign w:val="center"/>
            <w:hideMark/>
          </w:tcPr>
          <w:p w14:paraId="122417DA" w14:textId="77777777" w:rsidR="00B57597" w:rsidRPr="00AF72D0" w:rsidRDefault="00B57597" w:rsidP="00AF72D0">
            <w:pPr>
              <w:spacing w:after="0"/>
              <w:jc w:val="center"/>
              <w:rPr>
                <w:rFonts w:cs="Calibri"/>
                <w:b/>
                <w:bCs/>
                <w:color w:val="000000"/>
                <w:sz w:val="16"/>
                <w:szCs w:val="16"/>
                <w:lang w:eastAsia="cs-CZ"/>
              </w:rPr>
            </w:pPr>
            <w:r w:rsidRPr="00AF72D0">
              <w:rPr>
                <w:rFonts w:cs="Calibri"/>
                <w:b/>
                <w:bCs/>
                <w:color w:val="000000"/>
                <w:sz w:val="16"/>
                <w:szCs w:val="16"/>
              </w:rPr>
              <w:t>2016</w:t>
            </w:r>
          </w:p>
        </w:tc>
        <w:tc>
          <w:tcPr>
            <w:tcW w:w="511" w:type="pct"/>
            <w:tcBorders>
              <w:top w:val="single" w:sz="4" w:space="0" w:color="auto"/>
              <w:left w:val="nil"/>
              <w:bottom w:val="single" w:sz="4" w:space="0" w:color="auto"/>
              <w:right w:val="single" w:sz="4" w:space="0" w:color="auto"/>
            </w:tcBorders>
            <w:shd w:val="clear" w:color="auto" w:fill="E5F1FF"/>
            <w:noWrap/>
            <w:vAlign w:val="center"/>
            <w:hideMark/>
          </w:tcPr>
          <w:p w14:paraId="0DB3BDDF" w14:textId="77777777" w:rsidR="00B57597" w:rsidRPr="00AF72D0" w:rsidRDefault="00B57597" w:rsidP="00AF72D0">
            <w:pPr>
              <w:spacing w:after="0"/>
              <w:jc w:val="center"/>
              <w:rPr>
                <w:rFonts w:cs="Calibri"/>
                <w:b/>
                <w:bCs/>
                <w:color w:val="000000"/>
                <w:sz w:val="16"/>
                <w:szCs w:val="16"/>
                <w:lang w:eastAsia="cs-CZ"/>
              </w:rPr>
            </w:pPr>
            <w:r w:rsidRPr="00AF72D0">
              <w:rPr>
                <w:rFonts w:cs="Calibri"/>
                <w:b/>
                <w:bCs/>
                <w:color w:val="000000"/>
                <w:sz w:val="16"/>
                <w:szCs w:val="16"/>
              </w:rPr>
              <w:t>2017</w:t>
            </w:r>
          </w:p>
        </w:tc>
        <w:tc>
          <w:tcPr>
            <w:tcW w:w="512" w:type="pct"/>
            <w:tcBorders>
              <w:top w:val="single" w:sz="4" w:space="0" w:color="auto"/>
              <w:left w:val="nil"/>
              <w:bottom w:val="single" w:sz="4" w:space="0" w:color="auto"/>
              <w:right w:val="single" w:sz="4" w:space="0" w:color="auto"/>
            </w:tcBorders>
            <w:shd w:val="clear" w:color="auto" w:fill="E5F1FF"/>
            <w:noWrap/>
            <w:vAlign w:val="center"/>
            <w:hideMark/>
          </w:tcPr>
          <w:p w14:paraId="4387C5EA" w14:textId="77777777" w:rsidR="00B57597" w:rsidRPr="00AF72D0" w:rsidRDefault="00B57597" w:rsidP="00AF72D0">
            <w:pPr>
              <w:spacing w:after="0"/>
              <w:jc w:val="center"/>
              <w:rPr>
                <w:rFonts w:cs="Calibri"/>
                <w:b/>
                <w:bCs/>
                <w:color w:val="000000"/>
                <w:sz w:val="16"/>
                <w:szCs w:val="16"/>
                <w:lang w:eastAsia="cs-CZ"/>
              </w:rPr>
            </w:pPr>
            <w:r w:rsidRPr="00AF72D0">
              <w:rPr>
                <w:rFonts w:cs="Calibri"/>
                <w:b/>
                <w:bCs/>
                <w:color w:val="000000"/>
                <w:sz w:val="16"/>
                <w:szCs w:val="16"/>
              </w:rPr>
              <w:t>2018</w:t>
            </w:r>
          </w:p>
        </w:tc>
        <w:tc>
          <w:tcPr>
            <w:tcW w:w="512" w:type="pct"/>
            <w:tcBorders>
              <w:top w:val="single" w:sz="4" w:space="0" w:color="auto"/>
              <w:left w:val="nil"/>
              <w:bottom w:val="single" w:sz="4" w:space="0" w:color="auto"/>
              <w:right w:val="single" w:sz="4" w:space="0" w:color="auto"/>
            </w:tcBorders>
            <w:shd w:val="clear" w:color="auto" w:fill="E5F1FF"/>
            <w:noWrap/>
            <w:vAlign w:val="center"/>
            <w:hideMark/>
          </w:tcPr>
          <w:p w14:paraId="4AC07ACC" w14:textId="77777777" w:rsidR="00B57597" w:rsidRPr="00AF72D0" w:rsidRDefault="00B57597" w:rsidP="00AF72D0">
            <w:pPr>
              <w:spacing w:after="0"/>
              <w:jc w:val="center"/>
              <w:rPr>
                <w:rFonts w:cs="Calibri"/>
                <w:b/>
                <w:bCs/>
                <w:color w:val="000000"/>
                <w:sz w:val="16"/>
                <w:szCs w:val="16"/>
                <w:lang w:eastAsia="cs-CZ"/>
              </w:rPr>
            </w:pPr>
            <w:r w:rsidRPr="00AF72D0">
              <w:rPr>
                <w:rFonts w:cs="Calibri"/>
                <w:b/>
                <w:bCs/>
                <w:color w:val="000000"/>
                <w:sz w:val="16"/>
                <w:szCs w:val="16"/>
              </w:rPr>
              <w:t>2019</w:t>
            </w:r>
          </w:p>
        </w:tc>
        <w:tc>
          <w:tcPr>
            <w:tcW w:w="510" w:type="pct"/>
            <w:tcBorders>
              <w:top w:val="single" w:sz="4" w:space="0" w:color="auto"/>
              <w:left w:val="nil"/>
              <w:bottom w:val="single" w:sz="4" w:space="0" w:color="auto"/>
              <w:right w:val="single" w:sz="4" w:space="0" w:color="auto"/>
            </w:tcBorders>
            <w:shd w:val="clear" w:color="auto" w:fill="E5F1FF"/>
            <w:vAlign w:val="center"/>
          </w:tcPr>
          <w:p w14:paraId="5533C750" w14:textId="77777777" w:rsidR="00B57597" w:rsidRPr="00AF72D0" w:rsidRDefault="00B57597" w:rsidP="00AF72D0">
            <w:pPr>
              <w:spacing w:after="0"/>
              <w:jc w:val="center"/>
              <w:rPr>
                <w:rFonts w:cs="Calibri"/>
                <w:b/>
                <w:bCs/>
                <w:color w:val="000000"/>
                <w:sz w:val="16"/>
                <w:szCs w:val="16"/>
                <w:lang w:eastAsia="cs-CZ"/>
              </w:rPr>
            </w:pPr>
            <w:r w:rsidRPr="00AF72D0">
              <w:rPr>
                <w:rFonts w:cs="Calibri"/>
                <w:b/>
                <w:bCs/>
                <w:color w:val="000000"/>
                <w:sz w:val="16"/>
                <w:szCs w:val="16"/>
              </w:rPr>
              <w:t>2020</w:t>
            </w:r>
          </w:p>
        </w:tc>
      </w:tr>
      <w:tr w:rsidR="00B57597" w:rsidRPr="00AF72D0" w14:paraId="3E3113A0" w14:textId="77777777" w:rsidTr="00B57597">
        <w:trPr>
          <w:trHeight w:val="255"/>
        </w:trPr>
        <w:tc>
          <w:tcPr>
            <w:tcW w:w="428" w:type="pct"/>
            <w:tcBorders>
              <w:top w:val="nil"/>
              <w:left w:val="single" w:sz="4" w:space="0" w:color="auto"/>
              <w:bottom w:val="single" w:sz="4" w:space="0" w:color="auto"/>
              <w:right w:val="single" w:sz="4" w:space="0" w:color="auto"/>
            </w:tcBorders>
            <w:vAlign w:val="center"/>
          </w:tcPr>
          <w:p w14:paraId="3E5FCC00" w14:textId="77777777" w:rsidR="00B57597" w:rsidRPr="00AF72D0" w:rsidRDefault="00B57597" w:rsidP="00AF72D0">
            <w:pPr>
              <w:spacing w:after="0"/>
              <w:jc w:val="center"/>
              <w:rPr>
                <w:rFonts w:eastAsia="Calibri" w:cs="Calibri"/>
                <w:color w:val="000000"/>
                <w:sz w:val="16"/>
                <w:szCs w:val="16"/>
              </w:rPr>
            </w:pPr>
            <w:r w:rsidRPr="00AF72D0">
              <w:rPr>
                <w:rFonts w:cs="Calibri"/>
                <w:color w:val="000000"/>
                <w:sz w:val="16"/>
                <w:szCs w:val="16"/>
              </w:rPr>
              <w:t>05108861</w:t>
            </w:r>
          </w:p>
        </w:tc>
        <w:tc>
          <w:tcPr>
            <w:tcW w:w="2025" w:type="pct"/>
            <w:tcBorders>
              <w:top w:val="nil"/>
              <w:left w:val="single" w:sz="4" w:space="0" w:color="auto"/>
              <w:bottom w:val="single" w:sz="4" w:space="0" w:color="auto"/>
              <w:right w:val="single" w:sz="4" w:space="0" w:color="auto"/>
            </w:tcBorders>
            <w:shd w:val="clear" w:color="auto" w:fill="auto"/>
            <w:noWrap/>
            <w:vAlign w:val="center"/>
          </w:tcPr>
          <w:p w14:paraId="7C21F2B0" w14:textId="77777777" w:rsidR="00B57597" w:rsidRPr="00AF72D0" w:rsidRDefault="00B57597" w:rsidP="00AF72D0">
            <w:pPr>
              <w:spacing w:after="0"/>
              <w:rPr>
                <w:rFonts w:eastAsia="Calibri" w:cs="Calibri"/>
                <w:color w:val="000000"/>
                <w:sz w:val="16"/>
                <w:szCs w:val="16"/>
              </w:rPr>
            </w:pPr>
            <w:r w:rsidRPr="00AF72D0">
              <w:rPr>
                <w:rFonts w:cs="Calibri"/>
                <w:color w:val="000000"/>
                <w:sz w:val="16"/>
                <w:szCs w:val="16"/>
              </w:rPr>
              <w:t>Agentura pro podnikání a inovace</w:t>
            </w:r>
          </w:p>
        </w:tc>
        <w:tc>
          <w:tcPr>
            <w:tcW w:w="502" w:type="pct"/>
            <w:tcBorders>
              <w:top w:val="nil"/>
              <w:left w:val="nil"/>
              <w:bottom w:val="single" w:sz="4" w:space="0" w:color="auto"/>
              <w:right w:val="single" w:sz="4" w:space="0" w:color="auto"/>
            </w:tcBorders>
            <w:shd w:val="clear" w:color="auto" w:fill="auto"/>
            <w:noWrap/>
            <w:vAlign w:val="center"/>
          </w:tcPr>
          <w:p w14:paraId="3D685036" w14:textId="565D62FA"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100,00</w:t>
            </w:r>
            <w:r w:rsidR="002230D3">
              <w:rPr>
                <w:rFonts w:cs="Calibri"/>
                <w:color w:val="000000"/>
                <w:sz w:val="16"/>
                <w:szCs w:val="16"/>
              </w:rPr>
              <w:t> </w:t>
            </w:r>
            <w:r w:rsidRPr="00AF72D0">
              <w:rPr>
                <w:rFonts w:cs="Calibri"/>
                <w:color w:val="000000"/>
                <w:sz w:val="16"/>
                <w:szCs w:val="16"/>
              </w:rPr>
              <w:t>%</w:t>
            </w:r>
          </w:p>
        </w:tc>
        <w:tc>
          <w:tcPr>
            <w:tcW w:w="511" w:type="pct"/>
            <w:tcBorders>
              <w:top w:val="nil"/>
              <w:left w:val="nil"/>
              <w:bottom w:val="single" w:sz="4" w:space="0" w:color="auto"/>
              <w:right w:val="single" w:sz="4" w:space="0" w:color="auto"/>
            </w:tcBorders>
            <w:shd w:val="clear" w:color="auto" w:fill="auto"/>
            <w:noWrap/>
            <w:vAlign w:val="center"/>
          </w:tcPr>
          <w:p w14:paraId="65D9EE46" w14:textId="0AB5D84D"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99,99</w:t>
            </w:r>
            <w:r w:rsidR="002230D3">
              <w:rPr>
                <w:rFonts w:cs="Calibri"/>
                <w:color w:val="000000"/>
                <w:sz w:val="16"/>
                <w:szCs w:val="16"/>
              </w:rPr>
              <w:t> </w:t>
            </w:r>
            <w:r w:rsidRPr="00AF72D0">
              <w:rPr>
                <w:rFonts w:cs="Calibri"/>
                <w:color w:val="000000"/>
                <w:sz w:val="16"/>
                <w:szCs w:val="16"/>
              </w:rPr>
              <w:t>%</w:t>
            </w:r>
          </w:p>
        </w:tc>
        <w:tc>
          <w:tcPr>
            <w:tcW w:w="512" w:type="pct"/>
            <w:tcBorders>
              <w:top w:val="nil"/>
              <w:left w:val="nil"/>
              <w:bottom w:val="single" w:sz="4" w:space="0" w:color="auto"/>
              <w:right w:val="single" w:sz="4" w:space="0" w:color="auto"/>
            </w:tcBorders>
            <w:shd w:val="clear" w:color="auto" w:fill="auto"/>
            <w:noWrap/>
            <w:vAlign w:val="center"/>
          </w:tcPr>
          <w:p w14:paraId="7496D848" w14:textId="0DA432EA"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99,81</w:t>
            </w:r>
            <w:r w:rsidR="002230D3">
              <w:rPr>
                <w:rFonts w:cs="Calibri"/>
                <w:color w:val="000000"/>
                <w:sz w:val="16"/>
                <w:szCs w:val="16"/>
              </w:rPr>
              <w:t> </w:t>
            </w:r>
            <w:r w:rsidRPr="00AF72D0">
              <w:rPr>
                <w:rFonts w:cs="Calibri"/>
                <w:color w:val="000000"/>
                <w:sz w:val="16"/>
                <w:szCs w:val="16"/>
              </w:rPr>
              <w:t>%</w:t>
            </w:r>
          </w:p>
        </w:tc>
        <w:tc>
          <w:tcPr>
            <w:tcW w:w="512" w:type="pct"/>
            <w:tcBorders>
              <w:top w:val="nil"/>
              <w:left w:val="nil"/>
              <w:bottom w:val="single" w:sz="4" w:space="0" w:color="auto"/>
              <w:right w:val="single" w:sz="4" w:space="0" w:color="auto"/>
            </w:tcBorders>
            <w:shd w:val="clear" w:color="auto" w:fill="auto"/>
            <w:noWrap/>
            <w:vAlign w:val="center"/>
          </w:tcPr>
          <w:p w14:paraId="59F42EBA" w14:textId="0AD2B2AF"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95,40</w:t>
            </w:r>
            <w:r w:rsidR="002230D3">
              <w:rPr>
                <w:rFonts w:cs="Calibri"/>
                <w:color w:val="000000"/>
                <w:sz w:val="16"/>
                <w:szCs w:val="16"/>
              </w:rPr>
              <w:t> </w:t>
            </w:r>
            <w:r w:rsidRPr="00AF72D0">
              <w:rPr>
                <w:rFonts w:cs="Calibri"/>
                <w:color w:val="000000"/>
                <w:sz w:val="16"/>
                <w:szCs w:val="16"/>
              </w:rPr>
              <w:t>%</w:t>
            </w:r>
          </w:p>
        </w:tc>
        <w:tc>
          <w:tcPr>
            <w:tcW w:w="510" w:type="pct"/>
            <w:tcBorders>
              <w:top w:val="nil"/>
              <w:left w:val="nil"/>
              <w:bottom w:val="single" w:sz="4" w:space="0" w:color="auto"/>
              <w:right w:val="single" w:sz="4" w:space="0" w:color="auto"/>
            </w:tcBorders>
            <w:vAlign w:val="center"/>
          </w:tcPr>
          <w:p w14:paraId="07B1770E" w14:textId="5C58E5D4"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96,34</w:t>
            </w:r>
            <w:r w:rsidR="002230D3">
              <w:rPr>
                <w:rFonts w:cs="Calibri"/>
                <w:color w:val="000000"/>
                <w:sz w:val="16"/>
                <w:szCs w:val="16"/>
              </w:rPr>
              <w:t> </w:t>
            </w:r>
            <w:r w:rsidRPr="00AF72D0">
              <w:rPr>
                <w:rFonts w:cs="Calibri"/>
                <w:color w:val="000000"/>
                <w:sz w:val="16"/>
                <w:szCs w:val="16"/>
              </w:rPr>
              <w:t>%</w:t>
            </w:r>
          </w:p>
        </w:tc>
      </w:tr>
      <w:tr w:rsidR="00B57597" w:rsidRPr="00AF72D0" w14:paraId="5D8B1140" w14:textId="77777777" w:rsidTr="00B57597">
        <w:trPr>
          <w:trHeight w:val="255"/>
        </w:trPr>
        <w:tc>
          <w:tcPr>
            <w:tcW w:w="428" w:type="pct"/>
            <w:tcBorders>
              <w:top w:val="single" w:sz="4" w:space="0" w:color="auto"/>
              <w:left w:val="single" w:sz="4" w:space="0" w:color="auto"/>
              <w:bottom w:val="single" w:sz="4" w:space="0" w:color="auto"/>
              <w:right w:val="single" w:sz="4" w:space="0" w:color="auto"/>
            </w:tcBorders>
            <w:vAlign w:val="center"/>
          </w:tcPr>
          <w:p w14:paraId="7BCABC29" w14:textId="77777777" w:rsidR="00B57597" w:rsidRPr="00AF72D0" w:rsidRDefault="00B57597" w:rsidP="00AF72D0">
            <w:pPr>
              <w:spacing w:after="0"/>
              <w:jc w:val="center"/>
              <w:rPr>
                <w:rFonts w:eastAsia="Calibri" w:cs="Calibri"/>
                <w:color w:val="000000"/>
                <w:sz w:val="16"/>
                <w:szCs w:val="16"/>
              </w:rPr>
            </w:pPr>
            <w:r w:rsidRPr="00AF72D0">
              <w:rPr>
                <w:rFonts w:cs="Calibri"/>
                <w:color w:val="000000"/>
                <w:sz w:val="16"/>
                <w:szCs w:val="16"/>
              </w:rPr>
              <w:t>71377999</w:t>
            </w:r>
          </w:p>
        </w:tc>
        <w:tc>
          <w:tcPr>
            <w:tcW w:w="2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A16556" w14:textId="77777777" w:rsidR="00B57597" w:rsidRPr="00AF72D0" w:rsidRDefault="00B57597" w:rsidP="00AF72D0">
            <w:pPr>
              <w:spacing w:after="0"/>
              <w:rPr>
                <w:rFonts w:eastAsia="Calibri" w:cs="Calibri"/>
                <w:color w:val="000000"/>
                <w:sz w:val="16"/>
                <w:szCs w:val="16"/>
              </w:rPr>
            </w:pPr>
            <w:r w:rsidRPr="00AF72D0">
              <w:rPr>
                <w:rFonts w:cs="Calibri"/>
                <w:color w:val="000000"/>
                <w:sz w:val="16"/>
                <w:szCs w:val="16"/>
              </w:rPr>
              <w:t xml:space="preserve">Agentura pro podporu podnikání a investic </w:t>
            </w:r>
            <w:proofErr w:type="spellStart"/>
            <w:r w:rsidRPr="00AF72D0">
              <w:rPr>
                <w:rFonts w:cs="Calibri"/>
                <w:color w:val="000000"/>
                <w:sz w:val="16"/>
                <w:szCs w:val="16"/>
              </w:rPr>
              <w:t>CzechInvest</w:t>
            </w:r>
            <w:proofErr w:type="spellEnd"/>
          </w:p>
        </w:tc>
        <w:tc>
          <w:tcPr>
            <w:tcW w:w="502" w:type="pct"/>
            <w:tcBorders>
              <w:top w:val="single" w:sz="4" w:space="0" w:color="auto"/>
              <w:left w:val="nil"/>
              <w:bottom w:val="single" w:sz="4" w:space="0" w:color="auto"/>
              <w:right w:val="single" w:sz="4" w:space="0" w:color="auto"/>
            </w:tcBorders>
            <w:shd w:val="clear" w:color="auto" w:fill="auto"/>
            <w:noWrap/>
            <w:vAlign w:val="center"/>
          </w:tcPr>
          <w:p w14:paraId="69B95235" w14:textId="57AAE424"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93,28</w:t>
            </w:r>
            <w:r w:rsidR="002230D3">
              <w:rPr>
                <w:rFonts w:cs="Calibri"/>
                <w:color w:val="000000"/>
                <w:sz w:val="16"/>
                <w:szCs w:val="16"/>
              </w:rPr>
              <w:t> </w:t>
            </w:r>
            <w:r w:rsidRPr="00AF72D0">
              <w:rPr>
                <w:rFonts w:cs="Calibri"/>
                <w:color w:val="000000"/>
                <w:sz w:val="16"/>
                <w:szCs w:val="16"/>
              </w:rPr>
              <w:t>%</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05939D6A" w14:textId="7D37C3D5"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88,58</w:t>
            </w:r>
            <w:r w:rsidR="002230D3">
              <w:rPr>
                <w:rFonts w:cs="Calibri"/>
                <w:color w:val="000000"/>
                <w:sz w:val="16"/>
                <w:szCs w:val="16"/>
              </w:rPr>
              <w:t> </w:t>
            </w:r>
            <w:r w:rsidRPr="00AF72D0">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0B0A9D0A" w14:textId="6F41FCDE"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89,97</w:t>
            </w:r>
            <w:r w:rsidR="002230D3">
              <w:rPr>
                <w:rFonts w:cs="Calibri"/>
                <w:color w:val="000000"/>
                <w:sz w:val="16"/>
                <w:szCs w:val="16"/>
              </w:rPr>
              <w:t> </w:t>
            </w:r>
            <w:r w:rsidRPr="00AF72D0">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31373E95" w14:textId="501D98C6"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95,10</w:t>
            </w:r>
            <w:r w:rsidR="002230D3">
              <w:rPr>
                <w:rFonts w:cs="Calibri"/>
                <w:color w:val="000000"/>
                <w:sz w:val="16"/>
                <w:szCs w:val="16"/>
              </w:rPr>
              <w:t> </w:t>
            </w:r>
            <w:r w:rsidRPr="00AF72D0">
              <w:rPr>
                <w:rFonts w:cs="Calibri"/>
                <w:color w:val="000000"/>
                <w:sz w:val="16"/>
                <w:szCs w:val="16"/>
              </w:rPr>
              <w:t>%</w:t>
            </w:r>
          </w:p>
        </w:tc>
        <w:tc>
          <w:tcPr>
            <w:tcW w:w="510" w:type="pct"/>
            <w:tcBorders>
              <w:top w:val="single" w:sz="4" w:space="0" w:color="auto"/>
              <w:left w:val="nil"/>
              <w:bottom w:val="single" w:sz="4" w:space="0" w:color="auto"/>
              <w:right w:val="single" w:sz="4" w:space="0" w:color="auto"/>
            </w:tcBorders>
            <w:vAlign w:val="center"/>
          </w:tcPr>
          <w:p w14:paraId="2F68AB94" w14:textId="5975D7CC"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93,23</w:t>
            </w:r>
            <w:r w:rsidR="002230D3">
              <w:rPr>
                <w:rFonts w:cs="Calibri"/>
                <w:color w:val="000000"/>
                <w:sz w:val="16"/>
                <w:szCs w:val="16"/>
              </w:rPr>
              <w:t> </w:t>
            </w:r>
            <w:r w:rsidRPr="00AF72D0">
              <w:rPr>
                <w:rFonts w:cs="Calibri"/>
                <w:color w:val="000000"/>
                <w:sz w:val="16"/>
                <w:szCs w:val="16"/>
              </w:rPr>
              <w:t>%</w:t>
            </w:r>
          </w:p>
        </w:tc>
      </w:tr>
      <w:tr w:rsidR="00B57597" w:rsidRPr="00AF72D0" w14:paraId="3C97FF86" w14:textId="77777777" w:rsidTr="00B57597">
        <w:trPr>
          <w:trHeight w:val="255"/>
        </w:trPr>
        <w:tc>
          <w:tcPr>
            <w:tcW w:w="428" w:type="pct"/>
            <w:tcBorders>
              <w:top w:val="single" w:sz="4" w:space="0" w:color="auto"/>
              <w:left w:val="single" w:sz="4" w:space="0" w:color="auto"/>
              <w:bottom w:val="single" w:sz="4" w:space="0" w:color="auto"/>
              <w:right w:val="single" w:sz="4" w:space="0" w:color="auto"/>
            </w:tcBorders>
            <w:vAlign w:val="center"/>
          </w:tcPr>
          <w:p w14:paraId="3B219ED7" w14:textId="77777777" w:rsidR="00B57597" w:rsidRPr="00AF72D0" w:rsidRDefault="00B57597" w:rsidP="00AF72D0">
            <w:pPr>
              <w:spacing w:after="0"/>
              <w:jc w:val="center"/>
              <w:rPr>
                <w:rFonts w:eastAsia="Calibri" w:cs="Calibri"/>
                <w:color w:val="000000"/>
                <w:sz w:val="16"/>
                <w:szCs w:val="16"/>
              </w:rPr>
            </w:pPr>
            <w:r w:rsidRPr="00AF72D0">
              <w:rPr>
                <w:rFonts w:cs="Calibri"/>
                <w:color w:val="000000"/>
                <w:sz w:val="16"/>
                <w:szCs w:val="16"/>
              </w:rPr>
              <w:t>00001171</w:t>
            </w:r>
          </w:p>
        </w:tc>
        <w:tc>
          <w:tcPr>
            <w:tcW w:w="2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D768BD" w14:textId="77777777" w:rsidR="00B57597" w:rsidRPr="00AF72D0" w:rsidRDefault="00B57597" w:rsidP="00AF72D0">
            <w:pPr>
              <w:spacing w:after="0"/>
              <w:rPr>
                <w:rFonts w:eastAsia="Calibri" w:cs="Calibri"/>
                <w:color w:val="000000"/>
                <w:sz w:val="16"/>
                <w:szCs w:val="16"/>
              </w:rPr>
            </w:pPr>
            <w:r w:rsidRPr="00AF72D0">
              <w:rPr>
                <w:rFonts w:cs="Calibri"/>
                <w:color w:val="000000"/>
                <w:sz w:val="16"/>
                <w:szCs w:val="16"/>
              </w:rPr>
              <w:t>Česká agentura na podporu obchodu</w:t>
            </w:r>
          </w:p>
        </w:tc>
        <w:tc>
          <w:tcPr>
            <w:tcW w:w="502" w:type="pct"/>
            <w:tcBorders>
              <w:top w:val="single" w:sz="4" w:space="0" w:color="auto"/>
              <w:left w:val="nil"/>
              <w:bottom w:val="single" w:sz="4" w:space="0" w:color="auto"/>
              <w:right w:val="single" w:sz="4" w:space="0" w:color="auto"/>
            </w:tcBorders>
            <w:shd w:val="clear" w:color="auto" w:fill="auto"/>
            <w:noWrap/>
            <w:vAlign w:val="center"/>
          </w:tcPr>
          <w:p w14:paraId="49D9CAD7" w14:textId="4A339743"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78,44</w:t>
            </w:r>
            <w:r w:rsidR="002230D3">
              <w:rPr>
                <w:rFonts w:cs="Calibri"/>
                <w:color w:val="000000"/>
                <w:sz w:val="16"/>
                <w:szCs w:val="16"/>
              </w:rPr>
              <w:t> </w:t>
            </w:r>
            <w:r w:rsidRPr="00AF72D0">
              <w:rPr>
                <w:rFonts w:cs="Calibri"/>
                <w:color w:val="000000"/>
                <w:sz w:val="16"/>
                <w:szCs w:val="16"/>
              </w:rPr>
              <w:t>%</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43476C14" w14:textId="5F60B59E"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84,48</w:t>
            </w:r>
            <w:r w:rsidR="002230D3">
              <w:rPr>
                <w:rFonts w:cs="Calibri"/>
                <w:color w:val="000000"/>
                <w:sz w:val="16"/>
                <w:szCs w:val="16"/>
              </w:rPr>
              <w:t> </w:t>
            </w:r>
            <w:r w:rsidRPr="00AF72D0">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260A0A2B" w14:textId="518EC3E3"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81,63</w:t>
            </w:r>
            <w:r w:rsidR="002230D3">
              <w:rPr>
                <w:rFonts w:cs="Calibri"/>
                <w:color w:val="000000"/>
                <w:sz w:val="16"/>
                <w:szCs w:val="16"/>
              </w:rPr>
              <w:t> </w:t>
            </w:r>
            <w:r w:rsidRPr="00AF72D0">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6A34D15C" w14:textId="1A7ABC6C"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79,60</w:t>
            </w:r>
            <w:r w:rsidR="002230D3">
              <w:rPr>
                <w:rFonts w:cs="Calibri"/>
                <w:color w:val="000000"/>
                <w:sz w:val="16"/>
                <w:szCs w:val="16"/>
              </w:rPr>
              <w:t> </w:t>
            </w:r>
            <w:r w:rsidRPr="00AF72D0">
              <w:rPr>
                <w:rFonts w:cs="Calibri"/>
                <w:color w:val="000000"/>
                <w:sz w:val="16"/>
                <w:szCs w:val="16"/>
              </w:rPr>
              <w:t>%</w:t>
            </w:r>
          </w:p>
        </w:tc>
        <w:tc>
          <w:tcPr>
            <w:tcW w:w="510" w:type="pct"/>
            <w:tcBorders>
              <w:top w:val="single" w:sz="4" w:space="0" w:color="auto"/>
              <w:left w:val="nil"/>
              <w:bottom w:val="single" w:sz="4" w:space="0" w:color="auto"/>
              <w:right w:val="single" w:sz="4" w:space="0" w:color="auto"/>
            </w:tcBorders>
            <w:vAlign w:val="center"/>
          </w:tcPr>
          <w:p w14:paraId="0750AA0A" w14:textId="18E48886"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92,16</w:t>
            </w:r>
            <w:r w:rsidR="002230D3">
              <w:rPr>
                <w:rFonts w:cs="Calibri"/>
                <w:color w:val="000000"/>
                <w:sz w:val="16"/>
                <w:szCs w:val="16"/>
              </w:rPr>
              <w:t> </w:t>
            </w:r>
            <w:r w:rsidRPr="00AF72D0">
              <w:rPr>
                <w:rFonts w:cs="Calibri"/>
                <w:color w:val="000000"/>
                <w:sz w:val="16"/>
                <w:szCs w:val="16"/>
              </w:rPr>
              <w:t>%</w:t>
            </w:r>
          </w:p>
        </w:tc>
      </w:tr>
      <w:tr w:rsidR="00B57597" w:rsidRPr="00AF72D0" w14:paraId="159850EF" w14:textId="77777777" w:rsidTr="00B57597">
        <w:trPr>
          <w:trHeight w:val="255"/>
        </w:trPr>
        <w:tc>
          <w:tcPr>
            <w:tcW w:w="428" w:type="pct"/>
            <w:tcBorders>
              <w:top w:val="single" w:sz="4" w:space="0" w:color="auto"/>
              <w:left w:val="single" w:sz="4" w:space="0" w:color="auto"/>
              <w:bottom w:val="single" w:sz="4" w:space="0" w:color="auto"/>
              <w:right w:val="single" w:sz="4" w:space="0" w:color="auto"/>
            </w:tcBorders>
            <w:vAlign w:val="center"/>
          </w:tcPr>
          <w:p w14:paraId="2E3292DE" w14:textId="77777777" w:rsidR="00B57597" w:rsidRPr="00AF72D0" w:rsidRDefault="00B57597" w:rsidP="00AF72D0">
            <w:pPr>
              <w:spacing w:after="0"/>
              <w:jc w:val="center"/>
              <w:rPr>
                <w:rFonts w:eastAsia="Calibri" w:cs="Calibri"/>
                <w:color w:val="000000"/>
                <w:sz w:val="16"/>
                <w:szCs w:val="16"/>
              </w:rPr>
            </w:pPr>
            <w:r w:rsidRPr="00AF72D0">
              <w:rPr>
                <w:rFonts w:cs="Calibri"/>
                <w:color w:val="000000"/>
                <w:sz w:val="16"/>
                <w:szCs w:val="16"/>
              </w:rPr>
              <w:t>06578705</w:t>
            </w:r>
          </w:p>
        </w:tc>
        <w:tc>
          <w:tcPr>
            <w:tcW w:w="2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92AA9" w14:textId="77777777" w:rsidR="00B57597" w:rsidRPr="00AF72D0" w:rsidRDefault="00B57597" w:rsidP="00AF72D0">
            <w:pPr>
              <w:spacing w:after="0"/>
              <w:rPr>
                <w:rFonts w:eastAsia="Calibri" w:cs="Calibri"/>
                <w:color w:val="000000"/>
                <w:sz w:val="16"/>
                <w:szCs w:val="16"/>
              </w:rPr>
            </w:pPr>
            <w:r w:rsidRPr="00AF72D0">
              <w:rPr>
                <w:rFonts w:cs="Calibri"/>
                <w:color w:val="000000"/>
                <w:sz w:val="16"/>
                <w:szCs w:val="16"/>
              </w:rPr>
              <w:t>Česká agentura pro standardizaci</w:t>
            </w:r>
          </w:p>
        </w:tc>
        <w:tc>
          <w:tcPr>
            <w:tcW w:w="502" w:type="pct"/>
            <w:tcBorders>
              <w:top w:val="single" w:sz="4" w:space="0" w:color="auto"/>
              <w:left w:val="nil"/>
              <w:bottom w:val="single" w:sz="4" w:space="0" w:color="auto"/>
              <w:right w:val="single" w:sz="4" w:space="0" w:color="auto"/>
            </w:tcBorders>
            <w:shd w:val="clear" w:color="auto" w:fill="auto"/>
            <w:noWrap/>
            <w:vAlign w:val="center"/>
          </w:tcPr>
          <w:p w14:paraId="5D267155" w14:textId="77777777"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x </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26D69ED9" w14:textId="77777777"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x </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1298C3ED" w14:textId="6CFDC363"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31,81</w:t>
            </w:r>
            <w:r w:rsidR="002230D3">
              <w:rPr>
                <w:rFonts w:cs="Calibri"/>
                <w:color w:val="000000"/>
                <w:sz w:val="16"/>
                <w:szCs w:val="16"/>
              </w:rPr>
              <w:t> </w:t>
            </w:r>
            <w:r w:rsidRPr="00AF72D0">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09A10D74" w14:textId="719B4290"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35,65</w:t>
            </w:r>
            <w:r w:rsidR="002230D3">
              <w:rPr>
                <w:rFonts w:cs="Calibri"/>
                <w:color w:val="000000"/>
                <w:sz w:val="16"/>
                <w:szCs w:val="16"/>
              </w:rPr>
              <w:t> </w:t>
            </w:r>
            <w:r w:rsidRPr="00AF72D0">
              <w:rPr>
                <w:rFonts w:cs="Calibri"/>
                <w:color w:val="000000"/>
                <w:sz w:val="16"/>
                <w:szCs w:val="16"/>
              </w:rPr>
              <w:t>%</w:t>
            </w:r>
          </w:p>
        </w:tc>
        <w:tc>
          <w:tcPr>
            <w:tcW w:w="510" w:type="pct"/>
            <w:tcBorders>
              <w:top w:val="single" w:sz="4" w:space="0" w:color="auto"/>
              <w:left w:val="nil"/>
              <w:bottom w:val="single" w:sz="4" w:space="0" w:color="auto"/>
              <w:right w:val="single" w:sz="4" w:space="0" w:color="auto"/>
            </w:tcBorders>
            <w:vAlign w:val="center"/>
          </w:tcPr>
          <w:p w14:paraId="028DD105" w14:textId="1256473D"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35,88</w:t>
            </w:r>
            <w:r w:rsidR="002230D3">
              <w:rPr>
                <w:rFonts w:cs="Calibri"/>
                <w:color w:val="000000"/>
                <w:sz w:val="16"/>
                <w:szCs w:val="16"/>
              </w:rPr>
              <w:t> </w:t>
            </w:r>
            <w:r w:rsidRPr="00AF72D0">
              <w:rPr>
                <w:rFonts w:cs="Calibri"/>
                <w:color w:val="000000"/>
                <w:sz w:val="16"/>
                <w:szCs w:val="16"/>
              </w:rPr>
              <w:t>%</w:t>
            </w:r>
          </w:p>
        </w:tc>
      </w:tr>
      <w:tr w:rsidR="00B57597" w:rsidRPr="00AF72D0" w14:paraId="3AB00675" w14:textId="77777777" w:rsidTr="00B57597">
        <w:trPr>
          <w:trHeight w:val="255"/>
        </w:trPr>
        <w:tc>
          <w:tcPr>
            <w:tcW w:w="428" w:type="pct"/>
            <w:tcBorders>
              <w:top w:val="single" w:sz="4" w:space="0" w:color="auto"/>
              <w:left w:val="single" w:sz="4" w:space="0" w:color="auto"/>
              <w:bottom w:val="single" w:sz="4" w:space="0" w:color="auto"/>
              <w:right w:val="single" w:sz="4" w:space="0" w:color="auto"/>
            </w:tcBorders>
            <w:vAlign w:val="center"/>
          </w:tcPr>
          <w:p w14:paraId="0F65A96F" w14:textId="77777777" w:rsidR="00B57597" w:rsidRPr="00AF72D0" w:rsidRDefault="00B57597" w:rsidP="00AF72D0">
            <w:pPr>
              <w:spacing w:after="0"/>
              <w:jc w:val="center"/>
              <w:rPr>
                <w:rFonts w:eastAsia="Calibri" w:cs="Calibri"/>
                <w:color w:val="000000"/>
                <w:sz w:val="16"/>
                <w:szCs w:val="16"/>
              </w:rPr>
            </w:pPr>
            <w:r w:rsidRPr="00AF72D0">
              <w:rPr>
                <w:rFonts w:cs="Calibri"/>
                <w:color w:val="000000"/>
                <w:sz w:val="16"/>
                <w:szCs w:val="16"/>
              </w:rPr>
              <w:t>00177016</w:t>
            </w:r>
          </w:p>
        </w:tc>
        <w:tc>
          <w:tcPr>
            <w:tcW w:w="2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21D22D" w14:textId="77777777" w:rsidR="00B57597" w:rsidRPr="00AF72D0" w:rsidRDefault="00B57597" w:rsidP="00AF72D0">
            <w:pPr>
              <w:spacing w:after="0"/>
              <w:rPr>
                <w:rFonts w:eastAsia="Calibri" w:cs="Calibri"/>
                <w:color w:val="000000"/>
                <w:sz w:val="16"/>
                <w:szCs w:val="16"/>
              </w:rPr>
            </w:pPr>
            <w:r w:rsidRPr="00AF72D0">
              <w:rPr>
                <w:rFonts w:cs="Calibri"/>
                <w:color w:val="000000"/>
                <w:sz w:val="16"/>
                <w:szCs w:val="16"/>
              </w:rPr>
              <w:t>Český metrologický institut</w:t>
            </w:r>
          </w:p>
        </w:tc>
        <w:tc>
          <w:tcPr>
            <w:tcW w:w="502" w:type="pct"/>
            <w:tcBorders>
              <w:top w:val="single" w:sz="4" w:space="0" w:color="auto"/>
              <w:left w:val="nil"/>
              <w:bottom w:val="single" w:sz="4" w:space="0" w:color="auto"/>
              <w:right w:val="single" w:sz="4" w:space="0" w:color="auto"/>
            </w:tcBorders>
            <w:shd w:val="clear" w:color="auto" w:fill="auto"/>
            <w:noWrap/>
            <w:vAlign w:val="center"/>
          </w:tcPr>
          <w:p w14:paraId="0E88F3CC" w14:textId="383EB092"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27,53</w:t>
            </w:r>
            <w:r w:rsidR="002230D3">
              <w:rPr>
                <w:rFonts w:cs="Calibri"/>
                <w:color w:val="000000"/>
                <w:sz w:val="16"/>
                <w:szCs w:val="16"/>
              </w:rPr>
              <w:t> </w:t>
            </w:r>
            <w:r w:rsidRPr="00AF72D0">
              <w:rPr>
                <w:rFonts w:cs="Calibri"/>
                <w:color w:val="000000"/>
                <w:sz w:val="16"/>
                <w:szCs w:val="16"/>
              </w:rPr>
              <w:t>%</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36FD9EB8" w14:textId="1C245654"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28,35</w:t>
            </w:r>
            <w:r w:rsidR="002230D3">
              <w:rPr>
                <w:rFonts w:cs="Calibri"/>
                <w:color w:val="000000"/>
                <w:sz w:val="16"/>
                <w:szCs w:val="16"/>
              </w:rPr>
              <w:t> </w:t>
            </w:r>
            <w:r w:rsidRPr="00AF72D0">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3ABEC8DE" w14:textId="5E3DAAB1"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33,98</w:t>
            </w:r>
            <w:r w:rsidR="002230D3">
              <w:rPr>
                <w:rFonts w:cs="Calibri"/>
                <w:color w:val="000000"/>
                <w:sz w:val="16"/>
                <w:szCs w:val="16"/>
              </w:rPr>
              <w:t> </w:t>
            </w:r>
            <w:r w:rsidRPr="00AF72D0">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442CC630" w14:textId="6C558B84"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28,51</w:t>
            </w:r>
            <w:r w:rsidR="002230D3">
              <w:rPr>
                <w:rFonts w:cs="Calibri"/>
                <w:color w:val="000000"/>
                <w:sz w:val="16"/>
                <w:szCs w:val="16"/>
              </w:rPr>
              <w:t> </w:t>
            </w:r>
            <w:r w:rsidRPr="00AF72D0">
              <w:rPr>
                <w:rFonts w:cs="Calibri"/>
                <w:color w:val="000000"/>
                <w:sz w:val="16"/>
                <w:szCs w:val="16"/>
              </w:rPr>
              <w:t>%</w:t>
            </w:r>
          </w:p>
        </w:tc>
        <w:tc>
          <w:tcPr>
            <w:tcW w:w="510" w:type="pct"/>
            <w:tcBorders>
              <w:top w:val="single" w:sz="4" w:space="0" w:color="auto"/>
              <w:left w:val="nil"/>
              <w:bottom w:val="single" w:sz="4" w:space="0" w:color="auto"/>
              <w:right w:val="single" w:sz="4" w:space="0" w:color="auto"/>
            </w:tcBorders>
            <w:vAlign w:val="center"/>
          </w:tcPr>
          <w:p w14:paraId="04BBFB9A" w14:textId="12F79860"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26,48</w:t>
            </w:r>
            <w:r w:rsidR="002230D3">
              <w:rPr>
                <w:rFonts w:cs="Calibri"/>
                <w:color w:val="000000"/>
                <w:sz w:val="16"/>
                <w:szCs w:val="16"/>
              </w:rPr>
              <w:t> </w:t>
            </w:r>
            <w:r w:rsidRPr="00AF72D0">
              <w:rPr>
                <w:rFonts w:cs="Calibri"/>
                <w:color w:val="000000"/>
                <w:sz w:val="16"/>
                <w:szCs w:val="16"/>
              </w:rPr>
              <w:t>%</w:t>
            </w:r>
          </w:p>
        </w:tc>
      </w:tr>
      <w:tr w:rsidR="00B57597" w:rsidRPr="00AF72D0" w14:paraId="7915A5D1" w14:textId="77777777" w:rsidTr="00B57597">
        <w:trPr>
          <w:trHeight w:val="255"/>
        </w:trPr>
        <w:tc>
          <w:tcPr>
            <w:tcW w:w="428" w:type="pct"/>
            <w:tcBorders>
              <w:top w:val="single" w:sz="4" w:space="0" w:color="auto"/>
              <w:left w:val="single" w:sz="4" w:space="0" w:color="auto"/>
              <w:bottom w:val="single" w:sz="4" w:space="0" w:color="auto"/>
              <w:right w:val="single" w:sz="4" w:space="0" w:color="auto"/>
            </w:tcBorders>
            <w:vAlign w:val="center"/>
          </w:tcPr>
          <w:p w14:paraId="0DF4833C" w14:textId="77777777" w:rsidR="00B57597" w:rsidRPr="00AF72D0" w:rsidRDefault="00B57597" w:rsidP="00AF72D0">
            <w:pPr>
              <w:spacing w:after="0"/>
              <w:jc w:val="center"/>
              <w:rPr>
                <w:rFonts w:eastAsia="Calibri" w:cs="Calibri"/>
                <w:color w:val="000000"/>
                <w:sz w:val="16"/>
                <w:szCs w:val="16"/>
              </w:rPr>
            </w:pPr>
            <w:r w:rsidRPr="00AF72D0">
              <w:rPr>
                <w:rFonts w:cs="Calibri"/>
                <w:color w:val="000000"/>
                <w:sz w:val="16"/>
                <w:szCs w:val="16"/>
              </w:rPr>
              <w:t>61382060</w:t>
            </w:r>
          </w:p>
        </w:tc>
        <w:tc>
          <w:tcPr>
            <w:tcW w:w="2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B4845" w14:textId="77777777" w:rsidR="00B57597" w:rsidRPr="00AF72D0" w:rsidRDefault="00B57597" w:rsidP="00AF72D0">
            <w:pPr>
              <w:spacing w:after="0"/>
              <w:rPr>
                <w:rFonts w:eastAsia="Calibri" w:cs="Calibri"/>
                <w:color w:val="000000"/>
                <w:sz w:val="16"/>
                <w:szCs w:val="16"/>
              </w:rPr>
            </w:pPr>
            <w:r w:rsidRPr="00AF72D0">
              <w:rPr>
                <w:rFonts w:cs="Calibri"/>
                <w:color w:val="000000"/>
                <w:sz w:val="16"/>
                <w:szCs w:val="16"/>
              </w:rPr>
              <w:t>Správa služeb Ministerstva průmyslu a obchodu ČR</w:t>
            </w:r>
          </w:p>
        </w:tc>
        <w:tc>
          <w:tcPr>
            <w:tcW w:w="502" w:type="pct"/>
            <w:tcBorders>
              <w:top w:val="single" w:sz="4" w:space="0" w:color="auto"/>
              <w:left w:val="nil"/>
              <w:bottom w:val="single" w:sz="4" w:space="0" w:color="auto"/>
              <w:right w:val="single" w:sz="4" w:space="0" w:color="auto"/>
            </w:tcBorders>
            <w:shd w:val="clear" w:color="auto" w:fill="auto"/>
            <w:noWrap/>
            <w:vAlign w:val="center"/>
          </w:tcPr>
          <w:p w14:paraId="60F0771A" w14:textId="5808929A"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94,02</w:t>
            </w:r>
            <w:r w:rsidR="002230D3">
              <w:rPr>
                <w:rFonts w:cs="Calibri"/>
                <w:color w:val="000000"/>
                <w:sz w:val="16"/>
                <w:szCs w:val="16"/>
              </w:rPr>
              <w:t> </w:t>
            </w:r>
            <w:r w:rsidRPr="00AF72D0">
              <w:rPr>
                <w:rFonts w:cs="Calibri"/>
                <w:color w:val="000000"/>
                <w:sz w:val="16"/>
                <w:szCs w:val="16"/>
              </w:rPr>
              <w:t>%</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0415F9FD" w14:textId="39108585"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95,86</w:t>
            </w:r>
            <w:r w:rsidR="002230D3">
              <w:rPr>
                <w:rFonts w:cs="Calibri"/>
                <w:color w:val="000000"/>
                <w:sz w:val="16"/>
                <w:szCs w:val="16"/>
              </w:rPr>
              <w:t> </w:t>
            </w:r>
            <w:r w:rsidRPr="00AF72D0">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5A2414B5" w14:textId="7ECA40B5"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96,71</w:t>
            </w:r>
            <w:r w:rsidR="002230D3">
              <w:rPr>
                <w:rFonts w:cs="Calibri"/>
                <w:color w:val="000000"/>
                <w:sz w:val="16"/>
                <w:szCs w:val="16"/>
              </w:rPr>
              <w:t> </w:t>
            </w:r>
            <w:r w:rsidRPr="00AF72D0">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353B4DA1" w14:textId="28D634E0"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95,35</w:t>
            </w:r>
            <w:r w:rsidR="002230D3">
              <w:rPr>
                <w:rFonts w:cs="Calibri"/>
                <w:color w:val="000000"/>
                <w:sz w:val="16"/>
                <w:szCs w:val="16"/>
              </w:rPr>
              <w:t> </w:t>
            </w:r>
            <w:r w:rsidRPr="00AF72D0">
              <w:rPr>
                <w:rFonts w:cs="Calibri"/>
                <w:color w:val="000000"/>
                <w:sz w:val="16"/>
                <w:szCs w:val="16"/>
              </w:rPr>
              <w:t>%</w:t>
            </w:r>
          </w:p>
        </w:tc>
        <w:tc>
          <w:tcPr>
            <w:tcW w:w="510" w:type="pct"/>
            <w:tcBorders>
              <w:top w:val="single" w:sz="4" w:space="0" w:color="auto"/>
              <w:left w:val="nil"/>
              <w:bottom w:val="single" w:sz="4" w:space="0" w:color="auto"/>
              <w:right w:val="single" w:sz="4" w:space="0" w:color="auto"/>
            </w:tcBorders>
            <w:vAlign w:val="center"/>
          </w:tcPr>
          <w:p w14:paraId="3F1DE637" w14:textId="3F9D4A9B"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98,46</w:t>
            </w:r>
            <w:r w:rsidR="002230D3">
              <w:rPr>
                <w:rFonts w:cs="Calibri"/>
                <w:color w:val="000000"/>
                <w:sz w:val="16"/>
                <w:szCs w:val="16"/>
              </w:rPr>
              <w:t> </w:t>
            </w:r>
            <w:r w:rsidRPr="00AF72D0">
              <w:rPr>
                <w:rFonts w:cs="Calibri"/>
                <w:color w:val="000000"/>
                <w:sz w:val="16"/>
                <w:szCs w:val="16"/>
              </w:rPr>
              <w:t>%</w:t>
            </w:r>
          </w:p>
        </w:tc>
      </w:tr>
      <w:tr w:rsidR="00B57597" w:rsidRPr="00AF72D0" w14:paraId="62BCBDCD" w14:textId="77777777" w:rsidTr="00B57597">
        <w:trPr>
          <w:trHeight w:val="255"/>
        </w:trPr>
        <w:tc>
          <w:tcPr>
            <w:tcW w:w="428" w:type="pct"/>
            <w:tcBorders>
              <w:top w:val="single" w:sz="4" w:space="0" w:color="auto"/>
              <w:left w:val="single" w:sz="4" w:space="0" w:color="auto"/>
              <w:bottom w:val="single" w:sz="4" w:space="0" w:color="auto"/>
              <w:right w:val="single" w:sz="4" w:space="0" w:color="auto"/>
            </w:tcBorders>
            <w:vAlign w:val="center"/>
          </w:tcPr>
          <w:p w14:paraId="4E873AF6" w14:textId="77777777" w:rsidR="00B57597" w:rsidRPr="00AF72D0" w:rsidRDefault="00B57597" w:rsidP="00AF72D0">
            <w:pPr>
              <w:spacing w:after="0"/>
              <w:jc w:val="center"/>
              <w:rPr>
                <w:rFonts w:eastAsia="Calibri" w:cs="Calibri"/>
                <w:color w:val="000000"/>
                <w:sz w:val="16"/>
                <w:szCs w:val="16"/>
              </w:rPr>
            </w:pPr>
            <w:r w:rsidRPr="00AF72D0">
              <w:rPr>
                <w:rFonts w:cs="Calibri"/>
                <w:color w:val="000000"/>
                <w:sz w:val="16"/>
                <w:szCs w:val="16"/>
              </w:rPr>
              <w:t>00002348</w:t>
            </w:r>
          </w:p>
        </w:tc>
        <w:tc>
          <w:tcPr>
            <w:tcW w:w="2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EDC8E8" w14:textId="77777777" w:rsidR="00B57597" w:rsidRPr="00AF72D0" w:rsidRDefault="00B57597" w:rsidP="00AF72D0">
            <w:pPr>
              <w:spacing w:after="0"/>
              <w:rPr>
                <w:rFonts w:eastAsia="Calibri" w:cs="Calibri"/>
                <w:color w:val="000000"/>
                <w:sz w:val="16"/>
                <w:szCs w:val="16"/>
              </w:rPr>
            </w:pPr>
            <w:r w:rsidRPr="00AF72D0">
              <w:rPr>
                <w:rFonts w:cs="Calibri"/>
                <w:color w:val="000000"/>
                <w:sz w:val="16"/>
                <w:szCs w:val="16"/>
              </w:rPr>
              <w:t>Státní výzkumný ústav materiálu</w:t>
            </w:r>
          </w:p>
        </w:tc>
        <w:tc>
          <w:tcPr>
            <w:tcW w:w="502" w:type="pct"/>
            <w:tcBorders>
              <w:top w:val="single" w:sz="4" w:space="0" w:color="auto"/>
              <w:left w:val="nil"/>
              <w:bottom w:val="single" w:sz="4" w:space="0" w:color="auto"/>
              <w:right w:val="single" w:sz="4" w:space="0" w:color="auto"/>
            </w:tcBorders>
            <w:shd w:val="clear" w:color="auto" w:fill="auto"/>
            <w:noWrap/>
            <w:vAlign w:val="center"/>
          </w:tcPr>
          <w:p w14:paraId="21414872" w14:textId="5BECF54F"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0,00</w:t>
            </w:r>
            <w:r w:rsidR="002230D3">
              <w:rPr>
                <w:rFonts w:cs="Calibri"/>
                <w:color w:val="000000"/>
                <w:sz w:val="16"/>
                <w:szCs w:val="16"/>
              </w:rPr>
              <w:t> </w:t>
            </w:r>
            <w:r w:rsidRPr="00AF72D0">
              <w:rPr>
                <w:rFonts w:cs="Calibri"/>
                <w:color w:val="000000"/>
                <w:sz w:val="16"/>
                <w:szCs w:val="16"/>
              </w:rPr>
              <w:t>%</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608500EC" w14:textId="77777777"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x </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698150D2" w14:textId="77777777"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x </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2106887E" w14:textId="77777777"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x </w:t>
            </w:r>
          </w:p>
        </w:tc>
        <w:tc>
          <w:tcPr>
            <w:tcW w:w="510" w:type="pct"/>
            <w:tcBorders>
              <w:top w:val="single" w:sz="4" w:space="0" w:color="auto"/>
              <w:left w:val="nil"/>
              <w:bottom w:val="single" w:sz="4" w:space="0" w:color="auto"/>
              <w:right w:val="single" w:sz="4" w:space="0" w:color="auto"/>
            </w:tcBorders>
            <w:vAlign w:val="center"/>
          </w:tcPr>
          <w:p w14:paraId="12AF1B73" w14:textId="77777777" w:rsidR="00B57597" w:rsidRPr="00AF72D0" w:rsidRDefault="00B57597" w:rsidP="00AF72D0">
            <w:pPr>
              <w:spacing w:after="0"/>
              <w:ind w:right="57"/>
              <w:jc w:val="right"/>
              <w:rPr>
                <w:rFonts w:eastAsia="Calibri" w:cs="Calibri"/>
                <w:color w:val="000000"/>
                <w:sz w:val="16"/>
                <w:szCs w:val="16"/>
              </w:rPr>
            </w:pPr>
            <w:r w:rsidRPr="00AF72D0">
              <w:rPr>
                <w:rFonts w:cs="Calibri"/>
                <w:color w:val="000000"/>
                <w:sz w:val="16"/>
                <w:szCs w:val="16"/>
              </w:rPr>
              <w:t>x </w:t>
            </w:r>
          </w:p>
        </w:tc>
      </w:tr>
      <w:tr w:rsidR="00B57597" w:rsidRPr="00AF72D0" w14:paraId="020BFEE0" w14:textId="77777777" w:rsidTr="00B57597">
        <w:trPr>
          <w:trHeight w:val="255"/>
        </w:trPr>
        <w:tc>
          <w:tcPr>
            <w:tcW w:w="2453" w:type="pct"/>
            <w:gridSpan w:val="2"/>
            <w:tcBorders>
              <w:top w:val="single" w:sz="4" w:space="0" w:color="auto"/>
              <w:left w:val="single" w:sz="4" w:space="0" w:color="auto"/>
              <w:bottom w:val="single" w:sz="4" w:space="0" w:color="auto"/>
              <w:right w:val="single" w:sz="4" w:space="0" w:color="auto"/>
            </w:tcBorders>
            <w:shd w:val="clear" w:color="auto" w:fill="F2C6C9"/>
            <w:vAlign w:val="center"/>
          </w:tcPr>
          <w:p w14:paraId="7DCA560F" w14:textId="77777777" w:rsidR="00B57597" w:rsidRPr="00AF72D0" w:rsidRDefault="00B57597" w:rsidP="00AF72D0">
            <w:pPr>
              <w:spacing w:after="0"/>
              <w:rPr>
                <w:rFonts w:eastAsia="Calibri" w:cs="Calibri"/>
                <w:b/>
                <w:color w:val="000000"/>
                <w:sz w:val="16"/>
                <w:szCs w:val="16"/>
              </w:rPr>
            </w:pPr>
            <w:r w:rsidRPr="00AF72D0">
              <w:rPr>
                <w:rFonts w:cs="Calibri"/>
                <w:b/>
                <w:bCs/>
                <w:color w:val="000000"/>
                <w:sz w:val="16"/>
                <w:szCs w:val="16"/>
              </w:rPr>
              <w:t>Podíl výnosů z transferů PO v rozpočtové kapitole 322 na celkových výnosech PO</w:t>
            </w:r>
          </w:p>
        </w:tc>
        <w:tc>
          <w:tcPr>
            <w:tcW w:w="502" w:type="pct"/>
            <w:tcBorders>
              <w:top w:val="single" w:sz="4" w:space="0" w:color="auto"/>
              <w:left w:val="nil"/>
              <w:bottom w:val="single" w:sz="4" w:space="0" w:color="auto"/>
              <w:right w:val="single" w:sz="4" w:space="0" w:color="auto"/>
            </w:tcBorders>
            <w:shd w:val="clear" w:color="auto" w:fill="F2C6C9"/>
            <w:noWrap/>
            <w:vAlign w:val="center"/>
          </w:tcPr>
          <w:p w14:paraId="56546F90" w14:textId="2C8BCFF6" w:rsidR="00B57597" w:rsidRPr="00AF72D0" w:rsidRDefault="00B57597" w:rsidP="00AF72D0">
            <w:pPr>
              <w:spacing w:after="0"/>
              <w:ind w:right="57"/>
              <w:jc w:val="right"/>
              <w:rPr>
                <w:rFonts w:eastAsia="Calibri" w:cs="Calibri"/>
                <w:b/>
                <w:bCs/>
                <w:color w:val="000000"/>
                <w:sz w:val="16"/>
                <w:szCs w:val="16"/>
              </w:rPr>
            </w:pPr>
            <w:r w:rsidRPr="00AF72D0">
              <w:rPr>
                <w:rFonts w:cs="Calibri"/>
                <w:b/>
                <w:bCs/>
                <w:color w:val="000000"/>
                <w:sz w:val="16"/>
                <w:szCs w:val="16"/>
              </w:rPr>
              <w:t>60,34</w:t>
            </w:r>
            <w:r w:rsidR="002230D3">
              <w:rPr>
                <w:rFonts w:cs="Calibri"/>
                <w:b/>
                <w:bCs/>
                <w:color w:val="000000"/>
                <w:sz w:val="16"/>
                <w:szCs w:val="16"/>
              </w:rPr>
              <w:t> </w:t>
            </w:r>
            <w:r w:rsidRPr="00AF72D0">
              <w:rPr>
                <w:rFonts w:cs="Calibri"/>
                <w:b/>
                <w:bCs/>
                <w:color w:val="000000"/>
                <w:sz w:val="16"/>
                <w:szCs w:val="16"/>
              </w:rPr>
              <w:t>%</w:t>
            </w:r>
          </w:p>
        </w:tc>
        <w:tc>
          <w:tcPr>
            <w:tcW w:w="511" w:type="pct"/>
            <w:tcBorders>
              <w:top w:val="single" w:sz="4" w:space="0" w:color="auto"/>
              <w:left w:val="nil"/>
              <w:bottom w:val="single" w:sz="4" w:space="0" w:color="auto"/>
              <w:right w:val="single" w:sz="4" w:space="0" w:color="auto"/>
            </w:tcBorders>
            <w:shd w:val="clear" w:color="auto" w:fill="F2C6C9"/>
            <w:noWrap/>
            <w:vAlign w:val="center"/>
          </w:tcPr>
          <w:p w14:paraId="0048D9BB" w14:textId="49DF1136" w:rsidR="00B57597" w:rsidRPr="00AF72D0" w:rsidRDefault="00B57597" w:rsidP="00AF72D0">
            <w:pPr>
              <w:spacing w:after="0"/>
              <w:ind w:right="57"/>
              <w:jc w:val="right"/>
              <w:rPr>
                <w:rFonts w:eastAsia="Calibri" w:cs="Calibri"/>
                <w:b/>
                <w:bCs/>
                <w:color w:val="000000"/>
                <w:sz w:val="16"/>
                <w:szCs w:val="16"/>
              </w:rPr>
            </w:pPr>
            <w:r w:rsidRPr="00AF72D0">
              <w:rPr>
                <w:rFonts w:cs="Calibri"/>
                <w:b/>
                <w:bCs/>
                <w:color w:val="000000"/>
                <w:sz w:val="16"/>
                <w:szCs w:val="16"/>
              </w:rPr>
              <w:t>65,00</w:t>
            </w:r>
            <w:r w:rsidR="002230D3">
              <w:rPr>
                <w:rFonts w:cs="Calibri"/>
                <w:b/>
                <w:bCs/>
                <w:color w:val="000000"/>
                <w:sz w:val="16"/>
                <w:szCs w:val="16"/>
              </w:rPr>
              <w:t> </w:t>
            </w:r>
            <w:r w:rsidRPr="00AF72D0">
              <w:rPr>
                <w:rFonts w:cs="Calibri"/>
                <w:b/>
                <w:bCs/>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F2C6C9"/>
            <w:noWrap/>
            <w:vAlign w:val="center"/>
          </w:tcPr>
          <w:p w14:paraId="05D59C6D" w14:textId="30215BFC" w:rsidR="00B57597" w:rsidRPr="00AF72D0" w:rsidRDefault="00B57597" w:rsidP="00AF72D0">
            <w:pPr>
              <w:spacing w:after="0"/>
              <w:ind w:right="57"/>
              <w:jc w:val="right"/>
              <w:rPr>
                <w:rFonts w:eastAsia="Calibri" w:cs="Calibri"/>
                <w:b/>
                <w:bCs/>
                <w:color w:val="000000"/>
                <w:sz w:val="16"/>
                <w:szCs w:val="16"/>
              </w:rPr>
            </w:pPr>
            <w:r w:rsidRPr="00AF72D0">
              <w:rPr>
                <w:rFonts w:cs="Calibri"/>
                <w:b/>
                <w:bCs/>
                <w:color w:val="000000"/>
                <w:sz w:val="16"/>
                <w:szCs w:val="16"/>
              </w:rPr>
              <w:t>62,47</w:t>
            </w:r>
            <w:r w:rsidR="002230D3">
              <w:rPr>
                <w:rFonts w:cs="Calibri"/>
                <w:b/>
                <w:bCs/>
                <w:color w:val="000000"/>
                <w:sz w:val="16"/>
                <w:szCs w:val="16"/>
              </w:rPr>
              <w:t> </w:t>
            </w:r>
            <w:r w:rsidRPr="00AF72D0">
              <w:rPr>
                <w:rFonts w:cs="Calibri"/>
                <w:b/>
                <w:bCs/>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F2C6C9"/>
            <w:noWrap/>
            <w:vAlign w:val="center"/>
          </w:tcPr>
          <w:p w14:paraId="6EDEABA2" w14:textId="3CB73AD6" w:rsidR="00B57597" w:rsidRPr="00AF72D0" w:rsidRDefault="00B57597" w:rsidP="00AF72D0">
            <w:pPr>
              <w:spacing w:after="0"/>
              <w:ind w:right="57"/>
              <w:jc w:val="right"/>
              <w:rPr>
                <w:rFonts w:eastAsia="Calibri" w:cs="Calibri"/>
                <w:b/>
                <w:bCs/>
                <w:color w:val="000000"/>
                <w:sz w:val="16"/>
                <w:szCs w:val="16"/>
              </w:rPr>
            </w:pPr>
            <w:r w:rsidRPr="00AF72D0">
              <w:rPr>
                <w:rFonts w:cs="Calibri"/>
                <w:b/>
                <w:bCs/>
                <w:color w:val="000000"/>
                <w:sz w:val="16"/>
                <w:szCs w:val="16"/>
              </w:rPr>
              <w:t>60,16</w:t>
            </w:r>
            <w:r w:rsidR="002230D3">
              <w:rPr>
                <w:rFonts w:cs="Calibri"/>
                <w:b/>
                <w:bCs/>
                <w:color w:val="000000"/>
                <w:sz w:val="16"/>
                <w:szCs w:val="16"/>
              </w:rPr>
              <w:t> </w:t>
            </w:r>
            <w:r w:rsidRPr="00AF72D0">
              <w:rPr>
                <w:rFonts w:cs="Calibri"/>
                <w:b/>
                <w:bCs/>
                <w:color w:val="000000"/>
                <w:sz w:val="16"/>
                <w:szCs w:val="16"/>
              </w:rPr>
              <w:t>%</w:t>
            </w:r>
          </w:p>
        </w:tc>
        <w:tc>
          <w:tcPr>
            <w:tcW w:w="510" w:type="pct"/>
            <w:tcBorders>
              <w:top w:val="single" w:sz="4" w:space="0" w:color="auto"/>
              <w:left w:val="nil"/>
              <w:bottom w:val="single" w:sz="4" w:space="0" w:color="auto"/>
              <w:right w:val="single" w:sz="4" w:space="0" w:color="auto"/>
            </w:tcBorders>
            <w:shd w:val="clear" w:color="auto" w:fill="F2C6C9"/>
            <w:vAlign w:val="center"/>
          </w:tcPr>
          <w:p w14:paraId="6F6B4A3D" w14:textId="1043EAD6" w:rsidR="00B57597" w:rsidRPr="00AF72D0" w:rsidRDefault="00B57597" w:rsidP="00AF72D0">
            <w:pPr>
              <w:spacing w:after="0"/>
              <w:ind w:right="57"/>
              <w:jc w:val="right"/>
              <w:rPr>
                <w:rFonts w:eastAsia="Calibri" w:cs="Calibri"/>
                <w:b/>
                <w:bCs/>
                <w:color w:val="000000"/>
                <w:sz w:val="16"/>
                <w:szCs w:val="16"/>
              </w:rPr>
            </w:pPr>
            <w:r w:rsidRPr="00AF72D0">
              <w:rPr>
                <w:rFonts w:cs="Calibri"/>
                <w:b/>
                <w:bCs/>
                <w:color w:val="000000"/>
                <w:sz w:val="16"/>
                <w:szCs w:val="16"/>
              </w:rPr>
              <w:t>60,83</w:t>
            </w:r>
            <w:r w:rsidR="002230D3">
              <w:rPr>
                <w:rFonts w:cs="Calibri"/>
                <w:b/>
                <w:bCs/>
                <w:color w:val="000000"/>
                <w:sz w:val="16"/>
                <w:szCs w:val="16"/>
              </w:rPr>
              <w:t> </w:t>
            </w:r>
            <w:r w:rsidRPr="00AF72D0">
              <w:rPr>
                <w:rFonts w:cs="Calibri"/>
                <w:b/>
                <w:bCs/>
                <w:color w:val="000000"/>
                <w:sz w:val="16"/>
                <w:szCs w:val="16"/>
              </w:rPr>
              <w:t>%</w:t>
            </w:r>
          </w:p>
        </w:tc>
      </w:tr>
    </w:tbl>
    <w:p w14:paraId="213D7C77" w14:textId="77777777" w:rsidR="00B57597" w:rsidRPr="00682D65" w:rsidRDefault="00B57597" w:rsidP="00B57597">
      <w:pPr>
        <w:spacing w:before="40"/>
        <w:rPr>
          <w:rFonts w:cs="Calibri"/>
          <w:color w:val="000000"/>
          <w:sz w:val="20"/>
          <w:szCs w:val="20"/>
          <w:lang w:eastAsia="cs-CZ"/>
        </w:rPr>
      </w:pPr>
      <w:r w:rsidRPr="00682D65">
        <w:rPr>
          <w:rFonts w:cs="Calibri"/>
          <w:b/>
          <w:color w:val="000000"/>
          <w:sz w:val="20"/>
          <w:szCs w:val="20"/>
          <w:lang w:eastAsia="cs-CZ"/>
        </w:rPr>
        <w:t xml:space="preserve">Zdroj: </w:t>
      </w:r>
      <w:r w:rsidRPr="00682D65">
        <w:rPr>
          <w:rFonts w:cs="Calibri"/>
          <w:color w:val="000000"/>
          <w:sz w:val="20"/>
          <w:szCs w:val="20"/>
          <w:lang w:eastAsia="cs-CZ"/>
        </w:rPr>
        <w:t>informační portál MONITOR; výpočet vypracoval NKÚ.</w:t>
      </w:r>
    </w:p>
    <w:p w14:paraId="0480300A" w14:textId="3EBA7B44" w:rsidR="00B57597" w:rsidRPr="00784B42" w:rsidRDefault="00B57597" w:rsidP="00784B42">
      <w:pPr>
        <w:pStyle w:val="Titulek1"/>
        <w:rPr>
          <w:sz w:val="24"/>
        </w:rPr>
      </w:pPr>
      <w:bookmarkStart w:id="132" w:name="_Toc520714352"/>
      <w:bookmarkStart w:id="133" w:name="_Toc8984559"/>
      <w:bookmarkStart w:id="134" w:name="_Toc72157497"/>
      <w:r w:rsidRPr="00784B42">
        <w:rPr>
          <w:sz w:val="24"/>
        </w:rPr>
        <w:t xml:space="preserve">Tabulka č. </w:t>
      </w:r>
      <w:r w:rsidR="005F2931" w:rsidRPr="00784B42">
        <w:rPr>
          <w:sz w:val="24"/>
        </w:rPr>
        <w:fldChar w:fldCharType="begin"/>
      </w:r>
      <w:r w:rsidR="005F2931" w:rsidRPr="00784B42">
        <w:rPr>
          <w:sz w:val="24"/>
        </w:rPr>
        <w:instrText xml:space="preserve"> SEQ Tabulka \* ARABIC </w:instrText>
      </w:r>
      <w:r w:rsidR="005F2931" w:rsidRPr="00784B42">
        <w:rPr>
          <w:sz w:val="24"/>
        </w:rPr>
        <w:fldChar w:fldCharType="separate"/>
      </w:r>
      <w:r w:rsidR="00E544AA">
        <w:rPr>
          <w:noProof/>
          <w:sz w:val="24"/>
        </w:rPr>
        <w:t>41</w:t>
      </w:r>
      <w:r w:rsidR="005F2931" w:rsidRPr="00784B42">
        <w:rPr>
          <w:noProof/>
          <w:sz w:val="24"/>
        </w:rPr>
        <w:fldChar w:fldCharType="end"/>
      </w:r>
      <w:r w:rsidRPr="00784B42">
        <w:rPr>
          <w:sz w:val="24"/>
        </w:rPr>
        <w:t>: Podíl výše příspěvku na provoz na celkových výnosech PO</w:t>
      </w:r>
      <w:bookmarkEnd w:id="132"/>
      <w:bookmarkEnd w:id="133"/>
      <w:bookmarkEnd w:id="134"/>
    </w:p>
    <w:tbl>
      <w:tblPr>
        <w:tblW w:w="5000" w:type="pct"/>
        <w:tblCellMar>
          <w:left w:w="70" w:type="dxa"/>
          <w:right w:w="70" w:type="dxa"/>
        </w:tblCellMar>
        <w:tblLook w:val="04A0" w:firstRow="1" w:lastRow="0" w:firstColumn="1" w:lastColumn="0" w:noHBand="0" w:noVBand="1"/>
      </w:tblPr>
      <w:tblGrid>
        <w:gridCol w:w="789"/>
        <w:gridCol w:w="3730"/>
        <w:gridCol w:w="895"/>
        <w:gridCol w:w="911"/>
        <w:gridCol w:w="913"/>
        <w:gridCol w:w="913"/>
        <w:gridCol w:w="909"/>
      </w:tblGrid>
      <w:tr w:rsidR="00B57597" w:rsidRPr="00784B42" w14:paraId="0208BEC0" w14:textId="77777777" w:rsidTr="00B57597">
        <w:trPr>
          <w:trHeight w:val="255"/>
        </w:trPr>
        <w:tc>
          <w:tcPr>
            <w:tcW w:w="428" w:type="pct"/>
            <w:tcBorders>
              <w:top w:val="single" w:sz="4" w:space="0" w:color="auto"/>
              <w:left w:val="single" w:sz="4" w:space="0" w:color="auto"/>
              <w:bottom w:val="single" w:sz="4" w:space="0" w:color="auto"/>
              <w:right w:val="single" w:sz="4" w:space="0" w:color="auto"/>
            </w:tcBorders>
            <w:shd w:val="clear" w:color="auto" w:fill="E5F1FF"/>
            <w:vAlign w:val="center"/>
          </w:tcPr>
          <w:p w14:paraId="44BF9339" w14:textId="77777777" w:rsidR="00B57597" w:rsidRPr="00784B42" w:rsidRDefault="00B57597" w:rsidP="00784B42">
            <w:pPr>
              <w:keepNext/>
              <w:spacing w:after="0"/>
              <w:jc w:val="center"/>
              <w:rPr>
                <w:rFonts w:cs="Calibri"/>
                <w:b/>
                <w:bCs/>
                <w:color w:val="000000"/>
                <w:sz w:val="16"/>
                <w:szCs w:val="16"/>
                <w:lang w:eastAsia="cs-CZ"/>
              </w:rPr>
            </w:pPr>
            <w:r w:rsidRPr="00784B42">
              <w:rPr>
                <w:rFonts w:cs="Calibri"/>
                <w:b/>
                <w:bCs/>
                <w:color w:val="000000"/>
                <w:sz w:val="16"/>
                <w:szCs w:val="16"/>
              </w:rPr>
              <w:t>IČO</w:t>
            </w:r>
          </w:p>
        </w:tc>
        <w:tc>
          <w:tcPr>
            <w:tcW w:w="2025"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047FD644" w14:textId="77777777" w:rsidR="00B57597" w:rsidRPr="00784B42" w:rsidRDefault="00B57597" w:rsidP="00784B42">
            <w:pPr>
              <w:keepNext/>
              <w:spacing w:after="0"/>
              <w:jc w:val="center"/>
              <w:rPr>
                <w:rFonts w:cs="Calibri"/>
                <w:b/>
                <w:bCs/>
                <w:color w:val="000000"/>
                <w:sz w:val="16"/>
                <w:szCs w:val="16"/>
                <w:lang w:eastAsia="cs-CZ"/>
              </w:rPr>
            </w:pPr>
            <w:r w:rsidRPr="00784B42">
              <w:rPr>
                <w:rFonts w:cs="Calibri"/>
                <w:b/>
                <w:bCs/>
                <w:color w:val="000000"/>
                <w:sz w:val="16"/>
                <w:szCs w:val="16"/>
              </w:rPr>
              <w:t>Účetní jednotka</w:t>
            </w:r>
          </w:p>
        </w:tc>
        <w:tc>
          <w:tcPr>
            <w:tcW w:w="502" w:type="pct"/>
            <w:tcBorders>
              <w:top w:val="single" w:sz="4" w:space="0" w:color="auto"/>
              <w:left w:val="nil"/>
              <w:bottom w:val="single" w:sz="4" w:space="0" w:color="auto"/>
              <w:right w:val="single" w:sz="4" w:space="0" w:color="auto"/>
            </w:tcBorders>
            <w:shd w:val="clear" w:color="auto" w:fill="E5F1FF"/>
            <w:noWrap/>
            <w:vAlign w:val="center"/>
            <w:hideMark/>
          </w:tcPr>
          <w:p w14:paraId="374B990A" w14:textId="77777777" w:rsidR="00B57597" w:rsidRPr="00784B42" w:rsidRDefault="00B57597" w:rsidP="00784B42">
            <w:pPr>
              <w:keepNext/>
              <w:spacing w:after="0"/>
              <w:jc w:val="center"/>
              <w:rPr>
                <w:rFonts w:cs="Calibri"/>
                <w:b/>
                <w:bCs/>
                <w:color w:val="000000"/>
                <w:sz w:val="16"/>
                <w:szCs w:val="16"/>
                <w:lang w:eastAsia="cs-CZ"/>
              </w:rPr>
            </w:pPr>
            <w:r w:rsidRPr="00784B42">
              <w:rPr>
                <w:rFonts w:cs="Calibri"/>
                <w:b/>
                <w:bCs/>
                <w:color w:val="000000"/>
                <w:sz w:val="16"/>
                <w:szCs w:val="16"/>
              </w:rPr>
              <w:t>2016</w:t>
            </w:r>
          </w:p>
        </w:tc>
        <w:tc>
          <w:tcPr>
            <w:tcW w:w="511" w:type="pct"/>
            <w:tcBorders>
              <w:top w:val="single" w:sz="4" w:space="0" w:color="auto"/>
              <w:left w:val="nil"/>
              <w:bottom w:val="single" w:sz="4" w:space="0" w:color="auto"/>
              <w:right w:val="single" w:sz="4" w:space="0" w:color="auto"/>
            </w:tcBorders>
            <w:shd w:val="clear" w:color="auto" w:fill="E5F1FF"/>
            <w:noWrap/>
            <w:vAlign w:val="center"/>
            <w:hideMark/>
          </w:tcPr>
          <w:p w14:paraId="6A3AE029" w14:textId="77777777" w:rsidR="00B57597" w:rsidRPr="00784B42" w:rsidRDefault="00B57597" w:rsidP="00784B42">
            <w:pPr>
              <w:keepNext/>
              <w:spacing w:after="0"/>
              <w:jc w:val="center"/>
              <w:rPr>
                <w:rFonts w:cs="Calibri"/>
                <w:b/>
                <w:bCs/>
                <w:color w:val="000000"/>
                <w:sz w:val="16"/>
                <w:szCs w:val="16"/>
                <w:lang w:eastAsia="cs-CZ"/>
              </w:rPr>
            </w:pPr>
            <w:r w:rsidRPr="00784B42">
              <w:rPr>
                <w:rFonts w:cs="Calibri"/>
                <w:b/>
                <w:bCs/>
                <w:color w:val="000000"/>
                <w:sz w:val="16"/>
                <w:szCs w:val="16"/>
              </w:rPr>
              <w:t>2017</w:t>
            </w:r>
          </w:p>
        </w:tc>
        <w:tc>
          <w:tcPr>
            <w:tcW w:w="512" w:type="pct"/>
            <w:tcBorders>
              <w:top w:val="single" w:sz="4" w:space="0" w:color="auto"/>
              <w:left w:val="nil"/>
              <w:bottom w:val="single" w:sz="4" w:space="0" w:color="auto"/>
              <w:right w:val="single" w:sz="4" w:space="0" w:color="auto"/>
            </w:tcBorders>
            <w:shd w:val="clear" w:color="auto" w:fill="E5F1FF"/>
            <w:noWrap/>
            <w:vAlign w:val="center"/>
            <w:hideMark/>
          </w:tcPr>
          <w:p w14:paraId="6FB66254" w14:textId="77777777" w:rsidR="00B57597" w:rsidRPr="00784B42" w:rsidRDefault="00B57597" w:rsidP="00784B42">
            <w:pPr>
              <w:keepNext/>
              <w:spacing w:after="0"/>
              <w:jc w:val="center"/>
              <w:rPr>
                <w:rFonts w:cs="Calibri"/>
                <w:b/>
                <w:bCs/>
                <w:color w:val="000000"/>
                <w:sz w:val="16"/>
                <w:szCs w:val="16"/>
                <w:lang w:eastAsia="cs-CZ"/>
              </w:rPr>
            </w:pPr>
            <w:r w:rsidRPr="00784B42">
              <w:rPr>
                <w:rFonts w:cs="Calibri"/>
                <w:b/>
                <w:bCs/>
                <w:color w:val="000000"/>
                <w:sz w:val="16"/>
                <w:szCs w:val="16"/>
              </w:rPr>
              <w:t>2018</w:t>
            </w:r>
          </w:p>
        </w:tc>
        <w:tc>
          <w:tcPr>
            <w:tcW w:w="512" w:type="pct"/>
            <w:tcBorders>
              <w:top w:val="single" w:sz="4" w:space="0" w:color="auto"/>
              <w:left w:val="nil"/>
              <w:bottom w:val="single" w:sz="4" w:space="0" w:color="auto"/>
              <w:right w:val="single" w:sz="4" w:space="0" w:color="auto"/>
            </w:tcBorders>
            <w:shd w:val="clear" w:color="auto" w:fill="E5F1FF"/>
            <w:noWrap/>
            <w:vAlign w:val="center"/>
            <w:hideMark/>
          </w:tcPr>
          <w:p w14:paraId="42E71DC3" w14:textId="77777777" w:rsidR="00B57597" w:rsidRPr="00784B42" w:rsidRDefault="00B57597" w:rsidP="00784B42">
            <w:pPr>
              <w:keepNext/>
              <w:spacing w:after="0"/>
              <w:jc w:val="center"/>
              <w:rPr>
                <w:rFonts w:cs="Calibri"/>
                <w:b/>
                <w:bCs/>
                <w:color w:val="000000"/>
                <w:sz w:val="16"/>
                <w:szCs w:val="16"/>
                <w:lang w:eastAsia="cs-CZ"/>
              </w:rPr>
            </w:pPr>
            <w:r w:rsidRPr="00784B42">
              <w:rPr>
                <w:rFonts w:cs="Calibri"/>
                <w:b/>
                <w:bCs/>
                <w:color w:val="000000"/>
                <w:sz w:val="16"/>
                <w:szCs w:val="16"/>
              </w:rPr>
              <w:t>2019</w:t>
            </w:r>
          </w:p>
        </w:tc>
        <w:tc>
          <w:tcPr>
            <w:tcW w:w="511" w:type="pct"/>
            <w:tcBorders>
              <w:top w:val="single" w:sz="4" w:space="0" w:color="auto"/>
              <w:left w:val="nil"/>
              <w:bottom w:val="single" w:sz="4" w:space="0" w:color="auto"/>
              <w:right w:val="single" w:sz="4" w:space="0" w:color="auto"/>
            </w:tcBorders>
            <w:shd w:val="clear" w:color="auto" w:fill="E5F1FF"/>
            <w:vAlign w:val="center"/>
          </w:tcPr>
          <w:p w14:paraId="376D9563" w14:textId="77777777" w:rsidR="00B57597" w:rsidRPr="00784B42" w:rsidRDefault="00B57597" w:rsidP="00784B42">
            <w:pPr>
              <w:keepNext/>
              <w:spacing w:after="0"/>
              <w:jc w:val="center"/>
              <w:rPr>
                <w:rFonts w:cs="Calibri"/>
                <w:b/>
                <w:bCs/>
                <w:color w:val="000000"/>
                <w:sz w:val="16"/>
                <w:szCs w:val="16"/>
                <w:lang w:eastAsia="cs-CZ"/>
              </w:rPr>
            </w:pPr>
            <w:r w:rsidRPr="00784B42">
              <w:rPr>
                <w:rFonts w:cs="Calibri"/>
                <w:b/>
                <w:bCs/>
                <w:color w:val="000000"/>
                <w:sz w:val="16"/>
                <w:szCs w:val="16"/>
              </w:rPr>
              <w:t>2020</w:t>
            </w:r>
          </w:p>
        </w:tc>
      </w:tr>
      <w:tr w:rsidR="00B57597" w:rsidRPr="00784B42" w14:paraId="7C5E4F7F" w14:textId="77777777" w:rsidTr="00B57597">
        <w:trPr>
          <w:trHeight w:val="255"/>
        </w:trPr>
        <w:tc>
          <w:tcPr>
            <w:tcW w:w="428" w:type="pct"/>
            <w:tcBorders>
              <w:top w:val="nil"/>
              <w:left w:val="single" w:sz="4" w:space="0" w:color="auto"/>
              <w:bottom w:val="single" w:sz="4" w:space="0" w:color="auto"/>
              <w:right w:val="single" w:sz="4" w:space="0" w:color="auto"/>
            </w:tcBorders>
            <w:vAlign w:val="center"/>
          </w:tcPr>
          <w:p w14:paraId="248A7FAD" w14:textId="77777777" w:rsidR="00B57597" w:rsidRPr="00784B42" w:rsidRDefault="00B57597" w:rsidP="00784B42">
            <w:pPr>
              <w:keepNext/>
              <w:spacing w:after="0"/>
              <w:jc w:val="center"/>
              <w:rPr>
                <w:rFonts w:eastAsia="Calibri" w:cs="Calibri"/>
                <w:color w:val="000000"/>
                <w:sz w:val="16"/>
                <w:szCs w:val="16"/>
              </w:rPr>
            </w:pPr>
            <w:r w:rsidRPr="00784B42">
              <w:rPr>
                <w:rFonts w:cs="Calibri"/>
                <w:color w:val="000000"/>
                <w:sz w:val="16"/>
                <w:szCs w:val="16"/>
              </w:rPr>
              <w:t>05108861</w:t>
            </w:r>
          </w:p>
        </w:tc>
        <w:tc>
          <w:tcPr>
            <w:tcW w:w="2025" w:type="pct"/>
            <w:tcBorders>
              <w:top w:val="nil"/>
              <w:left w:val="single" w:sz="4" w:space="0" w:color="auto"/>
              <w:bottom w:val="single" w:sz="4" w:space="0" w:color="auto"/>
              <w:right w:val="single" w:sz="4" w:space="0" w:color="auto"/>
            </w:tcBorders>
            <w:shd w:val="clear" w:color="auto" w:fill="auto"/>
            <w:noWrap/>
            <w:vAlign w:val="center"/>
          </w:tcPr>
          <w:p w14:paraId="7050E4F7" w14:textId="77777777" w:rsidR="00B57597" w:rsidRPr="00784B42" w:rsidRDefault="00B57597" w:rsidP="00784B42">
            <w:pPr>
              <w:keepNext/>
              <w:spacing w:after="0"/>
              <w:rPr>
                <w:rFonts w:eastAsia="Calibri" w:cs="Calibri"/>
                <w:color w:val="000000"/>
                <w:sz w:val="16"/>
                <w:szCs w:val="16"/>
              </w:rPr>
            </w:pPr>
            <w:r w:rsidRPr="00784B42">
              <w:rPr>
                <w:rFonts w:cs="Calibri"/>
                <w:color w:val="000000"/>
                <w:sz w:val="16"/>
                <w:szCs w:val="16"/>
              </w:rPr>
              <w:t>Agentura pro podnikání a inovace</w:t>
            </w:r>
          </w:p>
        </w:tc>
        <w:tc>
          <w:tcPr>
            <w:tcW w:w="502" w:type="pct"/>
            <w:tcBorders>
              <w:top w:val="nil"/>
              <w:left w:val="nil"/>
              <w:bottom w:val="single" w:sz="4" w:space="0" w:color="auto"/>
              <w:right w:val="single" w:sz="4" w:space="0" w:color="auto"/>
            </w:tcBorders>
            <w:shd w:val="clear" w:color="auto" w:fill="auto"/>
            <w:noWrap/>
            <w:vAlign w:val="center"/>
          </w:tcPr>
          <w:p w14:paraId="6A6CD5C2" w14:textId="148D4751"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12,96</w:t>
            </w:r>
            <w:r w:rsidR="001C3EBA">
              <w:rPr>
                <w:rFonts w:cs="Calibri"/>
                <w:color w:val="000000"/>
                <w:sz w:val="16"/>
                <w:szCs w:val="16"/>
              </w:rPr>
              <w:t> </w:t>
            </w:r>
            <w:r w:rsidRPr="00784B42">
              <w:rPr>
                <w:rFonts w:cs="Calibri"/>
                <w:color w:val="000000"/>
                <w:sz w:val="16"/>
                <w:szCs w:val="16"/>
              </w:rPr>
              <w:t>%</w:t>
            </w:r>
          </w:p>
        </w:tc>
        <w:tc>
          <w:tcPr>
            <w:tcW w:w="511" w:type="pct"/>
            <w:tcBorders>
              <w:top w:val="nil"/>
              <w:left w:val="nil"/>
              <w:bottom w:val="single" w:sz="4" w:space="0" w:color="auto"/>
              <w:right w:val="single" w:sz="4" w:space="0" w:color="auto"/>
            </w:tcBorders>
            <w:shd w:val="clear" w:color="auto" w:fill="auto"/>
            <w:noWrap/>
            <w:vAlign w:val="center"/>
          </w:tcPr>
          <w:p w14:paraId="6C516165" w14:textId="5F877890"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12,99</w:t>
            </w:r>
            <w:r w:rsidR="001C3EBA">
              <w:rPr>
                <w:rFonts w:cs="Calibri"/>
                <w:color w:val="000000"/>
                <w:sz w:val="16"/>
                <w:szCs w:val="16"/>
              </w:rPr>
              <w:t> </w:t>
            </w:r>
            <w:r w:rsidRPr="00784B42">
              <w:rPr>
                <w:rFonts w:cs="Calibri"/>
                <w:color w:val="000000"/>
                <w:sz w:val="16"/>
                <w:szCs w:val="16"/>
              </w:rPr>
              <w:t>%</w:t>
            </w:r>
          </w:p>
        </w:tc>
        <w:tc>
          <w:tcPr>
            <w:tcW w:w="512" w:type="pct"/>
            <w:tcBorders>
              <w:top w:val="nil"/>
              <w:left w:val="nil"/>
              <w:bottom w:val="single" w:sz="4" w:space="0" w:color="auto"/>
              <w:right w:val="single" w:sz="4" w:space="0" w:color="auto"/>
            </w:tcBorders>
            <w:shd w:val="clear" w:color="auto" w:fill="auto"/>
            <w:noWrap/>
            <w:vAlign w:val="center"/>
          </w:tcPr>
          <w:p w14:paraId="09124B71" w14:textId="1AB7C524"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9,97</w:t>
            </w:r>
            <w:r w:rsidR="001C3EBA">
              <w:rPr>
                <w:rFonts w:cs="Calibri"/>
                <w:color w:val="000000"/>
                <w:sz w:val="16"/>
                <w:szCs w:val="16"/>
              </w:rPr>
              <w:t> </w:t>
            </w:r>
            <w:r w:rsidRPr="00784B42">
              <w:rPr>
                <w:rFonts w:cs="Calibri"/>
                <w:color w:val="000000"/>
                <w:sz w:val="16"/>
                <w:szCs w:val="16"/>
              </w:rPr>
              <w:t>%</w:t>
            </w:r>
          </w:p>
        </w:tc>
        <w:tc>
          <w:tcPr>
            <w:tcW w:w="512" w:type="pct"/>
            <w:tcBorders>
              <w:top w:val="nil"/>
              <w:left w:val="nil"/>
              <w:bottom w:val="single" w:sz="4" w:space="0" w:color="auto"/>
              <w:right w:val="single" w:sz="4" w:space="0" w:color="auto"/>
            </w:tcBorders>
            <w:shd w:val="clear" w:color="auto" w:fill="auto"/>
            <w:noWrap/>
            <w:vAlign w:val="center"/>
          </w:tcPr>
          <w:p w14:paraId="1DE4E952" w14:textId="35E52D83"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10,26</w:t>
            </w:r>
            <w:r w:rsidR="001C3EBA">
              <w:rPr>
                <w:rFonts w:cs="Calibri"/>
                <w:color w:val="000000"/>
                <w:sz w:val="16"/>
                <w:szCs w:val="16"/>
              </w:rPr>
              <w:t> </w:t>
            </w:r>
            <w:r w:rsidRPr="00784B42">
              <w:rPr>
                <w:rFonts w:cs="Calibri"/>
                <w:color w:val="000000"/>
                <w:sz w:val="16"/>
                <w:szCs w:val="16"/>
              </w:rPr>
              <w:t>%</w:t>
            </w:r>
          </w:p>
        </w:tc>
        <w:tc>
          <w:tcPr>
            <w:tcW w:w="511" w:type="pct"/>
            <w:tcBorders>
              <w:top w:val="nil"/>
              <w:left w:val="nil"/>
              <w:bottom w:val="single" w:sz="4" w:space="0" w:color="auto"/>
              <w:right w:val="single" w:sz="4" w:space="0" w:color="auto"/>
            </w:tcBorders>
            <w:vAlign w:val="center"/>
          </w:tcPr>
          <w:p w14:paraId="71D7BC43" w14:textId="6942E96B"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9,09</w:t>
            </w:r>
            <w:r w:rsidR="001C3EBA">
              <w:rPr>
                <w:rFonts w:cs="Calibri"/>
                <w:color w:val="000000"/>
                <w:sz w:val="16"/>
                <w:szCs w:val="16"/>
              </w:rPr>
              <w:t> </w:t>
            </w:r>
            <w:r w:rsidRPr="00784B42">
              <w:rPr>
                <w:rFonts w:cs="Calibri"/>
                <w:color w:val="000000"/>
                <w:sz w:val="16"/>
                <w:szCs w:val="16"/>
              </w:rPr>
              <w:t>%</w:t>
            </w:r>
          </w:p>
        </w:tc>
      </w:tr>
      <w:tr w:rsidR="00B57597" w:rsidRPr="00784B42" w14:paraId="7DBF85EC" w14:textId="77777777" w:rsidTr="00B57597">
        <w:trPr>
          <w:trHeight w:val="255"/>
        </w:trPr>
        <w:tc>
          <w:tcPr>
            <w:tcW w:w="428" w:type="pct"/>
            <w:tcBorders>
              <w:top w:val="single" w:sz="4" w:space="0" w:color="auto"/>
              <w:left w:val="single" w:sz="4" w:space="0" w:color="auto"/>
              <w:bottom w:val="single" w:sz="4" w:space="0" w:color="auto"/>
              <w:right w:val="single" w:sz="4" w:space="0" w:color="auto"/>
            </w:tcBorders>
            <w:vAlign w:val="center"/>
          </w:tcPr>
          <w:p w14:paraId="491CB066" w14:textId="77777777" w:rsidR="00B57597" w:rsidRPr="00784B42" w:rsidRDefault="00B57597" w:rsidP="00784B42">
            <w:pPr>
              <w:keepNext/>
              <w:spacing w:after="0"/>
              <w:jc w:val="center"/>
              <w:rPr>
                <w:rFonts w:eastAsia="Calibri" w:cs="Calibri"/>
                <w:color w:val="000000"/>
                <w:sz w:val="16"/>
                <w:szCs w:val="16"/>
              </w:rPr>
            </w:pPr>
            <w:r w:rsidRPr="00784B42">
              <w:rPr>
                <w:rFonts w:cs="Calibri"/>
                <w:color w:val="000000"/>
                <w:sz w:val="16"/>
                <w:szCs w:val="16"/>
              </w:rPr>
              <w:t>71377999</w:t>
            </w:r>
          </w:p>
        </w:tc>
        <w:tc>
          <w:tcPr>
            <w:tcW w:w="2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81D3B" w14:textId="77777777" w:rsidR="00B57597" w:rsidRPr="00784B42" w:rsidRDefault="00B57597" w:rsidP="00784B42">
            <w:pPr>
              <w:keepNext/>
              <w:spacing w:after="0"/>
              <w:rPr>
                <w:rFonts w:eastAsia="Calibri" w:cs="Calibri"/>
                <w:color w:val="000000"/>
                <w:sz w:val="16"/>
                <w:szCs w:val="16"/>
              </w:rPr>
            </w:pPr>
            <w:r w:rsidRPr="00784B42">
              <w:rPr>
                <w:rFonts w:cs="Calibri"/>
                <w:color w:val="000000"/>
                <w:sz w:val="16"/>
                <w:szCs w:val="16"/>
              </w:rPr>
              <w:t xml:space="preserve">Agentura pro podporu podnikání a investic </w:t>
            </w:r>
            <w:proofErr w:type="spellStart"/>
            <w:r w:rsidRPr="00784B42">
              <w:rPr>
                <w:rFonts w:cs="Calibri"/>
                <w:color w:val="000000"/>
                <w:sz w:val="16"/>
                <w:szCs w:val="16"/>
              </w:rPr>
              <w:t>CzechInvest</w:t>
            </w:r>
            <w:proofErr w:type="spellEnd"/>
          </w:p>
        </w:tc>
        <w:tc>
          <w:tcPr>
            <w:tcW w:w="502" w:type="pct"/>
            <w:tcBorders>
              <w:top w:val="single" w:sz="4" w:space="0" w:color="auto"/>
              <w:left w:val="nil"/>
              <w:bottom w:val="single" w:sz="4" w:space="0" w:color="auto"/>
              <w:right w:val="single" w:sz="4" w:space="0" w:color="auto"/>
            </w:tcBorders>
            <w:shd w:val="clear" w:color="auto" w:fill="auto"/>
            <w:noWrap/>
            <w:vAlign w:val="center"/>
          </w:tcPr>
          <w:p w14:paraId="08765B05" w14:textId="0AF59AA3"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78,42</w:t>
            </w:r>
            <w:r w:rsidR="001C3EBA">
              <w:rPr>
                <w:rFonts w:cs="Calibri"/>
                <w:color w:val="000000"/>
                <w:sz w:val="16"/>
                <w:szCs w:val="16"/>
              </w:rPr>
              <w:t> </w:t>
            </w:r>
            <w:r w:rsidRPr="00784B42">
              <w:rPr>
                <w:rFonts w:cs="Calibri"/>
                <w:color w:val="000000"/>
                <w:sz w:val="16"/>
                <w:szCs w:val="16"/>
              </w:rPr>
              <w:t>%</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3F8E8896" w14:textId="6B290C98"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88,58</w:t>
            </w:r>
            <w:r w:rsidR="001C3EBA">
              <w:rPr>
                <w:rFonts w:cs="Calibri"/>
                <w:color w:val="000000"/>
                <w:sz w:val="16"/>
                <w:szCs w:val="16"/>
              </w:rPr>
              <w:t> </w:t>
            </w:r>
            <w:r w:rsidRPr="00784B42">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5A1ABE0E" w14:textId="1712BF36"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75,68</w:t>
            </w:r>
            <w:r w:rsidR="001C3EBA">
              <w:rPr>
                <w:rFonts w:cs="Calibri"/>
                <w:color w:val="000000"/>
                <w:sz w:val="16"/>
                <w:szCs w:val="16"/>
              </w:rPr>
              <w:t> </w:t>
            </w:r>
            <w:r w:rsidRPr="00784B42">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4EF9F793" w14:textId="62AA5EAE"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75,13</w:t>
            </w:r>
            <w:r w:rsidR="001C3EBA">
              <w:rPr>
                <w:rFonts w:cs="Calibri"/>
                <w:color w:val="000000"/>
                <w:sz w:val="16"/>
                <w:szCs w:val="16"/>
              </w:rPr>
              <w:t> </w:t>
            </w:r>
            <w:r w:rsidRPr="00784B42">
              <w:rPr>
                <w:rFonts w:cs="Calibri"/>
                <w:color w:val="000000"/>
                <w:sz w:val="16"/>
                <w:szCs w:val="16"/>
              </w:rPr>
              <w:t>%</w:t>
            </w:r>
          </w:p>
        </w:tc>
        <w:tc>
          <w:tcPr>
            <w:tcW w:w="511" w:type="pct"/>
            <w:tcBorders>
              <w:top w:val="single" w:sz="4" w:space="0" w:color="auto"/>
              <w:left w:val="nil"/>
              <w:bottom w:val="single" w:sz="4" w:space="0" w:color="auto"/>
              <w:right w:val="single" w:sz="4" w:space="0" w:color="auto"/>
            </w:tcBorders>
            <w:vAlign w:val="center"/>
          </w:tcPr>
          <w:p w14:paraId="669BB018" w14:textId="470194BF"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73,85</w:t>
            </w:r>
            <w:r w:rsidR="001C3EBA">
              <w:rPr>
                <w:rFonts w:cs="Calibri"/>
                <w:color w:val="000000"/>
                <w:sz w:val="16"/>
                <w:szCs w:val="16"/>
              </w:rPr>
              <w:t> </w:t>
            </w:r>
            <w:r w:rsidRPr="00784B42">
              <w:rPr>
                <w:rFonts w:cs="Calibri"/>
                <w:color w:val="000000"/>
                <w:sz w:val="16"/>
                <w:szCs w:val="16"/>
              </w:rPr>
              <w:t>%</w:t>
            </w:r>
          </w:p>
        </w:tc>
      </w:tr>
      <w:tr w:rsidR="00B57597" w:rsidRPr="00784B42" w14:paraId="693CC77D" w14:textId="77777777" w:rsidTr="00B57597">
        <w:trPr>
          <w:trHeight w:val="255"/>
        </w:trPr>
        <w:tc>
          <w:tcPr>
            <w:tcW w:w="428" w:type="pct"/>
            <w:tcBorders>
              <w:top w:val="single" w:sz="4" w:space="0" w:color="auto"/>
              <w:left w:val="single" w:sz="4" w:space="0" w:color="auto"/>
              <w:bottom w:val="single" w:sz="4" w:space="0" w:color="auto"/>
              <w:right w:val="single" w:sz="4" w:space="0" w:color="auto"/>
            </w:tcBorders>
            <w:vAlign w:val="center"/>
          </w:tcPr>
          <w:p w14:paraId="37819C95" w14:textId="77777777" w:rsidR="00B57597" w:rsidRPr="00784B42" w:rsidRDefault="00B57597" w:rsidP="00784B42">
            <w:pPr>
              <w:keepNext/>
              <w:spacing w:after="0"/>
              <w:jc w:val="center"/>
              <w:rPr>
                <w:rFonts w:eastAsia="Calibri" w:cs="Calibri"/>
                <w:color w:val="000000"/>
                <w:sz w:val="16"/>
                <w:szCs w:val="16"/>
              </w:rPr>
            </w:pPr>
            <w:r w:rsidRPr="00784B42">
              <w:rPr>
                <w:rFonts w:cs="Calibri"/>
                <w:color w:val="000000"/>
                <w:sz w:val="16"/>
                <w:szCs w:val="16"/>
              </w:rPr>
              <w:t>00001171</w:t>
            </w:r>
          </w:p>
        </w:tc>
        <w:tc>
          <w:tcPr>
            <w:tcW w:w="2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60BEB3" w14:textId="77777777" w:rsidR="00B57597" w:rsidRPr="00784B42" w:rsidRDefault="00B57597" w:rsidP="00784B42">
            <w:pPr>
              <w:keepNext/>
              <w:spacing w:after="0"/>
              <w:rPr>
                <w:rFonts w:eastAsia="Calibri" w:cs="Calibri"/>
                <w:color w:val="000000"/>
                <w:sz w:val="16"/>
                <w:szCs w:val="16"/>
              </w:rPr>
            </w:pPr>
            <w:r w:rsidRPr="00784B42">
              <w:rPr>
                <w:rFonts w:cs="Calibri"/>
                <w:color w:val="000000"/>
                <w:sz w:val="16"/>
                <w:szCs w:val="16"/>
              </w:rPr>
              <w:t>Česká agentura na podporu obchodu</w:t>
            </w:r>
          </w:p>
        </w:tc>
        <w:tc>
          <w:tcPr>
            <w:tcW w:w="502" w:type="pct"/>
            <w:tcBorders>
              <w:top w:val="single" w:sz="4" w:space="0" w:color="auto"/>
              <w:left w:val="nil"/>
              <w:bottom w:val="single" w:sz="4" w:space="0" w:color="auto"/>
              <w:right w:val="single" w:sz="4" w:space="0" w:color="auto"/>
            </w:tcBorders>
            <w:shd w:val="clear" w:color="auto" w:fill="auto"/>
            <w:noWrap/>
            <w:vAlign w:val="center"/>
          </w:tcPr>
          <w:p w14:paraId="54807FD7" w14:textId="0B3A1923"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76,61</w:t>
            </w:r>
            <w:r w:rsidR="001C3EBA">
              <w:rPr>
                <w:rFonts w:cs="Calibri"/>
                <w:color w:val="000000"/>
                <w:sz w:val="16"/>
                <w:szCs w:val="16"/>
              </w:rPr>
              <w:t> </w:t>
            </w:r>
            <w:r w:rsidRPr="00784B42">
              <w:rPr>
                <w:rFonts w:cs="Calibri"/>
                <w:color w:val="000000"/>
                <w:sz w:val="16"/>
                <w:szCs w:val="16"/>
              </w:rPr>
              <w:t>%</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60B53864" w14:textId="20D50CB8"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75,82</w:t>
            </w:r>
            <w:r w:rsidR="001C3EBA">
              <w:rPr>
                <w:rFonts w:cs="Calibri"/>
                <w:color w:val="000000"/>
                <w:sz w:val="16"/>
                <w:szCs w:val="16"/>
              </w:rPr>
              <w:t> </w:t>
            </w:r>
            <w:r w:rsidRPr="00784B42">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23414AA4" w14:textId="453E38E2"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69,76</w:t>
            </w:r>
            <w:r w:rsidR="001C3EBA">
              <w:rPr>
                <w:rFonts w:cs="Calibri"/>
                <w:color w:val="000000"/>
                <w:sz w:val="16"/>
                <w:szCs w:val="16"/>
              </w:rPr>
              <w:t> </w:t>
            </w:r>
            <w:r w:rsidRPr="00784B42">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1AD94827" w14:textId="3CFF1DEA"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68,33</w:t>
            </w:r>
            <w:r w:rsidR="001C3EBA">
              <w:rPr>
                <w:rFonts w:cs="Calibri"/>
                <w:color w:val="000000"/>
                <w:sz w:val="16"/>
                <w:szCs w:val="16"/>
              </w:rPr>
              <w:t> </w:t>
            </w:r>
            <w:r w:rsidRPr="00784B42">
              <w:rPr>
                <w:rFonts w:cs="Calibri"/>
                <w:color w:val="000000"/>
                <w:sz w:val="16"/>
                <w:szCs w:val="16"/>
              </w:rPr>
              <w:t>%</w:t>
            </w:r>
          </w:p>
        </w:tc>
        <w:tc>
          <w:tcPr>
            <w:tcW w:w="511" w:type="pct"/>
            <w:tcBorders>
              <w:top w:val="single" w:sz="4" w:space="0" w:color="auto"/>
              <w:left w:val="nil"/>
              <w:bottom w:val="single" w:sz="4" w:space="0" w:color="auto"/>
              <w:right w:val="single" w:sz="4" w:space="0" w:color="auto"/>
            </w:tcBorders>
            <w:vAlign w:val="center"/>
          </w:tcPr>
          <w:p w14:paraId="1CB1BA17" w14:textId="22B44C4A"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89,41</w:t>
            </w:r>
            <w:r w:rsidR="001C3EBA">
              <w:rPr>
                <w:rFonts w:cs="Calibri"/>
                <w:color w:val="000000"/>
                <w:sz w:val="16"/>
                <w:szCs w:val="16"/>
              </w:rPr>
              <w:t> </w:t>
            </w:r>
            <w:r w:rsidRPr="00784B42">
              <w:rPr>
                <w:rFonts w:cs="Calibri"/>
                <w:color w:val="000000"/>
                <w:sz w:val="16"/>
                <w:szCs w:val="16"/>
              </w:rPr>
              <w:t>%</w:t>
            </w:r>
          </w:p>
        </w:tc>
      </w:tr>
      <w:tr w:rsidR="00B57597" w:rsidRPr="00784B42" w14:paraId="703AB521" w14:textId="77777777" w:rsidTr="00B57597">
        <w:trPr>
          <w:trHeight w:val="255"/>
        </w:trPr>
        <w:tc>
          <w:tcPr>
            <w:tcW w:w="428" w:type="pct"/>
            <w:tcBorders>
              <w:top w:val="single" w:sz="4" w:space="0" w:color="auto"/>
              <w:left w:val="single" w:sz="4" w:space="0" w:color="auto"/>
              <w:bottom w:val="single" w:sz="4" w:space="0" w:color="auto"/>
              <w:right w:val="single" w:sz="4" w:space="0" w:color="auto"/>
            </w:tcBorders>
            <w:vAlign w:val="center"/>
          </w:tcPr>
          <w:p w14:paraId="5BBDFD05" w14:textId="77777777" w:rsidR="00B57597" w:rsidRPr="00784B42" w:rsidRDefault="00B57597" w:rsidP="00784B42">
            <w:pPr>
              <w:keepNext/>
              <w:spacing w:after="0"/>
              <w:jc w:val="center"/>
              <w:rPr>
                <w:rFonts w:eastAsia="Calibri" w:cs="Calibri"/>
                <w:color w:val="000000"/>
                <w:sz w:val="16"/>
                <w:szCs w:val="16"/>
              </w:rPr>
            </w:pPr>
            <w:r w:rsidRPr="00784B42">
              <w:rPr>
                <w:rFonts w:cs="Calibri"/>
                <w:color w:val="000000"/>
                <w:sz w:val="16"/>
                <w:szCs w:val="16"/>
              </w:rPr>
              <w:t>06578705</w:t>
            </w:r>
          </w:p>
        </w:tc>
        <w:tc>
          <w:tcPr>
            <w:tcW w:w="2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09743" w14:textId="77777777" w:rsidR="00B57597" w:rsidRPr="00784B42" w:rsidRDefault="00B57597" w:rsidP="00784B42">
            <w:pPr>
              <w:keepNext/>
              <w:spacing w:after="0"/>
              <w:rPr>
                <w:rFonts w:eastAsia="Calibri" w:cs="Calibri"/>
                <w:color w:val="000000"/>
                <w:sz w:val="16"/>
                <w:szCs w:val="16"/>
              </w:rPr>
            </w:pPr>
            <w:r w:rsidRPr="00784B42">
              <w:rPr>
                <w:rFonts w:cs="Calibri"/>
                <w:color w:val="000000"/>
                <w:sz w:val="16"/>
                <w:szCs w:val="16"/>
              </w:rPr>
              <w:t>Česká agentura pro standardizaci</w:t>
            </w:r>
          </w:p>
        </w:tc>
        <w:tc>
          <w:tcPr>
            <w:tcW w:w="502" w:type="pct"/>
            <w:tcBorders>
              <w:top w:val="single" w:sz="4" w:space="0" w:color="auto"/>
              <w:left w:val="nil"/>
              <w:bottom w:val="single" w:sz="4" w:space="0" w:color="auto"/>
              <w:right w:val="single" w:sz="4" w:space="0" w:color="auto"/>
            </w:tcBorders>
            <w:shd w:val="clear" w:color="auto" w:fill="auto"/>
            <w:noWrap/>
            <w:vAlign w:val="center"/>
          </w:tcPr>
          <w:p w14:paraId="05D7B524" w14:textId="77777777"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x </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3F4CEAB6" w14:textId="77777777"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x </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04D530A5" w14:textId="7F190DC4"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17,46</w:t>
            </w:r>
            <w:r w:rsidR="001C3EBA">
              <w:rPr>
                <w:rFonts w:cs="Calibri"/>
                <w:color w:val="000000"/>
                <w:sz w:val="16"/>
                <w:szCs w:val="16"/>
              </w:rPr>
              <w:t> </w:t>
            </w:r>
            <w:r w:rsidRPr="00784B42">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01B7EC55" w14:textId="222B78A5"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9,62</w:t>
            </w:r>
            <w:r w:rsidR="001C3EBA">
              <w:rPr>
                <w:rFonts w:cs="Calibri"/>
                <w:color w:val="000000"/>
                <w:sz w:val="16"/>
                <w:szCs w:val="16"/>
              </w:rPr>
              <w:t> </w:t>
            </w:r>
            <w:r w:rsidRPr="00784B42">
              <w:rPr>
                <w:rFonts w:cs="Calibri"/>
                <w:color w:val="000000"/>
                <w:sz w:val="16"/>
                <w:szCs w:val="16"/>
              </w:rPr>
              <w:t>%</w:t>
            </w:r>
          </w:p>
        </w:tc>
        <w:tc>
          <w:tcPr>
            <w:tcW w:w="511" w:type="pct"/>
            <w:tcBorders>
              <w:top w:val="single" w:sz="4" w:space="0" w:color="auto"/>
              <w:left w:val="nil"/>
              <w:bottom w:val="single" w:sz="4" w:space="0" w:color="auto"/>
              <w:right w:val="single" w:sz="4" w:space="0" w:color="auto"/>
            </w:tcBorders>
            <w:vAlign w:val="center"/>
          </w:tcPr>
          <w:p w14:paraId="07F229D0" w14:textId="79DF71BF"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17,45</w:t>
            </w:r>
            <w:r w:rsidR="001C3EBA">
              <w:rPr>
                <w:rFonts w:cs="Calibri"/>
                <w:color w:val="000000"/>
                <w:sz w:val="16"/>
                <w:szCs w:val="16"/>
              </w:rPr>
              <w:t> </w:t>
            </w:r>
            <w:r w:rsidRPr="00784B42">
              <w:rPr>
                <w:rFonts w:cs="Calibri"/>
                <w:color w:val="000000"/>
                <w:sz w:val="16"/>
                <w:szCs w:val="16"/>
              </w:rPr>
              <w:t>%</w:t>
            </w:r>
          </w:p>
        </w:tc>
      </w:tr>
      <w:tr w:rsidR="00B57597" w:rsidRPr="00784B42" w14:paraId="1817FEFA" w14:textId="77777777" w:rsidTr="00B57597">
        <w:trPr>
          <w:trHeight w:val="255"/>
        </w:trPr>
        <w:tc>
          <w:tcPr>
            <w:tcW w:w="428" w:type="pct"/>
            <w:tcBorders>
              <w:top w:val="single" w:sz="4" w:space="0" w:color="auto"/>
              <w:left w:val="single" w:sz="4" w:space="0" w:color="auto"/>
              <w:bottom w:val="single" w:sz="4" w:space="0" w:color="auto"/>
              <w:right w:val="single" w:sz="4" w:space="0" w:color="auto"/>
            </w:tcBorders>
            <w:vAlign w:val="center"/>
          </w:tcPr>
          <w:p w14:paraId="17439609" w14:textId="77777777" w:rsidR="00B57597" w:rsidRPr="00784B42" w:rsidRDefault="00B57597" w:rsidP="00784B42">
            <w:pPr>
              <w:keepNext/>
              <w:spacing w:after="0"/>
              <w:jc w:val="center"/>
              <w:rPr>
                <w:rFonts w:eastAsia="Calibri" w:cs="Calibri"/>
                <w:color w:val="000000"/>
                <w:sz w:val="16"/>
                <w:szCs w:val="16"/>
              </w:rPr>
            </w:pPr>
            <w:r w:rsidRPr="00784B42">
              <w:rPr>
                <w:rFonts w:cs="Calibri"/>
                <w:color w:val="000000"/>
                <w:sz w:val="16"/>
                <w:szCs w:val="16"/>
              </w:rPr>
              <w:t>00177016</w:t>
            </w:r>
          </w:p>
        </w:tc>
        <w:tc>
          <w:tcPr>
            <w:tcW w:w="2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DFA6EC" w14:textId="77777777" w:rsidR="00B57597" w:rsidRPr="00784B42" w:rsidRDefault="00B57597" w:rsidP="00784B42">
            <w:pPr>
              <w:keepNext/>
              <w:spacing w:after="0"/>
              <w:rPr>
                <w:rFonts w:eastAsia="Calibri" w:cs="Calibri"/>
                <w:color w:val="000000"/>
                <w:sz w:val="16"/>
                <w:szCs w:val="16"/>
              </w:rPr>
            </w:pPr>
            <w:r w:rsidRPr="00784B42">
              <w:rPr>
                <w:rFonts w:cs="Calibri"/>
                <w:color w:val="000000"/>
                <w:sz w:val="16"/>
                <w:szCs w:val="16"/>
              </w:rPr>
              <w:t>Český metrologický institut</w:t>
            </w:r>
          </w:p>
        </w:tc>
        <w:tc>
          <w:tcPr>
            <w:tcW w:w="502" w:type="pct"/>
            <w:tcBorders>
              <w:top w:val="single" w:sz="4" w:space="0" w:color="auto"/>
              <w:left w:val="nil"/>
              <w:bottom w:val="single" w:sz="4" w:space="0" w:color="auto"/>
              <w:right w:val="single" w:sz="4" w:space="0" w:color="auto"/>
            </w:tcBorders>
            <w:shd w:val="clear" w:color="auto" w:fill="auto"/>
            <w:noWrap/>
            <w:vAlign w:val="center"/>
          </w:tcPr>
          <w:p w14:paraId="1D13626F" w14:textId="4EE316DA"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9,24</w:t>
            </w:r>
            <w:r w:rsidR="001C3EBA">
              <w:rPr>
                <w:rFonts w:cs="Calibri"/>
                <w:color w:val="000000"/>
                <w:sz w:val="16"/>
                <w:szCs w:val="16"/>
              </w:rPr>
              <w:t> </w:t>
            </w:r>
            <w:r w:rsidRPr="00784B42">
              <w:rPr>
                <w:rFonts w:cs="Calibri"/>
                <w:color w:val="000000"/>
                <w:sz w:val="16"/>
                <w:szCs w:val="16"/>
              </w:rPr>
              <w:t>%</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0BB406BB" w14:textId="2855BF18"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15,36</w:t>
            </w:r>
            <w:r w:rsidR="001C3EBA">
              <w:rPr>
                <w:rFonts w:cs="Calibri"/>
                <w:color w:val="000000"/>
                <w:sz w:val="16"/>
                <w:szCs w:val="16"/>
              </w:rPr>
              <w:t> </w:t>
            </w:r>
            <w:r w:rsidRPr="00784B42">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1472F593" w14:textId="7F3205F8"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20,02</w:t>
            </w:r>
            <w:r w:rsidR="001C3EBA">
              <w:rPr>
                <w:rFonts w:cs="Calibri"/>
                <w:color w:val="000000"/>
                <w:sz w:val="16"/>
                <w:szCs w:val="16"/>
              </w:rPr>
              <w:t> </w:t>
            </w:r>
            <w:r w:rsidRPr="00784B42">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1943C060" w14:textId="78C01539"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14,62</w:t>
            </w:r>
            <w:r w:rsidR="001C3EBA">
              <w:rPr>
                <w:rFonts w:cs="Calibri"/>
                <w:color w:val="000000"/>
                <w:sz w:val="16"/>
                <w:szCs w:val="16"/>
              </w:rPr>
              <w:t> </w:t>
            </w:r>
            <w:r w:rsidRPr="00784B42">
              <w:rPr>
                <w:rFonts w:cs="Calibri"/>
                <w:color w:val="000000"/>
                <w:sz w:val="16"/>
                <w:szCs w:val="16"/>
              </w:rPr>
              <w:t>%</w:t>
            </w:r>
          </w:p>
        </w:tc>
        <w:tc>
          <w:tcPr>
            <w:tcW w:w="511" w:type="pct"/>
            <w:tcBorders>
              <w:top w:val="single" w:sz="4" w:space="0" w:color="auto"/>
              <w:left w:val="nil"/>
              <w:bottom w:val="single" w:sz="4" w:space="0" w:color="auto"/>
              <w:right w:val="single" w:sz="4" w:space="0" w:color="auto"/>
            </w:tcBorders>
            <w:vAlign w:val="center"/>
          </w:tcPr>
          <w:p w14:paraId="5737F0A6" w14:textId="0C1B9571"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12,56</w:t>
            </w:r>
            <w:r w:rsidR="001C3EBA">
              <w:rPr>
                <w:rFonts w:cs="Calibri"/>
                <w:color w:val="000000"/>
                <w:sz w:val="16"/>
                <w:szCs w:val="16"/>
              </w:rPr>
              <w:t> </w:t>
            </w:r>
            <w:r w:rsidRPr="00784B42">
              <w:rPr>
                <w:rFonts w:cs="Calibri"/>
                <w:color w:val="000000"/>
                <w:sz w:val="16"/>
                <w:szCs w:val="16"/>
              </w:rPr>
              <w:t>%</w:t>
            </w:r>
          </w:p>
        </w:tc>
      </w:tr>
      <w:tr w:rsidR="00B57597" w:rsidRPr="00784B42" w14:paraId="500F7649" w14:textId="77777777" w:rsidTr="00B57597">
        <w:trPr>
          <w:trHeight w:val="255"/>
        </w:trPr>
        <w:tc>
          <w:tcPr>
            <w:tcW w:w="428" w:type="pct"/>
            <w:tcBorders>
              <w:top w:val="single" w:sz="4" w:space="0" w:color="auto"/>
              <w:left w:val="single" w:sz="4" w:space="0" w:color="auto"/>
              <w:bottom w:val="single" w:sz="4" w:space="0" w:color="auto"/>
              <w:right w:val="single" w:sz="4" w:space="0" w:color="auto"/>
            </w:tcBorders>
            <w:vAlign w:val="center"/>
          </w:tcPr>
          <w:p w14:paraId="6B9D7B29" w14:textId="77777777" w:rsidR="00B57597" w:rsidRPr="00784B42" w:rsidRDefault="00B57597" w:rsidP="00784B42">
            <w:pPr>
              <w:keepNext/>
              <w:spacing w:after="0"/>
              <w:jc w:val="center"/>
              <w:rPr>
                <w:rFonts w:eastAsia="Calibri" w:cs="Calibri"/>
                <w:color w:val="000000"/>
                <w:sz w:val="16"/>
                <w:szCs w:val="16"/>
              </w:rPr>
            </w:pPr>
            <w:r w:rsidRPr="00784B42">
              <w:rPr>
                <w:rFonts w:cs="Calibri"/>
                <w:color w:val="000000"/>
                <w:sz w:val="16"/>
                <w:szCs w:val="16"/>
              </w:rPr>
              <w:t>61382060</w:t>
            </w:r>
          </w:p>
        </w:tc>
        <w:tc>
          <w:tcPr>
            <w:tcW w:w="2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8AB288" w14:textId="77777777" w:rsidR="00B57597" w:rsidRPr="00784B42" w:rsidRDefault="00B57597" w:rsidP="00784B42">
            <w:pPr>
              <w:keepNext/>
              <w:spacing w:after="0"/>
              <w:rPr>
                <w:rFonts w:eastAsia="Calibri" w:cs="Calibri"/>
                <w:color w:val="000000"/>
                <w:sz w:val="16"/>
                <w:szCs w:val="16"/>
              </w:rPr>
            </w:pPr>
            <w:r w:rsidRPr="00784B42">
              <w:rPr>
                <w:rFonts w:cs="Calibri"/>
                <w:color w:val="000000"/>
                <w:sz w:val="16"/>
                <w:szCs w:val="16"/>
              </w:rPr>
              <w:t>Správa služeb Ministerstva průmyslu a obchodu ČR</w:t>
            </w:r>
          </w:p>
        </w:tc>
        <w:tc>
          <w:tcPr>
            <w:tcW w:w="502" w:type="pct"/>
            <w:tcBorders>
              <w:top w:val="single" w:sz="4" w:space="0" w:color="auto"/>
              <w:left w:val="nil"/>
              <w:bottom w:val="single" w:sz="4" w:space="0" w:color="auto"/>
              <w:right w:val="single" w:sz="4" w:space="0" w:color="auto"/>
            </w:tcBorders>
            <w:shd w:val="clear" w:color="auto" w:fill="auto"/>
            <w:noWrap/>
            <w:vAlign w:val="center"/>
          </w:tcPr>
          <w:p w14:paraId="4AEFCEC4" w14:textId="78F07971"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94,02</w:t>
            </w:r>
            <w:r w:rsidR="001C3EBA">
              <w:rPr>
                <w:rFonts w:cs="Calibri"/>
                <w:color w:val="000000"/>
                <w:sz w:val="16"/>
                <w:szCs w:val="16"/>
              </w:rPr>
              <w:t> </w:t>
            </w:r>
            <w:r w:rsidRPr="00784B42">
              <w:rPr>
                <w:rFonts w:cs="Calibri"/>
                <w:color w:val="000000"/>
                <w:sz w:val="16"/>
                <w:szCs w:val="16"/>
              </w:rPr>
              <w:t>%</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6CDC1A5B" w14:textId="7C90C3CC"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95,86</w:t>
            </w:r>
            <w:r w:rsidR="001C3EBA">
              <w:rPr>
                <w:rFonts w:cs="Calibri"/>
                <w:color w:val="000000"/>
                <w:sz w:val="16"/>
                <w:szCs w:val="16"/>
              </w:rPr>
              <w:t> </w:t>
            </w:r>
            <w:r w:rsidRPr="00784B42">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52EBF724" w14:textId="3D1BFF58"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96,71</w:t>
            </w:r>
            <w:r w:rsidR="001C3EBA">
              <w:rPr>
                <w:rFonts w:cs="Calibri"/>
                <w:color w:val="000000"/>
                <w:sz w:val="16"/>
                <w:szCs w:val="16"/>
              </w:rPr>
              <w:t> </w:t>
            </w:r>
            <w:r w:rsidRPr="00784B42">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4174F113" w14:textId="7BFB3040"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95,35</w:t>
            </w:r>
            <w:r w:rsidR="001C3EBA">
              <w:rPr>
                <w:rFonts w:cs="Calibri"/>
                <w:color w:val="000000"/>
                <w:sz w:val="16"/>
                <w:szCs w:val="16"/>
              </w:rPr>
              <w:t> </w:t>
            </w:r>
            <w:r w:rsidRPr="00784B42">
              <w:rPr>
                <w:rFonts w:cs="Calibri"/>
                <w:color w:val="000000"/>
                <w:sz w:val="16"/>
                <w:szCs w:val="16"/>
              </w:rPr>
              <w:t>%</w:t>
            </w:r>
          </w:p>
        </w:tc>
        <w:tc>
          <w:tcPr>
            <w:tcW w:w="511" w:type="pct"/>
            <w:tcBorders>
              <w:top w:val="single" w:sz="4" w:space="0" w:color="auto"/>
              <w:left w:val="nil"/>
              <w:bottom w:val="single" w:sz="4" w:space="0" w:color="auto"/>
              <w:right w:val="single" w:sz="4" w:space="0" w:color="auto"/>
            </w:tcBorders>
            <w:vAlign w:val="center"/>
          </w:tcPr>
          <w:p w14:paraId="3E514D4E" w14:textId="1940B6A4"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98,17</w:t>
            </w:r>
            <w:r w:rsidR="001C3EBA">
              <w:rPr>
                <w:rFonts w:cs="Calibri"/>
                <w:color w:val="000000"/>
                <w:sz w:val="16"/>
                <w:szCs w:val="16"/>
              </w:rPr>
              <w:t> </w:t>
            </w:r>
            <w:r w:rsidRPr="00784B42">
              <w:rPr>
                <w:rFonts w:cs="Calibri"/>
                <w:color w:val="000000"/>
                <w:sz w:val="16"/>
                <w:szCs w:val="16"/>
              </w:rPr>
              <w:t>%</w:t>
            </w:r>
          </w:p>
        </w:tc>
      </w:tr>
      <w:tr w:rsidR="00B57597" w:rsidRPr="00784B42" w14:paraId="44618372" w14:textId="77777777" w:rsidTr="00B57597">
        <w:trPr>
          <w:trHeight w:val="255"/>
        </w:trPr>
        <w:tc>
          <w:tcPr>
            <w:tcW w:w="428" w:type="pct"/>
            <w:tcBorders>
              <w:top w:val="single" w:sz="4" w:space="0" w:color="auto"/>
              <w:left w:val="single" w:sz="4" w:space="0" w:color="auto"/>
              <w:bottom w:val="single" w:sz="4" w:space="0" w:color="auto"/>
              <w:right w:val="single" w:sz="4" w:space="0" w:color="auto"/>
            </w:tcBorders>
            <w:vAlign w:val="center"/>
          </w:tcPr>
          <w:p w14:paraId="7C39BD43" w14:textId="77777777" w:rsidR="00B57597" w:rsidRPr="00784B42" w:rsidRDefault="00B57597" w:rsidP="00784B42">
            <w:pPr>
              <w:keepNext/>
              <w:spacing w:after="0"/>
              <w:jc w:val="center"/>
              <w:rPr>
                <w:rFonts w:eastAsia="Calibri" w:cs="Calibri"/>
                <w:color w:val="000000"/>
                <w:sz w:val="16"/>
                <w:szCs w:val="16"/>
              </w:rPr>
            </w:pPr>
            <w:r w:rsidRPr="00784B42">
              <w:rPr>
                <w:rFonts w:cs="Calibri"/>
                <w:color w:val="000000"/>
                <w:sz w:val="16"/>
                <w:szCs w:val="16"/>
              </w:rPr>
              <w:t>00002348</w:t>
            </w:r>
          </w:p>
        </w:tc>
        <w:tc>
          <w:tcPr>
            <w:tcW w:w="2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E9F03" w14:textId="77777777" w:rsidR="00B57597" w:rsidRPr="00784B42" w:rsidRDefault="00B57597" w:rsidP="00784B42">
            <w:pPr>
              <w:keepNext/>
              <w:spacing w:after="0"/>
              <w:rPr>
                <w:rFonts w:eastAsia="Calibri" w:cs="Calibri"/>
                <w:color w:val="000000"/>
                <w:sz w:val="16"/>
                <w:szCs w:val="16"/>
              </w:rPr>
            </w:pPr>
            <w:r w:rsidRPr="00784B42">
              <w:rPr>
                <w:rFonts w:cs="Calibri"/>
                <w:color w:val="000000"/>
                <w:sz w:val="16"/>
                <w:szCs w:val="16"/>
              </w:rPr>
              <w:t>Státní výzkumný ústav materiálu</w:t>
            </w:r>
          </w:p>
        </w:tc>
        <w:tc>
          <w:tcPr>
            <w:tcW w:w="502" w:type="pct"/>
            <w:tcBorders>
              <w:top w:val="single" w:sz="4" w:space="0" w:color="auto"/>
              <w:left w:val="nil"/>
              <w:bottom w:val="single" w:sz="4" w:space="0" w:color="auto"/>
              <w:right w:val="single" w:sz="4" w:space="0" w:color="auto"/>
            </w:tcBorders>
            <w:shd w:val="clear" w:color="auto" w:fill="auto"/>
            <w:noWrap/>
            <w:vAlign w:val="center"/>
          </w:tcPr>
          <w:p w14:paraId="07C710AF" w14:textId="3C6FD27F"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0,00</w:t>
            </w:r>
            <w:r w:rsidR="001C3EBA">
              <w:rPr>
                <w:rFonts w:cs="Calibri"/>
                <w:color w:val="000000"/>
                <w:sz w:val="16"/>
                <w:szCs w:val="16"/>
              </w:rPr>
              <w:t> </w:t>
            </w:r>
            <w:r w:rsidRPr="00784B42">
              <w:rPr>
                <w:rFonts w:cs="Calibri"/>
                <w:color w:val="000000"/>
                <w:sz w:val="16"/>
                <w:szCs w:val="16"/>
              </w:rPr>
              <w:t>%</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7AD7ADD6" w14:textId="77777777"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x </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3F34E7A6" w14:textId="77777777"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x </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6BA79D59" w14:textId="77777777"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x </w:t>
            </w:r>
          </w:p>
        </w:tc>
        <w:tc>
          <w:tcPr>
            <w:tcW w:w="511" w:type="pct"/>
            <w:tcBorders>
              <w:top w:val="single" w:sz="4" w:space="0" w:color="auto"/>
              <w:left w:val="nil"/>
              <w:bottom w:val="single" w:sz="4" w:space="0" w:color="auto"/>
              <w:right w:val="single" w:sz="4" w:space="0" w:color="auto"/>
            </w:tcBorders>
            <w:vAlign w:val="center"/>
          </w:tcPr>
          <w:p w14:paraId="184C5B91" w14:textId="77777777"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x </w:t>
            </w:r>
          </w:p>
        </w:tc>
      </w:tr>
      <w:tr w:rsidR="00B57597" w:rsidRPr="00784B42" w14:paraId="05D40FAB" w14:textId="77777777" w:rsidTr="00B57597">
        <w:trPr>
          <w:trHeight w:val="255"/>
        </w:trPr>
        <w:tc>
          <w:tcPr>
            <w:tcW w:w="2453" w:type="pct"/>
            <w:gridSpan w:val="2"/>
            <w:tcBorders>
              <w:top w:val="single" w:sz="4" w:space="0" w:color="auto"/>
              <w:left w:val="single" w:sz="4" w:space="0" w:color="auto"/>
              <w:bottom w:val="single" w:sz="4" w:space="0" w:color="auto"/>
              <w:right w:val="single" w:sz="4" w:space="0" w:color="auto"/>
            </w:tcBorders>
            <w:shd w:val="clear" w:color="auto" w:fill="F2C6C9"/>
            <w:vAlign w:val="center"/>
          </w:tcPr>
          <w:p w14:paraId="6BFC87F9" w14:textId="77777777" w:rsidR="00B57597" w:rsidRPr="00784B42" w:rsidRDefault="00B57597" w:rsidP="00784B42">
            <w:pPr>
              <w:keepNext/>
              <w:spacing w:after="0"/>
              <w:rPr>
                <w:rFonts w:eastAsia="Calibri" w:cs="Calibri"/>
                <w:b/>
                <w:color w:val="000000"/>
                <w:sz w:val="16"/>
                <w:szCs w:val="16"/>
              </w:rPr>
            </w:pPr>
            <w:r w:rsidRPr="00784B42">
              <w:rPr>
                <w:rFonts w:cs="Calibri"/>
                <w:b/>
                <w:bCs/>
                <w:color w:val="000000"/>
                <w:sz w:val="16"/>
                <w:szCs w:val="16"/>
              </w:rPr>
              <w:t>Podíl výše příspěvku na provoz na celkových výnosech PO</w:t>
            </w:r>
          </w:p>
        </w:tc>
        <w:tc>
          <w:tcPr>
            <w:tcW w:w="502" w:type="pct"/>
            <w:tcBorders>
              <w:top w:val="single" w:sz="4" w:space="0" w:color="auto"/>
              <w:left w:val="nil"/>
              <w:bottom w:val="single" w:sz="4" w:space="0" w:color="auto"/>
              <w:right w:val="single" w:sz="4" w:space="0" w:color="auto"/>
            </w:tcBorders>
            <w:shd w:val="clear" w:color="auto" w:fill="F2C6C9"/>
            <w:noWrap/>
            <w:vAlign w:val="center"/>
          </w:tcPr>
          <w:p w14:paraId="51F95A4F" w14:textId="28EB2216" w:rsidR="00B57597" w:rsidRPr="00784B42" w:rsidRDefault="00B57597" w:rsidP="00784B42">
            <w:pPr>
              <w:keepNext/>
              <w:spacing w:after="0"/>
              <w:ind w:right="57"/>
              <w:jc w:val="right"/>
              <w:rPr>
                <w:rFonts w:eastAsia="Calibri" w:cs="Calibri"/>
                <w:b/>
                <w:bCs/>
                <w:color w:val="000000"/>
                <w:sz w:val="16"/>
                <w:szCs w:val="16"/>
              </w:rPr>
            </w:pPr>
            <w:r w:rsidRPr="00784B42">
              <w:rPr>
                <w:rFonts w:cs="Calibri"/>
                <w:b/>
                <w:bCs/>
                <w:color w:val="000000"/>
                <w:sz w:val="16"/>
                <w:szCs w:val="16"/>
              </w:rPr>
              <w:t>43,27</w:t>
            </w:r>
            <w:r w:rsidR="001C3EBA">
              <w:rPr>
                <w:rFonts w:cs="Calibri"/>
                <w:b/>
                <w:bCs/>
                <w:color w:val="000000"/>
                <w:sz w:val="16"/>
                <w:szCs w:val="16"/>
              </w:rPr>
              <w:t> </w:t>
            </w:r>
            <w:r w:rsidRPr="00784B42">
              <w:rPr>
                <w:rFonts w:cs="Calibri"/>
                <w:b/>
                <w:bCs/>
                <w:color w:val="000000"/>
                <w:sz w:val="16"/>
                <w:szCs w:val="16"/>
              </w:rPr>
              <w:t>%</w:t>
            </w:r>
          </w:p>
        </w:tc>
        <w:tc>
          <w:tcPr>
            <w:tcW w:w="511" w:type="pct"/>
            <w:tcBorders>
              <w:top w:val="single" w:sz="4" w:space="0" w:color="auto"/>
              <w:left w:val="nil"/>
              <w:bottom w:val="single" w:sz="4" w:space="0" w:color="auto"/>
              <w:right w:val="single" w:sz="4" w:space="0" w:color="auto"/>
            </w:tcBorders>
            <w:shd w:val="clear" w:color="auto" w:fill="F2C6C9"/>
            <w:noWrap/>
            <w:vAlign w:val="center"/>
          </w:tcPr>
          <w:p w14:paraId="660A7678" w14:textId="58B45F45" w:rsidR="00B57597" w:rsidRPr="00784B42" w:rsidRDefault="00B57597" w:rsidP="00784B42">
            <w:pPr>
              <w:keepNext/>
              <w:spacing w:after="0"/>
              <w:ind w:right="57"/>
              <w:jc w:val="right"/>
              <w:rPr>
                <w:rFonts w:eastAsia="Calibri" w:cs="Calibri"/>
                <w:b/>
                <w:bCs/>
                <w:color w:val="000000"/>
                <w:sz w:val="16"/>
                <w:szCs w:val="16"/>
              </w:rPr>
            </w:pPr>
            <w:r w:rsidRPr="00784B42">
              <w:rPr>
                <w:rFonts w:cs="Calibri"/>
                <w:b/>
                <w:bCs/>
                <w:color w:val="000000"/>
                <w:sz w:val="16"/>
                <w:szCs w:val="16"/>
              </w:rPr>
              <w:t>49,27</w:t>
            </w:r>
            <w:r w:rsidR="001C3EBA">
              <w:rPr>
                <w:rFonts w:cs="Calibri"/>
                <w:b/>
                <w:bCs/>
                <w:color w:val="000000"/>
                <w:sz w:val="16"/>
                <w:szCs w:val="16"/>
              </w:rPr>
              <w:t> </w:t>
            </w:r>
            <w:r w:rsidRPr="00784B42">
              <w:rPr>
                <w:rFonts w:cs="Calibri"/>
                <w:b/>
                <w:bCs/>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F2C6C9"/>
            <w:noWrap/>
            <w:vAlign w:val="center"/>
          </w:tcPr>
          <w:p w14:paraId="3A6FB768" w14:textId="761F9D5F" w:rsidR="00B57597" w:rsidRPr="00784B42" w:rsidRDefault="00B57597" w:rsidP="00784B42">
            <w:pPr>
              <w:keepNext/>
              <w:spacing w:after="0"/>
              <w:ind w:right="57"/>
              <w:jc w:val="right"/>
              <w:rPr>
                <w:rFonts w:eastAsia="Calibri" w:cs="Calibri"/>
                <w:b/>
                <w:bCs/>
                <w:color w:val="000000"/>
                <w:sz w:val="16"/>
                <w:szCs w:val="16"/>
              </w:rPr>
            </w:pPr>
            <w:r w:rsidRPr="00784B42">
              <w:rPr>
                <w:rFonts w:cs="Calibri"/>
                <w:b/>
                <w:bCs/>
                <w:color w:val="000000"/>
                <w:sz w:val="16"/>
                <w:szCs w:val="16"/>
              </w:rPr>
              <w:t>41,54</w:t>
            </w:r>
            <w:r w:rsidR="001C3EBA">
              <w:rPr>
                <w:rFonts w:cs="Calibri"/>
                <w:b/>
                <w:bCs/>
                <w:color w:val="000000"/>
                <w:sz w:val="16"/>
                <w:szCs w:val="16"/>
              </w:rPr>
              <w:t> </w:t>
            </w:r>
            <w:r w:rsidRPr="00784B42">
              <w:rPr>
                <w:rFonts w:cs="Calibri"/>
                <w:b/>
                <w:bCs/>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F2C6C9"/>
            <w:noWrap/>
            <w:vAlign w:val="center"/>
          </w:tcPr>
          <w:p w14:paraId="6ADBD424" w14:textId="6E7713E3" w:rsidR="00B57597" w:rsidRPr="00784B42" w:rsidRDefault="00B57597" w:rsidP="00784B42">
            <w:pPr>
              <w:keepNext/>
              <w:spacing w:after="0"/>
              <w:ind w:right="57"/>
              <w:jc w:val="right"/>
              <w:rPr>
                <w:rFonts w:eastAsia="Calibri" w:cs="Calibri"/>
                <w:b/>
                <w:bCs/>
                <w:color w:val="000000"/>
                <w:sz w:val="16"/>
                <w:szCs w:val="16"/>
              </w:rPr>
            </w:pPr>
            <w:r w:rsidRPr="00784B42">
              <w:rPr>
                <w:rFonts w:cs="Calibri"/>
                <w:b/>
                <w:bCs/>
                <w:color w:val="000000"/>
                <w:sz w:val="16"/>
                <w:szCs w:val="16"/>
              </w:rPr>
              <w:t>38,20</w:t>
            </w:r>
            <w:r w:rsidR="001C3EBA">
              <w:rPr>
                <w:rFonts w:cs="Calibri"/>
                <w:b/>
                <w:bCs/>
                <w:color w:val="000000"/>
                <w:sz w:val="16"/>
                <w:szCs w:val="16"/>
              </w:rPr>
              <w:t> </w:t>
            </w:r>
            <w:r w:rsidRPr="00784B42">
              <w:rPr>
                <w:rFonts w:cs="Calibri"/>
                <w:b/>
                <w:bCs/>
                <w:color w:val="000000"/>
                <w:sz w:val="16"/>
                <w:szCs w:val="16"/>
              </w:rPr>
              <w:t>%</w:t>
            </w:r>
          </w:p>
        </w:tc>
        <w:tc>
          <w:tcPr>
            <w:tcW w:w="511" w:type="pct"/>
            <w:tcBorders>
              <w:top w:val="single" w:sz="4" w:space="0" w:color="auto"/>
              <w:left w:val="nil"/>
              <w:bottom w:val="single" w:sz="4" w:space="0" w:color="auto"/>
              <w:right w:val="single" w:sz="4" w:space="0" w:color="auto"/>
            </w:tcBorders>
            <w:shd w:val="clear" w:color="auto" w:fill="F2C6C9"/>
            <w:vAlign w:val="center"/>
          </w:tcPr>
          <w:p w14:paraId="0E664E3C" w14:textId="62AB79F5" w:rsidR="00B57597" w:rsidRPr="00784B42" w:rsidRDefault="00B57597" w:rsidP="00784B42">
            <w:pPr>
              <w:keepNext/>
              <w:spacing w:after="0"/>
              <w:ind w:right="57"/>
              <w:jc w:val="right"/>
              <w:rPr>
                <w:rFonts w:eastAsia="Calibri" w:cs="Calibri"/>
                <w:b/>
                <w:bCs/>
                <w:color w:val="000000"/>
                <w:sz w:val="16"/>
                <w:szCs w:val="16"/>
              </w:rPr>
            </w:pPr>
            <w:r w:rsidRPr="00784B42">
              <w:rPr>
                <w:rFonts w:cs="Calibri"/>
                <w:b/>
                <w:bCs/>
                <w:color w:val="000000"/>
                <w:sz w:val="16"/>
                <w:szCs w:val="16"/>
              </w:rPr>
              <w:t>40,22</w:t>
            </w:r>
            <w:r w:rsidR="001C3EBA">
              <w:rPr>
                <w:rFonts w:cs="Calibri"/>
                <w:b/>
                <w:bCs/>
                <w:color w:val="000000"/>
                <w:sz w:val="16"/>
                <w:szCs w:val="16"/>
              </w:rPr>
              <w:t> </w:t>
            </w:r>
            <w:r w:rsidRPr="00784B42">
              <w:rPr>
                <w:rFonts w:cs="Calibri"/>
                <w:b/>
                <w:bCs/>
                <w:color w:val="000000"/>
                <w:sz w:val="16"/>
                <w:szCs w:val="16"/>
              </w:rPr>
              <w:t>%</w:t>
            </w:r>
          </w:p>
        </w:tc>
      </w:tr>
    </w:tbl>
    <w:p w14:paraId="3369CB9E" w14:textId="77777777" w:rsidR="00B57597" w:rsidRPr="0059487C" w:rsidRDefault="00B57597" w:rsidP="00784B42">
      <w:pPr>
        <w:spacing w:before="40"/>
        <w:ind w:left="567" w:hanging="567"/>
        <w:rPr>
          <w:rFonts w:cs="Calibri"/>
          <w:color w:val="000000"/>
          <w:sz w:val="20"/>
          <w:szCs w:val="20"/>
          <w:lang w:eastAsia="cs-CZ"/>
        </w:rPr>
      </w:pPr>
      <w:r w:rsidRPr="0059487C">
        <w:rPr>
          <w:rFonts w:cs="Calibri"/>
          <w:b/>
          <w:color w:val="000000"/>
          <w:sz w:val="20"/>
          <w:szCs w:val="20"/>
          <w:lang w:eastAsia="cs-CZ"/>
        </w:rPr>
        <w:t xml:space="preserve">Zdroj: </w:t>
      </w:r>
      <w:r w:rsidRPr="0059487C">
        <w:rPr>
          <w:rFonts w:cs="Calibri"/>
          <w:color w:val="000000"/>
          <w:sz w:val="20"/>
          <w:szCs w:val="20"/>
          <w:lang w:eastAsia="cs-CZ"/>
        </w:rPr>
        <w:t>C</w:t>
      </w:r>
      <w:r>
        <w:rPr>
          <w:rFonts w:cs="Calibri"/>
          <w:color w:val="000000"/>
          <w:sz w:val="20"/>
          <w:szCs w:val="20"/>
          <w:lang w:eastAsia="cs-CZ"/>
        </w:rPr>
        <w:t xml:space="preserve">SÚIS, </w:t>
      </w:r>
      <w:r w:rsidRPr="0059487C">
        <w:rPr>
          <w:rFonts w:cs="Calibri"/>
          <w:color w:val="000000"/>
          <w:sz w:val="20"/>
          <w:szCs w:val="20"/>
          <w:lang w:eastAsia="cs-CZ"/>
        </w:rPr>
        <w:t>ISSP-CSÚIS – výkaz „</w:t>
      </w:r>
      <w:r>
        <w:rPr>
          <w:rFonts w:cs="Calibri"/>
          <w:color w:val="000000"/>
          <w:sz w:val="20"/>
          <w:szCs w:val="20"/>
          <w:lang w:eastAsia="cs-CZ"/>
        </w:rPr>
        <w:t>p</w:t>
      </w:r>
      <w:r w:rsidRPr="0059487C">
        <w:rPr>
          <w:rFonts w:cs="Calibri"/>
          <w:color w:val="000000"/>
          <w:sz w:val="20"/>
          <w:szCs w:val="20"/>
          <w:lang w:eastAsia="cs-CZ"/>
        </w:rPr>
        <w:t xml:space="preserve">řehled o rozpočtu SPO – část II“ (údaje ze sloupce </w:t>
      </w:r>
      <w:r w:rsidRPr="00682D65">
        <w:rPr>
          <w:rFonts w:cs="Calibri"/>
          <w:i/>
          <w:color w:val="000000"/>
          <w:sz w:val="20"/>
          <w:szCs w:val="20"/>
          <w:lang w:eastAsia="cs-CZ"/>
        </w:rPr>
        <w:t>Skutečnost minulého roku v Kč</w:t>
      </w:r>
      <w:r w:rsidRPr="0059487C">
        <w:rPr>
          <w:rFonts w:cs="Calibri"/>
          <w:color w:val="000000"/>
          <w:sz w:val="20"/>
          <w:szCs w:val="20"/>
          <w:lang w:eastAsia="cs-CZ"/>
        </w:rPr>
        <w:t>);</w:t>
      </w:r>
      <w:r w:rsidRPr="0059487C">
        <w:rPr>
          <w:i/>
          <w:color w:val="000000"/>
          <w:sz w:val="20"/>
          <w:lang w:eastAsia="cs-CZ"/>
        </w:rPr>
        <w:t xml:space="preserve"> </w:t>
      </w:r>
      <w:r w:rsidRPr="0059487C">
        <w:rPr>
          <w:color w:val="000000"/>
          <w:sz w:val="20"/>
          <w:lang w:eastAsia="cs-CZ"/>
        </w:rPr>
        <w:t>výpočet vypracoval NKÚ</w:t>
      </w:r>
      <w:r w:rsidRPr="0059487C">
        <w:rPr>
          <w:rFonts w:cs="Calibri"/>
          <w:color w:val="000000"/>
          <w:sz w:val="20"/>
          <w:szCs w:val="20"/>
          <w:lang w:eastAsia="cs-CZ"/>
        </w:rPr>
        <w:t>.</w:t>
      </w:r>
    </w:p>
    <w:p w14:paraId="511526AD" w14:textId="643CFE9D" w:rsidR="00B57597" w:rsidRPr="00784B42" w:rsidRDefault="00B57597" w:rsidP="00784B42">
      <w:pPr>
        <w:pStyle w:val="Titulek1"/>
        <w:rPr>
          <w:sz w:val="24"/>
        </w:rPr>
      </w:pPr>
      <w:bookmarkStart w:id="135" w:name="_Toc520714353"/>
      <w:bookmarkStart w:id="136" w:name="_Toc8984560"/>
      <w:bookmarkStart w:id="137" w:name="_Toc72157498"/>
      <w:r w:rsidRPr="00784B42">
        <w:rPr>
          <w:sz w:val="24"/>
        </w:rPr>
        <w:t xml:space="preserve">Tabulka č. </w:t>
      </w:r>
      <w:r w:rsidR="005F2931" w:rsidRPr="00784B42">
        <w:rPr>
          <w:sz w:val="24"/>
        </w:rPr>
        <w:fldChar w:fldCharType="begin"/>
      </w:r>
      <w:r w:rsidR="005F2931" w:rsidRPr="00784B42">
        <w:rPr>
          <w:sz w:val="24"/>
        </w:rPr>
        <w:instrText xml:space="preserve"> SEQ Tabulka \* ARABIC </w:instrText>
      </w:r>
      <w:r w:rsidR="005F2931" w:rsidRPr="00784B42">
        <w:rPr>
          <w:sz w:val="24"/>
        </w:rPr>
        <w:fldChar w:fldCharType="separate"/>
      </w:r>
      <w:r w:rsidR="00E544AA">
        <w:rPr>
          <w:noProof/>
          <w:sz w:val="24"/>
        </w:rPr>
        <w:t>42</w:t>
      </w:r>
      <w:r w:rsidR="005F2931" w:rsidRPr="00784B42">
        <w:rPr>
          <w:noProof/>
          <w:sz w:val="24"/>
        </w:rPr>
        <w:fldChar w:fldCharType="end"/>
      </w:r>
      <w:r w:rsidRPr="00784B42">
        <w:rPr>
          <w:sz w:val="24"/>
        </w:rPr>
        <w:t>: Podíl výše příspěvku na provoz na výnosech z transferů PO (účet 671)</w:t>
      </w:r>
      <w:bookmarkEnd w:id="135"/>
      <w:bookmarkEnd w:id="136"/>
      <w:bookmarkEnd w:id="137"/>
    </w:p>
    <w:tbl>
      <w:tblPr>
        <w:tblW w:w="5000" w:type="pct"/>
        <w:tblCellMar>
          <w:left w:w="70" w:type="dxa"/>
          <w:right w:w="70" w:type="dxa"/>
        </w:tblCellMar>
        <w:tblLook w:val="04A0" w:firstRow="1" w:lastRow="0" w:firstColumn="1" w:lastColumn="0" w:noHBand="0" w:noVBand="1"/>
      </w:tblPr>
      <w:tblGrid>
        <w:gridCol w:w="789"/>
        <w:gridCol w:w="3730"/>
        <w:gridCol w:w="895"/>
        <w:gridCol w:w="911"/>
        <w:gridCol w:w="913"/>
        <w:gridCol w:w="913"/>
        <w:gridCol w:w="909"/>
      </w:tblGrid>
      <w:tr w:rsidR="00B57597" w:rsidRPr="00784B42" w14:paraId="5517B00B" w14:textId="77777777" w:rsidTr="00B57597">
        <w:trPr>
          <w:trHeight w:val="255"/>
        </w:trPr>
        <w:tc>
          <w:tcPr>
            <w:tcW w:w="428" w:type="pct"/>
            <w:tcBorders>
              <w:top w:val="single" w:sz="4" w:space="0" w:color="auto"/>
              <w:left w:val="single" w:sz="4" w:space="0" w:color="auto"/>
              <w:bottom w:val="single" w:sz="4" w:space="0" w:color="auto"/>
              <w:right w:val="single" w:sz="4" w:space="0" w:color="auto"/>
            </w:tcBorders>
            <w:shd w:val="clear" w:color="auto" w:fill="E5F1FF"/>
            <w:vAlign w:val="center"/>
          </w:tcPr>
          <w:p w14:paraId="3379A22D" w14:textId="77777777" w:rsidR="00B57597" w:rsidRPr="00784B42" w:rsidRDefault="00B57597" w:rsidP="00784B42">
            <w:pPr>
              <w:keepNext/>
              <w:spacing w:after="0"/>
              <w:jc w:val="center"/>
              <w:rPr>
                <w:rFonts w:cs="Calibri"/>
                <w:b/>
                <w:bCs/>
                <w:color w:val="000000"/>
                <w:sz w:val="16"/>
                <w:szCs w:val="16"/>
                <w:lang w:eastAsia="cs-CZ"/>
              </w:rPr>
            </w:pPr>
            <w:r w:rsidRPr="00784B42">
              <w:rPr>
                <w:rFonts w:cs="Calibri"/>
                <w:b/>
                <w:bCs/>
                <w:color w:val="000000"/>
                <w:sz w:val="16"/>
                <w:szCs w:val="16"/>
              </w:rPr>
              <w:t>IČO</w:t>
            </w:r>
          </w:p>
        </w:tc>
        <w:tc>
          <w:tcPr>
            <w:tcW w:w="2025"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C4F5E54" w14:textId="77777777" w:rsidR="00B57597" w:rsidRPr="00784B42" w:rsidRDefault="00B57597" w:rsidP="00784B42">
            <w:pPr>
              <w:keepNext/>
              <w:spacing w:after="0"/>
              <w:jc w:val="center"/>
              <w:rPr>
                <w:rFonts w:cs="Calibri"/>
                <w:b/>
                <w:bCs/>
                <w:color w:val="000000"/>
                <w:sz w:val="16"/>
                <w:szCs w:val="16"/>
                <w:lang w:eastAsia="cs-CZ"/>
              </w:rPr>
            </w:pPr>
            <w:r w:rsidRPr="00784B42">
              <w:rPr>
                <w:rFonts w:cs="Calibri"/>
                <w:b/>
                <w:bCs/>
                <w:color w:val="000000"/>
                <w:sz w:val="16"/>
                <w:szCs w:val="16"/>
              </w:rPr>
              <w:t>Účetní jednotka</w:t>
            </w:r>
          </w:p>
        </w:tc>
        <w:tc>
          <w:tcPr>
            <w:tcW w:w="502" w:type="pct"/>
            <w:tcBorders>
              <w:top w:val="single" w:sz="4" w:space="0" w:color="auto"/>
              <w:left w:val="nil"/>
              <w:bottom w:val="single" w:sz="4" w:space="0" w:color="auto"/>
              <w:right w:val="single" w:sz="4" w:space="0" w:color="auto"/>
            </w:tcBorders>
            <w:shd w:val="clear" w:color="auto" w:fill="E5F1FF"/>
            <w:noWrap/>
            <w:vAlign w:val="center"/>
            <w:hideMark/>
          </w:tcPr>
          <w:p w14:paraId="6BE2AF61" w14:textId="77777777" w:rsidR="00B57597" w:rsidRPr="00784B42" w:rsidRDefault="00B57597" w:rsidP="00784B42">
            <w:pPr>
              <w:keepNext/>
              <w:spacing w:after="0"/>
              <w:jc w:val="center"/>
              <w:rPr>
                <w:rFonts w:cs="Calibri"/>
                <w:b/>
                <w:bCs/>
                <w:color w:val="000000"/>
                <w:sz w:val="16"/>
                <w:szCs w:val="16"/>
                <w:lang w:eastAsia="cs-CZ"/>
              </w:rPr>
            </w:pPr>
            <w:r w:rsidRPr="00784B42">
              <w:rPr>
                <w:rFonts w:cs="Calibri"/>
                <w:b/>
                <w:bCs/>
                <w:color w:val="000000"/>
                <w:sz w:val="16"/>
                <w:szCs w:val="16"/>
              </w:rPr>
              <w:t>2016</w:t>
            </w:r>
          </w:p>
        </w:tc>
        <w:tc>
          <w:tcPr>
            <w:tcW w:w="511" w:type="pct"/>
            <w:tcBorders>
              <w:top w:val="single" w:sz="4" w:space="0" w:color="auto"/>
              <w:left w:val="nil"/>
              <w:bottom w:val="single" w:sz="4" w:space="0" w:color="auto"/>
              <w:right w:val="single" w:sz="4" w:space="0" w:color="auto"/>
            </w:tcBorders>
            <w:shd w:val="clear" w:color="auto" w:fill="E5F1FF"/>
            <w:noWrap/>
            <w:vAlign w:val="center"/>
            <w:hideMark/>
          </w:tcPr>
          <w:p w14:paraId="726F0788" w14:textId="77777777" w:rsidR="00B57597" w:rsidRPr="00784B42" w:rsidRDefault="00B57597" w:rsidP="00784B42">
            <w:pPr>
              <w:keepNext/>
              <w:spacing w:after="0"/>
              <w:jc w:val="center"/>
              <w:rPr>
                <w:rFonts w:cs="Calibri"/>
                <w:b/>
                <w:bCs/>
                <w:color w:val="000000"/>
                <w:sz w:val="16"/>
                <w:szCs w:val="16"/>
                <w:lang w:eastAsia="cs-CZ"/>
              </w:rPr>
            </w:pPr>
            <w:r w:rsidRPr="00784B42">
              <w:rPr>
                <w:rFonts w:cs="Calibri"/>
                <w:b/>
                <w:bCs/>
                <w:color w:val="000000"/>
                <w:sz w:val="16"/>
                <w:szCs w:val="16"/>
              </w:rPr>
              <w:t>2017</w:t>
            </w:r>
          </w:p>
        </w:tc>
        <w:tc>
          <w:tcPr>
            <w:tcW w:w="512" w:type="pct"/>
            <w:tcBorders>
              <w:top w:val="single" w:sz="4" w:space="0" w:color="auto"/>
              <w:left w:val="nil"/>
              <w:bottom w:val="single" w:sz="4" w:space="0" w:color="auto"/>
              <w:right w:val="single" w:sz="4" w:space="0" w:color="auto"/>
            </w:tcBorders>
            <w:shd w:val="clear" w:color="auto" w:fill="E5F1FF"/>
            <w:noWrap/>
            <w:vAlign w:val="center"/>
            <w:hideMark/>
          </w:tcPr>
          <w:p w14:paraId="2880F0CE" w14:textId="77777777" w:rsidR="00B57597" w:rsidRPr="00784B42" w:rsidRDefault="00B57597" w:rsidP="00784B42">
            <w:pPr>
              <w:keepNext/>
              <w:spacing w:after="0"/>
              <w:jc w:val="center"/>
              <w:rPr>
                <w:rFonts w:cs="Calibri"/>
                <w:b/>
                <w:bCs/>
                <w:color w:val="000000"/>
                <w:sz w:val="16"/>
                <w:szCs w:val="16"/>
                <w:lang w:eastAsia="cs-CZ"/>
              </w:rPr>
            </w:pPr>
            <w:r w:rsidRPr="00784B42">
              <w:rPr>
                <w:rFonts w:cs="Calibri"/>
                <w:b/>
                <w:bCs/>
                <w:color w:val="000000"/>
                <w:sz w:val="16"/>
                <w:szCs w:val="16"/>
              </w:rPr>
              <w:t>2018</w:t>
            </w:r>
          </w:p>
        </w:tc>
        <w:tc>
          <w:tcPr>
            <w:tcW w:w="512" w:type="pct"/>
            <w:tcBorders>
              <w:top w:val="single" w:sz="4" w:space="0" w:color="auto"/>
              <w:left w:val="nil"/>
              <w:bottom w:val="single" w:sz="4" w:space="0" w:color="auto"/>
              <w:right w:val="single" w:sz="4" w:space="0" w:color="auto"/>
            </w:tcBorders>
            <w:shd w:val="clear" w:color="auto" w:fill="E5F1FF"/>
            <w:noWrap/>
            <w:vAlign w:val="center"/>
            <w:hideMark/>
          </w:tcPr>
          <w:p w14:paraId="75A2E72C" w14:textId="77777777" w:rsidR="00B57597" w:rsidRPr="00784B42" w:rsidRDefault="00B57597" w:rsidP="00784B42">
            <w:pPr>
              <w:keepNext/>
              <w:spacing w:after="0"/>
              <w:jc w:val="center"/>
              <w:rPr>
                <w:rFonts w:cs="Calibri"/>
                <w:b/>
                <w:bCs/>
                <w:color w:val="000000"/>
                <w:sz w:val="16"/>
                <w:szCs w:val="16"/>
                <w:lang w:eastAsia="cs-CZ"/>
              </w:rPr>
            </w:pPr>
            <w:r w:rsidRPr="00784B42">
              <w:rPr>
                <w:rFonts w:cs="Calibri"/>
                <w:b/>
                <w:bCs/>
                <w:color w:val="000000"/>
                <w:sz w:val="16"/>
                <w:szCs w:val="16"/>
              </w:rPr>
              <w:t>2019</w:t>
            </w:r>
          </w:p>
        </w:tc>
        <w:tc>
          <w:tcPr>
            <w:tcW w:w="511" w:type="pct"/>
            <w:tcBorders>
              <w:top w:val="single" w:sz="4" w:space="0" w:color="auto"/>
              <w:left w:val="nil"/>
              <w:bottom w:val="single" w:sz="4" w:space="0" w:color="auto"/>
              <w:right w:val="single" w:sz="4" w:space="0" w:color="auto"/>
            </w:tcBorders>
            <w:shd w:val="clear" w:color="auto" w:fill="E5F1FF"/>
            <w:vAlign w:val="center"/>
          </w:tcPr>
          <w:p w14:paraId="058B891C" w14:textId="77777777" w:rsidR="00B57597" w:rsidRPr="00784B42" w:rsidRDefault="00B57597" w:rsidP="00784B42">
            <w:pPr>
              <w:keepNext/>
              <w:spacing w:after="0"/>
              <w:jc w:val="center"/>
              <w:rPr>
                <w:rFonts w:cs="Calibri"/>
                <w:b/>
                <w:bCs/>
                <w:color w:val="000000"/>
                <w:sz w:val="16"/>
                <w:szCs w:val="16"/>
                <w:lang w:eastAsia="cs-CZ"/>
              </w:rPr>
            </w:pPr>
            <w:r w:rsidRPr="00784B42">
              <w:rPr>
                <w:rFonts w:cs="Calibri"/>
                <w:b/>
                <w:bCs/>
                <w:color w:val="000000"/>
                <w:sz w:val="16"/>
                <w:szCs w:val="16"/>
              </w:rPr>
              <w:t>2020</w:t>
            </w:r>
          </w:p>
        </w:tc>
      </w:tr>
      <w:tr w:rsidR="00B57597" w:rsidRPr="00784B42" w14:paraId="31BFC845" w14:textId="77777777" w:rsidTr="00B57597">
        <w:trPr>
          <w:trHeight w:val="255"/>
        </w:trPr>
        <w:tc>
          <w:tcPr>
            <w:tcW w:w="428" w:type="pct"/>
            <w:tcBorders>
              <w:top w:val="nil"/>
              <w:left w:val="single" w:sz="4" w:space="0" w:color="auto"/>
              <w:bottom w:val="single" w:sz="4" w:space="0" w:color="auto"/>
              <w:right w:val="single" w:sz="4" w:space="0" w:color="auto"/>
            </w:tcBorders>
            <w:vAlign w:val="center"/>
          </w:tcPr>
          <w:p w14:paraId="08C96AAB" w14:textId="77777777" w:rsidR="00B57597" w:rsidRPr="00784B42" w:rsidRDefault="00B57597" w:rsidP="00784B42">
            <w:pPr>
              <w:keepNext/>
              <w:spacing w:after="0"/>
              <w:jc w:val="center"/>
              <w:rPr>
                <w:rFonts w:eastAsia="Calibri" w:cs="Calibri"/>
                <w:color w:val="000000"/>
                <w:sz w:val="16"/>
                <w:szCs w:val="16"/>
              </w:rPr>
            </w:pPr>
            <w:r w:rsidRPr="00784B42">
              <w:rPr>
                <w:rFonts w:cs="Calibri"/>
                <w:color w:val="000000"/>
                <w:sz w:val="16"/>
                <w:szCs w:val="16"/>
              </w:rPr>
              <w:t>05108861</w:t>
            </w:r>
          </w:p>
        </w:tc>
        <w:tc>
          <w:tcPr>
            <w:tcW w:w="2025" w:type="pct"/>
            <w:tcBorders>
              <w:top w:val="nil"/>
              <w:left w:val="single" w:sz="4" w:space="0" w:color="auto"/>
              <w:bottom w:val="single" w:sz="4" w:space="0" w:color="auto"/>
              <w:right w:val="single" w:sz="4" w:space="0" w:color="auto"/>
            </w:tcBorders>
            <w:shd w:val="clear" w:color="auto" w:fill="auto"/>
            <w:noWrap/>
            <w:vAlign w:val="center"/>
          </w:tcPr>
          <w:p w14:paraId="320DDF57" w14:textId="77777777" w:rsidR="00B57597" w:rsidRPr="00784B42" w:rsidRDefault="00B57597" w:rsidP="00784B42">
            <w:pPr>
              <w:keepNext/>
              <w:spacing w:after="0"/>
              <w:rPr>
                <w:rFonts w:eastAsia="Calibri" w:cs="Calibri"/>
                <w:color w:val="000000"/>
                <w:sz w:val="16"/>
                <w:szCs w:val="16"/>
              </w:rPr>
            </w:pPr>
            <w:r w:rsidRPr="00784B42">
              <w:rPr>
                <w:rFonts w:cs="Calibri"/>
                <w:color w:val="000000"/>
                <w:sz w:val="16"/>
                <w:szCs w:val="16"/>
              </w:rPr>
              <w:t>Agentura pro podnikání a inovace</w:t>
            </w:r>
          </w:p>
        </w:tc>
        <w:tc>
          <w:tcPr>
            <w:tcW w:w="502" w:type="pct"/>
            <w:tcBorders>
              <w:top w:val="nil"/>
              <w:left w:val="nil"/>
              <w:bottom w:val="single" w:sz="4" w:space="0" w:color="auto"/>
              <w:right w:val="single" w:sz="4" w:space="0" w:color="auto"/>
            </w:tcBorders>
            <w:shd w:val="clear" w:color="auto" w:fill="auto"/>
            <w:noWrap/>
            <w:vAlign w:val="center"/>
          </w:tcPr>
          <w:p w14:paraId="593DCF71" w14:textId="677297AC"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12,96</w:t>
            </w:r>
            <w:r w:rsidR="001C3EBA">
              <w:rPr>
                <w:rFonts w:cs="Calibri"/>
                <w:color w:val="000000"/>
                <w:sz w:val="16"/>
                <w:szCs w:val="16"/>
              </w:rPr>
              <w:t> </w:t>
            </w:r>
            <w:r w:rsidRPr="00784B42">
              <w:rPr>
                <w:rFonts w:cs="Calibri"/>
                <w:color w:val="000000"/>
                <w:sz w:val="16"/>
                <w:szCs w:val="16"/>
              </w:rPr>
              <w:t>%</w:t>
            </w:r>
          </w:p>
        </w:tc>
        <w:tc>
          <w:tcPr>
            <w:tcW w:w="511" w:type="pct"/>
            <w:tcBorders>
              <w:top w:val="nil"/>
              <w:left w:val="nil"/>
              <w:bottom w:val="single" w:sz="4" w:space="0" w:color="auto"/>
              <w:right w:val="single" w:sz="4" w:space="0" w:color="auto"/>
            </w:tcBorders>
            <w:shd w:val="clear" w:color="auto" w:fill="auto"/>
            <w:noWrap/>
            <w:vAlign w:val="center"/>
          </w:tcPr>
          <w:p w14:paraId="334BFCCA" w14:textId="7A3593D2"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12,99</w:t>
            </w:r>
            <w:r w:rsidR="001C3EBA">
              <w:rPr>
                <w:rFonts w:cs="Calibri"/>
                <w:color w:val="000000"/>
                <w:sz w:val="16"/>
                <w:szCs w:val="16"/>
              </w:rPr>
              <w:t> </w:t>
            </w:r>
            <w:r w:rsidRPr="00784B42">
              <w:rPr>
                <w:rFonts w:cs="Calibri"/>
                <w:color w:val="000000"/>
                <w:sz w:val="16"/>
                <w:szCs w:val="16"/>
              </w:rPr>
              <w:t>%</w:t>
            </w:r>
          </w:p>
        </w:tc>
        <w:tc>
          <w:tcPr>
            <w:tcW w:w="512" w:type="pct"/>
            <w:tcBorders>
              <w:top w:val="nil"/>
              <w:left w:val="nil"/>
              <w:bottom w:val="single" w:sz="4" w:space="0" w:color="auto"/>
              <w:right w:val="single" w:sz="4" w:space="0" w:color="auto"/>
            </w:tcBorders>
            <w:shd w:val="clear" w:color="auto" w:fill="auto"/>
            <w:noWrap/>
            <w:vAlign w:val="center"/>
          </w:tcPr>
          <w:p w14:paraId="052DA9F4" w14:textId="339FC28B"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9,99</w:t>
            </w:r>
            <w:r w:rsidR="00D43C4E">
              <w:rPr>
                <w:rFonts w:cs="Calibri"/>
                <w:color w:val="000000"/>
                <w:sz w:val="16"/>
                <w:szCs w:val="16"/>
              </w:rPr>
              <w:t> </w:t>
            </w:r>
            <w:r w:rsidRPr="00784B42">
              <w:rPr>
                <w:rFonts w:cs="Calibri"/>
                <w:color w:val="000000"/>
                <w:sz w:val="16"/>
                <w:szCs w:val="16"/>
              </w:rPr>
              <w:t>%</w:t>
            </w:r>
          </w:p>
        </w:tc>
        <w:tc>
          <w:tcPr>
            <w:tcW w:w="512" w:type="pct"/>
            <w:tcBorders>
              <w:top w:val="nil"/>
              <w:left w:val="nil"/>
              <w:bottom w:val="single" w:sz="4" w:space="0" w:color="auto"/>
              <w:right w:val="single" w:sz="4" w:space="0" w:color="auto"/>
            </w:tcBorders>
            <w:shd w:val="clear" w:color="auto" w:fill="auto"/>
            <w:noWrap/>
            <w:vAlign w:val="center"/>
          </w:tcPr>
          <w:p w14:paraId="43DD9D94" w14:textId="3638E5C5"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10,76</w:t>
            </w:r>
            <w:r w:rsidR="00D43C4E">
              <w:rPr>
                <w:rFonts w:cs="Calibri"/>
                <w:color w:val="000000"/>
                <w:sz w:val="16"/>
                <w:szCs w:val="16"/>
              </w:rPr>
              <w:t> </w:t>
            </w:r>
            <w:r w:rsidRPr="00784B42">
              <w:rPr>
                <w:rFonts w:cs="Calibri"/>
                <w:color w:val="000000"/>
                <w:sz w:val="16"/>
                <w:szCs w:val="16"/>
              </w:rPr>
              <w:t>%</w:t>
            </w:r>
          </w:p>
        </w:tc>
        <w:tc>
          <w:tcPr>
            <w:tcW w:w="511" w:type="pct"/>
            <w:tcBorders>
              <w:top w:val="nil"/>
              <w:left w:val="nil"/>
              <w:bottom w:val="single" w:sz="4" w:space="0" w:color="auto"/>
              <w:right w:val="single" w:sz="4" w:space="0" w:color="auto"/>
            </w:tcBorders>
            <w:vAlign w:val="center"/>
          </w:tcPr>
          <w:p w14:paraId="27F3097D" w14:textId="6D3A8874"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9,44</w:t>
            </w:r>
            <w:r w:rsidR="00D43C4E">
              <w:rPr>
                <w:rFonts w:cs="Calibri"/>
                <w:color w:val="000000"/>
                <w:sz w:val="16"/>
                <w:szCs w:val="16"/>
              </w:rPr>
              <w:t> </w:t>
            </w:r>
            <w:r w:rsidRPr="00784B42">
              <w:rPr>
                <w:rFonts w:cs="Calibri"/>
                <w:color w:val="000000"/>
                <w:sz w:val="16"/>
                <w:szCs w:val="16"/>
              </w:rPr>
              <w:t>%</w:t>
            </w:r>
          </w:p>
        </w:tc>
      </w:tr>
      <w:tr w:rsidR="00B57597" w:rsidRPr="00784B42" w14:paraId="644DE765" w14:textId="77777777" w:rsidTr="00B57597">
        <w:trPr>
          <w:trHeight w:val="255"/>
        </w:trPr>
        <w:tc>
          <w:tcPr>
            <w:tcW w:w="428" w:type="pct"/>
            <w:tcBorders>
              <w:top w:val="single" w:sz="4" w:space="0" w:color="auto"/>
              <w:left w:val="single" w:sz="4" w:space="0" w:color="auto"/>
              <w:bottom w:val="single" w:sz="4" w:space="0" w:color="auto"/>
              <w:right w:val="single" w:sz="4" w:space="0" w:color="auto"/>
            </w:tcBorders>
            <w:vAlign w:val="center"/>
          </w:tcPr>
          <w:p w14:paraId="2572B9F6" w14:textId="77777777" w:rsidR="00B57597" w:rsidRPr="00784B42" w:rsidRDefault="00B57597" w:rsidP="00784B42">
            <w:pPr>
              <w:keepNext/>
              <w:spacing w:after="0"/>
              <w:jc w:val="center"/>
              <w:rPr>
                <w:rFonts w:eastAsia="Calibri" w:cs="Calibri"/>
                <w:color w:val="000000"/>
                <w:sz w:val="16"/>
                <w:szCs w:val="16"/>
              </w:rPr>
            </w:pPr>
            <w:r w:rsidRPr="00784B42">
              <w:rPr>
                <w:rFonts w:cs="Calibri"/>
                <w:color w:val="000000"/>
                <w:sz w:val="16"/>
                <w:szCs w:val="16"/>
              </w:rPr>
              <w:t>71377999</w:t>
            </w:r>
          </w:p>
        </w:tc>
        <w:tc>
          <w:tcPr>
            <w:tcW w:w="2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4E35D" w14:textId="77777777" w:rsidR="00B57597" w:rsidRPr="00784B42" w:rsidRDefault="00B57597" w:rsidP="00784B42">
            <w:pPr>
              <w:keepNext/>
              <w:spacing w:after="0"/>
              <w:rPr>
                <w:rFonts w:eastAsia="Calibri" w:cs="Calibri"/>
                <w:color w:val="000000"/>
                <w:sz w:val="16"/>
                <w:szCs w:val="16"/>
              </w:rPr>
            </w:pPr>
            <w:r w:rsidRPr="00784B42">
              <w:rPr>
                <w:rFonts w:cs="Calibri"/>
                <w:color w:val="000000"/>
                <w:sz w:val="16"/>
                <w:szCs w:val="16"/>
              </w:rPr>
              <w:t xml:space="preserve">Agentura pro podporu podnikání a investic </w:t>
            </w:r>
            <w:proofErr w:type="spellStart"/>
            <w:r w:rsidRPr="00784B42">
              <w:rPr>
                <w:rFonts w:cs="Calibri"/>
                <w:color w:val="000000"/>
                <w:sz w:val="16"/>
                <w:szCs w:val="16"/>
              </w:rPr>
              <w:t>CzechInvest</w:t>
            </w:r>
            <w:proofErr w:type="spellEnd"/>
          </w:p>
        </w:tc>
        <w:tc>
          <w:tcPr>
            <w:tcW w:w="502" w:type="pct"/>
            <w:tcBorders>
              <w:top w:val="single" w:sz="4" w:space="0" w:color="auto"/>
              <w:left w:val="nil"/>
              <w:bottom w:val="single" w:sz="4" w:space="0" w:color="auto"/>
              <w:right w:val="single" w:sz="4" w:space="0" w:color="auto"/>
            </w:tcBorders>
            <w:shd w:val="clear" w:color="auto" w:fill="auto"/>
            <w:noWrap/>
            <w:vAlign w:val="center"/>
          </w:tcPr>
          <w:p w14:paraId="7CA34E2F" w14:textId="3231A25D"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84,07</w:t>
            </w:r>
            <w:r w:rsidR="001C3EBA">
              <w:rPr>
                <w:rFonts w:cs="Calibri"/>
                <w:color w:val="000000"/>
                <w:sz w:val="16"/>
                <w:szCs w:val="16"/>
              </w:rPr>
              <w:t> </w:t>
            </w:r>
            <w:r w:rsidRPr="00784B42">
              <w:rPr>
                <w:rFonts w:cs="Calibri"/>
                <w:color w:val="000000"/>
                <w:sz w:val="16"/>
                <w:szCs w:val="16"/>
              </w:rPr>
              <w:t>%</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1FFB5464" w14:textId="7474D526"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100,00</w:t>
            </w:r>
            <w:r w:rsidR="001C3EBA">
              <w:rPr>
                <w:rFonts w:cs="Calibri"/>
                <w:color w:val="000000"/>
                <w:sz w:val="16"/>
                <w:szCs w:val="16"/>
              </w:rPr>
              <w:t> </w:t>
            </w:r>
            <w:r w:rsidRPr="00784B42">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07E148CA" w14:textId="12F72EA2"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84,12</w:t>
            </w:r>
            <w:r w:rsidR="00D43C4E">
              <w:rPr>
                <w:rFonts w:cs="Calibri"/>
                <w:color w:val="000000"/>
                <w:sz w:val="16"/>
                <w:szCs w:val="16"/>
              </w:rPr>
              <w:t> </w:t>
            </w:r>
            <w:r w:rsidRPr="00784B42">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68B2134B" w14:textId="3FD383D1"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79,01</w:t>
            </w:r>
            <w:r w:rsidR="00D43C4E">
              <w:rPr>
                <w:rFonts w:cs="Calibri"/>
                <w:color w:val="000000"/>
                <w:sz w:val="16"/>
                <w:szCs w:val="16"/>
              </w:rPr>
              <w:t> </w:t>
            </w:r>
            <w:r w:rsidRPr="00784B42">
              <w:rPr>
                <w:rFonts w:cs="Calibri"/>
                <w:color w:val="000000"/>
                <w:sz w:val="16"/>
                <w:szCs w:val="16"/>
              </w:rPr>
              <w:t>%</w:t>
            </w:r>
          </w:p>
        </w:tc>
        <w:tc>
          <w:tcPr>
            <w:tcW w:w="511" w:type="pct"/>
            <w:tcBorders>
              <w:top w:val="single" w:sz="4" w:space="0" w:color="auto"/>
              <w:left w:val="nil"/>
              <w:bottom w:val="single" w:sz="4" w:space="0" w:color="auto"/>
              <w:right w:val="single" w:sz="4" w:space="0" w:color="auto"/>
            </w:tcBorders>
            <w:vAlign w:val="center"/>
          </w:tcPr>
          <w:p w14:paraId="129B2101" w14:textId="7991B9DB"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79,21</w:t>
            </w:r>
            <w:r w:rsidR="00D43C4E">
              <w:rPr>
                <w:rFonts w:cs="Calibri"/>
                <w:color w:val="000000"/>
                <w:sz w:val="16"/>
                <w:szCs w:val="16"/>
              </w:rPr>
              <w:t> </w:t>
            </w:r>
            <w:r w:rsidRPr="00784B42">
              <w:rPr>
                <w:rFonts w:cs="Calibri"/>
                <w:color w:val="000000"/>
                <w:sz w:val="16"/>
                <w:szCs w:val="16"/>
              </w:rPr>
              <w:t>%</w:t>
            </w:r>
          </w:p>
        </w:tc>
      </w:tr>
      <w:tr w:rsidR="00B57597" w:rsidRPr="00784B42" w14:paraId="607C2050" w14:textId="77777777" w:rsidTr="00B57597">
        <w:trPr>
          <w:trHeight w:val="255"/>
        </w:trPr>
        <w:tc>
          <w:tcPr>
            <w:tcW w:w="428" w:type="pct"/>
            <w:tcBorders>
              <w:top w:val="single" w:sz="4" w:space="0" w:color="auto"/>
              <w:left w:val="single" w:sz="4" w:space="0" w:color="auto"/>
              <w:bottom w:val="single" w:sz="4" w:space="0" w:color="auto"/>
              <w:right w:val="single" w:sz="4" w:space="0" w:color="auto"/>
            </w:tcBorders>
            <w:vAlign w:val="center"/>
          </w:tcPr>
          <w:p w14:paraId="1BB30B33" w14:textId="77777777" w:rsidR="00B57597" w:rsidRPr="00784B42" w:rsidRDefault="00B57597" w:rsidP="00784B42">
            <w:pPr>
              <w:keepNext/>
              <w:spacing w:after="0"/>
              <w:jc w:val="center"/>
              <w:rPr>
                <w:rFonts w:eastAsia="Calibri" w:cs="Calibri"/>
                <w:color w:val="000000"/>
                <w:sz w:val="16"/>
                <w:szCs w:val="16"/>
              </w:rPr>
            </w:pPr>
            <w:r w:rsidRPr="00784B42">
              <w:rPr>
                <w:rFonts w:cs="Calibri"/>
                <w:color w:val="000000"/>
                <w:sz w:val="16"/>
                <w:szCs w:val="16"/>
              </w:rPr>
              <w:t>00001171</w:t>
            </w:r>
          </w:p>
        </w:tc>
        <w:tc>
          <w:tcPr>
            <w:tcW w:w="2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C16085" w14:textId="77777777" w:rsidR="00B57597" w:rsidRPr="00784B42" w:rsidRDefault="00B57597" w:rsidP="00784B42">
            <w:pPr>
              <w:keepNext/>
              <w:spacing w:after="0"/>
              <w:rPr>
                <w:rFonts w:eastAsia="Calibri" w:cs="Calibri"/>
                <w:color w:val="000000"/>
                <w:sz w:val="16"/>
                <w:szCs w:val="16"/>
              </w:rPr>
            </w:pPr>
            <w:r w:rsidRPr="00784B42">
              <w:rPr>
                <w:rFonts w:cs="Calibri"/>
                <w:color w:val="000000"/>
                <w:sz w:val="16"/>
                <w:szCs w:val="16"/>
              </w:rPr>
              <w:t>Česká agentura na podporu obchodu</w:t>
            </w:r>
          </w:p>
        </w:tc>
        <w:tc>
          <w:tcPr>
            <w:tcW w:w="502" w:type="pct"/>
            <w:tcBorders>
              <w:top w:val="single" w:sz="4" w:space="0" w:color="auto"/>
              <w:left w:val="nil"/>
              <w:bottom w:val="single" w:sz="4" w:space="0" w:color="auto"/>
              <w:right w:val="single" w:sz="4" w:space="0" w:color="auto"/>
            </w:tcBorders>
            <w:shd w:val="clear" w:color="auto" w:fill="auto"/>
            <w:noWrap/>
            <w:vAlign w:val="center"/>
          </w:tcPr>
          <w:p w14:paraId="1BA0A29D" w14:textId="352E8D72"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97,66</w:t>
            </w:r>
            <w:r w:rsidR="001C3EBA">
              <w:rPr>
                <w:rFonts w:cs="Calibri"/>
                <w:color w:val="000000"/>
                <w:sz w:val="16"/>
                <w:szCs w:val="16"/>
              </w:rPr>
              <w:t> </w:t>
            </w:r>
            <w:r w:rsidRPr="00784B42">
              <w:rPr>
                <w:rFonts w:cs="Calibri"/>
                <w:color w:val="000000"/>
                <w:sz w:val="16"/>
                <w:szCs w:val="16"/>
              </w:rPr>
              <w:t>%</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7C8B21C5" w14:textId="4122085E"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89,75</w:t>
            </w:r>
            <w:r w:rsidR="001C3EBA">
              <w:rPr>
                <w:rFonts w:cs="Calibri"/>
                <w:color w:val="000000"/>
                <w:sz w:val="16"/>
                <w:szCs w:val="16"/>
              </w:rPr>
              <w:t> </w:t>
            </w:r>
            <w:r w:rsidRPr="00784B42">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009B8060" w14:textId="2FC4B20D"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85,46</w:t>
            </w:r>
            <w:r w:rsidR="00D43C4E">
              <w:rPr>
                <w:rFonts w:cs="Calibri"/>
                <w:color w:val="000000"/>
                <w:sz w:val="16"/>
                <w:szCs w:val="16"/>
              </w:rPr>
              <w:t> </w:t>
            </w:r>
            <w:r w:rsidRPr="00784B42">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68989573" w14:textId="3074CD2E"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85,84</w:t>
            </w:r>
            <w:r w:rsidR="00D43C4E">
              <w:rPr>
                <w:rFonts w:cs="Calibri"/>
                <w:color w:val="000000"/>
                <w:sz w:val="16"/>
                <w:szCs w:val="16"/>
              </w:rPr>
              <w:t> </w:t>
            </w:r>
            <w:r w:rsidRPr="00784B42">
              <w:rPr>
                <w:rFonts w:cs="Calibri"/>
                <w:color w:val="000000"/>
                <w:sz w:val="16"/>
                <w:szCs w:val="16"/>
              </w:rPr>
              <w:t>%</w:t>
            </w:r>
          </w:p>
        </w:tc>
        <w:tc>
          <w:tcPr>
            <w:tcW w:w="511" w:type="pct"/>
            <w:tcBorders>
              <w:top w:val="single" w:sz="4" w:space="0" w:color="auto"/>
              <w:left w:val="nil"/>
              <w:bottom w:val="single" w:sz="4" w:space="0" w:color="auto"/>
              <w:right w:val="single" w:sz="4" w:space="0" w:color="auto"/>
            </w:tcBorders>
            <w:vAlign w:val="center"/>
          </w:tcPr>
          <w:p w14:paraId="40AA4DEC" w14:textId="6694002A"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97,02</w:t>
            </w:r>
            <w:r w:rsidR="00D43C4E">
              <w:rPr>
                <w:rFonts w:cs="Calibri"/>
                <w:color w:val="000000"/>
                <w:sz w:val="16"/>
                <w:szCs w:val="16"/>
              </w:rPr>
              <w:t> </w:t>
            </w:r>
            <w:r w:rsidRPr="00784B42">
              <w:rPr>
                <w:rFonts w:cs="Calibri"/>
                <w:color w:val="000000"/>
                <w:sz w:val="16"/>
                <w:szCs w:val="16"/>
              </w:rPr>
              <w:t>%</w:t>
            </w:r>
          </w:p>
        </w:tc>
      </w:tr>
      <w:tr w:rsidR="00B57597" w:rsidRPr="00784B42" w14:paraId="6E7D8EBE" w14:textId="77777777" w:rsidTr="00B57597">
        <w:trPr>
          <w:trHeight w:val="255"/>
        </w:trPr>
        <w:tc>
          <w:tcPr>
            <w:tcW w:w="428" w:type="pct"/>
            <w:tcBorders>
              <w:top w:val="single" w:sz="4" w:space="0" w:color="auto"/>
              <w:left w:val="single" w:sz="4" w:space="0" w:color="auto"/>
              <w:bottom w:val="single" w:sz="4" w:space="0" w:color="auto"/>
              <w:right w:val="single" w:sz="4" w:space="0" w:color="auto"/>
            </w:tcBorders>
            <w:vAlign w:val="center"/>
          </w:tcPr>
          <w:p w14:paraId="14F08524" w14:textId="77777777" w:rsidR="00B57597" w:rsidRPr="00784B42" w:rsidRDefault="00B57597" w:rsidP="00784B42">
            <w:pPr>
              <w:keepNext/>
              <w:spacing w:after="0"/>
              <w:jc w:val="center"/>
              <w:rPr>
                <w:rFonts w:eastAsia="Calibri" w:cs="Calibri"/>
                <w:color w:val="000000"/>
                <w:sz w:val="16"/>
                <w:szCs w:val="16"/>
              </w:rPr>
            </w:pPr>
            <w:r w:rsidRPr="00784B42">
              <w:rPr>
                <w:rFonts w:cs="Calibri"/>
                <w:color w:val="000000"/>
                <w:sz w:val="16"/>
                <w:szCs w:val="16"/>
              </w:rPr>
              <w:t>06578705</w:t>
            </w:r>
          </w:p>
        </w:tc>
        <w:tc>
          <w:tcPr>
            <w:tcW w:w="2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07504" w14:textId="77777777" w:rsidR="00B57597" w:rsidRPr="00784B42" w:rsidRDefault="00B57597" w:rsidP="00784B42">
            <w:pPr>
              <w:keepNext/>
              <w:spacing w:after="0"/>
              <w:rPr>
                <w:rFonts w:eastAsia="Calibri" w:cs="Calibri"/>
                <w:color w:val="000000"/>
                <w:sz w:val="16"/>
                <w:szCs w:val="16"/>
              </w:rPr>
            </w:pPr>
            <w:r w:rsidRPr="00784B42">
              <w:rPr>
                <w:rFonts w:cs="Calibri"/>
                <w:color w:val="000000"/>
                <w:sz w:val="16"/>
                <w:szCs w:val="16"/>
              </w:rPr>
              <w:t>Česká agentura pro standardizaci</w:t>
            </w:r>
          </w:p>
        </w:tc>
        <w:tc>
          <w:tcPr>
            <w:tcW w:w="502" w:type="pct"/>
            <w:tcBorders>
              <w:top w:val="single" w:sz="4" w:space="0" w:color="auto"/>
              <w:left w:val="nil"/>
              <w:bottom w:val="single" w:sz="4" w:space="0" w:color="auto"/>
              <w:right w:val="single" w:sz="4" w:space="0" w:color="auto"/>
            </w:tcBorders>
            <w:shd w:val="clear" w:color="auto" w:fill="auto"/>
            <w:noWrap/>
            <w:vAlign w:val="center"/>
          </w:tcPr>
          <w:p w14:paraId="60060A78" w14:textId="77777777"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x </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62CC8CA3" w14:textId="77777777"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x </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5C3C2A65" w14:textId="27EF7537"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54,88</w:t>
            </w:r>
            <w:r w:rsidR="00D43C4E">
              <w:rPr>
                <w:rFonts w:cs="Calibri"/>
                <w:color w:val="000000"/>
                <w:sz w:val="16"/>
                <w:szCs w:val="16"/>
              </w:rPr>
              <w:t> </w:t>
            </w:r>
            <w:r w:rsidRPr="00784B42">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0B335516" w14:textId="0BF038E7"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26,99</w:t>
            </w:r>
            <w:r w:rsidR="00D43C4E">
              <w:rPr>
                <w:rFonts w:cs="Calibri"/>
                <w:color w:val="000000"/>
                <w:sz w:val="16"/>
                <w:szCs w:val="16"/>
              </w:rPr>
              <w:t> </w:t>
            </w:r>
            <w:r w:rsidRPr="00784B42">
              <w:rPr>
                <w:rFonts w:cs="Calibri"/>
                <w:color w:val="000000"/>
                <w:sz w:val="16"/>
                <w:szCs w:val="16"/>
              </w:rPr>
              <w:t>%</w:t>
            </w:r>
          </w:p>
        </w:tc>
        <w:tc>
          <w:tcPr>
            <w:tcW w:w="511" w:type="pct"/>
            <w:tcBorders>
              <w:top w:val="single" w:sz="4" w:space="0" w:color="auto"/>
              <w:left w:val="nil"/>
              <w:bottom w:val="single" w:sz="4" w:space="0" w:color="auto"/>
              <w:right w:val="single" w:sz="4" w:space="0" w:color="auto"/>
            </w:tcBorders>
            <w:vAlign w:val="center"/>
          </w:tcPr>
          <w:p w14:paraId="4B53F227" w14:textId="56D743F7"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48,62</w:t>
            </w:r>
            <w:r w:rsidR="00D43C4E">
              <w:rPr>
                <w:rFonts w:cs="Calibri"/>
                <w:color w:val="000000"/>
                <w:sz w:val="16"/>
                <w:szCs w:val="16"/>
              </w:rPr>
              <w:t> </w:t>
            </w:r>
            <w:r w:rsidRPr="00784B42">
              <w:rPr>
                <w:rFonts w:cs="Calibri"/>
                <w:color w:val="000000"/>
                <w:sz w:val="16"/>
                <w:szCs w:val="16"/>
              </w:rPr>
              <w:t>%</w:t>
            </w:r>
          </w:p>
        </w:tc>
      </w:tr>
      <w:tr w:rsidR="00B57597" w:rsidRPr="00784B42" w14:paraId="04376FA0" w14:textId="77777777" w:rsidTr="00B57597">
        <w:trPr>
          <w:trHeight w:val="255"/>
        </w:trPr>
        <w:tc>
          <w:tcPr>
            <w:tcW w:w="428" w:type="pct"/>
            <w:tcBorders>
              <w:top w:val="single" w:sz="4" w:space="0" w:color="auto"/>
              <w:left w:val="single" w:sz="4" w:space="0" w:color="auto"/>
              <w:bottom w:val="single" w:sz="4" w:space="0" w:color="auto"/>
              <w:right w:val="single" w:sz="4" w:space="0" w:color="auto"/>
            </w:tcBorders>
            <w:vAlign w:val="center"/>
          </w:tcPr>
          <w:p w14:paraId="61DA014A" w14:textId="77777777" w:rsidR="00B57597" w:rsidRPr="00784B42" w:rsidRDefault="00B57597" w:rsidP="00784B42">
            <w:pPr>
              <w:keepNext/>
              <w:spacing w:after="0"/>
              <w:jc w:val="center"/>
              <w:rPr>
                <w:rFonts w:eastAsia="Calibri" w:cs="Calibri"/>
                <w:color w:val="000000"/>
                <w:sz w:val="16"/>
                <w:szCs w:val="16"/>
              </w:rPr>
            </w:pPr>
            <w:r w:rsidRPr="00784B42">
              <w:rPr>
                <w:rFonts w:cs="Calibri"/>
                <w:color w:val="000000"/>
                <w:sz w:val="16"/>
                <w:szCs w:val="16"/>
              </w:rPr>
              <w:t>00177016</w:t>
            </w:r>
          </w:p>
        </w:tc>
        <w:tc>
          <w:tcPr>
            <w:tcW w:w="2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04DE0" w14:textId="77777777" w:rsidR="00B57597" w:rsidRPr="00784B42" w:rsidRDefault="00B57597" w:rsidP="00784B42">
            <w:pPr>
              <w:keepNext/>
              <w:spacing w:after="0"/>
              <w:rPr>
                <w:rFonts w:eastAsia="Calibri" w:cs="Calibri"/>
                <w:color w:val="000000"/>
                <w:sz w:val="16"/>
                <w:szCs w:val="16"/>
              </w:rPr>
            </w:pPr>
            <w:r w:rsidRPr="00784B42">
              <w:rPr>
                <w:rFonts w:cs="Calibri"/>
                <w:color w:val="000000"/>
                <w:sz w:val="16"/>
                <w:szCs w:val="16"/>
              </w:rPr>
              <w:t>Český metrologický institut</w:t>
            </w:r>
          </w:p>
        </w:tc>
        <w:tc>
          <w:tcPr>
            <w:tcW w:w="502" w:type="pct"/>
            <w:tcBorders>
              <w:top w:val="single" w:sz="4" w:space="0" w:color="auto"/>
              <w:left w:val="nil"/>
              <w:bottom w:val="single" w:sz="4" w:space="0" w:color="auto"/>
              <w:right w:val="single" w:sz="4" w:space="0" w:color="auto"/>
            </w:tcBorders>
            <w:shd w:val="clear" w:color="auto" w:fill="auto"/>
            <w:noWrap/>
            <w:vAlign w:val="center"/>
          </w:tcPr>
          <w:p w14:paraId="066843A0" w14:textId="55F52914"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33,55</w:t>
            </w:r>
            <w:r w:rsidR="001C3EBA">
              <w:rPr>
                <w:rFonts w:cs="Calibri"/>
                <w:color w:val="000000"/>
                <w:sz w:val="16"/>
                <w:szCs w:val="16"/>
              </w:rPr>
              <w:t> </w:t>
            </w:r>
            <w:r w:rsidRPr="00784B42">
              <w:rPr>
                <w:rFonts w:cs="Calibri"/>
                <w:color w:val="000000"/>
                <w:sz w:val="16"/>
                <w:szCs w:val="16"/>
              </w:rPr>
              <w:t>%</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68F6FBE8" w14:textId="51A7D7D6"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54,16</w:t>
            </w:r>
            <w:r w:rsidR="001C3EBA">
              <w:rPr>
                <w:rFonts w:cs="Calibri"/>
                <w:color w:val="000000"/>
                <w:sz w:val="16"/>
                <w:szCs w:val="16"/>
              </w:rPr>
              <w:t> </w:t>
            </w:r>
            <w:r w:rsidRPr="00784B42">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662AE89E" w14:textId="28708650"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58,91</w:t>
            </w:r>
            <w:r w:rsidR="00D43C4E">
              <w:rPr>
                <w:rFonts w:cs="Calibri"/>
                <w:color w:val="000000"/>
                <w:sz w:val="16"/>
                <w:szCs w:val="16"/>
              </w:rPr>
              <w:t> </w:t>
            </w:r>
            <w:r w:rsidRPr="00784B42">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172AE079" w14:textId="19C3AB92"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51,26</w:t>
            </w:r>
            <w:r w:rsidR="00D43C4E">
              <w:rPr>
                <w:rFonts w:cs="Calibri"/>
                <w:color w:val="000000"/>
                <w:sz w:val="16"/>
                <w:szCs w:val="16"/>
              </w:rPr>
              <w:t> </w:t>
            </w:r>
            <w:r w:rsidRPr="00784B42">
              <w:rPr>
                <w:rFonts w:cs="Calibri"/>
                <w:color w:val="000000"/>
                <w:sz w:val="16"/>
                <w:szCs w:val="16"/>
              </w:rPr>
              <w:t>%</w:t>
            </w:r>
          </w:p>
        </w:tc>
        <w:tc>
          <w:tcPr>
            <w:tcW w:w="511" w:type="pct"/>
            <w:tcBorders>
              <w:top w:val="single" w:sz="4" w:space="0" w:color="auto"/>
              <w:left w:val="nil"/>
              <w:bottom w:val="single" w:sz="4" w:space="0" w:color="auto"/>
              <w:right w:val="single" w:sz="4" w:space="0" w:color="auto"/>
            </w:tcBorders>
            <w:vAlign w:val="center"/>
          </w:tcPr>
          <w:p w14:paraId="62F24B16" w14:textId="1B574C79"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47,43</w:t>
            </w:r>
            <w:r w:rsidR="00D43C4E">
              <w:rPr>
                <w:rFonts w:cs="Calibri"/>
                <w:color w:val="000000"/>
                <w:sz w:val="16"/>
                <w:szCs w:val="16"/>
              </w:rPr>
              <w:t> </w:t>
            </w:r>
            <w:r w:rsidRPr="00784B42">
              <w:rPr>
                <w:rFonts w:cs="Calibri"/>
                <w:color w:val="000000"/>
                <w:sz w:val="16"/>
                <w:szCs w:val="16"/>
              </w:rPr>
              <w:t>%</w:t>
            </w:r>
          </w:p>
        </w:tc>
      </w:tr>
      <w:tr w:rsidR="00B57597" w:rsidRPr="00784B42" w14:paraId="5F432944" w14:textId="77777777" w:rsidTr="00B57597">
        <w:trPr>
          <w:trHeight w:val="255"/>
        </w:trPr>
        <w:tc>
          <w:tcPr>
            <w:tcW w:w="428" w:type="pct"/>
            <w:tcBorders>
              <w:top w:val="single" w:sz="4" w:space="0" w:color="auto"/>
              <w:left w:val="single" w:sz="4" w:space="0" w:color="auto"/>
              <w:bottom w:val="single" w:sz="4" w:space="0" w:color="auto"/>
              <w:right w:val="single" w:sz="4" w:space="0" w:color="auto"/>
            </w:tcBorders>
            <w:vAlign w:val="center"/>
          </w:tcPr>
          <w:p w14:paraId="5DC1FE6D" w14:textId="77777777" w:rsidR="00B57597" w:rsidRPr="00784B42" w:rsidRDefault="00B57597" w:rsidP="00784B42">
            <w:pPr>
              <w:keepNext/>
              <w:spacing w:after="0"/>
              <w:jc w:val="center"/>
              <w:rPr>
                <w:rFonts w:eastAsia="Calibri" w:cs="Calibri"/>
                <w:color w:val="000000"/>
                <w:sz w:val="16"/>
                <w:szCs w:val="16"/>
              </w:rPr>
            </w:pPr>
            <w:r w:rsidRPr="00784B42">
              <w:rPr>
                <w:rFonts w:cs="Calibri"/>
                <w:color w:val="000000"/>
                <w:sz w:val="16"/>
                <w:szCs w:val="16"/>
              </w:rPr>
              <w:t>61382060</w:t>
            </w:r>
          </w:p>
        </w:tc>
        <w:tc>
          <w:tcPr>
            <w:tcW w:w="2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4A895D" w14:textId="77777777" w:rsidR="00B57597" w:rsidRPr="00784B42" w:rsidRDefault="00B57597" w:rsidP="00784B42">
            <w:pPr>
              <w:keepNext/>
              <w:spacing w:after="0"/>
              <w:rPr>
                <w:rFonts w:eastAsia="Calibri" w:cs="Calibri"/>
                <w:color w:val="000000"/>
                <w:sz w:val="16"/>
                <w:szCs w:val="16"/>
              </w:rPr>
            </w:pPr>
            <w:r w:rsidRPr="00784B42">
              <w:rPr>
                <w:rFonts w:cs="Calibri"/>
                <w:color w:val="000000"/>
                <w:sz w:val="16"/>
                <w:szCs w:val="16"/>
              </w:rPr>
              <w:t>Správa služeb Ministerstva průmyslu a obchodu ČR</w:t>
            </w:r>
          </w:p>
        </w:tc>
        <w:tc>
          <w:tcPr>
            <w:tcW w:w="502" w:type="pct"/>
            <w:tcBorders>
              <w:top w:val="single" w:sz="4" w:space="0" w:color="auto"/>
              <w:left w:val="nil"/>
              <w:bottom w:val="single" w:sz="4" w:space="0" w:color="auto"/>
              <w:right w:val="single" w:sz="4" w:space="0" w:color="auto"/>
            </w:tcBorders>
            <w:shd w:val="clear" w:color="auto" w:fill="auto"/>
            <w:noWrap/>
            <w:vAlign w:val="center"/>
          </w:tcPr>
          <w:p w14:paraId="2484B8F6" w14:textId="3935B5DD"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100,00</w:t>
            </w:r>
            <w:r w:rsidR="001C3EBA">
              <w:rPr>
                <w:rFonts w:cs="Calibri"/>
                <w:color w:val="000000"/>
                <w:sz w:val="16"/>
                <w:szCs w:val="16"/>
              </w:rPr>
              <w:t> </w:t>
            </w:r>
            <w:r w:rsidRPr="00784B42">
              <w:rPr>
                <w:rFonts w:cs="Calibri"/>
                <w:color w:val="000000"/>
                <w:sz w:val="16"/>
                <w:szCs w:val="16"/>
              </w:rPr>
              <w:t>%</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12B878BB" w14:textId="2F1016D8"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100,00</w:t>
            </w:r>
            <w:r w:rsidR="001C3EBA">
              <w:rPr>
                <w:rFonts w:cs="Calibri"/>
                <w:color w:val="000000"/>
                <w:sz w:val="16"/>
                <w:szCs w:val="16"/>
              </w:rPr>
              <w:t> </w:t>
            </w:r>
            <w:r w:rsidRPr="00784B42">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49FC5CB9" w14:textId="7FDD81E7"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100,00</w:t>
            </w:r>
            <w:r w:rsidR="00D43C4E">
              <w:rPr>
                <w:rFonts w:cs="Calibri"/>
                <w:color w:val="000000"/>
                <w:sz w:val="16"/>
                <w:szCs w:val="16"/>
              </w:rPr>
              <w:t> </w:t>
            </w:r>
            <w:r w:rsidRPr="00784B42">
              <w:rPr>
                <w:rFonts w:cs="Calibri"/>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717E0749" w14:textId="0299B59E"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100,00</w:t>
            </w:r>
            <w:r w:rsidR="00D43C4E">
              <w:rPr>
                <w:rFonts w:cs="Calibri"/>
                <w:color w:val="000000"/>
                <w:sz w:val="16"/>
                <w:szCs w:val="16"/>
              </w:rPr>
              <w:t> </w:t>
            </w:r>
            <w:r w:rsidRPr="00784B42">
              <w:rPr>
                <w:rFonts w:cs="Calibri"/>
                <w:color w:val="000000"/>
                <w:sz w:val="16"/>
                <w:szCs w:val="16"/>
              </w:rPr>
              <w:t>%</w:t>
            </w:r>
          </w:p>
        </w:tc>
        <w:tc>
          <w:tcPr>
            <w:tcW w:w="511" w:type="pct"/>
            <w:tcBorders>
              <w:top w:val="single" w:sz="4" w:space="0" w:color="auto"/>
              <w:left w:val="nil"/>
              <w:bottom w:val="single" w:sz="4" w:space="0" w:color="auto"/>
              <w:right w:val="single" w:sz="4" w:space="0" w:color="auto"/>
            </w:tcBorders>
            <w:vAlign w:val="center"/>
          </w:tcPr>
          <w:p w14:paraId="0AEA72CF" w14:textId="7F1D8D74"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99,70</w:t>
            </w:r>
            <w:r w:rsidR="00D43C4E">
              <w:rPr>
                <w:rFonts w:cs="Calibri"/>
                <w:color w:val="000000"/>
                <w:sz w:val="16"/>
                <w:szCs w:val="16"/>
              </w:rPr>
              <w:t> </w:t>
            </w:r>
            <w:r w:rsidRPr="00784B42">
              <w:rPr>
                <w:rFonts w:cs="Calibri"/>
                <w:color w:val="000000"/>
                <w:sz w:val="16"/>
                <w:szCs w:val="16"/>
              </w:rPr>
              <w:t>%</w:t>
            </w:r>
          </w:p>
        </w:tc>
      </w:tr>
      <w:tr w:rsidR="00B57597" w:rsidRPr="00784B42" w14:paraId="60E5D9A3" w14:textId="77777777" w:rsidTr="00B57597">
        <w:trPr>
          <w:trHeight w:val="255"/>
        </w:trPr>
        <w:tc>
          <w:tcPr>
            <w:tcW w:w="428" w:type="pct"/>
            <w:tcBorders>
              <w:top w:val="single" w:sz="4" w:space="0" w:color="auto"/>
              <w:left w:val="single" w:sz="4" w:space="0" w:color="auto"/>
              <w:bottom w:val="single" w:sz="4" w:space="0" w:color="auto"/>
              <w:right w:val="single" w:sz="4" w:space="0" w:color="auto"/>
            </w:tcBorders>
            <w:vAlign w:val="center"/>
          </w:tcPr>
          <w:p w14:paraId="2E930D24" w14:textId="77777777" w:rsidR="00B57597" w:rsidRPr="00784B42" w:rsidRDefault="00B57597" w:rsidP="00784B42">
            <w:pPr>
              <w:keepNext/>
              <w:spacing w:after="0"/>
              <w:jc w:val="center"/>
              <w:rPr>
                <w:rFonts w:eastAsia="Calibri" w:cs="Calibri"/>
                <w:color w:val="000000"/>
                <w:sz w:val="16"/>
                <w:szCs w:val="16"/>
              </w:rPr>
            </w:pPr>
            <w:r w:rsidRPr="00784B42">
              <w:rPr>
                <w:rFonts w:cs="Calibri"/>
                <w:color w:val="000000"/>
                <w:sz w:val="16"/>
                <w:szCs w:val="16"/>
              </w:rPr>
              <w:t>00002348</w:t>
            </w:r>
          </w:p>
        </w:tc>
        <w:tc>
          <w:tcPr>
            <w:tcW w:w="2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BE615" w14:textId="77777777" w:rsidR="00B57597" w:rsidRPr="00784B42" w:rsidRDefault="00B57597" w:rsidP="00784B42">
            <w:pPr>
              <w:keepNext/>
              <w:spacing w:after="0"/>
              <w:rPr>
                <w:rFonts w:eastAsia="Calibri" w:cs="Calibri"/>
                <w:color w:val="000000"/>
                <w:sz w:val="16"/>
                <w:szCs w:val="16"/>
              </w:rPr>
            </w:pPr>
            <w:r w:rsidRPr="00784B42">
              <w:rPr>
                <w:rFonts w:cs="Calibri"/>
                <w:color w:val="000000"/>
                <w:sz w:val="16"/>
                <w:szCs w:val="16"/>
              </w:rPr>
              <w:t>Státní výzkumný ústav materiálu</w:t>
            </w:r>
          </w:p>
        </w:tc>
        <w:tc>
          <w:tcPr>
            <w:tcW w:w="502" w:type="pct"/>
            <w:tcBorders>
              <w:top w:val="single" w:sz="4" w:space="0" w:color="auto"/>
              <w:left w:val="nil"/>
              <w:bottom w:val="single" w:sz="4" w:space="0" w:color="auto"/>
              <w:right w:val="single" w:sz="4" w:space="0" w:color="auto"/>
            </w:tcBorders>
            <w:shd w:val="clear" w:color="auto" w:fill="auto"/>
            <w:noWrap/>
            <w:vAlign w:val="center"/>
          </w:tcPr>
          <w:p w14:paraId="7866A2D2" w14:textId="5C8EB1B4"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0,00</w:t>
            </w:r>
            <w:r w:rsidR="001C3EBA">
              <w:rPr>
                <w:rFonts w:cs="Calibri"/>
                <w:color w:val="000000"/>
                <w:sz w:val="16"/>
                <w:szCs w:val="16"/>
              </w:rPr>
              <w:t> </w:t>
            </w:r>
            <w:r w:rsidRPr="00784B42">
              <w:rPr>
                <w:rFonts w:cs="Calibri"/>
                <w:color w:val="000000"/>
                <w:sz w:val="16"/>
                <w:szCs w:val="16"/>
              </w:rPr>
              <w:t>%</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14814169" w14:textId="77777777"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x </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3DB71B02" w14:textId="77777777"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x </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3493E89B" w14:textId="77777777"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x </w:t>
            </w:r>
          </w:p>
        </w:tc>
        <w:tc>
          <w:tcPr>
            <w:tcW w:w="511" w:type="pct"/>
            <w:tcBorders>
              <w:top w:val="single" w:sz="4" w:space="0" w:color="auto"/>
              <w:left w:val="nil"/>
              <w:bottom w:val="single" w:sz="4" w:space="0" w:color="auto"/>
              <w:right w:val="single" w:sz="4" w:space="0" w:color="auto"/>
            </w:tcBorders>
            <w:vAlign w:val="center"/>
          </w:tcPr>
          <w:p w14:paraId="294F43B9" w14:textId="77777777" w:rsidR="00B57597" w:rsidRPr="00784B42" w:rsidRDefault="00B57597" w:rsidP="00784B42">
            <w:pPr>
              <w:keepNext/>
              <w:spacing w:after="0"/>
              <w:ind w:right="57"/>
              <w:jc w:val="right"/>
              <w:rPr>
                <w:rFonts w:eastAsia="Calibri" w:cs="Calibri"/>
                <w:color w:val="000000"/>
                <w:sz w:val="16"/>
                <w:szCs w:val="16"/>
              </w:rPr>
            </w:pPr>
            <w:r w:rsidRPr="00784B42">
              <w:rPr>
                <w:rFonts w:cs="Calibri"/>
                <w:color w:val="000000"/>
                <w:sz w:val="16"/>
                <w:szCs w:val="16"/>
              </w:rPr>
              <w:t>x </w:t>
            </w:r>
          </w:p>
        </w:tc>
      </w:tr>
      <w:tr w:rsidR="00B57597" w:rsidRPr="00784B42" w14:paraId="656E88B2" w14:textId="77777777" w:rsidTr="00B57597">
        <w:trPr>
          <w:trHeight w:val="255"/>
        </w:trPr>
        <w:tc>
          <w:tcPr>
            <w:tcW w:w="2453" w:type="pct"/>
            <w:gridSpan w:val="2"/>
            <w:tcBorders>
              <w:top w:val="single" w:sz="4" w:space="0" w:color="auto"/>
              <w:left w:val="single" w:sz="4" w:space="0" w:color="auto"/>
              <w:bottom w:val="single" w:sz="4" w:space="0" w:color="auto"/>
              <w:right w:val="single" w:sz="4" w:space="0" w:color="auto"/>
            </w:tcBorders>
            <w:shd w:val="clear" w:color="auto" w:fill="F2C6C9"/>
            <w:vAlign w:val="center"/>
          </w:tcPr>
          <w:p w14:paraId="6CDB1C5A" w14:textId="151C3151" w:rsidR="00B57597" w:rsidRPr="00784B42" w:rsidRDefault="00B57597" w:rsidP="00784B42">
            <w:pPr>
              <w:keepNext/>
              <w:spacing w:after="0"/>
              <w:rPr>
                <w:rFonts w:eastAsia="Calibri" w:cs="Calibri"/>
                <w:b/>
                <w:color w:val="000000"/>
                <w:sz w:val="16"/>
                <w:szCs w:val="16"/>
              </w:rPr>
            </w:pPr>
            <w:r w:rsidRPr="00784B42">
              <w:rPr>
                <w:rFonts w:cs="Calibri"/>
                <w:b/>
                <w:bCs/>
                <w:color w:val="000000"/>
                <w:sz w:val="16"/>
                <w:szCs w:val="16"/>
              </w:rPr>
              <w:t xml:space="preserve">Podíl výše příspěvku na provoz na výnosech z transferů PO </w:t>
            </w:r>
            <w:r w:rsidR="00784B42">
              <w:rPr>
                <w:rFonts w:cs="Calibri"/>
                <w:b/>
                <w:bCs/>
                <w:color w:val="000000"/>
                <w:sz w:val="16"/>
                <w:szCs w:val="16"/>
              </w:rPr>
              <w:br/>
            </w:r>
            <w:r w:rsidRPr="00784B42">
              <w:rPr>
                <w:rFonts w:cs="Calibri"/>
                <w:b/>
                <w:bCs/>
                <w:color w:val="000000"/>
                <w:sz w:val="16"/>
                <w:szCs w:val="16"/>
              </w:rPr>
              <w:t>(účet 671)</w:t>
            </w:r>
          </w:p>
        </w:tc>
        <w:tc>
          <w:tcPr>
            <w:tcW w:w="502" w:type="pct"/>
            <w:tcBorders>
              <w:top w:val="single" w:sz="4" w:space="0" w:color="auto"/>
              <w:left w:val="nil"/>
              <w:bottom w:val="single" w:sz="4" w:space="0" w:color="auto"/>
              <w:right w:val="single" w:sz="4" w:space="0" w:color="auto"/>
            </w:tcBorders>
            <w:shd w:val="clear" w:color="auto" w:fill="F2C6C9"/>
            <w:noWrap/>
            <w:vAlign w:val="center"/>
          </w:tcPr>
          <w:p w14:paraId="2CDB963E" w14:textId="69443F19" w:rsidR="00B57597" w:rsidRPr="00784B42" w:rsidRDefault="00B57597" w:rsidP="00784B42">
            <w:pPr>
              <w:keepNext/>
              <w:spacing w:after="0"/>
              <w:ind w:right="57"/>
              <w:jc w:val="right"/>
              <w:rPr>
                <w:rFonts w:eastAsia="Calibri" w:cs="Calibri"/>
                <w:b/>
                <w:bCs/>
                <w:color w:val="000000"/>
                <w:sz w:val="16"/>
                <w:szCs w:val="16"/>
              </w:rPr>
            </w:pPr>
            <w:r w:rsidRPr="00784B42">
              <w:rPr>
                <w:rFonts w:cs="Calibri"/>
                <w:b/>
                <w:bCs/>
                <w:color w:val="000000"/>
                <w:sz w:val="16"/>
                <w:szCs w:val="16"/>
              </w:rPr>
              <w:t>71,70</w:t>
            </w:r>
            <w:r w:rsidR="001C3EBA">
              <w:rPr>
                <w:rFonts w:cs="Calibri"/>
                <w:b/>
                <w:bCs/>
                <w:color w:val="000000"/>
                <w:sz w:val="16"/>
                <w:szCs w:val="16"/>
              </w:rPr>
              <w:t> </w:t>
            </w:r>
            <w:r w:rsidRPr="00784B42">
              <w:rPr>
                <w:rFonts w:cs="Calibri"/>
                <w:b/>
                <w:bCs/>
                <w:color w:val="000000"/>
                <w:sz w:val="16"/>
                <w:szCs w:val="16"/>
              </w:rPr>
              <w:t>%</w:t>
            </w:r>
          </w:p>
        </w:tc>
        <w:tc>
          <w:tcPr>
            <w:tcW w:w="511" w:type="pct"/>
            <w:tcBorders>
              <w:top w:val="single" w:sz="4" w:space="0" w:color="auto"/>
              <w:left w:val="nil"/>
              <w:bottom w:val="single" w:sz="4" w:space="0" w:color="auto"/>
              <w:right w:val="single" w:sz="4" w:space="0" w:color="auto"/>
            </w:tcBorders>
            <w:shd w:val="clear" w:color="auto" w:fill="F2C6C9"/>
            <w:noWrap/>
            <w:vAlign w:val="center"/>
          </w:tcPr>
          <w:p w14:paraId="7F1F9193" w14:textId="174917BD" w:rsidR="00B57597" w:rsidRPr="00784B42" w:rsidRDefault="00B57597" w:rsidP="00784B42">
            <w:pPr>
              <w:keepNext/>
              <w:spacing w:after="0"/>
              <w:ind w:right="57"/>
              <w:jc w:val="right"/>
              <w:rPr>
                <w:rFonts w:eastAsia="Calibri" w:cs="Calibri"/>
                <w:b/>
                <w:bCs/>
                <w:color w:val="000000"/>
                <w:sz w:val="16"/>
                <w:szCs w:val="16"/>
              </w:rPr>
            </w:pPr>
            <w:r w:rsidRPr="00784B42">
              <w:rPr>
                <w:rFonts w:cs="Calibri"/>
                <w:b/>
                <w:bCs/>
                <w:color w:val="000000"/>
                <w:sz w:val="16"/>
                <w:szCs w:val="16"/>
              </w:rPr>
              <w:t>75,80</w:t>
            </w:r>
            <w:r w:rsidR="001C3EBA">
              <w:rPr>
                <w:rFonts w:cs="Calibri"/>
                <w:b/>
                <w:bCs/>
                <w:color w:val="000000"/>
                <w:sz w:val="16"/>
                <w:szCs w:val="16"/>
              </w:rPr>
              <w:t> </w:t>
            </w:r>
            <w:r w:rsidRPr="00784B42">
              <w:rPr>
                <w:rFonts w:cs="Calibri"/>
                <w:b/>
                <w:bCs/>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F2C6C9"/>
            <w:noWrap/>
            <w:vAlign w:val="center"/>
          </w:tcPr>
          <w:p w14:paraId="7920B86C" w14:textId="6FCD68C3" w:rsidR="00B57597" w:rsidRPr="00784B42" w:rsidRDefault="00B57597" w:rsidP="00784B42">
            <w:pPr>
              <w:keepNext/>
              <w:spacing w:after="0"/>
              <w:ind w:right="57"/>
              <w:jc w:val="right"/>
              <w:rPr>
                <w:rFonts w:eastAsia="Calibri" w:cs="Calibri"/>
                <w:b/>
                <w:bCs/>
                <w:color w:val="000000"/>
                <w:sz w:val="16"/>
                <w:szCs w:val="16"/>
              </w:rPr>
            </w:pPr>
            <w:r w:rsidRPr="00784B42">
              <w:rPr>
                <w:rFonts w:cs="Calibri"/>
                <w:b/>
                <w:bCs/>
                <w:color w:val="000000"/>
                <w:sz w:val="16"/>
                <w:szCs w:val="16"/>
              </w:rPr>
              <w:t>66,48</w:t>
            </w:r>
            <w:r w:rsidR="00D43C4E">
              <w:rPr>
                <w:rFonts w:cs="Calibri"/>
                <w:b/>
                <w:bCs/>
                <w:color w:val="000000"/>
                <w:sz w:val="16"/>
                <w:szCs w:val="16"/>
              </w:rPr>
              <w:t> </w:t>
            </w:r>
            <w:r w:rsidRPr="00784B42">
              <w:rPr>
                <w:rFonts w:cs="Calibri"/>
                <w:b/>
                <w:bCs/>
                <w:color w:val="000000"/>
                <w:sz w:val="16"/>
                <w:szCs w:val="16"/>
              </w:rPr>
              <w:t>%</w:t>
            </w:r>
          </w:p>
        </w:tc>
        <w:tc>
          <w:tcPr>
            <w:tcW w:w="512" w:type="pct"/>
            <w:tcBorders>
              <w:top w:val="single" w:sz="4" w:space="0" w:color="auto"/>
              <w:left w:val="nil"/>
              <w:bottom w:val="single" w:sz="4" w:space="0" w:color="auto"/>
              <w:right w:val="single" w:sz="4" w:space="0" w:color="auto"/>
            </w:tcBorders>
            <w:shd w:val="clear" w:color="auto" w:fill="F2C6C9"/>
            <w:noWrap/>
            <w:vAlign w:val="center"/>
          </w:tcPr>
          <w:p w14:paraId="77500988" w14:textId="5DD91D01" w:rsidR="00B57597" w:rsidRPr="00784B42" w:rsidRDefault="00B57597" w:rsidP="00784B42">
            <w:pPr>
              <w:keepNext/>
              <w:spacing w:after="0"/>
              <w:ind w:right="57"/>
              <w:jc w:val="right"/>
              <w:rPr>
                <w:rFonts w:eastAsia="Calibri" w:cs="Calibri"/>
                <w:b/>
                <w:bCs/>
                <w:color w:val="000000"/>
                <w:sz w:val="16"/>
                <w:szCs w:val="16"/>
              </w:rPr>
            </w:pPr>
            <w:r w:rsidRPr="00784B42">
              <w:rPr>
                <w:rFonts w:cs="Calibri"/>
                <w:b/>
                <w:bCs/>
                <w:color w:val="000000"/>
                <w:sz w:val="16"/>
                <w:szCs w:val="16"/>
              </w:rPr>
              <w:t>63,49</w:t>
            </w:r>
            <w:r w:rsidR="00D43C4E">
              <w:rPr>
                <w:rFonts w:cs="Calibri"/>
                <w:b/>
                <w:bCs/>
                <w:color w:val="000000"/>
                <w:sz w:val="16"/>
                <w:szCs w:val="16"/>
              </w:rPr>
              <w:t> </w:t>
            </w:r>
            <w:r w:rsidRPr="00784B42">
              <w:rPr>
                <w:rFonts w:cs="Calibri"/>
                <w:b/>
                <w:bCs/>
                <w:color w:val="000000"/>
                <w:sz w:val="16"/>
                <w:szCs w:val="16"/>
              </w:rPr>
              <w:t>%</w:t>
            </w:r>
          </w:p>
        </w:tc>
        <w:tc>
          <w:tcPr>
            <w:tcW w:w="511" w:type="pct"/>
            <w:tcBorders>
              <w:top w:val="single" w:sz="4" w:space="0" w:color="auto"/>
              <w:left w:val="nil"/>
              <w:bottom w:val="single" w:sz="4" w:space="0" w:color="auto"/>
              <w:right w:val="single" w:sz="4" w:space="0" w:color="auto"/>
            </w:tcBorders>
            <w:shd w:val="clear" w:color="auto" w:fill="F2C6C9"/>
            <w:vAlign w:val="center"/>
          </w:tcPr>
          <w:p w14:paraId="548AA1D0" w14:textId="2BC890A1" w:rsidR="00B57597" w:rsidRPr="00784B42" w:rsidRDefault="00B57597" w:rsidP="00784B42">
            <w:pPr>
              <w:keepNext/>
              <w:spacing w:after="0"/>
              <w:ind w:right="57"/>
              <w:jc w:val="right"/>
              <w:rPr>
                <w:rFonts w:eastAsia="Calibri" w:cs="Calibri"/>
                <w:b/>
                <w:bCs/>
                <w:color w:val="000000"/>
                <w:sz w:val="16"/>
                <w:szCs w:val="16"/>
              </w:rPr>
            </w:pPr>
            <w:r w:rsidRPr="00784B42">
              <w:rPr>
                <w:rFonts w:cs="Calibri"/>
                <w:b/>
                <w:bCs/>
                <w:color w:val="000000"/>
                <w:sz w:val="16"/>
                <w:szCs w:val="16"/>
              </w:rPr>
              <w:t>66,12</w:t>
            </w:r>
            <w:r w:rsidR="00D43C4E">
              <w:rPr>
                <w:rFonts w:cs="Calibri"/>
                <w:b/>
                <w:bCs/>
                <w:color w:val="000000"/>
                <w:sz w:val="16"/>
                <w:szCs w:val="16"/>
              </w:rPr>
              <w:t> </w:t>
            </w:r>
            <w:r w:rsidRPr="00784B42">
              <w:rPr>
                <w:rFonts w:cs="Calibri"/>
                <w:b/>
                <w:bCs/>
                <w:color w:val="000000"/>
                <w:sz w:val="16"/>
                <w:szCs w:val="16"/>
              </w:rPr>
              <w:t>%</w:t>
            </w:r>
          </w:p>
        </w:tc>
      </w:tr>
    </w:tbl>
    <w:p w14:paraId="5C7EF03A" w14:textId="77777777" w:rsidR="00B57597" w:rsidRPr="00B407F3" w:rsidRDefault="00B57597" w:rsidP="00784B42">
      <w:pPr>
        <w:spacing w:before="40"/>
        <w:ind w:left="567" w:hanging="567"/>
        <w:rPr>
          <w:rFonts w:cs="Calibri"/>
          <w:color w:val="000000"/>
          <w:sz w:val="20"/>
          <w:szCs w:val="20"/>
          <w:lang w:eastAsia="cs-CZ"/>
        </w:rPr>
      </w:pPr>
      <w:r w:rsidRPr="00716C19">
        <w:rPr>
          <w:rFonts w:cs="Calibri"/>
          <w:b/>
          <w:color w:val="000000"/>
          <w:sz w:val="20"/>
          <w:szCs w:val="20"/>
          <w:lang w:eastAsia="cs-CZ"/>
        </w:rPr>
        <w:t xml:space="preserve">Zdroj: </w:t>
      </w:r>
      <w:r w:rsidRPr="00716C19">
        <w:rPr>
          <w:rFonts w:cs="Calibri"/>
          <w:color w:val="000000"/>
          <w:sz w:val="20"/>
          <w:szCs w:val="20"/>
          <w:lang w:eastAsia="cs-CZ"/>
        </w:rPr>
        <w:t xml:space="preserve">CSÚIS, ISSP-CSÚIS – výkaz </w:t>
      </w:r>
      <w:r>
        <w:rPr>
          <w:rFonts w:cs="Calibri"/>
          <w:color w:val="000000"/>
          <w:sz w:val="20"/>
          <w:szCs w:val="20"/>
          <w:lang w:eastAsia="cs-CZ"/>
        </w:rPr>
        <w:t>„p</w:t>
      </w:r>
      <w:r w:rsidRPr="00716C19">
        <w:rPr>
          <w:rFonts w:cs="Calibri"/>
          <w:color w:val="000000"/>
          <w:sz w:val="20"/>
          <w:szCs w:val="20"/>
          <w:lang w:eastAsia="cs-CZ"/>
        </w:rPr>
        <w:t>řehled o rozpočtu SPO – část II</w:t>
      </w:r>
      <w:r>
        <w:rPr>
          <w:rFonts w:cs="Calibri"/>
          <w:color w:val="000000"/>
          <w:sz w:val="20"/>
          <w:szCs w:val="20"/>
          <w:lang w:eastAsia="cs-CZ"/>
        </w:rPr>
        <w:t>“</w:t>
      </w:r>
      <w:r w:rsidRPr="00716C19">
        <w:rPr>
          <w:rFonts w:cs="Calibri"/>
          <w:color w:val="000000"/>
          <w:sz w:val="20"/>
          <w:szCs w:val="20"/>
          <w:lang w:eastAsia="cs-CZ"/>
        </w:rPr>
        <w:t xml:space="preserve"> (údaje ze sloupce </w:t>
      </w:r>
      <w:r w:rsidRPr="00682D65">
        <w:rPr>
          <w:rFonts w:cs="Calibri"/>
          <w:i/>
          <w:color w:val="000000"/>
          <w:sz w:val="20"/>
          <w:szCs w:val="20"/>
          <w:lang w:eastAsia="cs-CZ"/>
        </w:rPr>
        <w:t>Skutečnost minulého roku v Kč</w:t>
      </w:r>
      <w:r w:rsidRPr="00716C19">
        <w:rPr>
          <w:rFonts w:cs="Calibri"/>
          <w:color w:val="000000"/>
          <w:sz w:val="20"/>
          <w:szCs w:val="20"/>
          <w:lang w:eastAsia="cs-CZ"/>
        </w:rPr>
        <w:t>),</w:t>
      </w:r>
      <w:r w:rsidRPr="00716C19">
        <w:rPr>
          <w:i/>
          <w:color w:val="000000"/>
          <w:sz w:val="20"/>
          <w:lang w:eastAsia="cs-CZ"/>
        </w:rPr>
        <w:t xml:space="preserve"> </w:t>
      </w:r>
      <w:r w:rsidRPr="00716C19">
        <w:rPr>
          <w:rFonts w:cs="Calibri"/>
          <w:color w:val="000000"/>
          <w:sz w:val="20"/>
          <w:szCs w:val="20"/>
          <w:lang w:eastAsia="cs-CZ"/>
        </w:rPr>
        <w:t>výpočet vypracoval NKÚ.</w:t>
      </w:r>
    </w:p>
    <w:p w14:paraId="0CD2B990" w14:textId="7326B2C7" w:rsidR="00B57597" w:rsidRPr="00DE0B98" w:rsidRDefault="00B57597" w:rsidP="001A663B">
      <w:pPr>
        <w:pStyle w:val="Titulek1"/>
        <w:tabs>
          <w:tab w:val="clear" w:pos="1134"/>
        </w:tabs>
        <w:ind w:left="1446" w:hanging="1446"/>
        <w:rPr>
          <w:sz w:val="24"/>
        </w:rPr>
      </w:pPr>
      <w:bookmarkStart w:id="138" w:name="_Toc8984561"/>
      <w:bookmarkStart w:id="139" w:name="_Toc520714354"/>
      <w:bookmarkStart w:id="140" w:name="_Toc72157499"/>
      <w:r w:rsidRPr="00DE0B98">
        <w:rPr>
          <w:sz w:val="24"/>
        </w:rPr>
        <w:lastRenderedPageBreak/>
        <w:t xml:space="preserve">Tabulka č. </w:t>
      </w:r>
      <w:r w:rsidR="005F2931" w:rsidRPr="00DE0B98">
        <w:rPr>
          <w:sz w:val="24"/>
        </w:rPr>
        <w:fldChar w:fldCharType="begin"/>
      </w:r>
      <w:r w:rsidR="005F2931" w:rsidRPr="00DE0B98">
        <w:rPr>
          <w:sz w:val="24"/>
        </w:rPr>
        <w:instrText xml:space="preserve"> SEQ Tabulka \* ARABIC </w:instrText>
      </w:r>
      <w:r w:rsidR="005F2931" w:rsidRPr="00DE0B98">
        <w:rPr>
          <w:sz w:val="24"/>
        </w:rPr>
        <w:fldChar w:fldCharType="separate"/>
      </w:r>
      <w:r w:rsidR="00E544AA">
        <w:rPr>
          <w:noProof/>
          <w:sz w:val="24"/>
        </w:rPr>
        <w:t>43</w:t>
      </w:r>
      <w:r w:rsidR="005F2931" w:rsidRPr="00DE0B98">
        <w:rPr>
          <w:noProof/>
          <w:sz w:val="24"/>
        </w:rPr>
        <w:fldChar w:fldCharType="end"/>
      </w:r>
      <w:r w:rsidRPr="00DE0B98">
        <w:rPr>
          <w:sz w:val="24"/>
        </w:rPr>
        <w:t xml:space="preserve">: </w:t>
      </w:r>
      <w:r w:rsidR="001A663B">
        <w:rPr>
          <w:sz w:val="24"/>
        </w:rPr>
        <w:tab/>
      </w:r>
      <w:r w:rsidRPr="00DE0B98">
        <w:rPr>
          <w:sz w:val="24"/>
        </w:rPr>
        <w:t>Porovnání výše příspěvku na provoz s celkovými výnosy a s výnosy</w:t>
      </w:r>
      <w:bookmarkEnd w:id="138"/>
      <w:r w:rsidRPr="00DE0B98">
        <w:rPr>
          <w:sz w:val="24"/>
        </w:rPr>
        <w:t xml:space="preserve"> z transferů (za všechny PO v rozpočtové kapitole 322)</w:t>
      </w:r>
      <w:bookmarkEnd w:id="139"/>
      <w:bookmarkEnd w:id="140"/>
    </w:p>
    <w:tbl>
      <w:tblPr>
        <w:tblW w:w="4974" w:type="pct"/>
        <w:jc w:val="center"/>
        <w:tblCellMar>
          <w:left w:w="70" w:type="dxa"/>
          <w:right w:w="70" w:type="dxa"/>
        </w:tblCellMar>
        <w:tblLook w:val="04A0" w:firstRow="1" w:lastRow="0" w:firstColumn="1" w:lastColumn="0" w:noHBand="0" w:noVBand="1"/>
      </w:tblPr>
      <w:tblGrid>
        <w:gridCol w:w="3628"/>
        <w:gridCol w:w="1078"/>
        <w:gridCol w:w="1078"/>
        <w:gridCol w:w="1078"/>
        <w:gridCol w:w="1078"/>
        <w:gridCol w:w="1073"/>
      </w:tblGrid>
      <w:tr w:rsidR="00B57597" w:rsidRPr="001A663B" w14:paraId="5B93AACB" w14:textId="77777777" w:rsidTr="001A663B">
        <w:trPr>
          <w:trHeight w:val="255"/>
          <w:jc w:val="center"/>
        </w:trPr>
        <w:tc>
          <w:tcPr>
            <w:tcW w:w="2013"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0B2590A6" w14:textId="77777777" w:rsidR="00B57597" w:rsidRPr="001A663B" w:rsidRDefault="00B57597" w:rsidP="001A663B">
            <w:pPr>
              <w:keepNext/>
              <w:spacing w:after="0"/>
              <w:rPr>
                <w:rFonts w:cs="Calibri"/>
                <w:b/>
                <w:bCs/>
                <w:color w:val="000000"/>
                <w:sz w:val="20"/>
                <w:szCs w:val="18"/>
                <w:lang w:eastAsia="cs-CZ"/>
              </w:rPr>
            </w:pPr>
            <w:r w:rsidRPr="001A663B">
              <w:rPr>
                <w:b/>
                <w:bCs/>
                <w:color w:val="000000"/>
                <w:sz w:val="20"/>
                <w:szCs w:val="18"/>
              </w:rPr>
              <w:t>Ukazatel</w:t>
            </w:r>
          </w:p>
        </w:tc>
        <w:tc>
          <w:tcPr>
            <w:tcW w:w="598" w:type="pct"/>
            <w:tcBorders>
              <w:top w:val="single" w:sz="4" w:space="0" w:color="auto"/>
              <w:left w:val="nil"/>
              <w:bottom w:val="single" w:sz="4" w:space="0" w:color="auto"/>
              <w:right w:val="single" w:sz="4" w:space="0" w:color="auto"/>
            </w:tcBorders>
            <w:shd w:val="clear" w:color="auto" w:fill="E5F1FF"/>
            <w:noWrap/>
            <w:vAlign w:val="center"/>
            <w:hideMark/>
          </w:tcPr>
          <w:p w14:paraId="3B2AE0C9" w14:textId="77777777" w:rsidR="00B57597" w:rsidRPr="001A663B" w:rsidRDefault="00B57597" w:rsidP="001A663B">
            <w:pPr>
              <w:keepNext/>
              <w:spacing w:after="0"/>
              <w:jc w:val="center"/>
              <w:rPr>
                <w:rFonts w:cs="Calibri"/>
                <w:b/>
                <w:bCs/>
                <w:color w:val="000000"/>
                <w:sz w:val="20"/>
                <w:szCs w:val="18"/>
                <w:lang w:eastAsia="cs-CZ"/>
              </w:rPr>
            </w:pPr>
            <w:r w:rsidRPr="001A663B">
              <w:rPr>
                <w:b/>
                <w:bCs/>
                <w:color w:val="000000"/>
                <w:sz w:val="20"/>
                <w:szCs w:val="18"/>
              </w:rPr>
              <w:t>2016</w:t>
            </w:r>
          </w:p>
        </w:tc>
        <w:tc>
          <w:tcPr>
            <w:tcW w:w="598" w:type="pct"/>
            <w:tcBorders>
              <w:top w:val="single" w:sz="4" w:space="0" w:color="auto"/>
              <w:left w:val="nil"/>
              <w:bottom w:val="single" w:sz="4" w:space="0" w:color="auto"/>
              <w:right w:val="single" w:sz="4" w:space="0" w:color="auto"/>
            </w:tcBorders>
            <w:shd w:val="clear" w:color="auto" w:fill="E5F1FF"/>
            <w:noWrap/>
            <w:vAlign w:val="center"/>
            <w:hideMark/>
          </w:tcPr>
          <w:p w14:paraId="76FE4680" w14:textId="77777777" w:rsidR="00B57597" w:rsidRPr="001A663B" w:rsidRDefault="00B57597" w:rsidP="001A663B">
            <w:pPr>
              <w:keepNext/>
              <w:spacing w:after="0"/>
              <w:jc w:val="center"/>
              <w:rPr>
                <w:rFonts w:cs="Calibri"/>
                <w:b/>
                <w:bCs/>
                <w:color w:val="000000"/>
                <w:sz w:val="20"/>
                <w:szCs w:val="18"/>
                <w:lang w:eastAsia="cs-CZ"/>
              </w:rPr>
            </w:pPr>
            <w:r w:rsidRPr="001A663B">
              <w:rPr>
                <w:b/>
                <w:bCs/>
                <w:color w:val="000000"/>
                <w:sz w:val="20"/>
                <w:szCs w:val="18"/>
              </w:rPr>
              <w:t>2017</w:t>
            </w:r>
          </w:p>
        </w:tc>
        <w:tc>
          <w:tcPr>
            <w:tcW w:w="598" w:type="pct"/>
            <w:tcBorders>
              <w:top w:val="single" w:sz="4" w:space="0" w:color="auto"/>
              <w:left w:val="nil"/>
              <w:bottom w:val="single" w:sz="4" w:space="0" w:color="auto"/>
              <w:right w:val="single" w:sz="4" w:space="0" w:color="auto"/>
            </w:tcBorders>
            <w:shd w:val="clear" w:color="auto" w:fill="E5F1FF"/>
            <w:noWrap/>
            <w:vAlign w:val="center"/>
            <w:hideMark/>
          </w:tcPr>
          <w:p w14:paraId="13E38148" w14:textId="77777777" w:rsidR="00B57597" w:rsidRPr="001A663B" w:rsidRDefault="00B57597" w:rsidP="001A663B">
            <w:pPr>
              <w:keepNext/>
              <w:spacing w:after="0"/>
              <w:jc w:val="center"/>
              <w:rPr>
                <w:rFonts w:cs="Calibri"/>
                <w:b/>
                <w:bCs/>
                <w:color w:val="000000"/>
                <w:sz w:val="20"/>
                <w:szCs w:val="18"/>
                <w:lang w:eastAsia="cs-CZ"/>
              </w:rPr>
            </w:pPr>
            <w:r w:rsidRPr="001A663B">
              <w:rPr>
                <w:b/>
                <w:bCs/>
                <w:color w:val="000000"/>
                <w:sz w:val="20"/>
                <w:szCs w:val="18"/>
              </w:rPr>
              <w:t>2018</w:t>
            </w:r>
          </w:p>
        </w:tc>
        <w:tc>
          <w:tcPr>
            <w:tcW w:w="598" w:type="pct"/>
            <w:tcBorders>
              <w:top w:val="single" w:sz="4" w:space="0" w:color="auto"/>
              <w:left w:val="nil"/>
              <w:bottom w:val="single" w:sz="4" w:space="0" w:color="auto"/>
              <w:right w:val="single" w:sz="4" w:space="0" w:color="auto"/>
            </w:tcBorders>
            <w:shd w:val="clear" w:color="auto" w:fill="E5F1FF"/>
            <w:noWrap/>
            <w:vAlign w:val="center"/>
            <w:hideMark/>
          </w:tcPr>
          <w:p w14:paraId="19E36679" w14:textId="77777777" w:rsidR="00B57597" w:rsidRPr="001A663B" w:rsidRDefault="00B57597" w:rsidP="001A663B">
            <w:pPr>
              <w:keepNext/>
              <w:spacing w:after="0"/>
              <w:jc w:val="center"/>
              <w:rPr>
                <w:rFonts w:cs="Calibri"/>
                <w:b/>
                <w:bCs/>
                <w:color w:val="000000"/>
                <w:sz w:val="20"/>
                <w:szCs w:val="18"/>
                <w:lang w:eastAsia="cs-CZ"/>
              </w:rPr>
            </w:pPr>
            <w:r w:rsidRPr="001A663B">
              <w:rPr>
                <w:b/>
                <w:bCs/>
                <w:color w:val="000000"/>
                <w:sz w:val="20"/>
                <w:szCs w:val="18"/>
              </w:rPr>
              <w:t>2019</w:t>
            </w:r>
          </w:p>
        </w:tc>
        <w:tc>
          <w:tcPr>
            <w:tcW w:w="596" w:type="pct"/>
            <w:tcBorders>
              <w:top w:val="single" w:sz="4" w:space="0" w:color="auto"/>
              <w:left w:val="nil"/>
              <w:bottom w:val="single" w:sz="4" w:space="0" w:color="auto"/>
              <w:right w:val="single" w:sz="4" w:space="0" w:color="auto"/>
            </w:tcBorders>
            <w:shd w:val="clear" w:color="auto" w:fill="E5F1FF"/>
            <w:vAlign w:val="center"/>
          </w:tcPr>
          <w:p w14:paraId="43DEF617" w14:textId="77777777" w:rsidR="00B57597" w:rsidRPr="001A663B" w:rsidRDefault="00B57597" w:rsidP="001A663B">
            <w:pPr>
              <w:keepNext/>
              <w:spacing w:after="0"/>
              <w:jc w:val="center"/>
              <w:rPr>
                <w:rFonts w:cs="Calibri"/>
                <w:b/>
                <w:bCs/>
                <w:color w:val="000000"/>
                <w:sz w:val="20"/>
                <w:szCs w:val="18"/>
                <w:lang w:eastAsia="cs-CZ"/>
              </w:rPr>
            </w:pPr>
            <w:r w:rsidRPr="001A663B">
              <w:rPr>
                <w:b/>
                <w:bCs/>
                <w:color w:val="000000"/>
                <w:sz w:val="20"/>
                <w:szCs w:val="18"/>
              </w:rPr>
              <w:t>2020</w:t>
            </w:r>
          </w:p>
        </w:tc>
      </w:tr>
      <w:tr w:rsidR="00B57597" w:rsidRPr="001A663B" w14:paraId="620FF8E4" w14:textId="77777777" w:rsidTr="001A663B">
        <w:trPr>
          <w:trHeight w:val="255"/>
          <w:jc w:val="center"/>
        </w:trPr>
        <w:tc>
          <w:tcPr>
            <w:tcW w:w="2013" w:type="pct"/>
            <w:tcBorders>
              <w:top w:val="nil"/>
              <w:left w:val="single" w:sz="4" w:space="0" w:color="auto"/>
              <w:bottom w:val="single" w:sz="4" w:space="0" w:color="auto"/>
              <w:right w:val="single" w:sz="4" w:space="0" w:color="auto"/>
            </w:tcBorders>
            <w:shd w:val="clear" w:color="auto" w:fill="auto"/>
            <w:noWrap/>
            <w:vAlign w:val="center"/>
          </w:tcPr>
          <w:p w14:paraId="4B0C10CD" w14:textId="77777777" w:rsidR="00B57597" w:rsidRPr="001A663B" w:rsidRDefault="00B57597" w:rsidP="001A663B">
            <w:pPr>
              <w:keepNext/>
              <w:spacing w:after="0"/>
              <w:rPr>
                <w:rFonts w:eastAsia="Calibri" w:cs="Calibri"/>
                <w:color w:val="000000"/>
                <w:sz w:val="20"/>
                <w:szCs w:val="18"/>
              </w:rPr>
            </w:pPr>
            <w:r w:rsidRPr="001A663B">
              <w:rPr>
                <w:color w:val="000000"/>
                <w:sz w:val="20"/>
                <w:szCs w:val="18"/>
              </w:rPr>
              <w:t>Příspěvek na provoz / celkové výnosy</w:t>
            </w:r>
          </w:p>
        </w:tc>
        <w:tc>
          <w:tcPr>
            <w:tcW w:w="598" w:type="pct"/>
            <w:tcBorders>
              <w:top w:val="nil"/>
              <w:left w:val="nil"/>
              <w:bottom w:val="single" w:sz="4" w:space="0" w:color="auto"/>
              <w:right w:val="single" w:sz="4" w:space="0" w:color="auto"/>
            </w:tcBorders>
            <w:shd w:val="clear" w:color="auto" w:fill="auto"/>
            <w:noWrap/>
            <w:vAlign w:val="center"/>
          </w:tcPr>
          <w:p w14:paraId="28ED6742" w14:textId="48614322" w:rsidR="00B57597" w:rsidRPr="001A663B" w:rsidRDefault="00B57597" w:rsidP="001A663B">
            <w:pPr>
              <w:keepNext/>
              <w:spacing w:after="0"/>
              <w:ind w:right="57"/>
              <w:jc w:val="right"/>
              <w:rPr>
                <w:rFonts w:eastAsia="Calibri" w:cs="Calibri"/>
                <w:color w:val="000000"/>
                <w:sz w:val="20"/>
                <w:szCs w:val="18"/>
              </w:rPr>
            </w:pPr>
            <w:r w:rsidRPr="001A663B">
              <w:rPr>
                <w:color w:val="000000"/>
                <w:sz w:val="20"/>
                <w:szCs w:val="18"/>
              </w:rPr>
              <w:t>43,27</w:t>
            </w:r>
            <w:r w:rsidR="00D43C4E">
              <w:rPr>
                <w:color w:val="000000"/>
                <w:sz w:val="20"/>
                <w:szCs w:val="18"/>
              </w:rPr>
              <w:t> </w:t>
            </w:r>
            <w:r w:rsidRPr="001A663B">
              <w:rPr>
                <w:color w:val="000000"/>
                <w:sz w:val="20"/>
                <w:szCs w:val="18"/>
              </w:rPr>
              <w:t>%</w:t>
            </w:r>
          </w:p>
        </w:tc>
        <w:tc>
          <w:tcPr>
            <w:tcW w:w="598" w:type="pct"/>
            <w:tcBorders>
              <w:top w:val="nil"/>
              <w:left w:val="nil"/>
              <w:bottom w:val="single" w:sz="4" w:space="0" w:color="auto"/>
              <w:right w:val="single" w:sz="4" w:space="0" w:color="auto"/>
            </w:tcBorders>
            <w:shd w:val="clear" w:color="auto" w:fill="auto"/>
            <w:noWrap/>
            <w:vAlign w:val="center"/>
          </w:tcPr>
          <w:p w14:paraId="369F2033" w14:textId="3C5C3753" w:rsidR="00B57597" w:rsidRPr="001A663B" w:rsidRDefault="00B57597" w:rsidP="001A663B">
            <w:pPr>
              <w:keepNext/>
              <w:spacing w:after="0"/>
              <w:ind w:right="57"/>
              <w:jc w:val="right"/>
              <w:rPr>
                <w:rFonts w:eastAsia="Calibri" w:cs="Calibri"/>
                <w:color w:val="000000"/>
                <w:sz w:val="20"/>
                <w:szCs w:val="18"/>
              </w:rPr>
            </w:pPr>
            <w:r w:rsidRPr="001A663B">
              <w:rPr>
                <w:color w:val="000000"/>
                <w:sz w:val="20"/>
                <w:szCs w:val="18"/>
              </w:rPr>
              <w:t>49,27</w:t>
            </w:r>
            <w:r w:rsidR="00D43C4E">
              <w:rPr>
                <w:color w:val="000000"/>
                <w:sz w:val="20"/>
                <w:szCs w:val="18"/>
              </w:rPr>
              <w:t> </w:t>
            </w:r>
            <w:r w:rsidRPr="001A663B">
              <w:rPr>
                <w:color w:val="000000"/>
                <w:sz w:val="20"/>
                <w:szCs w:val="18"/>
              </w:rPr>
              <w:t>%</w:t>
            </w:r>
          </w:p>
        </w:tc>
        <w:tc>
          <w:tcPr>
            <w:tcW w:w="598" w:type="pct"/>
            <w:tcBorders>
              <w:top w:val="nil"/>
              <w:left w:val="nil"/>
              <w:bottom w:val="single" w:sz="4" w:space="0" w:color="auto"/>
              <w:right w:val="single" w:sz="4" w:space="0" w:color="auto"/>
            </w:tcBorders>
            <w:shd w:val="clear" w:color="auto" w:fill="auto"/>
            <w:noWrap/>
            <w:vAlign w:val="center"/>
          </w:tcPr>
          <w:p w14:paraId="11A31A79" w14:textId="34D905DA" w:rsidR="00B57597" w:rsidRPr="001A663B" w:rsidRDefault="00B57597" w:rsidP="001A663B">
            <w:pPr>
              <w:keepNext/>
              <w:spacing w:after="0"/>
              <w:ind w:right="57"/>
              <w:jc w:val="right"/>
              <w:rPr>
                <w:rFonts w:eastAsia="Calibri" w:cs="Calibri"/>
                <w:color w:val="000000"/>
                <w:sz w:val="20"/>
                <w:szCs w:val="18"/>
              </w:rPr>
            </w:pPr>
            <w:r w:rsidRPr="001A663B">
              <w:rPr>
                <w:color w:val="000000"/>
                <w:sz w:val="20"/>
                <w:szCs w:val="18"/>
              </w:rPr>
              <w:t>41,54</w:t>
            </w:r>
            <w:r w:rsidR="00D43C4E">
              <w:rPr>
                <w:color w:val="000000"/>
                <w:sz w:val="20"/>
                <w:szCs w:val="18"/>
              </w:rPr>
              <w:t> </w:t>
            </w:r>
            <w:r w:rsidRPr="001A663B">
              <w:rPr>
                <w:color w:val="000000"/>
                <w:sz w:val="20"/>
                <w:szCs w:val="18"/>
              </w:rPr>
              <w:t>%</w:t>
            </w:r>
          </w:p>
        </w:tc>
        <w:tc>
          <w:tcPr>
            <w:tcW w:w="598" w:type="pct"/>
            <w:tcBorders>
              <w:top w:val="nil"/>
              <w:left w:val="nil"/>
              <w:bottom w:val="single" w:sz="4" w:space="0" w:color="auto"/>
              <w:right w:val="single" w:sz="4" w:space="0" w:color="auto"/>
            </w:tcBorders>
            <w:shd w:val="clear" w:color="auto" w:fill="auto"/>
            <w:noWrap/>
            <w:vAlign w:val="center"/>
          </w:tcPr>
          <w:p w14:paraId="393B548C" w14:textId="2F937B9F" w:rsidR="00B57597" w:rsidRPr="001A663B" w:rsidRDefault="00B57597" w:rsidP="001A663B">
            <w:pPr>
              <w:keepNext/>
              <w:spacing w:after="0"/>
              <w:ind w:right="57"/>
              <w:jc w:val="right"/>
              <w:rPr>
                <w:rFonts w:eastAsia="Calibri" w:cs="Calibri"/>
                <w:color w:val="000000"/>
                <w:sz w:val="20"/>
                <w:szCs w:val="18"/>
              </w:rPr>
            </w:pPr>
            <w:r w:rsidRPr="001A663B">
              <w:rPr>
                <w:color w:val="000000"/>
                <w:sz w:val="20"/>
                <w:szCs w:val="18"/>
              </w:rPr>
              <w:t>38,20</w:t>
            </w:r>
            <w:r w:rsidR="00D43C4E">
              <w:rPr>
                <w:color w:val="000000"/>
                <w:sz w:val="20"/>
                <w:szCs w:val="18"/>
              </w:rPr>
              <w:t> </w:t>
            </w:r>
            <w:r w:rsidRPr="001A663B">
              <w:rPr>
                <w:color w:val="000000"/>
                <w:sz w:val="20"/>
                <w:szCs w:val="18"/>
              </w:rPr>
              <w:t>%</w:t>
            </w:r>
          </w:p>
        </w:tc>
        <w:tc>
          <w:tcPr>
            <w:tcW w:w="596" w:type="pct"/>
            <w:tcBorders>
              <w:top w:val="nil"/>
              <w:left w:val="nil"/>
              <w:bottom w:val="single" w:sz="4" w:space="0" w:color="auto"/>
              <w:right w:val="single" w:sz="4" w:space="0" w:color="auto"/>
            </w:tcBorders>
            <w:vAlign w:val="center"/>
          </w:tcPr>
          <w:p w14:paraId="3427485D" w14:textId="6A4F36A9" w:rsidR="00B57597" w:rsidRPr="001A663B" w:rsidRDefault="00B57597" w:rsidP="001A663B">
            <w:pPr>
              <w:keepNext/>
              <w:spacing w:after="0"/>
              <w:ind w:right="57"/>
              <w:jc w:val="right"/>
              <w:rPr>
                <w:rFonts w:eastAsia="Calibri" w:cs="Calibri"/>
                <w:color w:val="000000"/>
                <w:sz w:val="20"/>
                <w:szCs w:val="18"/>
              </w:rPr>
            </w:pPr>
            <w:r w:rsidRPr="001A663B">
              <w:rPr>
                <w:color w:val="000000"/>
                <w:sz w:val="20"/>
                <w:szCs w:val="18"/>
              </w:rPr>
              <w:t>40,22</w:t>
            </w:r>
            <w:r w:rsidR="00D43C4E">
              <w:rPr>
                <w:color w:val="000000"/>
                <w:sz w:val="20"/>
                <w:szCs w:val="18"/>
              </w:rPr>
              <w:t> </w:t>
            </w:r>
            <w:r w:rsidRPr="001A663B">
              <w:rPr>
                <w:color w:val="000000"/>
                <w:sz w:val="20"/>
                <w:szCs w:val="18"/>
              </w:rPr>
              <w:t>%</w:t>
            </w:r>
          </w:p>
        </w:tc>
      </w:tr>
      <w:tr w:rsidR="00B57597" w:rsidRPr="001A663B" w14:paraId="31BFE513" w14:textId="77777777" w:rsidTr="001A663B">
        <w:trPr>
          <w:trHeight w:val="255"/>
          <w:jc w:val="center"/>
        </w:trPr>
        <w:tc>
          <w:tcPr>
            <w:tcW w:w="20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C2C41" w14:textId="77777777" w:rsidR="00B57597" w:rsidRPr="001A663B" w:rsidRDefault="00B57597" w:rsidP="001A663B">
            <w:pPr>
              <w:keepNext/>
              <w:spacing w:after="0"/>
              <w:rPr>
                <w:rFonts w:eastAsia="Calibri" w:cs="Calibri"/>
                <w:color w:val="000000"/>
                <w:sz w:val="20"/>
                <w:szCs w:val="18"/>
              </w:rPr>
            </w:pPr>
            <w:r w:rsidRPr="001A663B">
              <w:rPr>
                <w:color w:val="000000"/>
                <w:sz w:val="20"/>
                <w:szCs w:val="18"/>
              </w:rPr>
              <w:t>Příspěvek na provoz / výnosy z transferů</w:t>
            </w: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48CA82E5" w14:textId="5659569A" w:rsidR="00B57597" w:rsidRPr="001A663B" w:rsidRDefault="00B57597" w:rsidP="001A663B">
            <w:pPr>
              <w:keepNext/>
              <w:spacing w:after="0"/>
              <w:ind w:right="57"/>
              <w:jc w:val="right"/>
              <w:rPr>
                <w:rFonts w:eastAsia="Calibri" w:cs="Calibri"/>
                <w:color w:val="000000"/>
                <w:sz w:val="20"/>
                <w:szCs w:val="18"/>
              </w:rPr>
            </w:pPr>
            <w:r w:rsidRPr="001A663B">
              <w:rPr>
                <w:color w:val="000000"/>
                <w:sz w:val="20"/>
                <w:szCs w:val="18"/>
              </w:rPr>
              <w:t>71,70</w:t>
            </w:r>
            <w:r w:rsidR="00D43C4E">
              <w:rPr>
                <w:color w:val="000000"/>
                <w:sz w:val="20"/>
                <w:szCs w:val="18"/>
              </w:rPr>
              <w:t> </w:t>
            </w:r>
            <w:r w:rsidRPr="001A663B">
              <w:rPr>
                <w:color w:val="000000"/>
                <w:sz w:val="20"/>
                <w:szCs w:val="18"/>
              </w:rPr>
              <w:t>%</w:t>
            </w: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1C0C5765" w14:textId="38C33BC7" w:rsidR="00B57597" w:rsidRPr="001A663B" w:rsidRDefault="00B57597" w:rsidP="001A663B">
            <w:pPr>
              <w:keepNext/>
              <w:spacing w:after="0"/>
              <w:ind w:right="57"/>
              <w:jc w:val="right"/>
              <w:rPr>
                <w:rFonts w:eastAsia="Calibri" w:cs="Calibri"/>
                <w:color w:val="000000"/>
                <w:sz w:val="20"/>
                <w:szCs w:val="18"/>
              </w:rPr>
            </w:pPr>
            <w:r w:rsidRPr="001A663B">
              <w:rPr>
                <w:color w:val="000000"/>
                <w:sz w:val="20"/>
                <w:szCs w:val="18"/>
              </w:rPr>
              <w:t>75,80</w:t>
            </w:r>
            <w:r w:rsidR="00D43C4E">
              <w:rPr>
                <w:color w:val="000000"/>
                <w:sz w:val="20"/>
                <w:szCs w:val="18"/>
              </w:rPr>
              <w:t> </w:t>
            </w:r>
            <w:r w:rsidRPr="001A663B">
              <w:rPr>
                <w:color w:val="000000"/>
                <w:sz w:val="20"/>
                <w:szCs w:val="18"/>
              </w:rPr>
              <w:t>%</w:t>
            </w: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20818D1E" w14:textId="04C25DC2" w:rsidR="00B57597" w:rsidRPr="001A663B" w:rsidRDefault="00B57597" w:rsidP="001A663B">
            <w:pPr>
              <w:keepNext/>
              <w:spacing w:after="0"/>
              <w:ind w:right="57"/>
              <w:jc w:val="right"/>
              <w:rPr>
                <w:rFonts w:eastAsia="Calibri" w:cs="Calibri"/>
                <w:color w:val="000000"/>
                <w:sz w:val="20"/>
                <w:szCs w:val="18"/>
              </w:rPr>
            </w:pPr>
            <w:r w:rsidRPr="001A663B">
              <w:rPr>
                <w:color w:val="000000"/>
                <w:sz w:val="20"/>
                <w:szCs w:val="18"/>
              </w:rPr>
              <w:t>66,48</w:t>
            </w:r>
            <w:r w:rsidR="00D43C4E">
              <w:rPr>
                <w:color w:val="000000"/>
                <w:sz w:val="20"/>
                <w:szCs w:val="18"/>
              </w:rPr>
              <w:t> </w:t>
            </w:r>
            <w:r w:rsidRPr="001A663B">
              <w:rPr>
                <w:color w:val="000000"/>
                <w:sz w:val="20"/>
                <w:szCs w:val="18"/>
              </w:rPr>
              <w:t>%</w:t>
            </w: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250F800E" w14:textId="47FA59AE" w:rsidR="00B57597" w:rsidRPr="001A663B" w:rsidRDefault="00B57597" w:rsidP="001A663B">
            <w:pPr>
              <w:keepNext/>
              <w:spacing w:after="0"/>
              <w:ind w:right="57"/>
              <w:jc w:val="right"/>
              <w:rPr>
                <w:rFonts w:eastAsia="Calibri" w:cs="Calibri"/>
                <w:color w:val="000000"/>
                <w:sz w:val="20"/>
                <w:szCs w:val="18"/>
              </w:rPr>
            </w:pPr>
            <w:r w:rsidRPr="001A663B">
              <w:rPr>
                <w:color w:val="000000"/>
                <w:sz w:val="20"/>
                <w:szCs w:val="18"/>
              </w:rPr>
              <w:t>63,49</w:t>
            </w:r>
            <w:r w:rsidR="00D43C4E">
              <w:rPr>
                <w:color w:val="000000"/>
                <w:sz w:val="20"/>
                <w:szCs w:val="18"/>
              </w:rPr>
              <w:t> </w:t>
            </w:r>
            <w:r w:rsidRPr="001A663B">
              <w:rPr>
                <w:color w:val="000000"/>
                <w:sz w:val="20"/>
                <w:szCs w:val="18"/>
              </w:rPr>
              <w:t>%</w:t>
            </w:r>
          </w:p>
        </w:tc>
        <w:tc>
          <w:tcPr>
            <w:tcW w:w="596" w:type="pct"/>
            <w:tcBorders>
              <w:top w:val="single" w:sz="4" w:space="0" w:color="auto"/>
              <w:left w:val="nil"/>
              <w:bottom w:val="single" w:sz="4" w:space="0" w:color="auto"/>
              <w:right w:val="single" w:sz="4" w:space="0" w:color="auto"/>
            </w:tcBorders>
            <w:vAlign w:val="center"/>
          </w:tcPr>
          <w:p w14:paraId="5EB06FDA" w14:textId="7BF0D20C" w:rsidR="00B57597" w:rsidRPr="001A663B" w:rsidRDefault="00B57597" w:rsidP="001A663B">
            <w:pPr>
              <w:keepNext/>
              <w:spacing w:after="0"/>
              <w:ind w:right="57"/>
              <w:jc w:val="right"/>
              <w:rPr>
                <w:rFonts w:eastAsia="Calibri" w:cs="Calibri"/>
                <w:color w:val="000000"/>
                <w:sz w:val="20"/>
                <w:szCs w:val="18"/>
              </w:rPr>
            </w:pPr>
            <w:r w:rsidRPr="001A663B">
              <w:rPr>
                <w:color w:val="000000"/>
                <w:sz w:val="20"/>
                <w:szCs w:val="18"/>
              </w:rPr>
              <w:t>66,12</w:t>
            </w:r>
            <w:r w:rsidR="00D43C4E">
              <w:rPr>
                <w:color w:val="000000"/>
                <w:sz w:val="20"/>
                <w:szCs w:val="18"/>
              </w:rPr>
              <w:t> </w:t>
            </w:r>
            <w:r w:rsidRPr="001A663B">
              <w:rPr>
                <w:color w:val="000000"/>
                <w:sz w:val="20"/>
                <w:szCs w:val="18"/>
              </w:rPr>
              <w:t>%</w:t>
            </w:r>
          </w:p>
        </w:tc>
      </w:tr>
    </w:tbl>
    <w:p w14:paraId="29C3CC71" w14:textId="77777777" w:rsidR="00B57597" w:rsidRPr="00716C19" w:rsidRDefault="00B57597" w:rsidP="001A663B">
      <w:pPr>
        <w:spacing w:before="40"/>
        <w:rPr>
          <w:rFonts w:cs="Calibri"/>
          <w:color w:val="000000"/>
          <w:sz w:val="20"/>
          <w:szCs w:val="20"/>
          <w:lang w:eastAsia="cs-CZ"/>
        </w:rPr>
      </w:pPr>
      <w:r w:rsidRPr="00716C19">
        <w:rPr>
          <w:rFonts w:cs="Calibri"/>
          <w:b/>
          <w:color w:val="000000"/>
          <w:sz w:val="20"/>
          <w:szCs w:val="20"/>
          <w:lang w:eastAsia="cs-CZ"/>
        </w:rPr>
        <w:t xml:space="preserve">Zdroj: </w:t>
      </w:r>
      <w:r w:rsidRPr="00716C19">
        <w:rPr>
          <w:rFonts w:cs="Calibri"/>
          <w:color w:val="000000"/>
          <w:sz w:val="20"/>
          <w:szCs w:val="20"/>
          <w:lang w:eastAsia="cs-CZ"/>
        </w:rPr>
        <w:t xml:space="preserve">výpočet </w:t>
      </w:r>
      <w:r>
        <w:rPr>
          <w:rFonts w:cs="Calibri"/>
          <w:color w:val="000000"/>
          <w:sz w:val="20"/>
          <w:szCs w:val="20"/>
          <w:lang w:eastAsia="cs-CZ"/>
        </w:rPr>
        <w:t>vypracoval NKÚ</w:t>
      </w:r>
      <w:r w:rsidRPr="00716C19">
        <w:rPr>
          <w:rFonts w:cs="Calibri"/>
          <w:color w:val="000000"/>
          <w:sz w:val="20"/>
          <w:szCs w:val="20"/>
          <w:lang w:eastAsia="cs-CZ"/>
        </w:rPr>
        <w:t>.</w:t>
      </w:r>
    </w:p>
    <w:p w14:paraId="68FCFF0E" w14:textId="58B6761B" w:rsidR="00B57597" w:rsidRPr="001A663B" w:rsidRDefault="00B57597" w:rsidP="001A663B">
      <w:pPr>
        <w:pStyle w:val="Titulek1"/>
        <w:tabs>
          <w:tab w:val="clear" w:pos="1134"/>
        </w:tabs>
        <w:rPr>
          <w:sz w:val="24"/>
        </w:rPr>
      </w:pPr>
      <w:bookmarkStart w:id="141" w:name="_Toc8984562"/>
      <w:bookmarkStart w:id="142" w:name="_Toc72157500"/>
      <w:r w:rsidRPr="001A663B">
        <w:rPr>
          <w:sz w:val="24"/>
        </w:rPr>
        <w:t xml:space="preserve">Tabulka č. </w:t>
      </w:r>
      <w:r w:rsidR="005F2931" w:rsidRPr="001A663B">
        <w:rPr>
          <w:sz w:val="24"/>
        </w:rPr>
        <w:fldChar w:fldCharType="begin"/>
      </w:r>
      <w:r w:rsidR="005F2931" w:rsidRPr="001A663B">
        <w:rPr>
          <w:sz w:val="24"/>
        </w:rPr>
        <w:instrText xml:space="preserve"> SEQ Tabulka \* ARABIC </w:instrText>
      </w:r>
      <w:r w:rsidR="005F2931" w:rsidRPr="001A663B">
        <w:rPr>
          <w:sz w:val="24"/>
        </w:rPr>
        <w:fldChar w:fldCharType="separate"/>
      </w:r>
      <w:r w:rsidR="00E544AA">
        <w:rPr>
          <w:noProof/>
          <w:sz w:val="24"/>
        </w:rPr>
        <w:t>44</w:t>
      </w:r>
      <w:r w:rsidR="005F2931" w:rsidRPr="001A663B">
        <w:rPr>
          <w:noProof/>
          <w:sz w:val="24"/>
        </w:rPr>
        <w:fldChar w:fldCharType="end"/>
      </w:r>
      <w:r w:rsidRPr="001A663B">
        <w:rPr>
          <w:sz w:val="24"/>
        </w:rPr>
        <w:t>: Tempo růstu výnosů a příspěvku na provoz PO kapitoly 3</w:t>
      </w:r>
      <w:bookmarkEnd w:id="141"/>
      <w:r w:rsidRPr="001A663B">
        <w:rPr>
          <w:sz w:val="24"/>
        </w:rPr>
        <w:t>22</w:t>
      </w:r>
      <w:bookmarkEnd w:id="142"/>
    </w:p>
    <w:tbl>
      <w:tblPr>
        <w:tblW w:w="9071" w:type="dxa"/>
        <w:tblLayout w:type="fixed"/>
        <w:tblCellMar>
          <w:left w:w="70" w:type="dxa"/>
          <w:right w:w="70" w:type="dxa"/>
        </w:tblCellMar>
        <w:tblLook w:val="04A0" w:firstRow="1" w:lastRow="0" w:firstColumn="1" w:lastColumn="0" w:noHBand="0" w:noVBand="1"/>
      </w:tblPr>
      <w:tblGrid>
        <w:gridCol w:w="3118"/>
        <w:gridCol w:w="1474"/>
        <w:gridCol w:w="1474"/>
        <w:gridCol w:w="1474"/>
        <w:gridCol w:w="1531"/>
      </w:tblGrid>
      <w:tr w:rsidR="00B57597" w:rsidRPr="001A663B" w14:paraId="109DE389" w14:textId="77777777" w:rsidTr="001A663B">
        <w:trPr>
          <w:trHeight w:val="255"/>
        </w:trPr>
        <w:tc>
          <w:tcPr>
            <w:tcW w:w="3118"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4CD1AF40" w14:textId="77777777" w:rsidR="00B57597" w:rsidRPr="001A663B" w:rsidRDefault="00B57597" w:rsidP="001A663B">
            <w:pPr>
              <w:keepNext/>
              <w:spacing w:after="0"/>
              <w:rPr>
                <w:rFonts w:cs="Calibri"/>
                <w:b/>
                <w:bCs/>
                <w:color w:val="000000"/>
                <w:sz w:val="20"/>
                <w:szCs w:val="18"/>
                <w:lang w:eastAsia="cs-CZ"/>
              </w:rPr>
            </w:pPr>
            <w:r w:rsidRPr="001A663B">
              <w:rPr>
                <w:b/>
                <w:bCs/>
                <w:color w:val="000000"/>
                <w:sz w:val="20"/>
                <w:szCs w:val="18"/>
              </w:rPr>
              <w:t>Tempo růstu (absolutní změna)</w:t>
            </w:r>
          </w:p>
        </w:tc>
        <w:tc>
          <w:tcPr>
            <w:tcW w:w="1474" w:type="dxa"/>
            <w:tcBorders>
              <w:top w:val="single" w:sz="4" w:space="0" w:color="auto"/>
              <w:left w:val="nil"/>
              <w:bottom w:val="single" w:sz="4" w:space="0" w:color="auto"/>
              <w:right w:val="single" w:sz="4" w:space="0" w:color="auto"/>
            </w:tcBorders>
            <w:shd w:val="clear" w:color="auto" w:fill="E5F1FF"/>
            <w:noWrap/>
            <w:vAlign w:val="center"/>
            <w:hideMark/>
          </w:tcPr>
          <w:p w14:paraId="233D0B0F" w14:textId="76196A56" w:rsidR="00B57597" w:rsidRPr="001A663B" w:rsidRDefault="00B57597" w:rsidP="001A663B">
            <w:pPr>
              <w:keepNext/>
              <w:spacing w:after="0"/>
              <w:jc w:val="center"/>
              <w:rPr>
                <w:rFonts w:cs="Calibri"/>
                <w:b/>
                <w:bCs/>
                <w:color w:val="000000"/>
                <w:sz w:val="20"/>
                <w:szCs w:val="18"/>
                <w:lang w:eastAsia="cs-CZ"/>
              </w:rPr>
            </w:pPr>
            <w:r w:rsidRPr="001A663B">
              <w:rPr>
                <w:b/>
                <w:bCs/>
                <w:color w:val="000000"/>
                <w:sz w:val="20"/>
                <w:szCs w:val="18"/>
              </w:rPr>
              <w:t>2017</w:t>
            </w:r>
            <w:r w:rsidR="003E20A2">
              <w:rPr>
                <w:b/>
                <w:bCs/>
                <w:color w:val="000000"/>
                <w:sz w:val="18"/>
                <w:szCs w:val="18"/>
              </w:rPr>
              <w:t>–</w:t>
            </w:r>
            <w:r w:rsidRPr="001A663B">
              <w:rPr>
                <w:b/>
                <w:bCs/>
                <w:color w:val="000000"/>
                <w:sz w:val="20"/>
                <w:szCs w:val="18"/>
              </w:rPr>
              <w:t>2016</w:t>
            </w:r>
          </w:p>
        </w:tc>
        <w:tc>
          <w:tcPr>
            <w:tcW w:w="1474" w:type="dxa"/>
            <w:tcBorders>
              <w:top w:val="single" w:sz="4" w:space="0" w:color="auto"/>
              <w:left w:val="nil"/>
              <w:bottom w:val="single" w:sz="4" w:space="0" w:color="auto"/>
              <w:right w:val="single" w:sz="4" w:space="0" w:color="auto"/>
            </w:tcBorders>
            <w:shd w:val="clear" w:color="auto" w:fill="E5F1FF"/>
            <w:noWrap/>
            <w:vAlign w:val="center"/>
            <w:hideMark/>
          </w:tcPr>
          <w:p w14:paraId="77DE0BFF" w14:textId="481158C8" w:rsidR="00B57597" w:rsidRPr="001A663B" w:rsidRDefault="00B57597" w:rsidP="001A663B">
            <w:pPr>
              <w:keepNext/>
              <w:spacing w:after="0"/>
              <w:jc w:val="center"/>
              <w:rPr>
                <w:rFonts w:cs="Calibri"/>
                <w:b/>
                <w:bCs/>
                <w:color w:val="000000"/>
                <w:sz w:val="20"/>
                <w:szCs w:val="18"/>
                <w:lang w:eastAsia="cs-CZ"/>
              </w:rPr>
            </w:pPr>
            <w:r w:rsidRPr="001A663B">
              <w:rPr>
                <w:b/>
                <w:bCs/>
                <w:color w:val="000000"/>
                <w:sz w:val="20"/>
                <w:szCs w:val="18"/>
              </w:rPr>
              <w:t>2018</w:t>
            </w:r>
            <w:r w:rsidR="003E20A2">
              <w:rPr>
                <w:b/>
                <w:bCs/>
                <w:color w:val="000000"/>
                <w:sz w:val="18"/>
                <w:szCs w:val="18"/>
              </w:rPr>
              <w:t>–</w:t>
            </w:r>
            <w:r w:rsidRPr="001A663B">
              <w:rPr>
                <w:b/>
                <w:bCs/>
                <w:color w:val="000000"/>
                <w:sz w:val="20"/>
                <w:szCs w:val="18"/>
              </w:rPr>
              <w:t>2017</w:t>
            </w:r>
          </w:p>
        </w:tc>
        <w:tc>
          <w:tcPr>
            <w:tcW w:w="1474" w:type="dxa"/>
            <w:tcBorders>
              <w:top w:val="single" w:sz="4" w:space="0" w:color="auto"/>
              <w:left w:val="nil"/>
              <w:bottom w:val="single" w:sz="4" w:space="0" w:color="auto"/>
              <w:right w:val="single" w:sz="4" w:space="0" w:color="auto"/>
            </w:tcBorders>
            <w:shd w:val="clear" w:color="auto" w:fill="E5F1FF"/>
            <w:noWrap/>
            <w:vAlign w:val="center"/>
            <w:hideMark/>
          </w:tcPr>
          <w:p w14:paraId="1C7F35C4" w14:textId="5C87CE17" w:rsidR="00B57597" w:rsidRPr="001A663B" w:rsidRDefault="00B57597" w:rsidP="001A663B">
            <w:pPr>
              <w:keepNext/>
              <w:spacing w:after="0"/>
              <w:jc w:val="center"/>
              <w:rPr>
                <w:rFonts w:cs="Calibri"/>
                <w:b/>
                <w:bCs/>
                <w:color w:val="000000"/>
                <w:sz w:val="20"/>
                <w:szCs w:val="18"/>
                <w:lang w:eastAsia="cs-CZ"/>
              </w:rPr>
            </w:pPr>
            <w:r w:rsidRPr="001A663B">
              <w:rPr>
                <w:b/>
                <w:bCs/>
                <w:color w:val="000000"/>
                <w:sz w:val="20"/>
                <w:szCs w:val="18"/>
              </w:rPr>
              <w:t>2019</w:t>
            </w:r>
            <w:r w:rsidR="003E20A2">
              <w:rPr>
                <w:b/>
                <w:bCs/>
                <w:color w:val="000000"/>
                <w:sz w:val="18"/>
                <w:szCs w:val="18"/>
              </w:rPr>
              <w:t>–</w:t>
            </w:r>
            <w:r w:rsidRPr="001A663B">
              <w:rPr>
                <w:b/>
                <w:bCs/>
                <w:color w:val="000000"/>
                <w:sz w:val="20"/>
                <w:szCs w:val="18"/>
              </w:rPr>
              <w:t>2018</w:t>
            </w:r>
          </w:p>
        </w:tc>
        <w:tc>
          <w:tcPr>
            <w:tcW w:w="1531" w:type="dxa"/>
            <w:tcBorders>
              <w:top w:val="single" w:sz="4" w:space="0" w:color="auto"/>
              <w:left w:val="nil"/>
              <w:bottom w:val="single" w:sz="4" w:space="0" w:color="auto"/>
              <w:right w:val="single" w:sz="4" w:space="0" w:color="auto"/>
            </w:tcBorders>
            <w:shd w:val="clear" w:color="auto" w:fill="E5F1FF"/>
            <w:vAlign w:val="center"/>
          </w:tcPr>
          <w:p w14:paraId="573E6B0E" w14:textId="60FA3599" w:rsidR="00B57597" w:rsidRPr="001A663B" w:rsidRDefault="00B57597" w:rsidP="001A663B">
            <w:pPr>
              <w:keepNext/>
              <w:spacing w:after="0"/>
              <w:jc w:val="center"/>
              <w:rPr>
                <w:rFonts w:cs="Calibri"/>
                <w:b/>
                <w:bCs/>
                <w:color w:val="000000"/>
                <w:sz w:val="20"/>
                <w:szCs w:val="18"/>
                <w:lang w:eastAsia="cs-CZ"/>
              </w:rPr>
            </w:pPr>
            <w:r w:rsidRPr="001A663B">
              <w:rPr>
                <w:b/>
                <w:bCs/>
                <w:color w:val="000000"/>
                <w:sz w:val="20"/>
                <w:szCs w:val="18"/>
              </w:rPr>
              <w:t>2020</w:t>
            </w:r>
            <w:r w:rsidR="003E20A2">
              <w:rPr>
                <w:b/>
                <w:bCs/>
                <w:color w:val="000000"/>
                <w:sz w:val="18"/>
                <w:szCs w:val="18"/>
              </w:rPr>
              <w:t>–</w:t>
            </w:r>
            <w:r w:rsidRPr="001A663B">
              <w:rPr>
                <w:b/>
                <w:bCs/>
                <w:color w:val="000000"/>
                <w:sz w:val="20"/>
                <w:szCs w:val="18"/>
              </w:rPr>
              <w:t>2019</w:t>
            </w:r>
          </w:p>
        </w:tc>
      </w:tr>
      <w:tr w:rsidR="00B57597" w:rsidRPr="001A663B" w14:paraId="6DFA7CAF" w14:textId="77777777" w:rsidTr="001A663B">
        <w:trPr>
          <w:trHeight w:val="255"/>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EC462" w14:textId="77777777" w:rsidR="00B57597" w:rsidRPr="001A663B" w:rsidRDefault="00B57597" w:rsidP="001A663B">
            <w:pPr>
              <w:keepNext/>
              <w:spacing w:after="0"/>
              <w:rPr>
                <w:rFonts w:cs="Calibri"/>
                <w:bCs/>
                <w:color w:val="000000"/>
                <w:sz w:val="20"/>
                <w:szCs w:val="18"/>
                <w:lang w:eastAsia="cs-CZ"/>
              </w:rPr>
            </w:pPr>
            <w:r w:rsidRPr="001A663B">
              <w:rPr>
                <w:color w:val="000000"/>
                <w:sz w:val="20"/>
                <w:szCs w:val="18"/>
              </w:rPr>
              <w:t>Výnosy celkem (v Kč)</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61308D43" w14:textId="77777777" w:rsidR="00B57597" w:rsidRPr="003E20A2" w:rsidRDefault="00B57597" w:rsidP="001A663B">
            <w:pPr>
              <w:keepNext/>
              <w:spacing w:after="0"/>
              <w:ind w:right="57"/>
              <w:jc w:val="right"/>
              <w:rPr>
                <w:rFonts w:eastAsia="Calibri" w:cs="Calibri"/>
                <w:color w:val="000000"/>
                <w:sz w:val="19"/>
                <w:szCs w:val="19"/>
              </w:rPr>
            </w:pPr>
            <w:r w:rsidRPr="003E20A2">
              <w:rPr>
                <w:color w:val="000000"/>
                <w:sz w:val="19"/>
                <w:szCs w:val="19"/>
              </w:rPr>
              <w:t>284 605 423,08</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1EA81CE2" w14:textId="77777777" w:rsidR="00B57597" w:rsidRPr="003E20A2" w:rsidRDefault="00B57597" w:rsidP="001A663B">
            <w:pPr>
              <w:keepNext/>
              <w:spacing w:after="0"/>
              <w:ind w:right="57"/>
              <w:jc w:val="right"/>
              <w:rPr>
                <w:rFonts w:eastAsia="Calibri" w:cs="Calibri"/>
                <w:color w:val="000000"/>
                <w:sz w:val="19"/>
                <w:szCs w:val="19"/>
              </w:rPr>
            </w:pPr>
            <w:r w:rsidRPr="003E20A2">
              <w:rPr>
                <w:color w:val="000000"/>
                <w:sz w:val="19"/>
                <w:szCs w:val="19"/>
              </w:rPr>
              <w:t>185 984 627,50</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3268BFE7" w14:textId="77777777" w:rsidR="00B57597" w:rsidRPr="003E20A2" w:rsidRDefault="00B57597" w:rsidP="001A663B">
            <w:pPr>
              <w:keepNext/>
              <w:spacing w:after="0"/>
              <w:ind w:right="57"/>
              <w:jc w:val="right"/>
              <w:rPr>
                <w:rFonts w:eastAsia="Calibri" w:cs="Calibri"/>
                <w:color w:val="000000"/>
                <w:sz w:val="19"/>
                <w:szCs w:val="19"/>
              </w:rPr>
            </w:pPr>
            <w:r w:rsidRPr="003E20A2">
              <w:rPr>
                <w:color w:val="000000"/>
                <w:sz w:val="19"/>
                <w:szCs w:val="19"/>
              </w:rPr>
              <w:t>35 093 495,53</w:t>
            </w:r>
          </w:p>
        </w:tc>
        <w:tc>
          <w:tcPr>
            <w:tcW w:w="1531" w:type="dxa"/>
            <w:tcBorders>
              <w:top w:val="single" w:sz="4" w:space="0" w:color="auto"/>
              <w:left w:val="nil"/>
              <w:bottom w:val="single" w:sz="4" w:space="0" w:color="auto"/>
              <w:right w:val="single" w:sz="4" w:space="0" w:color="auto"/>
            </w:tcBorders>
            <w:vAlign w:val="center"/>
          </w:tcPr>
          <w:p w14:paraId="7796C46D" w14:textId="79E72856" w:rsidR="00B57597" w:rsidRPr="003E20A2" w:rsidRDefault="003E20A2" w:rsidP="001A663B">
            <w:pPr>
              <w:keepNext/>
              <w:spacing w:after="0"/>
              <w:ind w:right="57"/>
              <w:jc w:val="right"/>
              <w:rPr>
                <w:rFonts w:eastAsia="Calibri" w:cs="Calibri"/>
                <w:color w:val="000000"/>
                <w:sz w:val="19"/>
                <w:szCs w:val="19"/>
              </w:rPr>
            </w:pPr>
            <w:r w:rsidRPr="003E20A2">
              <w:rPr>
                <w:rFonts w:cs="Calibri"/>
                <w:color w:val="000000"/>
                <w:sz w:val="19"/>
                <w:szCs w:val="19"/>
              </w:rPr>
              <w:t>−</w:t>
            </w:r>
            <w:r w:rsidR="00B57597" w:rsidRPr="003E20A2">
              <w:rPr>
                <w:color w:val="000000"/>
                <w:sz w:val="19"/>
                <w:szCs w:val="19"/>
              </w:rPr>
              <w:t>110 124 148,53</w:t>
            </w:r>
          </w:p>
        </w:tc>
      </w:tr>
      <w:tr w:rsidR="00B57597" w:rsidRPr="001A663B" w14:paraId="5033899A" w14:textId="77777777" w:rsidTr="001A663B">
        <w:trPr>
          <w:trHeight w:val="255"/>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E45C7" w14:textId="589D0C2A" w:rsidR="00B57597" w:rsidRPr="001A663B" w:rsidRDefault="00B57597" w:rsidP="001A663B">
            <w:pPr>
              <w:keepNext/>
              <w:spacing w:after="0"/>
              <w:rPr>
                <w:rFonts w:cs="Calibri"/>
                <w:bCs/>
                <w:color w:val="000000"/>
                <w:sz w:val="20"/>
                <w:szCs w:val="18"/>
                <w:lang w:eastAsia="cs-CZ"/>
              </w:rPr>
            </w:pPr>
            <w:r w:rsidRPr="001A663B">
              <w:rPr>
                <w:color w:val="000000"/>
                <w:sz w:val="20"/>
                <w:szCs w:val="18"/>
              </w:rPr>
              <w:t>Výnosy transferové (účet 671) (v</w:t>
            </w:r>
            <w:r w:rsidR="001A663B">
              <w:rPr>
                <w:color w:val="000000"/>
                <w:sz w:val="20"/>
                <w:szCs w:val="18"/>
              </w:rPr>
              <w:t> </w:t>
            </w:r>
            <w:r w:rsidRPr="001A663B">
              <w:rPr>
                <w:color w:val="000000"/>
                <w:sz w:val="20"/>
                <w:szCs w:val="18"/>
              </w:rPr>
              <w:t>Kč)</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1617B50B" w14:textId="77777777" w:rsidR="00B57597" w:rsidRPr="003E20A2" w:rsidRDefault="00B57597" w:rsidP="001A663B">
            <w:pPr>
              <w:keepNext/>
              <w:spacing w:after="0"/>
              <w:ind w:right="57"/>
              <w:jc w:val="right"/>
              <w:rPr>
                <w:rFonts w:eastAsia="Calibri" w:cs="Calibri"/>
                <w:color w:val="000000"/>
                <w:sz w:val="19"/>
                <w:szCs w:val="19"/>
              </w:rPr>
            </w:pPr>
            <w:r w:rsidRPr="003E20A2">
              <w:rPr>
                <w:color w:val="000000"/>
                <w:sz w:val="19"/>
                <w:szCs w:val="19"/>
              </w:rPr>
              <w:t>243 610 228,72</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268920FE" w14:textId="77777777" w:rsidR="00B57597" w:rsidRPr="003E20A2" w:rsidRDefault="00B57597" w:rsidP="001A663B">
            <w:pPr>
              <w:keepNext/>
              <w:spacing w:after="0"/>
              <w:ind w:right="57"/>
              <w:jc w:val="right"/>
              <w:rPr>
                <w:rFonts w:eastAsia="Calibri" w:cs="Calibri"/>
                <w:color w:val="000000"/>
                <w:sz w:val="19"/>
                <w:szCs w:val="19"/>
              </w:rPr>
            </w:pPr>
            <w:r w:rsidRPr="003E20A2">
              <w:rPr>
                <w:color w:val="000000"/>
                <w:sz w:val="19"/>
                <w:szCs w:val="19"/>
              </w:rPr>
              <w:t>77 219 612,88</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75C37A60" w14:textId="340371D0" w:rsidR="00B57597" w:rsidRPr="003E20A2" w:rsidRDefault="003E20A2" w:rsidP="001A663B">
            <w:pPr>
              <w:keepNext/>
              <w:spacing w:after="0"/>
              <w:ind w:right="57"/>
              <w:jc w:val="right"/>
              <w:rPr>
                <w:rFonts w:eastAsia="Calibri" w:cs="Calibri"/>
                <w:color w:val="000000"/>
                <w:sz w:val="19"/>
                <w:szCs w:val="19"/>
              </w:rPr>
            </w:pPr>
            <w:r w:rsidRPr="003E20A2">
              <w:rPr>
                <w:rFonts w:cs="Calibri"/>
                <w:color w:val="000000"/>
                <w:sz w:val="19"/>
                <w:szCs w:val="19"/>
              </w:rPr>
              <w:t>−</w:t>
            </w:r>
            <w:r w:rsidR="00B57597" w:rsidRPr="003E20A2">
              <w:rPr>
                <w:color w:val="000000"/>
                <w:sz w:val="19"/>
                <w:szCs w:val="19"/>
              </w:rPr>
              <w:t>18 888 990,14</w:t>
            </w:r>
          </w:p>
        </w:tc>
        <w:tc>
          <w:tcPr>
            <w:tcW w:w="1531" w:type="dxa"/>
            <w:tcBorders>
              <w:top w:val="single" w:sz="4" w:space="0" w:color="auto"/>
              <w:left w:val="nil"/>
              <w:bottom w:val="single" w:sz="4" w:space="0" w:color="auto"/>
              <w:right w:val="single" w:sz="4" w:space="0" w:color="auto"/>
            </w:tcBorders>
            <w:vAlign w:val="center"/>
          </w:tcPr>
          <w:p w14:paraId="673AA75D" w14:textId="03321B19" w:rsidR="00B57597" w:rsidRPr="003E20A2" w:rsidRDefault="003E20A2" w:rsidP="001A663B">
            <w:pPr>
              <w:keepNext/>
              <w:spacing w:after="0"/>
              <w:ind w:right="57"/>
              <w:jc w:val="right"/>
              <w:rPr>
                <w:rFonts w:eastAsia="Calibri" w:cs="Calibri"/>
                <w:color w:val="000000"/>
                <w:sz w:val="19"/>
                <w:szCs w:val="19"/>
              </w:rPr>
            </w:pPr>
            <w:r w:rsidRPr="003E20A2">
              <w:rPr>
                <w:rFonts w:cs="Calibri"/>
                <w:color w:val="000000"/>
                <w:sz w:val="19"/>
                <w:szCs w:val="19"/>
              </w:rPr>
              <w:t>−</w:t>
            </w:r>
            <w:r w:rsidR="00B57597" w:rsidRPr="003E20A2">
              <w:rPr>
                <w:color w:val="000000"/>
                <w:sz w:val="19"/>
                <w:szCs w:val="19"/>
              </w:rPr>
              <w:t>55 232 617,17</w:t>
            </w:r>
          </w:p>
        </w:tc>
      </w:tr>
      <w:tr w:rsidR="00B57597" w:rsidRPr="001A663B" w14:paraId="056D9746" w14:textId="77777777" w:rsidTr="001A663B">
        <w:trPr>
          <w:trHeight w:val="255"/>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2CB95" w14:textId="77777777" w:rsidR="00B57597" w:rsidRPr="001A663B" w:rsidRDefault="00B57597" w:rsidP="001A663B">
            <w:pPr>
              <w:keepNext/>
              <w:spacing w:after="0"/>
              <w:rPr>
                <w:rFonts w:cs="Calibri"/>
                <w:bCs/>
                <w:color w:val="000000"/>
                <w:sz w:val="20"/>
                <w:szCs w:val="18"/>
                <w:lang w:eastAsia="cs-CZ"/>
              </w:rPr>
            </w:pPr>
            <w:r w:rsidRPr="001A663B">
              <w:rPr>
                <w:color w:val="000000"/>
                <w:sz w:val="20"/>
                <w:szCs w:val="18"/>
              </w:rPr>
              <w:t>Příspěvek na provoz (v Kč)</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0BB90FE3" w14:textId="77777777" w:rsidR="00B57597" w:rsidRPr="003E20A2" w:rsidRDefault="00B57597" w:rsidP="001A663B">
            <w:pPr>
              <w:keepNext/>
              <w:spacing w:after="0"/>
              <w:ind w:right="57"/>
              <w:jc w:val="right"/>
              <w:rPr>
                <w:rFonts w:eastAsia="Calibri" w:cs="Calibri"/>
                <w:color w:val="000000"/>
                <w:sz w:val="19"/>
                <w:szCs w:val="19"/>
              </w:rPr>
            </w:pPr>
            <w:r w:rsidRPr="003E20A2">
              <w:rPr>
                <w:color w:val="000000"/>
                <w:sz w:val="19"/>
                <w:szCs w:val="19"/>
              </w:rPr>
              <w:t>215 803 855,91</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55A33B80" w14:textId="34463C17" w:rsidR="00B57597" w:rsidRPr="003E20A2" w:rsidRDefault="003E20A2" w:rsidP="001A663B">
            <w:pPr>
              <w:keepNext/>
              <w:spacing w:after="0"/>
              <w:ind w:right="57"/>
              <w:jc w:val="right"/>
              <w:rPr>
                <w:rFonts w:eastAsia="Calibri" w:cs="Calibri"/>
                <w:color w:val="000000"/>
                <w:sz w:val="19"/>
                <w:szCs w:val="19"/>
              </w:rPr>
            </w:pPr>
            <w:r w:rsidRPr="003E20A2">
              <w:rPr>
                <w:rFonts w:cs="Calibri"/>
                <w:color w:val="000000"/>
                <w:sz w:val="19"/>
                <w:szCs w:val="19"/>
              </w:rPr>
              <w:t>−</w:t>
            </w:r>
            <w:r w:rsidR="00B57597" w:rsidRPr="003E20A2">
              <w:rPr>
                <w:color w:val="000000"/>
                <w:sz w:val="19"/>
                <w:szCs w:val="19"/>
              </w:rPr>
              <w:t>42 189 476,98</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722E74A4" w14:textId="057C0611" w:rsidR="00B57597" w:rsidRPr="003E20A2" w:rsidRDefault="003E20A2" w:rsidP="001A663B">
            <w:pPr>
              <w:keepNext/>
              <w:spacing w:after="0"/>
              <w:ind w:right="57"/>
              <w:jc w:val="right"/>
              <w:rPr>
                <w:rFonts w:eastAsia="Calibri" w:cs="Calibri"/>
                <w:color w:val="000000"/>
                <w:sz w:val="19"/>
                <w:szCs w:val="19"/>
              </w:rPr>
            </w:pPr>
            <w:r w:rsidRPr="003E20A2">
              <w:rPr>
                <w:rFonts w:cs="Calibri"/>
                <w:color w:val="000000"/>
                <w:sz w:val="19"/>
                <w:szCs w:val="19"/>
              </w:rPr>
              <w:t>−</w:t>
            </w:r>
            <w:r w:rsidR="00B57597" w:rsidRPr="003E20A2">
              <w:rPr>
                <w:color w:val="000000"/>
                <w:sz w:val="19"/>
                <w:szCs w:val="19"/>
              </w:rPr>
              <w:t>44 349 707,15</w:t>
            </w:r>
          </w:p>
        </w:tc>
        <w:tc>
          <w:tcPr>
            <w:tcW w:w="1531" w:type="dxa"/>
            <w:tcBorders>
              <w:top w:val="single" w:sz="4" w:space="0" w:color="auto"/>
              <w:left w:val="nil"/>
              <w:bottom w:val="single" w:sz="4" w:space="0" w:color="auto"/>
              <w:right w:val="single" w:sz="4" w:space="0" w:color="auto"/>
            </w:tcBorders>
            <w:vAlign w:val="center"/>
          </w:tcPr>
          <w:p w14:paraId="7B3D9AEE" w14:textId="02017E24" w:rsidR="00B57597" w:rsidRPr="003E20A2" w:rsidRDefault="003E20A2" w:rsidP="001A663B">
            <w:pPr>
              <w:keepNext/>
              <w:spacing w:after="0"/>
              <w:ind w:right="57"/>
              <w:jc w:val="right"/>
              <w:rPr>
                <w:rFonts w:eastAsia="Calibri" w:cs="Calibri"/>
                <w:color w:val="000000"/>
                <w:sz w:val="19"/>
                <w:szCs w:val="19"/>
              </w:rPr>
            </w:pPr>
            <w:r w:rsidRPr="003E20A2">
              <w:rPr>
                <w:rFonts w:cs="Calibri"/>
                <w:color w:val="000000"/>
                <w:sz w:val="19"/>
                <w:szCs w:val="19"/>
              </w:rPr>
              <w:t>−</w:t>
            </w:r>
            <w:r w:rsidR="00B57597" w:rsidRPr="003E20A2">
              <w:rPr>
                <w:color w:val="000000"/>
                <w:sz w:val="19"/>
                <w:szCs w:val="19"/>
              </w:rPr>
              <w:t>8 578 761,73</w:t>
            </w:r>
          </w:p>
        </w:tc>
      </w:tr>
      <w:tr w:rsidR="00B57597" w:rsidRPr="001A663B" w14:paraId="49B3ACA2" w14:textId="77777777" w:rsidTr="001A663B">
        <w:trPr>
          <w:trHeight w:val="255"/>
        </w:trPr>
        <w:tc>
          <w:tcPr>
            <w:tcW w:w="3118" w:type="dxa"/>
            <w:tcBorders>
              <w:top w:val="single" w:sz="4" w:space="0" w:color="auto"/>
              <w:left w:val="single" w:sz="4" w:space="0" w:color="auto"/>
              <w:bottom w:val="single" w:sz="4" w:space="0" w:color="auto"/>
              <w:right w:val="single" w:sz="4" w:space="0" w:color="auto"/>
            </w:tcBorders>
            <w:shd w:val="clear" w:color="auto" w:fill="E5F1FF"/>
            <w:noWrap/>
            <w:vAlign w:val="center"/>
          </w:tcPr>
          <w:p w14:paraId="585100D1" w14:textId="0E50D4E4" w:rsidR="00B57597" w:rsidRPr="001A663B" w:rsidRDefault="00B57597" w:rsidP="001A663B">
            <w:pPr>
              <w:keepNext/>
              <w:spacing w:after="0"/>
              <w:rPr>
                <w:rFonts w:cs="Calibri"/>
                <w:b/>
                <w:bCs/>
                <w:color w:val="000000"/>
                <w:sz w:val="20"/>
                <w:szCs w:val="18"/>
                <w:lang w:eastAsia="cs-CZ"/>
              </w:rPr>
            </w:pPr>
            <w:r w:rsidRPr="001A663B">
              <w:rPr>
                <w:b/>
                <w:bCs/>
                <w:color w:val="000000"/>
                <w:sz w:val="20"/>
                <w:szCs w:val="18"/>
              </w:rPr>
              <w:t>Tempo růstu v % (relativní změna) (((x+1)</w:t>
            </w:r>
            <w:r w:rsidR="003E20A2">
              <w:rPr>
                <w:rFonts w:cs="Calibri"/>
                <w:b/>
                <w:bCs/>
                <w:color w:val="000000"/>
                <w:sz w:val="20"/>
                <w:szCs w:val="18"/>
              </w:rPr>
              <w:t>−</w:t>
            </w:r>
            <w:r w:rsidRPr="001A663B">
              <w:rPr>
                <w:b/>
                <w:bCs/>
                <w:color w:val="000000"/>
                <w:sz w:val="20"/>
                <w:szCs w:val="18"/>
              </w:rPr>
              <w:t>x)/x)*100</w:t>
            </w:r>
          </w:p>
        </w:tc>
        <w:tc>
          <w:tcPr>
            <w:tcW w:w="1474" w:type="dxa"/>
            <w:tcBorders>
              <w:top w:val="single" w:sz="4" w:space="0" w:color="auto"/>
              <w:left w:val="nil"/>
              <w:bottom w:val="single" w:sz="4" w:space="0" w:color="auto"/>
              <w:right w:val="single" w:sz="4" w:space="0" w:color="auto"/>
            </w:tcBorders>
            <w:shd w:val="clear" w:color="auto" w:fill="E5F1FF"/>
            <w:noWrap/>
            <w:vAlign w:val="center"/>
          </w:tcPr>
          <w:p w14:paraId="36992818" w14:textId="77777777" w:rsidR="00B57597" w:rsidRPr="001A663B" w:rsidRDefault="00B57597" w:rsidP="001A663B">
            <w:pPr>
              <w:keepNext/>
              <w:spacing w:after="0"/>
              <w:jc w:val="center"/>
              <w:rPr>
                <w:rFonts w:eastAsia="Calibri" w:cs="Calibri"/>
                <w:b/>
                <w:color w:val="000000"/>
                <w:sz w:val="20"/>
                <w:szCs w:val="18"/>
              </w:rPr>
            </w:pPr>
            <w:r w:rsidRPr="001A663B">
              <w:rPr>
                <w:b/>
                <w:bCs/>
                <w:color w:val="000000"/>
                <w:sz w:val="20"/>
                <w:szCs w:val="18"/>
              </w:rPr>
              <w:t>2017/2016</w:t>
            </w:r>
          </w:p>
        </w:tc>
        <w:tc>
          <w:tcPr>
            <w:tcW w:w="1474" w:type="dxa"/>
            <w:tcBorders>
              <w:top w:val="single" w:sz="4" w:space="0" w:color="auto"/>
              <w:left w:val="nil"/>
              <w:bottom w:val="single" w:sz="4" w:space="0" w:color="auto"/>
              <w:right w:val="single" w:sz="4" w:space="0" w:color="auto"/>
            </w:tcBorders>
            <w:shd w:val="clear" w:color="auto" w:fill="E5F1FF"/>
            <w:noWrap/>
            <w:vAlign w:val="center"/>
          </w:tcPr>
          <w:p w14:paraId="2CA3F637" w14:textId="77777777" w:rsidR="00B57597" w:rsidRPr="001A663B" w:rsidRDefault="00B57597" w:rsidP="001A663B">
            <w:pPr>
              <w:keepNext/>
              <w:spacing w:after="0"/>
              <w:jc w:val="center"/>
              <w:rPr>
                <w:rFonts w:eastAsia="Calibri" w:cs="Calibri"/>
                <w:b/>
                <w:color w:val="000000"/>
                <w:sz w:val="20"/>
                <w:szCs w:val="18"/>
              </w:rPr>
            </w:pPr>
            <w:r w:rsidRPr="001A663B">
              <w:rPr>
                <w:b/>
                <w:bCs/>
                <w:color w:val="000000"/>
                <w:sz w:val="20"/>
                <w:szCs w:val="18"/>
              </w:rPr>
              <w:t>2018/2017</w:t>
            </w:r>
          </w:p>
        </w:tc>
        <w:tc>
          <w:tcPr>
            <w:tcW w:w="1474" w:type="dxa"/>
            <w:tcBorders>
              <w:top w:val="single" w:sz="4" w:space="0" w:color="auto"/>
              <w:left w:val="nil"/>
              <w:bottom w:val="single" w:sz="4" w:space="0" w:color="auto"/>
              <w:right w:val="single" w:sz="4" w:space="0" w:color="auto"/>
            </w:tcBorders>
            <w:shd w:val="clear" w:color="auto" w:fill="E5F1FF"/>
            <w:noWrap/>
            <w:vAlign w:val="center"/>
          </w:tcPr>
          <w:p w14:paraId="29295920" w14:textId="77777777" w:rsidR="00B57597" w:rsidRPr="001A663B" w:rsidRDefault="00B57597" w:rsidP="001A663B">
            <w:pPr>
              <w:keepNext/>
              <w:spacing w:after="0"/>
              <w:jc w:val="center"/>
              <w:rPr>
                <w:rFonts w:eastAsia="Calibri" w:cs="Calibri"/>
                <w:b/>
                <w:color w:val="000000"/>
                <w:sz w:val="20"/>
                <w:szCs w:val="18"/>
              </w:rPr>
            </w:pPr>
            <w:r w:rsidRPr="001A663B">
              <w:rPr>
                <w:b/>
                <w:bCs/>
                <w:color w:val="000000"/>
                <w:sz w:val="20"/>
                <w:szCs w:val="18"/>
              </w:rPr>
              <w:t>2019/2018</w:t>
            </w:r>
          </w:p>
        </w:tc>
        <w:tc>
          <w:tcPr>
            <w:tcW w:w="1531" w:type="dxa"/>
            <w:tcBorders>
              <w:top w:val="single" w:sz="4" w:space="0" w:color="auto"/>
              <w:left w:val="nil"/>
              <w:bottom w:val="single" w:sz="4" w:space="0" w:color="auto"/>
              <w:right w:val="single" w:sz="4" w:space="0" w:color="auto"/>
            </w:tcBorders>
            <w:shd w:val="clear" w:color="auto" w:fill="E5F1FF"/>
            <w:vAlign w:val="center"/>
          </w:tcPr>
          <w:p w14:paraId="324CDC7E" w14:textId="77777777" w:rsidR="00B57597" w:rsidRPr="001A663B" w:rsidRDefault="00B57597" w:rsidP="001A663B">
            <w:pPr>
              <w:keepNext/>
              <w:spacing w:after="0"/>
              <w:jc w:val="center"/>
              <w:rPr>
                <w:rFonts w:eastAsia="Calibri" w:cs="Calibri"/>
                <w:b/>
                <w:color w:val="000000"/>
                <w:sz w:val="20"/>
                <w:szCs w:val="18"/>
              </w:rPr>
            </w:pPr>
            <w:r w:rsidRPr="001A663B">
              <w:rPr>
                <w:b/>
                <w:bCs/>
                <w:color w:val="000000"/>
                <w:sz w:val="20"/>
                <w:szCs w:val="18"/>
              </w:rPr>
              <w:t>2020/2019</w:t>
            </w:r>
          </w:p>
        </w:tc>
      </w:tr>
      <w:tr w:rsidR="00B57597" w:rsidRPr="001A663B" w14:paraId="3D8D4C64" w14:textId="77777777" w:rsidTr="001A663B">
        <w:trPr>
          <w:trHeight w:val="255"/>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29B0C" w14:textId="77777777" w:rsidR="00B57597" w:rsidRPr="001A663B" w:rsidRDefault="00B57597" w:rsidP="001A663B">
            <w:pPr>
              <w:keepNext/>
              <w:spacing w:after="0"/>
              <w:rPr>
                <w:rFonts w:cs="Calibri"/>
                <w:bCs/>
                <w:color w:val="000000"/>
                <w:sz w:val="20"/>
                <w:szCs w:val="18"/>
                <w:lang w:eastAsia="cs-CZ"/>
              </w:rPr>
            </w:pPr>
            <w:r w:rsidRPr="001A663B">
              <w:rPr>
                <w:color w:val="000000"/>
                <w:sz w:val="20"/>
                <w:szCs w:val="18"/>
              </w:rPr>
              <w:t>Výnosy celkem</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5232C6D1" w14:textId="44E092A6" w:rsidR="00B57597" w:rsidRPr="003E20A2" w:rsidRDefault="00B57597" w:rsidP="001A663B">
            <w:pPr>
              <w:keepNext/>
              <w:spacing w:after="0"/>
              <w:ind w:right="170"/>
              <w:jc w:val="right"/>
              <w:rPr>
                <w:rFonts w:eastAsia="Calibri" w:cs="Calibri"/>
                <w:color w:val="000000"/>
                <w:sz w:val="19"/>
                <w:szCs w:val="19"/>
              </w:rPr>
            </w:pPr>
            <w:r w:rsidRPr="003E20A2">
              <w:rPr>
                <w:color w:val="000000"/>
                <w:sz w:val="19"/>
                <w:szCs w:val="19"/>
              </w:rPr>
              <w:t>22,58</w:t>
            </w:r>
            <w:r w:rsidR="003E20A2">
              <w:rPr>
                <w:color w:val="000000"/>
                <w:sz w:val="19"/>
                <w:szCs w:val="19"/>
              </w:rPr>
              <w:t> </w:t>
            </w:r>
            <w:r w:rsidRPr="003E20A2">
              <w:rPr>
                <w:color w:val="000000"/>
                <w:sz w:val="19"/>
                <w:szCs w:val="19"/>
              </w:rPr>
              <w:t>%</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01022742" w14:textId="7225DA36" w:rsidR="00B57597" w:rsidRPr="003E20A2" w:rsidRDefault="00B57597" w:rsidP="001A663B">
            <w:pPr>
              <w:keepNext/>
              <w:spacing w:after="0"/>
              <w:ind w:right="170"/>
              <w:jc w:val="right"/>
              <w:rPr>
                <w:rFonts w:eastAsia="Calibri" w:cs="Calibri"/>
                <w:color w:val="000000"/>
                <w:sz w:val="19"/>
                <w:szCs w:val="19"/>
              </w:rPr>
            </w:pPr>
            <w:r w:rsidRPr="003E20A2">
              <w:rPr>
                <w:color w:val="000000"/>
                <w:sz w:val="19"/>
                <w:szCs w:val="19"/>
              </w:rPr>
              <w:t>12,04</w:t>
            </w:r>
            <w:r w:rsidR="003E20A2">
              <w:rPr>
                <w:color w:val="000000"/>
                <w:sz w:val="19"/>
                <w:szCs w:val="19"/>
              </w:rPr>
              <w:t> </w:t>
            </w:r>
            <w:r w:rsidRPr="003E20A2">
              <w:rPr>
                <w:color w:val="000000"/>
                <w:sz w:val="19"/>
                <w:szCs w:val="19"/>
              </w:rPr>
              <w:t>%</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4AA8AE99" w14:textId="19262857" w:rsidR="00B57597" w:rsidRPr="003E20A2" w:rsidRDefault="00B57597" w:rsidP="001A663B">
            <w:pPr>
              <w:keepNext/>
              <w:spacing w:after="0"/>
              <w:ind w:right="170"/>
              <w:jc w:val="right"/>
              <w:rPr>
                <w:rFonts w:eastAsia="Calibri" w:cs="Calibri"/>
                <w:color w:val="000000"/>
                <w:sz w:val="19"/>
                <w:szCs w:val="19"/>
              </w:rPr>
            </w:pPr>
            <w:r w:rsidRPr="003E20A2">
              <w:rPr>
                <w:color w:val="000000"/>
                <w:sz w:val="19"/>
                <w:szCs w:val="19"/>
              </w:rPr>
              <w:t>2,03</w:t>
            </w:r>
            <w:r w:rsidR="003E20A2">
              <w:rPr>
                <w:color w:val="000000"/>
                <w:sz w:val="19"/>
                <w:szCs w:val="19"/>
              </w:rPr>
              <w:t> </w:t>
            </w:r>
            <w:r w:rsidRPr="003E20A2">
              <w:rPr>
                <w:color w:val="000000"/>
                <w:sz w:val="19"/>
                <w:szCs w:val="19"/>
              </w:rPr>
              <w:t>%</w:t>
            </w:r>
          </w:p>
        </w:tc>
        <w:tc>
          <w:tcPr>
            <w:tcW w:w="1531" w:type="dxa"/>
            <w:tcBorders>
              <w:top w:val="single" w:sz="4" w:space="0" w:color="auto"/>
              <w:left w:val="nil"/>
              <w:bottom w:val="single" w:sz="4" w:space="0" w:color="auto"/>
              <w:right w:val="single" w:sz="4" w:space="0" w:color="auto"/>
            </w:tcBorders>
            <w:vAlign w:val="center"/>
          </w:tcPr>
          <w:p w14:paraId="443EF016" w14:textId="4E03EFF1" w:rsidR="00B57597" w:rsidRPr="003E20A2" w:rsidRDefault="003E20A2" w:rsidP="001A663B">
            <w:pPr>
              <w:keepNext/>
              <w:spacing w:after="0"/>
              <w:ind w:right="170"/>
              <w:jc w:val="right"/>
              <w:rPr>
                <w:rFonts w:eastAsia="Calibri" w:cs="Calibri"/>
                <w:color w:val="000000"/>
                <w:sz w:val="19"/>
                <w:szCs w:val="19"/>
              </w:rPr>
            </w:pPr>
            <w:r>
              <w:rPr>
                <w:rFonts w:cs="Calibri"/>
                <w:color w:val="000000"/>
                <w:sz w:val="19"/>
                <w:szCs w:val="19"/>
              </w:rPr>
              <w:t>−</w:t>
            </w:r>
            <w:r w:rsidR="00B57597" w:rsidRPr="003E20A2">
              <w:rPr>
                <w:color w:val="000000"/>
                <w:sz w:val="19"/>
                <w:szCs w:val="19"/>
              </w:rPr>
              <w:t>6,24</w:t>
            </w:r>
            <w:r>
              <w:rPr>
                <w:color w:val="000000"/>
                <w:sz w:val="19"/>
                <w:szCs w:val="19"/>
              </w:rPr>
              <w:t> </w:t>
            </w:r>
            <w:r w:rsidR="00B57597" w:rsidRPr="003E20A2">
              <w:rPr>
                <w:color w:val="000000"/>
                <w:sz w:val="19"/>
                <w:szCs w:val="19"/>
              </w:rPr>
              <w:t>%</w:t>
            </w:r>
          </w:p>
        </w:tc>
      </w:tr>
      <w:tr w:rsidR="00B57597" w:rsidRPr="001A663B" w14:paraId="3562A0AE" w14:textId="77777777" w:rsidTr="001A663B">
        <w:trPr>
          <w:trHeight w:val="255"/>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86E58" w14:textId="77777777" w:rsidR="00B57597" w:rsidRPr="001A663B" w:rsidRDefault="00B57597" w:rsidP="001A663B">
            <w:pPr>
              <w:keepNext/>
              <w:spacing w:after="0"/>
              <w:rPr>
                <w:rFonts w:cs="Calibri"/>
                <w:bCs/>
                <w:color w:val="000000"/>
                <w:sz w:val="20"/>
                <w:szCs w:val="18"/>
                <w:lang w:eastAsia="cs-CZ"/>
              </w:rPr>
            </w:pPr>
            <w:r w:rsidRPr="001A663B">
              <w:rPr>
                <w:color w:val="000000"/>
                <w:sz w:val="20"/>
                <w:szCs w:val="18"/>
              </w:rPr>
              <w:t>Výnosy transferové (účet 671)</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6E6E13E3" w14:textId="7666C39E" w:rsidR="00B57597" w:rsidRPr="003E20A2" w:rsidRDefault="00B57597" w:rsidP="001A663B">
            <w:pPr>
              <w:keepNext/>
              <w:spacing w:after="0"/>
              <w:ind w:right="170"/>
              <w:jc w:val="right"/>
              <w:rPr>
                <w:rFonts w:eastAsia="Calibri" w:cs="Calibri"/>
                <w:color w:val="000000"/>
                <w:sz w:val="19"/>
                <w:szCs w:val="19"/>
              </w:rPr>
            </w:pPr>
            <w:r w:rsidRPr="003E20A2">
              <w:rPr>
                <w:color w:val="000000"/>
                <w:sz w:val="19"/>
                <w:szCs w:val="19"/>
              </w:rPr>
              <w:t>32,03</w:t>
            </w:r>
            <w:r w:rsidR="003E20A2">
              <w:rPr>
                <w:color w:val="000000"/>
                <w:sz w:val="19"/>
                <w:szCs w:val="19"/>
              </w:rPr>
              <w:t> </w:t>
            </w:r>
            <w:r w:rsidRPr="003E20A2">
              <w:rPr>
                <w:color w:val="000000"/>
                <w:sz w:val="19"/>
                <w:szCs w:val="19"/>
              </w:rPr>
              <w:t>%</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0FFDD74A" w14:textId="3131331E" w:rsidR="00B57597" w:rsidRPr="003E20A2" w:rsidRDefault="00B57597" w:rsidP="001A663B">
            <w:pPr>
              <w:keepNext/>
              <w:spacing w:after="0"/>
              <w:ind w:right="170"/>
              <w:jc w:val="right"/>
              <w:rPr>
                <w:rFonts w:eastAsia="Calibri" w:cs="Calibri"/>
                <w:color w:val="000000"/>
                <w:sz w:val="19"/>
                <w:szCs w:val="19"/>
              </w:rPr>
            </w:pPr>
            <w:r w:rsidRPr="003E20A2">
              <w:rPr>
                <w:color w:val="000000"/>
                <w:sz w:val="19"/>
                <w:szCs w:val="19"/>
              </w:rPr>
              <w:t>7,69</w:t>
            </w:r>
            <w:r w:rsidR="003E20A2">
              <w:rPr>
                <w:color w:val="000000"/>
                <w:sz w:val="19"/>
                <w:szCs w:val="19"/>
              </w:rPr>
              <w:t> </w:t>
            </w:r>
            <w:r w:rsidRPr="003E20A2">
              <w:rPr>
                <w:color w:val="000000"/>
                <w:sz w:val="19"/>
                <w:szCs w:val="19"/>
              </w:rPr>
              <w:t>%</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1838F40C" w14:textId="0818DB7A" w:rsidR="00B57597" w:rsidRPr="003E20A2" w:rsidRDefault="003E20A2" w:rsidP="001A663B">
            <w:pPr>
              <w:keepNext/>
              <w:spacing w:after="0"/>
              <w:ind w:right="170"/>
              <w:jc w:val="right"/>
              <w:rPr>
                <w:rFonts w:eastAsia="Calibri" w:cs="Calibri"/>
                <w:color w:val="000000"/>
                <w:sz w:val="19"/>
                <w:szCs w:val="19"/>
              </w:rPr>
            </w:pPr>
            <w:r>
              <w:rPr>
                <w:rFonts w:cs="Calibri"/>
                <w:color w:val="000000"/>
                <w:sz w:val="19"/>
                <w:szCs w:val="19"/>
              </w:rPr>
              <w:t>−</w:t>
            </w:r>
            <w:r w:rsidR="00B57597" w:rsidRPr="003E20A2">
              <w:rPr>
                <w:color w:val="000000"/>
                <w:sz w:val="19"/>
                <w:szCs w:val="19"/>
              </w:rPr>
              <w:t>1,75</w:t>
            </w:r>
            <w:r>
              <w:rPr>
                <w:color w:val="000000"/>
                <w:sz w:val="19"/>
                <w:szCs w:val="19"/>
              </w:rPr>
              <w:t> </w:t>
            </w:r>
            <w:r w:rsidR="00B57597" w:rsidRPr="003E20A2">
              <w:rPr>
                <w:color w:val="000000"/>
                <w:sz w:val="19"/>
                <w:szCs w:val="19"/>
              </w:rPr>
              <w:t>%</w:t>
            </w:r>
          </w:p>
        </w:tc>
        <w:tc>
          <w:tcPr>
            <w:tcW w:w="1531" w:type="dxa"/>
            <w:tcBorders>
              <w:top w:val="single" w:sz="4" w:space="0" w:color="auto"/>
              <w:left w:val="nil"/>
              <w:bottom w:val="single" w:sz="4" w:space="0" w:color="auto"/>
              <w:right w:val="single" w:sz="4" w:space="0" w:color="auto"/>
            </w:tcBorders>
            <w:vAlign w:val="center"/>
          </w:tcPr>
          <w:p w14:paraId="5BF732BF" w14:textId="3CA89284" w:rsidR="00B57597" w:rsidRPr="003E20A2" w:rsidRDefault="003E20A2" w:rsidP="001A663B">
            <w:pPr>
              <w:keepNext/>
              <w:spacing w:after="0"/>
              <w:ind w:right="170"/>
              <w:jc w:val="right"/>
              <w:rPr>
                <w:rFonts w:eastAsia="Calibri" w:cs="Calibri"/>
                <w:color w:val="000000"/>
                <w:sz w:val="19"/>
                <w:szCs w:val="19"/>
              </w:rPr>
            </w:pPr>
            <w:r>
              <w:rPr>
                <w:rFonts w:cs="Calibri"/>
                <w:color w:val="000000"/>
                <w:sz w:val="19"/>
                <w:szCs w:val="19"/>
              </w:rPr>
              <w:t>−</w:t>
            </w:r>
            <w:r w:rsidR="00B57597" w:rsidRPr="003E20A2">
              <w:rPr>
                <w:color w:val="000000"/>
                <w:sz w:val="19"/>
                <w:szCs w:val="19"/>
              </w:rPr>
              <w:t>5,20</w:t>
            </w:r>
            <w:r>
              <w:rPr>
                <w:color w:val="000000"/>
                <w:sz w:val="19"/>
                <w:szCs w:val="19"/>
              </w:rPr>
              <w:t> </w:t>
            </w:r>
            <w:r w:rsidR="00B57597" w:rsidRPr="003E20A2">
              <w:rPr>
                <w:color w:val="000000"/>
                <w:sz w:val="19"/>
                <w:szCs w:val="19"/>
              </w:rPr>
              <w:t>%</w:t>
            </w:r>
          </w:p>
        </w:tc>
      </w:tr>
      <w:tr w:rsidR="00B57597" w:rsidRPr="001A663B" w14:paraId="337493A9" w14:textId="77777777" w:rsidTr="001A663B">
        <w:trPr>
          <w:trHeight w:val="255"/>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AFE24" w14:textId="77777777" w:rsidR="00B57597" w:rsidRPr="001A663B" w:rsidRDefault="00B57597" w:rsidP="001A663B">
            <w:pPr>
              <w:keepNext/>
              <w:spacing w:after="0"/>
              <w:rPr>
                <w:rFonts w:cs="Calibri"/>
                <w:bCs/>
                <w:color w:val="000000"/>
                <w:sz w:val="20"/>
                <w:szCs w:val="18"/>
                <w:lang w:eastAsia="cs-CZ"/>
              </w:rPr>
            </w:pPr>
            <w:r w:rsidRPr="001A663B">
              <w:rPr>
                <w:color w:val="000000"/>
                <w:sz w:val="20"/>
                <w:szCs w:val="18"/>
              </w:rPr>
              <w:t>Příspěvek na provoz</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57B47721" w14:textId="3ED7A6C6" w:rsidR="00B57597" w:rsidRPr="003E20A2" w:rsidRDefault="00B57597" w:rsidP="001A663B">
            <w:pPr>
              <w:keepNext/>
              <w:spacing w:after="0"/>
              <w:ind w:right="170"/>
              <w:jc w:val="right"/>
              <w:rPr>
                <w:rFonts w:eastAsia="Calibri" w:cs="Calibri"/>
                <w:color w:val="000000"/>
                <w:sz w:val="19"/>
                <w:szCs w:val="19"/>
              </w:rPr>
            </w:pPr>
            <w:r w:rsidRPr="003E20A2">
              <w:rPr>
                <w:color w:val="000000"/>
                <w:sz w:val="19"/>
                <w:szCs w:val="19"/>
              </w:rPr>
              <w:t>39,57</w:t>
            </w:r>
            <w:r w:rsidR="003E20A2">
              <w:rPr>
                <w:color w:val="000000"/>
                <w:sz w:val="19"/>
                <w:szCs w:val="19"/>
              </w:rPr>
              <w:t> </w:t>
            </w:r>
            <w:r w:rsidRPr="003E20A2">
              <w:rPr>
                <w:color w:val="000000"/>
                <w:sz w:val="19"/>
                <w:szCs w:val="19"/>
              </w:rPr>
              <w:t>%</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414B14D7" w14:textId="2A099876" w:rsidR="00B57597" w:rsidRPr="003E20A2" w:rsidRDefault="003E20A2" w:rsidP="001A663B">
            <w:pPr>
              <w:keepNext/>
              <w:spacing w:after="0"/>
              <w:ind w:right="170"/>
              <w:jc w:val="right"/>
              <w:rPr>
                <w:rFonts w:eastAsia="Calibri" w:cs="Calibri"/>
                <w:color w:val="000000"/>
                <w:sz w:val="19"/>
                <w:szCs w:val="19"/>
              </w:rPr>
            </w:pPr>
            <w:r>
              <w:rPr>
                <w:rFonts w:cs="Calibri"/>
                <w:color w:val="000000"/>
                <w:sz w:val="19"/>
                <w:szCs w:val="19"/>
              </w:rPr>
              <w:t>−</w:t>
            </w:r>
            <w:r w:rsidR="00B57597" w:rsidRPr="003E20A2">
              <w:rPr>
                <w:color w:val="000000"/>
                <w:sz w:val="19"/>
                <w:szCs w:val="19"/>
              </w:rPr>
              <w:t>5,54</w:t>
            </w:r>
            <w:r>
              <w:rPr>
                <w:color w:val="000000"/>
                <w:sz w:val="19"/>
                <w:szCs w:val="19"/>
              </w:rPr>
              <w:t> </w:t>
            </w:r>
            <w:r w:rsidR="00B57597" w:rsidRPr="003E20A2">
              <w:rPr>
                <w:color w:val="000000"/>
                <w:sz w:val="19"/>
                <w:szCs w:val="19"/>
              </w:rPr>
              <w:t>%</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786B4C80" w14:textId="4D2ABDC9" w:rsidR="00B57597" w:rsidRPr="003E20A2" w:rsidRDefault="003E20A2" w:rsidP="001A663B">
            <w:pPr>
              <w:keepNext/>
              <w:spacing w:after="0"/>
              <w:ind w:right="170"/>
              <w:jc w:val="right"/>
              <w:rPr>
                <w:rFonts w:eastAsia="Calibri" w:cs="Calibri"/>
                <w:color w:val="000000"/>
                <w:sz w:val="19"/>
                <w:szCs w:val="19"/>
              </w:rPr>
            </w:pPr>
            <w:r>
              <w:rPr>
                <w:rFonts w:cs="Calibri"/>
                <w:color w:val="000000"/>
                <w:sz w:val="19"/>
                <w:szCs w:val="19"/>
              </w:rPr>
              <w:t>−</w:t>
            </w:r>
            <w:r w:rsidR="00B57597" w:rsidRPr="003E20A2">
              <w:rPr>
                <w:color w:val="000000"/>
                <w:sz w:val="19"/>
                <w:szCs w:val="19"/>
              </w:rPr>
              <w:t>6,17</w:t>
            </w:r>
            <w:r>
              <w:rPr>
                <w:color w:val="000000"/>
                <w:sz w:val="19"/>
                <w:szCs w:val="19"/>
              </w:rPr>
              <w:t> </w:t>
            </w:r>
            <w:r w:rsidR="00B57597" w:rsidRPr="003E20A2">
              <w:rPr>
                <w:color w:val="000000"/>
                <w:sz w:val="19"/>
                <w:szCs w:val="19"/>
              </w:rPr>
              <w:t>%</w:t>
            </w:r>
          </w:p>
        </w:tc>
        <w:tc>
          <w:tcPr>
            <w:tcW w:w="1531" w:type="dxa"/>
            <w:tcBorders>
              <w:top w:val="single" w:sz="4" w:space="0" w:color="auto"/>
              <w:left w:val="nil"/>
              <w:bottom w:val="single" w:sz="4" w:space="0" w:color="auto"/>
              <w:right w:val="single" w:sz="4" w:space="0" w:color="auto"/>
            </w:tcBorders>
            <w:vAlign w:val="center"/>
          </w:tcPr>
          <w:p w14:paraId="4762C6E1" w14:textId="7BBF9677" w:rsidR="00B57597" w:rsidRPr="003E20A2" w:rsidRDefault="003E20A2" w:rsidP="001A663B">
            <w:pPr>
              <w:keepNext/>
              <w:spacing w:after="0"/>
              <w:ind w:right="170"/>
              <w:jc w:val="right"/>
              <w:rPr>
                <w:rFonts w:eastAsia="Calibri" w:cs="Calibri"/>
                <w:color w:val="000000"/>
                <w:sz w:val="19"/>
                <w:szCs w:val="19"/>
              </w:rPr>
            </w:pPr>
            <w:r>
              <w:rPr>
                <w:rFonts w:cs="Calibri"/>
                <w:color w:val="000000"/>
                <w:sz w:val="19"/>
                <w:szCs w:val="19"/>
              </w:rPr>
              <w:t>−</w:t>
            </w:r>
            <w:r w:rsidR="00B57597" w:rsidRPr="003E20A2">
              <w:rPr>
                <w:color w:val="000000"/>
                <w:sz w:val="19"/>
                <w:szCs w:val="19"/>
              </w:rPr>
              <w:t>1,27</w:t>
            </w:r>
            <w:r>
              <w:rPr>
                <w:color w:val="000000"/>
                <w:sz w:val="19"/>
                <w:szCs w:val="19"/>
              </w:rPr>
              <w:t> </w:t>
            </w:r>
            <w:r w:rsidR="00B57597" w:rsidRPr="003E20A2">
              <w:rPr>
                <w:color w:val="000000"/>
                <w:sz w:val="19"/>
                <w:szCs w:val="19"/>
              </w:rPr>
              <w:t>%</w:t>
            </w:r>
          </w:p>
        </w:tc>
      </w:tr>
    </w:tbl>
    <w:p w14:paraId="1A517FC8" w14:textId="77777777" w:rsidR="00B57597" w:rsidRPr="00716C19" w:rsidRDefault="00B57597" w:rsidP="001A663B">
      <w:pPr>
        <w:spacing w:before="40"/>
        <w:rPr>
          <w:rFonts w:cs="Calibri"/>
          <w:color w:val="000000"/>
          <w:sz w:val="20"/>
          <w:szCs w:val="20"/>
          <w:lang w:eastAsia="cs-CZ"/>
        </w:rPr>
      </w:pPr>
      <w:r w:rsidRPr="00716C19">
        <w:rPr>
          <w:rFonts w:cs="Calibri"/>
          <w:b/>
          <w:color w:val="000000"/>
          <w:sz w:val="20"/>
          <w:szCs w:val="20"/>
          <w:lang w:eastAsia="cs-CZ"/>
        </w:rPr>
        <w:t xml:space="preserve">Zdroj: </w:t>
      </w:r>
      <w:r w:rsidRPr="00716C19">
        <w:rPr>
          <w:rFonts w:cs="Calibri"/>
          <w:color w:val="000000"/>
          <w:sz w:val="20"/>
          <w:szCs w:val="20"/>
          <w:lang w:eastAsia="cs-CZ"/>
        </w:rPr>
        <w:t xml:space="preserve">výpočet </w:t>
      </w:r>
      <w:r>
        <w:rPr>
          <w:rFonts w:cs="Calibri"/>
          <w:color w:val="000000"/>
          <w:sz w:val="20"/>
          <w:szCs w:val="20"/>
          <w:lang w:eastAsia="cs-CZ"/>
        </w:rPr>
        <w:t>vypracoval NKÚ</w:t>
      </w:r>
      <w:r w:rsidRPr="00716C19">
        <w:rPr>
          <w:rFonts w:cs="Calibri"/>
          <w:color w:val="000000"/>
          <w:sz w:val="20"/>
          <w:szCs w:val="20"/>
          <w:lang w:eastAsia="cs-CZ"/>
        </w:rPr>
        <w:t>.</w:t>
      </w:r>
    </w:p>
    <w:p w14:paraId="47973988" w14:textId="2A8F3128" w:rsidR="00165E7D" w:rsidRDefault="00165E7D">
      <w:pPr>
        <w:spacing w:after="160" w:line="259" w:lineRule="auto"/>
        <w:rPr>
          <w:rFonts w:asciiTheme="minorHAnsi" w:eastAsiaTheme="minorHAnsi" w:hAnsiTheme="minorHAnsi" w:cstheme="minorHAnsi"/>
        </w:rPr>
      </w:pPr>
      <w:r>
        <w:rPr>
          <w:rFonts w:asciiTheme="minorHAnsi" w:eastAsiaTheme="minorHAnsi" w:hAnsiTheme="minorHAnsi" w:cstheme="minorHAnsi"/>
        </w:rPr>
        <w:br w:type="page"/>
      </w:r>
    </w:p>
    <w:p w14:paraId="525D8F91" w14:textId="79776775" w:rsidR="00B57597" w:rsidRPr="00165E7D" w:rsidRDefault="00165E7D" w:rsidP="00165E7D">
      <w:pPr>
        <w:jc w:val="right"/>
        <w:rPr>
          <w:rFonts w:asciiTheme="minorHAnsi" w:eastAsiaTheme="minorHAnsi" w:hAnsiTheme="minorHAnsi" w:cstheme="minorHAnsi"/>
          <w:b/>
        </w:rPr>
      </w:pPr>
      <w:r w:rsidRPr="00165E7D">
        <w:rPr>
          <w:rFonts w:asciiTheme="minorHAnsi" w:eastAsiaTheme="minorHAnsi" w:hAnsiTheme="minorHAnsi" w:cstheme="minorHAnsi"/>
          <w:b/>
        </w:rPr>
        <w:lastRenderedPageBreak/>
        <w:t>Příloha č. 2</w:t>
      </w:r>
    </w:p>
    <w:p w14:paraId="79A72FD2" w14:textId="77777777" w:rsidR="00165E7D" w:rsidRDefault="00165E7D" w:rsidP="00D27360">
      <w:pPr>
        <w:spacing w:before="240" w:after="240"/>
        <w:jc w:val="center"/>
        <w:rPr>
          <w:b/>
          <w:bCs/>
          <w:iCs/>
        </w:rPr>
      </w:pPr>
      <w:r w:rsidRPr="008778A9">
        <w:rPr>
          <w:b/>
          <w:bCs/>
          <w:iCs/>
        </w:rPr>
        <w:t xml:space="preserve">Významné účetní operace způsobující rozdíl mezi saldem peněžních toků a výsledkem hospodaření MPO k 31. </w:t>
      </w:r>
      <w:r>
        <w:rPr>
          <w:b/>
          <w:bCs/>
          <w:iCs/>
        </w:rPr>
        <w:t>prosinci</w:t>
      </w:r>
      <w:r w:rsidRPr="008778A9">
        <w:rPr>
          <w:b/>
          <w:bCs/>
          <w:iCs/>
        </w:rPr>
        <w:t xml:space="preserve"> 2020 (v mil. Kč)</w:t>
      </w:r>
    </w:p>
    <w:tbl>
      <w:tblPr>
        <w:tblW w:w="915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3965"/>
        <w:gridCol w:w="1847"/>
        <w:gridCol w:w="1701"/>
        <w:gridCol w:w="1627"/>
        <w:gridCol w:w="16"/>
      </w:tblGrid>
      <w:tr w:rsidR="00165E7D" w:rsidRPr="00B650DB" w14:paraId="5E2EEF83" w14:textId="77777777" w:rsidTr="00D27360">
        <w:trPr>
          <w:trHeight w:val="283"/>
          <w:jc w:val="center"/>
        </w:trPr>
        <w:tc>
          <w:tcPr>
            <w:tcW w:w="9140" w:type="dxa"/>
            <w:gridSpan w:val="4"/>
            <w:shd w:val="clear" w:color="auto" w:fill="E5F1FF"/>
            <w:noWrap/>
            <w:tcMar>
              <w:top w:w="0" w:type="dxa"/>
              <w:left w:w="70" w:type="dxa"/>
              <w:bottom w:w="0" w:type="dxa"/>
              <w:right w:w="70" w:type="dxa"/>
            </w:tcMar>
            <w:vAlign w:val="center"/>
            <w:hideMark/>
          </w:tcPr>
          <w:p w14:paraId="13343ECF" w14:textId="77777777" w:rsidR="00165E7D" w:rsidRPr="00B650DB" w:rsidRDefault="00165E7D" w:rsidP="00B650DB">
            <w:pPr>
              <w:spacing w:after="0"/>
              <w:jc w:val="center"/>
              <w:rPr>
                <w:rFonts w:eastAsia="Calibri" w:cs="Calibri"/>
                <w:b/>
                <w:bCs/>
                <w:color w:val="000000"/>
                <w:sz w:val="20"/>
                <w:szCs w:val="20"/>
                <w:lang w:eastAsia="cs-CZ"/>
              </w:rPr>
            </w:pPr>
            <w:r w:rsidRPr="00B650DB">
              <w:rPr>
                <w:rFonts w:eastAsia="Calibri" w:cs="Calibri"/>
                <w:b/>
                <w:bCs/>
                <w:color w:val="000000"/>
                <w:sz w:val="20"/>
                <w:szCs w:val="20"/>
                <w:lang w:eastAsia="cs-CZ"/>
              </w:rPr>
              <w:t>Účetní operace způsobující rozdíl mezi příjmy a výnosy</w:t>
            </w:r>
          </w:p>
        </w:tc>
        <w:tc>
          <w:tcPr>
            <w:tcW w:w="16" w:type="dxa"/>
            <w:vAlign w:val="center"/>
            <w:hideMark/>
          </w:tcPr>
          <w:p w14:paraId="565A384E" w14:textId="77777777" w:rsidR="00165E7D" w:rsidRPr="00B650DB" w:rsidRDefault="00165E7D" w:rsidP="00B650DB">
            <w:pPr>
              <w:spacing w:after="0"/>
              <w:rPr>
                <w:rFonts w:eastAsia="Calibri" w:cs="Calibri"/>
                <w:b/>
                <w:bCs/>
                <w:color w:val="000000"/>
                <w:sz w:val="20"/>
                <w:szCs w:val="20"/>
                <w:lang w:eastAsia="cs-CZ"/>
              </w:rPr>
            </w:pPr>
          </w:p>
        </w:tc>
      </w:tr>
      <w:tr w:rsidR="00165E7D" w:rsidRPr="00B650DB" w14:paraId="67FA4A22" w14:textId="77777777" w:rsidTr="00D27360">
        <w:trPr>
          <w:trHeight w:val="283"/>
          <w:jc w:val="center"/>
        </w:trPr>
        <w:tc>
          <w:tcPr>
            <w:tcW w:w="3965" w:type="dxa"/>
            <w:shd w:val="clear" w:color="auto" w:fill="E5F1FF"/>
            <w:noWrap/>
            <w:tcMar>
              <w:top w:w="0" w:type="dxa"/>
              <w:left w:w="70" w:type="dxa"/>
              <w:bottom w:w="0" w:type="dxa"/>
              <w:right w:w="70" w:type="dxa"/>
            </w:tcMar>
            <w:vAlign w:val="center"/>
            <w:hideMark/>
          </w:tcPr>
          <w:p w14:paraId="49A75300" w14:textId="77777777" w:rsidR="00165E7D" w:rsidRPr="00B650DB" w:rsidRDefault="00165E7D" w:rsidP="00B650DB">
            <w:pPr>
              <w:spacing w:after="0"/>
              <w:rPr>
                <w:rFonts w:eastAsia="Calibri" w:cs="Calibri"/>
                <w:b/>
                <w:bCs/>
                <w:color w:val="000000"/>
                <w:sz w:val="20"/>
                <w:szCs w:val="20"/>
                <w:lang w:eastAsia="cs-CZ"/>
              </w:rPr>
            </w:pPr>
            <w:r w:rsidRPr="00B650DB">
              <w:rPr>
                <w:rFonts w:eastAsia="Calibri" w:cs="Calibri"/>
                <w:b/>
                <w:bCs/>
                <w:color w:val="000000"/>
                <w:sz w:val="20"/>
                <w:szCs w:val="20"/>
                <w:lang w:eastAsia="cs-CZ"/>
              </w:rPr>
              <w:t>Účetní operace</w:t>
            </w:r>
          </w:p>
        </w:tc>
        <w:tc>
          <w:tcPr>
            <w:tcW w:w="1847" w:type="dxa"/>
            <w:shd w:val="clear" w:color="auto" w:fill="E5F1FF"/>
            <w:noWrap/>
            <w:tcMar>
              <w:top w:w="0" w:type="dxa"/>
              <w:left w:w="70" w:type="dxa"/>
              <w:bottom w:w="0" w:type="dxa"/>
              <w:right w:w="70" w:type="dxa"/>
            </w:tcMar>
            <w:vAlign w:val="center"/>
            <w:hideMark/>
          </w:tcPr>
          <w:p w14:paraId="3327FBBF" w14:textId="77777777" w:rsidR="00165E7D" w:rsidRPr="00B650DB" w:rsidRDefault="00165E7D" w:rsidP="00B650DB">
            <w:pPr>
              <w:spacing w:after="0"/>
              <w:jc w:val="center"/>
              <w:rPr>
                <w:rFonts w:eastAsia="Calibri" w:cs="Calibri"/>
                <w:b/>
                <w:bCs/>
                <w:color w:val="000000"/>
                <w:sz w:val="20"/>
                <w:szCs w:val="20"/>
                <w:lang w:eastAsia="cs-CZ"/>
              </w:rPr>
            </w:pPr>
            <w:r w:rsidRPr="00B650DB">
              <w:rPr>
                <w:rFonts w:eastAsia="Calibri" w:cs="Calibri"/>
                <w:b/>
                <w:bCs/>
                <w:color w:val="000000"/>
                <w:sz w:val="20"/>
                <w:szCs w:val="20"/>
                <w:lang w:eastAsia="cs-CZ"/>
              </w:rPr>
              <w:t>Vliv na příjmy</w:t>
            </w:r>
          </w:p>
        </w:tc>
        <w:tc>
          <w:tcPr>
            <w:tcW w:w="1701" w:type="dxa"/>
            <w:shd w:val="clear" w:color="auto" w:fill="E5F1FF"/>
            <w:noWrap/>
            <w:tcMar>
              <w:top w:w="0" w:type="dxa"/>
              <w:left w:w="70" w:type="dxa"/>
              <w:bottom w:w="0" w:type="dxa"/>
              <w:right w:w="70" w:type="dxa"/>
            </w:tcMar>
            <w:vAlign w:val="center"/>
            <w:hideMark/>
          </w:tcPr>
          <w:p w14:paraId="1FF19293" w14:textId="77777777" w:rsidR="00165E7D" w:rsidRPr="00B650DB" w:rsidRDefault="00165E7D" w:rsidP="00B650DB">
            <w:pPr>
              <w:spacing w:after="0"/>
              <w:jc w:val="center"/>
              <w:rPr>
                <w:rFonts w:eastAsia="Calibri" w:cs="Calibri"/>
                <w:b/>
                <w:bCs/>
                <w:color w:val="000000"/>
                <w:sz w:val="20"/>
                <w:szCs w:val="20"/>
                <w:lang w:eastAsia="cs-CZ"/>
              </w:rPr>
            </w:pPr>
            <w:r w:rsidRPr="00B650DB">
              <w:rPr>
                <w:rFonts w:eastAsia="Calibri" w:cs="Calibri"/>
                <w:b/>
                <w:bCs/>
                <w:color w:val="000000"/>
                <w:sz w:val="20"/>
                <w:szCs w:val="20"/>
                <w:lang w:eastAsia="cs-CZ"/>
              </w:rPr>
              <w:t>Vliv na výnosy</w:t>
            </w:r>
          </w:p>
        </w:tc>
        <w:tc>
          <w:tcPr>
            <w:tcW w:w="1627" w:type="dxa"/>
            <w:shd w:val="clear" w:color="auto" w:fill="E5F1FF"/>
            <w:tcMar>
              <w:top w:w="0" w:type="dxa"/>
              <w:left w:w="70" w:type="dxa"/>
              <w:bottom w:w="0" w:type="dxa"/>
              <w:right w:w="70" w:type="dxa"/>
            </w:tcMar>
            <w:vAlign w:val="center"/>
            <w:hideMark/>
          </w:tcPr>
          <w:p w14:paraId="1190D01F" w14:textId="77777777" w:rsidR="00165E7D" w:rsidRPr="00B650DB" w:rsidRDefault="00165E7D" w:rsidP="00B650DB">
            <w:pPr>
              <w:spacing w:after="0"/>
              <w:jc w:val="center"/>
              <w:rPr>
                <w:rFonts w:eastAsia="Calibri" w:cs="Calibri"/>
                <w:b/>
                <w:bCs/>
                <w:color w:val="000000"/>
                <w:sz w:val="20"/>
                <w:szCs w:val="20"/>
                <w:lang w:eastAsia="cs-CZ"/>
              </w:rPr>
            </w:pPr>
            <w:r w:rsidRPr="00B650DB">
              <w:rPr>
                <w:rFonts w:eastAsia="Calibri" w:cs="Calibri"/>
                <w:b/>
                <w:bCs/>
                <w:color w:val="000000"/>
                <w:sz w:val="20"/>
                <w:szCs w:val="20"/>
                <w:lang w:eastAsia="cs-CZ"/>
              </w:rPr>
              <w:t>Rozdíl</w:t>
            </w:r>
          </w:p>
        </w:tc>
        <w:tc>
          <w:tcPr>
            <w:tcW w:w="16" w:type="dxa"/>
            <w:vAlign w:val="center"/>
            <w:hideMark/>
          </w:tcPr>
          <w:p w14:paraId="7B8CEA02" w14:textId="77777777" w:rsidR="00165E7D" w:rsidRPr="00B650DB" w:rsidRDefault="00165E7D" w:rsidP="00B650DB">
            <w:pPr>
              <w:spacing w:after="0"/>
              <w:rPr>
                <w:rFonts w:eastAsia="Calibri" w:cs="Calibri"/>
                <w:b/>
                <w:bCs/>
                <w:color w:val="000000"/>
                <w:sz w:val="20"/>
                <w:szCs w:val="20"/>
                <w:lang w:eastAsia="cs-CZ"/>
              </w:rPr>
            </w:pPr>
          </w:p>
        </w:tc>
      </w:tr>
      <w:tr w:rsidR="00165E7D" w:rsidRPr="00B650DB" w14:paraId="60425682" w14:textId="77777777" w:rsidTr="00D27360">
        <w:trPr>
          <w:trHeight w:val="283"/>
          <w:jc w:val="center"/>
        </w:trPr>
        <w:tc>
          <w:tcPr>
            <w:tcW w:w="3965" w:type="dxa"/>
            <w:noWrap/>
            <w:tcMar>
              <w:top w:w="0" w:type="dxa"/>
              <w:left w:w="70" w:type="dxa"/>
              <w:bottom w:w="0" w:type="dxa"/>
              <w:right w:w="70" w:type="dxa"/>
            </w:tcMar>
            <w:vAlign w:val="center"/>
            <w:hideMark/>
          </w:tcPr>
          <w:p w14:paraId="07FADA7D" w14:textId="77777777" w:rsidR="00165E7D" w:rsidRPr="00B650DB" w:rsidRDefault="00165E7D" w:rsidP="00B650DB">
            <w:pPr>
              <w:spacing w:after="0"/>
              <w:rPr>
                <w:rFonts w:eastAsia="Calibri" w:cs="Calibri"/>
                <w:color w:val="000000"/>
                <w:sz w:val="20"/>
                <w:szCs w:val="20"/>
                <w:lang w:eastAsia="cs-CZ"/>
              </w:rPr>
            </w:pPr>
            <w:r w:rsidRPr="00B650DB">
              <w:rPr>
                <w:rFonts w:eastAsia="Calibri" w:cs="Calibri"/>
                <w:color w:val="000000"/>
                <w:sz w:val="20"/>
                <w:szCs w:val="20"/>
                <w:lang w:eastAsia="cs-CZ"/>
              </w:rPr>
              <w:t>Bezúplatné pořízení zásob OOP od Ministerstva vnitra</w:t>
            </w:r>
          </w:p>
        </w:tc>
        <w:tc>
          <w:tcPr>
            <w:tcW w:w="1847" w:type="dxa"/>
            <w:noWrap/>
            <w:tcMar>
              <w:top w:w="0" w:type="dxa"/>
              <w:left w:w="70" w:type="dxa"/>
              <w:bottom w:w="0" w:type="dxa"/>
              <w:right w:w="70" w:type="dxa"/>
            </w:tcMar>
            <w:vAlign w:val="center"/>
            <w:hideMark/>
          </w:tcPr>
          <w:p w14:paraId="3D9CA29C"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0,00</w:t>
            </w:r>
          </w:p>
        </w:tc>
        <w:tc>
          <w:tcPr>
            <w:tcW w:w="1701" w:type="dxa"/>
            <w:noWrap/>
            <w:tcMar>
              <w:top w:w="0" w:type="dxa"/>
              <w:left w:w="70" w:type="dxa"/>
              <w:bottom w:w="0" w:type="dxa"/>
              <w:right w:w="70" w:type="dxa"/>
            </w:tcMar>
            <w:vAlign w:val="center"/>
            <w:hideMark/>
          </w:tcPr>
          <w:p w14:paraId="3D17132A"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195,16</w:t>
            </w:r>
          </w:p>
        </w:tc>
        <w:tc>
          <w:tcPr>
            <w:tcW w:w="1627" w:type="dxa"/>
            <w:noWrap/>
            <w:tcMar>
              <w:top w:w="0" w:type="dxa"/>
              <w:left w:w="70" w:type="dxa"/>
              <w:bottom w:w="0" w:type="dxa"/>
              <w:right w:w="70" w:type="dxa"/>
            </w:tcMar>
            <w:vAlign w:val="center"/>
            <w:hideMark/>
          </w:tcPr>
          <w:p w14:paraId="3946F997" w14:textId="43E2B744" w:rsidR="00165E7D" w:rsidRPr="00B650DB" w:rsidRDefault="00FC7BFA" w:rsidP="00B650DB">
            <w:pPr>
              <w:spacing w:after="0"/>
              <w:ind w:right="150"/>
              <w:jc w:val="right"/>
              <w:rPr>
                <w:rFonts w:eastAsia="Calibri" w:cs="Calibri"/>
                <w:color w:val="000000"/>
                <w:sz w:val="20"/>
                <w:szCs w:val="20"/>
                <w:lang w:eastAsia="cs-CZ"/>
              </w:rPr>
            </w:pPr>
            <w:r>
              <w:rPr>
                <w:rFonts w:eastAsia="Calibri" w:cs="Calibri"/>
                <w:color w:val="000000"/>
                <w:sz w:val="20"/>
                <w:szCs w:val="20"/>
                <w:lang w:eastAsia="cs-CZ"/>
              </w:rPr>
              <w:t>−</w:t>
            </w:r>
            <w:r w:rsidR="00165E7D" w:rsidRPr="00B650DB">
              <w:rPr>
                <w:rFonts w:eastAsia="Calibri" w:cs="Calibri"/>
                <w:color w:val="000000"/>
                <w:sz w:val="20"/>
                <w:szCs w:val="20"/>
                <w:lang w:eastAsia="cs-CZ"/>
              </w:rPr>
              <w:t>195,16</w:t>
            </w:r>
          </w:p>
        </w:tc>
        <w:tc>
          <w:tcPr>
            <w:tcW w:w="16" w:type="dxa"/>
            <w:vAlign w:val="center"/>
            <w:hideMark/>
          </w:tcPr>
          <w:p w14:paraId="72E1ECB2" w14:textId="77777777" w:rsidR="00165E7D" w:rsidRPr="00B650DB" w:rsidRDefault="00165E7D" w:rsidP="00B650DB">
            <w:pPr>
              <w:spacing w:after="0"/>
              <w:rPr>
                <w:rFonts w:eastAsia="Calibri" w:cs="Calibri"/>
                <w:color w:val="000000"/>
                <w:sz w:val="20"/>
                <w:szCs w:val="20"/>
                <w:lang w:eastAsia="cs-CZ"/>
              </w:rPr>
            </w:pPr>
          </w:p>
        </w:tc>
      </w:tr>
      <w:tr w:rsidR="00165E7D" w:rsidRPr="00B650DB" w14:paraId="25A95058" w14:textId="77777777" w:rsidTr="00D27360">
        <w:trPr>
          <w:trHeight w:val="283"/>
          <w:jc w:val="center"/>
        </w:trPr>
        <w:tc>
          <w:tcPr>
            <w:tcW w:w="3965" w:type="dxa"/>
            <w:tcMar>
              <w:top w:w="0" w:type="dxa"/>
              <w:left w:w="70" w:type="dxa"/>
              <w:bottom w:w="0" w:type="dxa"/>
              <w:right w:w="70" w:type="dxa"/>
            </w:tcMar>
            <w:vAlign w:val="center"/>
            <w:hideMark/>
          </w:tcPr>
          <w:p w14:paraId="6BFD9E27" w14:textId="334E3E8F" w:rsidR="00165E7D" w:rsidRPr="00B650DB" w:rsidRDefault="00165E7D" w:rsidP="00B650DB">
            <w:pPr>
              <w:spacing w:after="0"/>
              <w:rPr>
                <w:rFonts w:eastAsia="Calibri" w:cs="Calibri"/>
                <w:color w:val="000000"/>
                <w:sz w:val="20"/>
                <w:szCs w:val="20"/>
                <w:lang w:eastAsia="cs-CZ"/>
              </w:rPr>
            </w:pPr>
            <w:r w:rsidRPr="00B650DB">
              <w:rPr>
                <w:rFonts w:eastAsia="Calibri" w:cs="Calibri"/>
                <w:color w:val="000000"/>
                <w:sz w:val="20"/>
                <w:szCs w:val="20"/>
                <w:lang w:eastAsia="cs-CZ"/>
              </w:rPr>
              <w:t>Výnos z pohledávky ze souhrnné žádosti OP</w:t>
            </w:r>
            <w:r w:rsidR="00D27360">
              <w:rPr>
                <w:rFonts w:eastAsia="Calibri" w:cs="Calibri"/>
                <w:color w:val="000000"/>
                <w:sz w:val="20"/>
                <w:szCs w:val="20"/>
                <w:lang w:eastAsia="cs-CZ"/>
              </w:rPr>
              <w:t> </w:t>
            </w:r>
            <w:r w:rsidRPr="00B650DB">
              <w:rPr>
                <w:rFonts w:eastAsia="Calibri" w:cs="Calibri"/>
                <w:color w:val="000000"/>
                <w:sz w:val="20"/>
                <w:szCs w:val="20"/>
                <w:lang w:eastAsia="cs-CZ"/>
              </w:rPr>
              <w:t>PIK č. CZ.01/2021/072</w:t>
            </w:r>
          </w:p>
        </w:tc>
        <w:tc>
          <w:tcPr>
            <w:tcW w:w="1847" w:type="dxa"/>
            <w:noWrap/>
            <w:tcMar>
              <w:top w:w="0" w:type="dxa"/>
              <w:left w:w="70" w:type="dxa"/>
              <w:bottom w:w="0" w:type="dxa"/>
              <w:right w:w="70" w:type="dxa"/>
            </w:tcMar>
            <w:vAlign w:val="center"/>
            <w:hideMark/>
          </w:tcPr>
          <w:p w14:paraId="7BA931B4"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0,00</w:t>
            </w:r>
          </w:p>
        </w:tc>
        <w:tc>
          <w:tcPr>
            <w:tcW w:w="1701" w:type="dxa"/>
            <w:noWrap/>
            <w:tcMar>
              <w:top w:w="0" w:type="dxa"/>
              <w:left w:w="70" w:type="dxa"/>
              <w:bottom w:w="0" w:type="dxa"/>
              <w:right w:w="70" w:type="dxa"/>
            </w:tcMar>
            <w:vAlign w:val="center"/>
            <w:hideMark/>
          </w:tcPr>
          <w:p w14:paraId="24E4CA31"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689,95</w:t>
            </w:r>
          </w:p>
        </w:tc>
        <w:tc>
          <w:tcPr>
            <w:tcW w:w="1627" w:type="dxa"/>
            <w:noWrap/>
            <w:tcMar>
              <w:top w:w="0" w:type="dxa"/>
              <w:left w:w="70" w:type="dxa"/>
              <w:bottom w:w="0" w:type="dxa"/>
              <w:right w:w="70" w:type="dxa"/>
            </w:tcMar>
            <w:vAlign w:val="center"/>
            <w:hideMark/>
          </w:tcPr>
          <w:p w14:paraId="782D80C1" w14:textId="6B9D78F4" w:rsidR="00165E7D" w:rsidRPr="00B650DB" w:rsidRDefault="00FC7BFA" w:rsidP="00B650DB">
            <w:pPr>
              <w:spacing w:after="0"/>
              <w:ind w:right="150"/>
              <w:jc w:val="right"/>
              <w:rPr>
                <w:rFonts w:eastAsia="Calibri" w:cs="Calibri"/>
                <w:color w:val="000000"/>
                <w:sz w:val="20"/>
                <w:szCs w:val="20"/>
                <w:lang w:eastAsia="cs-CZ"/>
              </w:rPr>
            </w:pPr>
            <w:r>
              <w:rPr>
                <w:rFonts w:eastAsia="Calibri" w:cs="Calibri"/>
                <w:color w:val="000000"/>
                <w:sz w:val="20"/>
                <w:szCs w:val="20"/>
                <w:lang w:eastAsia="cs-CZ"/>
              </w:rPr>
              <w:t>−</w:t>
            </w:r>
            <w:r w:rsidR="00165E7D" w:rsidRPr="00B650DB">
              <w:rPr>
                <w:rFonts w:eastAsia="Calibri" w:cs="Calibri"/>
                <w:color w:val="000000"/>
                <w:sz w:val="20"/>
                <w:szCs w:val="20"/>
                <w:lang w:eastAsia="cs-CZ"/>
              </w:rPr>
              <w:t>689,95</w:t>
            </w:r>
          </w:p>
        </w:tc>
        <w:tc>
          <w:tcPr>
            <w:tcW w:w="16" w:type="dxa"/>
            <w:vAlign w:val="center"/>
            <w:hideMark/>
          </w:tcPr>
          <w:p w14:paraId="04B16CD8" w14:textId="77777777" w:rsidR="00165E7D" w:rsidRPr="00B650DB" w:rsidRDefault="00165E7D" w:rsidP="00B650DB">
            <w:pPr>
              <w:spacing w:after="0"/>
              <w:rPr>
                <w:rFonts w:eastAsia="Calibri" w:cs="Calibri"/>
                <w:color w:val="000000"/>
                <w:sz w:val="20"/>
                <w:szCs w:val="20"/>
                <w:lang w:eastAsia="cs-CZ"/>
              </w:rPr>
            </w:pPr>
          </w:p>
        </w:tc>
      </w:tr>
      <w:tr w:rsidR="00165E7D" w:rsidRPr="00B650DB" w14:paraId="254E9A07" w14:textId="77777777" w:rsidTr="00D27360">
        <w:trPr>
          <w:trHeight w:val="283"/>
          <w:jc w:val="center"/>
        </w:trPr>
        <w:tc>
          <w:tcPr>
            <w:tcW w:w="3965" w:type="dxa"/>
            <w:tcMar>
              <w:top w:w="0" w:type="dxa"/>
              <w:left w:w="70" w:type="dxa"/>
              <w:bottom w:w="0" w:type="dxa"/>
              <w:right w:w="70" w:type="dxa"/>
            </w:tcMar>
            <w:vAlign w:val="center"/>
            <w:hideMark/>
          </w:tcPr>
          <w:p w14:paraId="6B7C0A72" w14:textId="6758BFE8" w:rsidR="00165E7D" w:rsidRPr="00B650DB" w:rsidRDefault="00165E7D" w:rsidP="00B650DB">
            <w:pPr>
              <w:spacing w:after="0"/>
              <w:rPr>
                <w:rFonts w:eastAsia="Calibri" w:cs="Calibri"/>
                <w:color w:val="000000"/>
                <w:sz w:val="20"/>
                <w:szCs w:val="20"/>
                <w:lang w:eastAsia="cs-CZ"/>
              </w:rPr>
            </w:pPr>
            <w:r w:rsidRPr="00B650DB">
              <w:rPr>
                <w:rFonts w:eastAsia="Calibri" w:cs="Calibri"/>
                <w:color w:val="000000"/>
                <w:sz w:val="20"/>
                <w:szCs w:val="20"/>
                <w:lang w:eastAsia="cs-CZ"/>
              </w:rPr>
              <w:t>Výnos z pohledávky ze souhrnné žádosti OP</w:t>
            </w:r>
            <w:r w:rsidR="000C70AB">
              <w:rPr>
                <w:rFonts w:eastAsia="Calibri" w:cs="Calibri"/>
                <w:color w:val="000000"/>
                <w:sz w:val="20"/>
                <w:szCs w:val="20"/>
                <w:lang w:eastAsia="cs-CZ"/>
              </w:rPr>
              <w:t> </w:t>
            </w:r>
            <w:r w:rsidRPr="00B650DB">
              <w:rPr>
                <w:rFonts w:eastAsia="Calibri" w:cs="Calibri"/>
                <w:color w:val="000000"/>
                <w:sz w:val="20"/>
                <w:szCs w:val="20"/>
                <w:lang w:eastAsia="cs-CZ"/>
              </w:rPr>
              <w:t>PIK č. CZ.01/2020/059</w:t>
            </w:r>
          </w:p>
        </w:tc>
        <w:tc>
          <w:tcPr>
            <w:tcW w:w="1847" w:type="dxa"/>
            <w:noWrap/>
            <w:tcMar>
              <w:top w:w="0" w:type="dxa"/>
              <w:left w:w="70" w:type="dxa"/>
              <w:bottom w:w="0" w:type="dxa"/>
              <w:right w:w="70" w:type="dxa"/>
            </w:tcMar>
            <w:vAlign w:val="center"/>
            <w:hideMark/>
          </w:tcPr>
          <w:p w14:paraId="10A9A663"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0,00</w:t>
            </w:r>
          </w:p>
        </w:tc>
        <w:tc>
          <w:tcPr>
            <w:tcW w:w="1701" w:type="dxa"/>
            <w:noWrap/>
            <w:tcMar>
              <w:top w:w="0" w:type="dxa"/>
              <w:left w:w="70" w:type="dxa"/>
              <w:bottom w:w="0" w:type="dxa"/>
              <w:right w:w="70" w:type="dxa"/>
            </w:tcMar>
            <w:vAlign w:val="center"/>
            <w:hideMark/>
          </w:tcPr>
          <w:p w14:paraId="5760D7E4"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11,19</w:t>
            </w:r>
          </w:p>
        </w:tc>
        <w:tc>
          <w:tcPr>
            <w:tcW w:w="1627" w:type="dxa"/>
            <w:noWrap/>
            <w:tcMar>
              <w:top w:w="0" w:type="dxa"/>
              <w:left w:w="70" w:type="dxa"/>
              <w:bottom w:w="0" w:type="dxa"/>
              <w:right w:w="70" w:type="dxa"/>
            </w:tcMar>
            <w:vAlign w:val="center"/>
            <w:hideMark/>
          </w:tcPr>
          <w:p w14:paraId="39471AF3" w14:textId="13360CE6" w:rsidR="00165E7D" w:rsidRPr="00B650DB" w:rsidRDefault="00FC7BFA" w:rsidP="00B650DB">
            <w:pPr>
              <w:spacing w:after="0"/>
              <w:ind w:right="150"/>
              <w:jc w:val="right"/>
              <w:rPr>
                <w:rFonts w:eastAsia="Calibri" w:cs="Calibri"/>
                <w:color w:val="000000"/>
                <w:sz w:val="20"/>
                <w:szCs w:val="20"/>
                <w:lang w:eastAsia="cs-CZ"/>
              </w:rPr>
            </w:pPr>
            <w:r>
              <w:rPr>
                <w:rFonts w:eastAsia="Calibri" w:cs="Calibri"/>
                <w:color w:val="000000"/>
                <w:sz w:val="20"/>
                <w:szCs w:val="20"/>
                <w:lang w:eastAsia="cs-CZ"/>
              </w:rPr>
              <w:t>−</w:t>
            </w:r>
            <w:r w:rsidR="00165E7D" w:rsidRPr="00B650DB">
              <w:rPr>
                <w:rFonts w:eastAsia="Calibri" w:cs="Calibri"/>
                <w:color w:val="000000"/>
                <w:sz w:val="20"/>
                <w:szCs w:val="20"/>
                <w:lang w:eastAsia="cs-CZ"/>
              </w:rPr>
              <w:t>11,19</w:t>
            </w:r>
          </w:p>
        </w:tc>
        <w:tc>
          <w:tcPr>
            <w:tcW w:w="16" w:type="dxa"/>
            <w:vAlign w:val="center"/>
            <w:hideMark/>
          </w:tcPr>
          <w:p w14:paraId="77E19CF0" w14:textId="77777777" w:rsidR="00165E7D" w:rsidRPr="00B650DB" w:rsidRDefault="00165E7D" w:rsidP="00B650DB">
            <w:pPr>
              <w:spacing w:after="0"/>
              <w:rPr>
                <w:rFonts w:eastAsia="Calibri" w:cs="Calibri"/>
                <w:color w:val="000000"/>
                <w:sz w:val="20"/>
                <w:szCs w:val="20"/>
                <w:lang w:eastAsia="cs-CZ"/>
              </w:rPr>
            </w:pPr>
          </w:p>
        </w:tc>
      </w:tr>
      <w:tr w:rsidR="00165E7D" w:rsidRPr="00B650DB" w14:paraId="3FE0EF85" w14:textId="77777777" w:rsidTr="00D27360">
        <w:trPr>
          <w:trHeight w:val="283"/>
          <w:jc w:val="center"/>
        </w:trPr>
        <w:tc>
          <w:tcPr>
            <w:tcW w:w="3965" w:type="dxa"/>
            <w:noWrap/>
            <w:tcMar>
              <w:top w:w="0" w:type="dxa"/>
              <w:left w:w="70" w:type="dxa"/>
              <w:bottom w:w="0" w:type="dxa"/>
              <w:right w:w="70" w:type="dxa"/>
            </w:tcMar>
            <w:vAlign w:val="center"/>
            <w:hideMark/>
          </w:tcPr>
          <w:p w14:paraId="5377B551" w14:textId="77777777" w:rsidR="00165E7D" w:rsidRPr="00B650DB" w:rsidRDefault="00165E7D" w:rsidP="00B650DB">
            <w:pPr>
              <w:spacing w:after="0"/>
              <w:rPr>
                <w:rFonts w:eastAsia="Calibri" w:cs="Calibri"/>
                <w:color w:val="000000"/>
                <w:sz w:val="20"/>
                <w:szCs w:val="20"/>
                <w:lang w:eastAsia="cs-CZ"/>
              </w:rPr>
            </w:pPr>
            <w:r w:rsidRPr="00B650DB">
              <w:rPr>
                <w:rFonts w:eastAsia="Calibri" w:cs="Calibri"/>
                <w:color w:val="000000"/>
                <w:sz w:val="20"/>
                <w:szCs w:val="20"/>
                <w:lang w:eastAsia="cs-CZ"/>
              </w:rPr>
              <w:t>Výnosy z operací s finančními nástroji</w:t>
            </w:r>
          </w:p>
        </w:tc>
        <w:tc>
          <w:tcPr>
            <w:tcW w:w="1847" w:type="dxa"/>
            <w:noWrap/>
            <w:tcMar>
              <w:top w:w="0" w:type="dxa"/>
              <w:left w:w="70" w:type="dxa"/>
              <w:bottom w:w="0" w:type="dxa"/>
              <w:right w:w="70" w:type="dxa"/>
            </w:tcMar>
            <w:vAlign w:val="center"/>
            <w:hideMark/>
          </w:tcPr>
          <w:p w14:paraId="3273B5CD"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0,00</w:t>
            </w:r>
          </w:p>
        </w:tc>
        <w:tc>
          <w:tcPr>
            <w:tcW w:w="1701" w:type="dxa"/>
            <w:noWrap/>
            <w:tcMar>
              <w:top w:w="0" w:type="dxa"/>
              <w:left w:w="70" w:type="dxa"/>
              <w:bottom w:w="0" w:type="dxa"/>
              <w:right w:w="70" w:type="dxa"/>
            </w:tcMar>
            <w:vAlign w:val="center"/>
            <w:hideMark/>
          </w:tcPr>
          <w:p w14:paraId="1C1236FE"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26,78</w:t>
            </w:r>
          </w:p>
        </w:tc>
        <w:tc>
          <w:tcPr>
            <w:tcW w:w="1627" w:type="dxa"/>
            <w:noWrap/>
            <w:tcMar>
              <w:top w:w="0" w:type="dxa"/>
              <w:left w:w="70" w:type="dxa"/>
              <w:bottom w:w="0" w:type="dxa"/>
              <w:right w:w="70" w:type="dxa"/>
            </w:tcMar>
            <w:vAlign w:val="center"/>
            <w:hideMark/>
          </w:tcPr>
          <w:p w14:paraId="01D466A0" w14:textId="1B998888" w:rsidR="00165E7D" w:rsidRPr="00B650DB" w:rsidRDefault="00FC7BFA" w:rsidP="00B650DB">
            <w:pPr>
              <w:spacing w:after="0"/>
              <w:ind w:right="150"/>
              <w:jc w:val="right"/>
              <w:rPr>
                <w:rFonts w:eastAsia="Calibri" w:cs="Calibri"/>
                <w:color w:val="000000"/>
                <w:sz w:val="20"/>
                <w:szCs w:val="20"/>
                <w:lang w:eastAsia="cs-CZ"/>
              </w:rPr>
            </w:pPr>
            <w:r>
              <w:rPr>
                <w:rFonts w:eastAsia="Calibri" w:cs="Calibri"/>
                <w:color w:val="000000"/>
                <w:sz w:val="20"/>
                <w:szCs w:val="20"/>
                <w:lang w:eastAsia="cs-CZ"/>
              </w:rPr>
              <w:t>−</w:t>
            </w:r>
            <w:r w:rsidR="00165E7D" w:rsidRPr="00B650DB">
              <w:rPr>
                <w:rFonts w:eastAsia="Calibri" w:cs="Calibri"/>
                <w:color w:val="000000"/>
                <w:sz w:val="20"/>
                <w:szCs w:val="20"/>
                <w:lang w:eastAsia="cs-CZ"/>
              </w:rPr>
              <w:t>26,78</w:t>
            </w:r>
          </w:p>
        </w:tc>
        <w:tc>
          <w:tcPr>
            <w:tcW w:w="16" w:type="dxa"/>
            <w:vAlign w:val="center"/>
            <w:hideMark/>
          </w:tcPr>
          <w:p w14:paraId="4C71AC04" w14:textId="77777777" w:rsidR="00165E7D" w:rsidRPr="00B650DB" w:rsidRDefault="00165E7D" w:rsidP="00B650DB">
            <w:pPr>
              <w:spacing w:after="0"/>
              <w:rPr>
                <w:rFonts w:eastAsia="Calibri" w:cs="Calibri"/>
                <w:color w:val="000000"/>
                <w:sz w:val="20"/>
                <w:szCs w:val="20"/>
                <w:lang w:eastAsia="cs-CZ"/>
              </w:rPr>
            </w:pPr>
          </w:p>
        </w:tc>
      </w:tr>
      <w:tr w:rsidR="00165E7D" w:rsidRPr="00B650DB" w14:paraId="050ED350" w14:textId="77777777" w:rsidTr="00D27360">
        <w:trPr>
          <w:trHeight w:val="283"/>
          <w:jc w:val="center"/>
        </w:trPr>
        <w:tc>
          <w:tcPr>
            <w:tcW w:w="3965" w:type="dxa"/>
            <w:noWrap/>
            <w:tcMar>
              <w:top w:w="0" w:type="dxa"/>
              <w:left w:w="70" w:type="dxa"/>
              <w:bottom w:w="0" w:type="dxa"/>
              <w:right w:w="70" w:type="dxa"/>
            </w:tcMar>
            <w:vAlign w:val="center"/>
            <w:hideMark/>
          </w:tcPr>
          <w:p w14:paraId="33519889" w14:textId="77777777" w:rsidR="00165E7D" w:rsidRPr="00B650DB" w:rsidRDefault="00165E7D" w:rsidP="00B650DB">
            <w:pPr>
              <w:spacing w:after="0"/>
              <w:rPr>
                <w:rFonts w:eastAsia="Calibri" w:cs="Calibri"/>
                <w:color w:val="000000"/>
                <w:sz w:val="20"/>
                <w:szCs w:val="20"/>
                <w:lang w:eastAsia="cs-CZ"/>
              </w:rPr>
            </w:pPr>
            <w:r w:rsidRPr="00B650DB">
              <w:rPr>
                <w:rFonts w:eastAsia="Calibri" w:cs="Calibri"/>
                <w:color w:val="000000"/>
                <w:sz w:val="20"/>
                <w:szCs w:val="20"/>
                <w:lang w:eastAsia="cs-CZ"/>
              </w:rPr>
              <w:t>Příjem kompenzace z EU za prostředky vložené do finančních nástrojů</w:t>
            </w:r>
          </w:p>
        </w:tc>
        <w:tc>
          <w:tcPr>
            <w:tcW w:w="1847" w:type="dxa"/>
            <w:noWrap/>
            <w:tcMar>
              <w:top w:w="0" w:type="dxa"/>
              <w:left w:w="70" w:type="dxa"/>
              <w:bottom w:w="0" w:type="dxa"/>
              <w:right w:w="70" w:type="dxa"/>
            </w:tcMar>
            <w:vAlign w:val="center"/>
            <w:hideMark/>
          </w:tcPr>
          <w:p w14:paraId="5C5583BA"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6 632,00</w:t>
            </w:r>
          </w:p>
        </w:tc>
        <w:tc>
          <w:tcPr>
            <w:tcW w:w="1701" w:type="dxa"/>
            <w:noWrap/>
            <w:tcMar>
              <w:top w:w="0" w:type="dxa"/>
              <w:left w:w="70" w:type="dxa"/>
              <w:bottom w:w="0" w:type="dxa"/>
              <w:right w:w="70" w:type="dxa"/>
            </w:tcMar>
            <w:vAlign w:val="center"/>
            <w:hideMark/>
          </w:tcPr>
          <w:p w14:paraId="57AB6D1B"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0,00</w:t>
            </w:r>
          </w:p>
        </w:tc>
        <w:tc>
          <w:tcPr>
            <w:tcW w:w="1627" w:type="dxa"/>
            <w:noWrap/>
            <w:tcMar>
              <w:top w:w="0" w:type="dxa"/>
              <w:left w:w="70" w:type="dxa"/>
              <w:bottom w:w="0" w:type="dxa"/>
              <w:right w:w="70" w:type="dxa"/>
            </w:tcMar>
            <w:vAlign w:val="center"/>
            <w:hideMark/>
          </w:tcPr>
          <w:p w14:paraId="66858C48"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6 632,00</w:t>
            </w:r>
          </w:p>
        </w:tc>
        <w:tc>
          <w:tcPr>
            <w:tcW w:w="16" w:type="dxa"/>
            <w:vAlign w:val="center"/>
            <w:hideMark/>
          </w:tcPr>
          <w:p w14:paraId="2C63A071" w14:textId="77777777" w:rsidR="00165E7D" w:rsidRPr="00B650DB" w:rsidRDefault="00165E7D" w:rsidP="00B650DB">
            <w:pPr>
              <w:spacing w:after="0"/>
              <w:rPr>
                <w:rFonts w:eastAsia="Calibri" w:cs="Calibri"/>
                <w:color w:val="000000"/>
                <w:sz w:val="20"/>
                <w:szCs w:val="20"/>
                <w:lang w:eastAsia="cs-CZ"/>
              </w:rPr>
            </w:pPr>
          </w:p>
        </w:tc>
      </w:tr>
      <w:tr w:rsidR="00165E7D" w:rsidRPr="00B650DB" w14:paraId="7E9CDA06" w14:textId="77777777" w:rsidTr="00D27360">
        <w:trPr>
          <w:trHeight w:val="283"/>
          <w:jc w:val="center"/>
        </w:trPr>
        <w:tc>
          <w:tcPr>
            <w:tcW w:w="3965" w:type="dxa"/>
            <w:tcMar>
              <w:top w:w="0" w:type="dxa"/>
              <w:left w:w="70" w:type="dxa"/>
              <w:bottom w:w="0" w:type="dxa"/>
              <w:right w:w="70" w:type="dxa"/>
            </w:tcMar>
            <w:vAlign w:val="center"/>
            <w:hideMark/>
          </w:tcPr>
          <w:p w14:paraId="24CD69BF" w14:textId="77777777" w:rsidR="00165E7D" w:rsidRPr="00B650DB" w:rsidRDefault="00165E7D" w:rsidP="00B650DB">
            <w:pPr>
              <w:spacing w:after="0"/>
              <w:rPr>
                <w:rFonts w:eastAsia="Calibri" w:cs="Calibri"/>
                <w:color w:val="000000"/>
                <w:sz w:val="20"/>
                <w:szCs w:val="20"/>
                <w:lang w:eastAsia="cs-CZ"/>
              </w:rPr>
            </w:pPr>
            <w:r w:rsidRPr="00B650DB">
              <w:rPr>
                <w:rFonts w:eastAsia="Calibri" w:cs="Calibri"/>
                <w:color w:val="000000"/>
                <w:sz w:val="20"/>
                <w:szCs w:val="20"/>
                <w:lang w:eastAsia="cs-CZ"/>
              </w:rPr>
              <w:t>Proplacení pohledávek OP PI</w:t>
            </w:r>
          </w:p>
        </w:tc>
        <w:tc>
          <w:tcPr>
            <w:tcW w:w="1847" w:type="dxa"/>
            <w:noWrap/>
            <w:tcMar>
              <w:top w:w="0" w:type="dxa"/>
              <w:left w:w="70" w:type="dxa"/>
              <w:bottom w:w="0" w:type="dxa"/>
              <w:right w:w="70" w:type="dxa"/>
            </w:tcMar>
            <w:vAlign w:val="center"/>
            <w:hideMark/>
          </w:tcPr>
          <w:p w14:paraId="775E9B60"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4 245,37</w:t>
            </w:r>
          </w:p>
        </w:tc>
        <w:tc>
          <w:tcPr>
            <w:tcW w:w="1701" w:type="dxa"/>
            <w:noWrap/>
            <w:tcMar>
              <w:top w:w="0" w:type="dxa"/>
              <w:left w:w="70" w:type="dxa"/>
              <w:bottom w:w="0" w:type="dxa"/>
              <w:right w:w="70" w:type="dxa"/>
            </w:tcMar>
            <w:vAlign w:val="center"/>
            <w:hideMark/>
          </w:tcPr>
          <w:p w14:paraId="037BADA9"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0,00</w:t>
            </w:r>
          </w:p>
        </w:tc>
        <w:tc>
          <w:tcPr>
            <w:tcW w:w="1627" w:type="dxa"/>
            <w:noWrap/>
            <w:tcMar>
              <w:top w:w="0" w:type="dxa"/>
              <w:left w:w="70" w:type="dxa"/>
              <w:bottom w:w="0" w:type="dxa"/>
              <w:right w:w="70" w:type="dxa"/>
            </w:tcMar>
            <w:vAlign w:val="center"/>
            <w:hideMark/>
          </w:tcPr>
          <w:p w14:paraId="3AC1E291"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4 245,37</w:t>
            </w:r>
          </w:p>
        </w:tc>
        <w:tc>
          <w:tcPr>
            <w:tcW w:w="16" w:type="dxa"/>
            <w:vAlign w:val="center"/>
            <w:hideMark/>
          </w:tcPr>
          <w:p w14:paraId="3B1DBB07" w14:textId="77777777" w:rsidR="00165E7D" w:rsidRPr="00B650DB" w:rsidRDefault="00165E7D" w:rsidP="00B650DB">
            <w:pPr>
              <w:spacing w:after="0"/>
              <w:rPr>
                <w:rFonts w:eastAsia="Calibri" w:cs="Calibri"/>
                <w:color w:val="000000"/>
                <w:sz w:val="20"/>
                <w:szCs w:val="20"/>
                <w:lang w:eastAsia="cs-CZ"/>
              </w:rPr>
            </w:pPr>
          </w:p>
        </w:tc>
      </w:tr>
      <w:tr w:rsidR="00165E7D" w:rsidRPr="00B650DB" w14:paraId="39740865" w14:textId="77777777" w:rsidTr="00D27360">
        <w:trPr>
          <w:trHeight w:val="283"/>
          <w:jc w:val="center"/>
        </w:trPr>
        <w:tc>
          <w:tcPr>
            <w:tcW w:w="3965" w:type="dxa"/>
            <w:tcMar>
              <w:top w:w="0" w:type="dxa"/>
              <w:left w:w="70" w:type="dxa"/>
              <w:bottom w:w="0" w:type="dxa"/>
              <w:right w:w="70" w:type="dxa"/>
            </w:tcMar>
            <w:vAlign w:val="center"/>
            <w:hideMark/>
          </w:tcPr>
          <w:p w14:paraId="62651A41" w14:textId="77777777" w:rsidR="00165E7D" w:rsidRPr="00B650DB" w:rsidRDefault="00165E7D" w:rsidP="00B650DB">
            <w:pPr>
              <w:spacing w:after="0"/>
              <w:rPr>
                <w:rFonts w:eastAsia="Calibri" w:cs="Calibri"/>
                <w:color w:val="000000"/>
                <w:sz w:val="20"/>
                <w:szCs w:val="20"/>
                <w:lang w:eastAsia="cs-CZ"/>
              </w:rPr>
            </w:pPr>
            <w:r w:rsidRPr="00B650DB">
              <w:rPr>
                <w:rFonts w:eastAsia="Calibri" w:cs="Calibri"/>
                <w:color w:val="000000"/>
                <w:sz w:val="20"/>
                <w:szCs w:val="20"/>
                <w:lang w:eastAsia="cs-CZ"/>
              </w:rPr>
              <w:t>Proplacení pohledávek OP PIK</w:t>
            </w:r>
          </w:p>
        </w:tc>
        <w:tc>
          <w:tcPr>
            <w:tcW w:w="1847" w:type="dxa"/>
            <w:noWrap/>
            <w:tcMar>
              <w:top w:w="0" w:type="dxa"/>
              <w:left w:w="70" w:type="dxa"/>
              <w:bottom w:w="0" w:type="dxa"/>
              <w:right w:w="70" w:type="dxa"/>
            </w:tcMar>
            <w:vAlign w:val="center"/>
            <w:hideMark/>
          </w:tcPr>
          <w:p w14:paraId="5BAD160A"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768,81</w:t>
            </w:r>
          </w:p>
        </w:tc>
        <w:tc>
          <w:tcPr>
            <w:tcW w:w="1701" w:type="dxa"/>
            <w:noWrap/>
            <w:tcMar>
              <w:top w:w="0" w:type="dxa"/>
              <w:left w:w="70" w:type="dxa"/>
              <w:bottom w:w="0" w:type="dxa"/>
              <w:right w:w="70" w:type="dxa"/>
            </w:tcMar>
            <w:vAlign w:val="center"/>
            <w:hideMark/>
          </w:tcPr>
          <w:p w14:paraId="1A336317"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0,00</w:t>
            </w:r>
          </w:p>
        </w:tc>
        <w:tc>
          <w:tcPr>
            <w:tcW w:w="1627" w:type="dxa"/>
            <w:noWrap/>
            <w:tcMar>
              <w:top w:w="0" w:type="dxa"/>
              <w:left w:w="70" w:type="dxa"/>
              <w:bottom w:w="0" w:type="dxa"/>
              <w:right w:w="70" w:type="dxa"/>
            </w:tcMar>
            <w:vAlign w:val="center"/>
            <w:hideMark/>
          </w:tcPr>
          <w:p w14:paraId="406D1A95"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768,81</w:t>
            </w:r>
          </w:p>
        </w:tc>
        <w:tc>
          <w:tcPr>
            <w:tcW w:w="16" w:type="dxa"/>
            <w:vAlign w:val="center"/>
            <w:hideMark/>
          </w:tcPr>
          <w:p w14:paraId="34A1ACEE" w14:textId="77777777" w:rsidR="00165E7D" w:rsidRPr="00B650DB" w:rsidRDefault="00165E7D" w:rsidP="00B650DB">
            <w:pPr>
              <w:spacing w:after="0"/>
              <w:rPr>
                <w:rFonts w:eastAsia="Calibri" w:cs="Calibri"/>
                <w:color w:val="000000"/>
                <w:sz w:val="20"/>
                <w:szCs w:val="20"/>
                <w:lang w:eastAsia="cs-CZ"/>
              </w:rPr>
            </w:pPr>
          </w:p>
        </w:tc>
      </w:tr>
      <w:tr w:rsidR="00165E7D" w:rsidRPr="00B650DB" w14:paraId="68226469" w14:textId="77777777" w:rsidTr="00D27360">
        <w:trPr>
          <w:trHeight w:val="283"/>
          <w:jc w:val="center"/>
        </w:trPr>
        <w:tc>
          <w:tcPr>
            <w:tcW w:w="7513" w:type="dxa"/>
            <w:gridSpan w:val="3"/>
            <w:shd w:val="clear" w:color="auto" w:fill="F2C6C9"/>
            <w:noWrap/>
            <w:tcMar>
              <w:top w:w="0" w:type="dxa"/>
              <w:left w:w="70" w:type="dxa"/>
              <w:bottom w:w="0" w:type="dxa"/>
              <w:right w:w="70" w:type="dxa"/>
            </w:tcMar>
            <w:vAlign w:val="center"/>
            <w:hideMark/>
          </w:tcPr>
          <w:p w14:paraId="3372CDAE" w14:textId="77777777" w:rsidR="00165E7D" w:rsidRPr="00B650DB" w:rsidRDefault="00165E7D" w:rsidP="00B650DB">
            <w:pPr>
              <w:spacing w:after="0"/>
              <w:rPr>
                <w:rFonts w:eastAsia="Calibri" w:cs="Calibri"/>
                <w:b/>
                <w:bCs/>
                <w:color w:val="000000"/>
                <w:sz w:val="20"/>
                <w:szCs w:val="20"/>
                <w:lang w:eastAsia="cs-CZ"/>
              </w:rPr>
            </w:pPr>
            <w:r w:rsidRPr="00B650DB">
              <w:rPr>
                <w:rFonts w:eastAsia="Calibri" w:cs="Calibri"/>
                <w:b/>
                <w:bCs/>
                <w:color w:val="000000"/>
                <w:sz w:val="20"/>
                <w:szCs w:val="20"/>
                <w:lang w:eastAsia="cs-CZ"/>
              </w:rPr>
              <w:t>Rozdíl mezi příjmy a výnosy za významné operace celkem</w:t>
            </w:r>
          </w:p>
        </w:tc>
        <w:tc>
          <w:tcPr>
            <w:tcW w:w="1627" w:type="dxa"/>
            <w:shd w:val="clear" w:color="auto" w:fill="F2C6C9"/>
            <w:noWrap/>
            <w:tcMar>
              <w:top w:w="0" w:type="dxa"/>
              <w:left w:w="70" w:type="dxa"/>
              <w:bottom w:w="0" w:type="dxa"/>
              <w:right w:w="70" w:type="dxa"/>
            </w:tcMar>
            <w:vAlign w:val="center"/>
            <w:hideMark/>
          </w:tcPr>
          <w:p w14:paraId="56494E85" w14:textId="77777777" w:rsidR="00165E7D" w:rsidRPr="00B650DB" w:rsidRDefault="00165E7D" w:rsidP="00B650DB">
            <w:pPr>
              <w:spacing w:after="0"/>
              <w:ind w:right="170"/>
              <w:jc w:val="right"/>
              <w:rPr>
                <w:rFonts w:eastAsia="Calibri" w:cs="Calibri"/>
                <w:b/>
                <w:bCs/>
                <w:color w:val="000000"/>
                <w:sz w:val="20"/>
                <w:szCs w:val="20"/>
                <w:lang w:eastAsia="cs-CZ"/>
              </w:rPr>
            </w:pPr>
            <w:r w:rsidRPr="00B650DB">
              <w:rPr>
                <w:rFonts w:eastAsia="Calibri" w:cs="Calibri"/>
                <w:b/>
                <w:bCs/>
                <w:color w:val="000000"/>
                <w:sz w:val="20"/>
                <w:szCs w:val="20"/>
                <w:lang w:eastAsia="cs-CZ"/>
              </w:rPr>
              <w:t>10 723,10</w:t>
            </w:r>
          </w:p>
        </w:tc>
        <w:tc>
          <w:tcPr>
            <w:tcW w:w="16" w:type="dxa"/>
            <w:vAlign w:val="center"/>
            <w:hideMark/>
          </w:tcPr>
          <w:p w14:paraId="55563B00" w14:textId="77777777" w:rsidR="00165E7D" w:rsidRPr="00B650DB" w:rsidRDefault="00165E7D" w:rsidP="00B650DB">
            <w:pPr>
              <w:spacing w:after="0"/>
              <w:rPr>
                <w:rFonts w:eastAsia="Calibri" w:cs="Calibri"/>
                <w:b/>
                <w:bCs/>
                <w:color w:val="000000"/>
                <w:sz w:val="20"/>
                <w:szCs w:val="20"/>
                <w:lang w:eastAsia="cs-CZ"/>
              </w:rPr>
            </w:pPr>
          </w:p>
        </w:tc>
      </w:tr>
      <w:tr w:rsidR="00165E7D" w:rsidRPr="00B650DB" w14:paraId="02A8EA6C" w14:textId="77777777" w:rsidTr="00D27360">
        <w:trPr>
          <w:trHeight w:val="283"/>
          <w:jc w:val="center"/>
        </w:trPr>
        <w:tc>
          <w:tcPr>
            <w:tcW w:w="9140" w:type="dxa"/>
            <w:gridSpan w:val="4"/>
            <w:shd w:val="clear" w:color="auto" w:fill="auto"/>
            <w:noWrap/>
            <w:tcMar>
              <w:top w:w="0" w:type="dxa"/>
              <w:left w:w="70" w:type="dxa"/>
              <w:bottom w:w="0" w:type="dxa"/>
              <w:right w:w="70" w:type="dxa"/>
            </w:tcMar>
            <w:vAlign w:val="bottom"/>
          </w:tcPr>
          <w:p w14:paraId="0A730230" w14:textId="77777777" w:rsidR="00165E7D" w:rsidRPr="00B650DB" w:rsidRDefault="00165E7D" w:rsidP="00B650DB">
            <w:pPr>
              <w:spacing w:after="0"/>
              <w:jc w:val="right"/>
              <w:rPr>
                <w:rFonts w:eastAsia="Calibri" w:cs="Calibri"/>
                <w:b/>
                <w:bCs/>
                <w:color w:val="000000"/>
                <w:sz w:val="20"/>
                <w:szCs w:val="20"/>
                <w:lang w:eastAsia="cs-CZ"/>
              </w:rPr>
            </w:pPr>
          </w:p>
        </w:tc>
        <w:tc>
          <w:tcPr>
            <w:tcW w:w="16" w:type="dxa"/>
            <w:vAlign w:val="center"/>
          </w:tcPr>
          <w:p w14:paraId="7927B071" w14:textId="77777777" w:rsidR="00165E7D" w:rsidRPr="00B650DB" w:rsidRDefault="00165E7D" w:rsidP="00B650DB">
            <w:pPr>
              <w:spacing w:after="0"/>
              <w:rPr>
                <w:rFonts w:eastAsia="Calibri" w:cs="Calibri"/>
                <w:b/>
                <w:bCs/>
                <w:color w:val="000000"/>
                <w:sz w:val="20"/>
                <w:szCs w:val="20"/>
                <w:lang w:eastAsia="cs-CZ"/>
              </w:rPr>
            </w:pPr>
          </w:p>
        </w:tc>
      </w:tr>
      <w:tr w:rsidR="00165E7D" w:rsidRPr="00B650DB" w14:paraId="4BE22516" w14:textId="77777777" w:rsidTr="00D27360">
        <w:trPr>
          <w:trHeight w:val="283"/>
          <w:jc w:val="center"/>
        </w:trPr>
        <w:tc>
          <w:tcPr>
            <w:tcW w:w="9140" w:type="dxa"/>
            <w:gridSpan w:val="4"/>
            <w:shd w:val="clear" w:color="auto" w:fill="E5F1FF"/>
            <w:noWrap/>
            <w:tcMar>
              <w:top w:w="0" w:type="dxa"/>
              <w:left w:w="70" w:type="dxa"/>
              <w:bottom w:w="0" w:type="dxa"/>
              <w:right w:w="70" w:type="dxa"/>
            </w:tcMar>
            <w:vAlign w:val="center"/>
            <w:hideMark/>
          </w:tcPr>
          <w:p w14:paraId="2535DF04" w14:textId="77777777" w:rsidR="00165E7D" w:rsidRPr="00B650DB" w:rsidRDefault="00165E7D" w:rsidP="00B650DB">
            <w:pPr>
              <w:spacing w:after="0"/>
              <w:jc w:val="center"/>
              <w:rPr>
                <w:rFonts w:eastAsia="Calibri" w:cs="Calibri"/>
                <w:b/>
                <w:bCs/>
                <w:color w:val="000000"/>
                <w:sz w:val="20"/>
                <w:szCs w:val="20"/>
                <w:lang w:eastAsia="cs-CZ"/>
              </w:rPr>
            </w:pPr>
            <w:r w:rsidRPr="00B650DB">
              <w:rPr>
                <w:rFonts w:eastAsia="Calibri" w:cs="Calibri"/>
                <w:b/>
                <w:bCs/>
                <w:color w:val="000000"/>
                <w:sz w:val="20"/>
                <w:szCs w:val="20"/>
                <w:lang w:eastAsia="cs-CZ"/>
              </w:rPr>
              <w:t>Účetní operace způsobující rozdíl mezi výdaji a náklady</w:t>
            </w:r>
          </w:p>
        </w:tc>
        <w:tc>
          <w:tcPr>
            <w:tcW w:w="16" w:type="dxa"/>
            <w:vAlign w:val="center"/>
            <w:hideMark/>
          </w:tcPr>
          <w:p w14:paraId="1EB9759F" w14:textId="77777777" w:rsidR="00165E7D" w:rsidRPr="00B650DB" w:rsidRDefault="00165E7D" w:rsidP="00B650DB">
            <w:pPr>
              <w:spacing w:after="0"/>
              <w:rPr>
                <w:rFonts w:eastAsia="Calibri" w:cs="Calibri"/>
                <w:b/>
                <w:bCs/>
                <w:color w:val="000000"/>
                <w:sz w:val="20"/>
                <w:szCs w:val="20"/>
                <w:lang w:eastAsia="cs-CZ"/>
              </w:rPr>
            </w:pPr>
          </w:p>
        </w:tc>
      </w:tr>
      <w:tr w:rsidR="00165E7D" w:rsidRPr="00B650DB" w14:paraId="27C3CB90" w14:textId="77777777" w:rsidTr="00D27360">
        <w:trPr>
          <w:trHeight w:val="283"/>
          <w:jc w:val="center"/>
        </w:trPr>
        <w:tc>
          <w:tcPr>
            <w:tcW w:w="3965" w:type="dxa"/>
            <w:shd w:val="clear" w:color="auto" w:fill="E5F1FF"/>
            <w:noWrap/>
            <w:tcMar>
              <w:top w:w="0" w:type="dxa"/>
              <w:left w:w="70" w:type="dxa"/>
              <w:bottom w:w="0" w:type="dxa"/>
              <w:right w:w="70" w:type="dxa"/>
            </w:tcMar>
            <w:vAlign w:val="center"/>
            <w:hideMark/>
          </w:tcPr>
          <w:p w14:paraId="3DB58C0B" w14:textId="77777777" w:rsidR="00165E7D" w:rsidRPr="00B650DB" w:rsidRDefault="00165E7D" w:rsidP="00B650DB">
            <w:pPr>
              <w:spacing w:after="0"/>
              <w:jc w:val="center"/>
              <w:rPr>
                <w:rFonts w:eastAsia="Calibri" w:cs="Calibri"/>
                <w:b/>
                <w:bCs/>
                <w:color w:val="000000"/>
                <w:sz w:val="20"/>
                <w:szCs w:val="20"/>
                <w:lang w:eastAsia="cs-CZ"/>
              </w:rPr>
            </w:pPr>
            <w:r w:rsidRPr="00B650DB">
              <w:rPr>
                <w:rFonts w:eastAsia="Calibri" w:cs="Calibri"/>
                <w:b/>
                <w:bCs/>
                <w:color w:val="000000"/>
                <w:sz w:val="20"/>
                <w:szCs w:val="20"/>
                <w:lang w:eastAsia="cs-CZ"/>
              </w:rPr>
              <w:t>Účetní operace</w:t>
            </w:r>
          </w:p>
        </w:tc>
        <w:tc>
          <w:tcPr>
            <w:tcW w:w="1847" w:type="dxa"/>
            <w:shd w:val="clear" w:color="auto" w:fill="E5F1FF"/>
            <w:noWrap/>
            <w:tcMar>
              <w:top w:w="0" w:type="dxa"/>
              <w:left w:w="70" w:type="dxa"/>
              <w:bottom w:w="0" w:type="dxa"/>
              <w:right w:w="70" w:type="dxa"/>
            </w:tcMar>
            <w:vAlign w:val="center"/>
            <w:hideMark/>
          </w:tcPr>
          <w:p w14:paraId="78CA4DAC" w14:textId="77777777" w:rsidR="00165E7D" w:rsidRPr="00B650DB" w:rsidRDefault="00165E7D" w:rsidP="00B650DB">
            <w:pPr>
              <w:spacing w:after="0"/>
              <w:jc w:val="center"/>
              <w:rPr>
                <w:rFonts w:eastAsia="Calibri" w:cs="Calibri"/>
                <w:b/>
                <w:bCs/>
                <w:color w:val="000000"/>
                <w:sz w:val="20"/>
                <w:szCs w:val="20"/>
                <w:lang w:eastAsia="cs-CZ"/>
              </w:rPr>
            </w:pPr>
            <w:r w:rsidRPr="00B650DB">
              <w:rPr>
                <w:rFonts w:eastAsia="Calibri" w:cs="Calibri"/>
                <w:b/>
                <w:bCs/>
                <w:color w:val="000000"/>
                <w:sz w:val="20"/>
                <w:szCs w:val="20"/>
                <w:lang w:eastAsia="cs-CZ"/>
              </w:rPr>
              <w:t>Vliv na výdaje</w:t>
            </w:r>
          </w:p>
        </w:tc>
        <w:tc>
          <w:tcPr>
            <w:tcW w:w="1701" w:type="dxa"/>
            <w:shd w:val="clear" w:color="auto" w:fill="E5F1FF"/>
            <w:noWrap/>
            <w:tcMar>
              <w:top w:w="0" w:type="dxa"/>
              <w:left w:w="70" w:type="dxa"/>
              <w:bottom w:w="0" w:type="dxa"/>
              <w:right w:w="70" w:type="dxa"/>
            </w:tcMar>
            <w:vAlign w:val="center"/>
            <w:hideMark/>
          </w:tcPr>
          <w:p w14:paraId="0412AADC" w14:textId="77777777" w:rsidR="00165E7D" w:rsidRPr="00B650DB" w:rsidRDefault="00165E7D" w:rsidP="00B650DB">
            <w:pPr>
              <w:spacing w:after="0"/>
              <w:jc w:val="center"/>
              <w:rPr>
                <w:rFonts w:eastAsia="Calibri" w:cs="Calibri"/>
                <w:b/>
                <w:bCs/>
                <w:color w:val="000000"/>
                <w:sz w:val="20"/>
                <w:szCs w:val="20"/>
                <w:lang w:eastAsia="cs-CZ"/>
              </w:rPr>
            </w:pPr>
            <w:r w:rsidRPr="00B650DB">
              <w:rPr>
                <w:rFonts w:eastAsia="Calibri" w:cs="Calibri"/>
                <w:b/>
                <w:bCs/>
                <w:color w:val="000000"/>
                <w:sz w:val="20"/>
                <w:szCs w:val="20"/>
                <w:lang w:eastAsia="cs-CZ"/>
              </w:rPr>
              <w:t>Vliv na náklady</w:t>
            </w:r>
          </w:p>
        </w:tc>
        <w:tc>
          <w:tcPr>
            <w:tcW w:w="1627" w:type="dxa"/>
            <w:shd w:val="clear" w:color="auto" w:fill="E5F1FF"/>
            <w:tcMar>
              <w:top w:w="0" w:type="dxa"/>
              <w:left w:w="70" w:type="dxa"/>
              <w:bottom w:w="0" w:type="dxa"/>
              <w:right w:w="70" w:type="dxa"/>
            </w:tcMar>
            <w:vAlign w:val="center"/>
            <w:hideMark/>
          </w:tcPr>
          <w:p w14:paraId="5B3178A3" w14:textId="77777777" w:rsidR="00165E7D" w:rsidRPr="00B650DB" w:rsidRDefault="00165E7D" w:rsidP="00B650DB">
            <w:pPr>
              <w:spacing w:after="0"/>
              <w:jc w:val="center"/>
              <w:rPr>
                <w:rFonts w:eastAsia="Calibri" w:cs="Calibri"/>
                <w:b/>
                <w:bCs/>
                <w:color w:val="000000"/>
                <w:sz w:val="20"/>
                <w:szCs w:val="20"/>
                <w:lang w:eastAsia="cs-CZ"/>
              </w:rPr>
            </w:pPr>
            <w:r w:rsidRPr="00B650DB">
              <w:rPr>
                <w:rFonts w:eastAsia="Calibri" w:cs="Calibri"/>
                <w:b/>
                <w:bCs/>
                <w:color w:val="000000"/>
                <w:sz w:val="20"/>
                <w:szCs w:val="20"/>
                <w:lang w:eastAsia="cs-CZ"/>
              </w:rPr>
              <w:t>Rozdíl</w:t>
            </w:r>
          </w:p>
        </w:tc>
        <w:tc>
          <w:tcPr>
            <w:tcW w:w="16" w:type="dxa"/>
            <w:vAlign w:val="center"/>
            <w:hideMark/>
          </w:tcPr>
          <w:p w14:paraId="13EDE055" w14:textId="77777777" w:rsidR="00165E7D" w:rsidRPr="00B650DB" w:rsidRDefault="00165E7D" w:rsidP="00B650DB">
            <w:pPr>
              <w:spacing w:after="0"/>
              <w:rPr>
                <w:rFonts w:eastAsia="Calibri" w:cs="Calibri"/>
                <w:b/>
                <w:bCs/>
                <w:color w:val="000000"/>
                <w:sz w:val="20"/>
                <w:szCs w:val="20"/>
                <w:lang w:eastAsia="cs-CZ"/>
              </w:rPr>
            </w:pPr>
          </w:p>
        </w:tc>
      </w:tr>
      <w:tr w:rsidR="00165E7D" w:rsidRPr="00B650DB" w14:paraId="25534766" w14:textId="77777777" w:rsidTr="00D27360">
        <w:trPr>
          <w:trHeight w:val="283"/>
          <w:jc w:val="center"/>
        </w:trPr>
        <w:tc>
          <w:tcPr>
            <w:tcW w:w="3965" w:type="dxa"/>
            <w:noWrap/>
            <w:tcMar>
              <w:top w:w="0" w:type="dxa"/>
              <w:left w:w="70" w:type="dxa"/>
              <w:bottom w:w="0" w:type="dxa"/>
              <w:right w:w="70" w:type="dxa"/>
            </w:tcMar>
            <w:vAlign w:val="center"/>
            <w:hideMark/>
          </w:tcPr>
          <w:p w14:paraId="1D650D02" w14:textId="77777777" w:rsidR="00165E7D" w:rsidRPr="00B650DB" w:rsidRDefault="00165E7D" w:rsidP="00B650DB">
            <w:pPr>
              <w:spacing w:after="0"/>
              <w:rPr>
                <w:rFonts w:eastAsia="Calibri" w:cs="Calibri"/>
                <w:color w:val="000000"/>
                <w:sz w:val="20"/>
                <w:szCs w:val="20"/>
                <w:lang w:eastAsia="cs-CZ"/>
              </w:rPr>
            </w:pPr>
            <w:r w:rsidRPr="00B650DB">
              <w:rPr>
                <w:rFonts w:eastAsia="Calibri" w:cs="Calibri"/>
                <w:color w:val="000000"/>
                <w:sz w:val="20"/>
                <w:szCs w:val="20"/>
                <w:lang w:eastAsia="cs-CZ"/>
              </w:rPr>
              <w:t>Odpisy dlouhodobého majetku</w:t>
            </w:r>
          </w:p>
        </w:tc>
        <w:tc>
          <w:tcPr>
            <w:tcW w:w="1847" w:type="dxa"/>
            <w:noWrap/>
            <w:tcMar>
              <w:top w:w="0" w:type="dxa"/>
              <w:left w:w="70" w:type="dxa"/>
              <w:bottom w:w="0" w:type="dxa"/>
              <w:right w:w="70" w:type="dxa"/>
            </w:tcMar>
            <w:vAlign w:val="center"/>
            <w:hideMark/>
          </w:tcPr>
          <w:p w14:paraId="48B0DA52"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0,00</w:t>
            </w:r>
          </w:p>
        </w:tc>
        <w:tc>
          <w:tcPr>
            <w:tcW w:w="1701" w:type="dxa"/>
            <w:noWrap/>
            <w:tcMar>
              <w:top w:w="0" w:type="dxa"/>
              <w:left w:w="70" w:type="dxa"/>
              <w:bottom w:w="0" w:type="dxa"/>
              <w:right w:w="70" w:type="dxa"/>
            </w:tcMar>
            <w:vAlign w:val="center"/>
            <w:hideMark/>
          </w:tcPr>
          <w:p w14:paraId="43B45867"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28,39</w:t>
            </w:r>
          </w:p>
        </w:tc>
        <w:tc>
          <w:tcPr>
            <w:tcW w:w="1627" w:type="dxa"/>
            <w:noWrap/>
            <w:tcMar>
              <w:top w:w="0" w:type="dxa"/>
              <w:left w:w="70" w:type="dxa"/>
              <w:bottom w:w="0" w:type="dxa"/>
              <w:right w:w="70" w:type="dxa"/>
            </w:tcMar>
            <w:vAlign w:val="center"/>
            <w:hideMark/>
          </w:tcPr>
          <w:p w14:paraId="78B02E5F" w14:textId="7FFC5A3F" w:rsidR="00165E7D" w:rsidRPr="00B650DB" w:rsidRDefault="008F0D51" w:rsidP="00B650DB">
            <w:pPr>
              <w:spacing w:after="0"/>
              <w:ind w:right="150"/>
              <w:jc w:val="right"/>
              <w:rPr>
                <w:rFonts w:eastAsia="Calibri" w:cs="Calibri"/>
                <w:color w:val="000000"/>
                <w:sz w:val="20"/>
                <w:szCs w:val="20"/>
                <w:lang w:eastAsia="cs-CZ"/>
              </w:rPr>
            </w:pPr>
            <w:r>
              <w:rPr>
                <w:rFonts w:eastAsia="Calibri" w:cs="Calibri"/>
                <w:color w:val="000000"/>
                <w:sz w:val="20"/>
                <w:szCs w:val="20"/>
                <w:lang w:eastAsia="cs-CZ"/>
              </w:rPr>
              <w:t>−</w:t>
            </w:r>
            <w:r w:rsidR="00165E7D" w:rsidRPr="00B650DB">
              <w:rPr>
                <w:rFonts w:eastAsia="Calibri" w:cs="Calibri"/>
                <w:color w:val="000000"/>
                <w:sz w:val="20"/>
                <w:szCs w:val="20"/>
                <w:lang w:eastAsia="cs-CZ"/>
              </w:rPr>
              <w:t>28,39</w:t>
            </w:r>
          </w:p>
        </w:tc>
        <w:tc>
          <w:tcPr>
            <w:tcW w:w="16" w:type="dxa"/>
            <w:vAlign w:val="center"/>
            <w:hideMark/>
          </w:tcPr>
          <w:p w14:paraId="19EFF33E" w14:textId="77777777" w:rsidR="00165E7D" w:rsidRPr="00B650DB" w:rsidRDefault="00165E7D" w:rsidP="00B650DB">
            <w:pPr>
              <w:spacing w:after="0"/>
              <w:rPr>
                <w:rFonts w:eastAsia="Calibri" w:cs="Calibri"/>
                <w:color w:val="000000"/>
                <w:sz w:val="20"/>
                <w:szCs w:val="20"/>
                <w:lang w:eastAsia="cs-CZ"/>
              </w:rPr>
            </w:pPr>
          </w:p>
        </w:tc>
      </w:tr>
      <w:tr w:rsidR="00165E7D" w:rsidRPr="00B650DB" w14:paraId="349CCA30" w14:textId="77777777" w:rsidTr="00D27360">
        <w:trPr>
          <w:trHeight w:val="283"/>
          <w:jc w:val="center"/>
        </w:trPr>
        <w:tc>
          <w:tcPr>
            <w:tcW w:w="3965" w:type="dxa"/>
            <w:noWrap/>
            <w:tcMar>
              <w:top w:w="0" w:type="dxa"/>
              <w:left w:w="70" w:type="dxa"/>
              <w:bottom w:w="0" w:type="dxa"/>
              <w:right w:w="70" w:type="dxa"/>
            </w:tcMar>
            <w:vAlign w:val="center"/>
            <w:hideMark/>
          </w:tcPr>
          <w:p w14:paraId="06E6DE8A" w14:textId="77777777" w:rsidR="00165E7D" w:rsidRPr="00B650DB" w:rsidRDefault="00165E7D" w:rsidP="00B650DB">
            <w:pPr>
              <w:spacing w:after="0"/>
              <w:rPr>
                <w:rFonts w:eastAsia="Calibri" w:cs="Calibri"/>
                <w:color w:val="000000"/>
                <w:sz w:val="20"/>
                <w:szCs w:val="20"/>
                <w:lang w:eastAsia="cs-CZ"/>
              </w:rPr>
            </w:pPr>
            <w:r w:rsidRPr="00B650DB">
              <w:rPr>
                <w:rFonts w:eastAsia="Calibri" w:cs="Calibri"/>
                <w:color w:val="000000"/>
                <w:sz w:val="20"/>
                <w:szCs w:val="20"/>
                <w:lang w:eastAsia="cs-CZ"/>
              </w:rPr>
              <w:t>Opravné položky</w:t>
            </w:r>
          </w:p>
        </w:tc>
        <w:tc>
          <w:tcPr>
            <w:tcW w:w="1847" w:type="dxa"/>
            <w:noWrap/>
            <w:tcMar>
              <w:top w:w="0" w:type="dxa"/>
              <w:left w:w="70" w:type="dxa"/>
              <w:bottom w:w="0" w:type="dxa"/>
              <w:right w:w="70" w:type="dxa"/>
            </w:tcMar>
            <w:vAlign w:val="center"/>
            <w:hideMark/>
          </w:tcPr>
          <w:p w14:paraId="61F3F660"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0,00</w:t>
            </w:r>
          </w:p>
        </w:tc>
        <w:tc>
          <w:tcPr>
            <w:tcW w:w="1701" w:type="dxa"/>
            <w:noWrap/>
            <w:tcMar>
              <w:top w:w="0" w:type="dxa"/>
              <w:left w:w="70" w:type="dxa"/>
              <w:bottom w:w="0" w:type="dxa"/>
              <w:right w:w="70" w:type="dxa"/>
            </w:tcMar>
            <w:vAlign w:val="center"/>
            <w:hideMark/>
          </w:tcPr>
          <w:p w14:paraId="673F9B16"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59,61</w:t>
            </w:r>
          </w:p>
        </w:tc>
        <w:tc>
          <w:tcPr>
            <w:tcW w:w="1627" w:type="dxa"/>
            <w:noWrap/>
            <w:tcMar>
              <w:top w:w="0" w:type="dxa"/>
              <w:left w:w="70" w:type="dxa"/>
              <w:bottom w:w="0" w:type="dxa"/>
              <w:right w:w="70" w:type="dxa"/>
            </w:tcMar>
            <w:vAlign w:val="center"/>
            <w:hideMark/>
          </w:tcPr>
          <w:p w14:paraId="0E2D8F82" w14:textId="0F1F2F61" w:rsidR="00165E7D" w:rsidRPr="00B650DB" w:rsidRDefault="008F0D51" w:rsidP="00B650DB">
            <w:pPr>
              <w:spacing w:after="0"/>
              <w:ind w:right="150"/>
              <w:jc w:val="right"/>
              <w:rPr>
                <w:rFonts w:eastAsia="Calibri" w:cs="Calibri"/>
                <w:color w:val="000000"/>
                <w:sz w:val="20"/>
                <w:szCs w:val="20"/>
                <w:lang w:eastAsia="cs-CZ"/>
              </w:rPr>
            </w:pPr>
            <w:r>
              <w:rPr>
                <w:rFonts w:eastAsia="Calibri" w:cs="Calibri"/>
                <w:color w:val="000000"/>
                <w:sz w:val="20"/>
                <w:szCs w:val="20"/>
                <w:lang w:eastAsia="cs-CZ"/>
              </w:rPr>
              <w:t>−</w:t>
            </w:r>
            <w:r w:rsidR="00165E7D" w:rsidRPr="00B650DB">
              <w:rPr>
                <w:rFonts w:eastAsia="Calibri" w:cs="Calibri"/>
                <w:color w:val="000000"/>
                <w:sz w:val="20"/>
                <w:szCs w:val="20"/>
                <w:lang w:eastAsia="cs-CZ"/>
              </w:rPr>
              <w:t>59,61</w:t>
            </w:r>
          </w:p>
        </w:tc>
        <w:tc>
          <w:tcPr>
            <w:tcW w:w="16" w:type="dxa"/>
            <w:vAlign w:val="center"/>
            <w:hideMark/>
          </w:tcPr>
          <w:p w14:paraId="04E73304" w14:textId="77777777" w:rsidR="00165E7D" w:rsidRPr="00B650DB" w:rsidRDefault="00165E7D" w:rsidP="00B650DB">
            <w:pPr>
              <w:spacing w:after="0"/>
              <w:rPr>
                <w:rFonts w:eastAsia="Calibri" w:cs="Calibri"/>
                <w:color w:val="000000"/>
                <w:sz w:val="20"/>
                <w:szCs w:val="20"/>
                <w:lang w:eastAsia="cs-CZ"/>
              </w:rPr>
            </w:pPr>
          </w:p>
        </w:tc>
      </w:tr>
      <w:tr w:rsidR="00165E7D" w:rsidRPr="00B650DB" w14:paraId="00BDD69E" w14:textId="77777777" w:rsidTr="00D27360">
        <w:trPr>
          <w:trHeight w:val="283"/>
          <w:jc w:val="center"/>
        </w:trPr>
        <w:tc>
          <w:tcPr>
            <w:tcW w:w="3965" w:type="dxa"/>
            <w:noWrap/>
            <w:tcMar>
              <w:top w:w="0" w:type="dxa"/>
              <w:left w:w="70" w:type="dxa"/>
              <w:bottom w:w="0" w:type="dxa"/>
              <w:right w:w="70" w:type="dxa"/>
            </w:tcMar>
            <w:vAlign w:val="center"/>
            <w:hideMark/>
          </w:tcPr>
          <w:p w14:paraId="7E0573F1" w14:textId="77777777" w:rsidR="00165E7D" w:rsidRPr="00B650DB" w:rsidRDefault="00165E7D" w:rsidP="00B650DB">
            <w:pPr>
              <w:spacing w:after="0"/>
              <w:rPr>
                <w:rFonts w:eastAsia="Calibri" w:cs="Calibri"/>
                <w:color w:val="000000"/>
                <w:sz w:val="20"/>
                <w:szCs w:val="20"/>
                <w:lang w:eastAsia="cs-CZ"/>
              </w:rPr>
            </w:pPr>
            <w:r w:rsidRPr="00B650DB">
              <w:rPr>
                <w:rFonts w:eastAsia="Calibri" w:cs="Calibri"/>
                <w:color w:val="000000"/>
                <w:sz w:val="20"/>
                <w:szCs w:val="20"/>
                <w:lang w:eastAsia="cs-CZ"/>
              </w:rPr>
              <w:t>Vyřazené pohledávky OP PI</w:t>
            </w:r>
          </w:p>
        </w:tc>
        <w:tc>
          <w:tcPr>
            <w:tcW w:w="1847" w:type="dxa"/>
            <w:noWrap/>
            <w:tcMar>
              <w:top w:w="0" w:type="dxa"/>
              <w:left w:w="70" w:type="dxa"/>
              <w:bottom w:w="0" w:type="dxa"/>
              <w:right w:w="70" w:type="dxa"/>
            </w:tcMar>
            <w:vAlign w:val="center"/>
            <w:hideMark/>
          </w:tcPr>
          <w:p w14:paraId="323DE2F5"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0,00</w:t>
            </w:r>
          </w:p>
        </w:tc>
        <w:tc>
          <w:tcPr>
            <w:tcW w:w="1701" w:type="dxa"/>
            <w:noWrap/>
            <w:tcMar>
              <w:top w:w="0" w:type="dxa"/>
              <w:left w:w="70" w:type="dxa"/>
              <w:bottom w:w="0" w:type="dxa"/>
              <w:right w:w="70" w:type="dxa"/>
            </w:tcMar>
            <w:vAlign w:val="center"/>
            <w:hideMark/>
          </w:tcPr>
          <w:p w14:paraId="0B3894F8"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3 608,04</w:t>
            </w:r>
          </w:p>
        </w:tc>
        <w:tc>
          <w:tcPr>
            <w:tcW w:w="1627" w:type="dxa"/>
            <w:noWrap/>
            <w:tcMar>
              <w:top w:w="0" w:type="dxa"/>
              <w:left w:w="70" w:type="dxa"/>
              <w:bottom w:w="0" w:type="dxa"/>
              <w:right w:w="70" w:type="dxa"/>
            </w:tcMar>
            <w:vAlign w:val="center"/>
            <w:hideMark/>
          </w:tcPr>
          <w:p w14:paraId="14B797E8" w14:textId="3A6965E5" w:rsidR="00165E7D" w:rsidRPr="00B650DB" w:rsidRDefault="008F0D51" w:rsidP="00B650DB">
            <w:pPr>
              <w:spacing w:after="0"/>
              <w:ind w:right="150"/>
              <w:jc w:val="right"/>
              <w:rPr>
                <w:rFonts w:eastAsia="Calibri" w:cs="Calibri"/>
                <w:color w:val="000000"/>
                <w:sz w:val="20"/>
                <w:szCs w:val="20"/>
                <w:lang w:eastAsia="cs-CZ"/>
              </w:rPr>
            </w:pPr>
            <w:r>
              <w:rPr>
                <w:rFonts w:eastAsia="Calibri" w:cs="Calibri"/>
                <w:color w:val="000000"/>
                <w:sz w:val="20"/>
                <w:szCs w:val="20"/>
                <w:lang w:eastAsia="cs-CZ"/>
              </w:rPr>
              <w:t>−</w:t>
            </w:r>
            <w:r w:rsidR="00165E7D" w:rsidRPr="00B650DB">
              <w:rPr>
                <w:rFonts w:eastAsia="Calibri" w:cs="Calibri"/>
                <w:color w:val="000000"/>
                <w:sz w:val="20"/>
                <w:szCs w:val="20"/>
                <w:lang w:eastAsia="cs-CZ"/>
              </w:rPr>
              <w:t>3 608,04</w:t>
            </w:r>
          </w:p>
        </w:tc>
        <w:tc>
          <w:tcPr>
            <w:tcW w:w="16" w:type="dxa"/>
            <w:vAlign w:val="center"/>
            <w:hideMark/>
          </w:tcPr>
          <w:p w14:paraId="624B6064" w14:textId="77777777" w:rsidR="00165E7D" w:rsidRPr="00B650DB" w:rsidRDefault="00165E7D" w:rsidP="00B650DB">
            <w:pPr>
              <w:spacing w:after="0"/>
              <w:rPr>
                <w:rFonts w:eastAsia="Calibri" w:cs="Calibri"/>
                <w:color w:val="000000"/>
                <w:sz w:val="20"/>
                <w:szCs w:val="20"/>
                <w:lang w:eastAsia="cs-CZ"/>
              </w:rPr>
            </w:pPr>
          </w:p>
        </w:tc>
      </w:tr>
      <w:tr w:rsidR="00165E7D" w:rsidRPr="00B650DB" w14:paraId="6A321164" w14:textId="77777777" w:rsidTr="00D27360">
        <w:trPr>
          <w:trHeight w:val="283"/>
          <w:jc w:val="center"/>
        </w:trPr>
        <w:tc>
          <w:tcPr>
            <w:tcW w:w="3965" w:type="dxa"/>
            <w:tcMar>
              <w:top w:w="0" w:type="dxa"/>
              <w:left w:w="70" w:type="dxa"/>
              <w:bottom w:w="0" w:type="dxa"/>
              <w:right w:w="70" w:type="dxa"/>
            </w:tcMar>
            <w:vAlign w:val="center"/>
            <w:hideMark/>
          </w:tcPr>
          <w:p w14:paraId="0DDF094C" w14:textId="77777777" w:rsidR="00165E7D" w:rsidRPr="00B650DB" w:rsidRDefault="00165E7D" w:rsidP="00B650DB">
            <w:pPr>
              <w:spacing w:after="0"/>
              <w:rPr>
                <w:rFonts w:eastAsia="Calibri" w:cs="Calibri"/>
                <w:color w:val="000000"/>
                <w:sz w:val="20"/>
                <w:szCs w:val="20"/>
                <w:lang w:eastAsia="cs-CZ"/>
              </w:rPr>
            </w:pPr>
            <w:r w:rsidRPr="00B650DB">
              <w:rPr>
                <w:rFonts w:eastAsia="Calibri" w:cs="Calibri"/>
                <w:color w:val="000000"/>
                <w:sz w:val="20"/>
                <w:szCs w:val="20"/>
                <w:lang w:eastAsia="cs-CZ"/>
              </w:rPr>
              <w:t>Bezúplatné pozbytí zásob osobních ochranných pomůcek vybraným účetním jednotkám a mimo vybrané účetní jednotky</w:t>
            </w:r>
          </w:p>
        </w:tc>
        <w:tc>
          <w:tcPr>
            <w:tcW w:w="1847" w:type="dxa"/>
            <w:noWrap/>
            <w:tcMar>
              <w:top w:w="0" w:type="dxa"/>
              <w:left w:w="70" w:type="dxa"/>
              <w:bottom w:w="0" w:type="dxa"/>
              <w:right w:w="70" w:type="dxa"/>
            </w:tcMar>
            <w:vAlign w:val="center"/>
            <w:hideMark/>
          </w:tcPr>
          <w:p w14:paraId="40746E4B"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0,00</w:t>
            </w:r>
          </w:p>
        </w:tc>
        <w:tc>
          <w:tcPr>
            <w:tcW w:w="1701" w:type="dxa"/>
            <w:noWrap/>
            <w:tcMar>
              <w:top w:w="0" w:type="dxa"/>
              <w:left w:w="70" w:type="dxa"/>
              <w:bottom w:w="0" w:type="dxa"/>
              <w:right w:w="70" w:type="dxa"/>
            </w:tcMar>
            <w:vAlign w:val="center"/>
            <w:hideMark/>
          </w:tcPr>
          <w:p w14:paraId="4DB815BD"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164,37</w:t>
            </w:r>
          </w:p>
        </w:tc>
        <w:tc>
          <w:tcPr>
            <w:tcW w:w="1627" w:type="dxa"/>
            <w:noWrap/>
            <w:tcMar>
              <w:top w:w="0" w:type="dxa"/>
              <w:left w:w="70" w:type="dxa"/>
              <w:bottom w:w="0" w:type="dxa"/>
              <w:right w:w="70" w:type="dxa"/>
            </w:tcMar>
            <w:vAlign w:val="center"/>
            <w:hideMark/>
          </w:tcPr>
          <w:p w14:paraId="2A26D7C4" w14:textId="7876CADE" w:rsidR="00165E7D" w:rsidRPr="00B650DB" w:rsidRDefault="008F0D51" w:rsidP="00B650DB">
            <w:pPr>
              <w:spacing w:after="0"/>
              <w:ind w:right="150"/>
              <w:jc w:val="right"/>
              <w:rPr>
                <w:rFonts w:eastAsia="Calibri" w:cs="Calibri"/>
                <w:color w:val="000000"/>
                <w:sz w:val="20"/>
                <w:szCs w:val="20"/>
                <w:lang w:eastAsia="cs-CZ"/>
              </w:rPr>
            </w:pPr>
            <w:r>
              <w:rPr>
                <w:rFonts w:eastAsia="Calibri" w:cs="Calibri"/>
                <w:color w:val="000000"/>
                <w:sz w:val="20"/>
                <w:szCs w:val="20"/>
                <w:lang w:eastAsia="cs-CZ"/>
              </w:rPr>
              <w:t>−</w:t>
            </w:r>
            <w:r w:rsidR="00165E7D" w:rsidRPr="00B650DB">
              <w:rPr>
                <w:rFonts w:eastAsia="Calibri" w:cs="Calibri"/>
                <w:color w:val="000000"/>
                <w:sz w:val="20"/>
                <w:szCs w:val="20"/>
                <w:lang w:eastAsia="cs-CZ"/>
              </w:rPr>
              <w:t>164,37</w:t>
            </w:r>
          </w:p>
        </w:tc>
        <w:tc>
          <w:tcPr>
            <w:tcW w:w="16" w:type="dxa"/>
            <w:vAlign w:val="center"/>
            <w:hideMark/>
          </w:tcPr>
          <w:p w14:paraId="2F304775" w14:textId="77777777" w:rsidR="00165E7D" w:rsidRPr="00B650DB" w:rsidRDefault="00165E7D" w:rsidP="00B650DB">
            <w:pPr>
              <w:spacing w:after="0"/>
              <w:rPr>
                <w:rFonts w:eastAsia="Calibri" w:cs="Calibri"/>
                <w:color w:val="000000"/>
                <w:sz w:val="20"/>
                <w:szCs w:val="20"/>
                <w:lang w:eastAsia="cs-CZ"/>
              </w:rPr>
            </w:pPr>
          </w:p>
        </w:tc>
      </w:tr>
      <w:tr w:rsidR="00165E7D" w:rsidRPr="00B650DB" w14:paraId="290CFC4E" w14:textId="77777777" w:rsidTr="00D27360">
        <w:trPr>
          <w:trHeight w:val="283"/>
          <w:jc w:val="center"/>
        </w:trPr>
        <w:tc>
          <w:tcPr>
            <w:tcW w:w="3965" w:type="dxa"/>
            <w:tcMar>
              <w:top w:w="0" w:type="dxa"/>
              <w:left w:w="70" w:type="dxa"/>
              <w:bottom w:w="0" w:type="dxa"/>
              <w:right w:w="70" w:type="dxa"/>
            </w:tcMar>
            <w:vAlign w:val="center"/>
            <w:hideMark/>
          </w:tcPr>
          <w:p w14:paraId="1DD22AE2" w14:textId="3CFAB4F4" w:rsidR="00165E7D" w:rsidRPr="00B650DB" w:rsidRDefault="00165E7D" w:rsidP="00B650DB">
            <w:pPr>
              <w:spacing w:after="0"/>
              <w:rPr>
                <w:rFonts w:eastAsia="Calibri" w:cs="Calibri"/>
                <w:color w:val="000000"/>
                <w:sz w:val="20"/>
                <w:szCs w:val="20"/>
                <w:lang w:eastAsia="cs-CZ"/>
              </w:rPr>
            </w:pPr>
            <w:r w:rsidRPr="00B650DB">
              <w:rPr>
                <w:rFonts w:eastAsia="Calibri" w:cs="Calibri"/>
                <w:color w:val="000000"/>
                <w:sz w:val="20"/>
                <w:szCs w:val="20"/>
                <w:lang w:eastAsia="cs-CZ"/>
              </w:rPr>
              <w:t>Náklad z dohadné položky pasivní z titulu 4.</w:t>
            </w:r>
            <w:r w:rsidR="000C70AB">
              <w:rPr>
                <w:rFonts w:eastAsia="Calibri" w:cs="Calibri"/>
                <w:color w:val="000000"/>
                <w:sz w:val="20"/>
                <w:szCs w:val="20"/>
                <w:lang w:eastAsia="cs-CZ"/>
              </w:rPr>
              <w:t> </w:t>
            </w:r>
            <w:r w:rsidRPr="00B650DB">
              <w:rPr>
                <w:rFonts w:eastAsia="Calibri" w:cs="Calibri"/>
                <w:color w:val="000000"/>
                <w:sz w:val="20"/>
                <w:szCs w:val="20"/>
                <w:lang w:eastAsia="cs-CZ"/>
              </w:rPr>
              <w:t xml:space="preserve">splátky </w:t>
            </w:r>
            <w:r w:rsidRPr="00B650DB">
              <w:rPr>
                <w:rFonts w:eastAsia="Calibri" w:cs="Calibri"/>
                <w:sz w:val="20"/>
                <w:szCs w:val="20"/>
              </w:rPr>
              <w:t>dotace dle zákona č. 165/2012 Sb.</w:t>
            </w:r>
            <w:r w:rsidRPr="00B650DB">
              <w:rPr>
                <w:rFonts w:eastAsia="Calibri" w:cs="Calibri"/>
                <w:color w:val="000000"/>
                <w:sz w:val="20"/>
                <w:szCs w:val="20"/>
                <w:lang w:eastAsia="cs-CZ"/>
              </w:rPr>
              <w:t xml:space="preserve"> (rok 2020)</w:t>
            </w:r>
          </w:p>
        </w:tc>
        <w:tc>
          <w:tcPr>
            <w:tcW w:w="1847" w:type="dxa"/>
            <w:noWrap/>
            <w:tcMar>
              <w:top w:w="0" w:type="dxa"/>
              <w:left w:w="70" w:type="dxa"/>
              <w:bottom w:w="0" w:type="dxa"/>
              <w:right w:w="70" w:type="dxa"/>
            </w:tcMar>
            <w:vAlign w:val="center"/>
            <w:hideMark/>
          </w:tcPr>
          <w:p w14:paraId="22C3D5C1"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0,00</w:t>
            </w:r>
          </w:p>
        </w:tc>
        <w:tc>
          <w:tcPr>
            <w:tcW w:w="1701" w:type="dxa"/>
            <w:noWrap/>
            <w:tcMar>
              <w:top w:w="0" w:type="dxa"/>
              <w:left w:w="70" w:type="dxa"/>
              <w:bottom w:w="0" w:type="dxa"/>
              <w:right w:w="70" w:type="dxa"/>
            </w:tcMar>
            <w:vAlign w:val="center"/>
            <w:hideMark/>
          </w:tcPr>
          <w:p w14:paraId="4DEC02B0"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5 790,00</w:t>
            </w:r>
          </w:p>
        </w:tc>
        <w:tc>
          <w:tcPr>
            <w:tcW w:w="1627" w:type="dxa"/>
            <w:noWrap/>
            <w:tcMar>
              <w:top w:w="0" w:type="dxa"/>
              <w:left w:w="70" w:type="dxa"/>
              <w:bottom w:w="0" w:type="dxa"/>
              <w:right w:w="70" w:type="dxa"/>
            </w:tcMar>
            <w:vAlign w:val="center"/>
            <w:hideMark/>
          </w:tcPr>
          <w:p w14:paraId="722FEEE7" w14:textId="0051AE33" w:rsidR="00165E7D" w:rsidRPr="00B650DB" w:rsidRDefault="008F0D51" w:rsidP="00B650DB">
            <w:pPr>
              <w:spacing w:after="0"/>
              <w:ind w:right="150"/>
              <w:jc w:val="right"/>
              <w:rPr>
                <w:rFonts w:eastAsia="Calibri" w:cs="Calibri"/>
                <w:color w:val="000000"/>
                <w:sz w:val="20"/>
                <w:szCs w:val="20"/>
                <w:lang w:eastAsia="cs-CZ"/>
              </w:rPr>
            </w:pPr>
            <w:r>
              <w:rPr>
                <w:rFonts w:eastAsia="Calibri" w:cs="Calibri"/>
                <w:color w:val="000000"/>
                <w:sz w:val="20"/>
                <w:szCs w:val="20"/>
                <w:lang w:eastAsia="cs-CZ"/>
              </w:rPr>
              <w:t>−</w:t>
            </w:r>
            <w:r w:rsidR="00165E7D" w:rsidRPr="00B650DB">
              <w:rPr>
                <w:rFonts w:eastAsia="Calibri" w:cs="Calibri"/>
                <w:color w:val="000000"/>
                <w:sz w:val="20"/>
                <w:szCs w:val="20"/>
                <w:lang w:eastAsia="cs-CZ"/>
              </w:rPr>
              <w:t>5 790,00</w:t>
            </w:r>
          </w:p>
        </w:tc>
        <w:tc>
          <w:tcPr>
            <w:tcW w:w="16" w:type="dxa"/>
            <w:vAlign w:val="center"/>
            <w:hideMark/>
          </w:tcPr>
          <w:p w14:paraId="33ED135F" w14:textId="77777777" w:rsidR="00165E7D" w:rsidRPr="00B650DB" w:rsidRDefault="00165E7D" w:rsidP="00B650DB">
            <w:pPr>
              <w:spacing w:after="0"/>
              <w:rPr>
                <w:rFonts w:eastAsia="Calibri" w:cs="Calibri"/>
                <w:color w:val="000000"/>
                <w:sz w:val="20"/>
                <w:szCs w:val="20"/>
                <w:lang w:eastAsia="cs-CZ"/>
              </w:rPr>
            </w:pPr>
          </w:p>
        </w:tc>
      </w:tr>
      <w:tr w:rsidR="00165E7D" w:rsidRPr="00B650DB" w14:paraId="5BDCB413" w14:textId="77777777" w:rsidTr="00D27360">
        <w:trPr>
          <w:trHeight w:val="283"/>
          <w:jc w:val="center"/>
        </w:trPr>
        <w:tc>
          <w:tcPr>
            <w:tcW w:w="3965" w:type="dxa"/>
            <w:tcMar>
              <w:top w:w="0" w:type="dxa"/>
              <w:left w:w="70" w:type="dxa"/>
              <w:bottom w:w="0" w:type="dxa"/>
              <w:right w:w="70" w:type="dxa"/>
            </w:tcMar>
            <w:vAlign w:val="center"/>
          </w:tcPr>
          <w:p w14:paraId="7237F92D" w14:textId="77777777" w:rsidR="00165E7D" w:rsidRPr="00B650DB" w:rsidRDefault="00165E7D" w:rsidP="00B650DB">
            <w:pPr>
              <w:spacing w:after="0"/>
              <w:rPr>
                <w:rFonts w:eastAsia="Calibri" w:cs="Calibri"/>
                <w:color w:val="000000"/>
                <w:sz w:val="20"/>
                <w:szCs w:val="20"/>
                <w:lang w:eastAsia="cs-CZ"/>
              </w:rPr>
            </w:pPr>
            <w:r w:rsidRPr="00B650DB">
              <w:rPr>
                <w:rFonts w:eastAsia="Calibri" w:cs="Calibri"/>
                <w:color w:val="000000"/>
                <w:sz w:val="20"/>
                <w:szCs w:val="20"/>
                <w:lang w:eastAsia="cs-CZ"/>
              </w:rPr>
              <w:t>Náklady z operací s finančními nástroji</w:t>
            </w:r>
          </w:p>
        </w:tc>
        <w:tc>
          <w:tcPr>
            <w:tcW w:w="1847" w:type="dxa"/>
            <w:noWrap/>
            <w:tcMar>
              <w:top w:w="0" w:type="dxa"/>
              <w:left w:w="70" w:type="dxa"/>
              <w:bottom w:w="0" w:type="dxa"/>
              <w:right w:w="70" w:type="dxa"/>
            </w:tcMar>
            <w:vAlign w:val="center"/>
          </w:tcPr>
          <w:p w14:paraId="685F2011"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0,00</w:t>
            </w:r>
          </w:p>
        </w:tc>
        <w:tc>
          <w:tcPr>
            <w:tcW w:w="1701" w:type="dxa"/>
            <w:noWrap/>
            <w:tcMar>
              <w:top w:w="0" w:type="dxa"/>
              <w:left w:w="70" w:type="dxa"/>
              <w:bottom w:w="0" w:type="dxa"/>
              <w:right w:w="70" w:type="dxa"/>
            </w:tcMar>
            <w:vAlign w:val="center"/>
          </w:tcPr>
          <w:p w14:paraId="245E1B99"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415,73</w:t>
            </w:r>
          </w:p>
        </w:tc>
        <w:tc>
          <w:tcPr>
            <w:tcW w:w="1627" w:type="dxa"/>
            <w:noWrap/>
            <w:tcMar>
              <w:top w:w="0" w:type="dxa"/>
              <w:left w:w="70" w:type="dxa"/>
              <w:bottom w:w="0" w:type="dxa"/>
              <w:right w:w="70" w:type="dxa"/>
            </w:tcMar>
            <w:vAlign w:val="center"/>
          </w:tcPr>
          <w:p w14:paraId="495573E1" w14:textId="58947E44" w:rsidR="00165E7D" w:rsidRPr="00B650DB" w:rsidRDefault="008F0D51" w:rsidP="00B650DB">
            <w:pPr>
              <w:spacing w:after="0"/>
              <w:ind w:right="150"/>
              <w:jc w:val="right"/>
              <w:rPr>
                <w:rFonts w:eastAsia="Calibri" w:cs="Calibri"/>
                <w:color w:val="000000"/>
                <w:sz w:val="20"/>
                <w:szCs w:val="20"/>
                <w:lang w:eastAsia="cs-CZ"/>
              </w:rPr>
            </w:pPr>
            <w:r>
              <w:rPr>
                <w:rFonts w:eastAsia="Calibri" w:cs="Calibri"/>
                <w:color w:val="000000"/>
                <w:sz w:val="20"/>
                <w:szCs w:val="20"/>
                <w:lang w:eastAsia="cs-CZ"/>
              </w:rPr>
              <w:t>−</w:t>
            </w:r>
            <w:r w:rsidR="00165E7D" w:rsidRPr="00B650DB">
              <w:rPr>
                <w:rFonts w:eastAsia="Calibri" w:cs="Calibri"/>
                <w:color w:val="000000"/>
                <w:sz w:val="20"/>
                <w:szCs w:val="20"/>
                <w:lang w:eastAsia="cs-CZ"/>
              </w:rPr>
              <w:t>415,73</w:t>
            </w:r>
          </w:p>
        </w:tc>
        <w:tc>
          <w:tcPr>
            <w:tcW w:w="16" w:type="dxa"/>
            <w:vAlign w:val="center"/>
          </w:tcPr>
          <w:p w14:paraId="6E4B5A86" w14:textId="77777777" w:rsidR="00165E7D" w:rsidRPr="00B650DB" w:rsidRDefault="00165E7D" w:rsidP="00B650DB">
            <w:pPr>
              <w:spacing w:after="0"/>
              <w:rPr>
                <w:rFonts w:eastAsia="Calibri" w:cs="Calibri"/>
                <w:color w:val="000000"/>
                <w:sz w:val="20"/>
                <w:szCs w:val="20"/>
                <w:lang w:eastAsia="cs-CZ"/>
              </w:rPr>
            </w:pPr>
          </w:p>
        </w:tc>
      </w:tr>
      <w:tr w:rsidR="00165E7D" w:rsidRPr="00B650DB" w14:paraId="440BAD9F" w14:textId="77777777" w:rsidTr="00D27360">
        <w:trPr>
          <w:trHeight w:val="283"/>
          <w:jc w:val="center"/>
        </w:trPr>
        <w:tc>
          <w:tcPr>
            <w:tcW w:w="3965" w:type="dxa"/>
            <w:noWrap/>
            <w:tcMar>
              <w:top w:w="0" w:type="dxa"/>
              <w:left w:w="70" w:type="dxa"/>
              <w:bottom w:w="0" w:type="dxa"/>
              <w:right w:w="70" w:type="dxa"/>
            </w:tcMar>
            <w:vAlign w:val="center"/>
            <w:hideMark/>
          </w:tcPr>
          <w:p w14:paraId="3CF51E3C" w14:textId="77777777" w:rsidR="00165E7D" w:rsidRPr="00B650DB" w:rsidRDefault="00165E7D" w:rsidP="00B650DB">
            <w:pPr>
              <w:spacing w:after="0"/>
              <w:rPr>
                <w:rFonts w:eastAsia="Calibri" w:cs="Calibri"/>
                <w:color w:val="000000"/>
                <w:sz w:val="20"/>
                <w:szCs w:val="20"/>
                <w:lang w:eastAsia="cs-CZ"/>
              </w:rPr>
            </w:pPr>
            <w:r w:rsidRPr="00B650DB">
              <w:rPr>
                <w:rFonts w:eastAsia="Calibri" w:cs="Calibri"/>
                <w:color w:val="000000"/>
                <w:sz w:val="20"/>
                <w:szCs w:val="20"/>
                <w:lang w:eastAsia="cs-CZ"/>
              </w:rPr>
              <w:t>Vklady do finančních nástrojů</w:t>
            </w:r>
          </w:p>
        </w:tc>
        <w:tc>
          <w:tcPr>
            <w:tcW w:w="1847" w:type="dxa"/>
            <w:noWrap/>
            <w:tcMar>
              <w:top w:w="0" w:type="dxa"/>
              <w:left w:w="70" w:type="dxa"/>
              <w:bottom w:w="0" w:type="dxa"/>
              <w:right w:w="70" w:type="dxa"/>
            </w:tcMar>
            <w:vAlign w:val="center"/>
            <w:hideMark/>
          </w:tcPr>
          <w:p w14:paraId="2295BBC4"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6 909,03</w:t>
            </w:r>
          </w:p>
        </w:tc>
        <w:tc>
          <w:tcPr>
            <w:tcW w:w="1701" w:type="dxa"/>
            <w:noWrap/>
            <w:tcMar>
              <w:top w:w="0" w:type="dxa"/>
              <w:left w:w="70" w:type="dxa"/>
              <w:bottom w:w="0" w:type="dxa"/>
              <w:right w:w="70" w:type="dxa"/>
            </w:tcMar>
            <w:vAlign w:val="center"/>
            <w:hideMark/>
          </w:tcPr>
          <w:p w14:paraId="65510B1E"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0,00</w:t>
            </w:r>
          </w:p>
        </w:tc>
        <w:tc>
          <w:tcPr>
            <w:tcW w:w="1627" w:type="dxa"/>
            <w:noWrap/>
            <w:tcMar>
              <w:top w:w="0" w:type="dxa"/>
              <w:left w:w="70" w:type="dxa"/>
              <w:bottom w:w="0" w:type="dxa"/>
              <w:right w:w="70" w:type="dxa"/>
            </w:tcMar>
            <w:vAlign w:val="center"/>
            <w:hideMark/>
          </w:tcPr>
          <w:p w14:paraId="71247196"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6 909,03</w:t>
            </w:r>
          </w:p>
        </w:tc>
        <w:tc>
          <w:tcPr>
            <w:tcW w:w="16" w:type="dxa"/>
            <w:vAlign w:val="center"/>
            <w:hideMark/>
          </w:tcPr>
          <w:p w14:paraId="1E2672B8" w14:textId="77777777" w:rsidR="00165E7D" w:rsidRPr="00B650DB" w:rsidRDefault="00165E7D" w:rsidP="00B650DB">
            <w:pPr>
              <w:spacing w:after="0"/>
              <w:rPr>
                <w:rFonts w:eastAsia="Calibri" w:cs="Calibri"/>
                <w:color w:val="000000"/>
                <w:sz w:val="20"/>
                <w:szCs w:val="20"/>
                <w:lang w:eastAsia="cs-CZ"/>
              </w:rPr>
            </w:pPr>
          </w:p>
        </w:tc>
      </w:tr>
      <w:tr w:rsidR="00165E7D" w:rsidRPr="00B650DB" w14:paraId="73E8E627" w14:textId="77777777" w:rsidTr="00D27360">
        <w:trPr>
          <w:trHeight w:val="283"/>
          <w:jc w:val="center"/>
        </w:trPr>
        <w:tc>
          <w:tcPr>
            <w:tcW w:w="3965" w:type="dxa"/>
            <w:noWrap/>
            <w:tcMar>
              <w:top w:w="0" w:type="dxa"/>
              <w:left w:w="70" w:type="dxa"/>
              <w:bottom w:w="0" w:type="dxa"/>
              <w:right w:w="70" w:type="dxa"/>
            </w:tcMar>
            <w:vAlign w:val="center"/>
            <w:hideMark/>
          </w:tcPr>
          <w:p w14:paraId="0F10901F" w14:textId="13AA0BF5" w:rsidR="00165E7D" w:rsidRPr="00B650DB" w:rsidRDefault="00165E7D" w:rsidP="00B650DB">
            <w:pPr>
              <w:spacing w:after="0"/>
              <w:rPr>
                <w:rFonts w:eastAsia="Calibri" w:cs="Calibri"/>
                <w:color w:val="000000"/>
                <w:sz w:val="20"/>
                <w:szCs w:val="20"/>
                <w:lang w:eastAsia="cs-CZ"/>
              </w:rPr>
            </w:pPr>
            <w:r w:rsidRPr="00B650DB">
              <w:rPr>
                <w:rFonts w:eastAsia="Calibri" w:cs="Calibri"/>
                <w:color w:val="000000"/>
                <w:sz w:val="20"/>
                <w:szCs w:val="20"/>
                <w:lang w:eastAsia="cs-CZ"/>
              </w:rPr>
              <w:t xml:space="preserve">Výdaj z titulu 4. splátky </w:t>
            </w:r>
            <w:r w:rsidRPr="00B650DB">
              <w:rPr>
                <w:rFonts w:eastAsia="Calibri" w:cs="Calibri"/>
                <w:sz w:val="20"/>
                <w:szCs w:val="20"/>
              </w:rPr>
              <w:t>dotace dle zákona č.</w:t>
            </w:r>
            <w:r w:rsidR="000C70AB">
              <w:rPr>
                <w:rFonts w:eastAsia="Calibri" w:cs="Calibri"/>
                <w:sz w:val="20"/>
                <w:szCs w:val="20"/>
              </w:rPr>
              <w:t> </w:t>
            </w:r>
            <w:r w:rsidRPr="00B650DB">
              <w:rPr>
                <w:rFonts w:eastAsia="Calibri" w:cs="Calibri"/>
                <w:sz w:val="20"/>
                <w:szCs w:val="20"/>
              </w:rPr>
              <w:t>165/2012 Sb.</w:t>
            </w:r>
            <w:r w:rsidRPr="00B650DB">
              <w:rPr>
                <w:rFonts w:eastAsia="Calibri" w:cs="Calibri"/>
                <w:color w:val="000000"/>
                <w:sz w:val="20"/>
                <w:szCs w:val="20"/>
                <w:lang w:eastAsia="cs-CZ"/>
              </w:rPr>
              <w:t xml:space="preserve"> (rok 2019)</w:t>
            </w:r>
          </w:p>
        </w:tc>
        <w:tc>
          <w:tcPr>
            <w:tcW w:w="1847" w:type="dxa"/>
            <w:noWrap/>
            <w:tcMar>
              <w:top w:w="0" w:type="dxa"/>
              <w:left w:w="70" w:type="dxa"/>
              <w:bottom w:w="0" w:type="dxa"/>
              <w:right w:w="70" w:type="dxa"/>
            </w:tcMar>
            <w:vAlign w:val="center"/>
            <w:hideMark/>
          </w:tcPr>
          <w:p w14:paraId="0975A332"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6 546,25</w:t>
            </w:r>
          </w:p>
        </w:tc>
        <w:tc>
          <w:tcPr>
            <w:tcW w:w="1701" w:type="dxa"/>
            <w:noWrap/>
            <w:tcMar>
              <w:top w:w="0" w:type="dxa"/>
              <w:left w:w="70" w:type="dxa"/>
              <w:bottom w:w="0" w:type="dxa"/>
              <w:right w:w="70" w:type="dxa"/>
            </w:tcMar>
            <w:vAlign w:val="center"/>
            <w:hideMark/>
          </w:tcPr>
          <w:p w14:paraId="010275E8"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0,00</w:t>
            </w:r>
          </w:p>
        </w:tc>
        <w:tc>
          <w:tcPr>
            <w:tcW w:w="1627" w:type="dxa"/>
            <w:noWrap/>
            <w:tcMar>
              <w:top w:w="0" w:type="dxa"/>
              <w:left w:w="70" w:type="dxa"/>
              <w:bottom w:w="0" w:type="dxa"/>
              <w:right w:w="70" w:type="dxa"/>
            </w:tcMar>
            <w:vAlign w:val="center"/>
            <w:hideMark/>
          </w:tcPr>
          <w:p w14:paraId="5671F65C" w14:textId="77777777" w:rsidR="00165E7D" w:rsidRPr="00B650DB" w:rsidRDefault="00165E7D" w:rsidP="00B650DB">
            <w:pPr>
              <w:spacing w:after="0"/>
              <w:ind w:right="150"/>
              <w:jc w:val="right"/>
              <w:rPr>
                <w:rFonts w:eastAsia="Calibri" w:cs="Calibri"/>
                <w:color w:val="000000"/>
                <w:sz w:val="20"/>
                <w:szCs w:val="20"/>
                <w:lang w:eastAsia="cs-CZ"/>
              </w:rPr>
            </w:pPr>
            <w:r w:rsidRPr="00B650DB">
              <w:rPr>
                <w:rFonts w:eastAsia="Calibri" w:cs="Calibri"/>
                <w:color w:val="000000"/>
                <w:sz w:val="20"/>
                <w:szCs w:val="20"/>
                <w:lang w:eastAsia="cs-CZ"/>
              </w:rPr>
              <w:t>6 546,25</w:t>
            </w:r>
          </w:p>
        </w:tc>
        <w:tc>
          <w:tcPr>
            <w:tcW w:w="16" w:type="dxa"/>
            <w:vAlign w:val="center"/>
            <w:hideMark/>
          </w:tcPr>
          <w:p w14:paraId="6D050049" w14:textId="77777777" w:rsidR="00165E7D" w:rsidRPr="00B650DB" w:rsidRDefault="00165E7D" w:rsidP="00B650DB">
            <w:pPr>
              <w:spacing w:after="0"/>
              <w:rPr>
                <w:rFonts w:eastAsia="Calibri" w:cs="Calibri"/>
                <w:color w:val="000000"/>
                <w:sz w:val="20"/>
                <w:szCs w:val="20"/>
                <w:lang w:eastAsia="cs-CZ"/>
              </w:rPr>
            </w:pPr>
          </w:p>
        </w:tc>
      </w:tr>
      <w:tr w:rsidR="00165E7D" w:rsidRPr="00B650DB" w14:paraId="1443B001" w14:textId="77777777" w:rsidTr="00D27360">
        <w:trPr>
          <w:trHeight w:val="283"/>
          <w:jc w:val="center"/>
        </w:trPr>
        <w:tc>
          <w:tcPr>
            <w:tcW w:w="7513" w:type="dxa"/>
            <w:gridSpan w:val="3"/>
            <w:shd w:val="clear" w:color="auto" w:fill="F2C6C9"/>
            <w:noWrap/>
            <w:tcMar>
              <w:top w:w="0" w:type="dxa"/>
              <w:left w:w="70" w:type="dxa"/>
              <w:bottom w:w="0" w:type="dxa"/>
              <w:right w:w="70" w:type="dxa"/>
            </w:tcMar>
            <w:vAlign w:val="center"/>
            <w:hideMark/>
          </w:tcPr>
          <w:p w14:paraId="48D26D43" w14:textId="77777777" w:rsidR="00165E7D" w:rsidRPr="00B650DB" w:rsidRDefault="00165E7D" w:rsidP="00D27360">
            <w:pPr>
              <w:spacing w:after="0"/>
              <w:rPr>
                <w:rFonts w:eastAsia="Calibri" w:cs="Calibri"/>
                <w:b/>
                <w:bCs/>
                <w:color w:val="000000"/>
                <w:sz w:val="20"/>
                <w:szCs w:val="20"/>
                <w:lang w:eastAsia="cs-CZ"/>
              </w:rPr>
            </w:pPr>
            <w:r w:rsidRPr="00B650DB">
              <w:rPr>
                <w:rFonts w:eastAsia="Calibri" w:cs="Calibri"/>
                <w:b/>
                <w:bCs/>
                <w:color w:val="000000"/>
                <w:sz w:val="20"/>
                <w:szCs w:val="20"/>
                <w:lang w:eastAsia="cs-CZ"/>
              </w:rPr>
              <w:t>Rozdíl mezi výdaji a náklady za významné operace celkem</w:t>
            </w:r>
          </w:p>
        </w:tc>
        <w:tc>
          <w:tcPr>
            <w:tcW w:w="1627" w:type="dxa"/>
            <w:shd w:val="clear" w:color="auto" w:fill="F2C6C9"/>
            <w:noWrap/>
            <w:tcMar>
              <w:top w:w="0" w:type="dxa"/>
              <w:left w:w="70" w:type="dxa"/>
              <w:bottom w:w="0" w:type="dxa"/>
              <w:right w:w="70" w:type="dxa"/>
            </w:tcMar>
            <w:vAlign w:val="center"/>
            <w:hideMark/>
          </w:tcPr>
          <w:p w14:paraId="4BB6905C" w14:textId="77777777" w:rsidR="00165E7D" w:rsidRPr="00B650DB" w:rsidRDefault="00165E7D" w:rsidP="00B650DB">
            <w:pPr>
              <w:spacing w:after="0"/>
              <w:ind w:right="170"/>
              <w:jc w:val="right"/>
              <w:rPr>
                <w:rFonts w:eastAsia="Calibri" w:cs="Calibri"/>
                <w:b/>
                <w:bCs/>
                <w:color w:val="000000"/>
                <w:sz w:val="20"/>
                <w:szCs w:val="20"/>
                <w:lang w:eastAsia="cs-CZ"/>
              </w:rPr>
            </w:pPr>
            <w:r w:rsidRPr="00B650DB">
              <w:rPr>
                <w:rFonts w:eastAsia="Calibri" w:cs="Calibri"/>
                <w:b/>
                <w:bCs/>
                <w:color w:val="000000"/>
                <w:sz w:val="20"/>
                <w:szCs w:val="20"/>
                <w:lang w:eastAsia="cs-CZ"/>
              </w:rPr>
              <w:t>3 389,14</w:t>
            </w:r>
          </w:p>
        </w:tc>
        <w:tc>
          <w:tcPr>
            <w:tcW w:w="16" w:type="dxa"/>
            <w:vAlign w:val="center"/>
            <w:hideMark/>
          </w:tcPr>
          <w:p w14:paraId="35CCFE47" w14:textId="77777777" w:rsidR="00165E7D" w:rsidRPr="00B650DB" w:rsidRDefault="00165E7D" w:rsidP="00B650DB">
            <w:pPr>
              <w:spacing w:after="0"/>
              <w:rPr>
                <w:rFonts w:eastAsia="Calibri" w:cs="Calibri"/>
                <w:b/>
                <w:bCs/>
                <w:color w:val="000000"/>
                <w:sz w:val="20"/>
                <w:szCs w:val="20"/>
                <w:lang w:eastAsia="cs-CZ"/>
              </w:rPr>
            </w:pPr>
          </w:p>
        </w:tc>
      </w:tr>
      <w:tr w:rsidR="00165E7D" w:rsidRPr="00B650DB" w14:paraId="1C00C948" w14:textId="77777777" w:rsidTr="00D27360">
        <w:trPr>
          <w:trHeight w:val="283"/>
          <w:jc w:val="center"/>
        </w:trPr>
        <w:tc>
          <w:tcPr>
            <w:tcW w:w="7513" w:type="dxa"/>
            <w:gridSpan w:val="3"/>
            <w:shd w:val="clear" w:color="auto" w:fill="F2C6C9"/>
            <w:tcMar>
              <w:top w:w="0" w:type="dxa"/>
              <w:left w:w="70" w:type="dxa"/>
              <w:bottom w:w="0" w:type="dxa"/>
              <w:right w:w="70" w:type="dxa"/>
            </w:tcMar>
            <w:vAlign w:val="center"/>
            <w:hideMark/>
          </w:tcPr>
          <w:p w14:paraId="03C3D169" w14:textId="77777777" w:rsidR="00165E7D" w:rsidRPr="00B650DB" w:rsidRDefault="00165E7D" w:rsidP="00D27360">
            <w:pPr>
              <w:spacing w:after="0"/>
              <w:rPr>
                <w:rFonts w:eastAsia="Calibri" w:cs="Calibri"/>
                <w:b/>
                <w:bCs/>
                <w:color w:val="000000"/>
                <w:sz w:val="20"/>
                <w:szCs w:val="20"/>
                <w:lang w:eastAsia="cs-CZ"/>
              </w:rPr>
            </w:pPr>
            <w:r w:rsidRPr="00B650DB">
              <w:rPr>
                <w:rFonts w:eastAsia="Calibri" w:cs="Calibri"/>
                <w:b/>
                <w:bCs/>
                <w:color w:val="000000"/>
                <w:sz w:val="20"/>
                <w:szCs w:val="20"/>
                <w:lang w:eastAsia="cs-CZ"/>
              </w:rPr>
              <w:t>Rozdíl mezi saldem peněžních toků a výsledkem hospodaření MPO za významné operace celkem</w:t>
            </w:r>
          </w:p>
        </w:tc>
        <w:tc>
          <w:tcPr>
            <w:tcW w:w="1627" w:type="dxa"/>
            <w:shd w:val="clear" w:color="auto" w:fill="F2C6C9"/>
            <w:noWrap/>
            <w:tcMar>
              <w:top w:w="0" w:type="dxa"/>
              <w:left w:w="70" w:type="dxa"/>
              <w:bottom w:w="0" w:type="dxa"/>
              <w:right w:w="70" w:type="dxa"/>
            </w:tcMar>
            <w:vAlign w:val="center"/>
            <w:hideMark/>
          </w:tcPr>
          <w:p w14:paraId="0A4561B8" w14:textId="77777777" w:rsidR="00165E7D" w:rsidRPr="00B650DB" w:rsidRDefault="00165E7D" w:rsidP="00D27360">
            <w:pPr>
              <w:spacing w:after="0"/>
              <w:ind w:right="170"/>
              <w:jc w:val="right"/>
              <w:rPr>
                <w:rFonts w:eastAsia="Calibri" w:cs="Calibri"/>
                <w:b/>
                <w:bCs/>
                <w:color w:val="000000"/>
                <w:sz w:val="20"/>
                <w:szCs w:val="20"/>
                <w:lang w:eastAsia="cs-CZ"/>
              </w:rPr>
            </w:pPr>
            <w:r w:rsidRPr="00B650DB">
              <w:rPr>
                <w:rFonts w:eastAsia="Calibri" w:cs="Calibri"/>
                <w:b/>
                <w:bCs/>
                <w:color w:val="000000"/>
                <w:sz w:val="20"/>
                <w:szCs w:val="20"/>
                <w:lang w:eastAsia="cs-CZ"/>
              </w:rPr>
              <w:t>7 333,96</w:t>
            </w:r>
          </w:p>
        </w:tc>
        <w:tc>
          <w:tcPr>
            <w:tcW w:w="16" w:type="dxa"/>
            <w:vAlign w:val="center"/>
            <w:hideMark/>
          </w:tcPr>
          <w:p w14:paraId="22C288A4" w14:textId="77777777" w:rsidR="00165E7D" w:rsidRPr="00B650DB" w:rsidRDefault="00165E7D" w:rsidP="00B650DB">
            <w:pPr>
              <w:spacing w:after="0"/>
              <w:rPr>
                <w:rFonts w:eastAsia="Calibri" w:cs="Calibri"/>
                <w:b/>
                <w:bCs/>
                <w:color w:val="000000"/>
                <w:sz w:val="20"/>
                <w:szCs w:val="20"/>
                <w:lang w:eastAsia="cs-CZ"/>
              </w:rPr>
            </w:pPr>
          </w:p>
        </w:tc>
      </w:tr>
    </w:tbl>
    <w:p w14:paraId="6536907E" w14:textId="305F5EDB" w:rsidR="00165E7D" w:rsidRPr="008778A9" w:rsidRDefault="00165E7D" w:rsidP="00165E7D">
      <w:pPr>
        <w:spacing w:before="40"/>
        <w:rPr>
          <w:rFonts w:cs="Calibri"/>
          <w:b/>
          <w:color w:val="000000"/>
          <w:sz w:val="20"/>
          <w:szCs w:val="20"/>
          <w:lang w:eastAsia="cs-CZ"/>
        </w:rPr>
      </w:pPr>
      <w:r w:rsidRPr="008778A9">
        <w:rPr>
          <w:rFonts w:cs="Calibri"/>
          <w:b/>
          <w:color w:val="000000"/>
          <w:sz w:val="20"/>
          <w:szCs w:val="20"/>
          <w:lang w:eastAsia="cs-CZ"/>
        </w:rPr>
        <w:t xml:space="preserve">Zdroj: </w:t>
      </w:r>
      <w:r>
        <w:rPr>
          <w:rFonts w:cs="Calibri"/>
          <w:color w:val="000000"/>
          <w:sz w:val="20"/>
          <w:szCs w:val="20"/>
          <w:lang w:eastAsia="cs-CZ"/>
        </w:rPr>
        <w:t>ú</w:t>
      </w:r>
      <w:r w:rsidRPr="008778A9">
        <w:rPr>
          <w:rFonts w:cs="Calibri"/>
          <w:color w:val="000000"/>
          <w:sz w:val="20"/>
          <w:szCs w:val="20"/>
          <w:lang w:eastAsia="cs-CZ"/>
        </w:rPr>
        <w:t>četní data MPO za rok 2020, ÚZ MPO za rok 2020</w:t>
      </w:r>
      <w:r>
        <w:rPr>
          <w:rFonts w:cs="Calibri"/>
          <w:color w:val="000000"/>
          <w:sz w:val="20"/>
          <w:szCs w:val="20"/>
          <w:lang w:eastAsia="cs-CZ"/>
        </w:rPr>
        <w:t>.</w:t>
      </w:r>
    </w:p>
    <w:p w14:paraId="5DD33DD7" w14:textId="77777777" w:rsidR="00165E7D" w:rsidRPr="00243707" w:rsidRDefault="00165E7D" w:rsidP="000C70AB">
      <w:pPr>
        <w:spacing w:before="240"/>
        <w:jc w:val="both"/>
        <w:rPr>
          <w:rFonts w:asciiTheme="minorHAnsi" w:hAnsiTheme="minorHAnsi" w:cstheme="minorHAnsi"/>
        </w:rPr>
      </w:pPr>
      <w:r w:rsidRPr="00243707">
        <w:rPr>
          <w:rFonts w:asciiTheme="minorHAnsi" w:hAnsiTheme="minorHAnsi" w:cstheme="minorHAnsi"/>
        </w:rPr>
        <w:t>Hlavními důvody rozdílu mezi saldem peněžních toků dle finančního výkazu a hospodářským výsledkem běžného účetního období dle výkazu zisku a ztráty jsou:</w:t>
      </w:r>
    </w:p>
    <w:p w14:paraId="0BF84E6E" w14:textId="77777777" w:rsidR="00165E7D" w:rsidRPr="00243707" w:rsidRDefault="00165E7D" w:rsidP="00D27360">
      <w:pPr>
        <w:numPr>
          <w:ilvl w:val="0"/>
          <w:numId w:val="4"/>
        </w:numPr>
        <w:spacing w:after="0"/>
        <w:ind w:left="284" w:hanging="284"/>
        <w:contextualSpacing/>
        <w:jc w:val="both"/>
        <w:rPr>
          <w:rFonts w:asciiTheme="minorHAnsi" w:hAnsiTheme="minorHAnsi" w:cstheme="minorHAnsi"/>
        </w:rPr>
      </w:pPr>
      <w:r w:rsidRPr="00243707">
        <w:rPr>
          <w:rFonts w:asciiTheme="minorHAnsi" w:hAnsiTheme="minorHAnsi" w:cstheme="minorHAnsi"/>
        </w:rPr>
        <w:t>náklady bez realizace souvisejícího výdaje</w:t>
      </w:r>
      <w:r w:rsidRPr="005E4FFC">
        <w:rPr>
          <w:rStyle w:val="Znakapoznpodarou"/>
          <w:rFonts w:asciiTheme="minorHAnsi" w:eastAsiaTheme="minorHAnsi" w:hAnsiTheme="minorHAnsi" w:cstheme="minorHAnsi"/>
        </w:rPr>
        <w:footnoteReference w:id="55"/>
      </w:r>
      <w:r w:rsidRPr="00243707">
        <w:rPr>
          <w:rFonts w:asciiTheme="minorHAnsi" w:hAnsiTheme="minorHAnsi" w:cstheme="minorHAnsi"/>
        </w:rPr>
        <w:t>, a to zejména:</w:t>
      </w:r>
    </w:p>
    <w:p w14:paraId="4FE585F6" w14:textId="77777777" w:rsidR="00165E7D" w:rsidRPr="00A655F2" w:rsidRDefault="00165E7D" w:rsidP="000C70AB">
      <w:pPr>
        <w:pStyle w:val="Odstavecseseznamem"/>
        <w:numPr>
          <w:ilvl w:val="0"/>
          <w:numId w:val="18"/>
        </w:numPr>
        <w:spacing w:after="0"/>
        <w:ind w:left="567" w:hanging="283"/>
        <w:jc w:val="both"/>
        <w:rPr>
          <w:rFonts w:asciiTheme="minorHAnsi" w:hAnsiTheme="minorHAnsi" w:cstheme="minorHAnsi"/>
        </w:rPr>
      </w:pPr>
      <w:r w:rsidRPr="00A655F2">
        <w:rPr>
          <w:rFonts w:asciiTheme="minorHAnsi" w:hAnsiTheme="minorHAnsi" w:cstheme="minorHAnsi"/>
        </w:rPr>
        <w:t>náklady na odpisy dlouhodobého majetku, a to ve výši 28,39 mil. Kč,</w:t>
      </w:r>
    </w:p>
    <w:p w14:paraId="33510A75" w14:textId="42F25A8D" w:rsidR="00165E7D" w:rsidRPr="00A655F2" w:rsidRDefault="00165E7D" w:rsidP="000C70AB">
      <w:pPr>
        <w:pStyle w:val="Odstavecseseznamem"/>
        <w:numPr>
          <w:ilvl w:val="0"/>
          <w:numId w:val="18"/>
        </w:numPr>
        <w:spacing w:after="0"/>
        <w:ind w:left="567" w:hanging="283"/>
        <w:jc w:val="both"/>
        <w:rPr>
          <w:rFonts w:asciiTheme="minorHAnsi" w:hAnsiTheme="minorHAnsi" w:cstheme="minorHAnsi"/>
        </w:rPr>
      </w:pPr>
      <w:r w:rsidRPr="00A655F2">
        <w:rPr>
          <w:rFonts w:asciiTheme="minorHAnsi" w:hAnsiTheme="minorHAnsi" w:cstheme="minorHAnsi"/>
        </w:rPr>
        <w:t>náklady z titulu tvorby a zúčtování opravn</w:t>
      </w:r>
      <w:r>
        <w:rPr>
          <w:rFonts w:asciiTheme="minorHAnsi" w:hAnsiTheme="minorHAnsi" w:cstheme="minorHAnsi"/>
        </w:rPr>
        <w:t>ých položek, a to ve výši 59,61 </w:t>
      </w:r>
      <w:r w:rsidRPr="00A655F2">
        <w:rPr>
          <w:rFonts w:asciiTheme="minorHAnsi" w:hAnsiTheme="minorHAnsi" w:cstheme="minorHAnsi"/>
        </w:rPr>
        <w:t>mil.</w:t>
      </w:r>
      <w:r w:rsidR="00D27360">
        <w:rPr>
          <w:rFonts w:asciiTheme="minorHAnsi" w:hAnsiTheme="minorHAnsi" w:cstheme="minorHAnsi"/>
        </w:rPr>
        <w:t> </w:t>
      </w:r>
      <w:r w:rsidRPr="00A655F2">
        <w:rPr>
          <w:rFonts w:asciiTheme="minorHAnsi" w:hAnsiTheme="minorHAnsi" w:cstheme="minorHAnsi"/>
        </w:rPr>
        <w:t>Kč,</w:t>
      </w:r>
    </w:p>
    <w:p w14:paraId="470AE70C" w14:textId="77777777" w:rsidR="00165E7D" w:rsidRPr="00A655F2" w:rsidRDefault="00165E7D" w:rsidP="000C70AB">
      <w:pPr>
        <w:pStyle w:val="Odstavecseseznamem"/>
        <w:numPr>
          <w:ilvl w:val="0"/>
          <w:numId w:val="18"/>
        </w:numPr>
        <w:spacing w:after="0"/>
        <w:ind w:left="567" w:hanging="283"/>
        <w:jc w:val="both"/>
        <w:rPr>
          <w:rFonts w:asciiTheme="minorHAnsi" w:hAnsiTheme="minorHAnsi" w:cstheme="minorHAnsi"/>
        </w:rPr>
      </w:pPr>
      <w:r w:rsidRPr="00A655F2">
        <w:rPr>
          <w:rFonts w:asciiTheme="minorHAnsi" w:hAnsiTheme="minorHAnsi" w:cstheme="minorHAnsi"/>
        </w:rPr>
        <w:t>náklady z vyřazených pohledávek OP PI, a to ve výši 3,61 mld. Kč,</w:t>
      </w:r>
    </w:p>
    <w:p w14:paraId="084E8836" w14:textId="77777777" w:rsidR="00165E7D" w:rsidRPr="00A655F2" w:rsidRDefault="00165E7D" w:rsidP="000C70AB">
      <w:pPr>
        <w:pStyle w:val="Odstavecseseznamem"/>
        <w:numPr>
          <w:ilvl w:val="0"/>
          <w:numId w:val="18"/>
        </w:numPr>
        <w:spacing w:after="0"/>
        <w:ind w:left="567" w:hanging="283"/>
        <w:jc w:val="both"/>
        <w:rPr>
          <w:rFonts w:asciiTheme="minorHAnsi" w:hAnsiTheme="minorHAnsi" w:cstheme="minorHAnsi"/>
        </w:rPr>
      </w:pPr>
      <w:r w:rsidRPr="00A655F2">
        <w:rPr>
          <w:rFonts w:asciiTheme="minorHAnsi" w:hAnsiTheme="minorHAnsi" w:cstheme="minorHAnsi"/>
        </w:rPr>
        <w:lastRenderedPageBreak/>
        <w:t>náklady z bezúplatného pozbytí zásob OOP ve prospěch jiných vybraných účetních jednotek a ve prospěch subjektů, které nejsou vybranými účetními jednotkami, a to ve výši 164,37 mil. Kč,</w:t>
      </w:r>
    </w:p>
    <w:p w14:paraId="47CC32B8" w14:textId="15234989" w:rsidR="00165E7D" w:rsidRPr="00A655F2" w:rsidRDefault="00165E7D" w:rsidP="000C70AB">
      <w:pPr>
        <w:pStyle w:val="Odstavecseseznamem"/>
        <w:numPr>
          <w:ilvl w:val="0"/>
          <w:numId w:val="18"/>
        </w:numPr>
        <w:spacing w:after="0"/>
        <w:ind w:left="567" w:hanging="283"/>
        <w:jc w:val="both"/>
        <w:rPr>
          <w:rFonts w:asciiTheme="minorHAnsi" w:hAnsiTheme="minorHAnsi" w:cstheme="minorHAnsi"/>
        </w:rPr>
      </w:pPr>
      <w:r w:rsidRPr="00A655F2">
        <w:rPr>
          <w:rFonts w:asciiTheme="minorHAnsi" w:hAnsiTheme="minorHAnsi" w:cstheme="minorHAnsi"/>
        </w:rPr>
        <w:t>náklady z titulu 4. splátky dotace dle zákona č. 165/2012 Sb. za rok 2020 snížené o</w:t>
      </w:r>
      <w:r w:rsidR="00D27360">
        <w:rPr>
          <w:rFonts w:asciiTheme="minorHAnsi" w:hAnsiTheme="minorHAnsi" w:cstheme="minorHAnsi"/>
        </w:rPr>
        <w:t> </w:t>
      </w:r>
      <w:r w:rsidRPr="00A655F2">
        <w:rPr>
          <w:rFonts w:asciiTheme="minorHAnsi" w:hAnsiTheme="minorHAnsi" w:cstheme="minorHAnsi"/>
        </w:rPr>
        <w:t>očekávanou vratku, a to ve výši 5,79 mld. Kč</w:t>
      </w:r>
      <w:r>
        <w:rPr>
          <w:rFonts w:asciiTheme="minorHAnsi" w:hAnsiTheme="minorHAnsi" w:cstheme="minorHAnsi"/>
        </w:rPr>
        <w:t>,</w:t>
      </w:r>
      <w:r w:rsidRPr="00A655F2">
        <w:rPr>
          <w:rFonts w:asciiTheme="minorHAnsi" w:hAnsiTheme="minorHAnsi" w:cstheme="minorHAnsi"/>
        </w:rPr>
        <w:t xml:space="preserve"> </w:t>
      </w:r>
    </w:p>
    <w:p w14:paraId="7FC29209" w14:textId="77777777" w:rsidR="00165E7D" w:rsidRPr="00A655F2" w:rsidRDefault="00165E7D" w:rsidP="000C70AB">
      <w:pPr>
        <w:pStyle w:val="Odstavecseseznamem"/>
        <w:numPr>
          <w:ilvl w:val="0"/>
          <w:numId w:val="18"/>
        </w:numPr>
        <w:ind w:left="567" w:hanging="283"/>
        <w:contextualSpacing w:val="0"/>
        <w:jc w:val="both"/>
        <w:rPr>
          <w:rFonts w:asciiTheme="minorHAnsi" w:hAnsiTheme="minorHAnsi" w:cstheme="minorHAnsi"/>
        </w:rPr>
      </w:pPr>
      <w:r w:rsidRPr="00A655F2">
        <w:rPr>
          <w:rFonts w:asciiTheme="minorHAnsi" w:hAnsiTheme="minorHAnsi" w:cstheme="minorHAnsi"/>
        </w:rPr>
        <w:t>náklady z operací s finančními nástroji (např. bankovní poplatky ČMZRB za správu finančních nástrojů, náklady z plnění ze záruk a nesplácení půjček poskytnutých ČMZRB), a to ve výši 415,73 mil. Kč</w:t>
      </w:r>
      <w:r>
        <w:rPr>
          <w:rFonts w:asciiTheme="minorHAnsi" w:hAnsiTheme="minorHAnsi" w:cstheme="minorHAnsi"/>
        </w:rPr>
        <w:t>;</w:t>
      </w:r>
    </w:p>
    <w:p w14:paraId="66695143" w14:textId="77777777" w:rsidR="00165E7D" w:rsidRPr="00243707" w:rsidRDefault="00165E7D" w:rsidP="00D27360">
      <w:pPr>
        <w:numPr>
          <w:ilvl w:val="0"/>
          <w:numId w:val="4"/>
        </w:numPr>
        <w:spacing w:after="0"/>
        <w:ind w:left="284" w:hanging="284"/>
        <w:contextualSpacing/>
        <w:jc w:val="both"/>
        <w:rPr>
          <w:rFonts w:asciiTheme="minorHAnsi" w:hAnsiTheme="minorHAnsi" w:cstheme="minorHAnsi"/>
        </w:rPr>
      </w:pPr>
      <w:r w:rsidRPr="00243707">
        <w:rPr>
          <w:rFonts w:asciiTheme="minorHAnsi" w:hAnsiTheme="minorHAnsi" w:cstheme="minorHAnsi"/>
        </w:rPr>
        <w:t>výnosy bez realizace souvisejícího příjmu, a to zejména:</w:t>
      </w:r>
    </w:p>
    <w:p w14:paraId="715F6A0D" w14:textId="01BAA01B" w:rsidR="00165E7D" w:rsidRPr="00A655F2" w:rsidRDefault="00165E7D" w:rsidP="000C70AB">
      <w:pPr>
        <w:pStyle w:val="Odstavecseseznamem"/>
        <w:numPr>
          <w:ilvl w:val="0"/>
          <w:numId w:val="17"/>
        </w:numPr>
        <w:spacing w:after="0"/>
        <w:ind w:left="567" w:hanging="283"/>
        <w:jc w:val="both"/>
        <w:rPr>
          <w:rFonts w:asciiTheme="minorHAnsi" w:hAnsiTheme="minorHAnsi" w:cstheme="minorHAnsi"/>
        </w:rPr>
      </w:pPr>
      <w:r w:rsidRPr="00A655F2">
        <w:rPr>
          <w:rFonts w:asciiTheme="minorHAnsi" w:hAnsiTheme="minorHAnsi" w:cstheme="minorHAnsi"/>
        </w:rPr>
        <w:t>výnosy z bezúplatného pořízení zásob OOP od Ministerstva vnitra, a to ve výši 195,16</w:t>
      </w:r>
      <w:r w:rsidR="00D27360">
        <w:rPr>
          <w:rFonts w:asciiTheme="minorHAnsi" w:hAnsiTheme="minorHAnsi" w:cstheme="minorHAnsi"/>
        </w:rPr>
        <w:t> </w:t>
      </w:r>
      <w:r w:rsidRPr="00A655F2">
        <w:rPr>
          <w:rFonts w:asciiTheme="minorHAnsi" w:hAnsiTheme="minorHAnsi" w:cstheme="minorHAnsi"/>
        </w:rPr>
        <w:t>mil. Kč,</w:t>
      </w:r>
    </w:p>
    <w:p w14:paraId="74747872" w14:textId="77777777" w:rsidR="00165E7D" w:rsidRPr="00A655F2" w:rsidRDefault="00165E7D" w:rsidP="000C70AB">
      <w:pPr>
        <w:pStyle w:val="Odstavecseseznamem"/>
        <w:numPr>
          <w:ilvl w:val="0"/>
          <w:numId w:val="17"/>
        </w:numPr>
        <w:spacing w:after="0"/>
        <w:ind w:left="567" w:hanging="283"/>
        <w:jc w:val="both"/>
        <w:rPr>
          <w:rFonts w:asciiTheme="minorHAnsi" w:hAnsiTheme="minorHAnsi" w:cstheme="minorHAnsi"/>
        </w:rPr>
      </w:pPr>
      <w:r w:rsidRPr="00A655F2">
        <w:rPr>
          <w:rFonts w:asciiTheme="minorHAnsi" w:hAnsiTheme="minorHAnsi" w:cstheme="minorHAnsi"/>
        </w:rPr>
        <w:t>výnosy z pohledávky OP PIK ze souhrnné žádosti o platbu OP PIK CZ.01/2021/072, a to ve výši 689,95 mil. Kč,</w:t>
      </w:r>
    </w:p>
    <w:p w14:paraId="333D93D8" w14:textId="77777777" w:rsidR="00165E7D" w:rsidRPr="00A655F2" w:rsidRDefault="00165E7D" w:rsidP="000C70AB">
      <w:pPr>
        <w:pStyle w:val="Odstavecseseznamem"/>
        <w:numPr>
          <w:ilvl w:val="0"/>
          <w:numId w:val="17"/>
        </w:numPr>
        <w:spacing w:after="0"/>
        <w:ind w:left="567" w:hanging="283"/>
        <w:jc w:val="both"/>
        <w:rPr>
          <w:rFonts w:asciiTheme="minorHAnsi" w:hAnsiTheme="minorHAnsi" w:cstheme="minorHAnsi"/>
        </w:rPr>
      </w:pPr>
      <w:r w:rsidRPr="00A655F2">
        <w:rPr>
          <w:rFonts w:asciiTheme="minorHAnsi" w:hAnsiTheme="minorHAnsi" w:cstheme="minorHAnsi"/>
        </w:rPr>
        <w:t>výnosy z pohledávky OP PIK ze souhrnné žádosti o platbu OP PIK CZ.01/2020/059, a to ve výši 11,19 mil. Kč,</w:t>
      </w:r>
    </w:p>
    <w:p w14:paraId="5C5D84A2" w14:textId="77777777" w:rsidR="00165E7D" w:rsidRPr="00A655F2" w:rsidRDefault="00165E7D" w:rsidP="000C70AB">
      <w:pPr>
        <w:pStyle w:val="Odstavecseseznamem"/>
        <w:numPr>
          <w:ilvl w:val="0"/>
          <w:numId w:val="17"/>
        </w:numPr>
        <w:ind w:left="567" w:hanging="283"/>
        <w:contextualSpacing w:val="0"/>
        <w:jc w:val="both"/>
        <w:rPr>
          <w:rFonts w:asciiTheme="minorHAnsi" w:hAnsiTheme="minorHAnsi" w:cstheme="minorHAnsi"/>
        </w:rPr>
      </w:pPr>
      <w:r w:rsidRPr="00A655F2">
        <w:rPr>
          <w:rFonts w:asciiTheme="minorHAnsi" w:hAnsiTheme="minorHAnsi" w:cstheme="minorHAnsi"/>
        </w:rPr>
        <w:t>výnosy z operací s finančními nástroji (např. úrokové a sankční výnosy z finančních nástro</w:t>
      </w:r>
      <w:r>
        <w:rPr>
          <w:rFonts w:asciiTheme="minorHAnsi" w:hAnsiTheme="minorHAnsi" w:cstheme="minorHAnsi"/>
        </w:rPr>
        <w:t>jů), a to ve výši 26,78 mil. Kč;</w:t>
      </w:r>
    </w:p>
    <w:p w14:paraId="0AB6196A" w14:textId="77777777" w:rsidR="00165E7D" w:rsidRPr="00243707" w:rsidRDefault="00165E7D" w:rsidP="00D27360">
      <w:pPr>
        <w:numPr>
          <w:ilvl w:val="0"/>
          <w:numId w:val="4"/>
        </w:numPr>
        <w:spacing w:after="0"/>
        <w:ind w:left="284" w:hanging="284"/>
        <w:contextualSpacing/>
        <w:jc w:val="both"/>
        <w:rPr>
          <w:rFonts w:asciiTheme="minorHAnsi" w:hAnsiTheme="minorHAnsi" w:cstheme="minorHAnsi"/>
        </w:rPr>
      </w:pPr>
      <w:r w:rsidRPr="00243707">
        <w:rPr>
          <w:rFonts w:asciiTheme="minorHAnsi" w:hAnsiTheme="minorHAnsi" w:cstheme="minorHAnsi"/>
        </w:rPr>
        <w:t>výdaje bez vykázání souvisejícího nákladu, a to zejména:</w:t>
      </w:r>
    </w:p>
    <w:p w14:paraId="06F9B3D4" w14:textId="77777777" w:rsidR="00165E7D" w:rsidRPr="00A655F2" w:rsidRDefault="00165E7D" w:rsidP="000C70AB">
      <w:pPr>
        <w:pStyle w:val="Odstavecseseznamem"/>
        <w:numPr>
          <w:ilvl w:val="0"/>
          <w:numId w:val="16"/>
        </w:numPr>
        <w:spacing w:after="0"/>
        <w:ind w:left="567" w:hanging="283"/>
        <w:jc w:val="both"/>
        <w:rPr>
          <w:rFonts w:asciiTheme="minorHAnsi" w:hAnsiTheme="minorHAnsi" w:cstheme="minorHAnsi"/>
        </w:rPr>
      </w:pPr>
      <w:r w:rsidRPr="00A655F2">
        <w:rPr>
          <w:rFonts w:asciiTheme="minorHAnsi" w:hAnsiTheme="minorHAnsi" w:cstheme="minorHAnsi"/>
        </w:rPr>
        <w:t>vklady do finančních nástrojů, a to ve výši 6,9 mld. Kč,</w:t>
      </w:r>
    </w:p>
    <w:p w14:paraId="347487F6" w14:textId="16E3020F" w:rsidR="00165E7D" w:rsidRPr="00A655F2" w:rsidRDefault="00165E7D" w:rsidP="000C70AB">
      <w:pPr>
        <w:pStyle w:val="Odstavecseseznamem"/>
        <w:numPr>
          <w:ilvl w:val="0"/>
          <w:numId w:val="16"/>
        </w:numPr>
        <w:ind w:left="567" w:hanging="283"/>
        <w:contextualSpacing w:val="0"/>
        <w:jc w:val="both"/>
        <w:rPr>
          <w:rFonts w:asciiTheme="minorHAnsi" w:hAnsiTheme="minorHAnsi" w:cstheme="minorHAnsi"/>
        </w:rPr>
      </w:pPr>
      <w:r w:rsidRPr="00A655F2">
        <w:rPr>
          <w:rFonts w:asciiTheme="minorHAnsi" w:hAnsiTheme="minorHAnsi" w:cstheme="minorHAnsi"/>
        </w:rPr>
        <w:t>úhrada 4. splátky dotace dle zákona č. 165/2012 Sb. za rok 2019, a to ve výši 6,55</w:t>
      </w:r>
      <w:r w:rsidR="00D27360">
        <w:rPr>
          <w:rFonts w:asciiTheme="minorHAnsi" w:hAnsiTheme="minorHAnsi" w:cstheme="minorHAnsi"/>
        </w:rPr>
        <w:t> </w:t>
      </w:r>
      <w:r w:rsidRPr="00A655F2">
        <w:rPr>
          <w:rFonts w:asciiTheme="minorHAnsi" w:hAnsiTheme="minorHAnsi" w:cstheme="minorHAnsi"/>
        </w:rPr>
        <w:t>mld.</w:t>
      </w:r>
      <w:r w:rsidR="00D27360">
        <w:rPr>
          <w:rFonts w:asciiTheme="minorHAnsi" w:hAnsiTheme="minorHAnsi" w:cstheme="minorHAnsi"/>
        </w:rPr>
        <w:t> </w:t>
      </w:r>
      <w:r w:rsidRPr="00A655F2">
        <w:rPr>
          <w:rFonts w:asciiTheme="minorHAnsi" w:hAnsiTheme="minorHAnsi" w:cstheme="minorHAnsi"/>
        </w:rPr>
        <w:t>Kč;</w:t>
      </w:r>
    </w:p>
    <w:p w14:paraId="7590A7D4" w14:textId="77777777" w:rsidR="00165E7D" w:rsidRPr="00243707" w:rsidRDefault="00165E7D" w:rsidP="00D27360">
      <w:pPr>
        <w:numPr>
          <w:ilvl w:val="0"/>
          <w:numId w:val="4"/>
        </w:numPr>
        <w:spacing w:after="0"/>
        <w:ind w:left="284" w:hanging="284"/>
        <w:contextualSpacing/>
        <w:jc w:val="both"/>
        <w:rPr>
          <w:rFonts w:asciiTheme="minorHAnsi" w:hAnsiTheme="minorHAnsi" w:cstheme="minorHAnsi"/>
        </w:rPr>
      </w:pPr>
      <w:r w:rsidRPr="00243707">
        <w:rPr>
          <w:rFonts w:asciiTheme="minorHAnsi" w:hAnsiTheme="minorHAnsi" w:cstheme="minorHAnsi"/>
        </w:rPr>
        <w:t>realizace příjmu bez vykázání souvisejícího výnosu, a to zejména:</w:t>
      </w:r>
    </w:p>
    <w:p w14:paraId="49836A73" w14:textId="26E5379D" w:rsidR="00165E7D" w:rsidRPr="00A655F2" w:rsidRDefault="00165E7D" w:rsidP="000C70AB">
      <w:pPr>
        <w:pStyle w:val="Odstavecseseznamem"/>
        <w:numPr>
          <w:ilvl w:val="0"/>
          <w:numId w:val="15"/>
        </w:numPr>
        <w:spacing w:after="0"/>
        <w:ind w:left="567" w:hanging="283"/>
        <w:jc w:val="both"/>
        <w:rPr>
          <w:rFonts w:asciiTheme="minorHAnsi" w:hAnsiTheme="minorHAnsi" w:cstheme="minorHAnsi"/>
        </w:rPr>
      </w:pPr>
      <w:r w:rsidRPr="00A655F2">
        <w:rPr>
          <w:rFonts w:asciiTheme="minorHAnsi" w:hAnsiTheme="minorHAnsi" w:cstheme="minorHAnsi"/>
        </w:rPr>
        <w:t>příjem kompenzace z EU za prostředky vložené do finančních nástrojů, a to ve výši 6,63</w:t>
      </w:r>
      <w:r w:rsidR="00D27360">
        <w:rPr>
          <w:rFonts w:asciiTheme="minorHAnsi" w:hAnsiTheme="minorHAnsi" w:cstheme="minorHAnsi"/>
        </w:rPr>
        <w:t> </w:t>
      </w:r>
      <w:r w:rsidRPr="00A655F2">
        <w:rPr>
          <w:rFonts w:asciiTheme="minorHAnsi" w:hAnsiTheme="minorHAnsi" w:cstheme="minorHAnsi"/>
        </w:rPr>
        <w:t>mld.</w:t>
      </w:r>
      <w:r w:rsidR="00D27360">
        <w:rPr>
          <w:rFonts w:asciiTheme="minorHAnsi" w:hAnsiTheme="minorHAnsi" w:cstheme="minorHAnsi"/>
        </w:rPr>
        <w:t> </w:t>
      </w:r>
      <w:r w:rsidRPr="00A655F2">
        <w:rPr>
          <w:rFonts w:asciiTheme="minorHAnsi" w:hAnsiTheme="minorHAnsi" w:cstheme="minorHAnsi"/>
        </w:rPr>
        <w:t xml:space="preserve">Kč, </w:t>
      </w:r>
    </w:p>
    <w:p w14:paraId="5197901F" w14:textId="77777777" w:rsidR="00165E7D" w:rsidRPr="00A655F2" w:rsidRDefault="00165E7D" w:rsidP="000C70AB">
      <w:pPr>
        <w:pStyle w:val="Odstavecseseznamem"/>
        <w:numPr>
          <w:ilvl w:val="0"/>
          <w:numId w:val="15"/>
        </w:numPr>
        <w:spacing w:after="0"/>
        <w:ind w:left="567" w:hanging="283"/>
        <w:jc w:val="both"/>
        <w:rPr>
          <w:rFonts w:asciiTheme="minorHAnsi" w:hAnsiTheme="minorHAnsi" w:cstheme="minorHAnsi"/>
        </w:rPr>
      </w:pPr>
      <w:r w:rsidRPr="00A655F2">
        <w:rPr>
          <w:rFonts w:asciiTheme="minorHAnsi" w:hAnsiTheme="minorHAnsi" w:cstheme="minorHAnsi"/>
        </w:rPr>
        <w:t>proplacení pohledávek MPO v rámci OP PI, a to ve výši 4,25 mld. Kč,</w:t>
      </w:r>
    </w:p>
    <w:p w14:paraId="3E80E701" w14:textId="77777777" w:rsidR="00165E7D" w:rsidRPr="00A655F2" w:rsidRDefault="00165E7D" w:rsidP="000C70AB">
      <w:pPr>
        <w:pStyle w:val="Odstavecseseznamem"/>
        <w:numPr>
          <w:ilvl w:val="0"/>
          <w:numId w:val="15"/>
        </w:numPr>
        <w:spacing w:after="0"/>
        <w:ind w:left="567" w:hanging="283"/>
        <w:jc w:val="both"/>
        <w:rPr>
          <w:rFonts w:asciiTheme="minorHAnsi" w:hAnsiTheme="minorHAnsi" w:cstheme="minorHAnsi"/>
        </w:rPr>
      </w:pPr>
      <w:r w:rsidRPr="00A655F2">
        <w:rPr>
          <w:rFonts w:asciiTheme="minorHAnsi" w:hAnsiTheme="minorHAnsi" w:cstheme="minorHAnsi"/>
        </w:rPr>
        <w:t>proplacení pohledávek MPO v rámci OP PIK, a to ve výši 768,81 mil. Kč.</w:t>
      </w:r>
    </w:p>
    <w:p w14:paraId="68149BBA" w14:textId="77777777" w:rsidR="00165E7D" w:rsidRPr="00927ABA" w:rsidRDefault="00165E7D" w:rsidP="00165E7D">
      <w:pPr>
        <w:tabs>
          <w:tab w:val="left" w:pos="2552"/>
        </w:tabs>
        <w:jc w:val="both"/>
        <w:rPr>
          <w:rFonts w:asciiTheme="minorHAnsi" w:eastAsiaTheme="minorHAnsi" w:hAnsiTheme="minorHAnsi" w:cstheme="minorHAnsi"/>
        </w:rPr>
      </w:pPr>
    </w:p>
    <w:sectPr w:rsidR="00165E7D" w:rsidRPr="00927ABA" w:rsidSect="00B97C4B">
      <w:footerReference w:type="defaul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CA662" w14:textId="77777777" w:rsidR="00A95EB8" w:rsidRDefault="00A95EB8">
      <w:pPr>
        <w:spacing w:after="0"/>
      </w:pPr>
      <w:r>
        <w:separator/>
      </w:r>
    </w:p>
  </w:endnote>
  <w:endnote w:type="continuationSeparator" w:id="0">
    <w:p w14:paraId="3B9FF7C5" w14:textId="77777777" w:rsidR="00A95EB8" w:rsidRDefault="00A95EB8">
      <w:pPr>
        <w:spacing w:after="0"/>
      </w:pPr>
      <w:r>
        <w:continuationSeparator/>
      </w:r>
    </w:p>
  </w:endnote>
  <w:endnote w:type="continuationNotice" w:id="1">
    <w:p w14:paraId="7746D12C" w14:textId="77777777" w:rsidR="00A95EB8" w:rsidRDefault="00A95E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242651"/>
      <w:docPartObj>
        <w:docPartGallery w:val="Page Numbers (Bottom of Page)"/>
        <w:docPartUnique/>
      </w:docPartObj>
    </w:sdtPr>
    <w:sdtEndPr/>
    <w:sdtContent>
      <w:p w14:paraId="02E5537A" w14:textId="351A581C" w:rsidR="00A95EB8" w:rsidRDefault="00A95EB8" w:rsidP="00B57597">
        <w:pPr>
          <w:pStyle w:val="Zpat"/>
          <w:jc w:val="center"/>
        </w:pPr>
        <w:r>
          <w:fldChar w:fldCharType="begin"/>
        </w:r>
        <w:r>
          <w:instrText>PAGE   \* MERGEFORMAT</w:instrText>
        </w:r>
        <w:r>
          <w:fldChar w:fldCharType="separate"/>
        </w:r>
        <w:r>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78125" w14:textId="77777777" w:rsidR="00A95EB8" w:rsidRDefault="00A95EB8" w:rsidP="002B7978">
      <w:pPr>
        <w:spacing w:after="0"/>
      </w:pPr>
      <w:r>
        <w:separator/>
      </w:r>
    </w:p>
  </w:footnote>
  <w:footnote w:type="continuationSeparator" w:id="0">
    <w:p w14:paraId="5A8EA76A" w14:textId="77777777" w:rsidR="00A95EB8" w:rsidRDefault="00A95EB8" w:rsidP="002B7978">
      <w:pPr>
        <w:spacing w:after="0"/>
      </w:pPr>
      <w:r>
        <w:continuationSeparator/>
      </w:r>
    </w:p>
  </w:footnote>
  <w:footnote w:type="continuationNotice" w:id="1">
    <w:p w14:paraId="402E2B6E" w14:textId="77777777" w:rsidR="00A95EB8" w:rsidRDefault="00A95EB8">
      <w:pPr>
        <w:spacing w:after="0"/>
      </w:pPr>
    </w:p>
  </w:footnote>
  <w:footnote w:id="2">
    <w:p w14:paraId="2D0C86A8" w14:textId="77777777" w:rsidR="00A95EB8" w:rsidRPr="006115F5" w:rsidRDefault="00A95EB8" w:rsidP="003F59E1">
      <w:pPr>
        <w:pStyle w:val="Textpoznpodarou"/>
        <w:ind w:left="284" w:hanging="284"/>
        <w:jc w:val="both"/>
        <w:rPr>
          <w:rFonts w:ascii="Calibri" w:hAnsi="Calibri" w:cs="Calibri"/>
        </w:rPr>
      </w:pPr>
      <w:r w:rsidRPr="006115F5">
        <w:rPr>
          <w:rStyle w:val="Znakapoznpodarou"/>
          <w:rFonts w:ascii="Calibri" w:hAnsi="Calibri" w:cs="Calibri"/>
        </w:rPr>
        <w:footnoteRef/>
      </w:r>
      <w:r w:rsidRPr="006115F5">
        <w:rPr>
          <w:rFonts w:ascii="Calibri" w:hAnsi="Calibri" w:cs="Calibri"/>
        </w:rPr>
        <w:t xml:space="preserve"> </w:t>
      </w:r>
      <w:r w:rsidRPr="006115F5">
        <w:rPr>
          <w:rFonts w:ascii="Calibri" w:hAnsi="Calibri" w:cs="Calibri"/>
        </w:rPr>
        <w:tab/>
        <w:t>Informace zveřejňované správcem kapitoly státního rozpočtu o hospodaření v příslušném rozpočtovém roce ve formě účetní závěrky, výkazu pro hodnocení plnění rozpočtu</w:t>
      </w:r>
      <w:r>
        <w:rPr>
          <w:rFonts w:ascii="Calibri" w:hAnsi="Calibri" w:cs="Calibri"/>
        </w:rPr>
        <w:t xml:space="preserve"> správců kapitol a organizačních složek státu</w:t>
      </w:r>
      <w:r w:rsidRPr="006115F5">
        <w:rPr>
          <w:rFonts w:ascii="Calibri" w:hAnsi="Calibri" w:cs="Calibri"/>
        </w:rPr>
        <w:t xml:space="preserve"> a závěrečného účtu</w:t>
      </w:r>
      <w:r>
        <w:rPr>
          <w:rFonts w:ascii="Calibri" w:hAnsi="Calibri" w:cs="Calibri"/>
        </w:rPr>
        <w:t xml:space="preserve"> kapitoly státního rozpočtu</w:t>
      </w:r>
      <w:r w:rsidRPr="006115F5">
        <w:rPr>
          <w:rFonts w:ascii="Calibri" w:hAnsi="Calibri" w:cs="Calibri"/>
        </w:rPr>
        <w:t>, a to pro účely kontroly a vyvozování odpovědnosti za hospodaření.</w:t>
      </w:r>
    </w:p>
  </w:footnote>
  <w:footnote w:id="3">
    <w:p w14:paraId="54969493" w14:textId="4A35D6B0" w:rsidR="00A95EB8" w:rsidRPr="00AA28DF" w:rsidRDefault="00A95EB8" w:rsidP="003F59E1">
      <w:pPr>
        <w:pStyle w:val="Textpoznpodarou"/>
        <w:ind w:left="284" w:hanging="284"/>
        <w:jc w:val="both"/>
        <w:rPr>
          <w:rFonts w:asciiTheme="minorHAnsi" w:hAnsiTheme="minorHAnsi" w:cstheme="minorHAnsi"/>
        </w:rPr>
      </w:pPr>
      <w:r w:rsidRPr="00AA28DF">
        <w:rPr>
          <w:rStyle w:val="Znakapoznpodarou"/>
          <w:rFonts w:asciiTheme="minorHAnsi" w:hAnsiTheme="minorHAnsi" w:cstheme="minorHAnsi"/>
        </w:rPr>
        <w:footnoteRef/>
      </w:r>
      <w:r w:rsidRPr="00AA28DF">
        <w:rPr>
          <w:rFonts w:asciiTheme="minorHAnsi" w:hAnsiTheme="minorHAnsi" w:cstheme="minorHAnsi"/>
        </w:rPr>
        <w:t xml:space="preserve"> </w:t>
      </w:r>
      <w:r>
        <w:rPr>
          <w:rFonts w:asciiTheme="minorHAnsi" w:hAnsiTheme="minorHAnsi" w:cstheme="minorHAnsi"/>
        </w:rPr>
        <w:tab/>
      </w:r>
      <w:r w:rsidRPr="00AA28DF">
        <w:rPr>
          <w:rFonts w:asciiTheme="minorHAnsi" w:hAnsiTheme="minorHAnsi" w:cstheme="minorHAnsi"/>
        </w:rPr>
        <w:t>Celkové zjištěné a vyčíslené nesprávnosti v účetní závěrce</w:t>
      </w:r>
      <w:r>
        <w:rPr>
          <w:rFonts w:asciiTheme="minorHAnsi" w:hAnsiTheme="minorHAnsi" w:cstheme="minorHAnsi"/>
        </w:rPr>
        <w:t>.</w:t>
      </w:r>
    </w:p>
  </w:footnote>
  <w:footnote w:id="4">
    <w:p w14:paraId="2FCEB86D" w14:textId="07B0FBF7" w:rsidR="00A95EB8" w:rsidRDefault="00A95EB8" w:rsidP="003F59E1">
      <w:pPr>
        <w:pStyle w:val="Textpoznpodarou"/>
        <w:ind w:left="284" w:hanging="284"/>
        <w:jc w:val="both"/>
      </w:pPr>
      <w:r w:rsidRPr="00B742F5">
        <w:rPr>
          <w:rStyle w:val="Znakapoznpodarou"/>
          <w:rFonts w:asciiTheme="minorHAnsi" w:hAnsiTheme="minorHAnsi" w:cstheme="minorHAnsi"/>
        </w:rPr>
        <w:footnoteRef/>
      </w:r>
      <w:r>
        <w:t xml:space="preserve"> </w:t>
      </w:r>
      <w:r>
        <w:tab/>
      </w:r>
      <w:r w:rsidRPr="006115F5">
        <w:rPr>
          <w:rFonts w:ascii="Calibri" w:hAnsi="Calibri" w:cs="Calibri"/>
        </w:rPr>
        <w:t>Celkové zjišt</w:t>
      </w:r>
      <w:r>
        <w:rPr>
          <w:rFonts w:ascii="Calibri" w:hAnsi="Calibri" w:cs="Calibri"/>
        </w:rPr>
        <w:t>ěné a vyčíslené nesprávnosti v účetní závěrce po provedení účetních oprav.</w:t>
      </w:r>
    </w:p>
  </w:footnote>
  <w:footnote w:id="5">
    <w:p w14:paraId="34BEF490" w14:textId="77A1502E" w:rsidR="00A95EB8" w:rsidRPr="003F59E1" w:rsidRDefault="00A95EB8" w:rsidP="003A523F">
      <w:pPr>
        <w:pStyle w:val="Textpoznpodarou"/>
        <w:ind w:left="284" w:hanging="284"/>
        <w:jc w:val="both"/>
        <w:rPr>
          <w:rFonts w:ascii="Calibri" w:hAnsi="Calibri" w:cs="Calibri"/>
        </w:rPr>
      </w:pPr>
      <w:r w:rsidRPr="003F59E1">
        <w:rPr>
          <w:rStyle w:val="Znakapoznpodarou"/>
          <w:rFonts w:ascii="Calibri" w:hAnsi="Calibri" w:cs="Calibri"/>
        </w:rPr>
        <w:footnoteRef/>
      </w:r>
      <w:r w:rsidRPr="003F59E1">
        <w:rPr>
          <w:rFonts w:ascii="Calibri" w:hAnsi="Calibri" w:cs="Calibri"/>
        </w:rPr>
        <w:t xml:space="preserve"> </w:t>
      </w:r>
      <w:r>
        <w:rPr>
          <w:rFonts w:ascii="Calibri" w:hAnsi="Calibri" w:cs="Calibri"/>
        </w:rPr>
        <w:tab/>
      </w:r>
      <w:r w:rsidRPr="003F59E1">
        <w:rPr>
          <w:rFonts w:ascii="Calibri" w:hAnsi="Calibri" w:cs="Calibri"/>
        </w:rPr>
        <w:t>Zákon č. 320/2001 Sb., o finanční kontrole ve veřejné správě a o změně některých zákonů (zákon o finanční kontrole).</w:t>
      </w:r>
    </w:p>
  </w:footnote>
  <w:footnote w:id="6">
    <w:p w14:paraId="0AA33AAF" w14:textId="09B27A08" w:rsidR="00A95EB8" w:rsidRPr="003F59E1" w:rsidRDefault="00A95EB8" w:rsidP="00143AB8">
      <w:pPr>
        <w:pStyle w:val="Textpoznpodarou"/>
        <w:ind w:left="284" w:hanging="284"/>
        <w:rPr>
          <w:rFonts w:ascii="Calibri" w:hAnsi="Calibri" w:cs="Calibri"/>
        </w:rPr>
      </w:pPr>
      <w:r w:rsidRPr="003F59E1">
        <w:rPr>
          <w:rStyle w:val="Znakapoznpodarou"/>
          <w:rFonts w:ascii="Calibri" w:hAnsi="Calibri" w:cs="Calibri"/>
        </w:rPr>
        <w:footnoteRef/>
      </w:r>
      <w:r w:rsidRPr="003F59E1">
        <w:rPr>
          <w:rFonts w:ascii="Calibri" w:hAnsi="Calibri" w:cs="Calibri"/>
        </w:rPr>
        <w:t xml:space="preserve"> </w:t>
      </w:r>
      <w:r w:rsidRPr="003F59E1">
        <w:rPr>
          <w:rFonts w:ascii="Calibri" w:hAnsi="Calibri" w:cs="Calibri"/>
        </w:rPr>
        <w:tab/>
        <w:t>Zákon č. 219/2000 Sb., o majetku České republiky a jejím vystupování v právních vztazích.</w:t>
      </w:r>
    </w:p>
  </w:footnote>
  <w:footnote w:id="7">
    <w:p w14:paraId="041C86C8" w14:textId="5BE0996F" w:rsidR="00A95EB8" w:rsidRPr="003F59E1" w:rsidRDefault="00A95EB8" w:rsidP="003F59E1">
      <w:pPr>
        <w:pStyle w:val="Textpoznpodarou"/>
        <w:ind w:left="284" w:hanging="284"/>
        <w:jc w:val="both"/>
        <w:rPr>
          <w:rFonts w:ascii="Calibri" w:hAnsi="Calibri" w:cs="Calibri"/>
        </w:rPr>
      </w:pPr>
      <w:r w:rsidRPr="003F59E1">
        <w:rPr>
          <w:rStyle w:val="Znakapoznpodarou"/>
          <w:rFonts w:ascii="Calibri" w:hAnsi="Calibri" w:cs="Calibri"/>
        </w:rPr>
        <w:footnoteRef/>
      </w:r>
      <w:r w:rsidRPr="003F59E1">
        <w:rPr>
          <w:rFonts w:ascii="Calibri" w:hAnsi="Calibri" w:cs="Calibri"/>
        </w:rPr>
        <w:t xml:space="preserve"> </w:t>
      </w:r>
      <w:r w:rsidRPr="003F59E1">
        <w:rPr>
          <w:rFonts w:ascii="Calibri" w:hAnsi="Calibri" w:cs="Calibri"/>
        </w:rPr>
        <w:tab/>
        <w:t>Viz ustanovení § 1 odst. 4 zákona č. 563/1991 Sb., o účetnictví.</w:t>
      </w:r>
    </w:p>
  </w:footnote>
  <w:footnote w:id="8">
    <w:p w14:paraId="556B5F73" w14:textId="380625F5" w:rsidR="00A95EB8" w:rsidRPr="003F59E1" w:rsidRDefault="00A95EB8" w:rsidP="003F59E1">
      <w:pPr>
        <w:pStyle w:val="Textpoznpodarou"/>
        <w:ind w:left="284" w:hanging="284"/>
        <w:jc w:val="both"/>
        <w:rPr>
          <w:rFonts w:ascii="Calibri" w:hAnsi="Calibri" w:cs="Calibri"/>
        </w:rPr>
      </w:pPr>
      <w:r w:rsidRPr="003F59E1">
        <w:rPr>
          <w:rStyle w:val="Znakapoznpodarou"/>
          <w:rFonts w:ascii="Calibri" w:hAnsi="Calibri" w:cs="Calibri"/>
        </w:rPr>
        <w:footnoteRef/>
      </w:r>
      <w:r w:rsidRPr="003F59E1">
        <w:rPr>
          <w:rFonts w:ascii="Calibri" w:hAnsi="Calibri" w:cs="Calibri"/>
        </w:rPr>
        <w:t xml:space="preserve"> </w:t>
      </w:r>
      <w:r w:rsidRPr="003F59E1">
        <w:rPr>
          <w:rFonts w:ascii="Calibri" w:hAnsi="Calibri" w:cs="Calibri"/>
        </w:rPr>
        <w:tab/>
        <w:t>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w:t>
      </w:r>
    </w:p>
  </w:footnote>
  <w:footnote w:id="9">
    <w:p w14:paraId="1339B2D8" w14:textId="1CF574DB" w:rsidR="00A95EB8" w:rsidRPr="003F59E1" w:rsidRDefault="00A95EB8" w:rsidP="003F59E1">
      <w:pPr>
        <w:pStyle w:val="Textpoznpodarou"/>
        <w:ind w:left="284" w:hanging="284"/>
        <w:jc w:val="both"/>
        <w:rPr>
          <w:rFonts w:ascii="Calibri" w:hAnsi="Calibri" w:cs="Calibri"/>
        </w:rPr>
      </w:pPr>
      <w:r w:rsidRPr="003F59E1">
        <w:rPr>
          <w:rStyle w:val="Znakapoznpodarou"/>
          <w:rFonts w:ascii="Calibri" w:hAnsi="Calibri" w:cs="Calibri"/>
        </w:rPr>
        <w:footnoteRef/>
      </w:r>
      <w:r w:rsidRPr="003F59E1">
        <w:rPr>
          <w:rFonts w:ascii="Calibri" w:hAnsi="Calibri" w:cs="Calibri"/>
        </w:rPr>
        <w:t xml:space="preserve"> </w:t>
      </w:r>
      <w:r>
        <w:rPr>
          <w:rFonts w:ascii="Calibri" w:hAnsi="Calibri" w:cs="Calibri"/>
        </w:rPr>
        <w:tab/>
      </w:r>
      <w:r w:rsidRPr="003F59E1">
        <w:rPr>
          <w:rFonts w:ascii="Calibri" w:hAnsi="Calibri" w:cs="Calibri"/>
        </w:rPr>
        <w:t xml:space="preserve">Dostupné z </w:t>
      </w:r>
      <w:hyperlink r:id="rId1" w:history="1">
        <w:r w:rsidRPr="003F59E1">
          <w:rPr>
            <w:rStyle w:val="Hypertextovodkaz"/>
            <w:rFonts w:ascii="Calibri" w:hAnsi="Calibri" w:cs="Calibri"/>
          </w:rPr>
          <w:t>https://monitor.statnipokladna.cz/</w:t>
        </w:r>
      </w:hyperlink>
      <w:r w:rsidRPr="003F59E1">
        <w:rPr>
          <w:rFonts w:ascii="Calibri" w:hAnsi="Calibri" w:cs="Calibri"/>
        </w:rPr>
        <w:t>.</w:t>
      </w:r>
    </w:p>
  </w:footnote>
  <w:footnote w:id="10">
    <w:p w14:paraId="278EC9CF" w14:textId="3B839203" w:rsidR="00A95EB8" w:rsidRPr="003F59E1" w:rsidRDefault="00A95EB8" w:rsidP="003F59E1">
      <w:pPr>
        <w:pStyle w:val="Textpoznpodarou"/>
        <w:ind w:left="284" w:hanging="284"/>
        <w:jc w:val="both"/>
        <w:rPr>
          <w:rFonts w:ascii="Calibri" w:hAnsi="Calibri" w:cs="Calibri"/>
        </w:rPr>
      </w:pPr>
      <w:r w:rsidRPr="003F59E1">
        <w:rPr>
          <w:rStyle w:val="Znakapoznpodarou"/>
          <w:rFonts w:ascii="Calibri" w:hAnsi="Calibri" w:cs="Calibri"/>
        </w:rPr>
        <w:footnoteRef/>
      </w:r>
      <w:r w:rsidRPr="003F59E1">
        <w:rPr>
          <w:rFonts w:ascii="Calibri" w:hAnsi="Calibri" w:cs="Calibri"/>
        </w:rPr>
        <w:t xml:space="preserve"> </w:t>
      </w:r>
      <w:r>
        <w:rPr>
          <w:rFonts w:ascii="Calibri" w:hAnsi="Calibri" w:cs="Calibri"/>
        </w:rPr>
        <w:tab/>
      </w:r>
      <w:r w:rsidRPr="003F59E1">
        <w:rPr>
          <w:rFonts w:ascii="Calibri" w:hAnsi="Calibri" w:cs="Calibri"/>
        </w:rPr>
        <w:t xml:space="preserve">Vybranými účetními jednotkami jsou podle ustanovení § 1 odst. 3 zákona č. 563/1991 Sb. organizační složky státu, státní fondy podle rozpočtových pravidel, územní samosprávné celky, dobrovolné svazky obcí, </w:t>
      </w:r>
      <w:r>
        <w:rPr>
          <w:rFonts w:ascii="Calibri" w:hAnsi="Calibri" w:cs="Calibri"/>
        </w:rPr>
        <w:t>r</w:t>
      </w:r>
      <w:r w:rsidRPr="003F59E1">
        <w:rPr>
          <w:rFonts w:ascii="Calibri" w:hAnsi="Calibri" w:cs="Calibri"/>
        </w:rPr>
        <w:t xml:space="preserve">egionální rady regionů soudržnosti, příspěvkové organizace a zdravotní pojišťovny. </w:t>
      </w:r>
    </w:p>
  </w:footnote>
  <w:footnote w:id="11">
    <w:p w14:paraId="6A184DA7" w14:textId="737ACBCF" w:rsidR="00A95EB8" w:rsidRPr="003F59E1" w:rsidRDefault="00A95EB8" w:rsidP="003F59E1">
      <w:pPr>
        <w:pStyle w:val="Textpoznpodarou"/>
        <w:ind w:left="284" w:hanging="284"/>
        <w:jc w:val="both"/>
        <w:rPr>
          <w:rFonts w:ascii="Calibri" w:hAnsi="Calibri" w:cs="Calibri"/>
        </w:rPr>
      </w:pPr>
      <w:r w:rsidRPr="003F59E1">
        <w:rPr>
          <w:rStyle w:val="Znakapoznpodarou"/>
          <w:rFonts w:ascii="Calibri" w:hAnsi="Calibri" w:cs="Calibri"/>
        </w:rPr>
        <w:footnoteRef/>
      </w:r>
      <w:r w:rsidRPr="003F59E1">
        <w:rPr>
          <w:rFonts w:ascii="Calibri" w:hAnsi="Calibri" w:cs="Calibri"/>
        </w:rPr>
        <w:t xml:space="preserve"> </w:t>
      </w:r>
      <w:r>
        <w:rPr>
          <w:rFonts w:ascii="Calibri" w:hAnsi="Calibri" w:cs="Calibri"/>
        </w:rPr>
        <w:tab/>
      </w:r>
      <w:r w:rsidRPr="003F59E1">
        <w:rPr>
          <w:rFonts w:ascii="Calibri" w:hAnsi="Calibri" w:cs="Calibri"/>
        </w:rPr>
        <w:t>Návratná forma podpory ze státního rozpočtu a prostředků rozpočtu EU realizovaná prostřednictvím úvěrů, záruk a kapitálových vstupů, implementovaná finanční institucí.</w:t>
      </w:r>
    </w:p>
  </w:footnote>
  <w:footnote w:id="12">
    <w:p w14:paraId="4167ECD7" w14:textId="35F339F5" w:rsidR="00A95EB8" w:rsidRPr="003F59E1" w:rsidRDefault="00A95EB8" w:rsidP="003F59E1">
      <w:pPr>
        <w:pStyle w:val="Textpoznpodarou"/>
        <w:ind w:left="284" w:hanging="284"/>
        <w:jc w:val="both"/>
        <w:rPr>
          <w:rFonts w:ascii="Calibri" w:hAnsi="Calibri" w:cs="Calibri"/>
          <w:b/>
        </w:rPr>
      </w:pPr>
      <w:r w:rsidRPr="003F59E1">
        <w:rPr>
          <w:rStyle w:val="Znakapoznpodarou"/>
          <w:rFonts w:ascii="Calibri" w:hAnsi="Calibri" w:cs="Calibri"/>
        </w:rPr>
        <w:footnoteRef/>
      </w:r>
      <w:r w:rsidRPr="003F59E1">
        <w:rPr>
          <w:rFonts w:ascii="Calibri" w:hAnsi="Calibri" w:cs="Calibri"/>
        </w:rPr>
        <w:t xml:space="preserve"> </w:t>
      </w:r>
      <w:r>
        <w:rPr>
          <w:rFonts w:ascii="Calibri" w:hAnsi="Calibri" w:cs="Calibri"/>
        </w:rPr>
        <w:tab/>
      </w:r>
      <w:r w:rsidRPr="003F59E1">
        <w:rPr>
          <w:rFonts w:ascii="Calibri" w:hAnsi="Calibri" w:cs="Calibri"/>
        </w:rPr>
        <w:t>Ustanovení § 17 odst. 7 zákona č. 563/1991 Sb. stanoví: „</w:t>
      </w:r>
      <w:r w:rsidRPr="003F59E1">
        <w:rPr>
          <w:rFonts w:ascii="Calibri" w:hAnsi="Calibri" w:cs="Calibri"/>
          <w:i/>
        </w:rPr>
        <w:t xml:space="preserve">Po schválení účetní závěrky nesmí účetní jednotka přidávat další účetní zápisy kdykoli později do uzavřených účetních knih s výjimkou případů přeměn uvedených v odstavci 3. Do okamžiku schválení účetní závěrky, nejpozději však do konce následujícího účetního období, může účetní jednotka pouze z důvodů, že obsah položek účetní závěrky neodpovídá skutečnému stavu, již uzavřené účetní knihy opět otevřít a provést nezbytnou opravu účetních zápisů a </w:t>
      </w:r>
      <w:r w:rsidRPr="003F59E1">
        <w:rPr>
          <w:rFonts w:ascii="Calibri" w:hAnsi="Calibri" w:cs="Calibri"/>
          <w:b/>
          <w:i/>
        </w:rPr>
        <w:t>sestavit novou účetní závěrku, která se tímto stává účetní závěrkou podle tohoto zákona.</w:t>
      </w:r>
    </w:p>
  </w:footnote>
  <w:footnote w:id="13">
    <w:p w14:paraId="4AF5C088" w14:textId="72670240" w:rsidR="00A95EB8" w:rsidRPr="003F59E1" w:rsidRDefault="00A95EB8" w:rsidP="00BF395C">
      <w:pPr>
        <w:pStyle w:val="Textpoznpodarou"/>
        <w:ind w:left="284" w:hanging="284"/>
        <w:rPr>
          <w:rFonts w:ascii="Calibri" w:hAnsi="Calibri" w:cs="Calibri"/>
        </w:rPr>
      </w:pPr>
      <w:r w:rsidRPr="003F59E1">
        <w:rPr>
          <w:rStyle w:val="Znakapoznpodarou"/>
          <w:rFonts w:ascii="Calibri" w:hAnsi="Calibri" w:cs="Calibri"/>
        </w:rPr>
        <w:footnoteRef/>
      </w:r>
      <w:r w:rsidRPr="003F59E1">
        <w:rPr>
          <w:rFonts w:ascii="Calibri" w:hAnsi="Calibri" w:cs="Calibri"/>
        </w:rPr>
        <w:t xml:space="preserve"> </w:t>
      </w:r>
      <w:r>
        <w:rPr>
          <w:rFonts w:ascii="Calibri" w:hAnsi="Calibri" w:cs="Calibri"/>
        </w:rPr>
        <w:tab/>
      </w:r>
      <w:r w:rsidRPr="003F59E1">
        <w:rPr>
          <w:rFonts w:ascii="Calibri" w:hAnsi="Calibri" w:cs="Calibri"/>
        </w:rPr>
        <w:t>V</w:t>
      </w:r>
      <w:r>
        <w:rPr>
          <w:rFonts w:ascii="Calibri" w:hAnsi="Calibri" w:cs="Calibri"/>
        </w:rPr>
        <w:t xml:space="preserve">iz </w:t>
      </w:r>
      <w:hyperlink r:id="rId2" w:history="1">
        <w:r w:rsidRPr="00B544A5">
          <w:rPr>
            <w:rStyle w:val="Hypertextovodkaz"/>
            <w:rFonts w:ascii="Calibri" w:hAnsi="Calibri" w:cs="Calibri"/>
          </w:rPr>
          <w:t>https://monitor.statnipokladna.cz/ucetni-jednotka/47609109/rozpocet/vydaje-druhovy?obdobi=2012&amp;rad=j</w:t>
        </w:r>
      </w:hyperlink>
      <w:r w:rsidRPr="00E25921">
        <w:rPr>
          <w:rFonts w:ascii="Calibri" w:hAnsi="Calibri" w:cs="Calibri"/>
          <w:color w:val="000000" w:themeColor="text1"/>
        </w:rPr>
        <w:t>.</w:t>
      </w:r>
    </w:p>
  </w:footnote>
  <w:footnote w:id="14">
    <w:p w14:paraId="7030DF73" w14:textId="761F4688" w:rsidR="00A95EB8" w:rsidRPr="003F59E1" w:rsidRDefault="00A95EB8" w:rsidP="00E25921">
      <w:pPr>
        <w:pStyle w:val="Textpoznpodarou"/>
        <w:ind w:left="284" w:hanging="284"/>
        <w:jc w:val="both"/>
        <w:rPr>
          <w:rFonts w:ascii="Calibri" w:hAnsi="Calibri" w:cs="Calibri"/>
        </w:rPr>
      </w:pPr>
      <w:r w:rsidRPr="003F59E1">
        <w:rPr>
          <w:rStyle w:val="Znakapoznpodarou"/>
          <w:rFonts w:ascii="Calibri" w:hAnsi="Calibri" w:cs="Calibri"/>
        </w:rPr>
        <w:footnoteRef/>
      </w:r>
      <w:r w:rsidRPr="003F59E1">
        <w:rPr>
          <w:rFonts w:ascii="Calibri" w:hAnsi="Calibri" w:cs="Calibri"/>
        </w:rPr>
        <w:t xml:space="preserve"> </w:t>
      </w:r>
      <w:r>
        <w:rPr>
          <w:rFonts w:ascii="Calibri" w:hAnsi="Calibri" w:cs="Calibri"/>
        </w:rPr>
        <w:tab/>
      </w:r>
      <w:r w:rsidRPr="003F59E1">
        <w:rPr>
          <w:rFonts w:ascii="Calibri" w:hAnsi="Calibri" w:cs="Calibri"/>
        </w:rPr>
        <w:t>Vyhláška č. 323/2002 Sb., o rozpočtové skladbě.</w:t>
      </w:r>
    </w:p>
  </w:footnote>
  <w:footnote w:id="15">
    <w:p w14:paraId="1DF93D09" w14:textId="6A5A3DB4" w:rsidR="00A95EB8" w:rsidRPr="003F59E1" w:rsidRDefault="00A95EB8" w:rsidP="00E25921">
      <w:pPr>
        <w:pStyle w:val="Textpoznpodarou"/>
        <w:ind w:left="284" w:hanging="284"/>
        <w:rPr>
          <w:rFonts w:ascii="Calibri" w:hAnsi="Calibri" w:cs="Calibri"/>
        </w:rPr>
      </w:pPr>
      <w:r w:rsidRPr="003F59E1">
        <w:rPr>
          <w:rStyle w:val="Znakapoznpodarou"/>
          <w:rFonts w:ascii="Calibri" w:hAnsi="Calibri" w:cs="Calibri"/>
        </w:rPr>
        <w:footnoteRef/>
      </w:r>
      <w:r w:rsidRPr="003F59E1">
        <w:rPr>
          <w:rFonts w:ascii="Calibri" w:hAnsi="Calibri" w:cs="Calibri"/>
        </w:rPr>
        <w:t xml:space="preserve"> </w:t>
      </w:r>
      <w:r>
        <w:rPr>
          <w:rFonts w:ascii="Calibri" w:hAnsi="Calibri" w:cs="Calibri"/>
        </w:rPr>
        <w:tab/>
      </w:r>
      <w:r w:rsidRPr="003F59E1">
        <w:rPr>
          <w:rFonts w:ascii="Calibri" w:hAnsi="Calibri" w:cs="Calibri"/>
        </w:rPr>
        <w:t>V</w:t>
      </w:r>
      <w:r>
        <w:rPr>
          <w:rFonts w:ascii="Calibri" w:hAnsi="Calibri" w:cs="Calibri"/>
        </w:rPr>
        <w:t xml:space="preserve">iz </w:t>
      </w:r>
      <w:hyperlink r:id="rId3" w:history="1">
        <w:r w:rsidRPr="00BF395C">
          <w:rPr>
            <w:rStyle w:val="Hypertextovodkaz"/>
            <w:rFonts w:ascii="Calibri" w:hAnsi="Calibri" w:cs="Calibri"/>
          </w:rPr>
          <w:t>https://www.mpo.cz/assets/cz/rozcestnik/ministerstvo/o-ministerstvu/rozpocet/2021/6/ROCNI_ZPRAVA_MPO_2020_01.pdf</w:t>
        </w:r>
      </w:hyperlink>
      <w:r w:rsidRPr="00E25921">
        <w:rPr>
          <w:rFonts w:ascii="Calibri" w:hAnsi="Calibri" w:cs="Calibri"/>
          <w:color w:val="000000" w:themeColor="text1"/>
        </w:rPr>
        <w:t>.</w:t>
      </w:r>
    </w:p>
  </w:footnote>
  <w:footnote w:id="16">
    <w:p w14:paraId="59336FF9" w14:textId="1E4D77B1" w:rsidR="00A95EB8" w:rsidRPr="00E25921" w:rsidRDefault="00A95EB8" w:rsidP="00E25921">
      <w:pPr>
        <w:pStyle w:val="Textpoznpodarou"/>
        <w:ind w:left="284" w:hanging="284"/>
        <w:jc w:val="both"/>
        <w:rPr>
          <w:rFonts w:ascii="Calibri" w:hAnsi="Calibri" w:cs="Calibri"/>
          <w:color w:val="000000" w:themeColor="text1"/>
        </w:rPr>
      </w:pPr>
      <w:r w:rsidRPr="003F59E1">
        <w:rPr>
          <w:rStyle w:val="Znakapoznpodarou"/>
          <w:rFonts w:ascii="Calibri" w:hAnsi="Calibri" w:cs="Calibri"/>
        </w:rPr>
        <w:footnoteRef/>
      </w:r>
      <w:r w:rsidRPr="003F59E1">
        <w:rPr>
          <w:rFonts w:ascii="Calibri" w:hAnsi="Calibri" w:cs="Calibri"/>
        </w:rPr>
        <w:t xml:space="preserve"> </w:t>
      </w:r>
      <w:r>
        <w:rPr>
          <w:rFonts w:ascii="Calibri" w:hAnsi="Calibri" w:cs="Calibri"/>
        </w:rPr>
        <w:tab/>
      </w:r>
      <w:r w:rsidRPr="00E25921">
        <w:rPr>
          <w:rFonts w:ascii="Calibri" w:hAnsi="Calibri" w:cs="Calibri"/>
          <w:color w:val="000000" w:themeColor="text1"/>
        </w:rPr>
        <w:t xml:space="preserve">Viz např. kontrolní závěry z KA č. 19/21 – </w:t>
      </w:r>
      <w:r w:rsidRPr="00E25921">
        <w:rPr>
          <w:rFonts w:ascii="Calibri" w:hAnsi="Calibri" w:cs="Calibri"/>
          <w:i/>
          <w:color w:val="000000" w:themeColor="text1"/>
        </w:rPr>
        <w:t>Závěrečný účet kapitoly státního rozpočtu Ministerstvo pro místní rozvoj za rok 2018, účetní závěrka Ministerstva pro místní rozvoj za rok 2018 a údaje předkládané Ministerstvem pro místní rozvoj pro hodnocení plnění státního rozpočtu za rok 2018</w:t>
      </w:r>
      <w:r w:rsidRPr="00E25921">
        <w:rPr>
          <w:rFonts w:ascii="Calibri" w:hAnsi="Calibri" w:cs="Calibri"/>
          <w:color w:val="000000" w:themeColor="text1"/>
        </w:rPr>
        <w:t xml:space="preserve"> (kontrolní závěr byl zveřejněn v částce 6</w:t>
      </w:r>
      <w:r>
        <w:rPr>
          <w:rFonts w:ascii="Calibri" w:hAnsi="Calibri" w:cs="Calibri"/>
          <w:color w:val="000000" w:themeColor="text1"/>
        </w:rPr>
        <w:t>/</w:t>
      </w:r>
      <w:r w:rsidRPr="00E25921">
        <w:rPr>
          <w:rFonts w:ascii="Calibri" w:hAnsi="Calibri" w:cs="Calibri"/>
          <w:color w:val="000000" w:themeColor="text1"/>
        </w:rPr>
        <w:t xml:space="preserve">2020 </w:t>
      </w:r>
      <w:r w:rsidRPr="00E25921">
        <w:rPr>
          <w:rFonts w:ascii="Calibri" w:hAnsi="Calibri" w:cs="Calibri"/>
          <w:i/>
          <w:color w:val="000000" w:themeColor="text1"/>
        </w:rPr>
        <w:t>Věstníku NKÚ</w:t>
      </w:r>
      <w:r w:rsidRPr="00E25921">
        <w:rPr>
          <w:rFonts w:ascii="Calibri" w:hAnsi="Calibri" w:cs="Calibri"/>
          <w:color w:val="000000" w:themeColor="text1"/>
        </w:rPr>
        <w:t>) a č. 18/13 –</w:t>
      </w:r>
      <w:r w:rsidRPr="00E25921">
        <w:rPr>
          <w:rFonts w:ascii="Calibri" w:hAnsi="Calibri" w:cs="Calibri"/>
          <w:i/>
          <w:color w:val="000000" w:themeColor="text1"/>
        </w:rPr>
        <w:t xml:space="preserve"> Závěrečný účet kapitoly státního rozpočtu Ministerstvo zdravotnictví za rok 2017, účetní závěrka Ministerstva zdravotnictví za rok 2017 a údaje předkládané Ministerstvem zdravotnictví pro hodnocení plnění státního rozpočtu za rok 2017</w:t>
      </w:r>
      <w:r w:rsidRPr="00E25921">
        <w:rPr>
          <w:rFonts w:ascii="Calibri" w:hAnsi="Calibri" w:cs="Calibri"/>
          <w:color w:val="000000" w:themeColor="text1"/>
        </w:rPr>
        <w:t xml:space="preserve"> (kontrolní závěr byl zveřejněn v částce 1</w:t>
      </w:r>
      <w:r>
        <w:rPr>
          <w:rFonts w:ascii="Calibri" w:hAnsi="Calibri" w:cs="Calibri"/>
          <w:color w:val="000000" w:themeColor="text1"/>
        </w:rPr>
        <w:t>/</w:t>
      </w:r>
      <w:r w:rsidRPr="00E25921">
        <w:rPr>
          <w:rFonts w:ascii="Calibri" w:hAnsi="Calibri" w:cs="Calibri"/>
          <w:color w:val="000000" w:themeColor="text1"/>
        </w:rPr>
        <w:t>2019</w:t>
      </w:r>
      <w:r w:rsidRPr="00E25921">
        <w:rPr>
          <w:rFonts w:ascii="Calibri" w:hAnsi="Calibri" w:cs="Calibri"/>
          <w:i/>
          <w:color w:val="000000" w:themeColor="text1"/>
        </w:rPr>
        <w:t xml:space="preserve"> Věstníku NKÚ</w:t>
      </w:r>
      <w:r w:rsidRPr="00E25921">
        <w:rPr>
          <w:rFonts w:ascii="Calibri" w:hAnsi="Calibri" w:cs="Calibri"/>
          <w:color w:val="000000" w:themeColor="text1"/>
        </w:rPr>
        <w:t>).</w:t>
      </w:r>
    </w:p>
  </w:footnote>
  <w:footnote w:id="17">
    <w:p w14:paraId="6AA6D31E" w14:textId="1D037825" w:rsidR="00A95EB8" w:rsidRPr="00E25921" w:rsidRDefault="00A95EB8" w:rsidP="00E25921">
      <w:pPr>
        <w:pStyle w:val="Textpoznpodarou"/>
        <w:ind w:left="284" w:hanging="284"/>
        <w:jc w:val="both"/>
        <w:rPr>
          <w:rFonts w:ascii="Calibri" w:hAnsi="Calibri" w:cs="Calibri"/>
        </w:rPr>
      </w:pPr>
      <w:r w:rsidRPr="00E25921">
        <w:rPr>
          <w:rStyle w:val="Znakapoznpodarou"/>
          <w:rFonts w:ascii="Calibri" w:hAnsi="Calibri" w:cs="Calibri"/>
        </w:rPr>
        <w:footnoteRef/>
      </w:r>
      <w:r w:rsidRPr="00E25921">
        <w:rPr>
          <w:rFonts w:ascii="Calibri" w:hAnsi="Calibri" w:cs="Calibri"/>
        </w:rPr>
        <w:t xml:space="preserve"> </w:t>
      </w:r>
      <w:r>
        <w:rPr>
          <w:rFonts w:ascii="Calibri" w:hAnsi="Calibri" w:cs="Calibri"/>
        </w:rPr>
        <w:tab/>
        <w:t>A</w:t>
      </w:r>
      <w:r w:rsidRPr="00E25921">
        <w:rPr>
          <w:rFonts w:ascii="Calibri" w:hAnsi="Calibri" w:cs="Calibri"/>
        </w:rPr>
        <w:t xml:space="preserve"> to na základě dopisu MF ve věci vyřazení souhrnných žádostí z účetnictví MF v souvislosti s uzavřením programového období 2007–2013.</w:t>
      </w:r>
    </w:p>
  </w:footnote>
  <w:footnote w:id="18">
    <w:p w14:paraId="1CFE273A" w14:textId="06ABD7A8" w:rsidR="00A95EB8" w:rsidRPr="00E25921" w:rsidRDefault="00A95EB8">
      <w:pPr>
        <w:pStyle w:val="Textpoznpodarou"/>
        <w:ind w:left="284" w:hanging="284"/>
        <w:jc w:val="both"/>
        <w:rPr>
          <w:rFonts w:ascii="Calibri" w:hAnsi="Calibri" w:cs="Calibri"/>
        </w:rPr>
      </w:pPr>
      <w:r w:rsidRPr="00E25921">
        <w:rPr>
          <w:rStyle w:val="Znakapoznpodarou"/>
          <w:rFonts w:ascii="Calibri" w:hAnsi="Calibri" w:cs="Calibri"/>
        </w:rPr>
        <w:footnoteRef/>
      </w:r>
      <w:r w:rsidRPr="00E25921">
        <w:rPr>
          <w:rFonts w:ascii="Calibri" w:hAnsi="Calibri" w:cs="Calibri"/>
        </w:rPr>
        <w:t xml:space="preserve"> </w:t>
      </w:r>
      <w:r>
        <w:rPr>
          <w:rFonts w:ascii="Calibri" w:hAnsi="Calibri" w:cs="Calibri"/>
        </w:rPr>
        <w:tab/>
      </w:r>
      <w:r w:rsidRPr="00CB2FF6">
        <w:rPr>
          <w:rFonts w:ascii="Calibri" w:eastAsia="Calibri" w:hAnsi="Calibri" w:cs="Calibri"/>
        </w:rPr>
        <w:t xml:space="preserve">Usnesení vlády České republiky ze dne 9. února 2005 č. 169, </w:t>
      </w:r>
      <w:r w:rsidRPr="004670E4">
        <w:rPr>
          <w:rFonts w:eastAsia="Calibri"/>
          <w:i/>
        </w:rPr>
        <w:t>k záměru vytvoření Státní pokladny</w:t>
      </w:r>
      <w:r>
        <w:rPr>
          <w:rStyle w:val="Hypertextovodkaz"/>
          <w:rFonts w:ascii="Calibri" w:eastAsia="Calibri" w:hAnsi="Calibri" w:cs="Calibri"/>
          <w:color w:val="auto"/>
          <w:u w:val="none"/>
        </w:rPr>
        <w:t>,</w:t>
      </w:r>
      <w:r w:rsidRPr="00E25921">
        <w:rPr>
          <w:rFonts w:ascii="Calibri" w:hAnsi="Calibri" w:cs="Calibri"/>
        </w:rPr>
        <w:t xml:space="preserve"> a </w:t>
      </w:r>
      <w:r>
        <w:rPr>
          <w:rFonts w:ascii="Calibri" w:hAnsi="Calibri" w:cs="Calibri"/>
        </w:rPr>
        <w:t>u</w:t>
      </w:r>
      <w:r w:rsidRPr="00E25921">
        <w:rPr>
          <w:rFonts w:ascii="Calibri" w:hAnsi="Calibri" w:cs="Calibri"/>
        </w:rPr>
        <w:t>snesení vlády České republiky ze dne 21. září 2009 č. 1217, k součinnosti rozpočtových kapitol v další fázi Integrovaného informačního systému Státní pokladna.</w:t>
      </w:r>
    </w:p>
  </w:footnote>
  <w:footnote w:id="19">
    <w:p w14:paraId="5D33A32D" w14:textId="1BF74E52" w:rsidR="00A95EB8" w:rsidRPr="00E25921" w:rsidRDefault="00A95EB8" w:rsidP="003A523F">
      <w:pPr>
        <w:pStyle w:val="Textpoznpodarou"/>
        <w:ind w:left="284" w:hanging="284"/>
        <w:jc w:val="both"/>
        <w:rPr>
          <w:rFonts w:ascii="Calibri" w:hAnsi="Calibri" w:cs="Calibri"/>
        </w:rPr>
      </w:pPr>
      <w:r w:rsidRPr="00E25921">
        <w:rPr>
          <w:rStyle w:val="Znakapoznpodarou"/>
          <w:rFonts w:ascii="Calibri" w:hAnsi="Calibri" w:cs="Calibri"/>
        </w:rPr>
        <w:footnoteRef/>
      </w:r>
      <w:r w:rsidRPr="00E25921">
        <w:rPr>
          <w:rFonts w:ascii="Calibri" w:hAnsi="Calibri" w:cs="Calibri"/>
        </w:rPr>
        <w:t xml:space="preserve"> </w:t>
      </w:r>
      <w:r>
        <w:rPr>
          <w:rFonts w:ascii="Calibri" w:hAnsi="Calibri" w:cs="Calibri"/>
        </w:rPr>
        <w:tab/>
      </w:r>
      <w:r w:rsidRPr="00E25921">
        <w:rPr>
          <w:rFonts w:ascii="Calibri" w:hAnsi="Calibri" w:cs="Calibri"/>
        </w:rPr>
        <w:t xml:space="preserve">Viz např. kontrolní závěr z KA č. 08/14 – </w:t>
      </w:r>
      <w:r w:rsidRPr="00E25921">
        <w:rPr>
          <w:rFonts w:ascii="Calibri" w:hAnsi="Calibri" w:cs="Calibri"/>
          <w:i/>
        </w:rPr>
        <w:t>Finanční prostředky vynaložené v souvislosti s budováním Státní pokladny</w:t>
      </w:r>
      <w:r w:rsidRPr="00E25921">
        <w:rPr>
          <w:rFonts w:ascii="Calibri" w:hAnsi="Calibri" w:cs="Calibri"/>
        </w:rPr>
        <w:t xml:space="preserve"> (kontrolní závěr byl zveřejněn v částce 4</w:t>
      </w:r>
      <w:r>
        <w:rPr>
          <w:rFonts w:ascii="Calibri" w:hAnsi="Calibri" w:cs="Calibri"/>
        </w:rPr>
        <w:t>/</w:t>
      </w:r>
      <w:r w:rsidRPr="00E25921">
        <w:rPr>
          <w:rFonts w:ascii="Calibri" w:hAnsi="Calibri" w:cs="Calibri"/>
        </w:rPr>
        <w:t xml:space="preserve">2008 </w:t>
      </w:r>
      <w:r w:rsidRPr="00E25921">
        <w:rPr>
          <w:rFonts w:ascii="Calibri" w:hAnsi="Calibri" w:cs="Calibri"/>
          <w:i/>
        </w:rPr>
        <w:t>Věstníku NKÚ)</w:t>
      </w:r>
      <w:r w:rsidRPr="00E25921">
        <w:rPr>
          <w:rFonts w:ascii="Calibri" w:hAnsi="Calibri" w:cs="Calibri"/>
        </w:rPr>
        <w:t>.</w:t>
      </w:r>
    </w:p>
  </w:footnote>
  <w:footnote w:id="20">
    <w:p w14:paraId="30D27E76" w14:textId="51B4720C" w:rsidR="00A95EB8" w:rsidRPr="00E25921" w:rsidRDefault="00A95EB8" w:rsidP="009B2A90">
      <w:pPr>
        <w:pStyle w:val="Textpoznpodarou"/>
        <w:ind w:left="284" w:hanging="284"/>
        <w:jc w:val="both"/>
        <w:rPr>
          <w:rFonts w:ascii="Calibri" w:hAnsi="Calibri" w:cs="Calibri"/>
          <w:i/>
        </w:rPr>
      </w:pPr>
      <w:r w:rsidRPr="00E25921">
        <w:rPr>
          <w:rStyle w:val="Znakapoznpodarou"/>
          <w:rFonts w:ascii="Calibri" w:hAnsi="Calibri" w:cs="Calibri"/>
        </w:rPr>
        <w:footnoteRef/>
      </w:r>
      <w:r w:rsidRPr="00E25921">
        <w:rPr>
          <w:rFonts w:ascii="Calibri" w:hAnsi="Calibri" w:cs="Calibri"/>
        </w:rPr>
        <w:t xml:space="preserve"> </w:t>
      </w:r>
      <w:r>
        <w:rPr>
          <w:rFonts w:ascii="Calibri" w:hAnsi="Calibri" w:cs="Calibri"/>
        </w:rPr>
        <w:tab/>
      </w:r>
      <w:r w:rsidRPr="00E25921">
        <w:rPr>
          <w:rFonts w:ascii="Calibri" w:hAnsi="Calibri" w:cs="Calibri"/>
        </w:rPr>
        <w:t xml:space="preserve">Zákon č. 304/2008 Sb., kterým se mění zákon č. 563/1991 Sb., o účetnictví, ve znění pozdějších předpisů, a některé zákony. Důvodová zpráva k tomuto zákonu uvádí, že jedním ze základních cílů účetní reformy je </w:t>
      </w:r>
      <w:r>
        <w:rPr>
          <w:rFonts w:ascii="Calibri" w:hAnsi="Calibri" w:cs="Calibri"/>
        </w:rPr>
        <w:t>také:</w:t>
      </w:r>
      <w:r w:rsidRPr="004670E4">
        <w:rPr>
          <w:rFonts w:ascii="Calibri" w:hAnsi="Calibri" w:cs="Calibri"/>
        </w:rPr>
        <w:t xml:space="preserve">: </w:t>
      </w:r>
      <w:r>
        <w:rPr>
          <w:rFonts w:ascii="Calibri" w:hAnsi="Calibri" w:cs="Calibri"/>
        </w:rPr>
        <w:t>„</w:t>
      </w:r>
      <w:r w:rsidRPr="00E25921">
        <w:rPr>
          <w:rFonts w:ascii="Calibri" w:hAnsi="Calibri" w:cs="Calibri"/>
          <w:i/>
        </w:rPr>
        <w:t>zajištění důvěryhodných informací pro účely vykazování, a to opět na úrovni státu i jednotlivých účetních jednotek např. správců kapitol státního rozpočtu</w:t>
      </w:r>
      <w:r w:rsidRPr="004670E4">
        <w:rPr>
          <w:rFonts w:ascii="Calibri" w:hAnsi="Calibri" w:cs="Calibri"/>
        </w:rPr>
        <w:t>“</w:t>
      </w:r>
      <w:r w:rsidRPr="00E25921">
        <w:rPr>
          <w:rFonts w:ascii="Calibri" w:hAnsi="Calibri" w:cs="Calibri"/>
          <w:i/>
        </w:rPr>
        <w:t>.</w:t>
      </w:r>
    </w:p>
  </w:footnote>
  <w:footnote w:id="21">
    <w:p w14:paraId="164A3EAD" w14:textId="0CC7B954" w:rsidR="00A95EB8" w:rsidRPr="00E25921" w:rsidRDefault="00A95EB8" w:rsidP="005E63AE">
      <w:pPr>
        <w:pStyle w:val="Textpoznpodarou"/>
        <w:ind w:left="284" w:hanging="284"/>
        <w:jc w:val="both"/>
        <w:rPr>
          <w:rFonts w:ascii="Calibri" w:hAnsi="Calibri" w:cs="Calibri"/>
        </w:rPr>
      </w:pPr>
      <w:r w:rsidRPr="00E25921">
        <w:rPr>
          <w:rStyle w:val="Znakapoznpodarou"/>
          <w:rFonts w:ascii="Calibri" w:hAnsi="Calibri" w:cs="Calibri"/>
        </w:rPr>
        <w:footnoteRef/>
      </w:r>
      <w:r w:rsidRPr="00E25921">
        <w:rPr>
          <w:rFonts w:ascii="Calibri" w:hAnsi="Calibri" w:cs="Calibri"/>
        </w:rPr>
        <w:t xml:space="preserve"> </w:t>
      </w:r>
      <w:r>
        <w:rPr>
          <w:rFonts w:ascii="Calibri" w:hAnsi="Calibri" w:cs="Calibri"/>
        </w:rPr>
        <w:tab/>
      </w:r>
      <w:r w:rsidRPr="00E25921">
        <w:rPr>
          <w:rFonts w:ascii="Calibri" w:hAnsi="Calibri" w:cs="Calibri"/>
        </w:rPr>
        <w:t xml:space="preserve">Viz kontrolní závěr z KA č. 13/11 – </w:t>
      </w:r>
      <w:r w:rsidRPr="00E25921">
        <w:rPr>
          <w:rFonts w:ascii="Calibri" w:hAnsi="Calibri" w:cs="Calibri"/>
          <w:i/>
        </w:rPr>
        <w:t>Údaje pro účely monitorování a řízení veřejných financí předávané Ministerstvem průmyslu a obchodu k 31. 12. 2012 ve formě pomocného analytického přehledu prostřednictvím centrálního systému účetních informací státu</w:t>
      </w:r>
      <w:r w:rsidRPr="00E25921">
        <w:rPr>
          <w:rFonts w:ascii="Calibri" w:hAnsi="Calibri" w:cs="Calibri"/>
        </w:rPr>
        <w:t xml:space="preserve"> (kontrolní závěr byl zveřejněn v částce 4</w:t>
      </w:r>
      <w:r>
        <w:rPr>
          <w:rFonts w:ascii="Calibri" w:hAnsi="Calibri" w:cs="Calibri"/>
        </w:rPr>
        <w:t>/</w:t>
      </w:r>
      <w:r w:rsidRPr="00E25921">
        <w:rPr>
          <w:rFonts w:ascii="Calibri" w:hAnsi="Calibri" w:cs="Calibri"/>
        </w:rPr>
        <w:t xml:space="preserve">2013 </w:t>
      </w:r>
      <w:r w:rsidRPr="00E25921">
        <w:rPr>
          <w:rFonts w:ascii="Calibri" w:hAnsi="Calibri" w:cs="Calibri"/>
          <w:i/>
        </w:rPr>
        <w:t>Věstníku NKÚ</w:t>
      </w:r>
      <w:r w:rsidRPr="00E25921">
        <w:rPr>
          <w:rFonts w:ascii="Calibri" w:hAnsi="Calibri" w:cs="Calibri"/>
        </w:rPr>
        <w:t xml:space="preserve">). </w:t>
      </w:r>
    </w:p>
  </w:footnote>
  <w:footnote w:id="22">
    <w:p w14:paraId="3953231A" w14:textId="6CF21FD0" w:rsidR="00A95EB8" w:rsidRPr="00E25921" w:rsidRDefault="00A95EB8" w:rsidP="005E63AE">
      <w:pPr>
        <w:pStyle w:val="Textpoznpodarou"/>
        <w:ind w:left="284" w:hanging="284"/>
        <w:jc w:val="both"/>
        <w:rPr>
          <w:rFonts w:ascii="Calibri" w:hAnsi="Calibri" w:cs="Calibri"/>
        </w:rPr>
      </w:pPr>
      <w:r w:rsidRPr="00E25921">
        <w:rPr>
          <w:rStyle w:val="Znakapoznpodarou"/>
          <w:rFonts w:ascii="Calibri" w:hAnsi="Calibri" w:cs="Calibri"/>
        </w:rPr>
        <w:footnoteRef/>
      </w:r>
      <w:r w:rsidRPr="00E25921">
        <w:rPr>
          <w:rFonts w:ascii="Calibri" w:hAnsi="Calibri" w:cs="Calibri"/>
        </w:rPr>
        <w:t xml:space="preserve"> </w:t>
      </w:r>
      <w:r>
        <w:rPr>
          <w:rFonts w:ascii="Calibri" w:hAnsi="Calibri" w:cs="Calibri"/>
        </w:rPr>
        <w:tab/>
      </w:r>
      <w:r w:rsidRPr="00E25921">
        <w:rPr>
          <w:rFonts w:ascii="Calibri" w:hAnsi="Calibri" w:cs="Calibri"/>
        </w:rPr>
        <w:t xml:space="preserve">V souladu s koncepčním rámcem mezinárodních účetních standardů pro veřejný sektor (dále také „Koncepční rámec“) je </w:t>
      </w:r>
      <w:r w:rsidRPr="00E25921">
        <w:rPr>
          <w:rFonts w:ascii="Calibri" w:hAnsi="Calibri" w:cs="Calibri"/>
          <w:b/>
        </w:rPr>
        <w:t>cílem účetního výkaznictví účetních jednotek veřejného sektoru poskytnout informace</w:t>
      </w:r>
      <w:r w:rsidRPr="00E25921">
        <w:rPr>
          <w:rFonts w:ascii="Calibri" w:hAnsi="Calibri" w:cs="Calibri"/>
        </w:rPr>
        <w:t xml:space="preserve"> o účetní jednotce, které jsou potřebné pro uživatele účetní závěrky pro všeobecné použití za účelem </w:t>
      </w:r>
      <w:r w:rsidRPr="00E25921">
        <w:rPr>
          <w:rFonts w:ascii="Calibri" w:hAnsi="Calibri" w:cs="Calibri"/>
          <w:b/>
        </w:rPr>
        <w:t>skládání účtů</w:t>
      </w:r>
      <w:r w:rsidRPr="00E25921">
        <w:rPr>
          <w:rFonts w:ascii="Calibri" w:hAnsi="Calibri" w:cs="Calibri"/>
        </w:rPr>
        <w:t xml:space="preserve"> a</w:t>
      </w:r>
      <w:r>
        <w:rPr>
          <w:rFonts w:ascii="Calibri" w:hAnsi="Calibri" w:cs="Calibri"/>
        </w:rPr>
        <w:t> </w:t>
      </w:r>
      <w:r w:rsidRPr="00E25921">
        <w:rPr>
          <w:rFonts w:ascii="Calibri" w:hAnsi="Calibri" w:cs="Calibri"/>
        </w:rPr>
        <w:t>za účelem rozhodování. V Koncepčním rámci je uvedeno, že vlády a jiné účetní jednotky veřejného sektoru jsou odpovědny těm, kteří jim poskytují prostředky, a těm, kteří tyto prostředky přijímají. Splnění povinnosti skládání účtů vyžaduje poskytování informací občanům o tom, jak účetní jednotka veřejného sektoru hospodaří s jí svěřenými prostředky určenými na poskytování služeb občanům a dalším subjektům.</w:t>
      </w:r>
    </w:p>
  </w:footnote>
  <w:footnote w:id="23">
    <w:p w14:paraId="45767563" w14:textId="5DB83497" w:rsidR="00A95EB8" w:rsidRPr="007D2567" w:rsidRDefault="00A95EB8" w:rsidP="009C2182">
      <w:pPr>
        <w:pStyle w:val="Textpoznpodarou"/>
        <w:ind w:left="284" w:hanging="284"/>
        <w:jc w:val="both"/>
        <w:rPr>
          <w:rFonts w:asciiTheme="minorHAnsi" w:hAnsiTheme="minorHAnsi" w:cstheme="minorHAnsi"/>
        </w:rPr>
      </w:pPr>
      <w:r w:rsidRPr="007D2567">
        <w:rPr>
          <w:rStyle w:val="Znakapoznpodarou"/>
          <w:rFonts w:asciiTheme="minorHAnsi" w:hAnsiTheme="minorHAnsi" w:cstheme="minorHAnsi"/>
        </w:rPr>
        <w:footnoteRef/>
      </w:r>
      <w:r w:rsidRPr="007D2567">
        <w:rPr>
          <w:rFonts w:asciiTheme="minorHAnsi" w:hAnsiTheme="minorHAnsi" w:cstheme="minorHAnsi"/>
        </w:rPr>
        <w:t xml:space="preserve"> </w:t>
      </w:r>
      <w:r>
        <w:rPr>
          <w:rFonts w:asciiTheme="minorHAnsi" w:hAnsiTheme="minorHAnsi" w:cstheme="minorHAnsi"/>
        </w:rPr>
        <w:tab/>
      </w:r>
      <w:r w:rsidRPr="007D2567">
        <w:rPr>
          <w:rFonts w:asciiTheme="minorHAnsi" w:hAnsiTheme="minorHAnsi" w:cstheme="minorHAnsi"/>
        </w:rPr>
        <w:t>Vypovídající o skutečnostech hospodaření v příslušném rozpočtovém roce, které zatím nebyly spojeny s peněžním tokem, ale jedná se např. o již existující spotřebu zdrojů nebo o finanční rizika.</w:t>
      </w:r>
    </w:p>
  </w:footnote>
  <w:footnote w:id="24">
    <w:p w14:paraId="6C8221BE" w14:textId="3114A34B" w:rsidR="00A95EB8" w:rsidRPr="003A523F" w:rsidRDefault="00A95EB8" w:rsidP="009C2182">
      <w:pPr>
        <w:pStyle w:val="Textpoznpodarou"/>
        <w:ind w:left="284" w:hanging="284"/>
        <w:jc w:val="both"/>
        <w:rPr>
          <w:rFonts w:ascii="Calibri" w:hAnsi="Calibri" w:cs="Calibri"/>
        </w:rPr>
      </w:pPr>
      <w:r w:rsidRPr="003A523F">
        <w:rPr>
          <w:rStyle w:val="Znakapoznpodarou"/>
          <w:rFonts w:ascii="Calibri" w:hAnsi="Calibri" w:cs="Calibri"/>
        </w:rPr>
        <w:footnoteRef/>
      </w:r>
      <w:r w:rsidRPr="003A523F">
        <w:rPr>
          <w:rFonts w:ascii="Calibri" w:hAnsi="Calibri" w:cs="Calibri"/>
        </w:rPr>
        <w:t xml:space="preserve"> </w:t>
      </w:r>
      <w:r>
        <w:rPr>
          <w:rFonts w:ascii="Calibri" w:hAnsi="Calibri" w:cs="Calibri"/>
        </w:rPr>
        <w:tab/>
      </w:r>
      <w:r w:rsidRPr="003A523F">
        <w:rPr>
          <w:rFonts w:ascii="Calibri" w:hAnsi="Calibri" w:cs="Calibri"/>
        </w:rPr>
        <w:t>Zákon č. 77/1997 Sb., o státním podniku</w:t>
      </w:r>
      <w:r>
        <w:rPr>
          <w:rFonts w:ascii="Calibri" w:hAnsi="Calibri" w:cs="Calibri"/>
        </w:rPr>
        <w:t>.</w:t>
      </w:r>
    </w:p>
  </w:footnote>
  <w:footnote w:id="25">
    <w:p w14:paraId="57555A80" w14:textId="2495664F" w:rsidR="00A95EB8" w:rsidRPr="00B7738C" w:rsidRDefault="00A95EB8">
      <w:pPr>
        <w:pStyle w:val="Textpoznpodarou"/>
        <w:ind w:left="284" w:hanging="284"/>
        <w:jc w:val="both"/>
        <w:rPr>
          <w:rFonts w:asciiTheme="minorHAnsi" w:hAnsiTheme="minorHAnsi" w:cstheme="minorHAnsi"/>
        </w:rPr>
      </w:pPr>
      <w:r w:rsidRPr="009B2A90">
        <w:rPr>
          <w:rStyle w:val="Znakapoznpodarou"/>
          <w:rFonts w:asciiTheme="minorHAnsi" w:hAnsiTheme="minorHAnsi"/>
        </w:rPr>
        <w:footnoteRef/>
      </w:r>
      <w:r>
        <w:t xml:space="preserve"> </w:t>
      </w:r>
      <w:r>
        <w:tab/>
      </w:r>
      <w:r w:rsidRPr="00500B62">
        <w:rPr>
          <w:rFonts w:asciiTheme="minorHAnsi" w:hAnsiTheme="minorHAnsi" w:cstheme="minorHAnsi"/>
        </w:rPr>
        <w:t xml:space="preserve">Kontrolní závěr z KA č. 16/25 – </w:t>
      </w:r>
      <w:r w:rsidRPr="00500B62">
        <w:rPr>
          <w:rFonts w:asciiTheme="minorHAnsi" w:hAnsiTheme="minorHAnsi" w:cstheme="minorHAnsi"/>
          <w:i/>
        </w:rPr>
        <w:t>Závěrečný účet kapitoly státního rozpočtu Ministerstvo průmyslu a obchodu za rok 2015, účetní závěrka Ministerstva průmyslu a obchodu za rok 2015 a údaje předkládané Ministerstvem průmyslu a obchodu pro hodnocení plnění státního rozpočtu za rok 2015</w:t>
      </w:r>
      <w:r w:rsidRPr="00500B62">
        <w:rPr>
          <w:rFonts w:asciiTheme="minorHAnsi" w:hAnsiTheme="minorHAnsi" w:cstheme="minorHAnsi"/>
        </w:rPr>
        <w:t xml:space="preserve"> byl zveřejněn v částce 4</w:t>
      </w:r>
      <w:r>
        <w:rPr>
          <w:rFonts w:asciiTheme="minorHAnsi" w:hAnsiTheme="minorHAnsi" w:cstheme="minorHAnsi"/>
        </w:rPr>
        <w:t>/</w:t>
      </w:r>
      <w:r w:rsidRPr="00500B62">
        <w:rPr>
          <w:rFonts w:asciiTheme="minorHAnsi" w:hAnsiTheme="minorHAnsi" w:cstheme="minorHAnsi"/>
        </w:rPr>
        <w:t xml:space="preserve">2017 </w:t>
      </w:r>
      <w:r w:rsidRPr="00500B62">
        <w:rPr>
          <w:rFonts w:asciiTheme="minorHAnsi" w:hAnsiTheme="minorHAnsi" w:cstheme="minorHAnsi"/>
          <w:i/>
        </w:rPr>
        <w:t>Věstníku NKÚ</w:t>
      </w:r>
      <w:r>
        <w:rPr>
          <w:rFonts w:asciiTheme="minorHAnsi" w:hAnsiTheme="minorHAnsi" w:cstheme="minorHAnsi"/>
          <w:i/>
        </w:rPr>
        <w:t>.</w:t>
      </w:r>
    </w:p>
  </w:footnote>
  <w:footnote w:id="26">
    <w:p w14:paraId="007DD0AC" w14:textId="350F325D" w:rsidR="00A95EB8" w:rsidRDefault="00A95EB8" w:rsidP="003A523F">
      <w:pPr>
        <w:pStyle w:val="Textpoznpodarou"/>
        <w:ind w:left="284" w:hanging="284"/>
        <w:jc w:val="both"/>
      </w:pPr>
      <w:r w:rsidRPr="006A0E42">
        <w:rPr>
          <w:rStyle w:val="Znakapoznpodarou"/>
          <w:rFonts w:asciiTheme="minorHAnsi" w:hAnsiTheme="minorHAnsi"/>
        </w:rPr>
        <w:footnoteRef/>
      </w:r>
      <w:r>
        <w:t xml:space="preserve"> </w:t>
      </w:r>
      <w:r>
        <w:tab/>
      </w:r>
      <w:r>
        <w:rPr>
          <w:rFonts w:asciiTheme="minorHAnsi" w:hAnsiTheme="minorHAnsi"/>
        </w:rPr>
        <w:t>N</w:t>
      </w:r>
      <w:r w:rsidRPr="005B521E">
        <w:rPr>
          <w:rFonts w:asciiTheme="minorHAnsi" w:hAnsiTheme="minorHAnsi"/>
        </w:rPr>
        <w:t>a základě usnesení vlády Č</w:t>
      </w:r>
      <w:r>
        <w:rPr>
          <w:rFonts w:asciiTheme="minorHAnsi" w:hAnsiTheme="minorHAnsi"/>
        </w:rPr>
        <w:t>eské republiky</w:t>
      </w:r>
      <w:r w:rsidRPr="005B521E">
        <w:rPr>
          <w:rFonts w:asciiTheme="minorHAnsi" w:hAnsiTheme="minorHAnsi"/>
        </w:rPr>
        <w:t xml:space="preserve"> ze dne 19. června 2018 č. 388</w:t>
      </w:r>
      <w:r>
        <w:rPr>
          <w:rFonts w:asciiTheme="minorHAnsi" w:hAnsiTheme="minorHAnsi"/>
        </w:rPr>
        <w:t xml:space="preserve">, </w:t>
      </w:r>
      <w:r w:rsidRPr="00323518">
        <w:rPr>
          <w:rFonts w:asciiTheme="minorHAnsi" w:hAnsiTheme="minorHAnsi"/>
          <w:i/>
        </w:rPr>
        <w:t>ke kontrolnímu závěru Nejvyššího kontrolního úřadu z KA č. 16/25</w:t>
      </w:r>
      <w:r>
        <w:rPr>
          <w:rFonts w:asciiTheme="minorHAnsi" w:hAnsiTheme="minorHAnsi"/>
        </w:rPr>
        <w:t>.</w:t>
      </w:r>
    </w:p>
  </w:footnote>
  <w:footnote w:id="27">
    <w:p w14:paraId="6E45739D" w14:textId="1C5A5521" w:rsidR="00A95EB8" w:rsidRPr="00582151" w:rsidRDefault="00A95EB8" w:rsidP="00652222">
      <w:pPr>
        <w:pStyle w:val="Textpoznpodarou"/>
        <w:ind w:left="284" w:hanging="284"/>
        <w:jc w:val="both"/>
        <w:rPr>
          <w:rFonts w:asciiTheme="minorHAnsi" w:hAnsiTheme="minorHAnsi" w:cstheme="minorHAnsi"/>
        </w:rPr>
      </w:pPr>
      <w:r w:rsidRPr="00FB4418">
        <w:rPr>
          <w:rStyle w:val="Znakapoznpodarou"/>
          <w:rFonts w:asciiTheme="minorHAnsi" w:hAnsiTheme="minorHAnsi" w:cstheme="minorHAnsi"/>
        </w:rPr>
        <w:footnoteRef/>
      </w:r>
      <w:r w:rsidRPr="00582151">
        <w:rPr>
          <w:rFonts w:asciiTheme="minorHAnsi" w:hAnsiTheme="minorHAnsi" w:cstheme="minorHAnsi"/>
        </w:rPr>
        <w:t xml:space="preserve"> </w:t>
      </w:r>
      <w:r>
        <w:rPr>
          <w:rFonts w:asciiTheme="minorHAnsi" w:hAnsiTheme="minorHAnsi" w:cstheme="minorHAnsi"/>
        </w:rPr>
        <w:tab/>
      </w:r>
      <w:r w:rsidRPr="00582151">
        <w:rPr>
          <w:rFonts w:asciiTheme="minorHAnsi" w:hAnsiTheme="minorHAnsi" w:cstheme="minorHAnsi"/>
        </w:rPr>
        <w:t>Výpočet: (počet úplně a správně realizovaných opatření + (0,5 x počet část</w:t>
      </w:r>
      <w:r>
        <w:rPr>
          <w:rFonts w:asciiTheme="minorHAnsi" w:hAnsiTheme="minorHAnsi" w:cstheme="minorHAnsi"/>
        </w:rPr>
        <w:t>ečně realizovaných opatření)) /</w:t>
      </w:r>
      <w:r w:rsidRPr="00582151">
        <w:rPr>
          <w:rFonts w:asciiTheme="minorHAnsi" w:hAnsiTheme="minorHAnsi" w:cstheme="minorHAnsi"/>
        </w:rPr>
        <w:t>celkový počet nápravných opatření zařazených do vyhodnocení x 100 (v %), tj. (1</w:t>
      </w:r>
      <w:r>
        <w:rPr>
          <w:rFonts w:asciiTheme="minorHAnsi" w:hAnsiTheme="minorHAnsi" w:cstheme="minorHAnsi"/>
        </w:rPr>
        <w:t>0</w:t>
      </w:r>
      <w:r w:rsidRPr="00582151">
        <w:rPr>
          <w:rFonts w:asciiTheme="minorHAnsi" w:hAnsiTheme="minorHAnsi" w:cstheme="minorHAnsi"/>
        </w:rPr>
        <w:t xml:space="preserve"> + (0,5 x </w:t>
      </w:r>
      <w:r>
        <w:rPr>
          <w:rFonts w:asciiTheme="minorHAnsi" w:hAnsiTheme="minorHAnsi" w:cstheme="minorHAnsi"/>
        </w:rPr>
        <w:t>2</w:t>
      </w:r>
      <w:r w:rsidRPr="00582151">
        <w:rPr>
          <w:rFonts w:asciiTheme="minorHAnsi" w:hAnsiTheme="minorHAnsi" w:cstheme="minorHAnsi"/>
        </w:rPr>
        <w:t>)) / 12 x 100</w:t>
      </w:r>
      <w:r>
        <w:rPr>
          <w:rFonts w:asciiTheme="minorHAnsi" w:hAnsiTheme="minorHAnsi" w:cstheme="minorHAnsi"/>
        </w:rPr>
        <w:t>.</w:t>
      </w:r>
    </w:p>
  </w:footnote>
  <w:footnote w:id="28">
    <w:p w14:paraId="12C03F57" w14:textId="1B8A0F29" w:rsidR="00A95EB8" w:rsidRPr="003A523F" w:rsidRDefault="00A95EB8" w:rsidP="00B41D61">
      <w:pPr>
        <w:pStyle w:val="Textpoznpodarou"/>
        <w:ind w:left="284" w:hanging="284"/>
        <w:jc w:val="both"/>
        <w:rPr>
          <w:rFonts w:asciiTheme="minorHAnsi" w:hAnsiTheme="minorHAnsi" w:cstheme="minorHAnsi"/>
        </w:rPr>
      </w:pPr>
      <w:r w:rsidRPr="003A523F">
        <w:rPr>
          <w:rStyle w:val="Znakapoznpodarou"/>
          <w:rFonts w:asciiTheme="minorHAnsi" w:hAnsiTheme="minorHAnsi" w:cstheme="minorHAnsi"/>
        </w:rPr>
        <w:footnoteRef/>
      </w:r>
      <w:r w:rsidRPr="003A523F">
        <w:rPr>
          <w:rFonts w:asciiTheme="minorHAnsi" w:hAnsiTheme="minorHAnsi" w:cstheme="minorHAnsi"/>
        </w:rPr>
        <w:t xml:space="preserve"> </w:t>
      </w:r>
      <w:r>
        <w:rPr>
          <w:rFonts w:asciiTheme="minorHAnsi" w:hAnsiTheme="minorHAnsi" w:cstheme="minorHAnsi"/>
        </w:rPr>
        <w:tab/>
      </w:r>
      <w:r w:rsidRPr="003A523F">
        <w:rPr>
          <w:rFonts w:asciiTheme="minorHAnsi" w:hAnsiTheme="minorHAnsi" w:cstheme="minorHAnsi"/>
        </w:rPr>
        <w:t>Zákon č. 2/1969 Sb., o zřízení ministerstev a jiných ústředních orgánů státní správy České republiky.</w:t>
      </w:r>
    </w:p>
  </w:footnote>
  <w:footnote w:id="29">
    <w:p w14:paraId="744AB0A3" w14:textId="7EFA1973" w:rsidR="00A95EB8" w:rsidRPr="003A523F" w:rsidRDefault="00A95EB8" w:rsidP="00B41D61">
      <w:pPr>
        <w:pStyle w:val="Textpoznpodarou"/>
        <w:ind w:left="284" w:hanging="284"/>
        <w:jc w:val="both"/>
        <w:rPr>
          <w:rFonts w:asciiTheme="minorHAnsi" w:hAnsiTheme="minorHAnsi" w:cstheme="minorHAnsi"/>
        </w:rPr>
      </w:pPr>
      <w:r w:rsidRPr="003A523F">
        <w:rPr>
          <w:rStyle w:val="Znakapoznpodarou"/>
          <w:rFonts w:asciiTheme="minorHAnsi" w:hAnsiTheme="minorHAnsi" w:cstheme="minorHAnsi"/>
        </w:rPr>
        <w:footnoteRef/>
      </w:r>
      <w:r w:rsidRPr="003A523F">
        <w:rPr>
          <w:rFonts w:asciiTheme="minorHAnsi" w:hAnsiTheme="minorHAnsi" w:cstheme="minorHAnsi"/>
        </w:rPr>
        <w:t xml:space="preserve"> </w:t>
      </w:r>
      <w:r>
        <w:rPr>
          <w:rFonts w:asciiTheme="minorHAnsi" w:hAnsiTheme="minorHAnsi" w:cstheme="minorHAnsi"/>
        </w:rPr>
        <w:tab/>
      </w:r>
      <w:r w:rsidRPr="003A523F">
        <w:rPr>
          <w:rFonts w:asciiTheme="minorHAnsi" w:hAnsiTheme="minorHAnsi" w:cstheme="minorHAnsi"/>
        </w:rPr>
        <w:t xml:space="preserve">Zákon č. </w:t>
      </w:r>
      <w:r>
        <w:rPr>
          <w:rFonts w:asciiTheme="minorHAnsi" w:hAnsiTheme="minorHAnsi" w:cstheme="minorHAnsi"/>
        </w:rPr>
        <w:t xml:space="preserve">218/2000 Sb., </w:t>
      </w:r>
      <w:r w:rsidRPr="003A523F">
        <w:rPr>
          <w:rFonts w:asciiTheme="minorHAnsi" w:hAnsiTheme="minorHAnsi" w:cstheme="minorHAnsi"/>
        </w:rPr>
        <w:t>o rozpočtových pravidlech a o změně některých souvisejících zákonů (rozpočtová pravidla).</w:t>
      </w:r>
    </w:p>
  </w:footnote>
  <w:footnote w:id="30">
    <w:p w14:paraId="70675AB8" w14:textId="77777777" w:rsidR="00A95EB8" w:rsidRPr="00B406C8" w:rsidRDefault="00A95EB8" w:rsidP="00B41D61">
      <w:pPr>
        <w:pStyle w:val="Textpoznpodarou"/>
        <w:ind w:left="284" w:hanging="284"/>
        <w:jc w:val="both"/>
        <w:rPr>
          <w:rFonts w:asciiTheme="minorHAnsi" w:hAnsiTheme="minorHAnsi" w:cstheme="minorHAnsi"/>
        </w:rPr>
      </w:pPr>
      <w:r w:rsidRPr="00B406C8">
        <w:rPr>
          <w:rStyle w:val="Znakapoznpodarou"/>
          <w:rFonts w:asciiTheme="minorHAnsi" w:hAnsiTheme="minorHAnsi" w:cstheme="minorHAnsi"/>
        </w:rPr>
        <w:footnoteRef/>
      </w:r>
      <w:r w:rsidRPr="00B406C8">
        <w:rPr>
          <w:rFonts w:asciiTheme="minorHAnsi" w:hAnsiTheme="minorHAnsi" w:cstheme="minorHAnsi"/>
        </w:rPr>
        <w:t xml:space="preserve"> </w:t>
      </w:r>
      <w:r w:rsidRPr="00B406C8">
        <w:rPr>
          <w:rFonts w:asciiTheme="minorHAnsi" w:hAnsiTheme="minorHAnsi" w:cstheme="minorHAnsi"/>
        </w:rPr>
        <w:tab/>
      </w:r>
      <w:r>
        <w:rPr>
          <w:rFonts w:asciiTheme="minorHAnsi" w:hAnsiTheme="minorHAnsi" w:cstheme="minorHAnsi"/>
        </w:rPr>
        <w:t>Dle ustanovení § 3 písm. o) zákona č. 218/2000 Sb. je rozpočtový systém informačním systémem veřejné správy, v němž se mj. soustřeďují údaje pro hodnocení plnění státního rozpočtu</w:t>
      </w:r>
      <w:r w:rsidRPr="00B406C8">
        <w:rPr>
          <w:rFonts w:asciiTheme="minorHAnsi" w:hAnsiTheme="minorHAnsi" w:cstheme="minorHAnsi"/>
        </w:rPr>
        <w:t>.</w:t>
      </w:r>
    </w:p>
  </w:footnote>
  <w:footnote w:id="31">
    <w:p w14:paraId="48102846" w14:textId="77777777" w:rsidR="00A95EB8" w:rsidRPr="00B30899" w:rsidRDefault="00A95EB8" w:rsidP="003A523F">
      <w:pPr>
        <w:pStyle w:val="Textpoznpodarou"/>
        <w:ind w:left="284" w:hanging="284"/>
        <w:jc w:val="both"/>
        <w:rPr>
          <w:rFonts w:ascii="Calibri" w:hAnsi="Calibri" w:cs="Calibri"/>
        </w:rPr>
      </w:pPr>
      <w:r w:rsidRPr="00B30899">
        <w:rPr>
          <w:rStyle w:val="Znakapoznpodarou"/>
          <w:rFonts w:ascii="Calibri" w:hAnsi="Calibri" w:cs="Calibri"/>
        </w:rPr>
        <w:footnoteRef/>
      </w:r>
      <w:r w:rsidRPr="00B30899">
        <w:rPr>
          <w:rFonts w:ascii="Calibri" w:hAnsi="Calibri" w:cs="Calibri"/>
        </w:rPr>
        <w:t xml:space="preserve"> </w:t>
      </w:r>
      <w:r w:rsidRPr="00B30899">
        <w:rPr>
          <w:rFonts w:ascii="Calibri" w:hAnsi="Calibri" w:cs="Calibri"/>
        </w:rPr>
        <w:tab/>
        <w:t>Dle ustanovení § 20</w:t>
      </w:r>
      <w:r>
        <w:rPr>
          <w:rFonts w:ascii="Calibri" w:hAnsi="Calibri" w:cs="Calibri"/>
        </w:rPr>
        <w:t xml:space="preserve"> odst. 4</w:t>
      </w:r>
      <w:r w:rsidRPr="00B30899">
        <w:rPr>
          <w:rFonts w:ascii="Calibri" w:hAnsi="Calibri" w:cs="Calibri"/>
        </w:rPr>
        <w:t xml:space="preserve"> </w:t>
      </w:r>
      <w:r>
        <w:rPr>
          <w:rFonts w:ascii="Calibri" w:hAnsi="Calibri" w:cs="Calibri"/>
        </w:rPr>
        <w:t>zákona č. 218/2000 Sb. jsou OSS</w:t>
      </w:r>
      <w:r w:rsidRPr="00B30899">
        <w:rPr>
          <w:rFonts w:ascii="Calibri" w:hAnsi="Calibri" w:cs="Calibri"/>
        </w:rPr>
        <w:t xml:space="preserve"> povinny předkládat údaje potřebné pro průběžné hodnocení plnění státního rozpočtu. Způsob a termíny předkládání údajů a jejich rozsah stanovuje vyhláška č. 5/2014 Sb., o způsobu, termínech a rozsahu údajů předkládaných pro hodnocení plnění státního rozpočtu, rozpočtů státních fondů, rozpočtů územních samosprávných celků, rozpočtů dobrovolných svazků obcí a</w:t>
      </w:r>
      <w:r>
        <w:rPr>
          <w:rFonts w:ascii="Calibri" w:hAnsi="Calibri" w:cs="Calibri"/>
        </w:rPr>
        <w:t> </w:t>
      </w:r>
      <w:r w:rsidRPr="00B30899">
        <w:rPr>
          <w:rFonts w:ascii="Calibri" w:hAnsi="Calibri" w:cs="Calibri"/>
        </w:rPr>
        <w:t xml:space="preserve">rozpočtů </w:t>
      </w:r>
      <w:r>
        <w:rPr>
          <w:rFonts w:ascii="Calibri" w:hAnsi="Calibri" w:cs="Calibri"/>
        </w:rPr>
        <w:t>r</w:t>
      </w:r>
      <w:r w:rsidRPr="00B30899">
        <w:rPr>
          <w:rFonts w:ascii="Calibri" w:hAnsi="Calibri" w:cs="Calibri"/>
        </w:rPr>
        <w:t xml:space="preserve">egionálních rad regionů soudržnosti. Dle </w:t>
      </w:r>
      <w:r>
        <w:rPr>
          <w:rFonts w:ascii="Calibri" w:hAnsi="Calibri" w:cs="Calibri"/>
        </w:rPr>
        <w:t>ustanovení § 5 odst. 1 a</w:t>
      </w:r>
      <w:r w:rsidRPr="00B30899">
        <w:rPr>
          <w:rFonts w:ascii="Calibri" w:hAnsi="Calibri" w:cs="Calibri"/>
        </w:rPr>
        <w:t xml:space="preserve"> dle přílohy č. </w:t>
      </w:r>
      <w:r>
        <w:rPr>
          <w:rFonts w:ascii="Calibri" w:hAnsi="Calibri" w:cs="Calibri"/>
        </w:rPr>
        <w:t>1 této vyhlášky zpracovávají OSS</w:t>
      </w:r>
      <w:r w:rsidRPr="00B30899">
        <w:rPr>
          <w:rFonts w:ascii="Calibri" w:hAnsi="Calibri" w:cs="Calibri"/>
        </w:rPr>
        <w:t xml:space="preserve"> údaje pro hodnocení p</w:t>
      </w:r>
      <w:r>
        <w:rPr>
          <w:rFonts w:ascii="Calibri" w:hAnsi="Calibri" w:cs="Calibri"/>
        </w:rPr>
        <w:t>lnění státního rozpočtu přímo v </w:t>
      </w:r>
      <w:r w:rsidRPr="00B30899">
        <w:rPr>
          <w:rFonts w:ascii="Calibri" w:hAnsi="Calibri" w:cs="Calibri"/>
        </w:rPr>
        <w:t>rozpočtovém systému, ve kterém je z </w:t>
      </w:r>
      <w:r>
        <w:rPr>
          <w:rFonts w:ascii="Calibri" w:hAnsi="Calibri" w:cs="Calibri"/>
        </w:rPr>
        <w:t>nich následně sestavován výkaz FIN 1-12 OSS</w:t>
      </w:r>
      <w:r w:rsidRPr="00B30899">
        <w:rPr>
          <w:rFonts w:ascii="Calibri" w:hAnsi="Calibri" w:cs="Calibri"/>
        </w:rPr>
        <w:t>.</w:t>
      </w:r>
    </w:p>
  </w:footnote>
  <w:footnote w:id="32">
    <w:p w14:paraId="43F37F8B" w14:textId="6F70C259" w:rsidR="00A95EB8" w:rsidRPr="00306CED" w:rsidRDefault="00A95EB8" w:rsidP="00916785">
      <w:pPr>
        <w:pStyle w:val="Textpoznpodarou"/>
        <w:ind w:left="284" w:hanging="284"/>
        <w:jc w:val="both"/>
        <w:rPr>
          <w:rFonts w:asciiTheme="minorHAnsi" w:hAnsiTheme="minorHAnsi" w:cstheme="minorHAnsi"/>
        </w:rPr>
      </w:pPr>
      <w:r w:rsidRPr="00306CED">
        <w:rPr>
          <w:rStyle w:val="Znakapoznpodarou"/>
          <w:rFonts w:asciiTheme="minorHAnsi" w:hAnsiTheme="minorHAnsi" w:cstheme="minorHAnsi"/>
        </w:rPr>
        <w:footnoteRef/>
      </w:r>
      <w:r w:rsidRPr="00306CED">
        <w:rPr>
          <w:rFonts w:asciiTheme="minorHAnsi" w:hAnsiTheme="minorHAnsi" w:cstheme="minorHAnsi"/>
        </w:rPr>
        <w:t xml:space="preserve"> </w:t>
      </w:r>
      <w:r>
        <w:rPr>
          <w:rFonts w:asciiTheme="minorHAnsi" w:hAnsiTheme="minorHAnsi" w:cstheme="minorHAnsi"/>
        </w:rPr>
        <w:tab/>
        <w:t>MPO</w:t>
      </w:r>
      <w:r w:rsidRPr="00ED3F44">
        <w:rPr>
          <w:rFonts w:asciiTheme="minorHAnsi" w:hAnsiTheme="minorHAnsi" w:cstheme="minorHAnsi"/>
        </w:rPr>
        <w:t xml:space="preserve"> jako OSS je povinno v soulad</w:t>
      </w:r>
      <w:r>
        <w:rPr>
          <w:rFonts w:asciiTheme="minorHAnsi" w:hAnsiTheme="minorHAnsi" w:cstheme="minorHAnsi"/>
        </w:rPr>
        <w:t xml:space="preserve">u se </w:t>
      </w:r>
      <w:r w:rsidRPr="00F64846">
        <w:rPr>
          <w:rFonts w:asciiTheme="minorHAnsi" w:hAnsiTheme="minorHAnsi" w:cstheme="minorHAnsi"/>
        </w:rPr>
        <w:t>zákon</w:t>
      </w:r>
      <w:r>
        <w:rPr>
          <w:rFonts w:asciiTheme="minorHAnsi" w:hAnsiTheme="minorHAnsi" w:cstheme="minorHAnsi"/>
        </w:rPr>
        <w:t>em</w:t>
      </w:r>
      <w:r w:rsidRPr="00F64846">
        <w:rPr>
          <w:rFonts w:asciiTheme="minorHAnsi" w:hAnsiTheme="minorHAnsi" w:cstheme="minorHAnsi"/>
        </w:rPr>
        <w:t xml:space="preserve"> č. 563/1991 Sb.</w:t>
      </w:r>
      <w:r w:rsidRPr="00ED3F44">
        <w:rPr>
          <w:rFonts w:asciiTheme="minorHAnsi" w:hAnsiTheme="minorHAnsi" w:cstheme="minorHAnsi"/>
        </w:rPr>
        <w:t xml:space="preserve"> účtovat o stavu a pohybu majetku a jiných aktiv, závazků a jiných pasiv, o nákladech a výnosech a o výsledku hospodaření. Informace, které předkládá v účetní závěrce, musí být spolehlivé, srovnatelné, srozumitelné a posuzují se z hlediska významnosti.</w:t>
      </w:r>
    </w:p>
  </w:footnote>
  <w:footnote w:id="33">
    <w:p w14:paraId="43ECA927" w14:textId="1E5BB5D0" w:rsidR="00A95EB8" w:rsidRPr="003A523F" w:rsidRDefault="00A95EB8" w:rsidP="003A523F">
      <w:pPr>
        <w:pStyle w:val="Textpoznpodarou"/>
        <w:ind w:left="284" w:hanging="284"/>
        <w:jc w:val="both"/>
        <w:rPr>
          <w:rFonts w:asciiTheme="minorHAnsi" w:hAnsiTheme="minorHAnsi" w:cstheme="minorHAnsi"/>
        </w:rPr>
      </w:pPr>
      <w:r w:rsidRPr="003A523F">
        <w:rPr>
          <w:rStyle w:val="Znakapoznpodarou"/>
          <w:rFonts w:asciiTheme="minorHAnsi" w:hAnsiTheme="minorHAnsi" w:cstheme="minorHAnsi"/>
        </w:rPr>
        <w:footnoteRef/>
      </w:r>
      <w:r w:rsidRPr="003A523F">
        <w:rPr>
          <w:rFonts w:asciiTheme="minorHAnsi" w:hAnsiTheme="minorHAnsi" w:cstheme="minorHAnsi"/>
        </w:rPr>
        <w:t xml:space="preserve"> </w:t>
      </w:r>
      <w:r>
        <w:rPr>
          <w:rFonts w:asciiTheme="minorHAnsi" w:hAnsiTheme="minorHAnsi" w:cstheme="minorHAnsi"/>
        </w:rPr>
        <w:tab/>
      </w:r>
      <w:r w:rsidRPr="007E2953">
        <w:rPr>
          <w:rFonts w:asciiTheme="minorHAnsi" w:hAnsiTheme="minorHAnsi" w:cstheme="minorHAnsi"/>
        </w:rPr>
        <w:t>Zákon č. 340/2015 Sb., o zvláštních podmínkách účinnosti některých smluv, uveřejňování těchto smluv a </w:t>
      </w:r>
      <w:r w:rsidRPr="00CC7D82">
        <w:rPr>
          <w:rFonts w:asciiTheme="minorHAnsi" w:hAnsiTheme="minorHAnsi" w:cstheme="minorHAnsi"/>
        </w:rPr>
        <w:t>o registru</w:t>
      </w:r>
      <w:r w:rsidRPr="003F2543">
        <w:rPr>
          <w:rFonts w:asciiTheme="minorHAnsi" w:hAnsiTheme="minorHAnsi" w:cstheme="minorHAnsi"/>
        </w:rPr>
        <w:t xml:space="preserve"> smluv (zákon o registru smluv).</w:t>
      </w:r>
    </w:p>
  </w:footnote>
  <w:footnote w:id="34">
    <w:p w14:paraId="692210DC" w14:textId="70E9D525" w:rsidR="00A95EB8" w:rsidRPr="003A523F" w:rsidRDefault="00A95EB8" w:rsidP="003A523F">
      <w:pPr>
        <w:pStyle w:val="Textpoznpodarou"/>
        <w:ind w:left="284" w:hanging="284"/>
        <w:jc w:val="both"/>
        <w:rPr>
          <w:rFonts w:asciiTheme="minorHAnsi" w:hAnsiTheme="minorHAnsi" w:cstheme="minorHAnsi"/>
        </w:rPr>
      </w:pPr>
      <w:r w:rsidRPr="003A523F">
        <w:rPr>
          <w:rStyle w:val="Znakapoznpodarou"/>
          <w:rFonts w:asciiTheme="minorHAnsi" w:hAnsiTheme="minorHAnsi" w:cstheme="minorHAnsi"/>
        </w:rPr>
        <w:footnoteRef/>
      </w:r>
      <w:r w:rsidRPr="003A523F">
        <w:rPr>
          <w:rFonts w:asciiTheme="minorHAnsi" w:hAnsiTheme="minorHAnsi" w:cstheme="minorHAnsi"/>
        </w:rPr>
        <w:t xml:space="preserve"> </w:t>
      </w:r>
      <w:r>
        <w:rPr>
          <w:rFonts w:asciiTheme="minorHAnsi" w:hAnsiTheme="minorHAnsi" w:cstheme="minorHAnsi"/>
        </w:rPr>
        <w:tab/>
      </w:r>
      <w:r w:rsidRPr="003A523F">
        <w:rPr>
          <w:rFonts w:asciiTheme="minorHAnsi" w:hAnsiTheme="minorHAnsi" w:cstheme="minorHAnsi"/>
        </w:rPr>
        <w:t>Vyhláška č. 416/2004 Sb., kterou se provádí zákon č. 320/2001 Sb., o finanční</w:t>
      </w:r>
      <w:r>
        <w:rPr>
          <w:rFonts w:asciiTheme="minorHAnsi" w:hAnsiTheme="minorHAnsi" w:cstheme="minorHAnsi"/>
        </w:rPr>
        <w:t xml:space="preserve"> kontrole ve veřejné správě a o </w:t>
      </w:r>
      <w:r w:rsidRPr="003A523F">
        <w:rPr>
          <w:rFonts w:asciiTheme="minorHAnsi" w:hAnsiTheme="minorHAnsi" w:cstheme="minorHAnsi"/>
        </w:rPr>
        <w:t>změně některých zákonů (zákon o finanční kontrole), ve znění zákona č. 309/2002 Sb., zákona č.</w:t>
      </w:r>
      <w:r>
        <w:rPr>
          <w:rFonts w:asciiTheme="minorHAnsi" w:hAnsiTheme="minorHAnsi" w:cstheme="minorHAnsi"/>
        </w:rPr>
        <w:t> </w:t>
      </w:r>
      <w:r w:rsidRPr="003A523F">
        <w:rPr>
          <w:rFonts w:asciiTheme="minorHAnsi" w:hAnsiTheme="minorHAnsi" w:cstheme="minorHAnsi"/>
        </w:rPr>
        <w:t>320/2002</w:t>
      </w:r>
      <w:r>
        <w:rPr>
          <w:rFonts w:asciiTheme="minorHAnsi" w:hAnsiTheme="minorHAnsi" w:cstheme="minorHAnsi"/>
        </w:rPr>
        <w:t> </w:t>
      </w:r>
      <w:r w:rsidRPr="003A523F">
        <w:rPr>
          <w:rFonts w:asciiTheme="minorHAnsi" w:hAnsiTheme="minorHAnsi" w:cstheme="minorHAnsi"/>
        </w:rPr>
        <w:t>Sb. a zákona č. 123/2003 Sb.</w:t>
      </w:r>
    </w:p>
  </w:footnote>
  <w:footnote w:id="35">
    <w:p w14:paraId="5AEDC400" w14:textId="271619FE" w:rsidR="00A95EB8" w:rsidRPr="003A523F" w:rsidRDefault="00A95EB8" w:rsidP="003A523F">
      <w:pPr>
        <w:pStyle w:val="Textpoznpodarou"/>
        <w:ind w:left="284" w:hanging="284"/>
        <w:jc w:val="both"/>
        <w:rPr>
          <w:rFonts w:asciiTheme="minorHAnsi" w:hAnsiTheme="minorHAnsi" w:cstheme="minorHAnsi"/>
        </w:rPr>
      </w:pPr>
      <w:r w:rsidRPr="003A523F">
        <w:rPr>
          <w:rStyle w:val="Znakapoznpodarou"/>
          <w:rFonts w:asciiTheme="minorHAnsi" w:hAnsiTheme="minorHAnsi" w:cstheme="minorHAnsi"/>
        </w:rPr>
        <w:footnoteRef/>
      </w:r>
      <w:r w:rsidRPr="003A523F">
        <w:rPr>
          <w:rFonts w:asciiTheme="minorHAnsi" w:hAnsiTheme="minorHAnsi" w:cstheme="minorHAnsi"/>
        </w:rPr>
        <w:t xml:space="preserve"> </w:t>
      </w:r>
      <w:r>
        <w:rPr>
          <w:rFonts w:asciiTheme="minorHAnsi" w:hAnsiTheme="minorHAnsi" w:cstheme="minorHAnsi"/>
        </w:rPr>
        <w:tab/>
      </w:r>
      <w:r w:rsidRPr="003A523F">
        <w:rPr>
          <w:rFonts w:asciiTheme="minorHAnsi" w:hAnsiTheme="minorHAnsi" w:cstheme="minorHAnsi"/>
        </w:rPr>
        <w:t>Vyhlášk</w:t>
      </w:r>
      <w:r>
        <w:rPr>
          <w:rFonts w:asciiTheme="minorHAnsi" w:hAnsiTheme="minorHAnsi" w:cstheme="minorHAnsi"/>
        </w:rPr>
        <w:t>a</w:t>
      </w:r>
      <w:r w:rsidRPr="003A523F">
        <w:rPr>
          <w:rFonts w:asciiTheme="minorHAnsi" w:hAnsiTheme="minorHAnsi" w:cstheme="minorHAnsi"/>
        </w:rPr>
        <w:t xml:space="preserve"> č. 419/2001 Sb., o rozsahu, struktuře a termínech údajů předkládaných pro vypracování návrhu státního závěrečného účtu a o rozsahu a termínech sestavení návrhů závěrečných účtů kapitol státního rozpočtu</w:t>
      </w:r>
      <w:r>
        <w:rPr>
          <w:rFonts w:asciiTheme="minorHAnsi" w:hAnsiTheme="minorHAnsi" w:cstheme="minorHAnsi"/>
        </w:rPr>
        <w:t>.</w:t>
      </w:r>
    </w:p>
  </w:footnote>
  <w:footnote w:id="36">
    <w:p w14:paraId="6E852C68" w14:textId="66184ACA" w:rsidR="00A95EB8" w:rsidRPr="0083257E" w:rsidRDefault="00A95EB8" w:rsidP="00141B7D">
      <w:pPr>
        <w:pStyle w:val="Textpoznpodarou"/>
        <w:spacing w:after="120"/>
        <w:ind w:left="284" w:hanging="284"/>
        <w:jc w:val="both"/>
        <w:rPr>
          <w:rFonts w:asciiTheme="minorHAnsi" w:hAnsiTheme="minorHAnsi" w:cstheme="minorHAnsi"/>
          <w:b/>
          <w:u w:val="single"/>
        </w:rPr>
      </w:pPr>
      <w:r w:rsidRPr="003A523F">
        <w:rPr>
          <w:rStyle w:val="Znakapoznpodarou"/>
          <w:rFonts w:asciiTheme="minorHAnsi" w:hAnsiTheme="minorHAnsi" w:cstheme="minorHAnsi"/>
        </w:rPr>
        <w:footnoteRef/>
      </w:r>
      <w:r w:rsidRPr="003A523F">
        <w:rPr>
          <w:rFonts w:asciiTheme="minorHAnsi" w:hAnsiTheme="minorHAnsi" w:cstheme="minorHAnsi"/>
        </w:rPr>
        <w:t xml:space="preserve"> </w:t>
      </w:r>
      <w:r>
        <w:rPr>
          <w:rFonts w:asciiTheme="minorHAnsi" w:hAnsiTheme="minorHAnsi" w:cstheme="minorHAnsi"/>
        </w:rPr>
        <w:tab/>
      </w:r>
      <w:r w:rsidRPr="005E63AE">
        <w:rPr>
          <w:rFonts w:asciiTheme="minorHAnsi" w:hAnsiTheme="minorHAnsi" w:cstheme="minorHAnsi"/>
        </w:rPr>
        <w:t>Úprava významnosti pro účtování o zálohách ve vnitřním předpisu MPO: „</w:t>
      </w:r>
      <w:r w:rsidRPr="005E63AE">
        <w:rPr>
          <w:rFonts w:asciiTheme="minorHAnsi" w:hAnsiTheme="minorHAnsi" w:cstheme="minorHAnsi"/>
          <w:i/>
        </w:rPr>
        <w:t>O transferech s povinností finančního vypořádání s poskytovatelem k datu 31. 12. nebude MPO účtovat prostřednictvím záloh, pokud celkový objem vrácených prostředků z výše uvedených dotačních titulů ve dvou po sobě následujících účetních obdobích nepřesáhne hodnotu 2% z celkového objemu poskytnutých transferů.</w:t>
      </w:r>
      <w:r w:rsidRPr="005E63AE">
        <w:rPr>
          <w:rFonts w:asciiTheme="minorHAnsi" w:hAnsiTheme="minorHAnsi" w:cstheme="minorHAnsi"/>
        </w:rPr>
        <w:t>“</w:t>
      </w:r>
    </w:p>
  </w:footnote>
  <w:footnote w:id="37">
    <w:p w14:paraId="06058E04" w14:textId="7C59AC5B" w:rsidR="00A95EB8" w:rsidRPr="009B6ABB" w:rsidRDefault="00A95EB8" w:rsidP="003A523F">
      <w:pPr>
        <w:pStyle w:val="Textpoznpodarou"/>
        <w:ind w:left="284" w:hanging="284"/>
        <w:jc w:val="both"/>
        <w:rPr>
          <w:rFonts w:asciiTheme="minorHAnsi" w:hAnsiTheme="minorHAnsi" w:cstheme="minorHAnsi"/>
        </w:rPr>
      </w:pPr>
      <w:r w:rsidRPr="009B6ABB">
        <w:rPr>
          <w:rStyle w:val="Znakapoznpodarou"/>
          <w:rFonts w:asciiTheme="minorHAnsi" w:hAnsiTheme="minorHAnsi" w:cstheme="minorHAnsi"/>
        </w:rPr>
        <w:footnoteRef/>
      </w:r>
      <w:r w:rsidRPr="009B6ABB">
        <w:rPr>
          <w:rFonts w:asciiTheme="minorHAnsi" w:hAnsiTheme="minorHAnsi" w:cstheme="minorHAnsi"/>
        </w:rPr>
        <w:t xml:space="preserve"> </w:t>
      </w:r>
      <w:r>
        <w:rPr>
          <w:rFonts w:asciiTheme="minorHAnsi" w:hAnsiTheme="minorHAnsi" w:cstheme="minorHAnsi"/>
        </w:rPr>
        <w:tab/>
        <w:t>Vyplývající z technické</w:t>
      </w:r>
      <w:r w:rsidRPr="009B6ABB">
        <w:rPr>
          <w:rFonts w:asciiTheme="minorHAnsi" w:hAnsiTheme="minorHAnsi" w:cstheme="minorHAnsi"/>
        </w:rPr>
        <w:t xml:space="preserve"> vyhlášk</w:t>
      </w:r>
      <w:r>
        <w:rPr>
          <w:rFonts w:asciiTheme="minorHAnsi" w:hAnsiTheme="minorHAnsi" w:cstheme="minorHAnsi"/>
        </w:rPr>
        <w:t>y</w:t>
      </w:r>
      <w:r w:rsidRPr="009B6ABB">
        <w:rPr>
          <w:rFonts w:asciiTheme="minorHAnsi" w:hAnsiTheme="minorHAnsi" w:cstheme="minorHAnsi"/>
        </w:rPr>
        <w:t xml:space="preserve"> o účetních záznamech</w:t>
      </w:r>
      <w:r>
        <w:rPr>
          <w:rFonts w:asciiTheme="minorHAnsi" w:hAnsiTheme="minorHAnsi" w:cstheme="minorHAnsi"/>
        </w:rPr>
        <w:t>.</w:t>
      </w:r>
    </w:p>
  </w:footnote>
  <w:footnote w:id="38">
    <w:p w14:paraId="1E25E93A" w14:textId="0F93F54E" w:rsidR="00A95EB8" w:rsidRPr="00BF726F" w:rsidRDefault="00A95EB8" w:rsidP="003A523F">
      <w:pPr>
        <w:pStyle w:val="Textpoznpodarou"/>
        <w:ind w:left="284" w:hanging="284"/>
        <w:jc w:val="both"/>
        <w:rPr>
          <w:rFonts w:asciiTheme="minorHAnsi" w:hAnsiTheme="minorHAnsi" w:cstheme="minorHAnsi"/>
        </w:rPr>
      </w:pPr>
      <w:r w:rsidRPr="00BF726F">
        <w:rPr>
          <w:rStyle w:val="Znakapoznpodarou"/>
          <w:rFonts w:asciiTheme="minorHAnsi" w:hAnsiTheme="minorHAnsi" w:cstheme="minorHAnsi"/>
        </w:rPr>
        <w:footnoteRef/>
      </w:r>
      <w:r w:rsidRPr="00BF726F">
        <w:rPr>
          <w:rFonts w:asciiTheme="minorHAnsi" w:hAnsiTheme="minorHAnsi" w:cstheme="minorHAnsi"/>
        </w:rPr>
        <w:t xml:space="preserve"> </w:t>
      </w:r>
      <w:r>
        <w:rPr>
          <w:rFonts w:asciiTheme="minorHAnsi" w:hAnsiTheme="minorHAnsi" w:cstheme="minorHAnsi"/>
        </w:rPr>
        <w:tab/>
        <w:t>KA</w:t>
      </w:r>
      <w:r w:rsidRPr="00BF726F">
        <w:rPr>
          <w:rFonts w:asciiTheme="minorHAnsi" w:hAnsiTheme="minorHAnsi" w:cstheme="minorHAnsi"/>
        </w:rPr>
        <w:t xml:space="preserve"> č. 13/11 – </w:t>
      </w:r>
      <w:r w:rsidRPr="00BF726F">
        <w:rPr>
          <w:rFonts w:asciiTheme="minorHAnsi" w:hAnsiTheme="minorHAnsi" w:cstheme="minorHAnsi"/>
          <w:i/>
        </w:rPr>
        <w:t>Údaje pro účely monitorování a řízení veřejných financí pře</w:t>
      </w:r>
      <w:r>
        <w:rPr>
          <w:rFonts w:asciiTheme="minorHAnsi" w:hAnsiTheme="minorHAnsi" w:cstheme="minorHAnsi"/>
          <w:i/>
        </w:rPr>
        <w:t>dávané Ministerstvem průmyslu a </w:t>
      </w:r>
      <w:r w:rsidRPr="00BF726F">
        <w:rPr>
          <w:rFonts w:asciiTheme="minorHAnsi" w:hAnsiTheme="minorHAnsi" w:cstheme="minorHAnsi"/>
          <w:i/>
        </w:rPr>
        <w:t>obchodu k 31. 12. 2012 ve formě pomocného analytického přehledu prostřednictvím centrálního systému účetních informací státu</w:t>
      </w:r>
      <w:r w:rsidRPr="00BF726F">
        <w:rPr>
          <w:rFonts w:asciiTheme="minorHAnsi" w:hAnsiTheme="minorHAnsi" w:cstheme="minorHAnsi"/>
        </w:rPr>
        <w:t xml:space="preserve"> (kontrolní závěr byl zveřejněn v částce</w:t>
      </w:r>
      <w:r>
        <w:rPr>
          <w:rFonts w:asciiTheme="minorHAnsi" w:hAnsiTheme="minorHAnsi" w:cstheme="minorHAnsi"/>
        </w:rPr>
        <w:t xml:space="preserve"> </w:t>
      </w:r>
      <w:r w:rsidRPr="00BF726F">
        <w:rPr>
          <w:rFonts w:asciiTheme="minorHAnsi" w:hAnsiTheme="minorHAnsi" w:cstheme="minorHAnsi"/>
        </w:rPr>
        <w:t>4</w:t>
      </w:r>
      <w:r>
        <w:rPr>
          <w:rFonts w:asciiTheme="minorHAnsi" w:hAnsiTheme="minorHAnsi" w:cstheme="minorHAnsi"/>
        </w:rPr>
        <w:t>/</w:t>
      </w:r>
      <w:r w:rsidRPr="00BF726F">
        <w:rPr>
          <w:rFonts w:asciiTheme="minorHAnsi" w:hAnsiTheme="minorHAnsi" w:cstheme="minorHAnsi"/>
        </w:rPr>
        <w:t xml:space="preserve">2013 </w:t>
      </w:r>
      <w:r w:rsidRPr="00BF726F">
        <w:rPr>
          <w:rFonts w:asciiTheme="minorHAnsi" w:hAnsiTheme="minorHAnsi" w:cstheme="minorHAnsi"/>
          <w:i/>
        </w:rPr>
        <w:t>Věstníku NKÚ</w:t>
      </w:r>
      <w:r>
        <w:rPr>
          <w:rFonts w:asciiTheme="minorHAnsi" w:hAnsiTheme="minorHAnsi" w:cstheme="minorHAnsi"/>
        </w:rPr>
        <w:t>).</w:t>
      </w:r>
    </w:p>
  </w:footnote>
  <w:footnote w:id="39">
    <w:p w14:paraId="1ECA2E8F" w14:textId="325AA7D9" w:rsidR="00A95EB8" w:rsidRPr="003A523F" w:rsidRDefault="00A95EB8" w:rsidP="003A523F">
      <w:pPr>
        <w:pStyle w:val="Textpoznpodarou"/>
        <w:ind w:left="284" w:hanging="284"/>
        <w:jc w:val="both"/>
        <w:rPr>
          <w:rFonts w:asciiTheme="minorHAnsi" w:hAnsiTheme="minorHAnsi" w:cstheme="minorHAnsi"/>
        </w:rPr>
      </w:pPr>
      <w:r w:rsidRPr="003A523F">
        <w:rPr>
          <w:rStyle w:val="Znakapoznpodarou"/>
          <w:rFonts w:asciiTheme="minorHAnsi" w:hAnsiTheme="minorHAnsi" w:cstheme="minorHAnsi"/>
        </w:rPr>
        <w:footnoteRef/>
      </w:r>
      <w:r w:rsidRPr="003A523F">
        <w:rPr>
          <w:rFonts w:asciiTheme="minorHAnsi" w:hAnsiTheme="minorHAnsi" w:cstheme="minorHAnsi"/>
        </w:rPr>
        <w:t xml:space="preserve"> </w:t>
      </w:r>
      <w:r>
        <w:rPr>
          <w:rFonts w:asciiTheme="minorHAnsi" w:hAnsiTheme="minorHAnsi" w:cstheme="minorHAnsi"/>
        </w:rPr>
        <w:tab/>
      </w:r>
      <w:r w:rsidRPr="003A523F">
        <w:rPr>
          <w:rFonts w:asciiTheme="minorHAnsi" w:hAnsiTheme="minorHAnsi" w:cstheme="minorHAnsi"/>
        </w:rPr>
        <w:t>Zákon č. 47/2002 Sb., o podpoře malého a středního podnikání a o změně zákona č. 2/1969 Sb., o zřízení ministerstev a jiných ústředních orgánů státní správy České republiky</w:t>
      </w:r>
      <w:r>
        <w:rPr>
          <w:rFonts w:asciiTheme="minorHAnsi" w:hAnsiTheme="minorHAnsi" w:cstheme="minorHAnsi"/>
        </w:rPr>
        <w:t>, ve znění pozdějších předpisů.</w:t>
      </w:r>
    </w:p>
  </w:footnote>
  <w:footnote w:id="40">
    <w:p w14:paraId="4D68EB48" w14:textId="0FDE2788" w:rsidR="00A95EB8" w:rsidRDefault="00A95EB8" w:rsidP="005E63AE">
      <w:pPr>
        <w:pStyle w:val="Textpoznpodarou"/>
        <w:ind w:left="284" w:hanging="284"/>
        <w:jc w:val="both"/>
        <w:rPr>
          <w:rFonts w:asciiTheme="minorHAnsi" w:hAnsiTheme="minorHAnsi" w:cstheme="minorHAnsi"/>
        </w:rPr>
      </w:pPr>
      <w:r w:rsidRPr="00DE0188">
        <w:rPr>
          <w:rStyle w:val="Znakapoznpodarou"/>
          <w:rFonts w:asciiTheme="minorHAnsi" w:eastAsiaTheme="majorEastAsia" w:hAnsiTheme="minorHAnsi" w:cstheme="minorHAnsi"/>
        </w:rPr>
        <w:footnoteRef/>
      </w:r>
      <w:r w:rsidRPr="00DE0188">
        <w:rPr>
          <w:rFonts w:asciiTheme="minorHAnsi" w:hAnsiTheme="minorHAnsi" w:cstheme="minorHAnsi"/>
        </w:rPr>
        <w:t xml:space="preserve"> </w:t>
      </w:r>
      <w:r>
        <w:rPr>
          <w:rFonts w:asciiTheme="minorHAnsi" w:hAnsiTheme="minorHAnsi" w:cstheme="minorHAnsi"/>
        </w:rPr>
        <w:tab/>
      </w:r>
      <w:r w:rsidRPr="00DE0188">
        <w:rPr>
          <w:rFonts w:asciiTheme="minorHAnsi" w:hAnsiTheme="minorHAnsi" w:cstheme="minorHAnsi"/>
        </w:rPr>
        <w:t xml:space="preserve">Zejména </w:t>
      </w:r>
      <w:r>
        <w:rPr>
          <w:rFonts w:asciiTheme="minorHAnsi" w:hAnsiTheme="minorHAnsi" w:cstheme="minorHAnsi"/>
        </w:rPr>
        <w:t>n</w:t>
      </w:r>
      <w:r w:rsidRPr="005E63AE">
        <w:rPr>
          <w:rFonts w:asciiTheme="minorHAnsi" w:hAnsiTheme="minorHAnsi" w:cstheme="minorHAnsi"/>
        </w:rPr>
        <w:t xml:space="preserve">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w:t>
      </w:r>
      <w:r>
        <w:rPr>
          <w:rFonts w:asciiTheme="minorHAnsi" w:hAnsiTheme="minorHAnsi" w:cstheme="minorHAnsi"/>
        </w:rPr>
        <w:t>n</w:t>
      </w:r>
      <w:r w:rsidRPr="005E63AE">
        <w:rPr>
          <w:rFonts w:asciiTheme="minorHAnsi" w:hAnsiTheme="minorHAnsi" w:cstheme="minorHAnsi"/>
        </w:rPr>
        <w:t>ařízení Rady (ES) č.</w:t>
      </w:r>
      <w:r>
        <w:rPr>
          <w:rFonts w:asciiTheme="minorHAnsi" w:hAnsiTheme="minorHAnsi" w:cstheme="minorHAnsi"/>
        </w:rPr>
        <w:t> </w:t>
      </w:r>
      <w:r w:rsidRPr="005E63AE">
        <w:rPr>
          <w:rFonts w:asciiTheme="minorHAnsi" w:hAnsiTheme="minorHAnsi" w:cstheme="minorHAnsi"/>
        </w:rPr>
        <w:t xml:space="preserve">1083/2006 ze dne 11. července 2006 o obecných ustanoveních o Evropském fondu pro regionální rozvoj, Evropském sociálním fondu a Fondu soudržnosti a o zrušení </w:t>
      </w:r>
      <w:r>
        <w:rPr>
          <w:rFonts w:asciiTheme="minorHAnsi" w:hAnsiTheme="minorHAnsi" w:cstheme="minorHAnsi"/>
        </w:rPr>
        <w:t>n</w:t>
      </w:r>
      <w:r w:rsidRPr="005E63AE">
        <w:rPr>
          <w:rFonts w:asciiTheme="minorHAnsi" w:hAnsiTheme="minorHAnsi" w:cstheme="minorHAnsi"/>
        </w:rPr>
        <w:t>ařízení Rady (ES) č. 1260/1999,</w:t>
      </w:r>
      <w:r w:rsidRPr="00B73640">
        <w:rPr>
          <w:rFonts w:asciiTheme="minorHAnsi" w:hAnsiTheme="minorHAnsi" w:cstheme="minorHAnsi"/>
        </w:rPr>
        <w:t xml:space="preserve"> </w:t>
      </w:r>
      <w:r>
        <w:rPr>
          <w:rFonts w:asciiTheme="minorHAnsi" w:hAnsiTheme="minorHAnsi" w:cstheme="minorHAnsi"/>
        </w:rPr>
        <w:t>n</w:t>
      </w:r>
      <w:r w:rsidRPr="005E63AE">
        <w:rPr>
          <w:rFonts w:asciiTheme="minorHAnsi" w:hAnsiTheme="minorHAnsi" w:cstheme="minorHAnsi"/>
        </w:rPr>
        <w:t>ařízení Evropského parlamentu a Rady (EU, Euratom) 2018/1046 ze dne</w:t>
      </w:r>
      <w:r>
        <w:rPr>
          <w:rFonts w:asciiTheme="minorHAnsi" w:hAnsiTheme="minorHAnsi" w:cstheme="minorHAnsi"/>
        </w:rPr>
        <w:t> </w:t>
      </w:r>
      <w:r w:rsidRPr="005E63AE">
        <w:rPr>
          <w:rFonts w:asciiTheme="minorHAnsi" w:hAnsiTheme="minorHAnsi" w:cstheme="minorHAnsi"/>
        </w:rPr>
        <w:t>18. července 2018, kterým se stanoví finanční pravidla pro souhrnný rozpočet Unie,</w:t>
      </w:r>
      <w:r w:rsidRPr="00DA5790">
        <w:rPr>
          <w:rFonts w:asciiTheme="minorHAnsi" w:hAnsiTheme="minorHAnsi" w:cstheme="minorHAnsi"/>
        </w:rPr>
        <w:t xml:space="preserve"> </w:t>
      </w:r>
      <w:r>
        <w:rPr>
          <w:rFonts w:asciiTheme="minorHAnsi" w:hAnsiTheme="minorHAnsi" w:cstheme="minorHAnsi"/>
        </w:rPr>
        <w:t>n</w:t>
      </w:r>
      <w:r w:rsidRPr="005E63AE">
        <w:rPr>
          <w:rFonts w:asciiTheme="minorHAnsi" w:hAnsiTheme="minorHAnsi" w:cstheme="minorHAnsi"/>
        </w:rPr>
        <w:t>ařízení (EU, Euratom) č. 966/2012 Evropského parlamentu a</w:t>
      </w:r>
      <w:r>
        <w:rPr>
          <w:rFonts w:asciiTheme="minorHAnsi" w:hAnsiTheme="minorHAnsi" w:cstheme="minorHAnsi"/>
        </w:rPr>
        <w:t> </w:t>
      </w:r>
      <w:r w:rsidRPr="005E63AE">
        <w:rPr>
          <w:rFonts w:asciiTheme="minorHAnsi" w:hAnsiTheme="minorHAnsi" w:cstheme="minorHAnsi"/>
        </w:rPr>
        <w:t>Rady ze dne 25. října 2012, kterým se stanoví finanční pravidla o souhrnném rozpočtu Unie a o zrušení nařízení Rady (ES, Euratom) č. 1605/2002</w:t>
      </w:r>
      <w:r>
        <w:rPr>
          <w:rFonts w:asciiTheme="minorHAnsi" w:hAnsiTheme="minorHAnsi" w:cstheme="minorHAnsi"/>
        </w:rPr>
        <w:t>,</w:t>
      </w:r>
      <w:r w:rsidRPr="005E63AE">
        <w:rPr>
          <w:rFonts w:asciiTheme="minorHAnsi" w:hAnsiTheme="minorHAnsi" w:cstheme="minorHAnsi"/>
        </w:rPr>
        <w:t xml:space="preserve"> a </w:t>
      </w:r>
      <w:r>
        <w:rPr>
          <w:rFonts w:asciiTheme="minorHAnsi" w:hAnsiTheme="minorHAnsi" w:cstheme="minorHAnsi"/>
        </w:rPr>
        <w:t>n</w:t>
      </w:r>
      <w:r w:rsidRPr="005E63AE">
        <w:rPr>
          <w:rFonts w:asciiTheme="minorHAnsi" w:hAnsiTheme="minorHAnsi" w:cstheme="minorHAnsi"/>
        </w:rPr>
        <w:t xml:space="preserve">ařízení Rady (ES, </w:t>
      </w:r>
      <w:proofErr w:type="spellStart"/>
      <w:r w:rsidRPr="005E63AE">
        <w:rPr>
          <w:rFonts w:asciiTheme="minorHAnsi" w:hAnsiTheme="minorHAnsi" w:cstheme="minorHAnsi"/>
        </w:rPr>
        <w:t>Euroatom</w:t>
      </w:r>
      <w:proofErr w:type="spellEnd"/>
      <w:r w:rsidRPr="005E63AE">
        <w:rPr>
          <w:rFonts w:asciiTheme="minorHAnsi" w:hAnsiTheme="minorHAnsi" w:cstheme="minorHAnsi"/>
        </w:rPr>
        <w:t>) č. 1605/2002 ze dne 25.</w:t>
      </w:r>
      <w:r>
        <w:rPr>
          <w:rFonts w:asciiTheme="minorHAnsi" w:hAnsiTheme="minorHAnsi" w:cstheme="minorHAnsi"/>
        </w:rPr>
        <w:t> </w:t>
      </w:r>
      <w:r w:rsidRPr="005E63AE">
        <w:rPr>
          <w:rFonts w:asciiTheme="minorHAnsi" w:hAnsiTheme="minorHAnsi" w:cstheme="minorHAnsi"/>
        </w:rPr>
        <w:t>června</w:t>
      </w:r>
      <w:r>
        <w:rPr>
          <w:rFonts w:asciiTheme="minorHAnsi" w:hAnsiTheme="minorHAnsi" w:cstheme="minorHAnsi"/>
        </w:rPr>
        <w:t> </w:t>
      </w:r>
      <w:r w:rsidRPr="005E63AE">
        <w:rPr>
          <w:rFonts w:asciiTheme="minorHAnsi" w:hAnsiTheme="minorHAnsi" w:cstheme="minorHAnsi"/>
        </w:rPr>
        <w:t>2002, kterým se stanoví finanční nařízení o souhrnném rozpočtu Evropských společenství.</w:t>
      </w:r>
    </w:p>
  </w:footnote>
  <w:footnote w:id="41">
    <w:p w14:paraId="4D16FFFF" w14:textId="4E784F24" w:rsidR="00A95EB8" w:rsidRPr="00DE0188" w:rsidRDefault="00A95EB8" w:rsidP="00A418CD">
      <w:pPr>
        <w:pStyle w:val="Textpoznpodarou"/>
        <w:ind w:left="284" w:hanging="284"/>
        <w:jc w:val="both"/>
        <w:rPr>
          <w:rFonts w:asciiTheme="minorHAnsi" w:hAnsiTheme="minorHAnsi" w:cstheme="minorHAnsi"/>
        </w:rPr>
      </w:pPr>
      <w:r w:rsidRPr="00DE0188">
        <w:rPr>
          <w:rStyle w:val="Znakapoznpodarou"/>
          <w:rFonts w:asciiTheme="minorHAnsi" w:eastAsiaTheme="majorEastAsia" w:hAnsiTheme="minorHAnsi" w:cstheme="minorHAnsi"/>
        </w:rPr>
        <w:footnoteRef/>
      </w:r>
      <w:r w:rsidRPr="00DE0188">
        <w:rPr>
          <w:rFonts w:asciiTheme="minorHAnsi" w:hAnsiTheme="minorHAnsi" w:cstheme="minorHAnsi"/>
        </w:rPr>
        <w:t xml:space="preserve"> </w:t>
      </w:r>
      <w:r>
        <w:rPr>
          <w:rFonts w:asciiTheme="minorHAnsi" w:hAnsiTheme="minorHAnsi" w:cstheme="minorHAnsi"/>
        </w:rPr>
        <w:tab/>
      </w:r>
      <w:r w:rsidRPr="00DE0188">
        <w:rPr>
          <w:rFonts w:asciiTheme="minorHAnsi" w:hAnsiTheme="minorHAnsi" w:cstheme="minorHAnsi"/>
        </w:rPr>
        <w:t xml:space="preserve">MPO do roku 2017 o peněžních prostředcích spravovaných </w:t>
      </w:r>
      <w:r>
        <w:rPr>
          <w:rFonts w:asciiTheme="minorHAnsi" w:hAnsiTheme="minorHAnsi" w:cstheme="minorHAnsi"/>
        </w:rPr>
        <w:t>finanční institucí</w:t>
      </w:r>
      <w:r w:rsidRPr="00DE0188">
        <w:rPr>
          <w:rFonts w:asciiTheme="minorHAnsi" w:hAnsiTheme="minorHAnsi" w:cstheme="minorHAnsi"/>
        </w:rPr>
        <w:t xml:space="preserve"> neúčtovalo a neprovádělo jejich inventarizaci, viz kontrolní závěr z </w:t>
      </w:r>
      <w:r>
        <w:rPr>
          <w:rFonts w:asciiTheme="minorHAnsi" w:hAnsiTheme="minorHAnsi" w:cstheme="minorHAnsi"/>
        </w:rPr>
        <w:t>KA</w:t>
      </w:r>
      <w:r w:rsidRPr="00DE0188">
        <w:rPr>
          <w:rFonts w:asciiTheme="minorHAnsi" w:hAnsiTheme="minorHAnsi" w:cstheme="minorHAnsi"/>
        </w:rPr>
        <w:t xml:space="preserve"> č. 13/11 </w:t>
      </w:r>
      <w:r w:rsidRPr="00DE0188">
        <w:rPr>
          <w:rFonts w:asciiTheme="minorHAnsi" w:eastAsia="Calibri" w:hAnsiTheme="minorHAnsi" w:cstheme="minorHAnsi"/>
          <w:lang w:eastAsia="en-US"/>
        </w:rPr>
        <w:t xml:space="preserve">– </w:t>
      </w:r>
      <w:r w:rsidRPr="00DE0188">
        <w:rPr>
          <w:rFonts w:asciiTheme="minorHAnsi" w:eastAsia="Calibri" w:hAnsiTheme="minorHAnsi" w:cstheme="minorHAnsi"/>
          <w:i/>
          <w:lang w:eastAsia="en-US"/>
        </w:rPr>
        <w:t>Údaje pro účely monitorování a řízení veřejných financí předávané Ministerstvem průmyslu a obchodu k 31. 12. 2012 ve formě pomocného analytického přehledu prostřednictvím centrálního systému účetních informací státu</w:t>
      </w:r>
      <w:r w:rsidRPr="00DE0188">
        <w:rPr>
          <w:rFonts w:asciiTheme="minorHAnsi" w:eastAsia="Calibri" w:hAnsiTheme="minorHAnsi" w:cstheme="minorHAnsi"/>
          <w:lang w:eastAsia="en-US"/>
        </w:rPr>
        <w:t xml:space="preserve"> </w:t>
      </w:r>
      <w:r>
        <w:rPr>
          <w:rFonts w:asciiTheme="minorHAnsi" w:eastAsia="Calibri" w:hAnsiTheme="minorHAnsi" w:cstheme="minorHAnsi"/>
          <w:lang w:eastAsia="en-US"/>
        </w:rPr>
        <w:t>(</w:t>
      </w:r>
      <w:r w:rsidRPr="00DE0188">
        <w:rPr>
          <w:rFonts w:asciiTheme="minorHAnsi" w:eastAsia="Calibri" w:hAnsiTheme="minorHAnsi" w:cstheme="minorHAnsi"/>
          <w:lang w:eastAsia="en-US"/>
        </w:rPr>
        <w:t>zveřejněn v</w:t>
      </w:r>
      <w:r>
        <w:rPr>
          <w:rFonts w:asciiTheme="minorHAnsi" w:eastAsia="Calibri" w:hAnsiTheme="minorHAnsi" w:cstheme="minorHAnsi"/>
          <w:lang w:eastAsia="en-US"/>
        </w:rPr>
        <w:t> </w:t>
      </w:r>
      <w:r w:rsidRPr="00DE0188">
        <w:rPr>
          <w:rFonts w:asciiTheme="minorHAnsi" w:eastAsia="Calibri" w:hAnsiTheme="minorHAnsi" w:cstheme="minorHAnsi"/>
          <w:lang w:eastAsia="en-US"/>
        </w:rPr>
        <w:t>částce</w:t>
      </w:r>
      <w:r>
        <w:rPr>
          <w:rFonts w:asciiTheme="minorHAnsi" w:eastAsia="Calibri" w:hAnsiTheme="minorHAnsi" w:cstheme="minorHAnsi"/>
          <w:lang w:eastAsia="en-US"/>
        </w:rPr>
        <w:t xml:space="preserve"> </w:t>
      </w:r>
      <w:r w:rsidRPr="00DE0188">
        <w:rPr>
          <w:rFonts w:asciiTheme="minorHAnsi" w:eastAsia="Calibri" w:hAnsiTheme="minorHAnsi" w:cstheme="minorHAnsi"/>
          <w:lang w:eastAsia="en-US"/>
        </w:rPr>
        <w:t>4</w:t>
      </w:r>
      <w:r>
        <w:rPr>
          <w:rFonts w:asciiTheme="minorHAnsi" w:eastAsia="Calibri" w:hAnsiTheme="minorHAnsi" w:cstheme="minorHAnsi"/>
          <w:lang w:eastAsia="en-US"/>
        </w:rPr>
        <w:t>/</w:t>
      </w:r>
      <w:r w:rsidRPr="00DE0188">
        <w:rPr>
          <w:rFonts w:asciiTheme="minorHAnsi" w:eastAsia="Calibri" w:hAnsiTheme="minorHAnsi" w:cstheme="minorHAnsi"/>
          <w:lang w:eastAsia="en-US"/>
        </w:rPr>
        <w:t xml:space="preserve">2013 </w:t>
      </w:r>
      <w:r w:rsidRPr="00DE0188">
        <w:rPr>
          <w:rFonts w:asciiTheme="minorHAnsi" w:eastAsia="Calibri" w:hAnsiTheme="minorHAnsi" w:cstheme="minorHAnsi"/>
          <w:i/>
          <w:lang w:eastAsia="en-US"/>
        </w:rPr>
        <w:t>Věstníku NKÚ</w:t>
      </w:r>
      <w:r>
        <w:rPr>
          <w:rFonts w:asciiTheme="minorHAnsi" w:eastAsia="Calibri" w:hAnsiTheme="minorHAnsi" w:cstheme="minorHAnsi"/>
          <w:lang w:eastAsia="en-US"/>
        </w:rPr>
        <w:t>)</w:t>
      </w:r>
      <w:r w:rsidRPr="00DE0188">
        <w:rPr>
          <w:rFonts w:asciiTheme="minorHAnsi" w:hAnsiTheme="minorHAnsi" w:cstheme="minorHAnsi"/>
        </w:rPr>
        <w:t xml:space="preserve"> a</w:t>
      </w:r>
      <w:r>
        <w:rPr>
          <w:rFonts w:asciiTheme="minorHAnsi" w:hAnsiTheme="minorHAnsi" w:cstheme="minorHAnsi"/>
        </w:rPr>
        <w:t> kontrolní závěr z KA</w:t>
      </w:r>
      <w:r w:rsidRPr="00DE0188">
        <w:rPr>
          <w:rFonts w:asciiTheme="minorHAnsi" w:hAnsiTheme="minorHAnsi" w:cstheme="minorHAnsi"/>
        </w:rPr>
        <w:t xml:space="preserve"> č. 16/25 </w:t>
      </w:r>
      <w:r w:rsidRPr="00DE0188">
        <w:rPr>
          <w:rFonts w:asciiTheme="minorHAnsi" w:eastAsia="Calibri" w:hAnsiTheme="minorHAnsi" w:cstheme="minorHAnsi"/>
          <w:lang w:eastAsia="en-US"/>
        </w:rPr>
        <w:t>–</w:t>
      </w:r>
      <w:r w:rsidRPr="00DE0188">
        <w:rPr>
          <w:rFonts w:asciiTheme="minorHAnsi" w:hAnsiTheme="minorHAnsi" w:cstheme="minorHAnsi"/>
        </w:rPr>
        <w:t xml:space="preserve"> </w:t>
      </w:r>
      <w:r w:rsidRPr="00DE0188">
        <w:rPr>
          <w:rFonts w:asciiTheme="minorHAnsi" w:hAnsiTheme="minorHAnsi" w:cstheme="minorHAnsi"/>
          <w:i/>
        </w:rPr>
        <w:t>Závěrečný účet kapitoly státního r</w:t>
      </w:r>
      <w:r>
        <w:rPr>
          <w:rFonts w:asciiTheme="minorHAnsi" w:hAnsiTheme="minorHAnsi" w:cstheme="minorHAnsi"/>
          <w:i/>
        </w:rPr>
        <w:t>ozpočtu Ministerstvo průmyslu a </w:t>
      </w:r>
      <w:r w:rsidRPr="00DE0188">
        <w:rPr>
          <w:rFonts w:asciiTheme="minorHAnsi" w:hAnsiTheme="minorHAnsi" w:cstheme="minorHAnsi"/>
          <w:i/>
        </w:rPr>
        <w:t>obchodu za rok 2015, účetní závěrka Ministerstva průmyslu a obchodu za rok 2015 a údaje předkládané Ministerstvem průmyslu a obchodu pro hodnocení plnění státního rozpočtu za rok 2015</w:t>
      </w:r>
      <w:r w:rsidRPr="00DE0188">
        <w:rPr>
          <w:rFonts w:asciiTheme="minorHAnsi" w:hAnsiTheme="minorHAnsi" w:cstheme="minorHAnsi"/>
        </w:rPr>
        <w:t xml:space="preserve"> </w:t>
      </w:r>
      <w:r>
        <w:rPr>
          <w:rFonts w:asciiTheme="minorHAnsi" w:hAnsiTheme="minorHAnsi" w:cstheme="minorHAnsi"/>
        </w:rPr>
        <w:t>(</w:t>
      </w:r>
      <w:r w:rsidRPr="00DE0188">
        <w:rPr>
          <w:rFonts w:asciiTheme="minorHAnsi" w:hAnsiTheme="minorHAnsi" w:cstheme="minorHAnsi"/>
        </w:rPr>
        <w:t>zveřejněn v částce</w:t>
      </w:r>
      <w:r>
        <w:rPr>
          <w:rFonts w:asciiTheme="minorHAnsi" w:hAnsiTheme="minorHAnsi" w:cstheme="minorHAnsi"/>
        </w:rPr>
        <w:t> </w:t>
      </w:r>
      <w:r w:rsidRPr="00DE0188">
        <w:rPr>
          <w:rFonts w:asciiTheme="minorHAnsi" w:hAnsiTheme="minorHAnsi" w:cstheme="minorHAnsi"/>
        </w:rPr>
        <w:t>4</w:t>
      </w:r>
      <w:r>
        <w:rPr>
          <w:rFonts w:asciiTheme="minorHAnsi" w:hAnsiTheme="minorHAnsi" w:cstheme="minorHAnsi"/>
        </w:rPr>
        <w:t>/</w:t>
      </w:r>
      <w:r w:rsidRPr="00DE0188">
        <w:rPr>
          <w:rFonts w:asciiTheme="minorHAnsi" w:hAnsiTheme="minorHAnsi" w:cstheme="minorHAnsi"/>
        </w:rPr>
        <w:t xml:space="preserve">2017 </w:t>
      </w:r>
      <w:r w:rsidRPr="00DE0188">
        <w:rPr>
          <w:rFonts w:asciiTheme="minorHAnsi" w:hAnsiTheme="minorHAnsi" w:cstheme="minorHAnsi"/>
          <w:i/>
        </w:rPr>
        <w:t>Věstníku NKÚ</w:t>
      </w:r>
      <w:r>
        <w:rPr>
          <w:rFonts w:asciiTheme="minorHAnsi" w:hAnsiTheme="minorHAnsi" w:cstheme="minorHAnsi"/>
        </w:rPr>
        <w:t>)</w:t>
      </w:r>
      <w:r>
        <w:rPr>
          <w:rFonts w:asciiTheme="minorHAnsi" w:hAnsiTheme="minorHAnsi" w:cstheme="minorHAnsi"/>
          <w:i/>
        </w:rPr>
        <w:t>.</w:t>
      </w:r>
    </w:p>
  </w:footnote>
  <w:footnote w:id="42">
    <w:p w14:paraId="0667C77C" w14:textId="7FAE4026" w:rsidR="00A95EB8" w:rsidRPr="0047192C" w:rsidRDefault="00A95EB8" w:rsidP="00586C85">
      <w:pPr>
        <w:pStyle w:val="Textpoznpodarou"/>
        <w:ind w:left="284" w:hanging="284"/>
        <w:jc w:val="both"/>
        <w:rPr>
          <w:rFonts w:asciiTheme="minorHAnsi" w:hAnsiTheme="minorHAnsi" w:cstheme="minorHAnsi"/>
        </w:rPr>
      </w:pPr>
      <w:r w:rsidRPr="00586C85">
        <w:rPr>
          <w:rStyle w:val="Znakapoznpodarou"/>
          <w:rFonts w:asciiTheme="minorHAnsi" w:hAnsiTheme="minorHAnsi"/>
        </w:rPr>
        <w:footnoteRef/>
      </w:r>
      <w:r w:rsidRPr="0047192C">
        <w:t xml:space="preserve"> </w:t>
      </w:r>
      <w:r>
        <w:tab/>
      </w:r>
      <w:r>
        <w:rPr>
          <w:rFonts w:asciiTheme="minorHAnsi" w:hAnsiTheme="minorHAnsi"/>
        </w:rPr>
        <w:t>A</w:t>
      </w:r>
      <w:r w:rsidRPr="005B521E">
        <w:rPr>
          <w:rFonts w:asciiTheme="minorHAnsi" w:hAnsiTheme="minorHAnsi"/>
        </w:rPr>
        <w:t xml:space="preserve"> to na základě konzultací s odborným útvarem MPO, informací od </w:t>
      </w:r>
      <w:r>
        <w:rPr>
          <w:rFonts w:asciiTheme="minorHAnsi" w:hAnsiTheme="minorHAnsi"/>
        </w:rPr>
        <w:t>finanční instituce</w:t>
      </w:r>
      <w:r w:rsidRPr="005B521E">
        <w:rPr>
          <w:rFonts w:asciiTheme="minorHAnsi" w:hAnsiTheme="minorHAnsi"/>
        </w:rPr>
        <w:t xml:space="preserve"> a v souladu s vnitřním předpisem MPO.</w:t>
      </w:r>
    </w:p>
  </w:footnote>
  <w:footnote w:id="43">
    <w:p w14:paraId="3A37FA78" w14:textId="5D623C51" w:rsidR="00A95EB8" w:rsidRPr="003A523F" w:rsidRDefault="00A95EB8" w:rsidP="003A523F">
      <w:pPr>
        <w:pStyle w:val="Textpoznpodarou"/>
        <w:ind w:left="284" w:hanging="284"/>
        <w:jc w:val="both"/>
        <w:rPr>
          <w:rFonts w:asciiTheme="minorHAnsi" w:hAnsiTheme="minorHAnsi" w:cstheme="minorHAnsi"/>
        </w:rPr>
      </w:pPr>
      <w:r w:rsidRPr="003A523F">
        <w:rPr>
          <w:rStyle w:val="Znakapoznpodarou"/>
          <w:rFonts w:asciiTheme="minorHAnsi" w:hAnsiTheme="minorHAnsi" w:cstheme="minorHAnsi"/>
        </w:rPr>
        <w:footnoteRef/>
      </w:r>
      <w:r w:rsidRPr="003A523F">
        <w:rPr>
          <w:rFonts w:asciiTheme="minorHAnsi" w:hAnsiTheme="minorHAnsi" w:cstheme="minorHAnsi"/>
        </w:rPr>
        <w:t xml:space="preserve"> </w:t>
      </w:r>
      <w:r>
        <w:rPr>
          <w:rFonts w:asciiTheme="minorHAnsi" w:hAnsiTheme="minorHAnsi" w:cstheme="minorHAnsi"/>
        </w:rPr>
        <w:tab/>
      </w:r>
      <w:r w:rsidRPr="003A523F">
        <w:rPr>
          <w:rFonts w:asciiTheme="minorHAnsi" w:hAnsiTheme="minorHAnsi" w:cstheme="minorHAnsi"/>
        </w:rPr>
        <w:t>Vyhláška č. 410/2009 Sb., kterou se provádějí některá ustanovení zákona č. 563/1991 Sb., o účetnictví, ve znění pozdějších předpisů, pro některé vybrané účetní jednotky</w:t>
      </w:r>
      <w:r>
        <w:rPr>
          <w:rFonts w:asciiTheme="minorHAnsi" w:hAnsiTheme="minorHAnsi" w:cstheme="minorHAnsi"/>
        </w:rPr>
        <w:t>.</w:t>
      </w:r>
    </w:p>
  </w:footnote>
  <w:footnote w:id="44">
    <w:p w14:paraId="1090B320" w14:textId="4F231538" w:rsidR="00A95EB8" w:rsidRDefault="00A95EB8" w:rsidP="00224ECC">
      <w:pPr>
        <w:pStyle w:val="Textpoznpodarou"/>
        <w:ind w:left="284" w:hanging="284"/>
      </w:pPr>
      <w:r w:rsidRPr="005B521E">
        <w:rPr>
          <w:rStyle w:val="Znakapoznpodarou"/>
          <w:rFonts w:ascii="Calibri" w:hAnsi="Calibri"/>
        </w:rPr>
        <w:footnoteRef/>
      </w:r>
      <w:r w:rsidRPr="005B521E">
        <w:rPr>
          <w:rFonts w:ascii="Calibri" w:hAnsi="Calibri"/>
        </w:rPr>
        <w:t xml:space="preserve"> </w:t>
      </w:r>
      <w:r>
        <w:rPr>
          <w:rFonts w:ascii="Calibri" w:hAnsi="Calibri"/>
        </w:rPr>
        <w:tab/>
      </w:r>
      <w:r w:rsidRPr="005B521E">
        <w:rPr>
          <w:rFonts w:asciiTheme="minorHAnsi" w:hAnsiTheme="minorHAnsi"/>
        </w:rPr>
        <w:t>V roce 2020 se jednalo o částku cca 250 mil. Kč.</w:t>
      </w:r>
    </w:p>
  </w:footnote>
  <w:footnote w:id="45">
    <w:p w14:paraId="1A348AD3" w14:textId="5B145939" w:rsidR="00A95EB8" w:rsidRDefault="00A95EB8" w:rsidP="00A418CD">
      <w:pPr>
        <w:pStyle w:val="Textpoznpodarou"/>
        <w:ind w:left="284" w:hanging="284"/>
        <w:jc w:val="both"/>
        <w:rPr>
          <w:rFonts w:asciiTheme="minorHAnsi" w:hAnsiTheme="minorHAnsi" w:cstheme="minorHAnsi"/>
        </w:rPr>
      </w:pPr>
      <w:r>
        <w:rPr>
          <w:rStyle w:val="Znakapoznpodarou"/>
          <w:rFonts w:asciiTheme="minorHAnsi" w:eastAsiaTheme="majorEastAsia" w:hAnsiTheme="minorHAnsi" w:cstheme="minorHAnsi"/>
        </w:rPr>
        <w:footnoteRef/>
      </w:r>
      <w:r>
        <w:rPr>
          <w:rFonts w:asciiTheme="minorHAnsi" w:hAnsiTheme="minorHAnsi" w:cstheme="minorHAnsi"/>
        </w:rPr>
        <w:t xml:space="preserve"> </w:t>
      </w:r>
      <w:r>
        <w:rPr>
          <w:rFonts w:asciiTheme="minorHAnsi" w:hAnsiTheme="minorHAnsi" w:cstheme="minorHAnsi"/>
        </w:rPr>
        <w:tab/>
        <w:t xml:space="preserve">Právní akty např. stanoví: </w:t>
      </w:r>
      <w:r>
        <w:rPr>
          <w:rFonts w:asciiTheme="minorHAnsi" w:hAnsiTheme="minorHAnsi" w:cstheme="minorHAnsi"/>
          <w:b/>
        </w:rPr>
        <w:t>Dohoda IPO fond:</w:t>
      </w:r>
      <w:r>
        <w:rPr>
          <w:rFonts w:asciiTheme="minorHAnsi" w:hAnsiTheme="minorHAnsi" w:cstheme="minorHAnsi"/>
        </w:rPr>
        <w:t xml:space="preserve"> „</w:t>
      </w:r>
      <w:r>
        <w:rPr>
          <w:rFonts w:asciiTheme="minorHAnsi" w:hAnsiTheme="minorHAnsi" w:cstheme="minorHAnsi"/>
          <w:i/>
        </w:rPr>
        <w:t>Finanční nástroj bude implementován prostřednictvím IPO Fondu, jehož správa se svěřuje Správci. IPO Fond má podobu smluvního svěření peněžních prostředků Ministerstvem Správci, který následně tyto peněžní prostředky investuje svým jménem a na účet Ministerstva...</w:t>
      </w:r>
      <w:r>
        <w:rPr>
          <w:rFonts w:asciiTheme="minorHAnsi" w:hAnsiTheme="minorHAnsi" w:cstheme="minorHAnsi"/>
        </w:rPr>
        <w:t>“</w:t>
      </w:r>
    </w:p>
    <w:p w14:paraId="6CBE7CF8" w14:textId="1D4874D9" w:rsidR="00A95EB8" w:rsidRDefault="00A95EB8" w:rsidP="00224ECC">
      <w:pPr>
        <w:pStyle w:val="Textpoznpodarou"/>
        <w:ind w:left="284"/>
        <w:jc w:val="both"/>
        <w:rPr>
          <w:rFonts w:asciiTheme="minorHAnsi" w:hAnsiTheme="minorHAnsi" w:cstheme="minorHAnsi"/>
        </w:rPr>
      </w:pPr>
      <w:r>
        <w:rPr>
          <w:rFonts w:asciiTheme="minorHAnsi" w:hAnsiTheme="minorHAnsi" w:cstheme="minorHAnsi"/>
          <w:b/>
        </w:rPr>
        <w:t>Dohoda Brownfield Fond:</w:t>
      </w:r>
      <w:r>
        <w:rPr>
          <w:rFonts w:asciiTheme="minorHAnsi" w:hAnsiTheme="minorHAnsi" w:cstheme="minorHAnsi"/>
        </w:rPr>
        <w:t xml:space="preserve"> „</w:t>
      </w:r>
      <w:r>
        <w:rPr>
          <w:rFonts w:asciiTheme="minorHAnsi" w:hAnsiTheme="minorHAnsi" w:cstheme="minorHAnsi"/>
          <w:i/>
        </w:rPr>
        <w:t>Fond fondů má formu smluvního svěření peněžních prostředků Ministerstvem Správci (jako bloku peněžních prostředků), který následně tyto peněžní prostředky investuje svým jménem a na účet Ministerstva...</w:t>
      </w:r>
      <w:r>
        <w:rPr>
          <w:rFonts w:asciiTheme="minorHAnsi" w:hAnsiTheme="minorHAnsi" w:cstheme="minorHAnsi"/>
        </w:rPr>
        <w:t>“</w:t>
      </w:r>
    </w:p>
  </w:footnote>
  <w:footnote w:id="46">
    <w:p w14:paraId="62CD1866" w14:textId="4F56B327" w:rsidR="00A95EB8" w:rsidRPr="003A523F" w:rsidRDefault="00A95EB8" w:rsidP="0063452C">
      <w:pPr>
        <w:pStyle w:val="Textpoznpodarou"/>
        <w:ind w:left="284" w:hanging="284"/>
        <w:rPr>
          <w:rFonts w:asciiTheme="minorHAnsi" w:hAnsiTheme="minorHAnsi" w:cstheme="minorHAnsi"/>
        </w:rPr>
      </w:pPr>
      <w:r w:rsidRPr="003A523F">
        <w:rPr>
          <w:rStyle w:val="Znakapoznpodarou"/>
          <w:rFonts w:asciiTheme="minorHAnsi" w:hAnsiTheme="minorHAnsi" w:cstheme="minorHAnsi"/>
        </w:rPr>
        <w:footnoteRef/>
      </w:r>
      <w:r w:rsidRPr="003A523F">
        <w:rPr>
          <w:rFonts w:asciiTheme="minorHAnsi" w:hAnsiTheme="minorHAnsi" w:cstheme="minorHAnsi"/>
        </w:rPr>
        <w:t xml:space="preserve"> </w:t>
      </w:r>
      <w:r>
        <w:rPr>
          <w:rFonts w:asciiTheme="minorHAnsi" w:hAnsiTheme="minorHAnsi" w:cstheme="minorHAnsi"/>
        </w:rPr>
        <w:tab/>
      </w:r>
      <w:r w:rsidRPr="003A523F">
        <w:rPr>
          <w:rFonts w:asciiTheme="minorHAnsi" w:hAnsiTheme="minorHAnsi" w:cstheme="minorHAnsi"/>
        </w:rPr>
        <w:t>Zákon č. 165/2012 Sb., o podporovaných zdrojích energie a o změně některých zákonů</w:t>
      </w:r>
      <w:r>
        <w:rPr>
          <w:rFonts w:asciiTheme="minorHAnsi" w:hAnsiTheme="minorHAnsi" w:cstheme="minorHAnsi"/>
        </w:rPr>
        <w:t>.</w:t>
      </w:r>
    </w:p>
  </w:footnote>
  <w:footnote w:id="47">
    <w:p w14:paraId="712DE6E1" w14:textId="0F5482BE" w:rsidR="00A95EB8" w:rsidRPr="00A829E9" w:rsidRDefault="00A95EB8" w:rsidP="003A523F">
      <w:pPr>
        <w:pStyle w:val="Textpoznpodarou"/>
        <w:ind w:left="284" w:hanging="284"/>
        <w:jc w:val="both"/>
        <w:rPr>
          <w:rFonts w:ascii="Calibri" w:hAnsi="Calibri" w:cs="Calibri"/>
        </w:rPr>
      </w:pPr>
      <w:r w:rsidRPr="00A829E9">
        <w:rPr>
          <w:rStyle w:val="Znakapoznpodarou"/>
          <w:rFonts w:ascii="Calibri" w:hAnsi="Calibri" w:cs="Calibri"/>
        </w:rPr>
        <w:footnoteRef/>
      </w:r>
      <w:r w:rsidRPr="00A829E9">
        <w:rPr>
          <w:rFonts w:ascii="Calibri" w:hAnsi="Calibri" w:cs="Calibri"/>
        </w:rPr>
        <w:t xml:space="preserve"> </w:t>
      </w:r>
      <w:r>
        <w:rPr>
          <w:rFonts w:ascii="Calibri" w:hAnsi="Calibri" w:cs="Calibri"/>
        </w:rPr>
        <w:tab/>
      </w:r>
      <w:r w:rsidRPr="00A829E9">
        <w:rPr>
          <w:rFonts w:ascii="Calibri" w:hAnsi="Calibri" w:cs="Calibri"/>
        </w:rPr>
        <w:t xml:space="preserve">Významnost (materialita) reprezentuje u ÚZ hodnotu nesprávností, jejíž překročení by již mohlo ovlivnit přiměřeně znalého uživatele. Při stanovení významnosti postupuje NKÚ v souladu s </w:t>
      </w:r>
      <w:r w:rsidRPr="004A4310">
        <w:rPr>
          <w:rFonts w:ascii="Calibri" w:hAnsi="Calibri" w:cs="Calibri"/>
          <w:i/>
        </w:rPr>
        <w:t>Kontrolními standardy NKÚ</w:t>
      </w:r>
      <w:r w:rsidRPr="00A829E9">
        <w:rPr>
          <w:rFonts w:ascii="Calibri" w:hAnsi="Calibri" w:cs="Calibri"/>
        </w:rPr>
        <w:t xml:space="preserve"> a zohledňuje příklady dobré praxe vyplývající z mezinárodních standardů nejvyšších kontrolních institucí (ISSAI) pro finanční audit.</w:t>
      </w:r>
    </w:p>
  </w:footnote>
  <w:footnote w:id="48">
    <w:p w14:paraId="08FF402D" w14:textId="7F673FE3" w:rsidR="00A95EB8" w:rsidRPr="00A829E9" w:rsidRDefault="00A95EB8" w:rsidP="003A523F">
      <w:pPr>
        <w:spacing w:after="0"/>
        <w:ind w:left="284" w:hanging="284"/>
        <w:jc w:val="both"/>
        <w:rPr>
          <w:rStyle w:val="Znakapoznpodarou"/>
          <w:rFonts w:cs="Calibri"/>
          <w:sz w:val="20"/>
          <w:szCs w:val="20"/>
        </w:rPr>
      </w:pPr>
      <w:r w:rsidRPr="00A829E9">
        <w:rPr>
          <w:rStyle w:val="Znakapoznpodarou"/>
          <w:rFonts w:cs="Calibri"/>
          <w:sz w:val="20"/>
          <w:szCs w:val="20"/>
        </w:rPr>
        <w:footnoteRef/>
      </w:r>
      <w:r w:rsidRPr="00A829E9">
        <w:rPr>
          <w:rStyle w:val="Znakapoznpodarou"/>
          <w:rFonts w:cs="Calibri"/>
          <w:sz w:val="20"/>
          <w:szCs w:val="20"/>
        </w:rPr>
        <w:t xml:space="preserve"> </w:t>
      </w:r>
      <w:r w:rsidRPr="00A829E9">
        <w:rPr>
          <w:rFonts w:cs="Calibri"/>
          <w:sz w:val="20"/>
          <w:szCs w:val="20"/>
        </w:rPr>
        <w:t xml:space="preserve"> </w:t>
      </w:r>
      <w:r>
        <w:rPr>
          <w:rFonts w:cs="Calibri"/>
          <w:sz w:val="20"/>
          <w:szCs w:val="20"/>
        </w:rPr>
        <w:tab/>
      </w:r>
      <w:r w:rsidRPr="00A829E9">
        <w:rPr>
          <w:rFonts w:cs="Calibri"/>
          <w:sz w:val="20"/>
          <w:szCs w:val="20"/>
        </w:rPr>
        <w:t>Pro posouzení významnosti zjištěných nesprávností v údajích účetní závěrky byla stanovena významnost ve výši 2 % z nákladů, které byly vykázány ve výši 56 116 mil. Kč.</w:t>
      </w:r>
    </w:p>
  </w:footnote>
  <w:footnote w:id="49">
    <w:p w14:paraId="158C4A42" w14:textId="77777777" w:rsidR="00A95EB8" w:rsidRPr="00A829E9" w:rsidRDefault="00A95EB8" w:rsidP="001073F7">
      <w:pPr>
        <w:pStyle w:val="Textpoznpodarou"/>
        <w:spacing w:after="120"/>
        <w:ind w:left="284" w:hanging="284"/>
        <w:rPr>
          <w:rFonts w:ascii="Calibri" w:hAnsi="Calibri" w:cs="Calibri"/>
        </w:rPr>
      </w:pPr>
      <w:r w:rsidRPr="00A829E9">
        <w:rPr>
          <w:rStyle w:val="Znakapoznpodarou"/>
          <w:rFonts w:ascii="Calibri" w:hAnsi="Calibri" w:cs="Calibri"/>
        </w:rPr>
        <w:footnoteRef/>
      </w:r>
      <w:r w:rsidRPr="00A829E9">
        <w:rPr>
          <w:rFonts w:ascii="Calibri" w:hAnsi="Calibri" w:cs="Calibri"/>
        </w:rPr>
        <w:t xml:space="preserve"> </w:t>
      </w:r>
      <w:r w:rsidRPr="00A829E9">
        <w:rPr>
          <w:rFonts w:ascii="Calibri" w:hAnsi="Calibri" w:cs="Calibri"/>
        </w:rPr>
        <w:tab/>
        <w:t xml:space="preserve">Dostupné z: </w:t>
      </w:r>
      <w:hyperlink r:id="rId4" w:history="1">
        <w:r w:rsidRPr="00A829E9">
          <w:rPr>
            <w:rStyle w:val="Hypertextovodkaz"/>
            <w:rFonts w:ascii="Calibri" w:hAnsi="Calibri" w:cs="Calibri"/>
          </w:rPr>
          <w:t>https://monitor.statnipokladna.cz/ucetni-jednotka/47609109/rozpocet/vydaje-druhovy?obdobi=2012&amp;rad=t</w:t>
        </w:r>
      </w:hyperlink>
      <w:r w:rsidRPr="00A829E9">
        <w:rPr>
          <w:rStyle w:val="Hypertextovodkaz"/>
          <w:rFonts w:ascii="Calibri" w:hAnsi="Calibri" w:cs="Calibri"/>
          <w:color w:val="auto"/>
          <w:u w:val="none"/>
        </w:rPr>
        <w:t>.</w:t>
      </w:r>
    </w:p>
  </w:footnote>
  <w:footnote w:id="50">
    <w:p w14:paraId="4209957A" w14:textId="3AC4B7D0" w:rsidR="00A95EB8" w:rsidRPr="00931F13" w:rsidRDefault="00A95EB8" w:rsidP="00224ECC">
      <w:pPr>
        <w:pStyle w:val="Textpoznpodarou"/>
        <w:ind w:left="284" w:hanging="284"/>
        <w:jc w:val="both"/>
        <w:rPr>
          <w:rFonts w:ascii="Calibri" w:hAnsi="Calibri" w:cs="Calibri"/>
        </w:rPr>
      </w:pPr>
      <w:r w:rsidRPr="00931F13">
        <w:rPr>
          <w:rStyle w:val="Znakapoznpodarou"/>
          <w:rFonts w:ascii="Calibri" w:hAnsi="Calibri" w:cs="Calibri"/>
        </w:rPr>
        <w:footnoteRef/>
      </w:r>
      <w:r w:rsidRPr="00931F13">
        <w:rPr>
          <w:rFonts w:ascii="Calibri" w:hAnsi="Calibri" w:cs="Calibri"/>
        </w:rPr>
        <w:t xml:space="preserve"> </w:t>
      </w:r>
      <w:r>
        <w:rPr>
          <w:rFonts w:ascii="Calibri" w:hAnsi="Calibri" w:cs="Calibri"/>
        </w:rPr>
        <w:tab/>
      </w:r>
      <w:r w:rsidRPr="00931F13">
        <w:rPr>
          <w:rFonts w:ascii="Calibri" w:hAnsi="Calibri" w:cs="Calibri"/>
        </w:rPr>
        <w:t>MPO bylo pověřeno výkonem funkce řídicího orgánu OP PIK usnesením vlády ČR ze dne 28. listopadu 2012 č.</w:t>
      </w:r>
      <w:r>
        <w:rPr>
          <w:rFonts w:ascii="Calibri" w:hAnsi="Calibri" w:cs="Calibri"/>
        </w:rPr>
        <w:t> </w:t>
      </w:r>
      <w:r w:rsidRPr="00931F13">
        <w:rPr>
          <w:rFonts w:ascii="Calibri" w:hAnsi="Calibri" w:cs="Calibri"/>
        </w:rPr>
        <w:t>867</w:t>
      </w:r>
      <w:r>
        <w:rPr>
          <w:rFonts w:ascii="Calibri" w:hAnsi="Calibri" w:cs="Calibri"/>
        </w:rPr>
        <w:t>.</w:t>
      </w:r>
      <w:r w:rsidRPr="00931F13">
        <w:rPr>
          <w:rFonts w:ascii="Calibri" w:hAnsi="Calibri" w:cs="Calibri"/>
        </w:rPr>
        <w:t xml:space="preserve"> </w:t>
      </w:r>
    </w:p>
  </w:footnote>
  <w:footnote w:id="51">
    <w:p w14:paraId="37A9614A" w14:textId="27CC887F" w:rsidR="00A95EB8" w:rsidRDefault="00A95EB8" w:rsidP="00224ECC">
      <w:pPr>
        <w:pStyle w:val="Textpoznpodarou"/>
        <w:ind w:left="284" w:hanging="284"/>
        <w:rPr>
          <w:rFonts w:asciiTheme="minorHAnsi" w:hAnsiTheme="minorHAnsi" w:cstheme="minorHAnsi"/>
        </w:rPr>
      </w:pPr>
      <w:r>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t>Tj. 2 % z celkových výdajů k 31. 12. 2020.</w:t>
      </w:r>
    </w:p>
  </w:footnote>
  <w:footnote w:id="52">
    <w:p w14:paraId="04B83873" w14:textId="3D3B9F0E" w:rsidR="00A95EB8" w:rsidRPr="0033700B" w:rsidRDefault="00A95EB8" w:rsidP="00224ECC">
      <w:pPr>
        <w:pStyle w:val="Textpoznpodarou"/>
        <w:spacing w:after="120"/>
        <w:ind w:left="284" w:hanging="284"/>
        <w:jc w:val="both"/>
        <w:rPr>
          <w:rFonts w:ascii="Calibri" w:hAnsi="Calibri" w:cs="Calibri"/>
        </w:rPr>
      </w:pPr>
      <w:r w:rsidRPr="0033700B">
        <w:rPr>
          <w:rStyle w:val="Znakapoznpodarou"/>
          <w:rFonts w:ascii="Calibri" w:hAnsi="Calibri" w:cs="Calibri"/>
        </w:rPr>
        <w:footnoteRef/>
      </w:r>
      <w:r w:rsidRPr="0033700B">
        <w:rPr>
          <w:rFonts w:ascii="Calibri" w:hAnsi="Calibri" w:cs="Calibri"/>
        </w:rPr>
        <w:t xml:space="preserve"> </w:t>
      </w:r>
      <w:r w:rsidRPr="0033700B">
        <w:rPr>
          <w:rFonts w:ascii="Calibri" w:hAnsi="Calibri" w:cs="Calibri"/>
        </w:rPr>
        <w:tab/>
        <w:t>NKÚ si je vědom kontextu vzniku nesprávnosti (nesystémové uvedení paragrafu 2124 ve vyhlášce č. 323/2002 Sb. jako odvětví) ve výši 1,02 mld. Kč a nepovažuje její dopad na uživatele za sám o sobě významný.</w:t>
      </w:r>
    </w:p>
  </w:footnote>
  <w:footnote w:id="53">
    <w:p w14:paraId="5168C668" w14:textId="77777777" w:rsidR="00A95EB8" w:rsidRPr="00223E25" w:rsidRDefault="00A95EB8" w:rsidP="00374646">
      <w:pPr>
        <w:spacing w:after="0"/>
        <w:ind w:left="284" w:hanging="284"/>
        <w:jc w:val="both"/>
        <w:rPr>
          <w:rFonts w:asciiTheme="minorHAnsi" w:eastAsia="Calibri" w:hAnsiTheme="minorHAnsi" w:cstheme="minorHAnsi"/>
          <w:sz w:val="20"/>
          <w:szCs w:val="20"/>
        </w:rPr>
      </w:pPr>
      <w:r w:rsidRPr="006E0067">
        <w:rPr>
          <w:rStyle w:val="Znakapoznpodarou"/>
          <w:rFonts w:asciiTheme="minorHAnsi" w:hAnsiTheme="minorHAnsi" w:cstheme="minorHAnsi"/>
          <w:sz w:val="20"/>
          <w:szCs w:val="20"/>
        </w:rPr>
        <w:footnoteRef/>
      </w:r>
      <w:r w:rsidRPr="006E0067">
        <w:rPr>
          <w:rFonts w:asciiTheme="minorHAnsi" w:hAnsiTheme="minorHAnsi" w:cstheme="minorHAnsi"/>
          <w:sz w:val="20"/>
          <w:szCs w:val="20"/>
        </w:rPr>
        <w:tab/>
      </w:r>
      <w:r w:rsidRPr="006E0067">
        <w:rPr>
          <w:rFonts w:asciiTheme="minorHAnsi" w:eastAsia="Calibri" w:hAnsiTheme="minorHAnsi" w:cstheme="minorHAnsi"/>
          <w:sz w:val="20"/>
          <w:szCs w:val="20"/>
        </w:rPr>
        <w:t>U podmíněných závazků lze očekávat, resp. nelze vyloučit, potenciálně významný dopad na budoucí výdaje státního rozpočtu, což vyplývá ze zákona č. 23/2017 Sb., o pravidlech rozpočtové odpovědnosti. Přesto nejsou vyhláškou č. 419/2001 Sb. tyto skutečnosti stanoveny jako povinné informace v průvodní zprávě závěrečného účtu.</w:t>
      </w:r>
    </w:p>
  </w:footnote>
  <w:footnote w:id="54">
    <w:p w14:paraId="3B905468" w14:textId="644B74E4" w:rsidR="00A95EB8" w:rsidRDefault="00A95EB8" w:rsidP="0033700B">
      <w:pPr>
        <w:pStyle w:val="Textpoznpodarou"/>
        <w:ind w:left="284" w:hanging="284"/>
      </w:pPr>
      <w:r w:rsidRPr="005E63AE">
        <w:rPr>
          <w:rStyle w:val="Znakapoznpodarou"/>
          <w:rFonts w:asciiTheme="minorHAnsi" w:hAnsiTheme="minorHAnsi"/>
        </w:rPr>
        <w:footnoteRef/>
      </w:r>
      <w:r w:rsidRPr="005E63AE">
        <w:t xml:space="preserve"> </w:t>
      </w:r>
      <w:r>
        <w:tab/>
      </w:r>
      <w:r w:rsidRPr="00CC7D82">
        <w:rPr>
          <w:rFonts w:asciiTheme="minorHAnsi" w:hAnsiTheme="minorHAnsi" w:cstheme="minorHAnsi"/>
        </w:rPr>
        <w:t>J</w:t>
      </w:r>
      <w:r w:rsidRPr="003F2543">
        <w:rPr>
          <w:rFonts w:asciiTheme="minorHAnsi" w:hAnsiTheme="minorHAnsi" w:cstheme="minorHAnsi"/>
        </w:rPr>
        <w:t>ak vyplývá</w:t>
      </w:r>
      <w:r w:rsidRPr="005E63AE">
        <w:rPr>
          <w:rFonts w:asciiTheme="minorHAnsi" w:hAnsiTheme="minorHAnsi"/>
        </w:rPr>
        <w:t xml:space="preserve"> z korespondence mezi MPO a MF z let 2019 a 2021.</w:t>
      </w:r>
    </w:p>
  </w:footnote>
  <w:footnote w:id="55">
    <w:p w14:paraId="72014D68" w14:textId="77777777" w:rsidR="00A95EB8" w:rsidRPr="0057330E" w:rsidRDefault="00A95EB8" w:rsidP="00165E7D">
      <w:pPr>
        <w:pStyle w:val="Textpoznpodarou"/>
        <w:spacing w:after="120"/>
        <w:ind w:left="284" w:hanging="284"/>
        <w:jc w:val="both"/>
        <w:rPr>
          <w:rFonts w:asciiTheme="minorHAnsi" w:hAnsiTheme="minorHAnsi" w:cstheme="minorHAnsi"/>
        </w:rPr>
      </w:pPr>
      <w:r w:rsidRPr="00223E25">
        <w:rPr>
          <w:rStyle w:val="Znakapoznpodarou"/>
          <w:rFonts w:asciiTheme="minorHAnsi" w:hAnsiTheme="minorHAnsi" w:cstheme="minorHAnsi"/>
        </w:rPr>
        <w:footnoteRef/>
      </w:r>
      <w:r w:rsidRPr="00223E25">
        <w:rPr>
          <w:rFonts w:asciiTheme="minorHAnsi" w:hAnsiTheme="minorHAnsi" w:cstheme="minorHAnsi"/>
        </w:rPr>
        <w:t xml:space="preserve"> </w:t>
      </w:r>
      <w:r w:rsidRPr="00223E25">
        <w:rPr>
          <w:rFonts w:asciiTheme="minorHAnsi" w:hAnsiTheme="minorHAnsi" w:cstheme="minorHAnsi"/>
        </w:rPr>
        <w:tab/>
        <w:t>Náklady jsou v příslušném roce spotřebované ekonomické zdroje bez ohledu na to, zda v tomto období došlo k jejich úhradě.</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4E7"/>
    <w:multiLevelType w:val="hybridMultilevel"/>
    <w:tmpl w:val="CCEE7888"/>
    <w:lvl w:ilvl="0" w:tplc="1A14DA28">
      <w:start w:val="1"/>
      <w:numFmt w:val="decimal"/>
      <w:lvlText w:val="%1."/>
      <w:lvlJc w:val="left"/>
      <w:pPr>
        <w:ind w:left="360" w:hanging="360"/>
      </w:pPr>
      <w:rPr>
        <w:rFonts w:ascii="Calibri" w:eastAsiaTheme="minorHAnsi" w:hAnsi="Calibri" w:cs="Calibr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723258E"/>
    <w:multiLevelType w:val="hybridMultilevel"/>
    <w:tmpl w:val="0646EC58"/>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8186935"/>
    <w:multiLevelType w:val="hybridMultilevel"/>
    <w:tmpl w:val="B00439D6"/>
    <w:lvl w:ilvl="0" w:tplc="7DAE0F74">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28E342A7"/>
    <w:multiLevelType w:val="hybridMultilevel"/>
    <w:tmpl w:val="A60EE112"/>
    <w:lvl w:ilvl="0" w:tplc="89C0EE16">
      <w:start w:val="1"/>
      <w:numFmt w:val="bullet"/>
      <w:lvlText w:val=""/>
      <w:lvlJc w:val="left"/>
      <w:pPr>
        <w:ind w:left="357" w:hanging="360"/>
      </w:pPr>
      <w:rPr>
        <w:rFonts w:ascii="Symbol" w:hAnsi="Symbol" w:hint="default"/>
      </w:rPr>
    </w:lvl>
    <w:lvl w:ilvl="1" w:tplc="04050003">
      <w:start w:val="1"/>
      <w:numFmt w:val="bullet"/>
      <w:lvlText w:val="o"/>
      <w:lvlJc w:val="left"/>
      <w:pPr>
        <w:ind w:left="1077" w:hanging="360"/>
      </w:pPr>
      <w:rPr>
        <w:rFonts w:ascii="Courier New" w:hAnsi="Courier New" w:cs="Courier New" w:hint="default"/>
      </w:rPr>
    </w:lvl>
    <w:lvl w:ilvl="2" w:tplc="04050005" w:tentative="1">
      <w:start w:val="1"/>
      <w:numFmt w:val="bullet"/>
      <w:lvlText w:val=""/>
      <w:lvlJc w:val="left"/>
      <w:pPr>
        <w:ind w:left="1797" w:hanging="360"/>
      </w:pPr>
      <w:rPr>
        <w:rFonts w:ascii="Wingdings" w:hAnsi="Wingdings" w:hint="default"/>
      </w:rPr>
    </w:lvl>
    <w:lvl w:ilvl="3" w:tplc="04050001" w:tentative="1">
      <w:start w:val="1"/>
      <w:numFmt w:val="bullet"/>
      <w:lvlText w:val=""/>
      <w:lvlJc w:val="left"/>
      <w:pPr>
        <w:ind w:left="2517" w:hanging="360"/>
      </w:pPr>
      <w:rPr>
        <w:rFonts w:ascii="Symbol" w:hAnsi="Symbol" w:hint="default"/>
      </w:rPr>
    </w:lvl>
    <w:lvl w:ilvl="4" w:tplc="04050003" w:tentative="1">
      <w:start w:val="1"/>
      <w:numFmt w:val="bullet"/>
      <w:lvlText w:val="o"/>
      <w:lvlJc w:val="left"/>
      <w:pPr>
        <w:ind w:left="3237" w:hanging="360"/>
      </w:pPr>
      <w:rPr>
        <w:rFonts w:ascii="Courier New" w:hAnsi="Courier New" w:cs="Courier New" w:hint="default"/>
      </w:rPr>
    </w:lvl>
    <w:lvl w:ilvl="5" w:tplc="04050005" w:tentative="1">
      <w:start w:val="1"/>
      <w:numFmt w:val="bullet"/>
      <w:lvlText w:val=""/>
      <w:lvlJc w:val="left"/>
      <w:pPr>
        <w:ind w:left="3957" w:hanging="360"/>
      </w:pPr>
      <w:rPr>
        <w:rFonts w:ascii="Wingdings" w:hAnsi="Wingdings" w:hint="default"/>
      </w:rPr>
    </w:lvl>
    <w:lvl w:ilvl="6" w:tplc="04050001" w:tentative="1">
      <w:start w:val="1"/>
      <w:numFmt w:val="bullet"/>
      <w:lvlText w:val=""/>
      <w:lvlJc w:val="left"/>
      <w:pPr>
        <w:ind w:left="4677" w:hanging="360"/>
      </w:pPr>
      <w:rPr>
        <w:rFonts w:ascii="Symbol" w:hAnsi="Symbol" w:hint="default"/>
      </w:rPr>
    </w:lvl>
    <w:lvl w:ilvl="7" w:tplc="04050003" w:tentative="1">
      <w:start w:val="1"/>
      <w:numFmt w:val="bullet"/>
      <w:lvlText w:val="o"/>
      <w:lvlJc w:val="left"/>
      <w:pPr>
        <w:ind w:left="5397" w:hanging="360"/>
      </w:pPr>
      <w:rPr>
        <w:rFonts w:ascii="Courier New" w:hAnsi="Courier New" w:cs="Courier New" w:hint="default"/>
      </w:rPr>
    </w:lvl>
    <w:lvl w:ilvl="8" w:tplc="04050005" w:tentative="1">
      <w:start w:val="1"/>
      <w:numFmt w:val="bullet"/>
      <w:lvlText w:val=""/>
      <w:lvlJc w:val="left"/>
      <w:pPr>
        <w:ind w:left="6117" w:hanging="360"/>
      </w:pPr>
      <w:rPr>
        <w:rFonts w:ascii="Wingdings" w:hAnsi="Wingdings" w:hint="default"/>
      </w:rPr>
    </w:lvl>
  </w:abstractNum>
  <w:abstractNum w:abstractNumId="4" w15:restartNumberingAfterBreak="0">
    <w:nsid w:val="318B4BB0"/>
    <w:multiLevelType w:val="hybridMultilevel"/>
    <w:tmpl w:val="D4762AE8"/>
    <w:lvl w:ilvl="0" w:tplc="7DAE0F74">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35C27FFA"/>
    <w:multiLevelType w:val="hybridMultilevel"/>
    <w:tmpl w:val="A16AE8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954090A"/>
    <w:multiLevelType w:val="hybridMultilevel"/>
    <w:tmpl w:val="0E6209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9A6F2F"/>
    <w:multiLevelType w:val="hybridMultilevel"/>
    <w:tmpl w:val="4ECE846A"/>
    <w:lvl w:ilvl="0" w:tplc="CE2CED62">
      <w:start w:val="1"/>
      <w:numFmt w:val="decimal"/>
      <w:pStyle w:val="Nadpis2"/>
      <w:lvlText w:val="%1."/>
      <w:lvlJc w:val="left"/>
      <w:pPr>
        <w:ind w:left="720" w:hanging="360"/>
      </w:pPr>
      <w:rPr>
        <w:rFonts w:hint="default"/>
      </w:rPr>
    </w:lvl>
    <w:lvl w:ilvl="1" w:tplc="5E02F03C">
      <w:start w:val="1"/>
      <w:numFmt w:val="lowerLetter"/>
      <w:lvlText w:val="%2."/>
      <w:lvlJc w:val="left"/>
      <w:pPr>
        <w:ind w:left="1440" w:hanging="360"/>
      </w:pPr>
    </w:lvl>
    <w:lvl w:ilvl="2" w:tplc="ADE6C7EE" w:tentative="1">
      <w:start w:val="1"/>
      <w:numFmt w:val="lowerRoman"/>
      <w:lvlText w:val="%3."/>
      <w:lvlJc w:val="right"/>
      <w:pPr>
        <w:ind w:left="2160" w:hanging="180"/>
      </w:pPr>
    </w:lvl>
    <w:lvl w:ilvl="3" w:tplc="A98E3622" w:tentative="1">
      <w:start w:val="1"/>
      <w:numFmt w:val="decimal"/>
      <w:lvlText w:val="%4."/>
      <w:lvlJc w:val="left"/>
      <w:pPr>
        <w:ind w:left="2880" w:hanging="360"/>
      </w:pPr>
    </w:lvl>
    <w:lvl w:ilvl="4" w:tplc="FE6AD990" w:tentative="1">
      <w:start w:val="1"/>
      <w:numFmt w:val="lowerLetter"/>
      <w:lvlText w:val="%5."/>
      <w:lvlJc w:val="left"/>
      <w:pPr>
        <w:ind w:left="3600" w:hanging="360"/>
      </w:pPr>
    </w:lvl>
    <w:lvl w:ilvl="5" w:tplc="F84C1D10" w:tentative="1">
      <w:start w:val="1"/>
      <w:numFmt w:val="lowerRoman"/>
      <w:lvlText w:val="%6."/>
      <w:lvlJc w:val="right"/>
      <w:pPr>
        <w:ind w:left="4320" w:hanging="180"/>
      </w:pPr>
    </w:lvl>
    <w:lvl w:ilvl="6" w:tplc="4F10AFD4" w:tentative="1">
      <w:start w:val="1"/>
      <w:numFmt w:val="decimal"/>
      <w:lvlText w:val="%7."/>
      <w:lvlJc w:val="left"/>
      <w:pPr>
        <w:ind w:left="5040" w:hanging="360"/>
      </w:pPr>
    </w:lvl>
    <w:lvl w:ilvl="7" w:tplc="C2E42DB0" w:tentative="1">
      <w:start w:val="1"/>
      <w:numFmt w:val="lowerLetter"/>
      <w:lvlText w:val="%8."/>
      <w:lvlJc w:val="left"/>
      <w:pPr>
        <w:ind w:left="5760" w:hanging="360"/>
      </w:pPr>
    </w:lvl>
    <w:lvl w:ilvl="8" w:tplc="0DF02588" w:tentative="1">
      <w:start w:val="1"/>
      <w:numFmt w:val="lowerRoman"/>
      <w:lvlText w:val="%9."/>
      <w:lvlJc w:val="right"/>
      <w:pPr>
        <w:ind w:left="6480" w:hanging="180"/>
      </w:pPr>
    </w:lvl>
  </w:abstractNum>
  <w:abstractNum w:abstractNumId="8" w15:restartNumberingAfterBreak="0">
    <w:nsid w:val="43223367"/>
    <w:multiLevelType w:val="hybridMultilevel"/>
    <w:tmpl w:val="7A52131E"/>
    <w:lvl w:ilvl="0" w:tplc="1FDA5940">
      <w:start w:val="1"/>
      <w:numFmt w:val="bullet"/>
      <w:lvlText w:val=""/>
      <w:lvlJc w:val="left"/>
      <w:pPr>
        <w:ind w:left="357" w:hanging="365"/>
      </w:pPr>
      <w:rPr>
        <w:rFonts w:ascii="Symbol" w:hAnsi="Symbol" w:hint="default"/>
      </w:rPr>
    </w:lvl>
    <w:lvl w:ilvl="1" w:tplc="04050003">
      <w:start w:val="1"/>
      <w:numFmt w:val="bullet"/>
      <w:lvlText w:val="o"/>
      <w:lvlJc w:val="left"/>
      <w:pPr>
        <w:ind w:left="1072" w:hanging="360"/>
      </w:pPr>
      <w:rPr>
        <w:rFonts w:ascii="Courier New" w:hAnsi="Courier New" w:cs="Courier New" w:hint="default"/>
      </w:rPr>
    </w:lvl>
    <w:lvl w:ilvl="2" w:tplc="04050005" w:tentative="1">
      <w:start w:val="1"/>
      <w:numFmt w:val="bullet"/>
      <w:lvlText w:val=""/>
      <w:lvlJc w:val="left"/>
      <w:pPr>
        <w:ind w:left="1792" w:hanging="360"/>
      </w:pPr>
      <w:rPr>
        <w:rFonts w:ascii="Wingdings" w:hAnsi="Wingdings" w:hint="default"/>
      </w:rPr>
    </w:lvl>
    <w:lvl w:ilvl="3" w:tplc="04050001" w:tentative="1">
      <w:start w:val="1"/>
      <w:numFmt w:val="bullet"/>
      <w:lvlText w:val=""/>
      <w:lvlJc w:val="left"/>
      <w:pPr>
        <w:ind w:left="2512" w:hanging="360"/>
      </w:pPr>
      <w:rPr>
        <w:rFonts w:ascii="Symbol" w:hAnsi="Symbol" w:hint="default"/>
      </w:rPr>
    </w:lvl>
    <w:lvl w:ilvl="4" w:tplc="04050003" w:tentative="1">
      <w:start w:val="1"/>
      <w:numFmt w:val="bullet"/>
      <w:lvlText w:val="o"/>
      <w:lvlJc w:val="left"/>
      <w:pPr>
        <w:ind w:left="3232" w:hanging="360"/>
      </w:pPr>
      <w:rPr>
        <w:rFonts w:ascii="Courier New" w:hAnsi="Courier New" w:cs="Courier New" w:hint="default"/>
      </w:rPr>
    </w:lvl>
    <w:lvl w:ilvl="5" w:tplc="04050005" w:tentative="1">
      <w:start w:val="1"/>
      <w:numFmt w:val="bullet"/>
      <w:lvlText w:val=""/>
      <w:lvlJc w:val="left"/>
      <w:pPr>
        <w:ind w:left="3952" w:hanging="360"/>
      </w:pPr>
      <w:rPr>
        <w:rFonts w:ascii="Wingdings" w:hAnsi="Wingdings" w:hint="default"/>
      </w:rPr>
    </w:lvl>
    <w:lvl w:ilvl="6" w:tplc="04050001" w:tentative="1">
      <w:start w:val="1"/>
      <w:numFmt w:val="bullet"/>
      <w:lvlText w:val=""/>
      <w:lvlJc w:val="left"/>
      <w:pPr>
        <w:ind w:left="4672" w:hanging="360"/>
      </w:pPr>
      <w:rPr>
        <w:rFonts w:ascii="Symbol" w:hAnsi="Symbol" w:hint="default"/>
      </w:rPr>
    </w:lvl>
    <w:lvl w:ilvl="7" w:tplc="04050003" w:tentative="1">
      <w:start w:val="1"/>
      <w:numFmt w:val="bullet"/>
      <w:lvlText w:val="o"/>
      <w:lvlJc w:val="left"/>
      <w:pPr>
        <w:ind w:left="5392" w:hanging="360"/>
      </w:pPr>
      <w:rPr>
        <w:rFonts w:ascii="Courier New" w:hAnsi="Courier New" w:cs="Courier New" w:hint="default"/>
      </w:rPr>
    </w:lvl>
    <w:lvl w:ilvl="8" w:tplc="04050005" w:tentative="1">
      <w:start w:val="1"/>
      <w:numFmt w:val="bullet"/>
      <w:lvlText w:val=""/>
      <w:lvlJc w:val="left"/>
      <w:pPr>
        <w:ind w:left="6112" w:hanging="360"/>
      </w:pPr>
      <w:rPr>
        <w:rFonts w:ascii="Wingdings" w:hAnsi="Wingdings" w:hint="default"/>
      </w:rPr>
    </w:lvl>
  </w:abstractNum>
  <w:abstractNum w:abstractNumId="9" w15:restartNumberingAfterBreak="0">
    <w:nsid w:val="4DD0607A"/>
    <w:multiLevelType w:val="hybridMultilevel"/>
    <w:tmpl w:val="192E4448"/>
    <w:lvl w:ilvl="0" w:tplc="744C268C">
      <w:start w:val="3"/>
      <w:numFmt w:val="bullet"/>
      <w:lvlText w:val="-"/>
      <w:lvlJc w:val="left"/>
      <w:pPr>
        <w:ind w:left="1800" w:hanging="360"/>
      </w:pPr>
      <w:rPr>
        <w:rFonts w:ascii="Calibri" w:eastAsia="Times New Roman"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0" w15:restartNumberingAfterBreak="0">
    <w:nsid w:val="576B5DAD"/>
    <w:multiLevelType w:val="hybridMultilevel"/>
    <w:tmpl w:val="DCAC4A92"/>
    <w:lvl w:ilvl="0" w:tplc="7DAE0F74">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15:restartNumberingAfterBreak="0">
    <w:nsid w:val="5CC8258C"/>
    <w:multiLevelType w:val="hybridMultilevel"/>
    <w:tmpl w:val="31A87A2A"/>
    <w:lvl w:ilvl="0" w:tplc="D6865288">
      <w:start w:val="1"/>
      <w:numFmt w:val="bullet"/>
      <w:lvlText w:val=""/>
      <w:lvlJc w:val="left"/>
      <w:pPr>
        <w:ind w:left="357" w:hanging="365"/>
      </w:pPr>
      <w:rPr>
        <w:rFonts w:ascii="Symbol" w:hAnsi="Symbol" w:hint="default"/>
      </w:rPr>
    </w:lvl>
    <w:lvl w:ilvl="1" w:tplc="04050003">
      <w:start w:val="1"/>
      <w:numFmt w:val="bullet"/>
      <w:lvlText w:val="o"/>
      <w:lvlJc w:val="left"/>
      <w:pPr>
        <w:ind w:left="1420" w:hanging="360"/>
      </w:pPr>
      <w:rPr>
        <w:rFonts w:ascii="Courier New" w:hAnsi="Courier New" w:cs="Courier New" w:hint="default"/>
      </w:rPr>
    </w:lvl>
    <w:lvl w:ilvl="2" w:tplc="04050005">
      <w:start w:val="1"/>
      <w:numFmt w:val="bullet"/>
      <w:lvlText w:val=""/>
      <w:lvlJc w:val="left"/>
      <w:pPr>
        <w:ind w:left="2140" w:hanging="360"/>
      </w:pPr>
      <w:rPr>
        <w:rFonts w:ascii="Wingdings" w:hAnsi="Wingdings" w:hint="default"/>
      </w:rPr>
    </w:lvl>
    <w:lvl w:ilvl="3" w:tplc="04050001">
      <w:start w:val="1"/>
      <w:numFmt w:val="bullet"/>
      <w:lvlText w:val=""/>
      <w:lvlJc w:val="left"/>
      <w:pPr>
        <w:ind w:left="2860" w:hanging="360"/>
      </w:pPr>
      <w:rPr>
        <w:rFonts w:ascii="Symbol" w:hAnsi="Symbol" w:hint="default"/>
      </w:rPr>
    </w:lvl>
    <w:lvl w:ilvl="4" w:tplc="04050003">
      <w:start w:val="1"/>
      <w:numFmt w:val="bullet"/>
      <w:lvlText w:val="o"/>
      <w:lvlJc w:val="left"/>
      <w:pPr>
        <w:ind w:left="3580" w:hanging="360"/>
      </w:pPr>
      <w:rPr>
        <w:rFonts w:ascii="Courier New" w:hAnsi="Courier New" w:cs="Courier New" w:hint="default"/>
      </w:rPr>
    </w:lvl>
    <w:lvl w:ilvl="5" w:tplc="04050005">
      <w:start w:val="1"/>
      <w:numFmt w:val="bullet"/>
      <w:lvlText w:val=""/>
      <w:lvlJc w:val="left"/>
      <w:pPr>
        <w:ind w:left="4300" w:hanging="360"/>
      </w:pPr>
      <w:rPr>
        <w:rFonts w:ascii="Wingdings" w:hAnsi="Wingdings" w:hint="default"/>
      </w:rPr>
    </w:lvl>
    <w:lvl w:ilvl="6" w:tplc="04050001">
      <w:start w:val="1"/>
      <w:numFmt w:val="bullet"/>
      <w:lvlText w:val=""/>
      <w:lvlJc w:val="left"/>
      <w:pPr>
        <w:ind w:left="5020" w:hanging="360"/>
      </w:pPr>
      <w:rPr>
        <w:rFonts w:ascii="Symbol" w:hAnsi="Symbol" w:hint="default"/>
      </w:rPr>
    </w:lvl>
    <w:lvl w:ilvl="7" w:tplc="04050003">
      <w:start w:val="1"/>
      <w:numFmt w:val="bullet"/>
      <w:lvlText w:val="o"/>
      <w:lvlJc w:val="left"/>
      <w:pPr>
        <w:ind w:left="5740" w:hanging="360"/>
      </w:pPr>
      <w:rPr>
        <w:rFonts w:ascii="Courier New" w:hAnsi="Courier New" w:cs="Courier New" w:hint="default"/>
      </w:rPr>
    </w:lvl>
    <w:lvl w:ilvl="8" w:tplc="04050005">
      <w:start w:val="1"/>
      <w:numFmt w:val="bullet"/>
      <w:lvlText w:val=""/>
      <w:lvlJc w:val="left"/>
      <w:pPr>
        <w:ind w:left="6460" w:hanging="360"/>
      </w:pPr>
      <w:rPr>
        <w:rFonts w:ascii="Wingdings" w:hAnsi="Wingdings" w:hint="default"/>
      </w:rPr>
    </w:lvl>
  </w:abstractNum>
  <w:abstractNum w:abstractNumId="12" w15:restartNumberingAfterBreak="0">
    <w:nsid w:val="5D2633FA"/>
    <w:multiLevelType w:val="hybridMultilevel"/>
    <w:tmpl w:val="65F0FE06"/>
    <w:lvl w:ilvl="0" w:tplc="7DAE0F74">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64AA0B9B"/>
    <w:multiLevelType w:val="multilevel"/>
    <w:tmpl w:val="B4F6C20E"/>
    <w:lvl w:ilvl="0">
      <w:start w:val="1"/>
      <w:numFmt w:val="decimal"/>
      <w:lvlText w:val="%1"/>
      <w:lvlJc w:val="left"/>
      <w:pPr>
        <w:ind w:left="360" w:hanging="360"/>
      </w:pPr>
      <w:rPr>
        <w:rFonts w:hint="default"/>
      </w:rPr>
    </w:lvl>
    <w:lvl w:ilvl="1">
      <w:start w:val="1"/>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8F067B"/>
    <w:multiLevelType w:val="hybridMultilevel"/>
    <w:tmpl w:val="89DA13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6D785224"/>
    <w:multiLevelType w:val="hybridMultilevel"/>
    <w:tmpl w:val="4D7ACC96"/>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6" w15:restartNumberingAfterBreak="0">
    <w:nsid w:val="6F6A7721"/>
    <w:multiLevelType w:val="hybridMultilevel"/>
    <w:tmpl w:val="0EC6178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07D29A8"/>
    <w:multiLevelType w:val="hybridMultilevel"/>
    <w:tmpl w:val="595480B8"/>
    <w:lvl w:ilvl="0" w:tplc="ADA88DF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315F56"/>
    <w:multiLevelType w:val="hybridMultilevel"/>
    <w:tmpl w:val="9990C8B4"/>
    <w:lvl w:ilvl="0" w:tplc="04050001">
      <w:start w:val="1"/>
      <w:numFmt w:val="bullet"/>
      <w:lvlText w:val=""/>
      <w:lvlJc w:val="left"/>
      <w:pPr>
        <w:ind w:left="352" w:hanging="360"/>
      </w:pPr>
      <w:rPr>
        <w:rFonts w:ascii="Symbol" w:hAnsi="Symbol" w:hint="default"/>
      </w:rPr>
    </w:lvl>
    <w:lvl w:ilvl="1" w:tplc="04050003">
      <w:start w:val="1"/>
      <w:numFmt w:val="bullet"/>
      <w:lvlText w:val="o"/>
      <w:lvlJc w:val="left"/>
      <w:pPr>
        <w:ind w:left="1072" w:hanging="360"/>
      </w:pPr>
      <w:rPr>
        <w:rFonts w:ascii="Courier New" w:hAnsi="Courier New" w:cs="Courier New" w:hint="default"/>
      </w:rPr>
    </w:lvl>
    <w:lvl w:ilvl="2" w:tplc="04050005" w:tentative="1">
      <w:start w:val="1"/>
      <w:numFmt w:val="bullet"/>
      <w:lvlText w:val=""/>
      <w:lvlJc w:val="left"/>
      <w:pPr>
        <w:ind w:left="1792" w:hanging="360"/>
      </w:pPr>
      <w:rPr>
        <w:rFonts w:ascii="Wingdings" w:hAnsi="Wingdings" w:hint="default"/>
      </w:rPr>
    </w:lvl>
    <w:lvl w:ilvl="3" w:tplc="04050001" w:tentative="1">
      <w:start w:val="1"/>
      <w:numFmt w:val="bullet"/>
      <w:lvlText w:val=""/>
      <w:lvlJc w:val="left"/>
      <w:pPr>
        <w:ind w:left="2512" w:hanging="360"/>
      </w:pPr>
      <w:rPr>
        <w:rFonts w:ascii="Symbol" w:hAnsi="Symbol" w:hint="default"/>
      </w:rPr>
    </w:lvl>
    <w:lvl w:ilvl="4" w:tplc="04050003" w:tentative="1">
      <w:start w:val="1"/>
      <w:numFmt w:val="bullet"/>
      <w:lvlText w:val="o"/>
      <w:lvlJc w:val="left"/>
      <w:pPr>
        <w:ind w:left="3232" w:hanging="360"/>
      </w:pPr>
      <w:rPr>
        <w:rFonts w:ascii="Courier New" w:hAnsi="Courier New" w:cs="Courier New" w:hint="default"/>
      </w:rPr>
    </w:lvl>
    <w:lvl w:ilvl="5" w:tplc="04050005" w:tentative="1">
      <w:start w:val="1"/>
      <w:numFmt w:val="bullet"/>
      <w:lvlText w:val=""/>
      <w:lvlJc w:val="left"/>
      <w:pPr>
        <w:ind w:left="3952" w:hanging="360"/>
      </w:pPr>
      <w:rPr>
        <w:rFonts w:ascii="Wingdings" w:hAnsi="Wingdings" w:hint="default"/>
      </w:rPr>
    </w:lvl>
    <w:lvl w:ilvl="6" w:tplc="04050001" w:tentative="1">
      <w:start w:val="1"/>
      <w:numFmt w:val="bullet"/>
      <w:lvlText w:val=""/>
      <w:lvlJc w:val="left"/>
      <w:pPr>
        <w:ind w:left="4672" w:hanging="360"/>
      </w:pPr>
      <w:rPr>
        <w:rFonts w:ascii="Symbol" w:hAnsi="Symbol" w:hint="default"/>
      </w:rPr>
    </w:lvl>
    <w:lvl w:ilvl="7" w:tplc="04050003" w:tentative="1">
      <w:start w:val="1"/>
      <w:numFmt w:val="bullet"/>
      <w:lvlText w:val="o"/>
      <w:lvlJc w:val="left"/>
      <w:pPr>
        <w:ind w:left="5392" w:hanging="360"/>
      </w:pPr>
      <w:rPr>
        <w:rFonts w:ascii="Courier New" w:hAnsi="Courier New" w:cs="Courier New" w:hint="default"/>
      </w:rPr>
    </w:lvl>
    <w:lvl w:ilvl="8" w:tplc="04050005" w:tentative="1">
      <w:start w:val="1"/>
      <w:numFmt w:val="bullet"/>
      <w:lvlText w:val=""/>
      <w:lvlJc w:val="left"/>
      <w:pPr>
        <w:ind w:left="6112" w:hanging="360"/>
      </w:pPr>
      <w:rPr>
        <w:rFonts w:ascii="Wingdings" w:hAnsi="Wingdings" w:hint="default"/>
      </w:rPr>
    </w:lvl>
  </w:abstractNum>
  <w:num w:numId="1">
    <w:abstractNumId w:val="7"/>
  </w:num>
  <w:num w:numId="2">
    <w:abstractNumId w:val="13"/>
  </w:num>
  <w:num w:numId="3">
    <w:abstractNumId w:val="5"/>
  </w:num>
  <w:num w:numId="4">
    <w:abstractNumId w:val="6"/>
  </w:num>
  <w:num w:numId="5">
    <w:abstractNumId w:val="16"/>
  </w:num>
  <w:num w:numId="6">
    <w:abstractNumId w:val="14"/>
  </w:num>
  <w:num w:numId="7">
    <w:abstractNumId w:val="15"/>
  </w:num>
  <w:num w:numId="8">
    <w:abstractNumId w:val="18"/>
  </w:num>
  <w:num w:numId="9">
    <w:abstractNumId w:val="17"/>
  </w:num>
  <w:num w:numId="10">
    <w:abstractNumId w:val="0"/>
  </w:num>
  <w:num w:numId="11">
    <w:abstractNumId w:val="3"/>
  </w:num>
  <w:num w:numId="12">
    <w:abstractNumId w:val="8"/>
  </w:num>
  <w:num w:numId="13">
    <w:abstractNumId w:val="11"/>
  </w:num>
  <w:num w:numId="14">
    <w:abstractNumId w:val="9"/>
  </w:num>
  <w:num w:numId="15">
    <w:abstractNumId w:val="10"/>
  </w:num>
  <w:num w:numId="16">
    <w:abstractNumId w:val="2"/>
  </w:num>
  <w:num w:numId="17">
    <w:abstractNumId w:val="4"/>
  </w:num>
  <w:num w:numId="18">
    <w:abstractNumId w:val="12"/>
  </w:num>
  <w:num w:numId="1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trackRevisions/>
  <w:doNotTrackMoves/>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262"/>
    <w:rsid w:val="00000293"/>
    <w:rsid w:val="00000F8C"/>
    <w:rsid w:val="000010CB"/>
    <w:rsid w:val="000015DC"/>
    <w:rsid w:val="00001D77"/>
    <w:rsid w:val="0000214D"/>
    <w:rsid w:val="00002B29"/>
    <w:rsid w:val="000030C9"/>
    <w:rsid w:val="000039E4"/>
    <w:rsid w:val="0000465F"/>
    <w:rsid w:val="00004E99"/>
    <w:rsid w:val="00004EF9"/>
    <w:rsid w:val="00005413"/>
    <w:rsid w:val="0000654C"/>
    <w:rsid w:val="00006589"/>
    <w:rsid w:val="00006AE8"/>
    <w:rsid w:val="00006E0D"/>
    <w:rsid w:val="00007008"/>
    <w:rsid w:val="000102DC"/>
    <w:rsid w:val="00010565"/>
    <w:rsid w:val="00010948"/>
    <w:rsid w:val="00010B7B"/>
    <w:rsid w:val="00010BF4"/>
    <w:rsid w:val="000116ED"/>
    <w:rsid w:val="000118B2"/>
    <w:rsid w:val="00012047"/>
    <w:rsid w:val="00012090"/>
    <w:rsid w:val="000121C2"/>
    <w:rsid w:val="00012334"/>
    <w:rsid w:val="00012D33"/>
    <w:rsid w:val="0001308F"/>
    <w:rsid w:val="000136D6"/>
    <w:rsid w:val="00013D01"/>
    <w:rsid w:val="00013F4A"/>
    <w:rsid w:val="00014250"/>
    <w:rsid w:val="00014A34"/>
    <w:rsid w:val="000150C6"/>
    <w:rsid w:val="0001554C"/>
    <w:rsid w:val="00015BEA"/>
    <w:rsid w:val="00015F85"/>
    <w:rsid w:val="00017CCE"/>
    <w:rsid w:val="00017D5E"/>
    <w:rsid w:val="00017EA4"/>
    <w:rsid w:val="000202F3"/>
    <w:rsid w:val="000205FD"/>
    <w:rsid w:val="000209B1"/>
    <w:rsid w:val="00021041"/>
    <w:rsid w:val="0002107A"/>
    <w:rsid w:val="00021226"/>
    <w:rsid w:val="00022153"/>
    <w:rsid w:val="000221DC"/>
    <w:rsid w:val="000233DE"/>
    <w:rsid w:val="0002359A"/>
    <w:rsid w:val="00024CEB"/>
    <w:rsid w:val="00025046"/>
    <w:rsid w:val="00025582"/>
    <w:rsid w:val="000263DE"/>
    <w:rsid w:val="00026B84"/>
    <w:rsid w:val="00026FB4"/>
    <w:rsid w:val="0002708F"/>
    <w:rsid w:val="00027C18"/>
    <w:rsid w:val="000300F2"/>
    <w:rsid w:val="000305CE"/>
    <w:rsid w:val="00031611"/>
    <w:rsid w:val="00031DBA"/>
    <w:rsid w:val="00031FF6"/>
    <w:rsid w:val="00032777"/>
    <w:rsid w:val="00033006"/>
    <w:rsid w:val="000333D7"/>
    <w:rsid w:val="000342EB"/>
    <w:rsid w:val="00034649"/>
    <w:rsid w:val="0003469E"/>
    <w:rsid w:val="000351D6"/>
    <w:rsid w:val="0003552A"/>
    <w:rsid w:val="00035C23"/>
    <w:rsid w:val="000365D9"/>
    <w:rsid w:val="000365ED"/>
    <w:rsid w:val="00036961"/>
    <w:rsid w:val="000370E9"/>
    <w:rsid w:val="00037390"/>
    <w:rsid w:val="000377B3"/>
    <w:rsid w:val="000405AC"/>
    <w:rsid w:val="0004116C"/>
    <w:rsid w:val="000412D1"/>
    <w:rsid w:val="00041308"/>
    <w:rsid w:val="00041B06"/>
    <w:rsid w:val="000428C2"/>
    <w:rsid w:val="00042F32"/>
    <w:rsid w:val="00042F6E"/>
    <w:rsid w:val="000434F0"/>
    <w:rsid w:val="0004392B"/>
    <w:rsid w:val="00044496"/>
    <w:rsid w:val="00044B71"/>
    <w:rsid w:val="00044D26"/>
    <w:rsid w:val="00044F4C"/>
    <w:rsid w:val="000453AD"/>
    <w:rsid w:val="0004572A"/>
    <w:rsid w:val="0004593F"/>
    <w:rsid w:val="00045D1D"/>
    <w:rsid w:val="00045D4B"/>
    <w:rsid w:val="0004614B"/>
    <w:rsid w:val="00046890"/>
    <w:rsid w:val="000473BB"/>
    <w:rsid w:val="00050275"/>
    <w:rsid w:val="00050BF8"/>
    <w:rsid w:val="0005152A"/>
    <w:rsid w:val="00051D13"/>
    <w:rsid w:val="0005238E"/>
    <w:rsid w:val="0005245C"/>
    <w:rsid w:val="0005257E"/>
    <w:rsid w:val="0005321F"/>
    <w:rsid w:val="0005392D"/>
    <w:rsid w:val="00054662"/>
    <w:rsid w:val="00054A5F"/>
    <w:rsid w:val="00054D70"/>
    <w:rsid w:val="00054DA8"/>
    <w:rsid w:val="00055401"/>
    <w:rsid w:val="00055581"/>
    <w:rsid w:val="000562E0"/>
    <w:rsid w:val="0005659D"/>
    <w:rsid w:val="00056E58"/>
    <w:rsid w:val="00056F1A"/>
    <w:rsid w:val="000570C7"/>
    <w:rsid w:val="00057428"/>
    <w:rsid w:val="00057871"/>
    <w:rsid w:val="000604FC"/>
    <w:rsid w:val="000605EE"/>
    <w:rsid w:val="00060CDE"/>
    <w:rsid w:val="000615D0"/>
    <w:rsid w:val="00062738"/>
    <w:rsid w:val="00063109"/>
    <w:rsid w:val="00063528"/>
    <w:rsid w:val="00063906"/>
    <w:rsid w:val="000641B2"/>
    <w:rsid w:val="0006539C"/>
    <w:rsid w:val="00065568"/>
    <w:rsid w:val="00066AC4"/>
    <w:rsid w:val="000700FC"/>
    <w:rsid w:val="00070DDD"/>
    <w:rsid w:val="00071B5F"/>
    <w:rsid w:val="0007244A"/>
    <w:rsid w:val="000728F2"/>
    <w:rsid w:val="00072EA0"/>
    <w:rsid w:val="00073218"/>
    <w:rsid w:val="00074829"/>
    <w:rsid w:val="00074B90"/>
    <w:rsid w:val="0007561C"/>
    <w:rsid w:val="00075A94"/>
    <w:rsid w:val="00076191"/>
    <w:rsid w:val="00076344"/>
    <w:rsid w:val="00076557"/>
    <w:rsid w:val="00076EA6"/>
    <w:rsid w:val="000775C3"/>
    <w:rsid w:val="000777CF"/>
    <w:rsid w:val="00077ACA"/>
    <w:rsid w:val="00080832"/>
    <w:rsid w:val="00080C2B"/>
    <w:rsid w:val="00080C55"/>
    <w:rsid w:val="0008172A"/>
    <w:rsid w:val="00081853"/>
    <w:rsid w:val="00081916"/>
    <w:rsid w:val="000819E2"/>
    <w:rsid w:val="00082128"/>
    <w:rsid w:val="000822BF"/>
    <w:rsid w:val="00082C74"/>
    <w:rsid w:val="0008321B"/>
    <w:rsid w:val="000834FD"/>
    <w:rsid w:val="0008453D"/>
    <w:rsid w:val="00084BDF"/>
    <w:rsid w:val="000851F9"/>
    <w:rsid w:val="00085D01"/>
    <w:rsid w:val="000867C9"/>
    <w:rsid w:val="0008695C"/>
    <w:rsid w:val="00086BCD"/>
    <w:rsid w:val="000872BF"/>
    <w:rsid w:val="00090DB9"/>
    <w:rsid w:val="000919BC"/>
    <w:rsid w:val="00091AD5"/>
    <w:rsid w:val="0009214F"/>
    <w:rsid w:val="0009232A"/>
    <w:rsid w:val="00092816"/>
    <w:rsid w:val="00093120"/>
    <w:rsid w:val="00094908"/>
    <w:rsid w:val="00095272"/>
    <w:rsid w:val="0009689F"/>
    <w:rsid w:val="0009702E"/>
    <w:rsid w:val="000A0E8B"/>
    <w:rsid w:val="000A13E8"/>
    <w:rsid w:val="000A1E9B"/>
    <w:rsid w:val="000A2AD8"/>
    <w:rsid w:val="000A36E9"/>
    <w:rsid w:val="000A3F7E"/>
    <w:rsid w:val="000A4006"/>
    <w:rsid w:val="000A5267"/>
    <w:rsid w:val="000A5714"/>
    <w:rsid w:val="000A5A79"/>
    <w:rsid w:val="000A5BDF"/>
    <w:rsid w:val="000A5C4F"/>
    <w:rsid w:val="000A5D44"/>
    <w:rsid w:val="000A5ECA"/>
    <w:rsid w:val="000A5F4A"/>
    <w:rsid w:val="000A7032"/>
    <w:rsid w:val="000A72DC"/>
    <w:rsid w:val="000A7370"/>
    <w:rsid w:val="000A75DF"/>
    <w:rsid w:val="000A78B3"/>
    <w:rsid w:val="000B0C14"/>
    <w:rsid w:val="000B169C"/>
    <w:rsid w:val="000B1794"/>
    <w:rsid w:val="000B2255"/>
    <w:rsid w:val="000B25A8"/>
    <w:rsid w:val="000B3825"/>
    <w:rsid w:val="000B4ABD"/>
    <w:rsid w:val="000B4B91"/>
    <w:rsid w:val="000B59DC"/>
    <w:rsid w:val="000B63A1"/>
    <w:rsid w:val="000B773E"/>
    <w:rsid w:val="000B7B7B"/>
    <w:rsid w:val="000B7E39"/>
    <w:rsid w:val="000B7ED0"/>
    <w:rsid w:val="000C04E6"/>
    <w:rsid w:val="000C06CC"/>
    <w:rsid w:val="000C0A47"/>
    <w:rsid w:val="000C1D99"/>
    <w:rsid w:val="000C1DDA"/>
    <w:rsid w:val="000C3F19"/>
    <w:rsid w:val="000C591E"/>
    <w:rsid w:val="000C69E5"/>
    <w:rsid w:val="000C70AB"/>
    <w:rsid w:val="000C7DE9"/>
    <w:rsid w:val="000C7E19"/>
    <w:rsid w:val="000D1BFE"/>
    <w:rsid w:val="000D1EC1"/>
    <w:rsid w:val="000D22A5"/>
    <w:rsid w:val="000D36D6"/>
    <w:rsid w:val="000D4F43"/>
    <w:rsid w:val="000D72DE"/>
    <w:rsid w:val="000D7A9E"/>
    <w:rsid w:val="000D7EB0"/>
    <w:rsid w:val="000E044D"/>
    <w:rsid w:val="000E04F4"/>
    <w:rsid w:val="000E082C"/>
    <w:rsid w:val="000E0A92"/>
    <w:rsid w:val="000E0B18"/>
    <w:rsid w:val="000E0D2F"/>
    <w:rsid w:val="000E12F1"/>
    <w:rsid w:val="000E25B5"/>
    <w:rsid w:val="000E2836"/>
    <w:rsid w:val="000E31D2"/>
    <w:rsid w:val="000E3621"/>
    <w:rsid w:val="000E3FF6"/>
    <w:rsid w:val="000E4ED7"/>
    <w:rsid w:val="000E4F78"/>
    <w:rsid w:val="000E6A8C"/>
    <w:rsid w:val="000E7644"/>
    <w:rsid w:val="000E7694"/>
    <w:rsid w:val="000E7D3E"/>
    <w:rsid w:val="000F09F5"/>
    <w:rsid w:val="000F209F"/>
    <w:rsid w:val="000F2220"/>
    <w:rsid w:val="000F2B19"/>
    <w:rsid w:val="000F3D0A"/>
    <w:rsid w:val="000F3E30"/>
    <w:rsid w:val="000F42EF"/>
    <w:rsid w:val="000F55E2"/>
    <w:rsid w:val="000F5927"/>
    <w:rsid w:val="000F5C65"/>
    <w:rsid w:val="000F7A2B"/>
    <w:rsid w:val="000F7AA7"/>
    <w:rsid w:val="00100FAA"/>
    <w:rsid w:val="00101CEF"/>
    <w:rsid w:val="00103B10"/>
    <w:rsid w:val="00103E92"/>
    <w:rsid w:val="001055C3"/>
    <w:rsid w:val="00105C43"/>
    <w:rsid w:val="00106409"/>
    <w:rsid w:val="001073F7"/>
    <w:rsid w:val="001076FC"/>
    <w:rsid w:val="00107771"/>
    <w:rsid w:val="001077EB"/>
    <w:rsid w:val="00107D03"/>
    <w:rsid w:val="001118F1"/>
    <w:rsid w:val="0011193F"/>
    <w:rsid w:val="00111F82"/>
    <w:rsid w:val="00111FB1"/>
    <w:rsid w:val="00112642"/>
    <w:rsid w:val="00112DFF"/>
    <w:rsid w:val="00113B06"/>
    <w:rsid w:val="00113F2D"/>
    <w:rsid w:val="00114033"/>
    <w:rsid w:val="001141E0"/>
    <w:rsid w:val="00114527"/>
    <w:rsid w:val="00114660"/>
    <w:rsid w:val="00114968"/>
    <w:rsid w:val="00114FEE"/>
    <w:rsid w:val="00115015"/>
    <w:rsid w:val="00116A85"/>
    <w:rsid w:val="00116D27"/>
    <w:rsid w:val="00117093"/>
    <w:rsid w:val="0011741A"/>
    <w:rsid w:val="00120064"/>
    <w:rsid w:val="001202CB"/>
    <w:rsid w:val="00120652"/>
    <w:rsid w:val="00121228"/>
    <w:rsid w:val="00121D77"/>
    <w:rsid w:val="00121D7E"/>
    <w:rsid w:val="00122AE0"/>
    <w:rsid w:val="00122BD1"/>
    <w:rsid w:val="00122E3A"/>
    <w:rsid w:val="00122E42"/>
    <w:rsid w:val="001231C4"/>
    <w:rsid w:val="00124183"/>
    <w:rsid w:val="00124187"/>
    <w:rsid w:val="00124C3F"/>
    <w:rsid w:val="00124CA1"/>
    <w:rsid w:val="00124FA7"/>
    <w:rsid w:val="0012538B"/>
    <w:rsid w:val="0012623F"/>
    <w:rsid w:val="00126597"/>
    <w:rsid w:val="001268C7"/>
    <w:rsid w:val="001276E3"/>
    <w:rsid w:val="001317BD"/>
    <w:rsid w:val="001318BD"/>
    <w:rsid w:val="00131ED0"/>
    <w:rsid w:val="0013359B"/>
    <w:rsid w:val="001336DC"/>
    <w:rsid w:val="00133A17"/>
    <w:rsid w:val="00133CBE"/>
    <w:rsid w:val="001344EE"/>
    <w:rsid w:val="00135042"/>
    <w:rsid w:val="00135658"/>
    <w:rsid w:val="00135727"/>
    <w:rsid w:val="00135C1E"/>
    <w:rsid w:val="00136983"/>
    <w:rsid w:val="00137C89"/>
    <w:rsid w:val="00141652"/>
    <w:rsid w:val="00141B7D"/>
    <w:rsid w:val="00141F5F"/>
    <w:rsid w:val="001426DD"/>
    <w:rsid w:val="001433FE"/>
    <w:rsid w:val="00143AB8"/>
    <w:rsid w:val="001441BA"/>
    <w:rsid w:val="00144E09"/>
    <w:rsid w:val="00144E9E"/>
    <w:rsid w:val="001468C2"/>
    <w:rsid w:val="00146B0E"/>
    <w:rsid w:val="00147136"/>
    <w:rsid w:val="00147308"/>
    <w:rsid w:val="00147575"/>
    <w:rsid w:val="00147585"/>
    <w:rsid w:val="00147B9E"/>
    <w:rsid w:val="0015019D"/>
    <w:rsid w:val="001504D4"/>
    <w:rsid w:val="0015058F"/>
    <w:rsid w:val="00150A18"/>
    <w:rsid w:val="001519E4"/>
    <w:rsid w:val="001529C4"/>
    <w:rsid w:val="00152AD3"/>
    <w:rsid w:val="00153444"/>
    <w:rsid w:val="00153A11"/>
    <w:rsid w:val="00153EAA"/>
    <w:rsid w:val="00155063"/>
    <w:rsid w:val="0015589D"/>
    <w:rsid w:val="00155BF6"/>
    <w:rsid w:val="00155F56"/>
    <w:rsid w:val="001569F8"/>
    <w:rsid w:val="001579AE"/>
    <w:rsid w:val="00157F5E"/>
    <w:rsid w:val="00160F7E"/>
    <w:rsid w:val="00161C6F"/>
    <w:rsid w:val="0016246A"/>
    <w:rsid w:val="00163CD9"/>
    <w:rsid w:val="001645E7"/>
    <w:rsid w:val="00164642"/>
    <w:rsid w:val="00164D18"/>
    <w:rsid w:val="0016566E"/>
    <w:rsid w:val="001658FB"/>
    <w:rsid w:val="00165A9E"/>
    <w:rsid w:val="00165E7D"/>
    <w:rsid w:val="00166481"/>
    <w:rsid w:val="0016764F"/>
    <w:rsid w:val="00167779"/>
    <w:rsid w:val="00171017"/>
    <w:rsid w:val="00171682"/>
    <w:rsid w:val="00173DB0"/>
    <w:rsid w:val="001745D2"/>
    <w:rsid w:val="00174F1F"/>
    <w:rsid w:val="001755B0"/>
    <w:rsid w:val="00175C4F"/>
    <w:rsid w:val="00175DD4"/>
    <w:rsid w:val="00175EAB"/>
    <w:rsid w:val="00175F87"/>
    <w:rsid w:val="00176D6E"/>
    <w:rsid w:val="00177AF2"/>
    <w:rsid w:val="00180384"/>
    <w:rsid w:val="00180B90"/>
    <w:rsid w:val="00181225"/>
    <w:rsid w:val="00181402"/>
    <w:rsid w:val="00181725"/>
    <w:rsid w:val="00181B91"/>
    <w:rsid w:val="0018212D"/>
    <w:rsid w:val="0018243E"/>
    <w:rsid w:val="00182DA3"/>
    <w:rsid w:val="00182ED1"/>
    <w:rsid w:val="00183A42"/>
    <w:rsid w:val="00183CD9"/>
    <w:rsid w:val="00183D64"/>
    <w:rsid w:val="00183FB9"/>
    <w:rsid w:val="001842ED"/>
    <w:rsid w:val="00184895"/>
    <w:rsid w:val="001848D6"/>
    <w:rsid w:val="00184BF9"/>
    <w:rsid w:val="001866A7"/>
    <w:rsid w:val="00186EEC"/>
    <w:rsid w:val="00187AEF"/>
    <w:rsid w:val="00187C99"/>
    <w:rsid w:val="00190AD2"/>
    <w:rsid w:val="001918C8"/>
    <w:rsid w:val="0019218B"/>
    <w:rsid w:val="00192BAA"/>
    <w:rsid w:val="001937B5"/>
    <w:rsid w:val="00193985"/>
    <w:rsid w:val="00193A3D"/>
    <w:rsid w:val="0019444D"/>
    <w:rsid w:val="0019449C"/>
    <w:rsid w:val="001944AC"/>
    <w:rsid w:val="00194BE1"/>
    <w:rsid w:val="00194BE8"/>
    <w:rsid w:val="00194E00"/>
    <w:rsid w:val="00195F00"/>
    <w:rsid w:val="001A07D1"/>
    <w:rsid w:val="001A1065"/>
    <w:rsid w:val="001A164B"/>
    <w:rsid w:val="001A2929"/>
    <w:rsid w:val="001A3920"/>
    <w:rsid w:val="001A447E"/>
    <w:rsid w:val="001A4824"/>
    <w:rsid w:val="001A482C"/>
    <w:rsid w:val="001A4F28"/>
    <w:rsid w:val="001A5200"/>
    <w:rsid w:val="001A5764"/>
    <w:rsid w:val="001A58EA"/>
    <w:rsid w:val="001A601C"/>
    <w:rsid w:val="001A663B"/>
    <w:rsid w:val="001A6A35"/>
    <w:rsid w:val="001A6D72"/>
    <w:rsid w:val="001A7309"/>
    <w:rsid w:val="001A79A3"/>
    <w:rsid w:val="001B06A1"/>
    <w:rsid w:val="001B0BE7"/>
    <w:rsid w:val="001B1165"/>
    <w:rsid w:val="001B189F"/>
    <w:rsid w:val="001B19A8"/>
    <w:rsid w:val="001B1CD4"/>
    <w:rsid w:val="001B2E9E"/>
    <w:rsid w:val="001B35E0"/>
    <w:rsid w:val="001B3E7F"/>
    <w:rsid w:val="001B4272"/>
    <w:rsid w:val="001B461B"/>
    <w:rsid w:val="001B480B"/>
    <w:rsid w:val="001B48A7"/>
    <w:rsid w:val="001B5272"/>
    <w:rsid w:val="001B571E"/>
    <w:rsid w:val="001B5B1F"/>
    <w:rsid w:val="001B62A8"/>
    <w:rsid w:val="001B65AD"/>
    <w:rsid w:val="001B68B4"/>
    <w:rsid w:val="001B76B0"/>
    <w:rsid w:val="001B76BE"/>
    <w:rsid w:val="001B7A4A"/>
    <w:rsid w:val="001B7A5B"/>
    <w:rsid w:val="001B7E65"/>
    <w:rsid w:val="001C0001"/>
    <w:rsid w:val="001C1977"/>
    <w:rsid w:val="001C215C"/>
    <w:rsid w:val="001C2B16"/>
    <w:rsid w:val="001C3EBA"/>
    <w:rsid w:val="001C456E"/>
    <w:rsid w:val="001C48EB"/>
    <w:rsid w:val="001C4B29"/>
    <w:rsid w:val="001C4BBF"/>
    <w:rsid w:val="001C555C"/>
    <w:rsid w:val="001C649A"/>
    <w:rsid w:val="001C718B"/>
    <w:rsid w:val="001C7332"/>
    <w:rsid w:val="001C7DCC"/>
    <w:rsid w:val="001D0338"/>
    <w:rsid w:val="001D0B2E"/>
    <w:rsid w:val="001D163A"/>
    <w:rsid w:val="001D1E4D"/>
    <w:rsid w:val="001D24A7"/>
    <w:rsid w:val="001D24FB"/>
    <w:rsid w:val="001D2A6F"/>
    <w:rsid w:val="001D2BA9"/>
    <w:rsid w:val="001D2F47"/>
    <w:rsid w:val="001D2FF8"/>
    <w:rsid w:val="001D3757"/>
    <w:rsid w:val="001D383E"/>
    <w:rsid w:val="001D4050"/>
    <w:rsid w:val="001D48C1"/>
    <w:rsid w:val="001D4C2D"/>
    <w:rsid w:val="001D57E4"/>
    <w:rsid w:val="001D794A"/>
    <w:rsid w:val="001D7EAE"/>
    <w:rsid w:val="001E0315"/>
    <w:rsid w:val="001E0C8B"/>
    <w:rsid w:val="001E0CB2"/>
    <w:rsid w:val="001E1607"/>
    <w:rsid w:val="001E3234"/>
    <w:rsid w:val="001E389E"/>
    <w:rsid w:val="001E416B"/>
    <w:rsid w:val="001E453B"/>
    <w:rsid w:val="001E45D2"/>
    <w:rsid w:val="001E4832"/>
    <w:rsid w:val="001E58E4"/>
    <w:rsid w:val="001E5E41"/>
    <w:rsid w:val="001E63C1"/>
    <w:rsid w:val="001E668D"/>
    <w:rsid w:val="001E68F5"/>
    <w:rsid w:val="001E691E"/>
    <w:rsid w:val="001E6D4C"/>
    <w:rsid w:val="001E6D9E"/>
    <w:rsid w:val="001E78A1"/>
    <w:rsid w:val="001E79D0"/>
    <w:rsid w:val="001E7D4B"/>
    <w:rsid w:val="001F0066"/>
    <w:rsid w:val="001F0AC0"/>
    <w:rsid w:val="001F0BB9"/>
    <w:rsid w:val="001F1A1E"/>
    <w:rsid w:val="001F1A92"/>
    <w:rsid w:val="001F1F57"/>
    <w:rsid w:val="001F217D"/>
    <w:rsid w:val="001F24A6"/>
    <w:rsid w:val="001F2AF2"/>
    <w:rsid w:val="001F396F"/>
    <w:rsid w:val="001F3DD9"/>
    <w:rsid w:val="001F41D0"/>
    <w:rsid w:val="001F4BFD"/>
    <w:rsid w:val="001F4F92"/>
    <w:rsid w:val="001F5A2A"/>
    <w:rsid w:val="001F5ADA"/>
    <w:rsid w:val="001F6159"/>
    <w:rsid w:val="001F68CD"/>
    <w:rsid w:val="001F6C0A"/>
    <w:rsid w:val="001F740C"/>
    <w:rsid w:val="001F78DB"/>
    <w:rsid w:val="002008C3"/>
    <w:rsid w:val="002010CA"/>
    <w:rsid w:val="002014C2"/>
    <w:rsid w:val="00201C4F"/>
    <w:rsid w:val="00201CD3"/>
    <w:rsid w:val="00202E1D"/>
    <w:rsid w:val="00203788"/>
    <w:rsid w:val="00203A23"/>
    <w:rsid w:val="00203DF0"/>
    <w:rsid w:val="00203F77"/>
    <w:rsid w:val="00204070"/>
    <w:rsid w:val="0020473E"/>
    <w:rsid w:val="0020520F"/>
    <w:rsid w:val="002053F1"/>
    <w:rsid w:val="002055DA"/>
    <w:rsid w:val="00205C1D"/>
    <w:rsid w:val="0020630C"/>
    <w:rsid w:val="002065FA"/>
    <w:rsid w:val="00206C3F"/>
    <w:rsid w:val="00206F66"/>
    <w:rsid w:val="0020705B"/>
    <w:rsid w:val="002071D2"/>
    <w:rsid w:val="002073BC"/>
    <w:rsid w:val="0020792D"/>
    <w:rsid w:val="00207A52"/>
    <w:rsid w:val="00207AE7"/>
    <w:rsid w:val="00207EEB"/>
    <w:rsid w:val="0021095E"/>
    <w:rsid w:val="002112A1"/>
    <w:rsid w:val="00211708"/>
    <w:rsid w:val="00211909"/>
    <w:rsid w:val="00211E0B"/>
    <w:rsid w:val="0021388F"/>
    <w:rsid w:val="00213B1D"/>
    <w:rsid w:val="002141AD"/>
    <w:rsid w:val="002142FC"/>
    <w:rsid w:val="002145B6"/>
    <w:rsid w:val="002202D3"/>
    <w:rsid w:val="0022055C"/>
    <w:rsid w:val="00220657"/>
    <w:rsid w:val="00220FB8"/>
    <w:rsid w:val="00221516"/>
    <w:rsid w:val="00221698"/>
    <w:rsid w:val="00221B06"/>
    <w:rsid w:val="00221ED8"/>
    <w:rsid w:val="002230D3"/>
    <w:rsid w:val="00223C06"/>
    <w:rsid w:val="00223E25"/>
    <w:rsid w:val="00224417"/>
    <w:rsid w:val="00224ECC"/>
    <w:rsid w:val="0022512B"/>
    <w:rsid w:val="002256BA"/>
    <w:rsid w:val="00225771"/>
    <w:rsid w:val="002257CC"/>
    <w:rsid w:val="002263EC"/>
    <w:rsid w:val="00227273"/>
    <w:rsid w:val="002272FC"/>
    <w:rsid w:val="00227A36"/>
    <w:rsid w:val="00230275"/>
    <w:rsid w:val="00230568"/>
    <w:rsid w:val="00230C75"/>
    <w:rsid w:val="00231A23"/>
    <w:rsid w:val="00231E37"/>
    <w:rsid w:val="00232234"/>
    <w:rsid w:val="002322B2"/>
    <w:rsid w:val="00232971"/>
    <w:rsid w:val="00232F32"/>
    <w:rsid w:val="00233035"/>
    <w:rsid w:val="002333D6"/>
    <w:rsid w:val="00233606"/>
    <w:rsid w:val="00233B65"/>
    <w:rsid w:val="0023597E"/>
    <w:rsid w:val="0023599C"/>
    <w:rsid w:val="00235C49"/>
    <w:rsid w:val="00236288"/>
    <w:rsid w:val="00236760"/>
    <w:rsid w:val="00236DA8"/>
    <w:rsid w:val="00237D37"/>
    <w:rsid w:val="00241495"/>
    <w:rsid w:val="00241B52"/>
    <w:rsid w:val="002420FA"/>
    <w:rsid w:val="00243613"/>
    <w:rsid w:val="00243906"/>
    <w:rsid w:val="00243A2D"/>
    <w:rsid w:val="00243A47"/>
    <w:rsid w:val="00243D16"/>
    <w:rsid w:val="00245288"/>
    <w:rsid w:val="002454E6"/>
    <w:rsid w:val="00247441"/>
    <w:rsid w:val="002477D6"/>
    <w:rsid w:val="00247804"/>
    <w:rsid w:val="00247A0D"/>
    <w:rsid w:val="00247A8C"/>
    <w:rsid w:val="00247AFD"/>
    <w:rsid w:val="002505D5"/>
    <w:rsid w:val="002513FC"/>
    <w:rsid w:val="0025166D"/>
    <w:rsid w:val="00252999"/>
    <w:rsid w:val="00252CA2"/>
    <w:rsid w:val="0025330B"/>
    <w:rsid w:val="00254A73"/>
    <w:rsid w:val="0025582F"/>
    <w:rsid w:val="00255EB2"/>
    <w:rsid w:val="002560D8"/>
    <w:rsid w:val="0025615B"/>
    <w:rsid w:val="002564D1"/>
    <w:rsid w:val="00256578"/>
    <w:rsid w:val="00256992"/>
    <w:rsid w:val="00257E92"/>
    <w:rsid w:val="00260714"/>
    <w:rsid w:val="00261A10"/>
    <w:rsid w:val="00261E6F"/>
    <w:rsid w:val="00261EB6"/>
    <w:rsid w:val="002631C2"/>
    <w:rsid w:val="002633BE"/>
    <w:rsid w:val="00263E20"/>
    <w:rsid w:val="002640B7"/>
    <w:rsid w:val="00264732"/>
    <w:rsid w:val="00264B64"/>
    <w:rsid w:val="00264EE5"/>
    <w:rsid w:val="002653B6"/>
    <w:rsid w:val="0026684F"/>
    <w:rsid w:val="00266861"/>
    <w:rsid w:val="002668D3"/>
    <w:rsid w:val="0026773F"/>
    <w:rsid w:val="00267A30"/>
    <w:rsid w:val="00267A31"/>
    <w:rsid w:val="0027012B"/>
    <w:rsid w:val="002701E8"/>
    <w:rsid w:val="00270555"/>
    <w:rsid w:val="002705EA"/>
    <w:rsid w:val="002706A7"/>
    <w:rsid w:val="00270CEC"/>
    <w:rsid w:val="00270EFB"/>
    <w:rsid w:val="00271621"/>
    <w:rsid w:val="00272559"/>
    <w:rsid w:val="00273C0E"/>
    <w:rsid w:val="002748AE"/>
    <w:rsid w:val="00274E0C"/>
    <w:rsid w:val="00275340"/>
    <w:rsid w:val="00276D86"/>
    <w:rsid w:val="00276FF1"/>
    <w:rsid w:val="0028022D"/>
    <w:rsid w:val="002806CD"/>
    <w:rsid w:val="00280CE6"/>
    <w:rsid w:val="00280E95"/>
    <w:rsid w:val="002811B0"/>
    <w:rsid w:val="00281B56"/>
    <w:rsid w:val="0028239D"/>
    <w:rsid w:val="00282745"/>
    <w:rsid w:val="00282A5D"/>
    <w:rsid w:val="00282CC9"/>
    <w:rsid w:val="00282F61"/>
    <w:rsid w:val="00283183"/>
    <w:rsid w:val="002844FF"/>
    <w:rsid w:val="0028508F"/>
    <w:rsid w:val="002854EF"/>
    <w:rsid w:val="002856DF"/>
    <w:rsid w:val="00285731"/>
    <w:rsid w:val="00285C02"/>
    <w:rsid w:val="00286527"/>
    <w:rsid w:val="00286962"/>
    <w:rsid w:val="00286992"/>
    <w:rsid w:val="00286A25"/>
    <w:rsid w:val="00286B8D"/>
    <w:rsid w:val="00286DEB"/>
    <w:rsid w:val="00287651"/>
    <w:rsid w:val="00287DDE"/>
    <w:rsid w:val="002902F1"/>
    <w:rsid w:val="00290CBF"/>
    <w:rsid w:val="00291417"/>
    <w:rsid w:val="00292355"/>
    <w:rsid w:val="0029287A"/>
    <w:rsid w:val="0029328F"/>
    <w:rsid w:val="002940F9"/>
    <w:rsid w:val="0029520A"/>
    <w:rsid w:val="00295697"/>
    <w:rsid w:val="00295B5D"/>
    <w:rsid w:val="0029650F"/>
    <w:rsid w:val="00297BF1"/>
    <w:rsid w:val="00297D3D"/>
    <w:rsid w:val="00297E9E"/>
    <w:rsid w:val="002A0082"/>
    <w:rsid w:val="002A0552"/>
    <w:rsid w:val="002A1679"/>
    <w:rsid w:val="002A1F17"/>
    <w:rsid w:val="002A2279"/>
    <w:rsid w:val="002A28B1"/>
    <w:rsid w:val="002A2937"/>
    <w:rsid w:val="002A2D90"/>
    <w:rsid w:val="002A3A62"/>
    <w:rsid w:val="002A445D"/>
    <w:rsid w:val="002A4667"/>
    <w:rsid w:val="002A46D6"/>
    <w:rsid w:val="002A4B22"/>
    <w:rsid w:val="002A4CFB"/>
    <w:rsid w:val="002A5276"/>
    <w:rsid w:val="002A60BD"/>
    <w:rsid w:val="002A706D"/>
    <w:rsid w:val="002A77B5"/>
    <w:rsid w:val="002B0534"/>
    <w:rsid w:val="002B0775"/>
    <w:rsid w:val="002B0C1D"/>
    <w:rsid w:val="002B1245"/>
    <w:rsid w:val="002B1835"/>
    <w:rsid w:val="002B25DC"/>
    <w:rsid w:val="002B2D52"/>
    <w:rsid w:val="002B33D1"/>
    <w:rsid w:val="002B3F57"/>
    <w:rsid w:val="002B48A1"/>
    <w:rsid w:val="002B4ACE"/>
    <w:rsid w:val="002B4BE1"/>
    <w:rsid w:val="002B4FE0"/>
    <w:rsid w:val="002B5103"/>
    <w:rsid w:val="002B520E"/>
    <w:rsid w:val="002B593E"/>
    <w:rsid w:val="002B59BC"/>
    <w:rsid w:val="002B5BE9"/>
    <w:rsid w:val="002B6C82"/>
    <w:rsid w:val="002B70D5"/>
    <w:rsid w:val="002B738A"/>
    <w:rsid w:val="002B7978"/>
    <w:rsid w:val="002B7E11"/>
    <w:rsid w:val="002C06ED"/>
    <w:rsid w:val="002C1255"/>
    <w:rsid w:val="002C1566"/>
    <w:rsid w:val="002C1B80"/>
    <w:rsid w:val="002C1F2D"/>
    <w:rsid w:val="002C1FF8"/>
    <w:rsid w:val="002C3C7D"/>
    <w:rsid w:val="002C4053"/>
    <w:rsid w:val="002C4512"/>
    <w:rsid w:val="002C45B7"/>
    <w:rsid w:val="002C4FB2"/>
    <w:rsid w:val="002C541F"/>
    <w:rsid w:val="002C5963"/>
    <w:rsid w:val="002C5DFF"/>
    <w:rsid w:val="002C5FB0"/>
    <w:rsid w:val="002C610A"/>
    <w:rsid w:val="002C616D"/>
    <w:rsid w:val="002C62D6"/>
    <w:rsid w:val="002C6339"/>
    <w:rsid w:val="002C66A8"/>
    <w:rsid w:val="002C6A7C"/>
    <w:rsid w:val="002C7334"/>
    <w:rsid w:val="002C7709"/>
    <w:rsid w:val="002D0B15"/>
    <w:rsid w:val="002D0C97"/>
    <w:rsid w:val="002D24AE"/>
    <w:rsid w:val="002D2A4C"/>
    <w:rsid w:val="002D30C7"/>
    <w:rsid w:val="002D39E0"/>
    <w:rsid w:val="002D42BE"/>
    <w:rsid w:val="002D454E"/>
    <w:rsid w:val="002D500E"/>
    <w:rsid w:val="002D5086"/>
    <w:rsid w:val="002D512A"/>
    <w:rsid w:val="002E0041"/>
    <w:rsid w:val="002E0571"/>
    <w:rsid w:val="002E0E60"/>
    <w:rsid w:val="002E0FF5"/>
    <w:rsid w:val="002E16B9"/>
    <w:rsid w:val="002E1B90"/>
    <w:rsid w:val="002E1E39"/>
    <w:rsid w:val="002E291B"/>
    <w:rsid w:val="002E2B4E"/>
    <w:rsid w:val="002E324C"/>
    <w:rsid w:val="002E391D"/>
    <w:rsid w:val="002E3A7F"/>
    <w:rsid w:val="002E46CB"/>
    <w:rsid w:val="002E4D79"/>
    <w:rsid w:val="002E54F7"/>
    <w:rsid w:val="002E5FCA"/>
    <w:rsid w:val="002E6AB5"/>
    <w:rsid w:val="002E74EE"/>
    <w:rsid w:val="002E79F7"/>
    <w:rsid w:val="002E7E66"/>
    <w:rsid w:val="002F03D1"/>
    <w:rsid w:val="002F05A9"/>
    <w:rsid w:val="002F13D4"/>
    <w:rsid w:val="002F1914"/>
    <w:rsid w:val="002F196C"/>
    <w:rsid w:val="002F271F"/>
    <w:rsid w:val="002F29FE"/>
    <w:rsid w:val="002F2E23"/>
    <w:rsid w:val="002F55DD"/>
    <w:rsid w:val="002F5762"/>
    <w:rsid w:val="002F584E"/>
    <w:rsid w:val="002F586B"/>
    <w:rsid w:val="002F62E6"/>
    <w:rsid w:val="002F660E"/>
    <w:rsid w:val="002F6F90"/>
    <w:rsid w:val="002F71C4"/>
    <w:rsid w:val="002F7564"/>
    <w:rsid w:val="003008F2"/>
    <w:rsid w:val="00300B43"/>
    <w:rsid w:val="00301691"/>
    <w:rsid w:val="00302C43"/>
    <w:rsid w:val="00302EA8"/>
    <w:rsid w:val="00303714"/>
    <w:rsid w:val="00303DFA"/>
    <w:rsid w:val="0030463F"/>
    <w:rsid w:val="00304A16"/>
    <w:rsid w:val="003060FB"/>
    <w:rsid w:val="003061F0"/>
    <w:rsid w:val="003065EB"/>
    <w:rsid w:val="00306821"/>
    <w:rsid w:val="00306A28"/>
    <w:rsid w:val="00306CED"/>
    <w:rsid w:val="00307089"/>
    <w:rsid w:val="00307299"/>
    <w:rsid w:val="00310273"/>
    <w:rsid w:val="00311840"/>
    <w:rsid w:val="003135C0"/>
    <w:rsid w:val="00313968"/>
    <w:rsid w:val="00313BA7"/>
    <w:rsid w:val="0031446D"/>
    <w:rsid w:val="00314558"/>
    <w:rsid w:val="003165D4"/>
    <w:rsid w:val="003174BD"/>
    <w:rsid w:val="00317CD3"/>
    <w:rsid w:val="00317D65"/>
    <w:rsid w:val="00320174"/>
    <w:rsid w:val="003211C5"/>
    <w:rsid w:val="00321595"/>
    <w:rsid w:val="00323475"/>
    <w:rsid w:val="00323518"/>
    <w:rsid w:val="00323ED7"/>
    <w:rsid w:val="00324328"/>
    <w:rsid w:val="00325610"/>
    <w:rsid w:val="00326274"/>
    <w:rsid w:val="00326719"/>
    <w:rsid w:val="003275F1"/>
    <w:rsid w:val="00330263"/>
    <w:rsid w:val="003319DD"/>
    <w:rsid w:val="0033247B"/>
    <w:rsid w:val="00333E78"/>
    <w:rsid w:val="0033459D"/>
    <w:rsid w:val="0033466E"/>
    <w:rsid w:val="00334C15"/>
    <w:rsid w:val="00334D28"/>
    <w:rsid w:val="00335A64"/>
    <w:rsid w:val="00335B83"/>
    <w:rsid w:val="00336C97"/>
    <w:rsid w:val="00336FCE"/>
    <w:rsid w:val="0033700B"/>
    <w:rsid w:val="0033740F"/>
    <w:rsid w:val="00337885"/>
    <w:rsid w:val="00337CCB"/>
    <w:rsid w:val="003411FB"/>
    <w:rsid w:val="0034133D"/>
    <w:rsid w:val="00341F93"/>
    <w:rsid w:val="003422CC"/>
    <w:rsid w:val="003426E4"/>
    <w:rsid w:val="003432D5"/>
    <w:rsid w:val="00344C4A"/>
    <w:rsid w:val="0034549B"/>
    <w:rsid w:val="00346ADF"/>
    <w:rsid w:val="00346E29"/>
    <w:rsid w:val="00347316"/>
    <w:rsid w:val="00347457"/>
    <w:rsid w:val="00347BCC"/>
    <w:rsid w:val="00350CE5"/>
    <w:rsid w:val="00351258"/>
    <w:rsid w:val="0035229C"/>
    <w:rsid w:val="00352670"/>
    <w:rsid w:val="003539A6"/>
    <w:rsid w:val="00354510"/>
    <w:rsid w:val="0035533B"/>
    <w:rsid w:val="00355810"/>
    <w:rsid w:val="003564CB"/>
    <w:rsid w:val="00356B7D"/>
    <w:rsid w:val="00356C66"/>
    <w:rsid w:val="003570EC"/>
    <w:rsid w:val="00357F64"/>
    <w:rsid w:val="00360D8E"/>
    <w:rsid w:val="0036124F"/>
    <w:rsid w:val="00361537"/>
    <w:rsid w:val="0036192A"/>
    <w:rsid w:val="00361C7A"/>
    <w:rsid w:val="00362548"/>
    <w:rsid w:val="003634E8"/>
    <w:rsid w:val="003637BB"/>
    <w:rsid w:val="003637C9"/>
    <w:rsid w:val="00363867"/>
    <w:rsid w:val="00363F69"/>
    <w:rsid w:val="003640D1"/>
    <w:rsid w:val="00364606"/>
    <w:rsid w:val="003652CE"/>
    <w:rsid w:val="00365903"/>
    <w:rsid w:val="00366026"/>
    <w:rsid w:val="0036604E"/>
    <w:rsid w:val="00366859"/>
    <w:rsid w:val="00366983"/>
    <w:rsid w:val="00366B32"/>
    <w:rsid w:val="00366BC2"/>
    <w:rsid w:val="00367CD1"/>
    <w:rsid w:val="00367E2A"/>
    <w:rsid w:val="00370481"/>
    <w:rsid w:val="00370E6F"/>
    <w:rsid w:val="00371092"/>
    <w:rsid w:val="0037115E"/>
    <w:rsid w:val="003715A0"/>
    <w:rsid w:val="00371BF4"/>
    <w:rsid w:val="00371D47"/>
    <w:rsid w:val="00373044"/>
    <w:rsid w:val="0037310D"/>
    <w:rsid w:val="00373721"/>
    <w:rsid w:val="003738A8"/>
    <w:rsid w:val="00374646"/>
    <w:rsid w:val="00375032"/>
    <w:rsid w:val="003755DF"/>
    <w:rsid w:val="003769E5"/>
    <w:rsid w:val="00376FAE"/>
    <w:rsid w:val="0037709C"/>
    <w:rsid w:val="00377130"/>
    <w:rsid w:val="0037750C"/>
    <w:rsid w:val="00377C5F"/>
    <w:rsid w:val="00377D8F"/>
    <w:rsid w:val="00380502"/>
    <w:rsid w:val="0038058B"/>
    <w:rsid w:val="003808DA"/>
    <w:rsid w:val="0038145B"/>
    <w:rsid w:val="00382976"/>
    <w:rsid w:val="00382BBC"/>
    <w:rsid w:val="00382FBD"/>
    <w:rsid w:val="0038314C"/>
    <w:rsid w:val="0038395C"/>
    <w:rsid w:val="00383BEB"/>
    <w:rsid w:val="00383F1A"/>
    <w:rsid w:val="0038445D"/>
    <w:rsid w:val="00384717"/>
    <w:rsid w:val="003857F0"/>
    <w:rsid w:val="00385F8C"/>
    <w:rsid w:val="003861AF"/>
    <w:rsid w:val="003862F0"/>
    <w:rsid w:val="00387118"/>
    <w:rsid w:val="003873A4"/>
    <w:rsid w:val="00387654"/>
    <w:rsid w:val="003879E9"/>
    <w:rsid w:val="00387A0E"/>
    <w:rsid w:val="00387D65"/>
    <w:rsid w:val="00390044"/>
    <w:rsid w:val="00391B34"/>
    <w:rsid w:val="003921D0"/>
    <w:rsid w:val="00392434"/>
    <w:rsid w:val="003929D8"/>
    <w:rsid w:val="00393398"/>
    <w:rsid w:val="003933AB"/>
    <w:rsid w:val="00393A72"/>
    <w:rsid w:val="00395031"/>
    <w:rsid w:val="003952F1"/>
    <w:rsid w:val="00395544"/>
    <w:rsid w:val="003955FA"/>
    <w:rsid w:val="003957E2"/>
    <w:rsid w:val="003964D2"/>
    <w:rsid w:val="00396FF7"/>
    <w:rsid w:val="00397AD4"/>
    <w:rsid w:val="003A00C2"/>
    <w:rsid w:val="003A04B9"/>
    <w:rsid w:val="003A0501"/>
    <w:rsid w:val="003A0FD6"/>
    <w:rsid w:val="003A1E97"/>
    <w:rsid w:val="003A21C5"/>
    <w:rsid w:val="003A2895"/>
    <w:rsid w:val="003A2FA5"/>
    <w:rsid w:val="003A364D"/>
    <w:rsid w:val="003A4602"/>
    <w:rsid w:val="003A4B77"/>
    <w:rsid w:val="003A523F"/>
    <w:rsid w:val="003A5587"/>
    <w:rsid w:val="003A5F72"/>
    <w:rsid w:val="003A61A5"/>
    <w:rsid w:val="003A6213"/>
    <w:rsid w:val="003A6939"/>
    <w:rsid w:val="003A6C7D"/>
    <w:rsid w:val="003A6E50"/>
    <w:rsid w:val="003A78E6"/>
    <w:rsid w:val="003B09A2"/>
    <w:rsid w:val="003B0AC7"/>
    <w:rsid w:val="003B0E12"/>
    <w:rsid w:val="003B0F9A"/>
    <w:rsid w:val="003B1447"/>
    <w:rsid w:val="003B21F7"/>
    <w:rsid w:val="003B23D8"/>
    <w:rsid w:val="003B32FC"/>
    <w:rsid w:val="003B3B2E"/>
    <w:rsid w:val="003B42BC"/>
    <w:rsid w:val="003B4E0F"/>
    <w:rsid w:val="003B54C8"/>
    <w:rsid w:val="003B5B51"/>
    <w:rsid w:val="003B699F"/>
    <w:rsid w:val="003B6CDF"/>
    <w:rsid w:val="003C1E0F"/>
    <w:rsid w:val="003C1FEE"/>
    <w:rsid w:val="003C21D3"/>
    <w:rsid w:val="003C30C4"/>
    <w:rsid w:val="003C3550"/>
    <w:rsid w:val="003C39B6"/>
    <w:rsid w:val="003C3C48"/>
    <w:rsid w:val="003C3F82"/>
    <w:rsid w:val="003C4974"/>
    <w:rsid w:val="003C668A"/>
    <w:rsid w:val="003C6695"/>
    <w:rsid w:val="003C6B59"/>
    <w:rsid w:val="003C6C3A"/>
    <w:rsid w:val="003C6E4B"/>
    <w:rsid w:val="003C7D04"/>
    <w:rsid w:val="003D0A7A"/>
    <w:rsid w:val="003D0BF4"/>
    <w:rsid w:val="003D138C"/>
    <w:rsid w:val="003D167A"/>
    <w:rsid w:val="003D2077"/>
    <w:rsid w:val="003D2549"/>
    <w:rsid w:val="003D2874"/>
    <w:rsid w:val="003D2AEE"/>
    <w:rsid w:val="003D2B47"/>
    <w:rsid w:val="003D2C17"/>
    <w:rsid w:val="003D3350"/>
    <w:rsid w:val="003D3386"/>
    <w:rsid w:val="003D3B02"/>
    <w:rsid w:val="003D43EB"/>
    <w:rsid w:val="003D4CF9"/>
    <w:rsid w:val="003D5D9E"/>
    <w:rsid w:val="003D5FA9"/>
    <w:rsid w:val="003D7BCD"/>
    <w:rsid w:val="003E0084"/>
    <w:rsid w:val="003E0CEF"/>
    <w:rsid w:val="003E177A"/>
    <w:rsid w:val="003E1793"/>
    <w:rsid w:val="003E1DB6"/>
    <w:rsid w:val="003E20A2"/>
    <w:rsid w:val="003E2779"/>
    <w:rsid w:val="003E298D"/>
    <w:rsid w:val="003E2EAB"/>
    <w:rsid w:val="003E466F"/>
    <w:rsid w:val="003E4AEB"/>
    <w:rsid w:val="003E582E"/>
    <w:rsid w:val="003E5E47"/>
    <w:rsid w:val="003E71FF"/>
    <w:rsid w:val="003E75B3"/>
    <w:rsid w:val="003E7636"/>
    <w:rsid w:val="003E79F3"/>
    <w:rsid w:val="003F0379"/>
    <w:rsid w:val="003F0EB8"/>
    <w:rsid w:val="003F1244"/>
    <w:rsid w:val="003F12C5"/>
    <w:rsid w:val="003F1D52"/>
    <w:rsid w:val="003F247B"/>
    <w:rsid w:val="003F2543"/>
    <w:rsid w:val="003F31C8"/>
    <w:rsid w:val="003F327E"/>
    <w:rsid w:val="003F36CA"/>
    <w:rsid w:val="003F3789"/>
    <w:rsid w:val="003F40F6"/>
    <w:rsid w:val="003F4E76"/>
    <w:rsid w:val="003F5954"/>
    <w:rsid w:val="003F59E1"/>
    <w:rsid w:val="003F66C4"/>
    <w:rsid w:val="003F6D54"/>
    <w:rsid w:val="003F709A"/>
    <w:rsid w:val="003F77EA"/>
    <w:rsid w:val="003F7927"/>
    <w:rsid w:val="003F7E17"/>
    <w:rsid w:val="004007A1"/>
    <w:rsid w:val="00401044"/>
    <w:rsid w:val="00401592"/>
    <w:rsid w:val="00401CFF"/>
    <w:rsid w:val="00401DFC"/>
    <w:rsid w:val="00401FCB"/>
    <w:rsid w:val="00402643"/>
    <w:rsid w:val="00402B73"/>
    <w:rsid w:val="00402F5B"/>
    <w:rsid w:val="00403262"/>
    <w:rsid w:val="004035F3"/>
    <w:rsid w:val="00403FB0"/>
    <w:rsid w:val="00404F7D"/>
    <w:rsid w:val="0040538C"/>
    <w:rsid w:val="00405668"/>
    <w:rsid w:val="00405F08"/>
    <w:rsid w:val="004060BE"/>
    <w:rsid w:val="00406FE3"/>
    <w:rsid w:val="00410444"/>
    <w:rsid w:val="00410562"/>
    <w:rsid w:val="00410963"/>
    <w:rsid w:val="00410E09"/>
    <w:rsid w:val="00410F0E"/>
    <w:rsid w:val="00411527"/>
    <w:rsid w:val="00411630"/>
    <w:rsid w:val="004117CE"/>
    <w:rsid w:val="004123A2"/>
    <w:rsid w:val="0041378F"/>
    <w:rsid w:val="004139C8"/>
    <w:rsid w:val="00413AA2"/>
    <w:rsid w:val="004145B5"/>
    <w:rsid w:val="00414922"/>
    <w:rsid w:val="00415138"/>
    <w:rsid w:val="00415645"/>
    <w:rsid w:val="00415F77"/>
    <w:rsid w:val="00416341"/>
    <w:rsid w:val="004163D3"/>
    <w:rsid w:val="00416B49"/>
    <w:rsid w:val="004173DA"/>
    <w:rsid w:val="00417569"/>
    <w:rsid w:val="00417F82"/>
    <w:rsid w:val="00420B57"/>
    <w:rsid w:val="00420E03"/>
    <w:rsid w:val="004218DF"/>
    <w:rsid w:val="0042198F"/>
    <w:rsid w:val="004219C5"/>
    <w:rsid w:val="00421C51"/>
    <w:rsid w:val="00421CCE"/>
    <w:rsid w:val="004228A6"/>
    <w:rsid w:val="00422CFF"/>
    <w:rsid w:val="0042309E"/>
    <w:rsid w:val="00423150"/>
    <w:rsid w:val="004232AD"/>
    <w:rsid w:val="00423EA0"/>
    <w:rsid w:val="004240B5"/>
    <w:rsid w:val="00424323"/>
    <w:rsid w:val="004245EB"/>
    <w:rsid w:val="0042481C"/>
    <w:rsid w:val="004249DB"/>
    <w:rsid w:val="00424DE4"/>
    <w:rsid w:val="0042576A"/>
    <w:rsid w:val="00425BA9"/>
    <w:rsid w:val="00426C29"/>
    <w:rsid w:val="00426C9B"/>
    <w:rsid w:val="004270B8"/>
    <w:rsid w:val="0043045F"/>
    <w:rsid w:val="00430D48"/>
    <w:rsid w:val="004311BC"/>
    <w:rsid w:val="0043145D"/>
    <w:rsid w:val="0043187C"/>
    <w:rsid w:val="00431D15"/>
    <w:rsid w:val="00431F30"/>
    <w:rsid w:val="00432127"/>
    <w:rsid w:val="004329C9"/>
    <w:rsid w:val="0043303A"/>
    <w:rsid w:val="00433FFC"/>
    <w:rsid w:val="004340F7"/>
    <w:rsid w:val="00434775"/>
    <w:rsid w:val="00434F47"/>
    <w:rsid w:val="004360FE"/>
    <w:rsid w:val="00436F99"/>
    <w:rsid w:val="00436FAE"/>
    <w:rsid w:val="00437752"/>
    <w:rsid w:val="004378C7"/>
    <w:rsid w:val="00437C41"/>
    <w:rsid w:val="00440984"/>
    <w:rsid w:val="004409DB"/>
    <w:rsid w:val="00441288"/>
    <w:rsid w:val="004412F2"/>
    <w:rsid w:val="00441627"/>
    <w:rsid w:val="0044274D"/>
    <w:rsid w:val="00442943"/>
    <w:rsid w:val="00443BAF"/>
    <w:rsid w:val="00445147"/>
    <w:rsid w:val="00445900"/>
    <w:rsid w:val="00445CBB"/>
    <w:rsid w:val="00445E50"/>
    <w:rsid w:val="004469C7"/>
    <w:rsid w:val="00446AA2"/>
    <w:rsid w:val="00446B25"/>
    <w:rsid w:val="00446B75"/>
    <w:rsid w:val="00446DA7"/>
    <w:rsid w:val="00447180"/>
    <w:rsid w:val="0044736D"/>
    <w:rsid w:val="00447586"/>
    <w:rsid w:val="00447728"/>
    <w:rsid w:val="00450781"/>
    <w:rsid w:val="00450883"/>
    <w:rsid w:val="004508AB"/>
    <w:rsid w:val="0045093D"/>
    <w:rsid w:val="00450C45"/>
    <w:rsid w:val="004512E1"/>
    <w:rsid w:val="00452ACB"/>
    <w:rsid w:val="00452CBF"/>
    <w:rsid w:val="0045393E"/>
    <w:rsid w:val="00453B6A"/>
    <w:rsid w:val="00454860"/>
    <w:rsid w:val="00454A54"/>
    <w:rsid w:val="004550FC"/>
    <w:rsid w:val="0045581D"/>
    <w:rsid w:val="00456329"/>
    <w:rsid w:val="004566B8"/>
    <w:rsid w:val="00456AEA"/>
    <w:rsid w:val="00456FCA"/>
    <w:rsid w:val="00457435"/>
    <w:rsid w:val="00457B47"/>
    <w:rsid w:val="00457D3E"/>
    <w:rsid w:val="0046154A"/>
    <w:rsid w:val="00462094"/>
    <w:rsid w:val="00462BF9"/>
    <w:rsid w:val="00462E1E"/>
    <w:rsid w:val="00463376"/>
    <w:rsid w:val="004638F2"/>
    <w:rsid w:val="00463ED9"/>
    <w:rsid w:val="00464118"/>
    <w:rsid w:val="004641C2"/>
    <w:rsid w:val="00464329"/>
    <w:rsid w:val="004649BF"/>
    <w:rsid w:val="0046500E"/>
    <w:rsid w:val="00465B7F"/>
    <w:rsid w:val="00465DAF"/>
    <w:rsid w:val="00466BA1"/>
    <w:rsid w:val="004670E4"/>
    <w:rsid w:val="0046732E"/>
    <w:rsid w:val="00467C0B"/>
    <w:rsid w:val="004702F1"/>
    <w:rsid w:val="004707B3"/>
    <w:rsid w:val="00470CEF"/>
    <w:rsid w:val="0047192C"/>
    <w:rsid w:val="00471A12"/>
    <w:rsid w:val="00471CBB"/>
    <w:rsid w:val="00474B53"/>
    <w:rsid w:val="00474B60"/>
    <w:rsid w:val="004751E9"/>
    <w:rsid w:val="004753F9"/>
    <w:rsid w:val="00476545"/>
    <w:rsid w:val="0047654A"/>
    <w:rsid w:val="0047696E"/>
    <w:rsid w:val="004776B3"/>
    <w:rsid w:val="00477F42"/>
    <w:rsid w:val="00480446"/>
    <w:rsid w:val="00480AAF"/>
    <w:rsid w:val="00480BF6"/>
    <w:rsid w:val="0048142A"/>
    <w:rsid w:val="004814C4"/>
    <w:rsid w:val="00481547"/>
    <w:rsid w:val="004830A7"/>
    <w:rsid w:val="00483CE2"/>
    <w:rsid w:val="00483F2C"/>
    <w:rsid w:val="00484687"/>
    <w:rsid w:val="00484FCC"/>
    <w:rsid w:val="004850D2"/>
    <w:rsid w:val="00485E1A"/>
    <w:rsid w:val="00485FED"/>
    <w:rsid w:val="00486073"/>
    <w:rsid w:val="004868FA"/>
    <w:rsid w:val="004907BB"/>
    <w:rsid w:val="004907D9"/>
    <w:rsid w:val="00491140"/>
    <w:rsid w:val="00491675"/>
    <w:rsid w:val="00492821"/>
    <w:rsid w:val="004931F3"/>
    <w:rsid w:val="00493351"/>
    <w:rsid w:val="00493895"/>
    <w:rsid w:val="00493A7D"/>
    <w:rsid w:val="00493FDA"/>
    <w:rsid w:val="004947A7"/>
    <w:rsid w:val="00494B0F"/>
    <w:rsid w:val="00494D7D"/>
    <w:rsid w:val="00495715"/>
    <w:rsid w:val="004957E9"/>
    <w:rsid w:val="0049594C"/>
    <w:rsid w:val="00495AA8"/>
    <w:rsid w:val="00495EFD"/>
    <w:rsid w:val="004964DF"/>
    <w:rsid w:val="004966AD"/>
    <w:rsid w:val="00497DD3"/>
    <w:rsid w:val="00497E3E"/>
    <w:rsid w:val="00497F32"/>
    <w:rsid w:val="004A017B"/>
    <w:rsid w:val="004A0534"/>
    <w:rsid w:val="004A0ADF"/>
    <w:rsid w:val="004A124C"/>
    <w:rsid w:val="004A1717"/>
    <w:rsid w:val="004A2DEB"/>
    <w:rsid w:val="004A2E8F"/>
    <w:rsid w:val="004A363D"/>
    <w:rsid w:val="004A3BB1"/>
    <w:rsid w:val="004A3BD3"/>
    <w:rsid w:val="004A4310"/>
    <w:rsid w:val="004A43A8"/>
    <w:rsid w:val="004A482D"/>
    <w:rsid w:val="004A4AEB"/>
    <w:rsid w:val="004A4FC0"/>
    <w:rsid w:val="004A4FD6"/>
    <w:rsid w:val="004A52DD"/>
    <w:rsid w:val="004A5A3E"/>
    <w:rsid w:val="004A6ED0"/>
    <w:rsid w:val="004A7344"/>
    <w:rsid w:val="004B022C"/>
    <w:rsid w:val="004B04D2"/>
    <w:rsid w:val="004B16DD"/>
    <w:rsid w:val="004B172D"/>
    <w:rsid w:val="004B2913"/>
    <w:rsid w:val="004B3999"/>
    <w:rsid w:val="004B4069"/>
    <w:rsid w:val="004B45EC"/>
    <w:rsid w:val="004B4AF0"/>
    <w:rsid w:val="004B583B"/>
    <w:rsid w:val="004C0A38"/>
    <w:rsid w:val="004C1496"/>
    <w:rsid w:val="004C15A4"/>
    <w:rsid w:val="004C1B38"/>
    <w:rsid w:val="004C1EC8"/>
    <w:rsid w:val="004C2048"/>
    <w:rsid w:val="004C25B7"/>
    <w:rsid w:val="004C287D"/>
    <w:rsid w:val="004C2AA2"/>
    <w:rsid w:val="004C2DB1"/>
    <w:rsid w:val="004C32C7"/>
    <w:rsid w:val="004C33C8"/>
    <w:rsid w:val="004C3BD3"/>
    <w:rsid w:val="004C3ED4"/>
    <w:rsid w:val="004C5487"/>
    <w:rsid w:val="004C5793"/>
    <w:rsid w:val="004C5C8D"/>
    <w:rsid w:val="004C6E57"/>
    <w:rsid w:val="004C73BA"/>
    <w:rsid w:val="004C759B"/>
    <w:rsid w:val="004C76A5"/>
    <w:rsid w:val="004C78FD"/>
    <w:rsid w:val="004D05B3"/>
    <w:rsid w:val="004D1174"/>
    <w:rsid w:val="004D1438"/>
    <w:rsid w:val="004D1C8E"/>
    <w:rsid w:val="004D2490"/>
    <w:rsid w:val="004D2F5D"/>
    <w:rsid w:val="004D32AA"/>
    <w:rsid w:val="004D3692"/>
    <w:rsid w:val="004D3BC8"/>
    <w:rsid w:val="004D3CAA"/>
    <w:rsid w:val="004D45A2"/>
    <w:rsid w:val="004D4B30"/>
    <w:rsid w:val="004D4CE9"/>
    <w:rsid w:val="004D53EF"/>
    <w:rsid w:val="004D58CB"/>
    <w:rsid w:val="004D5986"/>
    <w:rsid w:val="004D5A4F"/>
    <w:rsid w:val="004D5EA9"/>
    <w:rsid w:val="004D5F1A"/>
    <w:rsid w:val="004D6020"/>
    <w:rsid w:val="004D6D6E"/>
    <w:rsid w:val="004E0283"/>
    <w:rsid w:val="004E0354"/>
    <w:rsid w:val="004E0EDD"/>
    <w:rsid w:val="004E0EF5"/>
    <w:rsid w:val="004E1DEA"/>
    <w:rsid w:val="004E2ADE"/>
    <w:rsid w:val="004E2AF6"/>
    <w:rsid w:val="004E2BD6"/>
    <w:rsid w:val="004E2DFE"/>
    <w:rsid w:val="004E3929"/>
    <w:rsid w:val="004E45DC"/>
    <w:rsid w:val="004E47F2"/>
    <w:rsid w:val="004E51D8"/>
    <w:rsid w:val="004E5CB5"/>
    <w:rsid w:val="004E5F90"/>
    <w:rsid w:val="004E62D1"/>
    <w:rsid w:val="004E681A"/>
    <w:rsid w:val="004E6877"/>
    <w:rsid w:val="004E6DB5"/>
    <w:rsid w:val="004F0384"/>
    <w:rsid w:val="004F0B43"/>
    <w:rsid w:val="004F17CC"/>
    <w:rsid w:val="004F2707"/>
    <w:rsid w:val="004F3336"/>
    <w:rsid w:val="004F373C"/>
    <w:rsid w:val="004F408E"/>
    <w:rsid w:val="004F5BF8"/>
    <w:rsid w:val="004F6213"/>
    <w:rsid w:val="004F654B"/>
    <w:rsid w:val="004F6901"/>
    <w:rsid w:val="004F758B"/>
    <w:rsid w:val="004F7A10"/>
    <w:rsid w:val="0050080C"/>
    <w:rsid w:val="00500A39"/>
    <w:rsid w:val="00500B62"/>
    <w:rsid w:val="00501033"/>
    <w:rsid w:val="00501308"/>
    <w:rsid w:val="0050225B"/>
    <w:rsid w:val="00502271"/>
    <w:rsid w:val="005022D7"/>
    <w:rsid w:val="00502A56"/>
    <w:rsid w:val="00502E84"/>
    <w:rsid w:val="005037D0"/>
    <w:rsid w:val="00503EC8"/>
    <w:rsid w:val="005052CB"/>
    <w:rsid w:val="00505E75"/>
    <w:rsid w:val="00510195"/>
    <w:rsid w:val="00511295"/>
    <w:rsid w:val="005121AE"/>
    <w:rsid w:val="0051220C"/>
    <w:rsid w:val="005127E7"/>
    <w:rsid w:val="00512897"/>
    <w:rsid w:val="00512D9D"/>
    <w:rsid w:val="0051353E"/>
    <w:rsid w:val="005138A0"/>
    <w:rsid w:val="005139FD"/>
    <w:rsid w:val="005141FD"/>
    <w:rsid w:val="00514807"/>
    <w:rsid w:val="00514AB2"/>
    <w:rsid w:val="00515564"/>
    <w:rsid w:val="00515A03"/>
    <w:rsid w:val="005167CF"/>
    <w:rsid w:val="0052083E"/>
    <w:rsid w:val="00521611"/>
    <w:rsid w:val="005226B4"/>
    <w:rsid w:val="005229EA"/>
    <w:rsid w:val="00524918"/>
    <w:rsid w:val="00524C7A"/>
    <w:rsid w:val="0052587D"/>
    <w:rsid w:val="00525D4F"/>
    <w:rsid w:val="00525FE4"/>
    <w:rsid w:val="0052634B"/>
    <w:rsid w:val="00526ED1"/>
    <w:rsid w:val="005313D2"/>
    <w:rsid w:val="00531553"/>
    <w:rsid w:val="005322AA"/>
    <w:rsid w:val="0053282F"/>
    <w:rsid w:val="00532BD4"/>
    <w:rsid w:val="00533382"/>
    <w:rsid w:val="0053413D"/>
    <w:rsid w:val="00534338"/>
    <w:rsid w:val="00535BBA"/>
    <w:rsid w:val="00535EDF"/>
    <w:rsid w:val="00535FCD"/>
    <w:rsid w:val="005362DD"/>
    <w:rsid w:val="00536553"/>
    <w:rsid w:val="00536BDC"/>
    <w:rsid w:val="005377D4"/>
    <w:rsid w:val="00537A17"/>
    <w:rsid w:val="005400F8"/>
    <w:rsid w:val="0054059A"/>
    <w:rsid w:val="005408FF"/>
    <w:rsid w:val="005409DD"/>
    <w:rsid w:val="00541078"/>
    <w:rsid w:val="005416B6"/>
    <w:rsid w:val="00541808"/>
    <w:rsid w:val="005422BD"/>
    <w:rsid w:val="005449FF"/>
    <w:rsid w:val="005453FA"/>
    <w:rsid w:val="0054571C"/>
    <w:rsid w:val="00545759"/>
    <w:rsid w:val="0054610E"/>
    <w:rsid w:val="005463C0"/>
    <w:rsid w:val="005465F2"/>
    <w:rsid w:val="005466A4"/>
    <w:rsid w:val="00546DCA"/>
    <w:rsid w:val="005478D8"/>
    <w:rsid w:val="00547CC6"/>
    <w:rsid w:val="00547D0C"/>
    <w:rsid w:val="00547F59"/>
    <w:rsid w:val="0055014D"/>
    <w:rsid w:val="00550879"/>
    <w:rsid w:val="00550F2D"/>
    <w:rsid w:val="005512FE"/>
    <w:rsid w:val="0055132B"/>
    <w:rsid w:val="00551753"/>
    <w:rsid w:val="005517FD"/>
    <w:rsid w:val="005529DF"/>
    <w:rsid w:val="00552E09"/>
    <w:rsid w:val="00552E2B"/>
    <w:rsid w:val="00553060"/>
    <w:rsid w:val="005530D4"/>
    <w:rsid w:val="00553238"/>
    <w:rsid w:val="00554E3B"/>
    <w:rsid w:val="00554F09"/>
    <w:rsid w:val="00555FF3"/>
    <w:rsid w:val="0055653C"/>
    <w:rsid w:val="0055661D"/>
    <w:rsid w:val="00556A45"/>
    <w:rsid w:val="00556BF1"/>
    <w:rsid w:val="00556D1E"/>
    <w:rsid w:val="00557379"/>
    <w:rsid w:val="00557716"/>
    <w:rsid w:val="00560E20"/>
    <w:rsid w:val="0056112E"/>
    <w:rsid w:val="00561D7A"/>
    <w:rsid w:val="00562690"/>
    <w:rsid w:val="00562D84"/>
    <w:rsid w:val="005630B8"/>
    <w:rsid w:val="00563BD7"/>
    <w:rsid w:val="00563BEB"/>
    <w:rsid w:val="00563E22"/>
    <w:rsid w:val="00563F09"/>
    <w:rsid w:val="00563FEE"/>
    <w:rsid w:val="00564083"/>
    <w:rsid w:val="00564B23"/>
    <w:rsid w:val="00564E8F"/>
    <w:rsid w:val="00565349"/>
    <w:rsid w:val="00565512"/>
    <w:rsid w:val="005655FB"/>
    <w:rsid w:val="00565F5A"/>
    <w:rsid w:val="00567EFD"/>
    <w:rsid w:val="0057063E"/>
    <w:rsid w:val="0057113F"/>
    <w:rsid w:val="0057162B"/>
    <w:rsid w:val="00571BE9"/>
    <w:rsid w:val="00571F58"/>
    <w:rsid w:val="005721CF"/>
    <w:rsid w:val="0057256E"/>
    <w:rsid w:val="0057330E"/>
    <w:rsid w:val="00573587"/>
    <w:rsid w:val="005745AB"/>
    <w:rsid w:val="00574826"/>
    <w:rsid w:val="005759AF"/>
    <w:rsid w:val="00575BE8"/>
    <w:rsid w:val="00575E1B"/>
    <w:rsid w:val="00576C0A"/>
    <w:rsid w:val="005773AE"/>
    <w:rsid w:val="005775F0"/>
    <w:rsid w:val="0057798A"/>
    <w:rsid w:val="00577F86"/>
    <w:rsid w:val="005804C4"/>
    <w:rsid w:val="0058089B"/>
    <w:rsid w:val="00580947"/>
    <w:rsid w:val="00581B21"/>
    <w:rsid w:val="00581CE8"/>
    <w:rsid w:val="00581D6B"/>
    <w:rsid w:val="00581F8E"/>
    <w:rsid w:val="00582267"/>
    <w:rsid w:val="00582461"/>
    <w:rsid w:val="00582484"/>
    <w:rsid w:val="005825EF"/>
    <w:rsid w:val="00582C01"/>
    <w:rsid w:val="005838FC"/>
    <w:rsid w:val="00584334"/>
    <w:rsid w:val="0058538D"/>
    <w:rsid w:val="00585688"/>
    <w:rsid w:val="00585F30"/>
    <w:rsid w:val="005863F1"/>
    <w:rsid w:val="00586C12"/>
    <w:rsid w:val="00586C85"/>
    <w:rsid w:val="005874C0"/>
    <w:rsid w:val="00590193"/>
    <w:rsid w:val="0059028E"/>
    <w:rsid w:val="005903C0"/>
    <w:rsid w:val="00590D08"/>
    <w:rsid w:val="005913B7"/>
    <w:rsid w:val="00591832"/>
    <w:rsid w:val="00592193"/>
    <w:rsid w:val="00593273"/>
    <w:rsid w:val="00593E6F"/>
    <w:rsid w:val="005948EA"/>
    <w:rsid w:val="00595357"/>
    <w:rsid w:val="00595C6F"/>
    <w:rsid w:val="00595E0E"/>
    <w:rsid w:val="00596B90"/>
    <w:rsid w:val="00596BDB"/>
    <w:rsid w:val="00597612"/>
    <w:rsid w:val="0059781D"/>
    <w:rsid w:val="005A00A0"/>
    <w:rsid w:val="005A07A0"/>
    <w:rsid w:val="005A0F92"/>
    <w:rsid w:val="005A1156"/>
    <w:rsid w:val="005A1523"/>
    <w:rsid w:val="005A17A6"/>
    <w:rsid w:val="005A194D"/>
    <w:rsid w:val="005A260B"/>
    <w:rsid w:val="005A3F1A"/>
    <w:rsid w:val="005A4DBA"/>
    <w:rsid w:val="005A4F48"/>
    <w:rsid w:val="005A50CA"/>
    <w:rsid w:val="005A66F4"/>
    <w:rsid w:val="005A689C"/>
    <w:rsid w:val="005A6A6F"/>
    <w:rsid w:val="005A7618"/>
    <w:rsid w:val="005A78A7"/>
    <w:rsid w:val="005B042E"/>
    <w:rsid w:val="005B0805"/>
    <w:rsid w:val="005B0DF4"/>
    <w:rsid w:val="005B1200"/>
    <w:rsid w:val="005B1FC6"/>
    <w:rsid w:val="005B2A02"/>
    <w:rsid w:val="005B3644"/>
    <w:rsid w:val="005B379B"/>
    <w:rsid w:val="005B385D"/>
    <w:rsid w:val="005B3C72"/>
    <w:rsid w:val="005B41D9"/>
    <w:rsid w:val="005B4815"/>
    <w:rsid w:val="005B4A83"/>
    <w:rsid w:val="005B4C04"/>
    <w:rsid w:val="005B4C77"/>
    <w:rsid w:val="005B521E"/>
    <w:rsid w:val="005B584C"/>
    <w:rsid w:val="005B70AC"/>
    <w:rsid w:val="005B73E0"/>
    <w:rsid w:val="005B74CE"/>
    <w:rsid w:val="005B7789"/>
    <w:rsid w:val="005B7807"/>
    <w:rsid w:val="005C15FF"/>
    <w:rsid w:val="005C2203"/>
    <w:rsid w:val="005C25B2"/>
    <w:rsid w:val="005C2D40"/>
    <w:rsid w:val="005C304C"/>
    <w:rsid w:val="005C3250"/>
    <w:rsid w:val="005C3755"/>
    <w:rsid w:val="005C3BCA"/>
    <w:rsid w:val="005C3BF4"/>
    <w:rsid w:val="005C3C2B"/>
    <w:rsid w:val="005C411C"/>
    <w:rsid w:val="005C41A8"/>
    <w:rsid w:val="005C4475"/>
    <w:rsid w:val="005C4622"/>
    <w:rsid w:val="005C4963"/>
    <w:rsid w:val="005C519D"/>
    <w:rsid w:val="005C56B4"/>
    <w:rsid w:val="005C5B58"/>
    <w:rsid w:val="005C6382"/>
    <w:rsid w:val="005C66C2"/>
    <w:rsid w:val="005C67C1"/>
    <w:rsid w:val="005C70C8"/>
    <w:rsid w:val="005D0173"/>
    <w:rsid w:val="005D031D"/>
    <w:rsid w:val="005D0540"/>
    <w:rsid w:val="005D0F32"/>
    <w:rsid w:val="005D1545"/>
    <w:rsid w:val="005D207F"/>
    <w:rsid w:val="005D2441"/>
    <w:rsid w:val="005D3033"/>
    <w:rsid w:val="005D3ABB"/>
    <w:rsid w:val="005D4659"/>
    <w:rsid w:val="005D4DD4"/>
    <w:rsid w:val="005D5D2C"/>
    <w:rsid w:val="005D5FF4"/>
    <w:rsid w:val="005D6067"/>
    <w:rsid w:val="005D62FB"/>
    <w:rsid w:val="005D65A9"/>
    <w:rsid w:val="005D67D6"/>
    <w:rsid w:val="005D723B"/>
    <w:rsid w:val="005D79F3"/>
    <w:rsid w:val="005D7D07"/>
    <w:rsid w:val="005E09BA"/>
    <w:rsid w:val="005E102C"/>
    <w:rsid w:val="005E1329"/>
    <w:rsid w:val="005E1998"/>
    <w:rsid w:val="005E231D"/>
    <w:rsid w:val="005E23AC"/>
    <w:rsid w:val="005E2524"/>
    <w:rsid w:val="005E273E"/>
    <w:rsid w:val="005E387D"/>
    <w:rsid w:val="005E41D6"/>
    <w:rsid w:val="005E4777"/>
    <w:rsid w:val="005E576C"/>
    <w:rsid w:val="005E5E30"/>
    <w:rsid w:val="005E6054"/>
    <w:rsid w:val="005E63AE"/>
    <w:rsid w:val="005E6CA0"/>
    <w:rsid w:val="005F0312"/>
    <w:rsid w:val="005F0A0B"/>
    <w:rsid w:val="005F179D"/>
    <w:rsid w:val="005F237A"/>
    <w:rsid w:val="005F2754"/>
    <w:rsid w:val="005F2931"/>
    <w:rsid w:val="005F327A"/>
    <w:rsid w:val="005F386C"/>
    <w:rsid w:val="005F3BC0"/>
    <w:rsid w:val="005F3DD6"/>
    <w:rsid w:val="005F3E85"/>
    <w:rsid w:val="005F462F"/>
    <w:rsid w:val="005F4DAE"/>
    <w:rsid w:val="005F4E99"/>
    <w:rsid w:val="005F501C"/>
    <w:rsid w:val="005F51F6"/>
    <w:rsid w:val="005F5320"/>
    <w:rsid w:val="005F59BC"/>
    <w:rsid w:val="005F5FA7"/>
    <w:rsid w:val="005F6102"/>
    <w:rsid w:val="005F61DD"/>
    <w:rsid w:val="005F6DA2"/>
    <w:rsid w:val="005F7187"/>
    <w:rsid w:val="005F745F"/>
    <w:rsid w:val="005F7727"/>
    <w:rsid w:val="005F7A30"/>
    <w:rsid w:val="005F7AE1"/>
    <w:rsid w:val="006005A6"/>
    <w:rsid w:val="0060076C"/>
    <w:rsid w:val="00600E54"/>
    <w:rsid w:val="006016CF"/>
    <w:rsid w:val="006027A3"/>
    <w:rsid w:val="00602AA8"/>
    <w:rsid w:val="006043BA"/>
    <w:rsid w:val="00604D2C"/>
    <w:rsid w:val="00605746"/>
    <w:rsid w:val="00606269"/>
    <w:rsid w:val="0060687A"/>
    <w:rsid w:val="00606AFB"/>
    <w:rsid w:val="00606C94"/>
    <w:rsid w:val="006070FB"/>
    <w:rsid w:val="00607210"/>
    <w:rsid w:val="00607C92"/>
    <w:rsid w:val="006102DE"/>
    <w:rsid w:val="0061037D"/>
    <w:rsid w:val="006115F5"/>
    <w:rsid w:val="00612775"/>
    <w:rsid w:val="00612A11"/>
    <w:rsid w:val="00612D84"/>
    <w:rsid w:val="00615A72"/>
    <w:rsid w:val="00615B53"/>
    <w:rsid w:val="00615E4C"/>
    <w:rsid w:val="00615F42"/>
    <w:rsid w:val="00616144"/>
    <w:rsid w:val="00616156"/>
    <w:rsid w:val="0061633E"/>
    <w:rsid w:val="00616A11"/>
    <w:rsid w:val="00616ED2"/>
    <w:rsid w:val="00617271"/>
    <w:rsid w:val="0061735F"/>
    <w:rsid w:val="00617556"/>
    <w:rsid w:val="00617B27"/>
    <w:rsid w:val="00617E2D"/>
    <w:rsid w:val="006202A7"/>
    <w:rsid w:val="006204DA"/>
    <w:rsid w:val="00620AB5"/>
    <w:rsid w:val="006212E6"/>
    <w:rsid w:val="00621846"/>
    <w:rsid w:val="006221B8"/>
    <w:rsid w:val="0062220D"/>
    <w:rsid w:val="00622561"/>
    <w:rsid w:val="00622AA1"/>
    <w:rsid w:val="00622DEC"/>
    <w:rsid w:val="0062404B"/>
    <w:rsid w:val="0062480A"/>
    <w:rsid w:val="00624A7F"/>
    <w:rsid w:val="00624F83"/>
    <w:rsid w:val="0062539E"/>
    <w:rsid w:val="0062642D"/>
    <w:rsid w:val="0062674F"/>
    <w:rsid w:val="006268C3"/>
    <w:rsid w:val="00627021"/>
    <w:rsid w:val="006274E1"/>
    <w:rsid w:val="0063180E"/>
    <w:rsid w:val="00631C6F"/>
    <w:rsid w:val="006325DF"/>
    <w:rsid w:val="00632EB8"/>
    <w:rsid w:val="00632F7C"/>
    <w:rsid w:val="006335D5"/>
    <w:rsid w:val="00633830"/>
    <w:rsid w:val="006338F7"/>
    <w:rsid w:val="0063452C"/>
    <w:rsid w:val="006347BE"/>
    <w:rsid w:val="0063520C"/>
    <w:rsid w:val="00635CD5"/>
    <w:rsid w:val="00635D62"/>
    <w:rsid w:val="0063621B"/>
    <w:rsid w:val="006366D4"/>
    <w:rsid w:val="00636F50"/>
    <w:rsid w:val="00637284"/>
    <w:rsid w:val="00637D90"/>
    <w:rsid w:val="00640C33"/>
    <w:rsid w:val="00640FF2"/>
    <w:rsid w:val="00641899"/>
    <w:rsid w:val="0064287A"/>
    <w:rsid w:val="006432CB"/>
    <w:rsid w:val="0064527C"/>
    <w:rsid w:val="006455AD"/>
    <w:rsid w:val="00646386"/>
    <w:rsid w:val="00646D22"/>
    <w:rsid w:val="00646E23"/>
    <w:rsid w:val="00647856"/>
    <w:rsid w:val="00647C92"/>
    <w:rsid w:val="0065031F"/>
    <w:rsid w:val="00650738"/>
    <w:rsid w:val="00650CD7"/>
    <w:rsid w:val="00652222"/>
    <w:rsid w:val="00652818"/>
    <w:rsid w:val="00652BB4"/>
    <w:rsid w:val="00652E21"/>
    <w:rsid w:val="006548B8"/>
    <w:rsid w:val="0065585F"/>
    <w:rsid w:val="00655F71"/>
    <w:rsid w:val="00656961"/>
    <w:rsid w:val="00656B7E"/>
    <w:rsid w:val="0065771F"/>
    <w:rsid w:val="0066026C"/>
    <w:rsid w:val="00661E69"/>
    <w:rsid w:val="006621E5"/>
    <w:rsid w:val="00663442"/>
    <w:rsid w:val="00663657"/>
    <w:rsid w:val="00663C4F"/>
    <w:rsid w:val="00664567"/>
    <w:rsid w:val="006645BB"/>
    <w:rsid w:val="00664A0E"/>
    <w:rsid w:val="00664D24"/>
    <w:rsid w:val="00664DC0"/>
    <w:rsid w:val="00665672"/>
    <w:rsid w:val="00666495"/>
    <w:rsid w:val="00666DCA"/>
    <w:rsid w:val="00666FB3"/>
    <w:rsid w:val="006676B0"/>
    <w:rsid w:val="006700B2"/>
    <w:rsid w:val="00671DA0"/>
    <w:rsid w:val="00672F55"/>
    <w:rsid w:val="00672F76"/>
    <w:rsid w:val="00673511"/>
    <w:rsid w:val="00673642"/>
    <w:rsid w:val="00673AEF"/>
    <w:rsid w:val="00673EB8"/>
    <w:rsid w:val="006744B0"/>
    <w:rsid w:val="00674982"/>
    <w:rsid w:val="00674FF2"/>
    <w:rsid w:val="006750E2"/>
    <w:rsid w:val="00675A11"/>
    <w:rsid w:val="00676472"/>
    <w:rsid w:val="00676B98"/>
    <w:rsid w:val="00680D51"/>
    <w:rsid w:val="00680F28"/>
    <w:rsid w:val="00681B87"/>
    <w:rsid w:val="00681C83"/>
    <w:rsid w:val="00681D82"/>
    <w:rsid w:val="00682243"/>
    <w:rsid w:val="0068234C"/>
    <w:rsid w:val="0068285B"/>
    <w:rsid w:val="00682A34"/>
    <w:rsid w:val="00682FEA"/>
    <w:rsid w:val="0068404C"/>
    <w:rsid w:val="006840FC"/>
    <w:rsid w:val="006847C5"/>
    <w:rsid w:val="00684871"/>
    <w:rsid w:val="00684BE4"/>
    <w:rsid w:val="00684F20"/>
    <w:rsid w:val="00684FE1"/>
    <w:rsid w:val="00685420"/>
    <w:rsid w:val="006855EE"/>
    <w:rsid w:val="0068602F"/>
    <w:rsid w:val="00686898"/>
    <w:rsid w:val="00686A98"/>
    <w:rsid w:val="00686CF7"/>
    <w:rsid w:val="00687A4F"/>
    <w:rsid w:val="00687D48"/>
    <w:rsid w:val="006909F8"/>
    <w:rsid w:val="00690CC4"/>
    <w:rsid w:val="00690DAF"/>
    <w:rsid w:val="0069206B"/>
    <w:rsid w:val="00692D27"/>
    <w:rsid w:val="006934D4"/>
    <w:rsid w:val="00694594"/>
    <w:rsid w:val="0069486E"/>
    <w:rsid w:val="006957FD"/>
    <w:rsid w:val="00695A31"/>
    <w:rsid w:val="00695C99"/>
    <w:rsid w:val="006960EB"/>
    <w:rsid w:val="0069760A"/>
    <w:rsid w:val="006976BB"/>
    <w:rsid w:val="00697969"/>
    <w:rsid w:val="00697C52"/>
    <w:rsid w:val="006A005B"/>
    <w:rsid w:val="006A00A9"/>
    <w:rsid w:val="006A2419"/>
    <w:rsid w:val="006A2890"/>
    <w:rsid w:val="006A48EE"/>
    <w:rsid w:val="006A4948"/>
    <w:rsid w:val="006A4E4E"/>
    <w:rsid w:val="006A5F7C"/>
    <w:rsid w:val="006A6565"/>
    <w:rsid w:val="006A79AB"/>
    <w:rsid w:val="006A7E85"/>
    <w:rsid w:val="006B05F9"/>
    <w:rsid w:val="006B13FF"/>
    <w:rsid w:val="006B1BCA"/>
    <w:rsid w:val="006B25A0"/>
    <w:rsid w:val="006B2761"/>
    <w:rsid w:val="006B30AD"/>
    <w:rsid w:val="006B3281"/>
    <w:rsid w:val="006B4171"/>
    <w:rsid w:val="006B4DEB"/>
    <w:rsid w:val="006B581B"/>
    <w:rsid w:val="006B5E4A"/>
    <w:rsid w:val="006B685D"/>
    <w:rsid w:val="006B6AD1"/>
    <w:rsid w:val="006B6CF2"/>
    <w:rsid w:val="006B71B6"/>
    <w:rsid w:val="006C0537"/>
    <w:rsid w:val="006C0608"/>
    <w:rsid w:val="006C0725"/>
    <w:rsid w:val="006C0E9F"/>
    <w:rsid w:val="006C11D9"/>
    <w:rsid w:val="006C1817"/>
    <w:rsid w:val="006C2664"/>
    <w:rsid w:val="006C2990"/>
    <w:rsid w:val="006C29BB"/>
    <w:rsid w:val="006C2BF4"/>
    <w:rsid w:val="006C2F01"/>
    <w:rsid w:val="006C3E1F"/>
    <w:rsid w:val="006C3FC5"/>
    <w:rsid w:val="006C4114"/>
    <w:rsid w:val="006C468D"/>
    <w:rsid w:val="006C5A9E"/>
    <w:rsid w:val="006C5D57"/>
    <w:rsid w:val="006C5FF3"/>
    <w:rsid w:val="006C60CB"/>
    <w:rsid w:val="006C650B"/>
    <w:rsid w:val="006C6817"/>
    <w:rsid w:val="006C6938"/>
    <w:rsid w:val="006C69DB"/>
    <w:rsid w:val="006C6A42"/>
    <w:rsid w:val="006C6B19"/>
    <w:rsid w:val="006C6E80"/>
    <w:rsid w:val="006C7027"/>
    <w:rsid w:val="006C7725"/>
    <w:rsid w:val="006D1134"/>
    <w:rsid w:val="006D19AE"/>
    <w:rsid w:val="006D1C09"/>
    <w:rsid w:val="006D277E"/>
    <w:rsid w:val="006D28BD"/>
    <w:rsid w:val="006D35D1"/>
    <w:rsid w:val="006D3799"/>
    <w:rsid w:val="006D42F4"/>
    <w:rsid w:val="006D4C62"/>
    <w:rsid w:val="006D5259"/>
    <w:rsid w:val="006D52EC"/>
    <w:rsid w:val="006D5C75"/>
    <w:rsid w:val="006D6480"/>
    <w:rsid w:val="006D76C6"/>
    <w:rsid w:val="006D77F8"/>
    <w:rsid w:val="006E0067"/>
    <w:rsid w:val="006E0BA4"/>
    <w:rsid w:val="006E0C3E"/>
    <w:rsid w:val="006E1090"/>
    <w:rsid w:val="006E214E"/>
    <w:rsid w:val="006E2F21"/>
    <w:rsid w:val="006E42AC"/>
    <w:rsid w:val="006E4D88"/>
    <w:rsid w:val="006E4F11"/>
    <w:rsid w:val="006E504C"/>
    <w:rsid w:val="006E6758"/>
    <w:rsid w:val="006E693A"/>
    <w:rsid w:val="006F0ECE"/>
    <w:rsid w:val="006F151D"/>
    <w:rsid w:val="006F1961"/>
    <w:rsid w:val="006F20BA"/>
    <w:rsid w:val="006F2E83"/>
    <w:rsid w:val="006F3417"/>
    <w:rsid w:val="006F3F69"/>
    <w:rsid w:val="006F462D"/>
    <w:rsid w:val="006F4FE2"/>
    <w:rsid w:val="006F5B9A"/>
    <w:rsid w:val="006F5FBC"/>
    <w:rsid w:val="006F655F"/>
    <w:rsid w:val="006F667F"/>
    <w:rsid w:val="006F74B2"/>
    <w:rsid w:val="0070021B"/>
    <w:rsid w:val="00700DDE"/>
    <w:rsid w:val="007012B8"/>
    <w:rsid w:val="00702396"/>
    <w:rsid w:val="00702D4B"/>
    <w:rsid w:val="007030FE"/>
    <w:rsid w:val="00703420"/>
    <w:rsid w:val="00703907"/>
    <w:rsid w:val="007040AA"/>
    <w:rsid w:val="007050C7"/>
    <w:rsid w:val="00705573"/>
    <w:rsid w:val="0070588C"/>
    <w:rsid w:val="007058D8"/>
    <w:rsid w:val="00706A27"/>
    <w:rsid w:val="00706F07"/>
    <w:rsid w:val="00707E4A"/>
    <w:rsid w:val="007102F6"/>
    <w:rsid w:val="007104C2"/>
    <w:rsid w:val="007109D7"/>
    <w:rsid w:val="00710DCE"/>
    <w:rsid w:val="00711621"/>
    <w:rsid w:val="00711C27"/>
    <w:rsid w:val="00711D8F"/>
    <w:rsid w:val="00713FF9"/>
    <w:rsid w:val="00714F53"/>
    <w:rsid w:val="00714F84"/>
    <w:rsid w:val="007150C6"/>
    <w:rsid w:val="007153BF"/>
    <w:rsid w:val="00715624"/>
    <w:rsid w:val="00715C07"/>
    <w:rsid w:val="007161EF"/>
    <w:rsid w:val="0071628D"/>
    <w:rsid w:val="007165F3"/>
    <w:rsid w:val="0071755D"/>
    <w:rsid w:val="00717569"/>
    <w:rsid w:val="00717B10"/>
    <w:rsid w:val="00717FC5"/>
    <w:rsid w:val="00720C07"/>
    <w:rsid w:val="007215AD"/>
    <w:rsid w:val="007217CE"/>
    <w:rsid w:val="00721E1C"/>
    <w:rsid w:val="007222F8"/>
    <w:rsid w:val="0072283D"/>
    <w:rsid w:val="00723890"/>
    <w:rsid w:val="007254E8"/>
    <w:rsid w:val="00725FF3"/>
    <w:rsid w:val="007266D1"/>
    <w:rsid w:val="00727173"/>
    <w:rsid w:val="0072745B"/>
    <w:rsid w:val="00730385"/>
    <w:rsid w:val="007303DB"/>
    <w:rsid w:val="00731036"/>
    <w:rsid w:val="007320C8"/>
    <w:rsid w:val="007321E0"/>
    <w:rsid w:val="0073319F"/>
    <w:rsid w:val="007331FA"/>
    <w:rsid w:val="007340FF"/>
    <w:rsid w:val="00735F3A"/>
    <w:rsid w:val="00736EBE"/>
    <w:rsid w:val="00736F0B"/>
    <w:rsid w:val="00736F70"/>
    <w:rsid w:val="00737849"/>
    <w:rsid w:val="00740753"/>
    <w:rsid w:val="00741607"/>
    <w:rsid w:val="007421DB"/>
    <w:rsid w:val="0074292C"/>
    <w:rsid w:val="00742E28"/>
    <w:rsid w:val="00743797"/>
    <w:rsid w:val="00743B19"/>
    <w:rsid w:val="007440F8"/>
    <w:rsid w:val="00744482"/>
    <w:rsid w:val="0074455A"/>
    <w:rsid w:val="00744F09"/>
    <w:rsid w:val="00745253"/>
    <w:rsid w:val="007461F4"/>
    <w:rsid w:val="00746938"/>
    <w:rsid w:val="00746C9B"/>
    <w:rsid w:val="00747AB8"/>
    <w:rsid w:val="00747FFC"/>
    <w:rsid w:val="00750FBA"/>
    <w:rsid w:val="00751A84"/>
    <w:rsid w:val="00751CE9"/>
    <w:rsid w:val="00751F00"/>
    <w:rsid w:val="00752A7B"/>
    <w:rsid w:val="00752AD1"/>
    <w:rsid w:val="0075475D"/>
    <w:rsid w:val="00755C99"/>
    <w:rsid w:val="00755DD7"/>
    <w:rsid w:val="007567C6"/>
    <w:rsid w:val="00757611"/>
    <w:rsid w:val="00757862"/>
    <w:rsid w:val="0076032B"/>
    <w:rsid w:val="007603FF"/>
    <w:rsid w:val="00760A63"/>
    <w:rsid w:val="00760ABF"/>
    <w:rsid w:val="00761129"/>
    <w:rsid w:val="007611A2"/>
    <w:rsid w:val="007620B8"/>
    <w:rsid w:val="007626B8"/>
    <w:rsid w:val="00763197"/>
    <w:rsid w:val="007638E7"/>
    <w:rsid w:val="007640A8"/>
    <w:rsid w:val="00765366"/>
    <w:rsid w:val="00765BC9"/>
    <w:rsid w:val="00765E2A"/>
    <w:rsid w:val="00766569"/>
    <w:rsid w:val="007668FB"/>
    <w:rsid w:val="00767827"/>
    <w:rsid w:val="00770322"/>
    <w:rsid w:val="00770506"/>
    <w:rsid w:val="007719D3"/>
    <w:rsid w:val="00771C15"/>
    <w:rsid w:val="00772221"/>
    <w:rsid w:val="00772A28"/>
    <w:rsid w:val="00774227"/>
    <w:rsid w:val="00774579"/>
    <w:rsid w:val="007745F6"/>
    <w:rsid w:val="00774805"/>
    <w:rsid w:val="00774E76"/>
    <w:rsid w:val="0077583A"/>
    <w:rsid w:val="00776507"/>
    <w:rsid w:val="0077709F"/>
    <w:rsid w:val="00777119"/>
    <w:rsid w:val="007771C2"/>
    <w:rsid w:val="007771FA"/>
    <w:rsid w:val="00777390"/>
    <w:rsid w:val="007774C3"/>
    <w:rsid w:val="007777A7"/>
    <w:rsid w:val="007814C9"/>
    <w:rsid w:val="00782503"/>
    <w:rsid w:val="00782830"/>
    <w:rsid w:val="00782FF9"/>
    <w:rsid w:val="00783492"/>
    <w:rsid w:val="0078374F"/>
    <w:rsid w:val="0078422D"/>
    <w:rsid w:val="00784650"/>
    <w:rsid w:val="00784B42"/>
    <w:rsid w:val="00786318"/>
    <w:rsid w:val="00786390"/>
    <w:rsid w:val="00786803"/>
    <w:rsid w:val="00787191"/>
    <w:rsid w:val="00787729"/>
    <w:rsid w:val="00787F69"/>
    <w:rsid w:val="0079022A"/>
    <w:rsid w:val="0079078A"/>
    <w:rsid w:val="00790A4A"/>
    <w:rsid w:val="00790ECD"/>
    <w:rsid w:val="007910E8"/>
    <w:rsid w:val="007913A6"/>
    <w:rsid w:val="007917EF"/>
    <w:rsid w:val="007932B5"/>
    <w:rsid w:val="00794491"/>
    <w:rsid w:val="00795D3E"/>
    <w:rsid w:val="0079712A"/>
    <w:rsid w:val="0079722E"/>
    <w:rsid w:val="00797997"/>
    <w:rsid w:val="007A062A"/>
    <w:rsid w:val="007A0E0E"/>
    <w:rsid w:val="007A1349"/>
    <w:rsid w:val="007A1654"/>
    <w:rsid w:val="007A22F9"/>
    <w:rsid w:val="007A2400"/>
    <w:rsid w:val="007A29CA"/>
    <w:rsid w:val="007A31B7"/>
    <w:rsid w:val="007A3C4B"/>
    <w:rsid w:val="007A4A4C"/>
    <w:rsid w:val="007A63FF"/>
    <w:rsid w:val="007A64BA"/>
    <w:rsid w:val="007A6BB7"/>
    <w:rsid w:val="007A71EB"/>
    <w:rsid w:val="007A7388"/>
    <w:rsid w:val="007A748F"/>
    <w:rsid w:val="007A7522"/>
    <w:rsid w:val="007A7591"/>
    <w:rsid w:val="007B01E8"/>
    <w:rsid w:val="007B0677"/>
    <w:rsid w:val="007B0B30"/>
    <w:rsid w:val="007B100C"/>
    <w:rsid w:val="007B1430"/>
    <w:rsid w:val="007B1AC1"/>
    <w:rsid w:val="007B46B9"/>
    <w:rsid w:val="007B498C"/>
    <w:rsid w:val="007B4E02"/>
    <w:rsid w:val="007B553A"/>
    <w:rsid w:val="007B589C"/>
    <w:rsid w:val="007B6245"/>
    <w:rsid w:val="007B6924"/>
    <w:rsid w:val="007C05E5"/>
    <w:rsid w:val="007C088E"/>
    <w:rsid w:val="007C0E64"/>
    <w:rsid w:val="007C1C1D"/>
    <w:rsid w:val="007C1D16"/>
    <w:rsid w:val="007C1E01"/>
    <w:rsid w:val="007C2EE5"/>
    <w:rsid w:val="007C34C4"/>
    <w:rsid w:val="007C3C40"/>
    <w:rsid w:val="007C3C66"/>
    <w:rsid w:val="007C3CD1"/>
    <w:rsid w:val="007C3F78"/>
    <w:rsid w:val="007C4176"/>
    <w:rsid w:val="007C42CA"/>
    <w:rsid w:val="007C43B0"/>
    <w:rsid w:val="007C48B9"/>
    <w:rsid w:val="007C49AC"/>
    <w:rsid w:val="007C58C2"/>
    <w:rsid w:val="007C5D7D"/>
    <w:rsid w:val="007C5E0B"/>
    <w:rsid w:val="007C74D0"/>
    <w:rsid w:val="007C7C81"/>
    <w:rsid w:val="007D0244"/>
    <w:rsid w:val="007D05BC"/>
    <w:rsid w:val="007D0987"/>
    <w:rsid w:val="007D0B38"/>
    <w:rsid w:val="007D15FE"/>
    <w:rsid w:val="007D1797"/>
    <w:rsid w:val="007D18DF"/>
    <w:rsid w:val="007D1BDA"/>
    <w:rsid w:val="007D251A"/>
    <w:rsid w:val="007D2567"/>
    <w:rsid w:val="007D2B98"/>
    <w:rsid w:val="007D2F7E"/>
    <w:rsid w:val="007D3126"/>
    <w:rsid w:val="007D3608"/>
    <w:rsid w:val="007D39CE"/>
    <w:rsid w:val="007D3B53"/>
    <w:rsid w:val="007D3CA1"/>
    <w:rsid w:val="007D4146"/>
    <w:rsid w:val="007D4CAA"/>
    <w:rsid w:val="007D5C02"/>
    <w:rsid w:val="007D6050"/>
    <w:rsid w:val="007D633C"/>
    <w:rsid w:val="007D67BC"/>
    <w:rsid w:val="007D7EE3"/>
    <w:rsid w:val="007E0113"/>
    <w:rsid w:val="007E1305"/>
    <w:rsid w:val="007E146D"/>
    <w:rsid w:val="007E1669"/>
    <w:rsid w:val="007E207B"/>
    <w:rsid w:val="007E22DF"/>
    <w:rsid w:val="007E24CE"/>
    <w:rsid w:val="007E2903"/>
    <w:rsid w:val="007E2953"/>
    <w:rsid w:val="007E3802"/>
    <w:rsid w:val="007E3BF4"/>
    <w:rsid w:val="007E3F8F"/>
    <w:rsid w:val="007E467D"/>
    <w:rsid w:val="007E48AB"/>
    <w:rsid w:val="007E490A"/>
    <w:rsid w:val="007E4F1C"/>
    <w:rsid w:val="007E519A"/>
    <w:rsid w:val="007E54C6"/>
    <w:rsid w:val="007E5640"/>
    <w:rsid w:val="007E58AE"/>
    <w:rsid w:val="007E5DD4"/>
    <w:rsid w:val="007E6100"/>
    <w:rsid w:val="007E6185"/>
    <w:rsid w:val="007E6C0C"/>
    <w:rsid w:val="007E6F1A"/>
    <w:rsid w:val="007E755D"/>
    <w:rsid w:val="007E7613"/>
    <w:rsid w:val="007F0A88"/>
    <w:rsid w:val="007F120A"/>
    <w:rsid w:val="007F1419"/>
    <w:rsid w:val="007F196A"/>
    <w:rsid w:val="007F1C88"/>
    <w:rsid w:val="007F1CE1"/>
    <w:rsid w:val="007F2456"/>
    <w:rsid w:val="007F2B6B"/>
    <w:rsid w:val="007F2E81"/>
    <w:rsid w:val="007F352D"/>
    <w:rsid w:val="007F391B"/>
    <w:rsid w:val="007F4097"/>
    <w:rsid w:val="007F40EC"/>
    <w:rsid w:val="007F42B0"/>
    <w:rsid w:val="007F4B00"/>
    <w:rsid w:val="007F5510"/>
    <w:rsid w:val="007F55F1"/>
    <w:rsid w:val="007F55F5"/>
    <w:rsid w:val="007F75E3"/>
    <w:rsid w:val="007F7606"/>
    <w:rsid w:val="00800204"/>
    <w:rsid w:val="00800516"/>
    <w:rsid w:val="00800C1B"/>
    <w:rsid w:val="00802046"/>
    <w:rsid w:val="0080259A"/>
    <w:rsid w:val="0080282E"/>
    <w:rsid w:val="008033FE"/>
    <w:rsid w:val="00803753"/>
    <w:rsid w:val="008038A2"/>
    <w:rsid w:val="008046B3"/>
    <w:rsid w:val="0080552E"/>
    <w:rsid w:val="00805B7A"/>
    <w:rsid w:val="00811613"/>
    <w:rsid w:val="00811CF7"/>
    <w:rsid w:val="008121AA"/>
    <w:rsid w:val="00812390"/>
    <w:rsid w:val="00812617"/>
    <w:rsid w:val="008126B8"/>
    <w:rsid w:val="00812CBE"/>
    <w:rsid w:val="00813203"/>
    <w:rsid w:val="0081324E"/>
    <w:rsid w:val="00813437"/>
    <w:rsid w:val="0081347E"/>
    <w:rsid w:val="00813622"/>
    <w:rsid w:val="00813BFC"/>
    <w:rsid w:val="00813EF6"/>
    <w:rsid w:val="008149BA"/>
    <w:rsid w:val="00814CF6"/>
    <w:rsid w:val="00814E79"/>
    <w:rsid w:val="00815346"/>
    <w:rsid w:val="00815EC6"/>
    <w:rsid w:val="00816C6F"/>
    <w:rsid w:val="008203C0"/>
    <w:rsid w:val="00820829"/>
    <w:rsid w:val="00820E5C"/>
    <w:rsid w:val="00821266"/>
    <w:rsid w:val="0082174C"/>
    <w:rsid w:val="00821F6C"/>
    <w:rsid w:val="008222AC"/>
    <w:rsid w:val="00822D03"/>
    <w:rsid w:val="008240FA"/>
    <w:rsid w:val="00824D16"/>
    <w:rsid w:val="00825348"/>
    <w:rsid w:val="0082581A"/>
    <w:rsid w:val="0082603F"/>
    <w:rsid w:val="008269E4"/>
    <w:rsid w:val="008273C3"/>
    <w:rsid w:val="00827E24"/>
    <w:rsid w:val="00830DD9"/>
    <w:rsid w:val="00831872"/>
    <w:rsid w:val="00831FC3"/>
    <w:rsid w:val="0083257E"/>
    <w:rsid w:val="008329A2"/>
    <w:rsid w:val="00832DBA"/>
    <w:rsid w:val="0083314C"/>
    <w:rsid w:val="00833A3E"/>
    <w:rsid w:val="008341ED"/>
    <w:rsid w:val="00834976"/>
    <w:rsid w:val="0083568E"/>
    <w:rsid w:val="008363E6"/>
    <w:rsid w:val="008379F2"/>
    <w:rsid w:val="00837EDF"/>
    <w:rsid w:val="0084031C"/>
    <w:rsid w:val="0084044E"/>
    <w:rsid w:val="0084049B"/>
    <w:rsid w:val="008416B4"/>
    <w:rsid w:val="00841975"/>
    <w:rsid w:val="00841FBE"/>
    <w:rsid w:val="0084279E"/>
    <w:rsid w:val="00842B22"/>
    <w:rsid w:val="00842C6A"/>
    <w:rsid w:val="00843327"/>
    <w:rsid w:val="00843DF1"/>
    <w:rsid w:val="00843FA7"/>
    <w:rsid w:val="0084436D"/>
    <w:rsid w:val="00845BB7"/>
    <w:rsid w:val="008465AF"/>
    <w:rsid w:val="008467AB"/>
    <w:rsid w:val="00847737"/>
    <w:rsid w:val="00847833"/>
    <w:rsid w:val="0085093F"/>
    <w:rsid w:val="00851238"/>
    <w:rsid w:val="00851C2A"/>
    <w:rsid w:val="00851D0C"/>
    <w:rsid w:val="00851DC3"/>
    <w:rsid w:val="00852210"/>
    <w:rsid w:val="00853140"/>
    <w:rsid w:val="00853A11"/>
    <w:rsid w:val="008545B9"/>
    <w:rsid w:val="008551B0"/>
    <w:rsid w:val="008560E8"/>
    <w:rsid w:val="00856754"/>
    <w:rsid w:val="008567C9"/>
    <w:rsid w:val="0085777C"/>
    <w:rsid w:val="00857C61"/>
    <w:rsid w:val="00857E67"/>
    <w:rsid w:val="0086013E"/>
    <w:rsid w:val="00860D6A"/>
    <w:rsid w:val="00861261"/>
    <w:rsid w:val="008615D8"/>
    <w:rsid w:val="00861E3F"/>
    <w:rsid w:val="0086211F"/>
    <w:rsid w:val="008621B6"/>
    <w:rsid w:val="008630B0"/>
    <w:rsid w:val="00863F1A"/>
    <w:rsid w:val="0086462C"/>
    <w:rsid w:val="00864ECC"/>
    <w:rsid w:val="00866402"/>
    <w:rsid w:val="008664C0"/>
    <w:rsid w:val="0086705E"/>
    <w:rsid w:val="00867315"/>
    <w:rsid w:val="00867AC8"/>
    <w:rsid w:val="00870767"/>
    <w:rsid w:val="0087180F"/>
    <w:rsid w:val="008724F0"/>
    <w:rsid w:val="008728F6"/>
    <w:rsid w:val="0087343A"/>
    <w:rsid w:val="00873821"/>
    <w:rsid w:val="0087383B"/>
    <w:rsid w:val="00873D97"/>
    <w:rsid w:val="00873EAF"/>
    <w:rsid w:val="00873FC6"/>
    <w:rsid w:val="00876A46"/>
    <w:rsid w:val="00876B67"/>
    <w:rsid w:val="008770EC"/>
    <w:rsid w:val="00877106"/>
    <w:rsid w:val="00877DC8"/>
    <w:rsid w:val="008808A6"/>
    <w:rsid w:val="00880B4B"/>
    <w:rsid w:val="00880DAA"/>
    <w:rsid w:val="008814BA"/>
    <w:rsid w:val="00881C61"/>
    <w:rsid w:val="008827CC"/>
    <w:rsid w:val="008841A8"/>
    <w:rsid w:val="00885ACA"/>
    <w:rsid w:val="008862B9"/>
    <w:rsid w:val="0088641A"/>
    <w:rsid w:val="00886903"/>
    <w:rsid w:val="008872DE"/>
    <w:rsid w:val="00890040"/>
    <w:rsid w:val="00890925"/>
    <w:rsid w:val="00890F72"/>
    <w:rsid w:val="0089247E"/>
    <w:rsid w:val="00892B50"/>
    <w:rsid w:val="00893896"/>
    <w:rsid w:val="008940E5"/>
    <w:rsid w:val="00894C8E"/>
    <w:rsid w:val="00895718"/>
    <w:rsid w:val="00896409"/>
    <w:rsid w:val="00896E6E"/>
    <w:rsid w:val="00897C8D"/>
    <w:rsid w:val="00897D04"/>
    <w:rsid w:val="00897FCA"/>
    <w:rsid w:val="008A0176"/>
    <w:rsid w:val="008A03BD"/>
    <w:rsid w:val="008A0E15"/>
    <w:rsid w:val="008A160F"/>
    <w:rsid w:val="008A1A05"/>
    <w:rsid w:val="008A1FA3"/>
    <w:rsid w:val="008A2692"/>
    <w:rsid w:val="008A26DF"/>
    <w:rsid w:val="008A2FF6"/>
    <w:rsid w:val="008A31C1"/>
    <w:rsid w:val="008A3328"/>
    <w:rsid w:val="008A34C3"/>
    <w:rsid w:val="008A49CA"/>
    <w:rsid w:val="008A49F7"/>
    <w:rsid w:val="008A4CC0"/>
    <w:rsid w:val="008A53A8"/>
    <w:rsid w:val="008A5F30"/>
    <w:rsid w:val="008A66B6"/>
    <w:rsid w:val="008A7641"/>
    <w:rsid w:val="008A7E7C"/>
    <w:rsid w:val="008B0836"/>
    <w:rsid w:val="008B0AE2"/>
    <w:rsid w:val="008B175D"/>
    <w:rsid w:val="008B1AAA"/>
    <w:rsid w:val="008B2046"/>
    <w:rsid w:val="008B48D4"/>
    <w:rsid w:val="008B4910"/>
    <w:rsid w:val="008B4BAA"/>
    <w:rsid w:val="008B593C"/>
    <w:rsid w:val="008B5D16"/>
    <w:rsid w:val="008B6763"/>
    <w:rsid w:val="008B72E2"/>
    <w:rsid w:val="008B797C"/>
    <w:rsid w:val="008B7A99"/>
    <w:rsid w:val="008B7B0C"/>
    <w:rsid w:val="008B7EC5"/>
    <w:rsid w:val="008C0614"/>
    <w:rsid w:val="008C072D"/>
    <w:rsid w:val="008C14D7"/>
    <w:rsid w:val="008C1CDF"/>
    <w:rsid w:val="008C1F91"/>
    <w:rsid w:val="008C2E16"/>
    <w:rsid w:val="008C2F7F"/>
    <w:rsid w:val="008C3C42"/>
    <w:rsid w:val="008C3F00"/>
    <w:rsid w:val="008C4A3A"/>
    <w:rsid w:val="008C51DA"/>
    <w:rsid w:val="008C54C3"/>
    <w:rsid w:val="008C5754"/>
    <w:rsid w:val="008C5896"/>
    <w:rsid w:val="008C6B5E"/>
    <w:rsid w:val="008C6C35"/>
    <w:rsid w:val="008C757D"/>
    <w:rsid w:val="008C7E2D"/>
    <w:rsid w:val="008C7E5A"/>
    <w:rsid w:val="008D0234"/>
    <w:rsid w:val="008D027C"/>
    <w:rsid w:val="008D0A0E"/>
    <w:rsid w:val="008D2181"/>
    <w:rsid w:val="008D2BCC"/>
    <w:rsid w:val="008D381A"/>
    <w:rsid w:val="008D49BB"/>
    <w:rsid w:val="008D4C1F"/>
    <w:rsid w:val="008D562A"/>
    <w:rsid w:val="008D5634"/>
    <w:rsid w:val="008D5A72"/>
    <w:rsid w:val="008D5F5E"/>
    <w:rsid w:val="008D6124"/>
    <w:rsid w:val="008D655F"/>
    <w:rsid w:val="008D6D79"/>
    <w:rsid w:val="008D7339"/>
    <w:rsid w:val="008D77C5"/>
    <w:rsid w:val="008D7A23"/>
    <w:rsid w:val="008D7FE9"/>
    <w:rsid w:val="008E18AD"/>
    <w:rsid w:val="008E1AA9"/>
    <w:rsid w:val="008E1CBC"/>
    <w:rsid w:val="008E2B4A"/>
    <w:rsid w:val="008E3663"/>
    <w:rsid w:val="008E39E1"/>
    <w:rsid w:val="008E3FC2"/>
    <w:rsid w:val="008E4736"/>
    <w:rsid w:val="008E4E1E"/>
    <w:rsid w:val="008E56BF"/>
    <w:rsid w:val="008E58FF"/>
    <w:rsid w:val="008E5DA3"/>
    <w:rsid w:val="008E5E28"/>
    <w:rsid w:val="008E5FBA"/>
    <w:rsid w:val="008E6938"/>
    <w:rsid w:val="008E6E48"/>
    <w:rsid w:val="008E71A5"/>
    <w:rsid w:val="008F0D51"/>
    <w:rsid w:val="008F2934"/>
    <w:rsid w:val="008F2E27"/>
    <w:rsid w:val="008F3AF1"/>
    <w:rsid w:val="008F44BC"/>
    <w:rsid w:val="008F46EE"/>
    <w:rsid w:val="008F4798"/>
    <w:rsid w:val="008F4DAA"/>
    <w:rsid w:val="008F7230"/>
    <w:rsid w:val="008F780B"/>
    <w:rsid w:val="008F7D80"/>
    <w:rsid w:val="008F7F32"/>
    <w:rsid w:val="00901331"/>
    <w:rsid w:val="0090153E"/>
    <w:rsid w:val="00902397"/>
    <w:rsid w:val="00902664"/>
    <w:rsid w:val="0090292C"/>
    <w:rsid w:val="00902E90"/>
    <w:rsid w:val="00903359"/>
    <w:rsid w:val="00903D51"/>
    <w:rsid w:val="00904187"/>
    <w:rsid w:val="0090450E"/>
    <w:rsid w:val="00904871"/>
    <w:rsid w:val="00904978"/>
    <w:rsid w:val="00904F96"/>
    <w:rsid w:val="00906654"/>
    <w:rsid w:val="00906808"/>
    <w:rsid w:val="00906D08"/>
    <w:rsid w:val="0090721E"/>
    <w:rsid w:val="0091072B"/>
    <w:rsid w:val="009107FE"/>
    <w:rsid w:val="00910C92"/>
    <w:rsid w:val="00911046"/>
    <w:rsid w:val="00911643"/>
    <w:rsid w:val="00911B16"/>
    <w:rsid w:val="00911D19"/>
    <w:rsid w:val="009121D7"/>
    <w:rsid w:val="009127B0"/>
    <w:rsid w:val="00912B31"/>
    <w:rsid w:val="00913200"/>
    <w:rsid w:val="00914B96"/>
    <w:rsid w:val="00915F3D"/>
    <w:rsid w:val="00916785"/>
    <w:rsid w:val="009172AF"/>
    <w:rsid w:val="009177D0"/>
    <w:rsid w:val="00917D91"/>
    <w:rsid w:val="0092005D"/>
    <w:rsid w:val="00920135"/>
    <w:rsid w:val="00920BDB"/>
    <w:rsid w:val="00921D7F"/>
    <w:rsid w:val="00921FAA"/>
    <w:rsid w:val="0092230C"/>
    <w:rsid w:val="0092312B"/>
    <w:rsid w:val="00923725"/>
    <w:rsid w:val="00923D69"/>
    <w:rsid w:val="0092400A"/>
    <w:rsid w:val="00924384"/>
    <w:rsid w:val="00924D4E"/>
    <w:rsid w:val="0092527D"/>
    <w:rsid w:val="00925B64"/>
    <w:rsid w:val="00926311"/>
    <w:rsid w:val="00926363"/>
    <w:rsid w:val="00926B71"/>
    <w:rsid w:val="0092707C"/>
    <w:rsid w:val="009273FF"/>
    <w:rsid w:val="009276CE"/>
    <w:rsid w:val="009277AD"/>
    <w:rsid w:val="00927ABA"/>
    <w:rsid w:val="00927F39"/>
    <w:rsid w:val="00930479"/>
    <w:rsid w:val="00930576"/>
    <w:rsid w:val="0093150B"/>
    <w:rsid w:val="009317ED"/>
    <w:rsid w:val="00931D82"/>
    <w:rsid w:val="00931F13"/>
    <w:rsid w:val="009322A5"/>
    <w:rsid w:val="0093276B"/>
    <w:rsid w:val="00933D6A"/>
    <w:rsid w:val="009348E8"/>
    <w:rsid w:val="00934952"/>
    <w:rsid w:val="009350ED"/>
    <w:rsid w:val="00935A75"/>
    <w:rsid w:val="00935DF3"/>
    <w:rsid w:val="009363E5"/>
    <w:rsid w:val="00936C02"/>
    <w:rsid w:val="00936D3F"/>
    <w:rsid w:val="009374F1"/>
    <w:rsid w:val="00937703"/>
    <w:rsid w:val="00937A73"/>
    <w:rsid w:val="009402CE"/>
    <w:rsid w:val="009416E0"/>
    <w:rsid w:val="00941984"/>
    <w:rsid w:val="00941B6E"/>
    <w:rsid w:val="00941CA4"/>
    <w:rsid w:val="00941E2F"/>
    <w:rsid w:val="00941E90"/>
    <w:rsid w:val="00941F14"/>
    <w:rsid w:val="00942492"/>
    <w:rsid w:val="009425DD"/>
    <w:rsid w:val="00942B30"/>
    <w:rsid w:val="00942BF3"/>
    <w:rsid w:val="00942E3E"/>
    <w:rsid w:val="00943CBE"/>
    <w:rsid w:val="00945320"/>
    <w:rsid w:val="00945618"/>
    <w:rsid w:val="00950912"/>
    <w:rsid w:val="00950D12"/>
    <w:rsid w:val="00951261"/>
    <w:rsid w:val="0095134F"/>
    <w:rsid w:val="009514A6"/>
    <w:rsid w:val="0095162C"/>
    <w:rsid w:val="00951BC6"/>
    <w:rsid w:val="00952498"/>
    <w:rsid w:val="00952D1F"/>
    <w:rsid w:val="00952FA0"/>
    <w:rsid w:val="00953F8F"/>
    <w:rsid w:val="0095492C"/>
    <w:rsid w:val="00955325"/>
    <w:rsid w:val="0095566B"/>
    <w:rsid w:val="00955BFB"/>
    <w:rsid w:val="00955E99"/>
    <w:rsid w:val="00957889"/>
    <w:rsid w:val="009603A1"/>
    <w:rsid w:val="00960B1F"/>
    <w:rsid w:val="009610AC"/>
    <w:rsid w:val="00961C09"/>
    <w:rsid w:val="009620BE"/>
    <w:rsid w:val="00962E94"/>
    <w:rsid w:val="0096405F"/>
    <w:rsid w:val="0096488A"/>
    <w:rsid w:val="0096495F"/>
    <w:rsid w:val="00964C83"/>
    <w:rsid w:val="009652C2"/>
    <w:rsid w:val="009652DC"/>
    <w:rsid w:val="00965820"/>
    <w:rsid w:val="00965F90"/>
    <w:rsid w:val="00966331"/>
    <w:rsid w:val="009674A3"/>
    <w:rsid w:val="009675BF"/>
    <w:rsid w:val="009710D3"/>
    <w:rsid w:val="009712DF"/>
    <w:rsid w:val="0097145D"/>
    <w:rsid w:val="00971A0D"/>
    <w:rsid w:val="00973537"/>
    <w:rsid w:val="00974527"/>
    <w:rsid w:val="0097495B"/>
    <w:rsid w:val="0097519D"/>
    <w:rsid w:val="00975675"/>
    <w:rsid w:val="00975E4C"/>
    <w:rsid w:val="00976762"/>
    <w:rsid w:val="00976C43"/>
    <w:rsid w:val="0097756E"/>
    <w:rsid w:val="0097792E"/>
    <w:rsid w:val="0098009F"/>
    <w:rsid w:val="00980596"/>
    <w:rsid w:val="009817CF"/>
    <w:rsid w:val="00981B3C"/>
    <w:rsid w:val="00981BEB"/>
    <w:rsid w:val="00983025"/>
    <w:rsid w:val="0098311D"/>
    <w:rsid w:val="0098384B"/>
    <w:rsid w:val="00983DF1"/>
    <w:rsid w:val="009845A6"/>
    <w:rsid w:val="00985587"/>
    <w:rsid w:val="0098569D"/>
    <w:rsid w:val="0098620F"/>
    <w:rsid w:val="0098622B"/>
    <w:rsid w:val="0098626D"/>
    <w:rsid w:val="00986748"/>
    <w:rsid w:val="00986F24"/>
    <w:rsid w:val="009870AA"/>
    <w:rsid w:val="00987C68"/>
    <w:rsid w:val="00987C9F"/>
    <w:rsid w:val="00991368"/>
    <w:rsid w:val="009919D8"/>
    <w:rsid w:val="00991BFC"/>
    <w:rsid w:val="009925F7"/>
    <w:rsid w:val="00992A5D"/>
    <w:rsid w:val="00993907"/>
    <w:rsid w:val="00995770"/>
    <w:rsid w:val="0099622C"/>
    <w:rsid w:val="0099645D"/>
    <w:rsid w:val="00996850"/>
    <w:rsid w:val="00997573"/>
    <w:rsid w:val="009A0289"/>
    <w:rsid w:val="009A02B1"/>
    <w:rsid w:val="009A0566"/>
    <w:rsid w:val="009A1F98"/>
    <w:rsid w:val="009A267D"/>
    <w:rsid w:val="009A376B"/>
    <w:rsid w:val="009A4156"/>
    <w:rsid w:val="009A4237"/>
    <w:rsid w:val="009A5088"/>
    <w:rsid w:val="009A50E5"/>
    <w:rsid w:val="009A51AE"/>
    <w:rsid w:val="009A5ED2"/>
    <w:rsid w:val="009A6157"/>
    <w:rsid w:val="009A6A9B"/>
    <w:rsid w:val="009A785F"/>
    <w:rsid w:val="009B2607"/>
    <w:rsid w:val="009B2A90"/>
    <w:rsid w:val="009B57B3"/>
    <w:rsid w:val="009B6040"/>
    <w:rsid w:val="009B60D4"/>
    <w:rsid w:val="009B6778"/>
    <w:rsid w:val="009B6ABB"/>
    <w:rsid w:val="009B6FFA"/>
    <w:rsid w:val="009B71EA"/>
    <w:rsid w:val="009B7D2B"/>
    <w:rsid w:val="009C1214"/>
    <w:rsid w:val="009C16AC"/>
    <w:rsid w:val="009C1955"/>
    <w:rsid w:val="009C1D0F"/>
    <w:rsid w:val="009C2182"/>
    <w:rsid w:val="009C3736"/>
    <w:rsid w:val="009C3A50"/>
    <w:rsid w:val="009C4862"/>
    <w:rsid w:val="009C4CCE"/>
    <w:rsid w:val="009C5484"/>
    <w:rsid w:val="009C54D5"/>
    <w:rsid w:val="009C559B"/>
    <w:rsid w:val="009C6098"/>
    <w:rsid w:val="009C6BE5"/>
    <w:rsid w:val="009C6CCA"/>
    <w:rsid w:val="009D10A2"/>
    <w:rsid w:val="009D10CF"/>
    <w:rsid w:val="009D254F"/>
    <w:rsid w:val="009D355F"/>
    <w:rsid w:val="009D3800"/>
    <w:rsid w:val="009D3CEA"/>
    <w:rsid w:val="009D3FD0"/>
    <w:rsid w:val="009D42AF"/>
    <w:rsid w:val="009D4806"/>
    <w:rsid w:val="009D4B10"/>
    <w:rsid w:val="009D5159"/>
    <w:rsid w:val="009D6FEE"/>
    <w:rsid w:val="009D7C97"/>
    <w:rsid w:val="009D7CE8"/>
    <w:rsid w:val="009D7EB8"/>
    <w:rsid w:val="009E0159"/>
    <w:rsid w:val="009E0447"/>
    <w:rsid w:val="009E060C"/>
    <w:rsid w:val="009E1123"/>
    <w:rsid w:val="009E1D5E"/>
    <w:rsid w:val="009E1F6A"/>
    <w:rsid w:val="009E2554"/>
    <w:rsid w:val="009E32D1"/>
    <w:rsid w:val="009E46A4"/>
    <w:rsid w:val="009E5009"/>
    <w:rsid w:val="009E5203"/>
    <w:rsid w:val="009E57D6"/>
    <w:rsid w:val="009E5BD7"/>
    <w:rsid w:val="009E69F0"/>
    <w:rsid w:val="009E712F"/>
    <w:rsid w:val="009E715B"/>
    <w:rsid w:val="009E7304"/>
    <w:rsid w:val="009E775D"/>
    <w:rsid w:val="009E791C"/>
    <w:rsid w:val="009E7F05"/>
    <w:rsid w:val="009F0126"/>
    <w:rsid w:val="009F018F"/>
    <w:rsid w:val="009F0793"/>
    <w:rsid w:val="009F0CA6"/>
    <w:rsid w:val="009F1B47"/>
    <w:rsid w:val="009F20AA"/>
    <w:rsid w:val="009F2E65"/>
    <w:rsid w:val="009F3233"/>
    <w:rsid w:val="009F327A"/>
    <w:rsid w:val="009F35C8"/>
    <w:rsid w:val="009F38B1"/>
    <w:rsid w:val="009F3BD4"/>
    <w:rsid w:val="009F44E6"/>
    <w:rsid w:val="009F4763"/>
    <w:rsid w:val="009F485A"/>
    <w:rsid w:val="009F4AD8"/>
    <w:rsid w:val="009F53DB"/>
    <w:rsid w:val="009F57CC"/>
    <w:rsid w:val="009F6022"/>
    <w:rsid w:val="009F6D1C"/>
    <w:rsid w:val="009F797B"/>
    <w:rsid w:val="009F7D01"/>
    <w:rsid w:val="00A00010"/>
    <w:rsid w:val="00A00033"/>
    <w:rsid w:val="00A00F11"/>
    <w:rsid w:val="00A0165B"/>
    <w:rsid w:val="00A017A3"/>
    <w:rsid w:val="00A018BD"/>
    <w:rsid w:val="00A01F1B"/>
    <w:rsid w:val="00A02511"/>
    <w:rsid w:val="00A02D75"/>
    <w:rsid w:val="00A0370E"/>
    <w:rsid w:val="00A039F2"/>
    <w:rsid w:val="00A03D68"/>
    <w:rsid w:val="00A04607"/>
    <w:rsid w:val="00A04AED"/>
    <w:rsid w:val="00A05257"/>
    <w:rsid w:val="00A06052"/>
    <w:rsid w:val="00A06EE9"/>
    <w:rsid w:val="00A0762F"/>
    <w:rsid w:val="00A07DE6"/>
    <w:rsid w:val="00A100BE"/>
    <w:rsid w:val="00A10162"/>
    <w:rsid w:val="00A11FF6"/>
    <w:rsid w:val="00A12002"/>
    <w:rsid w:val="00A121D3"/>
    <w:rsid w:val="00A1236E"/>
    <w:rsid w:val="00A12882"/>
    <w:rsid w:val="00A13246"/>
    <w:rsid w:val="00A138A9"/>
    <w:rsid w:val="00A13A73"/>
    <w:rsid w:val="00A14D08"/>
    <w:rsid w:val="00A15F37"/>
    <w:rsid w:val="00A160DA"/>
    <w:rsid w:val="00A16619"/>
    <w:rsid w:val="00A1675E"/>
    <w:rsid w:val="00A16E32"/>
    <w:rsid w:val="00A16EC6"/>
    <w:rsid w:val="00A1771E"/>
    <w:rsid w:val="00A17978"/>
    <w:rsid w:val="00A1799D"/>
    <w:rsid w:val="00A204D4"/>
    <w:rsid w:val="00A21459"/>
    <w:rsid w:val="00A2184F"/>
    <w:rsid w:val="00A22952"/>
    <w:rsid w:val="00A2472A"/>
    <w:rsid w:val="00A24AAC"/>
    <w:rsid w:val="00A24C8F"/>
    <w:rsid w:val="00A25186"/>
    <w:rsid w:val="00A2585B"/>
    <w:rsid w:val="00A25BE9"/>
    <w:rsid w:val="00A26691"/>
    <w:rsid w:val="00A269ED"/>
    <w:rsid w:val="00A26CDA"/>
    <w:rsid w:val="00A278EA"/>
    <w:rsid w:val="00A30CD9"/>
    <w:rsid w:val="00A3170C"/>
    <w:rsid w:val="00A322CB"/>
    <w:rsid w:val="00A33361"/>
    <w:rsid w:val="00A33719"/>
    <w:rsid w:val="00A34C9E"/>
    <w:rsid w:val="00A35684"/>
    <w:rsid w:val="00A35838"/>
    <w:rsid w:val="00A35F6B"/>
    <w:rsid w:val="00A36905"/>
    <w:rsid w:val="00A36C62"/>
    <w:rsid w:val="00A36F3A"/>
    <w:rsid w:val="00A3736C"/>
    <w:rsid w:val="00A3756B"/>
    <w:rsid w:val="00A4077C"/>
    <w:rsid w:val="00A40A8C"/>
    <w:rsid w:val="00A414C8"/>
    <w:rsid w:val="00A418CD"/>
    <w:rsid w:val="00A41DA2"/>
    <w:rsid w:val="00A41FA0"/>
    <w:rsid w:val="00A428C1"/>
    <w:rsid w:val="00A428DD"/>
    <w:rsid w:val="00A42FE7"/>
    <w:rsid w:val="00A449CE"/>
    <w:rsid w:val="00A45819"/>
    <w:rsid w:val="00A46958"/>
    <w:rsid w:val="00A46FBF"/>
    <w:rsid w:val="00A500B4"/>
    <w:rsid w:val="00A50967"/>
    <w:rsid w:val="00A50B68"/>
    <w:rsid w:val="00A5208D"/>
    <w:rsid w:val="00A52745"/>
    <w:rsid w:val="00A52B92"/>
    <w:rsid w:val="00A52BF7"/>
    <w:rsid w:val="00A52F21"/>
    <w:rsid w:val="00A54100"/>
    <w:rsid w:val="00A5506D"/>
    <w:rsid w:val="00A556C8"/>
    <w:rsid w:val="00A5665E"/>
    <w:rsid w:val="00A56AEA"/>
    <w:rsid w:val="00A56B67"/>
    <w:rsid w:val="00A60497"/>
    <w:rsid w:val="00A60C5D"/>
    <w:rsid w:val="00A60E2B"/>
    <w:rsid w:val="00A60F40"/>
    <w:rsid w:val="00A628FA"/>
    <w:rsid w:val="00A63102"/>
    <w:rsid w:val="00A6331F"/>
    <w:rsid w:val="00A637FA"/>
    <w:rsid w:val="00A640AE"/>
    <w:rsid w:val="00A644FC"/>
    <w:rsid w:val="00A647F4"/>
    <w:rsid w:val="00A70D4E"/>
    <w:rsid w:val="00A71002"/>
    <w:rsid w:val="00A7261F"/>
    <w:rsid w:val="00A72717"/>
    <w:rsid w:val="00A7348F"/>
    <w:rsid w:val="00A73898"/>
    <w:rsid w:val="00A7490F"/>
    <w:rsid w:val="00A75D02"/>
    <w:rsid w:val="00A75F33"/>
    <w:rsid w:val="00A771A5"/>
    <w:rsid w:val="00A77239"/>
    <w:rsid w:val="00A772B2"/>
    <w:rsid w:val="00A773DA"/>
    <w:rsid w:val="00A7759D"/>
    <w:rsid w:val="00A77C5B"/>
    <w:rsid w:val="00A80924"/>
    <w:rsid w:val="00A80B37"/>
    <w:rsid w:val="00A81C41"/>
    <w:rsid w:val="00A8236D"/>
    <w:rsid w:val="00A829E9"/>
    <w:rsid w:val="00A83AB5"/>
    <w:rsid w:val="00A8572C"/>
    <w:rsid w:val="00A857A5"/>
    <w:rsid w:val="00A859D0"/>
    <w:rsid w:val="00A86A19"/>
    <w:rsid w:val="00A86D2F"/>
    <w:rsid w:val="00A877B4"/>
    <w:rsid w:val="00A93E91"/>
    <w:rsid w:val="00A942CB"/>
    <w:rsid w:val="00A94CCD"/>
    <w:rsid w:val="00A95548"/>
    <w:rsid w:val="00A956E7"/>
    <w:rsid w:val="00A959A4"/>
    <w:rsid w:val="00A95DCE"/>
    <w:rsid w:val="00A95EB8"/>
    <w:rsid w:val="00A96EC8"/>
    <w:rsid w:val="00A96FD8"/>
    <w:rsid w:val="00A97466"/>
    <w:rsid w:val="00A97504"/>
    <w:rsid w:val="00AA0261"/>
    <w:rsid w:val="00AA04F9"/>
    <w:rsid w:val="00AA099C"/>
    <w:rsid w:val="00AA09C4"/>
    <w:rsid w:val="00AA18A0"/>
    <w:rsid w:val="00AA18A7"/>
    <w:rsid w:val="00AA197B"/>
    <w:rsid w:val="00AA20E7"/>
    <w:rsid w:val="00AA2533"/>
    <w:rsid w:val="00AA28DF"/>
    <w:rsid w:val="00AA299F"/>
    <w:rsid w:val="00AA34F9"/>
    <w:rsid w:val="00AA3707"/>
    <w:rsid w:val="00AA3962"/>
    <w:rsid w:val="00AA3C31"/>
    <w:rsid w:val="00AA3C3C"/>
    <w:rsid w:val="00AA4143"/>
    <w:rsid w:val="00AA4646"/>
    <w:rsid w:val="00AA46BA"/>
    <w:rsid w:val="00AA4FD5"/>
    <w:rsid w:val="00AA633C"/>
    <w:rsid w:val="00AA6794"/>
    <w:rsid w:val="00AB0B60"/>
    <w:rsid w:val="00AB0C12"/>
    <w:rsid w:val="00AB0DFB"/>
    <w:rsid w:val="00AB0FF4"/>
    <w:rsid w:val="00AB10C6"/>
    <w:rsid w:val="00AB129E"/>
    <w:rsid w:val="00AB16E6"/>
    <w:rsid w:val="00AB2BD3"/>
    <w:rsid w:val="00AB4161"/>
    <w:rsid w:val="00AB4BA0"/>
    <w:rsid w:val="00AB50E7"/>
    <w:rsid w:val="00AB5A6D"/>
    <w:rsid w:val="00AB5DF0"/>
    <w:rsid w:val="00AB5F69"/>
    <w:rsid w:val="00AB61E3"/>
    <w:rsid w:val="00AB7EA8"/>
    <w:rsid w:val="00AC0ACE"/>
    <w:rsid w:val="00AC112F"/>
    <w:rsid w:val="00AC1417"/>
    <w:rsid w:val="00AC15F8"/>
    <w:rsid w:val="00AC1867"/>
    <w:rsid w:val="00AC34D2"/>
    <w:rsid w:val="00AC3932"/>
    <w:rsid w:val="00AC4259"/>
    <w:rsid w:val="00AC43CC"/>
    <w:rsid w:val="00AC44B1"/>
    <w:rsid w:val="00AC5728"/>
    <w:rsid w:val="00AC5B2E"/>
    <w:rsid w:val="00AC6B2D"/>
    <w:rsid w:val="00AC738F"/>
    <w:rsid w:val="00AC7CAF"/>
    <w:rsid w:val="00AC7DB5"/>
    <w:rsid w:val="00AC7DF4"/>
    <w:rsid w:val="00AD0CA8"/>
    <w:rsid w:val="00AD2396"/>
    <w:rsid w:val="00AD4107"/>
    <w:rsid w:val="00AD4ADD"/>
    <w:rsid w:val="00AD7C22"/>
    <w:rsid w:val="00AD7C84"/>
    <w:rsid w:val="00AD7D39"/>
    <w:rsid w:val="00AD7F2B"/>
    <w:rsid w:val="00AE1330"/>
    <w:rsid w:val="00AE1FFB"/>
    <w:rsid w:val="00AE21AE"/>
    <w:rsid w:val="00AE224A"/>
    <w:rsid w:val="00AE26FF"/>
    <w:rsid w:val="00AE2EBB"/>
    <w:rsid w:val="00AE46A1"/>
    <w:rsid w:val="00AE4B12"/>
    <w:rsid w:val="00AE5596"/>
    <w:rsid w:val="00AE55B5"/>
    <w:rsid w:val="00AE5B52"/>
    <w:rsid w:val="00AE7A36"/>
    <w:rsid w:val="00AF004C"/>
    <w:rsid w:val="00AF022B"/>
    <w:rsid w:val="00AF0AB0"/>
    <w:rsid w:val="00AF0C4B"/>
    <w:rsid w:val="00AF12FA"/>
    <w:rsid w:val="00AF2925"/>
    <w:rsid w:val="00AF3204"/>
    <w:rsid w:val="00AF379A"/>
    <w:rsid w:val="00AF3A64"/>
    <w:rsid w:val="00AF3C62"/>
    <w:rsid w:val="00AF3FC2"/>
    <w:rsid w:val="00AF4181"/>
    <w:rsid w:val="00AF4A6C"/>
    <w:rsid w:val="00AF4B43"/>
    <w:rsid w:val="00AF5183"/>
    <w:rsid w:val="00AF5440"/>
    <w:rsid w:val="00AF653E"/>
    <w:rsid w:val="00AF6D72"/>
    <w:rsid w:val="00AF72D0"/>
    <w:rsid w:val="00AF758E"/>
    <w:rsid w:val="00AF7B55"/>
    <w:rsid w:val="00B003C8"/>
    <w:rsid w:val="00B0051F"/>
    <w:rsid w:val="00B007A2"/>
    <w:rsid w:val="00B00AEC"/>
    <w:rsid w:val="00B01CAE"/>
    <w:rsid w:val="00B01E55"/>
    <w:rsid w:val="00B022F8"/>
    <w:rsid w:val="00B027D7"/>
    <w:rsid w:val="00B0347B"/>
    <w:rsid w:val="00B035D1"/>
    <w:rsid w:val="00B03EA6"/>
    <w:rsid w:val="00B03FEA"/>
    <w:rsid w:val="00B048D5"/>
    <w:rsid w:val="00B057B3"/>
    <w:rsid w:val="00B05876"/>
    <w:rsid w:val="00B05F4F"/>
    <w:rsid w:val="00B07170"/>
    <w:rsid w:val="00B078B1"/>
    <w:rsid w:val="00B07F38"/>
    <w:rsid w:val="00B10975"/>
    <w:rsid w:val="00B1117E"/>
    <w:rsid w:val="00B1171E"/>
    <w:rsid w:val="00B11939"/>
    <w:rsid w:val="00B11D5E"/>
    <w:rsid w:val="00B12570"/>
    <w:rsid w:val="00B13070"/>
    <w:rsid w:val="00B13568"/>
    <w:rsid w:val="00B143AD"/>
    <w:rsid w:val="00B144F7"/>
    <w:rsid w:val="00B15087"/>
    <w:rsid w:val="00B15320"/>
    <w:rsid w:val="00B15EA8"/>
    <w:rsid w:val="00B15F89"/>
    <w:rsid w:val="00B160BC"/>
    <w:rsid w:val="00B16BE9"/>
    <w:rsid w:val="00B16D10"/>
    <w:rsid w:val="00B171F6"/>
    <w:rsid w:val="00B17FF9"/>
    <w:rsid w:val="00B209EE"/>
    <w:rsid w:val="00B223ED"/>
    <w:rsid w:val="00B22EF1"/>
    <w:rsid w:val="00B246DA"/>
    <w:rsid w:val="00B27066"/>
    <w:rsid w:val="00B2722B"/>
    <w:rsid w:val="00B2752E"/>
    <w:rsid w:val="00B27974"/>
    <w:rsid w:val="00B279AF"/>
    <w:rsid w:val="00B3079B"/>
    <w:rsid w:val="00B30899"/>
    <w:rsid w:val="00B30F37"/>
    <w:rsid w:val="00B31304"/>
    <w:rsid w:val="00B31C3D"/>
    <w:rsid w:val="00B32C03"/>
    <w:rsid w:val="00B32FA7"/>
    <w:rsid w:val="00B339DE"/>
    <w:rsid w:val="00B33BF7"/>
    <w:rsid w:val="00B33CC7"/>
    <w:rsid w:val="00B348F5"/>
    <w:rsid w:val="00B351C5"/>
    <w:rsid w:val="00B35432"/>
    <w:rsid w:val="00B35632"/>
    <w:rsid w:val="00B35C4A"/>
    <w:rsid w:val="00B360DC"/>
    <w:rsid w:val="00B36253"/>
    <w:rsid w:val="00B370E8"/>
    <w:rsid w:val="00B37CEC"/>
    <w:rsid w:val="00B406C8"/>
    <w:rsid w:val="00B40BB1"/>
    <w:rsid w:val="00B40E76"/>
    <w:rsid w:val="00B41352"/>
    <w:rsid w:val="00B4161E"/>
    <w:rsid w:val="00B41D61"/>
    <w:rsid w:val="00B41E33"/>
    <w:rsid w:val="00B4276F"/>
    <w:rsid w:val="00B42AE8"/>
    <w:rsid w:val="00B44033"/>
    <w:rsid w:val="00B442B6"/>
    <w:rsid w:val="00B442CE"/>
    <w:rsid w:val="00B45498"/>
    <w:rsid w:val="00B4665B"/>
    <w:rsid w:val="00B468C8"/>
    <w:rsid w:val="00B4738C"/>
    <w:rsid w:val="00B500E7"/>
    <w:rsid w:val="00B50410"/>
    <w:rsid w:val="00B5079B"/>
    <w:rsid w:val="00B507A7"/>
    <w:rsid w:val="00B5096E"/>
    <w:rsid w:val="00B5152A"/>
    <w:rsid w:val="00B5318E"/>
    <w:rsid w:val="00B53D75"/>
    <w:rsid w:val="00B54D66"/>
    <w:rsid w:val="00B54F45"/>
    <w:rsid w:val="00B553A6"/>
    <w:rsid w:val="00B55890"/>
    <w:rsid w:val="00B565D3"/>
    <w:rsid w:val="00B56AA2"/>
    <w:rsid w:val="00B56CEA"/>
    <w:rsid w:val="00B57013"/>
    <w:rsid w:val="00B57597"/>
    <w:rsid w:val="00B609F2"/>
    <w:rsid w:val="00B6192D"/>
    <w:rsid w:val="00B630BC"/>
    <w:rsid w:val="00B6380A"/>
    <w:rsid w:val="00B63DFD"/>
    <w:rsid w:val="00B63E31"/>
    <w:rsid w:val="00B63E5D"/>
    <w:rsid w:val="00B647D9"/>
    <w:rsid w:val="00B64CF6"/>
    <w:rsid w:val="00B64DD4"/>
    <w:rsid w:val="00B650DB"/>
    <w:rsid w:val="00B65AA7"/>
    <w:rsid w:val="00B65B0C"/>
    <w:rsid w:val="00B65B6A"/>
    <w:rsid w:val="00B65BDC"/>
    <w:rsid w:val="00B660AB"/>
    <w:rsid w:val="00B671A7"/>
    <w:rsid w:val="00B671FC"/>
    <w:rsid w:val="00B67234"/>
    <w:rsid w:val="00B6741C"/>
    <w:rsid w:val="00B67C67"/>
    <w:rsid w:val="00B7018D"/>
    <w:rsid w:val="00B70C6C"/>
    <w:rsid w:val="00B71402"/>
    <w:rsid w:val="00B716BB"/>
    <w:rsid w:val="00B718E0"/>
    <w:rsid w:val="00B7190B"/>
    <w:rsid w:val="00B71C3A"/>
    <w:rsid w:val="00B7238F"/>
    <w:rsid w:val="00B72D4A"/>
    <w:rsid w:val="00B733E5"/>
    <w:rsid w:val="00B73640"/>
    <w:rsid w:val="00B73817"/>
    <w:rsid w:val="00B73CDA"/>
    <w:rsid w:val="00B742F5"/>
    <w:rsid w:val="00B7495C"/>
    <w:rsid w:val="00B754DD"/>
    <w:rsid w:val="00B7593C"/>
    <w:rsid w:val="00B75B9C"/>
    <w:rsid w:val="00B75EA3"/>
    <w:rsid w:val="00B76C88"/>
    <w:rsid w:val="00B7738C"/>
    <w:rsid w:val="00B77ECB"/>
    <w:rsid w:val="00B807C5"/>
    <w:rsid w:val="00B819C1"/>
    <w:rsid w:val="00B82E1F"/>
    <w:rsid w:val="00B83057"/>
    <w:rsid w:val="00B8437D"/>
    <w:rsid w:val="00B844B8"/>
    <w:rsid w:val="00B85259"/>
    <w:rsid w:val="00B85592"/>
    <w:rsid w:val="00B85827"/>
    <w:rsid w:val="00B85D2E"/>
    <w:rsid w:val="00B85E6B"/>
    <w:rsid w:val="00B8607C"/>
    <w:rsid w:val="00B879FB"/>
    <w:rsid w:val="00B9024A"/>
    <w:rsid w:val="00B90A56"/>
    <w:rsid w:val="00B922BC"/>
    <w:rsid w:val="00B9236E"/>
    <w:rsid w:val="00B9251A"/>
    <w:rsid w:val="00B92712"/>
    <w:rsid w:val="00B92BDD"/>
    <w:rsid w:val="00B92D9A"/>
    <w:rsid w:val="00B931B2"/>
    <w:rsid w:val="00B936B2"/>
    <w:rsid w:val="00B93BAE"/>
    <w:rsid w:val="00B93CEB"/>
    <w:rsid w:val="00B94144"/>
    <w:rsid w:val="00B9426B"/>
    <w:rsid w:val="00B94677"/>
    <w:rsid w:val="00B94944"/>
    <w:rsid w:val="00B94DFC"/>
    <w:rsid w:val="00B950BD"/>
    <w:rsid w:val="00B964BE"/>
    <w:rsid w:val="00B96841"/>
    <w:rsid w:val="00B9754B"/>
    <w:rsid w:val="00B97C4B"/>
    <w:rsid w:val="00B97FB2"/>
    <w:rsid w:val="00BA001C"/>
    <w:rsid w:val="00BA0967"/>
    <w:rsid w:val="00BA0D87"/>
    <w:rsid w:val="00BA0F46"/>
    <w:rsid w:val="00BA10E7"/>
    <w:rsid w:val="00BA1342"/>
    <w:rsid w:val="00BA157C"/>
    <w:rsid w:val="00BA1A35"/>
    <w:rsid w:val="00BA20EC"/>
    <w:rsid w:val="00BA273E"/>
    <w:rsid w:val="00BA2B93"/>
    <w:rsid w:val="00BA33D4"/>
    <w:rsid w:val="00BA40F3"/>
    <w:rsid w:val="00BA429B"/>
    <w:rsid w:val="00BA4486"/>
    <w:rsid w:val="00BA4A08"/>
    <w:rsid w:val="00BA61B4"/>
    <w:rsid w:val="00BA6374"/>
    <w:rsid w:val="00BA6E7E"/>
    <w:rsid w:val="00BA7F10"/>
    <w:rsid w:val="00BA7F5E"/>
    <w:rsid w:val="00BB0A48"/>
    <w:rsid w:val="00BB1C88"/>
    <w:rsid w:val="00BB1D4B"/>
    <w:rsid w:val="00BB1F08"/>
    <w:rsid w:val="00BB20C2"/>
    <w:rsid w:val="00BB21E7"/>
    <w:rsid w:val="00BB2B8B"/>
    <w:rsid w:val="00BB2EED"/>
    <w:rsid w:val="00BB39A6"/>
    <w:rsid w:val="00BB4028"/>
    <w:rsid w:val="00BB4B3B"/>
    <w:rsid w:val="00BB5BEC"/>
    <w:rsid w:val="00BB6793"/>
    <w:rsid w:val="00BB7137"/>
    <w:rsid w:val="00BB7329"/>
    <w:rsid w:val="00BB74C7"/>
    <w:rsid w:val="00BB77D1"/>
    <w:rsid w:val="00BB7D14"/>
    <w:rsid w:val="00BB7DA9"/>
    <w:rsid w:val="00BB7ECE"/>
    <w:rsid w:val="00BC00C1"/>
    <w:rsid w:val="00BC0C34"/>
    <w:rsid w:val="00BC1340"/>
    <w:rsid w:val="00BC13B9"/>
    <w:rsid w:val="00BC17ED"/>
    <w:rsid w:val="00BC18A7"/>
    <w:rsid w:val="00BC47BC"/>
    <w:rsid w:val="00BC5704"/>
    <w:rsid w:val="00BC6074"/>
    <w:rsid w:val="00BC60EA"/>
    <w:rsid w:val="00BC6C74"/>
    <w:rsid w:val="00BC6C9B"/>
    <w:rsid w:val="00BD0976"/>
    <w:rsid w:val="00BD0A52"/>
    <w:rsid w:val="00BD0DA4"/>
    <w:rsid w:val="00BD15B5"/>
    <w:rsid w:val="00BD1756"/>
    <w:rsid w:val="00BD17EB"/>
    <w:rsid w:val="00BD1851"/>
    <w:rsid w:val="00BD1935"/>
    <w:rsid w:val="00BD23A2"/>
    <w:rsid w:val="00BD2EAB"/>
    <w:rsid w:val="00BD4356"/>
    <w:rsid w:val="00BD47DE"/>
    <w:rsid w:val="00BD4838"/>
    <w:rsid w:val="00BD4892"/>
    <w:rsid w:val="00BD489D"/>
    <w:rsid w:val="00BD4B1F"/>
    <w:rsid w:val="00BD4E31"/>
    <w:rsid w:val="00BD4E68"/>
    <w:rsid w:val="00BD5488"/>
    <w:rsid w:val="00BD55A4"/>
    <w:rsid w:val="00BD6244"/>
    <w:rsid w:val="00BD6285"/>
    <w:rsid w:val="00BD6B66"/>
    <w:rsid w:val="00BD6CCF"/>
    <w:rsid w:val="00BE08D3"/>
    <w:rsid w:val="00BE0DA1"/>
    <w:rsid w:val="00BE1738"/>
    <w:rsid w:val="00BE17E5"/>
    <w:rsid w:val="00BE1F4E"/>
    <w:rsid w:val="00BE28C6"/>
    <w:rsid w:val="00BE3B82"/>
    <w:rsid w:val="00BE4CFF"/>
    <w:rsid w:val="00BE5004"/>
    <w:rsid w:val="00BE52B3"/>
    <w:rsid w:val="00BE5F9D"/>
    <w:rsid w:val="00BE5FDD"/>
    <w:rsid w:val="00BE6F64"/>
    <w:rsid w:val="00BE73C9"/>
    <w:rsid w:val="00BE79BF"/>
    <w:rsid w:val="00BE7F32"/>
    <w:rsid w:val="00BF0440"/>
    <w:rsid w:val="00BF0C6B"/>
    <w:rsid w:val="00BF0C81"/>
    <w:rsid w:val="00BF0D25"/>
    <w:rsid w:val="00BF0DAB"/>
    <w:rsid w:val="00BF110D"/>
    <w:rsid w:val="00BF1617"/>
    <w:rsid w:val="00BF30D9"/>
    <w:rsid w:val="00BF36E0"/>
    <w:rsid w:val="00BF36FD"/>
    <w:rsid w:val="00BF395C"/>
    <w:rsid w:val="00BF433E"/>
    <w:rsid w:val="00BF493E"/>
    <w:rsid w:val="00BF4A6E"/>
    <w:rsid w:val="00BF536A"/>
    <w:rsid w:val="00BF59BC"/>
    <w:rsid w:val="00BF5F53"/>
    <w:rsid w:val="00BF6772"/>
    <w:rsid w:val="00BF6997"/>
    <w:rsid w:val="00BF726F"/>
    <w:rsid w:val="00BF749F"/>
    <w:rsid w:val="00BF7606"/>
    <w:rsid w:val="00C0030F"/>
    <w:rsid w:val="00C0057C"/>
    <w:rsid w:val="00C00B71"/>
    <w:rsid w:val="00C014E4"/>
    <w:rsid w:val="00C02436"/>
    <w:rsid w:val="00C02608"/>
    <w:rsid w:val="00C02639"/>
    <w:rsid w:val="00C03629"/>
    <w:rsid w:val="00C03A4A"/>
    <w:rsid w:val="00C04075"/>
    <w:rsid w:val="00C04489"/>
    <w:rsid w:val="00C05510"/>
    <w:rsid w:val="00C05582"/>
    <w:rsid w:val="00C05A88"/>
    <w:rsid w:val="00C06665"/>
    <w:rsid w:val="00C0679B"/>
    <w:rsid w:val="00C074F1"/>
    <w:rsid w:val="00C07715"/>
    <w:rsid w:val="00C107F1"/>
    <w:rsid w:val="00C11DE4"/>
    <w:rsid w:val="00C12473"/>
    <w:rsid w:val="00C12C40"/>
    <w:rsid w:val="00C130DC"/>
    <w:rsid w:val="00C13157"/>
    <w:rsid w:val="00C132DE"/>
    <w:rsid w:val="00C13CB8"/>
    <w:rsid w:val="00C14417"/>
    <w:rsid w:val="00C14926"/>
    <w:rsid w:val="00C14C19"/>
    <w:rsid w:val="00C14D2E"/>
    <w:rsid w:val="00C156EF"/>
    <w:rsid w:val="00C15718"/>
    <w:rsid w:val="00C159BE"/>
    <w:rsid w:val="00C15CDB"/>
    <w:rsid w:val="00C166AE"/>
    <w:rsid w:val="00C16899"/>
    <w:rsid w:val="00C1695F"/>
    <w:rsid w:val="00C16E3A"/>
    <w:rsid w:val="00C172CD"/>
    <w:rsid w:val="00C2018D"/>
    <w:rsid w:val="00C20336"/>
    <w:rsid w:val="00C212D0"/>
    <w:rsid w:val="00C21FB6"/>
    <w:rsid w:val="00C22775"/>
    <w:rsid w:val="00C22D02"/>
    <w:rsid w:val="00C22E30"/>
    <w:rsid w:val="00C23A97"/>
    <w:rsid w:val="00C24CD6"/>
    <w:rsid w:val="00C26754"/>
    <w:rsid w:val="00C271FD"/>
    <w:rsid w:val="00C2778F"/>
    <w:rsid w:val="00C30899"/>
    <w:rsid w:val="00C317B0"/>
    <w:rsid w:val="00C31BF9"/>
    <w:rsid w:val="00C32364"/>
    <w:rsid w:val="00C32A01"/>
    <w:rsid w:val="00C32C07"/>
    <w:rsid w:val="00C33132"/>
    <w:rsid w:val="00C331DA"/>
    <w:rsid w:val="00C33362"/>
    <w:rsid w:val="00C33752"/>
    <w:rsid w:val="00C338BC"/>
    <w:rsid w:val="00C341C2"/>
    <w:rsid w:val="00C34CC0"/>
    <w:rsid w:val="00C35359"/>
    <w:rsid w:val="00C35D38"/>
    <w:rsid w:val="00C35E3B"/>
    <w:rsid w:val="00C362F7"/>
    <w:rsid w:val="00C366FC"/>
    <w:rsid w:val="00C37166"/>
    <w:rsid w:val="00C40653"/>
    <w:rsid w:val="00C406E6"/>
    <w:rsid w:val="00C40742"/>
    <w:rsid w:val="00C40841"/>
    <w:rsid w:val="00C40956"/>
    <w:rsid w:val="00C409E7"/>
    <w:rsid w:val="00C40DD4"/>
    <w:rsid w:val="00C417B7"/>
    <w:rsid w:val="00C424ED"/>
    <w:rsid w:val="00C439E8"/>
    <w:rsid w:val="00C43C6E"/>
    <w:rsid w:val="00C44ADE"/>
    <w:rsid w:val="00C44F12"/>
    <w:rsid w:val="00C452A0"/>
    <w:rsid w:val="00C45AD0"/>
    <w:rsid w:val="00C45B56"/>
    <w:rsid w:val="00C46423"/>
    <w:rsid w:val="00C47251"/>
    <w:rsid w:val="00C47AB0"/>
    <w:rsid w:val="00C47BC0"/>
    <w:rsid w:val="00C5131D"/>
    <w:rsid w:val="00C51914"/>
    <w:rsid w:val="00C51F0F"/>
    <w:rsid w:val="00C51F38"/>
    <w:rsid w:val="00C520E8"/>
    <w:rsid w:val="00C52804"/>
    <w:rsid w:val="00C52A59"/>
    <w:rsid w:val="00C52E1A"/>
    <w:rsid w:val="00C53B82"/>
    <w:rsid w:val="00C546B6"/>
    <w:rsid w:val="00C55985"/>
    <w:rsid w:val="00C56885"/>
    <w:rsid w:val="00C56DED"/>
    <w:rsid w:val="00C60ABB"/>
    <w:rsid w:val="00C60D60"/>
    <w:rsid w:val="00C617AE"/>
    <w:rsid w:val="00C61E3A"/>
    <w:rsid w:val="00C61E7D"/>
    <w:rsid w:val="00C62B22"/>
    <w:rsid w:val="00C633EB"/>
    <w:rsid w:val="00C63FBD"/>
    <w:rsid w:val="00C64E66"/>
    <w:rsid w:val="00C6684D"/>
    <w:rsid w:val="00C66B9F"/>
    <w:rsid w:val="00C66C5F"/>
    <w:rsid w:val="00C67C92"/>
    <w:rsid w:val="00C70E3A"/>
    <w:rsid w:val="00C71B0C"/>
    <w:rsid w:val="00C71B56"/>
    <w:rsid w:val="00C71B77"/>
    <w:rsid w:val="00C72B58"/>
    <w:rsid w:val="00C7349C"/>
    <w:rsid w:val="00C73D75"/>
    <w:rsid w:val="00C746E4"/>
    <w:rsid w:val="00C74B55"/>
    <w:rsid w:val="00C74FBC"/>
    <w:rsid w:val="00C76B39"/>
    <w:rsid w:val="00C777AA"/>
    <w:rsid w:val="00C801D9"/>
    <w:rsid w:val="00C80B0F"/>
    <w:rsid w:val="00C811A3"/>
    <w:rsid w:val="00C81244"/>
    <w:rsid w:val="00C81454"/>
    <w:rsid w:val="00C817FB"/>
    <w:rsid w:val="00C81AD9"/>
    <w:rsid w:val="00C82278"/>
    <w:rsid w:val="00C824F8"/>
    <w:rsid w:val="00C82699"/>
    <w:rsid w:val="00C82846"/>
    <w:rsid w:val="00C83265"/>
    <w:rsid w:val="00C83FD1"/>
    <w:rsid w:val="00C84584"/>
    <w:rsid w:val="00C84949"/>
    <w:rsid w:val="00C84DE3"/>
    <w:rsid w:val="00C853A1"/>
    <w:rsid w:val="00C853FE"/>
    <w:rsid w:val="00C854EE"/>
    <w:rsid w:val="00C85F67"/>
    <w:rsid w:val="00C86E71"/>
    <w:rsid w:val="00C87024"/>
    <w:rsid w:val="00C8761C"/>
    <w:rsid w:val="00C87D77"/>
    <w:rsid w:val="00C907BA"/>
    <w:rsid w:val="00C90E95"/>
    <w:rsid w:val="00C910FE"/>
    <w:rsid w:val="00C91418"/>
    <w:rsid w:val="00C936AD"/>
    <w:rsid w:val="00C94B43"/>
    <w:rsid w:val="00C9525D"/>
    <w:rsid w:val="00C952E0"/>
    <w:rsid w:val="00C95394"/>
    <w:rsid w:val="00C96734"/>
    <w:rsid w:val="00C96B06"/>
    <w:rsid w:val="00C97371"/>
    <w:rsid w:val="00C97ED8"/>
    <w:rsid w:val="00CA0177"/>
    <w:rsid w:val="00CA063F"/>
    <w:rsid w:val="00CA0747"/>
    <w:rsid w:val="00CA1396"/>
    <w:rsid w:val="00CA1D35"/>
    <w:rsid w:val="00CA1E22"/>
    <w:rsid w:val="00CA221F"/>
    <w:rsid w:val="00CA2D2A"/>
    <w:rsid w:val="00CA3561"/>
    <w:rsid w:val="00CA50F5"/>
    <w:rsid w:val="00CA519E"/>
    <w:rsid w:val="00CA587F"/>
    <w:rsid w:val="00CA5B95"/>
    <w:rsid w:val="00CA6CBC"/>
    <w:rsid w:val="00CA72AE"/>
    <w:rsid w:val="00CA744D"/>
    <w:rsid w:val="00CB100C"/>
    <w:rsid w:val="00CB13DC"/>
    <w:rsid w:val="00CB1690"/>
    <w:rsid w:val="00CB1B65"/>
    <w:rsid w:val="00CB2BAC"/>
    <w:rsid w:val="00CB2FF6"/>
    <w:rsid w:val="00CB304D"/>
    <w:rsid w:val="00CB39F5"/>
    <w:rsid w:val="00CB3EC2"/>
    <w:rsid w:val="00CB4645"/>
    <w:rsid w:val="00CB4ED4"/>
    <w:rsid w:val="00CB4EE1"/>
    <w:rsid w:val="00CB530B"/>
    <w:rsid w:val="00CB541E"/>
    <w:rsid w:val="00CB6633"/>
    <w:rsid w:val="00CB7A50"/>
    <w:rsid w:val="00CB7B14"/>
    <w:rsid w:val="00CC0706"/>
    <w:rsid w:val="00CC07F8"/>
    <w:rsid w:val="00CC1AFE"/>
    <w:rsid w:val="00CC207A"/>
    <w:rsid w:val="00CC21FD"/>
    <w:rsid w:val="00CC22D4"/>
    <w:rsid w:val="00CC2710"/>
    <w:rsid w:val="00CC272D"/>
    <w:rsid w:val="00CC2ADF"/>
    <w:rsid w:val="00CC583A"/>
    <w:rsid w:val="00CC62DF"/>
    <w:rsid w:val="00CC68CE"/>
    <w:rsid w:val="00CC75E7"/>
    <w:rsid w:val="00CC7D82"/>
    <w:rsid w:val="00CD03AB"/>
    <w:rsid w:val="00CD1870"/>
    <w:rsid w:val="00CD2009"/>
    <w:rsid w:val="00CD2142"/>
    <w:rsid w:val="00CD2841"/>
    <w:rsid w:val="00CD2FE1"/>
    <w:rsid w:val="00CD41AB"/>
    <w:rsid w:val="00CD4AE2"/>
    <w:rsid w:val="00CD5914"/>
    <w:rsid w:val="00CD5C63"/>
    <w:rsid w:val="00CD609F"/>
    <w:rsid w:val="00CD6334"/>
    <w:rsid w:val="00CD75D0"/>
    <w:rsid w:val="00CD7785"/>
    <w:rsid w:val="00CE0195"/>
    <w:rsid w:val="00CE0DC1"/>
    <w:rsid w:val="00CE1D2B"/>
    <w:rsid w:val="00CE3276"/>
    <w:rsid w:val="00CE3980"/>
    <w:rsid w:val="00CE4009"/>
    <w:rsid w:val="00CE4424"/>
    <w:rsid w:val="00CE4D3D"/>
    <w:rsid w:val="00CE51E5"/>
    <w:rsid w:val="00CE5E4F"/>
    <w:rsid w:val="00CE668D"/>
    <w:rsid w:val="00CE748B"/>
    <w:rsid w:val="00CE7A77"/>
    <w:rsid w:val="00CF0850"/>
    <w:rsid w:val="00CF0C77"/>
    <w:rsid w:val="00CF14A6"/>
    <w:rsid w:val="00CF18F9"/>
    <w:rsid w:val="00CF2F57"/>
    <w:rsid w:val="00CF32E5"/>
    <w:rsid w:val="00CF35ED"/>
    <w:rsid w:val="00CF3DC6"/>
    <w:rsid w:val="00CF4288"/>
    <w:rsid w:val="00CF46DA"/>
    <w:rsid w:val="00CF48DC"/>
    <w:rsid w:val="00CF59A7"/>
    <w:rsid w:val="00CF6602"/>
    <w:rsid w:val="00CF72B0"/>
    <w:rsid w:val="00CF7492"/>
    <w:rsid w:val="00CF7C0B"/>
    <w:rsid w:val="00D002CF"/>
    <w:rsid w:val="00D01870"/>
    <w:rsid w:val="00D01E14"/>
    <w:rsid w:val="00D029FF"/>
    <w:rsid w:val="00D037AA"/>
    <w:rsid w:val="00D03D44"/>
    <w:rsid w:val="00D0424A"/>
    <w:rsid w:val="00D04F88"/>
    <w:rsid w:val="00D04FB9"/>
    <w:rsid w:val="00D05072"/>
    <w:rsid w:val="00D05DC3"/>
    <w:rsid w:val="00D05FC2"/>
    <w:rsid w:val="00D06D43"/>
    <w:rsid w:val="00D100CD"/>
    <w:rsid w:val="00D10374"/>
    <w:rsid w:val="00D104F0"/>
    <w:rsid w:val="00D10667"/>
    <w:rsid w:val="00D1097F"/>
    <w:rsid w:val="00D113F2"/>
    <w:rsid w:val="00D118FD"/>
    <w:rsid w:val="00D129A7"/>
    <w:rsid w:val="00D12A3C"/>
    <w:rsid w:val="00D12A57"/>
    <w:rsid w:val="00D12E29"/>
    <w:rsid w:val="00D148CE"/>
    <w:rsid w:val="00D1552C"/>
    <w:rsid w:val="00D16053"/>
    <w:rsid w:val="00D16408"/>
    <w:rsid w:val="00D16D62"/>
    <w:rsid w:val="00D16EAD"/>
    <w:rsid w:val="00D201FC"/>
    <w:rsid w:val="00D20529"/>
    <w:rsid w:val="00D2056F"/>
    <w:rsid w:val="00D207EA"/>
    <w:rsid w:val="00D213E8"/>
    <w:rsid w:val="00D223F2"/>
    <w:rsid w:val="00D224D8"/>
    <w:rsid w:val="00D22BDC"/>
    <w:rsid w:val="00D23C56"/>
    <w:rsid w:val="00D24148"/>
    <w:rsid w:val="00D24AF4"/>
    <w:rsid w:val="00D25171"/>
    <w:rsid w:val="00D258F4"/>
    <w:rsid w:val="00D25BD9"/>
    <w:rsid w:val="00D2616D"/>
    <w:rsid w:val="00D263E6"/>
    <w:rsid w:val="00D26592"/>
    <w:rsid w:val="00D26B45"/>
    <w:rsid w:val="00D26BAC"/>
    <w:rsid w:val="00D27360"/>
    <w:rsid w:val="00D275F9"/>
    <w:rsid w:val="00D27704"/>
    <w:rsid w:val="00D30AE6"/>
    <w:rsid w:val="00D30EF2"/>
    <w:rsid w:val="00D31D2D"/>
    <w:rsid w:val="00D31E6E"/>
    <w:rsid w:val="00D3201F"/>
    <w:rsid w:val="00D32BC9"/>
    <w:rsid w:val="00D32D62"/>
    <w:rsid w:val="00D3347A"/>
    <w:rsid w:val="00D335A0"/>
    <w:rsid w:val="00D33605"/>
    <w:rsid w:val="00D33C70"/>
    <w:rsid w:val="00D3522D"/>
    <w:rsid w:val="00D354C2"/>
    <w:rsid w:val="00D35A8B"/>
    <w:rsid w:val="00D365B8"/>
    <w:rsid w:val="00D366A4"/>
    <w:rsid w:val="00D367E6"/>
    <w:rsid w:val="00D370D4"/>
    <w:rsid w:val="00D37A9B"/>
    <w:rsid w:val="00D37E4D"/>
    <w:rsid w:val="00D403F1"/>
    <w:rsid w:val="00D4126E"/>
    <w:rsid w:val="00D417E3"/>
    <w:rsid w:val="00D4218A"/>
    <w:rsid w:val="00D42F5E"/>
    <w:rsid w:val="00D43444"/>
    <w:rsid w:val="00D43C4E"/>
    <w:rsid w:val="00D44055"/>
    <w:rsid w:val="00D4412C"/>
    <w:rsid w:val="00D44352"/>
    <w:rsid w:val="00D4489F"/>
    <w:rsid w:val="00D47ACB"/>
    <w:rsid w:val="00D47F83"/>
    <w:rsid w:val="00D50DCE"/>
    <w:rsid w:val="00D51A1F"/>
    <w:rsid w:val="00D51F02"/>
    <w:rsid w:val="00D529F8"/>
    <w:rsid w:val="00D52A12"/>
    <w:rsid w:val="00D53232"/>
    <w:rsid w:val="00D537E1"/>
    <w:rsid w:val="00D537F9"/>
    <w:rsid w:val="00D5389A"/>
    <w:rsid w:val="00D53A6E"/>
    <w:rsid w:val="00D542D3"/>
    <w:rsid w:val="00D54DAC"/>
    <w:rsid w:val="00D55A03"/>
    <w:rsid w:val="00D56081"/>
    <w:rsid w:val="00D5627E"/>
    <w:rsid w:val="00D57AC8"/>
    <w:rsid w:val="00D57B0C"/>
    <w:rsid w:val="00D6011A"/>
    <w:rsid w:val="00D6064E"/>
    <w:rsid w:val="00D6078C"/>
    <w:rsid w:val="00D60EE1"/>
    <w:rsid w:val="00D60F5E"/>
    <w:rsid w:val="00D61033"/>
    <w:rsid w:val="00D61343"/>
    <w:rsid w:val="00D61A7A"/>
    <w:rsid w:val="00D61A7F"/>
    <w:rsid w:val="00D61EA5"/>
    <w:rsid w:val="00D624A5"/>
    <w:rsid w:val="00D62D53"/>
    <w:rsid w:val="00D6379A"/>
    <w:rsid w:val="00D6436C"/>
    <w:rsid w:val="00D65274"/>
    <w:rsid w:val="00D6552A"/>
    <w:rsid w:val="00D6680B"/>
    <w:rsid w:val="00D66B50"/>
    <w:rsid w:val="00D66FFC"/>
    <w:rsid w:val="00D67801"/>
    <w:rsid w:val="00D71A28"/>
    <w:rsid w:val="00D7331F"/>
    <w:rsid w:val="00D73C22"/>
    <w:rsid w:val="00D74282"/>
    <w:rsid w:val="00D744E4"/>
    <w:rsid w:val="00D74791"/>
    <w:rsid w:val="00D74D66"/>
    <w:rsid w:val="00D75277"/>
    <w:rsid w:val="00D75415"/>
    <w:rsid w:val="00D75EAE"/>
    <w:rsid w:val="00D75F19"/>
    <w:rsid w:val="00D76A27"/>
    <w:rsid w:val="00D76A4D"/>
    <w:rsid w:val="00D76AC4"/>
    <w:rsid w:val="00D816F4"/>
    <w:rsid w:val="00D81912"/>
    <w:rsid w:val="00D8238F"/>
    <w:rsid w:val="00D825D6"/>
    <w:rsid w:val="00D85452"/>
    <w:rsid w:val="00D85514"/>
    <w:rsid w:val="00D8683C"/>
    <w:rsid w:val="00D879BB"/>
    <w:rsid w:val="00D9059D"/>
    <w:rsid w:val="00D90A66"/>
    <w:rsid w:val="00D90B09"/>
    <w:rsid w:val="00D92085"/>
    <w:rsid w:val="00D9217D"/>
    <w:rsid w:val="00D9218A"/>
    <w:rsid w:val="00D9229A"/>
    <w:rsid w:val="00D92399"/>
    <w:rsid w:val="00D9255C"/>
    <w:rsid w:val="00D92EA4"/>
    <w:rsid w:val="00D9354C"/>
    <w:rsid w:val="00D93F9A"/>
    <w:rsid w:val="00D93FE4"/>
    <w:rsid w:val="00D941DE"/>
    <w:rsid w:val="00D9452A"/>
    <w:rsid w:val="00D95774"/>
    <w:rsid w:val="00D95C64"/>
    <w:rsid w:val="00D95F53"/>
    <w:rsid w:val="00D96176"/>
    <w:rsid w:val="00D96206"/>
    <w:rsid w:val="00D966F6"/>
    <w:rsid w:val="00D96722"/>
    <w:rsid w:val="00D96F31"/>
    <w:rsid w:val="00D97612"/>
    <w:rsid w:val="00D979EE"/>
    <w:rsid w:val="00D97E65"/>
    <w:rsid w:val="00DA031C"/>
    <w:rsid w:val="00DA040F"/>
    <w:rsid w:val="00DA08FB"/>
    <w:rsid w:val="00DA13E2"/>
    <w:rsid w:val="00DA1772"/>
    <w:rsid w:val="00DA1D73"/>
    <w:rsid w:val="00DA2698"/>
    <w:rsid w:val="00DA26B6"/>
    <w:rsid w:val="00DA2E28"/>
    <w:rsid w:val="00DA3023"/>
    <w:rsid w:val="00DA32B7"/>
    <w:rsid w:val="00DA3605"/>
    <w:rsid w:val="00DA38B0"/>
    <w:rsid w:val="00DA56BB"/>
    <w:rsid w:val="00DA5790"/>
    <w:rsid w:val="00DA5B07"/>
    <w:rsid w:val="00DA5F54"/>
    <w:rsid w:val="00DA609B"/>
    <w:rsid w:val="00DA68DB"/>
    <w:rsid w:val="00DA6A88"/>
    <w:rsid w:val="00DA7442"/>
    <w:rsid w:val="00DA77D7"/>
    <w:rsid w:val="00DA7A4E"/>
    <w:rsid w:val="00DB0290"/>
    <w:rsid w:val="00DB08EF"/>
    <w:rsid w:val="00DB0CBC"/>
    <w:rsid w:val="00DB203F"/>
    <w:rsid w:val="00DB2AC1"/>
    <w:rsid w:val="00DB31F1"/>
    <w:rsid w:val="00DB3899"/>
    <w:rsid w:val="00DB408A"/>
    <w:rsid w:val="00DB44A2"/>
    <w:rsid w:val="00DB44C5"/>
    <w:rsid w:val="00DB49B4"/>
    <w:rsid w:val="00DB4F9B"/>
    <w:rsid w:val="00DB5A84"/>
    <w:rsid w:val="00DB5EA6"/>
    <w:rsid w:val="00DB63C9"/>
    <w:rsid w:val="00DB6C92"/>
    <w:rsid w:val="00DB6C9A"/>
    <w:rsid w:val="00DB783D"/>
    <w:rsid w:val="00DC06D0"/>
    <w:rsid w:val="00DC0A33"/>
    <w:rsid w:val="00DC0F11"/>
    <w:rsid w:val="00DC1380"/>
    <w:rsid w:val="00DC1F27"/>
    <w:rsid w:val="00DC2519"/>
    <w:rsid w:val="00DC2BBC"/>
    <w:rsid w:val="00DC40AD"/>
    <w:rsid w:val="00DC4129"/>
    <w:rsid w:val="00DC68F7"/>
    <w:rsid w:val="00DC6D7B"/>
    <w:rsid w:val="00DC7496"/>
    <w:rsid w:val="00DC7A44"/>
    <w:rsid w:val="00DD08C0"/>
    <w:rsid w:val="00DD1E81"/>
    <w:rsid w:val="00DD321E"/>
    <w:rsid w:val="00DD3464"/>
    <w:rsid w:val="00DD3903"/>
    <w:rsid w:val="00DD516E"/>
    <w:rsid w:val="00DD56F0"/>
    <w:rsid w:val="00DD59BB"/>
    <w:rsid w:val="00DD5AEB"/>
    <w:rsid w:val="00DD5C1A"/>
    <w:rsid w:val="00DD5F2D"/>
    <w:rsid w:val="00DD6B68"/>
    <w:rsid w:val="00DD6C78"/>
    <w:rsid w:val="00DD6EE1"/>
    <w:rsid w:val="00DD7970"/>
    <w:rsid w:val="00DD79C6"/>
    <w:rsid w:val="00DE0188"/>
    <w:rsid w:val="00DE06F3"/>
    <w:rsid w:val="00DE0B98"/>
    <w:rsid w:val="00DE11C2"/>
    <w:rsid w:val="00DE13D3"/>
    <w:rsid w:val="00DE1F4B"/>
    <w:rsid w:val="00DE25AC"/>
    <w:rsid w:val="00DE3790"/>
    <w:rsid w:val="00DE3CF0"/>
    <w:rsid w:val="00DE3E98"/>
    <w:rsid w:val="00DE3F53"/>
    <w:rsid w:val="00DE410E"/>
    <w:rsid w:val="00DE42E3"/>
    <w:rsid w:val="00DE51EE"/>
    <w:rsid w:val="00DE5BD4"/>
    <w:rsid w:val="00DE6626"/>
    <w:rsid w:val="00DE78CB"/>
    <w:rsid w:val="00DF0B52"/>
    <w:rsid w:val="00DF0DF6"/>
    <w:rsid w:val="00DF1B14"/>
    <w:rsid w:val="00DF1C73"/>
    <w:rsid w:val="00DF2873"/>
    <w:rsid w:val="00DF373B"/>
    <w:rsid w:val="00DF37D3"/>
    <w:rsid w:val="00DF4D59"/>
    <w:rsid w:val="00DF564A"/>
    <w:rsid w:val="00DF573B"/>
    <w:rsid w:val="00DF5EC8"/>
    <w:rsid w:val="00DF6276"/>
    <w:rsid w:val="00DF63F9"/>
    <w:rsid w:val="00DF6819"/>
    <w:rsid w:val="00DF7C62"/>
    <w:rsid w:val="00E009AA"/>
    <w:rsid w:val="00E00F70"/>
    <w:rsid w:val="00E0117C"/>
    <w:rsid w:val="00E016D0"/>
    <w:rsid w:val="00E01895"/>
    <w:rsid w:val="00E01C21"/>
    <w:rsid w:val="00E028E5"/>
    <w:rsid w:val="00E02D50"/>
    <w:rsid w:val="00E02F7D"/>
    <w:rsid w:val="00E0387D"/>
    <w:rsid w:val="00E05753"/>
    <w:rsid w:val="00E0626F"/>
    <w:rsid w:val="00E0671D"/>
    <w:rsid w:val="00E06FB3"/>
    <w:rsid w:val="00E0735B"/>
    <w:rsid w:val="00E073A2"/>
    <w:rsid w:val="00E0797F"/>
    <w:rsid w:val="00E07C86"/>
    <w:rsid w:val="00E1052F"/>
    <w:rsid w:val="00E10598"/>
    <w:rsid w:val="00E1077D"/>
    <w:rsid w:val="00E108AF"/>
    <w:rsid w:val="00E1090B"/>
    <w:rsid w:val="00E10CE1"/>
    <w:rsid w:val="00E111AA"/>
    <w:rsid w:val="00E112A5"/>
    <w:rsid w:val="00E1138C"/>
    <w:rsid w:val="00E11ED6"/>
    <w:rsid w:val="00E11F05"/>
    <w:rsid w:val="00E11F44"/>
    <w:rsid w:val="00E1206A"/>
    <w:rsid w:val="00E12426"/>
    <w:rsid w:val="00E1340F"/>
    <w:rsid w:val="00E13BD4"/>
    <w:rsid w:val="00E14C27"/>
    <w:rsid w:val="00E14DF3"/>
    <w:rsid w:val="00E14F49"/>
    <w:rsid w:val="00E153D6"/>
    <w:rsid w:val="00E15B38"/>
    <w:rsid w:val="00E15BD3"/>
    <w:rsid w:val="00E1609A"/>
    <w:rsid w:val="00E16149"/>
    <w:rsid w:val="00E16499"/>
    <w:rsid w:val="00E16C86"/>
    <w:rsid w:val="00E17AE0"/>
    <w:rsid w:val="00E20979"/>
    <w:rsid w:val="00E20D3B"/>
    <w:rsid w:val="00E21748"/>
    <w:rsid w:val="00E21EF6"/>
    <w:rsid w:val="00E21FE5"/>
    <w:rsid w:val="00E22232"/>
    <w:rsid w:val="00E2243E"/>
    <w:rsid w:val="00E224EE"/>
    <w:rsid w:val="00E23194"/>
    <w:rsid w:val="00E232F0"/>
    <w:rsid w:val="00E235CA"/>
    <w:rsid w:val="00E23807"/>
    <w:rsid w:val="00E24610"/>
    <w:rsid w:val="00E24B84"/>
    <w:rsid w:val="00E25364"/>
    <w:rsid w:val="00E25921"/>
    <w:rsid w:val="00E26324"/>
    <w:rsid w:val="00E26325"/>
    <w:rsid w:val="00E2656A"/>
    <w:rsid w:val="00E2659A"/>
    <w:rsid w:val="00E27D89"/>
    <w:rsid w:val="00E27E65"/>
    <w:rsid w:val="00E301D2"/>
    <w:rsid w:val="00E311D9"/>
    <w:rsid w:val="00E319E0"/>
    <w:rsid w:val="00E31A3B"/>
    <w:rsid w:val="00E3250E"/>
    <w:rsid w:val="00E32AFC"/>
    <w:rsid w:val="00E3337E"/>
    <w:rsid w:val="00E33943"/>
    <w:rsid w:val="00E3406A"/>
    <w:rsid w:val="00E3419E"/>
    <w:rsid w:val="00E35131"/>
    <w:rsid w:val="00E35890"/>
    <w:rsid w:val="00E360E3"/>
    <w:rsid w:val="00E36631"/>
    <w:rsid w:val="00E368D8"/>
    <w:rsid w:val="00E37232"/>
    <w:rsid w:val="00E3748D"/>
    <w:rsid w:val="00E40494"/>
    <w:rsid w:val="00E4114E"/>
    <w:rsid w:val="00E41616"/>
    <w:rsid w:val="00E418A4"/>
    <w:rsid w:val="00E424A1"/>
    <w:rsid w:val="00E42812"/>
    <w:rsid w:val="00E43B71"/>
    <w:rsid w:val="00E43E22"/>
    <w:rsid w:val="00E43F6E"/>
    <w:rsid w:val="00E455D4"/>
    <w:rsid w:val="00E45F42"/>
    <w:rsid w:val="00E462CE"/>
    <w:rsid w:val="00E468AC"/>
    <w:rsid w:val="00E468DD"/>
    <w:rsid w:val="00E47BA8"/>
    <w:rsid w:val="00E500A1"/>
    <w:rsid w:val="00E500FD"/>
    <w:rsid w:val="00E50396"/>
    <w:rsid w:val="00E50600"/>
    <w:rsid w:val="00E50B34"/>
    <w:rsid w:val="00E51204"/>
    <w:rsid w:val="00E51C0B"/>
    <w:rsid w:val="00E51FDF"/>
    <w:rsid w:val="00E525CC"/>
    <w:rsid w:val="00E534B0"/>
    <w:rsid w:val="00E544AA"/>
    <w:rsid w:val="00E5459F"/>
    <w:rsid w:val="00E55D04"/>
    <w:rsid w:val="00E55EED"/>
    <w:rsid w:val="00E55FAC"/>
    <w:rsid w:val="00E56B76"/>
    <w:rsid w:val="00E575C2"/>
    <w:rsid w:val="00E57CFB"/>
    <w:rsid w:val="00E612A2"/>
    <w:rsid w:val="00E613A1"/>
    <w:rsid w:val="00E6240D"/>
    <w:rsid w:val="00E62519"/>
    <w:rsid w:val="00E6291C"/>
    <w:rsid w:val="00E636EB"/>
    <w:rsid w:val="00E63C3F"/>
    <w:rsid w:val="00E64769"/>
    <w:rsid w:val="00E64EBD"/>
    <w:rsid w:val="00E6515A"/>
    <w:rsid w:val="00E65FFF"/>
    <w:rsid w:val="00E66681"/>
    <w:rsid w:val="00E674DF"/>
    <w:rsid w:val="00E676DA"/>
    <w:rsid w:val="00E706AA"/>
    <w:rsid w:val="00E70756"/>
    <w:rsid w:val="00E70E87"/>
    <w:rsid w:val="00E70ED0"/>
    <w:rsid w:val="00E71D49"/>
    <w:rsid w:val="00E720D7"/>
    <w:rsid w:val="00E72C9A"/>
    <w:rsid w:val="00E73343"/>
    <w:rsid w:val="00E73779"/>
    <w:rsid w:val="00E74095"/>
    <w:rsid w:val="00E74C2D"/>
    <w:rsid w:val="00E74CF9"/>
    <w:rsid w:val="00E75224"/>
    <w:rsid w:val="00E7535E"/>
    <w:rsid w:val="00E75CF2"/>
    <w:rsid w:val="00E76D23"/>
    <w:rsid w:val="00E775AA"/>
    <w:rsid w:val="00E77BBF"/>
    <w:rsid w:val="00E77C0C"/>
    <w:rsid w:val="00E77D9E"/>
    <w:rsid w:val="00E80263"/>
    <w:rsid w:val="00E80277"/>
    <w:rsid w:val="00E80840"/>
    <w:rsid w:val="00E80E88"/>
    <w:rsid w:val="00E81474"/>
    <w:rsid w:val="00E81674"/>
    <w:rsid w:val="00E81D3A"/>
    <w:rsid w:val="00E83899"/>
    <w:rsid w:val="00E84A53"/>
    <w:rsid w:val="00E84C9A"/>
    <w:rsid w:val="00E84EA4"/>
    <w:rsid w:val="00E851D5"/>
    <w:rsid w:val="00E85A61"/>
    <w:rsid w:val="00E85EFE"/>
    <w:rsid w:val="00E86085"/>
    <w:rsid w:val="00E8649D"/>
    <w:rsid w:val="00E871AA"/>
    <w:rsid w:val="00E87CCE"/>
    <w:rsid w:val="00E915EB"/>
    <w:rsid w:val="00E917E1"/>
    <w:rsid w:val="00E919A1"/>
    <w:rsid w:val="00E91FF5"/>
    <w:rsid w:val="00E9262F"/>
    <w:rsid w:val="00E929D7"/>
    <w:rsid w:val="00E92FC0"/>
    <w:rsid w:val="00E93037"/>
    <w:rsid w:val="00E9361A"/>
    <w:rsid w:val="00E93B2F"/>
    <w:rsid w:val="00E93E4A"/>
    <w:rsid w:val="00E94BCC"/>
    <w:rsid w:val="00E94F28"/>
    <w:rsid w:val="00E9563C"/>
    <w:rsid w:val="00E95C11"/>
    <w:rsid w:val="00E960EE"/>
    <w:rsid w:val="00E9679A"/>
    <w:rsid w:val="00E96E6B"/>
    <w:rsid w:val="00EA0637"/>
    <w:rsid w:val="00EA06A4"/>
    <w:rsid w:val="00EA094C"/>
    <w:rsid w:val="00EA0963"/>
    <w:rsid w:val="00EA0BDA"/>
    <w:rsid w:val="00EA0DB3"/>
    <w:rsid w:val="00EA1240"/>
    <w:rsid w:val="00EA1E03"/>
    <w:rsid w:val="00EA1F6B"/>
    <w:rsid w:val="00EA29CC"/>
    <w:rsid w:val="00EA35AC"/>
    <w:rsid w:val="00EA3FD4"/>
    <w:rsid w:val="00EA44A3"/>
    <w:rsid w:val="00EA4CF3"/>
    <w:rsid w:val="00EA563D"/>
    <w:rsid w:val="00EA6249"/>
    <w:rsid w:val="00EA628D"/>
    <w:rsid w:val="00EA6647"/>
    <w:rsid w:val="00EA66CC"/>
    <w:rsid w:val="00EA6C1D"/>
    <w:rsid w:val="00EA6CA8"/>
    <w:rsid w:val="00EA6E7C"/>
    <w:rsid w:val="00EA71EB"/>
    <w:rsid w:val="00EA736C"/>
    <w:rsid w:val="00EB0560"/>
    <w:rsid w:val="00EB0724"/>
    <w:rsid w:val="00EB0A96"/>
    <w:rsid w:val="00EB212D"/>
    <w:rsid w:val="00EB2E17"/>
    <w:rsid w:val="00EB3291"/>
    <w:rsid w:val="00EB3FE1"/>
    <w:rsid w:val="00EB50B6"/>
    <w:rsid w:val="00EB57E9"/>
    <w:rsid w:val="00EB57EB"/>
    <w:rsid w:val="00EB5838"/>
    <w:rsid w:val="00EB5F6F"/>
    <w:rsid w:val="00EB6315"/>
    <w:rsid w:val="00EC1B25"/>
    <w:rsid w:val="00EC2BBE"/>
    <w:rsid w:val="00EC2FB2"/>
    <w:rsid w:val="00EC339E"/>
    <w:rsid w:val="00EC3A0D"/>
    <w:rsid w:val="00EC3E31"/>
    <w:rsid w:val="00EC4E38"/>
    <w:rsid w:val="00EC5B74"/>
    <w:rsid w:val="00EC6196"/>
    <w:rsid w:val="00EC6B2A"/>
    <w:rsid w:val="00EC722B"/>
    <w:rsid w:val="00EC7499"/>
    <w:rsid w:val="00EC7650"/>
    <w:rsid w:val="00EC79D2"/>
    <w:rsid w:val="00EC7FEE"/>
    <w:rsid w:val="00ED0B0F"/>
    <w:rsid w:val="00ED1ECF"/>
    <w:rsid w:val="00ED2790"/>
    <w:rsid w:val="00ED2DBF"/>
    <w:rsid w:val="00ED2F1E"/>
    <w:rsid w:val="00ED3047"/>
    <w:rsid w:val="00ED3205"/>
    <w:rsid w:val="00ED347C"/>
    <w:rsid w:val="00ED3E43"/>
    <w:rsid w:val="00ED3F44"/>
    <w:rsid w:val="00ED5143"/>
    <w:rsid w:val="00ED60CB"/>
    <w:rsid w:val="00ED6174"/>
    <w:rsid w:val="00ED6741"/>
    <w:rsid w:val="00ED6997"/>
    <w:rsid w:val="00ED69DA"/>
    <w:rsid w:val="00ED73DF"/>
    <w:rsid w:val="00ED7FAD"/>
    <w:rsid w:val="00EE018D"/>
    <w:rsid w:val="00EE1666"/>
    <w:rsid w:val="00EE189C"/>
    <w:rsid w:val="00EE1DA4"/>
    <w:rsid w:val="00EE36C4"/>
    <w:rsid w:val="00EE492B"/>
    <w:rsid w:val="00EE6359"/>
    <w:rsid w:val="00EE63BB"/>
    <w:rsid w:val="00EE6F0D"/>
    <w:rsid w:val="00EE7930"/>
    <w:rsid w:val="00EE7AF3"/>
    <w:rsid w:val="00EE7C77"/>
    <w:rsid w:val="00EF2443"/>
    <w:rsid w:val="00EF284B"/>
    <w:rsid w:val="00EF3204"/>
    <w:rsid w:val="00EF32F8"/>
    <w:rsid w:val="00EF5D04"/>
    <w:rsid w:val="00EF6018"/>
    <w:rsid w:val="00EF663E"/>
    <w:rsid w:val="00EF6FC0"/>
    <w:rsid w:val="00F00A24"/>
    <w:rsid w:val="00F00C1B"/>
    <w:rsid w:val="00F00C6E"/>
    <w:rsid w:val="00F0130B"/>
    <w:rsid w:val="00F01C29"/>
    <w:rsid w:val="00F01EB2"/>
    <w:rsid w:val="00F02066"/>
    <w:rsid w:val="00F020C3"/>
    <w:rsid w:val="00F02134"/>
    <w:rsid w:val="00F0213D"/>
    <w:rsid w:val="00F0275F"/>
    <w:rsid w:val="00F03BD1"/>
    <w:rsid w:val="00F03F19"/>
    <w:rsid w:val="00F04633"/>
    <w:rsid w:val="00F048DD"/>
    <w:rsid w:val="00F04BD7"/>
    <w:rsid w:val="00F05073"/>
    <w:rsid w:val="00F0538D"/>
    <w:rsid w:val="00F054EE"/>
    <w:rsid w:val="00F06243"/>
    <w:rsid w:val="00F063BC"/>
    <w:rsid w:val="00F06F8E"/>
    <w:rsid w:val="00F0746C"/>
    <w:rsid w:val="00F07D07"/>
    <w:rsid w:val="00F11124"/>
    <w:rsid w:val="00F11463"/>
    <w:rsid w:val="00F127DF"/>
    <w:rsid w:val="00F1295A"/>
    <w:rsid w:val="00F13BB9"/>
    <w:rsid w:val="00F13C39"/>
    <w:rsid w:val="00F14139"/>
    <w:rsid w:val="00F14289"/>
    <w:rsid w:val="00F142FA"/>
    <w:rsid w:val="00F145F5"/>
    <w:rsid w:val="00F14722"/>
    <w:rsid w:val="00F14BE6"/>
    <w:rsid w:val="00F15777"/>
    <w:rsid w:val="00F15E93"/>
    <w:rsid w:val="00F15F28"/>
    <w:rsid w:val="00F16CC4"/>
    <w:rsid w:val="00F16E98"/>
    <w:rsid w:val="00F1719F"/>
    <w:rsid w:val="00F172AF"/>
    <w:rsid w:val="00F17530"/>
    <w:rsid w:val="00F17CB7"/>
    <w:rsid w:val="00F21C42"/>
    <w:rsid w:val="00F21E06"/>
    <w:rsid w:val="00F21FAB"/>
    <w:rsid w:val="00F2233D"/>
    <w:rsid w:val="00F22491"/>
    <w:rsid w:val="00F2295D"/>
    <w:rsid w:val="00F2296B"/>
    <w:rsid w:val="00F2298B"/>
    <w:rsid w:val="00F230DA"/>
    <w:rsid w:val="00F233E1"/>
    <w:rsid w:val="00F23D4A"/>
    <w:rsid w:val="00F24D4F"/>
    <w:rsid w:val="00F24F9A"/>
    <w:rsid w:val="00F254E7"/>
    <w:rsid w:val="00F26302"/>
    <w:rsid w:val="00F270A2"/>
    <w:rsid w:val="00F27594"/>
    <w:rsid w:val="00F279C1"/>
    <w:rsid w:val="00F27C73"/>
    <w:rsid w:val="00F27DC8"/>
    <w:rsid w:val="00F30112"/>
    <w:rsid w:val="00F3073A"/>
    <w:rsid w:val="00F30BA1"/>
    <w:rsid w:val="00F30CC4"/>
    <w:rsid w:val="00F30F2D"/>
    <w:rsid w:val="00F31657"/>
    <w:rsid w:val="00F323B3"/>
    <w:rsid w:val="00F32448"/>
    <w:rsid w:val="00F32922"/>
    <w:rsid w:val="00F32C40"/>
    <w:rsid w:val="00F3395E"/>
    <w:rsid w:val="00F34C02"/>
    <w:rsid w:val="00F34EC5"/>
    <w:rsid w:val="00F3504D"/>
    <w:rsid w:val="00F3598C"/>
    <w:rsid w:val="00F36DC7"/>
    <w:rsid w:val="00F37279"/>
    <w:rsid w:val="00F37663"/>
    <w:rsid w:val="00F37799"/>
    <w:rsid w:val="00F37BEB"/>
    <w:rsid w:val="00F37D4B"/>
    <w:rsid w:val="00F40713"/>
    <w:rsid w:val="00F4099F"/>
    <w:rsid w:val="00F40CE2"/>
    <w:rsid w:val="00F410B5"/>
    <w:rsid w:val="00F41706"/>
    <w:rsid w:val="00F41954"/>
    <w:rsid w:val="00F41A40"/>
    <w:rsid w:val="00F42496"/>
    <w:rsid w:val="00F42BEB"/>
    <w:rsid w:val="00F42D25"/>
    <w:rsid w:val="00F4342A"/>
    <w:rsid w:val="00F44618"/>
    <w:rsid w:val="00F44E64"/>
    <w:rsid w:val="00F45AA0"/>
    <w:rsid w:val="00F45D35"/>
    <w:rsid w:val="00F46CDD"/>
    <w:rsid w:val="00F47FFB"/>
    <w:rsid w:val="00F51365"/>
    <w:rsid w:val="00F51D71"/>
    <w:rsid w:val="00F520D0"/>
    <w:rsid w:val="00F52215"/>
    <w:rsid w:val="00F52D53"/>
    <w:rsid w:val="00F52F6B"/>
    <w:rsid w:val="00F53CB6"/>
    <w:rsid w:val="00F545FE"/>
    <w:rsid w:val="00F55A83"/>
    <w:rsid w:val="00F56051"/>
    <w:rsid w:val="00F561D0"/>
    <w:rsid w:val="00F563A5"/>
    <w:rsid w:val="00F56A6C"/>
    <w:rsid w:val="00F56C49"/>
    <w:rsid w:val="00F571E9"/>
    <w:rsid w:val="00F57B2D"/>
    <w:rsid w:val="00F60FDE"/>
    <w:rsid w:val="00F617AD"/>
    <w:rsid w:val="00F6225B"/>
    <w:rsid w:val="00F633CE"/>
    <w:rsid w:val="00F63871"/>
    <w:rsid w:val="00F64046"/>
    <w:rsid w:val="00F64160"/>
    <w:rsid w:val="00F647F8"/>
    <w:rsid w:val="00F64846"/>
    <w:rsid w:val="00F65158"/>
    <w:rsid w:val="00F667EA"/>
    <w:rsid w:val="00F6696E"/>
    <w:rsid w:val="00F676E4"/>
    <w:rsid w:val="00F67934"/>
    <w:rsid w:val="00F70464"/>
    <w:rsid w:val="00F70932"/>
    <w:rsid w:val="00F70EAC"/>
    <w:rsid w:val="00F710D1"/>
    <w:rsid w:val="00F71588"/>
    <w:rsid w:val="00F71891"/>
    <w:rsid w:val="00F71A27"/>
    <w:rsid w:val="00F71FC9"/>
    <w:rsid w:val="00F72678"/>
    <w:rsid w:val="00F727D7"/>
    <w:rsid w:val="00F73BEB"/>
    <w:rsid w:val="00F73C4A"/>
    <w:rsid w:val="00F73E57"/>
    <w:rsid w:val="00F741D2"/>
    <w:rsid w:val="00F74AD4"/>
    <w:rsid w:val="00F74C0E"/>
    <w:rsid w:val="00F74E8B"/>
    <w:rsid w:val="00F754C2"/>
    <w:rsid w:val="00F75A4B"/>
    <w:rsid w:val="00F762BF"/>
    <w:rsid w:val="00F7649B"/>
    <w:rsid w:val="00F76AE7"/>
    <w:rsid w:val="00F77E1F"/>
    <w:rsid w:val="00F80074"/>
    <w:rsid w:val="00F802FB"/>
    <w:rsid w:val="00F80462"/>
    <w:rsid w:val="00F81A0C"/>
    <w:rsid w:val="00F8246C"/>
    <w:rsid w:val="00F8401C"/>
    <w:rsid w:val="00F84367"/>
    <w:rsid w:val="00F84DF6"/>
    <w:rsid w:val="00F856EE"/>
    <w:rsid w:val="00F85AA8"/>
    <w:rsid w:val="00F85B6F"/>
    <w:rsid w:val="00F85EEF"/>
    <w:rsid w:val="00F8743A"/>
    <w:rsid w:val="00F87C66"/>
    <w:rsid w:val="00F90072"/>
    <w:rsid w:val="00F9013C"/>
    <w:rsid w:val="00F91286"/>
    <w:rsid w:val="00F91483"/>
    <w:rsid w:val="00F921A7"/>
    <w:rsid w:val="00F92B8C"/>
    <w:rsid w:val="00F938C3"/>
    <w:rsid w:val="00F93A3B"/>
    <w:rsid w:val="00F93B03"/>
    <w:rsid w:val="00F93D29"/>
    <w:rsid w:val="00F93D3D"/>
    <w:rsid w:val="00F94683"/>
    <w:rsid w:val="00F94732"/>
    <w:rsid w:val="00F94E95"/>
    <w:rsid w:val="00F94EE7"/>
    <w:rsid w:val="00F94F3C"/>
    <w:rsid w:val="00F9608B"/>
    <w:rsid w:val="00F96F26"/>
    <w:rsid w:val="00F97677"/>
    <w:rsid w:val="00F97A53"/>
    <w:rsid w:val="00F97BE1"/>
    <w:rsid w:val="00FA08FC"/>
    <w:rsid w:val="00FA0928"/>
    <w:rsid w:val="00FA1361"/>
    <w:rsid w:val="00FA17CE"/>
    <w:rsid w:val="00FA1A3E"/>
    <w:rsid w:val="00FA1F9F"/>
    <w:rsid w:val="00FA1FEB"/>
    <w:rsid w:val="00FA2FE2"/>
    <w:rsid w:val="00FA3A2E"/>
    <w:rsid w:val="00FA3F34"/>
    <w:rsid w:val="00FA59C5"/>
    <w:rsid w:val="00FA7E9D"/>
    <w:rsid w:val="00FB12CD"/>
    <w:rsid w:val="00FB15C1"/>
    <w:rsid w:val="00FB2152"/>
    <w:rsid w:val="00FB2260"/>
    <w:rsid w:val="00FB2D9F"/>
    <w:rsid w:val="00FB30C0"/>
    <w:rsid w:val="00FB371E"/>
    <w:rsid w:val="00FB3B00"/>
    <w:rsid w:val="00FB3BBE"/>
    <w:rsid w:val="00FB3BF5"/>
    <w:rsid w:val="00FB4418"/>
    <w:rsid w:val="00FB4E08"/>
    <w:rsid w:val="00FB4F9E"/>
    <w:rsid w:val="00FB50A5"/>
    <w:rsid w:val="00FB54EB"/>
    <w:rsid w:val="00FB5758"/>
    <w:rsid w:val="00FB6581"/>
    <w:rsid w:val="00FB67B9"/>
    <w:rsid w:val="00FB7387"/>
    <w:rsid w:val="00FB7802"/>
    <w:rsid w:val="00FB7C06"/>
    <w:rsid w:val="00FC04F8"/>
    <w:rsid w:val="00FC0815"/>
    <w:rsid w:val="00FC0886"/>
    <w:rsid w:val="00FC18FB"/>
    <w:rsid w:val="00FC1F13"/>
    <w:rsid w:val="00FC2246"/>
    <w:rsid w:val="00FC25C0"/>
    <w:rsid w:val="00FC289A"/>
    <w:rsid w:val="00FC2C95"/>
    <w:rsid w:val="00FC2E22"/>
    <w:rsid w:val="00FC33CB"/>
    <w:rsid w:val="00FC4832"/>
    <w:rsid w:val="00FC4A9D"/>
    <w:rsid w:val="00FC517B"/>
    <w:rsid w:val="00FC53F8"/>
    <w:rsid w:val="00FC5F8D"/>
    <w:rsid w:val="00FC606C"/>
    <w:rsid w:val="00FC6C42"/>
    <w:rsid w:val="00FC6F63"/>
    <w:rsid w:val="00FC728E"/>
    <w:rsid w:val="00FC74F5"/>
    <w:rsid w:val="00FC7BFA"/>
    <w:rsid w:val="00FD005D"/>
    <w:rsid w:val="00FD0106"/>
    <w:rsid w:val="00FD148C"/>
    <w:rsid w:val="00FD17E3"/>
    <w:rsid w:val="00FD364D"/>
    <w:rsid w:val="00FD417D"/>
    <w:rsid w:val="00FD4424"/>
    <w:rsid w:val="00FD4E62"/>
    <w:rsid w:val="00FD4FB3"/>
    <w:rsid w:val="00FD5E03"/>
    <w:rsid w:val="00FD5F9E"/>
    <w:rsid w:val="00FD606C"/>
    <w:rsid w:val="00FD643A"/>
    <w:rsid w:val="00FD7047"/>
    <w:rsid w:val="00FD713B"/>
    <w:rsid w:val="00FD7464"/>
    <w:rsid w:val="00FD7CB7"/>
    <w:rsid w:val="00FD7DA7"/>
    <w:rsid w:val="00FD7F20"/>
    <w:rsid w:val="00FE1AB7"/>
    <w:rsid w:val="00FE22FF"/>
    <w:rsid w:val="00FE2C6E"/>
    <w:rsid w:val="00FE3CA3"/>
    <w:rsid w:val="00FE479E"/>
    <w:rsid w:val="00FE50B4"/>
    <w:rsid w:val="00FE5672"/>
    <w:rsid w:val="00FE598F"/>
    <w:rsid w:val="00FE62B5"/>
    <w:rsid w:val="00FE68FB"/>
    <w:rsid w:val="00FE78BA"/>
    <w:rsid w:val="00FE79CF"/>
    <w:rsid w:val="00FF054A"/>
    <w:rsid w:val="00FF0989"/>
    <w:rsid w:val="00FF100A"/>
    <w:rsid w:val="00FF12E5"/>
    <w:rsid w:val="00FF23C6"/>
    <w:rsid w:val="00FF39DF"/>
    <w:rsid w:val="00FF4223"/>
    <w:rsid w:val="00FF42F7"/>
    <w:rsid w:val="00FF4466"/>
    <w:rsid w:val="00FF474B"/>
    <w:rsid w:val="00FF480A"/>
    <w:rsid w:val="00FF5260"/>
    <w:rsid w:val="00FF5995"/>
    <w:rsid w:val="00FF71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631D92"/>
  <w15:chartTrackingRefBased/>
  <w15:docId w15:val="{1BDA39A0-5B88-4DD6-A0F4-E3E9F521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36EBE"/>
    <w:pPr>
      <w:spacing w:after="120" w:line="240" w:lineRule="auto"/>
    </w:pPr>
    <w:rPr>
      <w:rFonts w:ascii="Calibri" w:hAnsi="Calibri" w:cs="Times New Roman"/>
      <w:sz w:val="24"/>
      <w:szCs w:val="24"/>
    </w:rPr>
  </w:style>
  <w:style w:type="paragraph" w:styleId="Nadpis1">
    <w:name w:val="heading 1"/>
    <w:basedOn w:val="Normln"/>
    <w:next w:val="Normln"/>
    <w:link w:val="Nadpis1Char"/>
    <w:qFormat/>
    <w:rsid w:val="0033466E"/>
    <w:pPr>
      <w:spacing w:after="160" w:line="259" w:lineRule="auto"/>
      <w:jc w:val="center"/>
      <w:outlineLvl w:val="0"/>
    </w:pPr>
    <w:rPr>
      <w:rFonts w:asciiTheme="minorHAnsi" w:eastAsiaTheme="minorHAnsi" w:hAnsiTheme="minorHAnsi" w:cstheme="minorHAnsi"/>
      <w:b/>
      <w:sz w:val="28"/>
      <w:szCs w:val="28"/>
    </w:rPr>
  </w:style>
  <w:style w:type="paragraph" w:styleId="Nadpis2">
    <w:name w:val="heading 2"/>
    <w:basedOn w:val="Odstavecseseznamem"/>
    <w:next w:val="Normln"/>
    <w:link w:val="Nadpis2Char"/>
    <w:uiPriority w:val="9"/>
    <w:unhideWhenUsed/>
    <w:qFormat/>
    <w:rsid w:val="006F3F69"/>
    <w:pPr>
      <w:numPr>
        <w:numId w:val="1"/>
      </w:numPr>
      <w:spacing w:after="60" w:line="259" w:lineRule="auto"/>
      <w:jc w:val="both"/>
      <w:outlineLvl w:val="1"/>
    </w:pPr>
    <w:rPr>
      <w:rFonts w:asciiTheme="minorHAnsi" w:eastAsia="Calibri" w:hAnsiTheme="minorHAnsi" w:cstheme="minorHAnsi"/>
      <w:b/>
    </w:rPr>
  </w:style>
  <w:style w:type="paragraph" w:styleId="Nadpis3">
    <w:name w:val="heading 3"/>
    <w:basedOn w:val="Odstavecseseznamem"/>
    <w:next w:val="Normln"/>
    <w:link w:val="Nadpis3Char"/>
    <w:uiPriority w:val="9"/>
    <w:unhideWhenUsed/>
    <w:qFormat/>
    <w:rsid w:val="0043045F"/>
    <w:pPr>
      <w:keepNext/>
      <w:numPr>
        <w:ilvl w:val="1"/>
        <w:numId w:val="2"/>
      </w:numPr>
      <w:spacing w:after="0"/>
      <w:jc w:val="both"/>
      <w:outlineLvl w:val="2"/>
    </w:pPr>
    <w:rPr>
      <w:rFonts w:cs="Calibri"/>
      <w:b/>
    </w:rPr>
  </w:style>
  <w:style w:type="paragraph" w:styleId="Nadpis4">
    <w:name w:val="heading 4"/>
    <w:basedOn w:val="Normln"/>
    <w:next w:val="Normln"/>
    <w:link w:val="Nadpis4Char"/>
    <w:uiPriority w:val="9"/>
    <w:unhideWhenUsed/>
    <w:qFormat/>
    <w:rsid w:val="00115015"/>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15015"/>
    <w:pPr>
      <w:keepNext/>
      <w:keepLines/>
      <w:spacing w:before="40" w:after="0"/>
      <w:ind w:left="1008" w:hanging="1008"/>
      <w:outlineLvl w:val="4"/>
    </w:pPr>
    <w:rPr>
      <w:rFonts w:ascii="Arial" w:hAnsi="Arial"/>
      <w:b/>
      <w:bCs/>
      <w:sz w:val="22"/>
      <w:szCs w:val="26"/>
      <w:u w:val="single"/>
    </w:rPr>
  </w:style>
  <w:style w:type="paragraph" w:styleId="Nadpis6">
    <w:name w:val="heading 6"/>
    <w:basedOn w:val="Normln"/>
    <w:next w:val="Normln"/>
    <w:link w:val="Nadpis6Char"/>
    <w:unhideWhenUsed/>
    <w:qFormat/>
    <w:rsid w:val="0022055C"/>
    <w:pPr>
      <w:keepNext/>
      <w:spacing w:before="120" w:after="0"/>
      <w:jc w:val="center"/>
      <w:outlineLvl w:val="5"/>
    </w:pPr>
    <w:rPr>
      <w:rFonts w:ascii="Times New Roman" w:hAnsi="Times New Roman"/>
      <w:b/>
      <w:bCs/>
    </w:rPr>
  </w:style>
  <w:style w:type="paragraph" w:styleId="Nadpis7">
    <w:name w:val="heading 7"/>
    <w:basedOn w:val="Normln"/>
    <w:next w:val="Normln"/>
    <w:link w:val="Nadpis7Char"/>
    <w:uiPriority w:val="9"/>
    <w:unhideWhenUsed/>
    <w:qFormat/>
    <w:rsid w:val="00115015"/>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1501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1501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3466E"/>
    <w:rPr>
      <w:rFonts w:eastAsiaTheme="minorHAnsi" w:cstheme="minorHAnsi"/>
      <w:b/>
      <w:sz w:val="28"/>
      <w:szCs w:val="28"/>
    </w:rPr>
  </w:style>
  <w:style w:type="paragraph" w:styleId="Odstavecseseznamem">
    <w:name w:val="List Paragraph"/>
    <w:aliases w:val="Nad,Nadpis pro KZ,Odstavec_muj,odrážky,List Paragraph_0,List Paragraph,Odstavec cíl se seznamem,List Paragraph (Czech Tourism),Odstavec se seznamem5,Odstavec_muj1,Odstavec_muj2,Odstavec_muj3,Nad1,List Paragraph1,Odstavec_muj4,Nad2"/>
    <w:basedOn w:val="Normln"/>
    <w:link w:val="OdstavecseseznamemChar"/>
    <w:uiPriority w:val="34"/>
    <w:qFormat/>
    <w:rsid w:val="00F21FAB"/>
    <w:pPr>
      <w:ind w:left="720"/>
      <w:contextualSpacing/>
    </w:pPr>
  </w:style>
  <w:style w:type="character" w:customStyle="1" w:styleId="OdstavecseseznamemChar">
    <w:name w:val="Odstavec se seznamem Char"/>
    <w:aliases w:val="Nad Char,Nadpis pro KZ Char,Odstavec_muj Char,odrážky Char,List Paragraph_0 Char,List Paragraph Char,Odstavec cíl se seznamem Char,List Paragraph (Czech Tourism) Char,Odstavec se seznamem5 Char,Odstavec_muj1 Char,Nad1 Char"/>
    <w:link w:val="Odstavecseseznamem"/>
    <w:uiPriority w:val="34"/>
    <w:locked/>
    <w:rsid w:val="004139C8"/>
    <w:rPr>
      <w:rFonts w:ascii="Calibri" w:hAnsi="Calibri" w:cs="Times New Roman"/>
      <w:sz w:val="24"/>
      <w:szCs w:val="24"/>
    </w:rPr>
  </w:style>
  <w:style w:type="character" w:customStyle="1" w:styleId="Nadpis2Char">
    <w:name w:val="Nadpis 2 Char"/>
    <w:basedOn w:val="Standardnpsmoodstavce"/>
    <w:link w:val="Nadpis2"/>
    <w:uiPriority w:val="9"/>
    <w:rsid w:val="006F3F69"/>
    <w:rPr>
      <w:rFonts w:eastAsia="Calibri" w:cstheme="minorHAnsi"/>
      <w:b/>
      <w:sz w:val="24"/>
      <w:szCs w:val="24"/>
    </w:rPr>
  </w:style>
  <w:style w:type="character" w:customStyle="1" w:styleId="Nadpis3Char">
    <w:name w:val="Nadpis 3 Char"/>
    <w:basedOn w:val="Standardnpsmoodstavce"/>
    <w:link w:val="Nadpis3"/>
    <w:uiPriority w:val="9"/>
    <w:rsid w:val="0043045F"/>
    <w:rPr>
      <w:rFonts w:ascii="Calibri" w:hAnsi="Calibri" w:cs="Calibri"/>
      <w:b/>
      <w:sz w:val="24"/>
      <w:szCs w:val="24"/>
    </w:rPr>
  </w:style>
  <w:style w:type="character" w:customStyle="1" w:styleId="Nadpis4Char">
    <w:name w:val="Nadpis 4 Char"/>
    <w:basedOn w:val="Standardnpsmoodstavce"/>
    <w:link w:val="Nadpis4"/>
    <w:uiPriority w:val="9"/>
    <w:rsid w:val="00115015"/>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uiPriority w:val="9"/>
    <w:semiHidden/>
    <w:rsid w:val="00C52E1A"/>
    <w:rPr>
      <w:rFonts w:ascii="Arial" w:hAnsi="Arial" w:cs="Times New Roman"/>
      <w:b/>
      <w:bCs/>
      <w:szCs w:val="26"/>
      <w:u w:val="single"/>
    </w:rPr>
  </w:style>
  <w:style w:type="character" w:customStyle="1" w:styleId="Nadpis6Char">
    <w:name w:val="Nadpis 6 Char"/>
    <w:basedOn w:val="Standardnpsmoodstavce"/>
    <w:link w:val="Nadpis6"/>
    <w:rsid w:val="0022055C"/>
    <w:rPr>
      <w:rFonts w:ascii="Times New Roman" w:hAnsi="Times New Roman" w:cs="Times New Roman"/>
      <w:b/>
      <w:bCs/>
      <w:sz w:val="24"/>
      <w:szCs w:val="24"/>
    </w:rPr>
  </w:style>
  <w:style w:type="character" w:customStyle="1" w:styleId="Nadpis7Char">
    <w:name w:val="Nadpis 7 Char"/>
    <w:basedOn w:val="Standardnpsmoodstavce"/>
    <w:link w:val="Nadpis7"/>
    <w:uiPriority w:val="9"/>
    <w:rsid w:val="00115015"/>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
    <w:semiHidden/>
    <w:rsid w:val="0011501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15015"/>
    <w:rPr>
      <w:rFonts w:asciiTheme="majorHAnsi" w:eastAsiaTheme="majorEastAsia" w:hAnsiTheme="majorHAnsi" w:cstheme="majorBidi"/>
      <w:i/>
      <w:iCs/>
      <w:color w:val="272727" w:themeColor="text1" w:themeTint="D8"/>
      <w:sz w:val="21"/>
      <w:szCs w:val="21"/>
    </w:rPr>
  </w:style>
  <w:style w:type="character" w:styleId="Znakapoznpodarou">
    <w:name w:val="footnote reference"/>
    <w:aliases w:val="12 b.,PGI Fußnote Ziffer,PGI Fußnote Ziffer + Times New Roman,Zúžené o ...,number,BVI fnr,Footnote symbol,Footnote Reference Superscript,Appel note de bas de p,Appel note de bas de page,Légende,Char Car Car Car Car"/>
    <w:basedOn w:val="Standardnpsmoodstavce"/>
    <w:uiPriority w:val="99"/>
    <w:qFormat/>
    <w:rsid w:val="002B7978"/>
    <w:rPr>
      <w:vertAlign w:val="superscript"/>
    </w:rPr>
  </w:style>
  <w:style w:type="paragraph" w:styleId="Textpoznpodarou">
    <w:name w:val="footnote text"/>
    <w:aliases w:val="Boston 10,Font: Geneva 9,Footnote,Fußnotentextf,Geneva 9,Podrozdzia3,Podrozdział,Schriftart: 10 pt,Schriftart: 8 pt,Schriftart: 9 pt,Text pozn. pod čarou times,Text poznámky pod čiarou 007,f,pozn. pod čarou"/>
    <w:basedOn w:val="Normln"/>
    <w:link w:val="TextpoznpodarouChar"/>
    <w:uiPriority w:val="99"/>
    <w:qFormat/>
    <w:rsid w:val="002B7978"/>
    <w:pPr>
      <w:spacing w:after="0"/>
    </w:pPr>
    <w:rPr>
      <w:rFonts w:ascii="Times New Roman" w:hAnsi="Times New Roman"/>
      <w:sz w:val="20"/>
      <w:szCs w:val="20"/>
      <w:lang w:eastAsia="cs-CZ"/>
    </w:rPr>
  </w:style>
  <w:style w:type="character" w:customStyle="1" w:styleId="TextpoznpodarouChar">
    <w:name w:val="Text pozn. pod čarou Char"/>
    <w:aliases w:val="Boston 10 Char,Font: Geneva 9 Char,Footnote Char,Fußnotentextf Char,Geneva 9 Char,Podrozdzia3 Char,Podrozdział Char,Schriftart: 10 pt Char,Schriftart: 8 pt Char,Schriftart: 9 pt Char,Text pozn. pod čarou times Char,f Char"/>
    <w:basedOn w:val="Standardnpsmoodstavce"/>
    <w:link w:val="Textpoznpodarou"/>
    <w:uiPriority w:val="99"/>
    <w:rsid w:val="002B7978"/>
    <w:rPr>
      <w:rFonts w:ascii="Times New Roman" w:hAnsi="Times New Roman" w:cs="Times New Roman"/>
      <w:sz w:val="20"/>
      <w:szCs w:val="20"/>
      <w:lang w:eastAsia="cs-CZ"/>
    </w:rPr>
  </w:style>
  <w:style w:type="character" w:styleId="Hypertextovodkaz">
    <w:name w:val="Hyperlink"/>
    <w:basedOn w:val="Standardnpsmoodstavce"/>
    <w:uiPriority w:val="99"/>
    <w:unhideWhenUsed/>
    <w:rsid w:val="00FE78BA"/>
    <w:rPr>
      <w:color w:val="0563C1" w:themeColor="hyperlink"/>
      <w:u w:val="single"/>
    </w:rPr>
  </w:style>
  <w:style w:type="paragraph" w:customStyle="1" w:styleId="textKZ">
    <w:name w:val="text KZ"/>
    <w:basedOn w:val="Normln"/>
    <w:link w:val="textKZChar"/>
    <w:qFormat/>
    <w:rsid w:val="00833A3E"/>
    <w:pPr>
      <w:jc w:val="both"/>
    </w:pPr>
  </w:style>
  <w:style w:type="character" w:customStyle="1" w:styleId="textKZChar">
    <w:name w:val="text KZ Char"/>
    <w:basedOn w:val="Standardnpsmoodstavce"/>
    <w:link w:val="textKZ"/>
    <w:rsid w:val="00833A3E"/>
    <w:rPr>
      <w:rFonts w:ascii="Calibri" w:hAnsi="Calibri" w:cs="Times New Roman"/>
      <w:sz w:val="24"/>
      <w:szCs w:val="24"/>
    </w:rPr>
  </w:style>
  <w:style w:type="paragraph" w:styleId="Zhlav">
    <w:name w:val="header"/>
    <w:basedOn w:val="Normln"/>
    <w:link w:val="ZhlavChar"/>
    <w:unhideWhenUsed/>
    <w:rsid w:val="007E5640"/>
    <w:pPr>
      <w:tabs>
        <w:tab w:val="center" w:pos="4536"/>
        <w:tab w:val="right" w:pos="9072"/>
      </w:tabs>
      <w:spacing w:after="0"/>
    </w:pPr>
  </w:style>
  <w:style w:type="character" w:customStyle="1" w:styleId="ZhlavChar">
    <w:name w:val="Záhlaví Char"/>
    <w:basedOn w:val="Standardnpsmoodstavce"/>
    <w:link w:val="Zhlav"/>
    <w:rsid w:val="007E5640"/>
    <w:rPr>
      <w:rFonts w:ascii="Calibri" w:hAnsi="Calibri" w:cs="Times New Roman"/>
      <w:sz w:val="24"/>
      <w:szCs w:val="24"/>
    </w:rPr>
  </w:style>
  <w:style w:type="paragraph" w:styleId="Zpat">
    <w:name w:val="footer"/>
    <w:basedOn w:val="Normln"/>
    <w:link w:val="ZpatChar"/>
    <w:uiPriority w:val="99"/>
    <w:unhideWhenUsed/>
    <w:rsid w:val="007E5640"/>
    <w:pPr>
      <w:tabs>
        <w:tab w:val="center" w:pos="4536"/>
        <w:tab w:val="right" w:pos="9072"/>
      </w:tabs>
      <w:spacing w:after="0"/>
    </w:pPr>
  </w:style>
  <w:style w:type="character" w:customStyle="1" w:styleId="ZpatChar">
    <w:name w:val="Zápatí Char"/>
    <w:basedOn w:val="Standardnpsmoodstavce"/>
    <w:link w:val="Zpat"/>
    <w:uiPriority w:val="99"/>
    <w:rsid w:val="007E5640"/>
    <w:rPr>
      <w:rFonts w:ascii="Calibri" w:hAnsi="Calibri" w:cs="Times New Roman"/>
      <w:sz w:val="24"/>
      <w:szCs w:val="24"/>
    </w:rPr>
  </w:style>
  <w:style w:type="paragraph" w:customStyle="1" w:styleId="NormlnKZ">
    <w:name w:val="Normální KZ"/>
    <w:basedOn w:val="Normln"/>
    <w:rsid w:val="001B19A8"/>
    <w:pPr>
      <w:ind w:firstLine="425"/>
      <w:jc w:val="both"/>
    </w:pPr>
    <w:rPr>
      <w:rFonts w:ascii="Times New Roman" w:hAnsi="Times New Roman"/>
      <w:sz w:val="22"/>
      <w:lang w:eastAsia="cs-CZ"/>
    </w:rPr>
  </w:style>
  <w:style w:type="paragraph" w:styleId="Textbubliny">
    <w:name w:val="Balloon Text"/>
    <w:basedOn w:val="Normln"/>
    <w:link w:val="TextbublinyChar"/>
    <w:uiPriority w:val="99"/>
    <w:semiHidden/>
    <w:unhideWhenUsed/>
    <w:rsid w:val="00CC272D"/>
    <w:pPr>
      <w:spacing w:after="0"/>
    </w:pPr>
    <w:rPr>
      <w:rFonts w:ascii="Arial" w:hAnsi="Arial" w:cs="Arial"/>
      <w:sz w:val="18"/>
      <w:szCs w:val="18"/>
    </w:rPr>
  </w:style>
  <w:style w:type="character" w:customStyle="1" w:styleId="TextbublinyChar">
    <w:name w:val="Text bubliny Char"/>
    <w:basedOn w:val="Standardnpsmoodstavce"/>
    <w:link w:val="Textbubliny"/>
    <w:uiPriority w:val="99"/>
    <w:semiHidden/>
    <w:rsid w:val="00CC272D"/>
    <w:rPr>
      <w:rFonts w:ascii="Arial" w:hAnsi="Arial" w:cs="Arial"/>
      <w:sz w:val="18"/>
      <w:szCs w:val="18"/>
    </w:rPr>
  </w:style>
  <w:style w:type="table" w:customStyle="1" w:styleId="Mkatabulky21">
    <w:name w:val="Mřížka tabulky21"/>
    <w:basedOn w:val="Normlntabulka"/>
    <w:next w:val="Mkatabulky"/>
    <w:uiPriority w:val="59"/>
    <w:rsid w:val="006B1B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6B1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1347E"/>
    <w:rPr>
      <w:sz w:val="16"/>
      <w:szCs w:val="16"/>
    </w:rPr>
  </w:style>
  <w:style w:type="paragraph" w:styleId="Textkomente">
    <w:name w:val="annotation text"/>
    <w:basedOn w:val="Normln"/>
    <w:link w:val="TextkomenteChar"/>
    <w:uiPriority w:val="99"/>
    <w:semiHidden/>
    <w:unhideWhenUsed/>
    <w:rsid w:val="0081347E"/>
    <w:rPr>
      <w:sz w:val="20"/>
      <w:szCs w:val="20"/>
    </w:rPr>
  </w:style>
  <w:style w:type="character" w:customStyle="1" w:styleId="TextkomenteChar">
    <w:name w:val="Text komentáře Char"/>
    <w:basedOn w:val="Standardnpsmoodstavce"/>
    <w:link w:val="Textkomente"/>
    <w:uiPriority w:val="99"/>
    <w:semiHidden/>
    <w:rsid w:val="0081347E"/>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1347E"/>
    <w:rPr>
      <w:b/>
      <w:bCs/>
    </w:rPr>
  </w:style>
  <w:style w:type="character" w:customStyle="1" w:styleId="PedmtkomenteChar">
    <w:name w:val="Předmět komentáře Char"/>
    <w:basedOn w:val="TextkomenteChar"/>
    <w:link w:val="Pedmtkomente"/>
    <w:uiPriority w:val="99"/>
    <w:semiHidden/>
    <w:rsid w:val="0081347E"/>
    <w:rPr>
      <w:rFonts w:ascii="Calibri" w:hAnsi="Calibri" w:cs="Times New Roman"/>
      <w:b/>
      <w:bCs/>
      <w:sz w:val="20"/>
      <w:szCs w:val="20"/>
    </w:rPr>
  </w:style>
  <w:style w:type="paragraph" w:customStyle="1" w:styleId="Default">
    <w:name w:val="Default"/>
    <w:rsid w:val="00F667EA"/>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5138A0"/>
    <w:pPr>
      <w:spacing w:after="0" w:line="240" w:lineRule="auto"/>
    </w:pPr>
    <w:rPr>
      <w:rFonts w:ascii="Calibri" w:hAnsi="Calibri" w:cs="Times New Roman"/>
      <w:sz w:val="24"/>
      <w:szCs w:val="24"/>
    </w:rPr>
  </w:style>
  <w:style w:type="character" w:styleId="Sledovanodkaz">
    <w:name w:val="FollowedHyperlink"/>
    <w:basedOn w:val="Standardnpsmoodstavce"/>
    <w:uiPriority w:val="99"/>
    <w:semiHidden/>
    <w:unhideWhenUsed/>
    <w:rsid w:val="007F120A"/>
    <w:rPr>
      <w:color w:val="954F72" w:themeColor="followedHyperlink"/>
      <w:u w:val="single"/>
    </w:rPr>
  </w:style>
  <w:style w:type="paragraph" w:customStyle="1" w:styleId="msonormal0">
    <w:name w:val="msonormal"/>
    <w:basedOn w:val="Normln"/>
    <w:rsid w:val="0022055C"/>
    <w:pPr>
      <w:spacing w:before="100" w:beforeAutospacing="1" w:after="100" w:afterAutospacing="1"/>
    </w:pPr>
    <w:rPr>
      <w:rFonts w:ascii="Times New Roman" w:hAnsi="Times New Roman"/>
      <w:lang w:eastAsia="cs-CZ"/>
    </w:rPr>
  </w:style>
  <w:style w:type="paragraph" w:styleId="Obsah1">
    <w:name w:val="toc 1"/>
    <w:basedOn w:val="Normln"/>
    <w:next w:val="Normln"/>
    <w:autoRedefine/>
    <w:uiPriority w:val="39"/>
    <w:unhideWhenUsed/>
    <w:rsid w:val="0022055C"/>
    <w:pPr>
      <w:spacing w:before="240"/>
    </w:pPr>
    <w:rPr>
      <w:rFonts w:asciiTheme="minorHAnsi" w:hAnsiTheme="minorHAnsi"/>
      <w:b/>
      <w:bCs/>
      <w:sz w:val="20"/>
      <w:szCs w:val="20"/>
    </w:rPr>
  </w:style>
  <w:style w:type="paragraph" w:styleId="Obsah6">
    <w:name w:val="toc 6"/>
    <w:basedOn w:val="Normln"/>
    <w:next w:val="Normln"/>
    <w:autoRedefine/>
    <w:uiPriority w:val="39"/>
    <w:semiHidden/>
    <w:unhideWhenUsed/>
    <w:rsid w:val="0022055C"/>
    <w:pPr>
      <w:spacing w:after="0"/>
      <w:ind w:left="1200"/>
    </w:pPr>
    <w:rPr>
      <w:rFonts w:asciiTheme="minorHAnsi" w:hAnsiTheme="minorHAnsi"/>
      <w:sz w:val="20"/>
      <w:szCs w:val="20"/>
    </w:rPr>
  </w:style>
  <w:style w:type="paragraph" w:styleId="Obsah7">
    <w:name w:val="toc 7"/>
    <w:basedOn w:val="Normln"/>
    <w:next w:val="Normln"/>
    <w:autoRedefine/>
    <w:uiPriority w:val="39"/>
    <w:semiHidden/>
    <w:unhideWhenUsed/>
    <w:rsid w:val="0022055C"/>
    <w:pPr>
      <w:spacing w:after="0"/>
      <w:ind w:left="1440"/>
    </w:pPr>
    <w:rPr>
      <w:rFonts w:asciiTheme="minorHAnsi" w:hAnsiTheme="minorHAnsi"/>
      <w:sz w:val="20"/>
      <w:szCs w:val="20"/>
    </w:rPr>
  </w:style>
  <w:style w:type="paragraph" w:styleId="Titulek">
    <w:name w:val="caption"/>
    <w:basedOn w:val="Normln"/>
    <w:next w:val="Normln"/>
    <w:link w:val="TitulekChar"/>
    <w:uiPriority w:val="35"/>
    <w:unhideWhenUsed/>
    <w:qFormat/>
    <w:rsid w:val="0022055C"/>
    <w:pPr>
      <w:keepNext/>
      <w:spacing w:before="240"/>
    </w:pPr>
    <w:rPr>
      <w:rFonts w:cs="Calibri"/>
      <w:b/>
      <w:bCs/>
      <w:szCs w:val="20"/>
    </w:rPr>
  </w:style>
  <w:style w:type="character" w:customStyle="1" w:styleId="SeznamobrzkChar">
    <w:name w:val="Seznam obrázků Char"/>
    <w:basedOn w:val="Standardnpsmoodstavce"/>
    <w:link w:val="Seznamobrzk"/>
    <w:uiPriority w:val="99"/>
    <w:semiHidden/>
    <w:locked/>
    <w:rsid w:val="0022055C"/>
    <w:rPr>
      <w:rFonts w:ascii="Times New Roman" w:hAnsi="Times New Roman" w:cs="Times New Roman"/>
      <w:iCs/>
      <w:sz w:val="24"/>
      <w:szCs w:val="20"/>
    </w:rPr>
  </w:style>
  <w:style w:type="paragraph" w:styleId="Seznamobrzk">
    <w:name w:val="table of figures"/>
    <w:basedOn w:val="Normln"/>
    <w:next w:val="Normln"/>
    <w:link w:val="SeznamobrzkChar"/>
    <w:uiPriority w:val="99"/>
    <w:unhideWhenUsed/>
    <w:rsid w:val="0022055C"/>
    <w:pPr>
      <w:spacing w:after="0"/>
    </w:pPr>
    <w:rPr>
      <w:rFonts w:ascii="Times New Roman" w:hAnsi="Times New Roman"/>
      <w:iCs/>
      <w:szCs w:val="20"/>
    </w:rPr>
  </w:style>
  <w:style w:type="character" w:customStyle="1" w:styleId="ZdrojChar">
    <w:name w:val="Zdroj Char"/>
    <w:basedOn w:val="Standardnpsmoodstavce"/>
    <w:link w:val="Zdroj"/>
    <w:locked/>
    <w:rsid w:val="0022055C"/>
    <w:rPr>
      <w:rFonts w:ascii="Times New Roman" w:hAnsi="Times New Roman" w:cstheme="minorHAnsi"/>
      <w:i/>
      <w:sz w:val="20"/>
      <w:szCs w:val="20"/>
    </w:rPr>
  </w:style>
  <w:style w:type="paragraph" w:customStyle="1" w:styleId="Zdroj">
    <w:name w:val="Zdroj"/>
    <w:basedOn w:val="Normln"/>
    <w:link w:val="ZdrojChar"/>
    <w:qFormat/>
    <w:rsid w:val="0022055C"/>
    <w:pPr>
      <w:spacing w:before="120" w:after="0"/>
    </w:pPr>
    <w:rPr>
      <w:rFonts w:ascii="Times New Roman" w:hAnsi="Times New Roman" w:cstheme="minorHAnsi"/>
      <w:i/>
      <w:sz w:val="20"/>
      <w:szCs w:val="20"/>
    </w:rPr>
  </w:style>
  <w:style w:type="paragraph" w:styleId="Zkladntextodsazen2">
    <w:name w:val="Body Text Indent 2"/>
    <w:basedOn w:val="Normln"/>
    <w:link w:val="Zkladntextodsazen2Char"/>
    <w:uiPriority w:val="99"/>
    <w:semiHidden/>
    <w:unhideWhenUsed/>
    <w:rsid w:val="0022055C"/>
    <w:pPr>
      <w:spacing w:line="480" w:lineRule="auto"/>
      <w:ind w:left="283"/>
    </w:pPr>
    <w:rPr>
      <w:rFonts w:ascii="Times New Roman" w:hAnsi="Times New Roman"/>
    </w:rPr>
  </w:style>
  <w:style w:type="character" w:customStyle="1" w:styleId="Zkladntextodsazen2Char">
    <w:name w:val="Základní text odsazený 2 Char"/>
    <w:basedOn w:val="Standardnpsmoodstavce"/>
    <w:link w:val="Zkladntextodsazen2"/>
    <w:uiPriority w:val="99"/>
    <w:semiHidden/>
    <w:rsid w:val="0022055C"/>
    <w:rPr>
      <w:rFonts w:ascii="Times New Roman" w:hAnsi="Times New Roman" w:cs="Times New Roman"/>
      <w:sz w:val="24"/>
      <w:szCs w:val="24"/>
    </w:rPr>
  </w:style>
  <w:style w:type="paragraph" w:customStyle="1" w:styleId="textodstavce">
    <w:name w:val="text odstavce"/>
    <w:basedOn w:val="Normln"/>
    <w:link w:val="textodstavceChar"/>
    <w:qFormat/>
    <w:rsid w:val="006C468D"/>
    <w:pPr>
      <w:jc w:val="both"/>
    </w:pPr>
    <w:rPr>
      <w:rFonts w:cs="Calibri"/>
    </w:rPr>
  </w:style>
  <w:style w:type="character" w:customStyle="1" w:styleId="textodstavceChar">
    <w:name w:val="text odstavce Char"/>
    <w:basedOn w:val="Standardnpsmoodstavce"/>
    <w:link w:val="textodstavce"/>
    <w:rsid w:val="006C468D"/>
    <w:rPr>
      <w:rFonts w:ascii="Calibri" w:hAnsi="Calibri" w:cs="Calibri"/>
      <w:sz w:val="24"/>
      <w:szCs w:val="24"/>
    </w:rPr>
  </w:style>
  <w:style w:type="character" w:styleId="Siln">
    <w:name w:val="Strong"/>
    <w:uiPriority w:val="99"/>
    <w:qFormat/>
    <w:rsid w:val="00C14D2E"/>
    <w:rPr>
      <w:rFonts w:ascii="Calibri" w:hAnsi="Calibri" w:cs="Calibri"/>
      <w:b/>
      <w:sz w:val="24"/>
    </w:rPr>
  </w:style>
  <w:style w:type="paragraph" w:customStyle="1" w:styleId="Bezmezer1">
    <w:name w:val="Bez mezer1"/>
    <w:aliases w:val="KP,No Spacing"/>
    <w:basedOn w:val="Normln"/>
    <w:link w:val="Bezmezer1Char"/>
    <w:uiPriority w:val="1"/>
    <w:qFormat/>
    <w:rsid w:val="00C854EE"/>
    <w:pPr>
      <w:ind w:firstLine="567"/>
      <w:jc w:val="both"/>
    </w:pPr>
    <w:rPr>
      <w:rFonts w:ascii="Arial" w:hAnsi="Arial" w:cs="Arial"/>
      <w:sz w:val="22"/>
      <w:szCs w:val="22"/>
    </w:rPr>
  </w:style>
  <w:style w:type="character" w:customStyle="1" w:styleId="Bezmezer1Char">
    <w:name w:val="Bez mezer1 Char"/>
    <w:aliases w:val="KP Char,No Spacing Char"/>
    <w:basedOn w:val="Standardnpsmoodstavce"/>
    <w:link w:val="Bezmezer1"/>
    <w:uiPriority w:val="1"/>
    <w:rsid w:val="00C854EE"/>
    <w:rPr>
      <w:rFonts w:ascii="Arial" w:hAnsi="Arial" w:cs="Arial"/>
    </w:rPr>
  </w:style>
  <w:style w:type="paragraph" w:styleId="Prosttext">
    <w:name w:val="Plain Text"/>
    <w:basedOn w:val="Normln"/>
    <w:link w:val="ProsttextChar"/>
    <w:uiPriority w:val="99"/>
    <w:unhideWhenUsed/>
    <w:rsid w:val="00C67C92"/>
    <w:pPr>
      <w:spacing w:after="0"/>
    </w:pPr>
    <w:rPr>
      <w:rFonts w:ascii="Consolas" w:hAnsi="Consolas"/>
      <w:sz w:val="21"/>
      <w:szCs w:val="21"/>
    </w:rPr>
  </w:style>
  <w:style w:type="character" w:customStyle="1" w:styleId="ProsttextChar">
    <w:name w:val="Prostý text Char"/>
    <w:basedOn w:val="Standardnpsmoodstavce"/>
    <w:link w:val="Prosttext"/>
    <w:uiPriority w:val="99"/>
    <w:rsid w:val="00C67C92"/>
    <w:rPr>
      <w:rFonts w:ascii="Consolas" w:hAnsi="Consolas" w:cs="Times New Roman"/>
      <w:sz w:val="21"/>
      <w:szCs w:val="21"/>
    </w:rPr>
  </w:style>
  <w:style w:type="character" w:customStyle="1" w:styleId="Nadpis5Char1">
    <w:name w:val="Nadpis 5 Char1"/>
    <w:basedOn w:val="Standardnpsmoodstavce"/>
    <w:uiPriority w:val="9"/>
    <w:semiHidden/>
    <w:rsid w:val="00115015"/>
    <w:rPr>
      <w:rFonts w:asciiTheme="majorHAnsi" w:eastAsiaTheme="majorEastAsia" w:hAnsiTheme="majorHAnsi" w:cstheme="majorBidi"/>
      <w:color w:val="2E74B5" w:themeColor="accent1" w:themeShade="BF"/>
      <w:sz w:val="24"/>
      <w:szCs w:val="24"/>
    </w:rPr>
  </w:style>
  <w:style w:type="character" w:customStyle="1" w:styleId="RozloendokumentuChar">
    <w:name w:val="Rozložení dokumentu Char"/>
    <w:basedOn w:val="Standardnpsmoodstavce"/>
    <w:link w:val="Rozloendokumentu"/>
    <w:uiPriority w:val="99"/>
    <w:semiHidden/>
    <w:rsid w:val="00115015"/>
    <w:rPr>
      <w:rFonts w:ascii="Tahoma" w:hAnsi="Tahoma" w:cs="Tahoma"/>
      <w:sz w:val="16"/>
      <w:szCs w:val="16"/>
    </w:rPr>
  </w:style>
  <w:style w:type="paragraph" w:styleId="Rozloendokumentu">
    <w:name w:val="Document Map"/>
    <w:basedOn w:val="Normln"/>
    <w:link w:val="RozloendokumentuChar"/>
    <w:uiPriority w:val="99"/>
    <w:semiHidden/>
    <w:unhideWhenUsed/>
    <w:rsid w:val="00115015"/>
    <w:pPr>
      <w:spacing w:after="0"/>
    </w:pPr>
    <w:rPr>
      <w:rFonts w:ascii="Tahoma" w:hAnsi="Tahoma" w:cs="Tahoma"/>
      <w:sz w:val="16"/>
      <w:szCs w:val="16"/>
    </w:rPr>
  </w:style>
  <w:style w:type="character" w:customStyle="1" w:styleId="NormalChar">
    <w:name w:val="Normal Char"/>
    <w:basedOn w:val="Standardnpsmoodstavce"/>
    <w:link w:val="Normln1"/>
    <w:locked/>
    <w:rsid w:val="00673511"/>
    <w:rPr>
      <w:rFonts w:ascii="Times New Roman" w:hAnsi="Times New Roman" w:cstheme="minorHAnsi"/>
      <w:sz w:val="24"/>
      <w:szCs w:val="24"/>
    </w:rPr>
  </w:style>
  <w:style w:type="paragraph" w:customStyle="1" w:styleId="Normln1">
    <w:name w:val="Normální1"/>
    <w:basedOn w:val="Normln"/>
    <w:link w:val="NormalChar"/>
    <w:qFormat/>
    <w:rsid w:val="00673511"/>
    <w:pPr>
      <w:spacing w:after="0"/>
    </w:pPr>
    <w:rPr>
      <w:rFonts w:ascii="Times New Roman" w:hAnsi="Times New Roman" w:cstheme="minorHAnsi"/>
    </w:rPr>
  </w:style>
  <w:style w:type="paragraph" w:styleId="Obsah2">
    <w:name w:val="toc 2"/>
    <w:basedOn w:val="Normln"/>
    <w:next w:val="Normln"/>
    <w:autoRedefine/>
    <w:uiPriority w:val="39"/>
    <w:unhideWhenUsed/>
    <w:rsid w:val="00AD7C22"/>
    <w:pPr>
      <w:spacing w:after="100"/>
      <w:ind w:left="240"/>
    </w:pPr>
  </w:style>
  <w:style w:type="numbering" w:customStyle="1" w:styleId="Bezseznamu1">
    <w:name w:val="Bez seznamu1"/>
    <w:next w:val="Bezseznamu"/>
    <w:uiPriority w:val="99"/>
    <w:semiHidden/>
    <w:unhideWhenUsed/>
    <w:rsid w:val="00B53D75"/>
  </w:style>
  <w:style w:type="table" w:customStyle="1" w:styleId="Mkatabulky1">
    <w:name w:val="Mřížka tabulky1"/>
    <w:basedOn w:val="Normlntabulka"/>
    <w:next w:val="Mkatabulky"/>
    <w:uiPriority w:val="59"/>
    <w:rsid w:val="00B53D75"/>
    <w:pPr>
      <w:spacing w:after="0" w:line="240" w:lineRule="auto"/>
    </w:pPr>
    <w:rPr>
      <w:rFonts w:ascii="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236DA8"/>
    <w:rPr>
      <w:i/>
      <w:iCs/>
    </w:rPr>
  </w:style>
  <w:style w:type="numbering" w:customStyle="1" w:styleId="Bezseznamu2">
    <w:name w:val="Bez seznamu2"/>
    <w:next w:val="Bezseznamu"/>
    <w:uiPriority w:val="99"/>
    <w:semiHidden/>
    <w:unhideWhenUsed/>
    <w:rsid w:val="00E6240D"/>
  </w:style>
  <w:style w:type="character" w:styleId="slostrnky">
    <w:name w:val="page number"/>
    <w:basedOn w:val="Standardnpsmoodstavce"/>
    <w:semiHidden/>
    <w:rsid w:val="00E6240D"/>
  </w:style>
  <w:style w:type="numbering" w:customStyle="1" w:styleId="Bezseznamu11">
    <w:name w:val="Bez seznamu11"/>
    <w:next w:val="Bezseznamu"/>
    <w:uiPriority w:val="99"/>
    <w:semiHidden/>
    <w:unhideWhenUsed/>
    <w:rsid w:val="00E6240D"/>
  </w:style>
  <w:style w:type="paragraph" w:customStyle="1" w:styleId="Titulek1">
    <w:name w:val="Titulek1"/>
    <w:basedOn w:val="Normln"/>
    <w:next w:val="Normln"/>
    <w:uiPriority w:val="35"/>
    <w:unhideWhenUsed/>
    <w:qFormat/>
    <w:rsid w:val="00E6240D"/>
    <w:pPr>
      <w:keepNext/>
      <w:tabs>
        <w:tab w:val="left" w:pos="1134"/>
        <w:tab w:val="right" w:pos="9356"/>
      </w:tabs>
      <w:spacing w:after="40"/>
      <w:jc w:val="both"/>
    </w:pPr>
    <w:rPr>
      <w:b/>
      <w:iCs/>
      <w:sz w:val="20"/>
      <w:szCs w:val="18"/>
    </w:rPr>
  </w:style>
  <w:style w:type="paragraph" w:customStyle="1" w:styleId="Textpoznpodarou1">
    <w:name w:val="Text pozn. pod čarou1"/>
    <w:basedOn w:val="Normln"/>
    <w:next w:val="Textpoznpodarou"/>
    <w:uiPriority w:val="99"/>
    <w:semiHidden/>
    <w:unhideWhenUsed/>
    <w:rsid w:val="00E6240D"/>
    <w:pPr>
      <w:spacing w:after="0"/>
      <w:jc w:val="both"/>
    </w:pPr>
    <w:rPr>
      <w:sz w:val="20"/>
      <w:szCs w:val="20"/>
    </w:rPr>
  </w:style>
  <w:style w:type="paragraph" w:customStyle="1" w:styleId="Nadpisobsahu1">
    <w:name w:val="Nadpis obsahu1"/>
    <w:basedOn w:val="Nadpis1"/>
    <w:next w:val="Normln"/>
    <w:uiPriority w:val="39"/>
    <w:unhideWhenUsed/>
    <w:qFormat/>
    <w:rsid w:val="00E6240D"/>
    <w:pPr>
      <w:keepNext/>
      <w:keepLines/>
      <w:pageBreakBefore/>
      <w:spacing w:before="240" w:after="240"/>
      <w:ind w:left="432" w:hanging="432"/>
      <w:jc w:val="both"/>
      <w:outlineLvl w:val="9"/>
    </w:pPr>
    <w:rPr>
      <w:rFonts w:ascii="Calibri Light" w:eastAsia="Times New Roman" w:hAnsi="Calibri Light" w:cs="Times New Roman"/>
      <w:b w:val="0"/>
      <w:color w:val="2E74B5"/>
      <w:sz w:val="32"/>
      <w:szCs w:val="32"/>
      <w:lang w:eastAsia="cs-CZ"/>
    </w:rPr>
  </w:style>
  <w:style w:type="paragraph" w:customStyle="1" w:styleId="Obsah11">
    <w:name w:val="Obsah 11"/>
    <w:basedOn w:val="Normln"/>
    <w:next w:val="Normln"/>
    <w:autoRedefine/>
    <w:uiPriority w:val="39"/>
    <w:unhideWhenUsed/>
    <w:rsid w:val="00E6240D"/>
    <w:pPr>
      <w:spacing w:after="100"/>
      <w:jc w:val="both"/>
    </w:pPr>
    <w:rPr>
      <w:rFonts w:eastAsia="Calibri"/>
      <w:szCs w:val="22"/>
    </w:rPr>
  </w:style>
  <w:style w:type="paragraph" w:customStyle="1" w:styleId="Obsah21">
    <w:name w:val="Obsah 21"/>
    <w:basedOn w:val="Normln"/>
    <w:next w:val="Normln"/>
    <w:autoRedefine/>
    <w:uiPriority w:val="39"/>
    <w:unhideWhenUsed/>
    <w:rsid w:val="00E6240D"/>
    <w:pPr>
      <w:spacing w:after="100"/>
      <w:ind w:left="240"/>
      <w:jc w:val="both"/>
    </w:pPr>
    <w:rPr>
      <w:rFonts w:eastAsia="Calibri"/>
      <w:szCs w:val="22"/>
    </w:rPr>
  </w:style>
  <w:style w:type="paragraph" w:customStyle="1" w:styleId="Obsah31">
    <w:name w:val="Obsah 31"/>
    <w:basedOn w:val="Normln"/>
    <w:next w:val="Normln"/>
    <w:autoRedefine/>
    <w:uiPriority w:val="39"/>
    <w:unhideWhenUsed/>
    <w:rsid w:val="00E6240D"/>
    <w:pPr>
      <w:spacing w:after="100"/>
      <w:ind w:left="480"/>
      <w:jc w:val="both"/>
    </w:pPr>
    <w:rPr>
      <w:rFonts w:eastAsia="Calibri"/>
      <w:szCs w:val="22"/>
    </w:rPr>
  </w:style>
  <w:style w:type="paragraph" w:customStyle="1" w:styleId="Obsah41">
    <w:name w:val="Obsah 41"/>
    <w:basedOn w:val="Normln"/>
    <w:next w:val="Normln"/>
    <w:autoRedefine/>
    <w:uiPriority w:val="39"/>
    <w:unhideWhenUsed/>
    <w:rsid w:val="00E6240D"/>
    <w:pPr>
      <w:spacing w:after="100" w:line="259" w:lineRule="auto"/>
      <w:ind w:left="660"/>
      <w:jc w:val="both"/>
    </w:pPr>
    <w:rPr>
      <w:sz w:val="22"/>
      <w:szCs w:val="22"/>
      <w:lang w:eastAsia="cs-CZ"/>
    </w:rPr>
  </w:style>
  <w:style w:type="paragraph" w:customStyle="1" w:styleId="Obsah51">
    <w:name w:val="Obsah 51"/>
    <w:basedOn w:val="Normln"/>
    <w:next w:val="Normln"/>
    <w:autoRedefine/>
    <w:uiPriority w:val="39"/>
    <w:unhideWhenUsed/>
    <w:rsid w:val="00E6240D"/>
    <w:pPr>
      <w:spacing w:after="100" w:line="259" w:lineRule="auto"/>
      <w:ind w:left="880"/>
      <w:jc w:val="both"/>
    </w:pPr>
    <w:rPr>
      <w:sz w:val="22"/>
      <w:szCs w:val="22"/>
      <w:lang w:eastAsia="cs-CZ"/>
    </w:rPr>
  </w:style>
  <w:style w:type="paragraph" w:customStyle="1" w:styleId="Obsah61">
    <w:name w:val="Obsah 61"/>
    <w:basedOn w:val="Normln"/>
    <w:next w:val="Normln"/>
    <w:autoRedefine/>
    <w:uiPriority w:val="39"/>
    <w:unhideWhenUsed/>
    <w:rsid w:val="00E6240D"/>
    <w:pPr>
      <w:spacing w:after="100" w:line="259" w:lineRule="auto"/>
      <w:ind w:left="1100"/>
      <w:jc w:val="both"/>
    </w:pPr>
    <w:rPr>
      <w:sz w:val="22"/>
      <w:szCs w:val="22"/>
      <w:lang w:eastAsia="cs-CZ"/>
    </w:rPr>
  </w:style>
  <w:style w:type="paragraph" w:customStyle="1" w:styleId="Obsah71">
    <w:name w:val="Obsah 71"/>
    <w:basedOn w:val="Normln"/>
    <w:next w:val="Normln"/>
    <w:autoRedefine/>
    <w:uiPriority w:val="39"/>
    <w:unhideWhenUsed/>
    <w:rsid w:val="00E6240D"/>
    <w:pPr>
      <w:spacing w:after="100" w:line="259" w:lineRule="auto"/>
      <w:ind w:left="1320"/>
      <w:jc w:val="both"/>
    </w:pPr>
    <w:rPr>
      <w:sz w:val="22"/>
      <w:szCs w:val="22"/>
      <w:lang w:eastAsia="cs-CZ"/>
    </w:rPr>
  </w:style>
  <w:style w:type="paragraph" w:customStyle="1" w:styleId="Obsah81">
    <w:name w:val="Obsah 81"/>
    <w:basedOn w:val="Normln"/>
    <w:next w:val="Normln"/>
    <w:autoRedefine/>
    <w:uiPriority w:val="39"/>
    <w:unhideWhenUsed/>
    <w:rsid w:val="00E6240D"/>
    <w:pPr>
      <w:spacing w:after="100" w:line="259" w:lineRule="auto"/>
      <w:ind w:left="1540"/>
      <w:jc w:val="both"/>
    </w:pPr>
    <w:rPr>
      <w:sz w:val="22"/>
      <w:szCs w:val="22"/>
      <w:lang w:eastAsia="cs-CZ"/>
    </w:rPr>
  </w:style>
  <w:style w:type="paragraph" w:customStyle="1" w:styleId="Obsah91">
    <w:name w:val="Obsah 91"/>
    <w:basedOn w:val="Normln"/>
    <w:next w:val="Normln"/>
    <w:autoRedefine/>
    <w:uiPriority w:val="39"/>
    <w:unhideWhenUsed/>
    <w:rsid w:val="00E6240D"/>
    <w:pPr>
      <w:spacing w:after="100" w:line="259" w:lineRule="auto"/>
      <w:ind w:left="1760"/>
      <w:jc w:val="both"/>
    </w:pPr>
    <w:rPr>
      <w:sz w:val="22"/>
      <w:szCs w:val="22"/>
      <w:lang w:eastAsia="cs-CZ"/>
    </w:rPr>
  </w:style>
  <w:style w:type="character" w:customStyle="1" w:styleId="Hypertextovodkaz1">
    <w:name w:val="Hypertextový odkaz1"/>
    <w:basedOn w:val="Standardnpsmoodstavce"/>
    <w:uiPriority w:val="99"/>
    <w:unhideWhenUsed/>
    <w:rsid w:val="00E6240D"/>
    <w:rPr>
      <w:color w:val="0563C1"/>
      <w:u w:val="single"/>
    </w:rPr>
  </w:style>
  <w:style w:type="paragraph" w:customStyle="1" w:styleId="Seznamobrzk1">
    <w:name w:val="Seznam obrázků1"/>
    <w:basedOn w:val="Normln"/>
    <w:next w:val="Normln"/>
    <w:uiPriority w:val="99"/>
    <w:unhideWhenUsed/>
    <w:rsid w:val="00E6240D"/>
    <w:pPr>
      <w:spacing w:after="0"/>
      <w:jc w:val="both"/>
    </w:pPr>
    <w:rPr>
      <w:rFonts w:eastAsia="Calibri"/>
      <w:szCs w:val="22"/>
    </w:rPr>
  </w:style>
  <w:style w:type="paragraph" w:customStyle="1" w:styleId="Textkomente1">
    <w:name w:val="Text komentáře1"/>
    <w:basedOn w:val="Normln"/>
    <w:next w:val="Textkomente"/>
    <w:uiPriority w:val="99"/>
    <w:semiHidden/>
    <w:unhideWhenUsed/>
    <w:rsid w:val="00E6240D"/>
    <w:pPr>
      <w:spacing w:after="0"/>
      <w:jc w:val="both"/>
    </w:pPr>
    <w:rPr>
      <w:rFonts w:eastAsia="Calibri"/>
      <w:sz w:val="20"/>
      <w:szCs w:val="20"/>
    </w:rPr>
  </w:style>
  <w:style w:type="paragraph" w:customStyle="1" w:styleId="Pedmtkomente1">
    <w:name w:val="Předmět komentáře1"/>
    <w:basedOn w:val="Textkomente"/>
    <w:next w:val="Textkomente"/>
    <w:uiPriority w:val="99"/>
    <w:semiHidden/>
    <w:unhideWhenUsed/>
    <w:rsid w:val="00E6240D"/>
    <w:pPr>
      <w:spacing w:after="0"/>
      <w:jc w:val="both"/>
    </w:pPr>
    <w:rPr>
      <w:rFonts w:eastAsia="Calibri"/>
      <w:b/>
      <w:bCs/>
    </w:rPr>
  </w:style>
  <w:style w:type="table" w:customStyle="1" w:styleId="Mkatabulky11">
    <w:name w:val="Mřížka tabulky11"/>
    <w:basedOn w:val="Normlntabulka"/>
    <w:next w:val="Mkatabulky"/>
    <w:uiPriority w:val="39"/>
    <w:rsid w:val="00E6240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podarouChar1">
    <w:name w:val="Text pozn. pod čarou Char1"/>
    <w:basedOn w:val="Standardnpsmoodstavce"/>
    <w:uiPriority w:val="99"/>
    <w:semiHidden/>
    <w:rsid w:val="00E6240D"/>
    <w:rPr>
      <w:rFonts w:ascii="Times New Roman" w:eastAsia="Times New Roman" w:hAnsi="Times New Roman" w:cs="Times New Roman"/>
      <w:sz w:val="20"/>
      <w:szCs w:val="20"/>
    </w:rPr>
  </w:style>
  <w:style w:type="character" w:customStyle="1" w:styleId="TextkomenteChar1">
    <w:name w:val="Text komentáře Char1"/>
    <w:basedOn w:val="Standardnpsmoodstavce"/>
    <w:uiPriority w:val="99"/>
    <w:semiHidden/>
    <w:rsid w:val="00E6240D"/>
    <w:rPr>
      <w:rFonts w:ascii="Times New Roman" w:eastAsia="Times New Roman" w:hAnsi="Times New Roman" w:cs="Times New Roman"/>
      <w:sz w:val="20"/>
      <w:szCs w:val="20"/>
    </w:rPr>
  </w:style>
  <w:style w:type="character" w:customStyle="1" w:styleId="PedmtkomenteChar1">
    <w:name w:val="Předmět komentáře Char1"/>
    <w:basedOn w:val="TextkomenteChar1"/>
    <w:uiPriority w:val="99"/>
    <w:semiHidden/>
    <w:rsid w:val="00E6240D"/>
    <w:rPr>
      <w:rFonts w:ascii="Times New Roman" w:eastAsia="Times New Roman" w:hAnsi="Times New Roman" w:cs="Times New Roman"/>
      <w:b/>
      <w:bCs/>
      <w:sz w:val="20"/>
      <w:szCs w:val="20"/>
    </w:rPr>
  </w:style>
  <w:style w:type="table" w:customStyle="1" w:styleId="Mkatabulky2">
    <w:name w:val="Mřížka tabulky2"/>
    <w:basedOn w:val="Normlntabulka"/>
    <w:next w:val="Mkatabulky"/>
    <w:uiPriority w:val="59"/>
    <w:rsid w:val="00E6240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597612"/>
    <w:rPr>
      <w:color w:val="000000"/>
      <w:sz w:val="28"/>
      <w:szCs w:val="28"/>
    </w:rPr>
  </w:style>
  <w:style w:type="character" w:customStyle="1" w:styleId="A4">
    <w:name w:val="A4"/>
    <w:uiPriority w:val="99"/>
    <w:rsid w:val="00597612"/>
    <w:rPr>
      <w:color w:val="000000"/>
      <w:sz w:val="60"/>
      <w:szCs w:val="60"/>
    </w:rPr>
  </w:style>
  <w:style w:type="character" w:customStyle="1" w:styleId="A5">
    <w:name w:val="A5"/>
    <w:uiPriority w:val="99"/>
    <w:rsid w:val="00597612"/>
    <w:rPr>
      <w:b/>
      <w:bCs/>
      <w:color w:val="000000"/>
      <w:sz w:val="40"/>
      <w:szCs w:val="40"/>
    </w:rPr>
  </w:style>
  <w:style w:type="paragraph" w:customStyle="1" w:styleId="publishdate">
    <w:name w:val="publishdate"/>
    <w:basedOn w:val="Normln"/>
    <w:rsid w:val="0049594C"/>
    <w:pPr>
      <w:spacing w:before="100" w:beforeAutospacing="1" w:after="100" w:afterAutospacing="1"/>
    </w:pPr>
    <w:rPr>
      <w:rFonts w:ascii="Times New Roman" w:hAnsi="Times New Roman"/>
      <w:lang w:eastAsia="cs-CZ"/>
    </w:rPr>
  </w:style>
  <w:style w:type="paragraph" w:customStyle="1" w:styleId="promotext">
    <w:name w:val="promotext"/>
    <w:basedOn w:val="Normln"/>
    <w:rsid w:val="0049594C"/>
    <w:pPr>
      <w:spacing w:before="100" w:beforeAutospacing="1" w:after="100" w:afterAutospacing="1"/>
    </w:pPr>
    <w:rPr>
      <w:rFonts w:ascii="Times New Roman" w:hAnsi="Times New Roman"/>
      <w:lang w:eastAsia="cs-CZ"/>
    </w:rPr>
  </w:style>
  <w:style w:type="paragraph" w:styleId="Normlnweb">
    <w:name w:val="Normal (Web)"/>
    <w:basedOn w:val="Normln"/>
    <w:uiPriority w:val="99"/>
    <w:semiHidden/>
    <w:unhideWhenUsed/>
    <w:rsid w:val="0049594C"/>
    <w:pPr>
      <w:spacing w:before="100" w:beforeAutospacing="1" w:after="100" w:afterAutospacing="1"/>
    </w:pPr>
    <w:rPr>
      <w:rFonts w:ascii="Times New Roman" w:hAnsi="Times New Roman"/>
      <w:lang w:eastAsia="cs-CZ"/>
    </w:rPr>
  </w:style>
  <w:style w:type="character" w:customStyle="1" w:styleId="icon">
    <w:name w:val="icon"/>
    <w:basedOn w:val="Standardnpsmoodstavce"/>
    <w:rsid w:val="0049594C"/>
  </w:style>
  <w:style w:type="character" w:customStyle="1" w:styleId="counter">
    <w:name w:val="counter"/>
    <w:basedOn w:val="Standardnpsmoodstavce"/>
    <w:rsid w:val="0049594C"/>
  </w:style>
  <w:style w:type="character" w:customStyle="1" w:styleId="label">
    <w:name w:val="label"/>
    <w:basedOn w:val="Standardnpsmoodstavce"/>
    <w:rsid w:val="0049594C"/>
  </w:style>
  <w:style w:type="character" w:customStyle="1" w:styleId="fileinfo">
    <w:name w:val="fileinfo"/>
    <w:basedOn w:val="Standardnpsmoodstavce"/>
    <w:rsid w:val="0049594C"/>
  </w:style>
  <w:style w:type="paragraph" w:customStyle="1" w:styleId="aboutauthor">
    <w:name w:val="aboutauthor"/>
    <w:basedOn w:val="Normln"/>
    <w:rsid w:val="0049594C"/>
    <w:pPr>
      <w:spacing w:before="100" w:beforeAutospacing="1" w:after="100" w:afterAutospacing="1"/>
    </w:pPr>
    <w:rPr>
      <w:rFonts w:ascii="Times New Roman" w:hAnsi="Times New Roman"/>
      <w:lang w:eastAsia="cs-CZ"/>
    </w:rPr>
  </w:style>
  <w:style w:type="character" w:customStyle="1" w:styleId="audible">
    <w:name w:val="audible"/>
    <w:basedOn w:val="Standardnpsmoodstavce"/>
    <w:rsid w:val="0049594C"/>
  </w:style>
  <w:style w:type="character" w:customStyle="1" w:styleId="Nzev1">
    <w:name w:val="Název1"/>
    <w:basedOn w:val="Standardnpsmoodstavce"/>
    <w:rsid w:val="0049594C"/>
  </w:style>
  <w:style w:type="character" w:customStyle="1" w:styleId="Nevyeenzmnka1">
    <w:name w:val="Nevyřešená zmínka1"/>
    <w:basedOn w:val="Standardnpsmoodstavce"/>
    <w:uiPriority w:val="99"/>
    <w:semiHidden/>
    <w:unhideWhenUsed/>
    <w:rsid w:val="00A017A3"/>
    <w:rPr>
      <w:color w:val="605E5C"/>
      <w:shd w:val="clear" w:color="auto" w:fill="E1DFDD"/>
    </w:rPr>
  </w:style>
  <w:style w:type="character" w:customStyle="1" w:styleId="Nevyeenzmnka2">
    <w:name w:val="Nevyřešená zmínka2"/>
    <w:basedOn w:val="Standardnpsmoodstavce"/>
    <w:uiPriority w:val="99"/>
    <w:semiHidden/>
    <w:unhideWhenUsed/>
    <w:rsid w:val="007D2567"/>
    <w:rPr>
      <w:color w:val="605E5C"/>
      <w:shd w:val="clear" w:color="auto" w:fill="E1DFDD"/>
    </w:rPr>
  </w:style>
  <w:style w:type="character" w:styleId="Nevyeenzmnka">
    <w:name w:val="Unresolved Mention"/>
    <w:basedOn w:val="Standardnpsmoodstavce"/>
    <w:uiPriority w:val="99"/>
    <w:semiHidden/>
    <w:unhideWhenUsed/>
    <w:rsid w:val="00B32FA7"/>
    <w:rPr>
      <w:color w:val="605E5C"/>
      <w:shd w:val="clear" w:color="auto" w:fill="E1DFDD"/>
    </w:rPr>
  </w:style>
  <w:style w:type="character" w:customStyle="1" w:styleId="TitulekChar">
    <w:name w:val="Titulek Char"/>
    <w:basedOn w:val="Standardnpsmoodstavce"/>
    <w:link w:val="Titulek"/>
    <w:uiPriority w:val="35"/>
    <w:locked/>
    <w:rsid w:val="00B57597"/>
    <w:rPr>
      <w:rFonts w:ascii="Calibri" w:hAnsi="Calibri" w:cs="Calibri"/>
      <w:b/>
      <w:bCs/>
      <w:sz w:val="24"/>
      <w:szCs w:val="20"/>
    </w:rPr>
  </w:style>
  <w:style w:type="paragraph" w:styleId="Nadpisobsahu">
    <w:name w:val="TOC Heading"/>
    <w:basedOn w:val="Nadpis1"/>
    <w:next w:val="Normln"/>
    <w:uiPriority w:val="39"/>
    <w:unhideWhenUsed/>
    <w:qFormat/>
    <w:rsid w:val="00B57597"/>
    <w:pPr>
      <w:keepNext/>
      <w:keepLines/>
      <w:spacing w:before="240" w:after="0"/>
      <w:jc w:val="left"/>
      <w:outlineLvl w:val="9"/>
    </w:pPr>
    <w:rPr>
      <w:rFonts w:asciiTheme="majorHAnsi" w:eastAsiaTheme="majorEastAsia" w:hAnsiTheme="majorHAnsi" w:cstheme="majorBidi"/>
      <w:b w:val="0"/>
      <w:color w:val="2E74B5" w:themeColor="accent1" w:themeShade="BF"/>
      <w:sz w:val="32"/>
      <w:szCs w:val="32"/>
      <w:lang w:eastAsia="cs-CZ"/>
    </w:rPr>
  </w:style>
  <w:style w:type="paragraph" w:styleId="Obsah3">
    <w:name w:val="toc 3"/>
    <w:basedOn w:val="Normln"/>
    <w:next w:val="Normln"/>
    <w:autoRedefine/>
    <w:uiPriority w:val="39"/>
    <w:unhideWhenUsed/>
    <w:rsid w:val="00B57597"/>
    <w:pPr>
      <w:spacing w:after="100"/>
      <w:ind w:left="48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11099">
      <w:bodyDiv w:val="1"/>
      <w:marLeft w:val="0"/>
      <w:marRight w:val="0"/>
      <w:marTop w:val="0"/>
      <w:marBottom w:val="0"/>
      <w:divBdr>
        <w:top w:val="none" w:sz="0" w:space="0" w:color="auto"/>
        <w:left w:val="none" w:sz="0" w:space="0" w:color="auto"/>
        <w:bottom w:val="none" w:sz="0" w:space="0" w:color="auto"/>
        <w:right w:val="none" w:sz="0" w:space="0" w:color="auto"/>
      </w:divBdr>
    </w:div>
    <w:div w:id="300619086">
      <w:bodyDiv w:val="1"/>
      <w:marLeft w:val="0"/>
      <w:marRight w:val="0"/>
      <w:marTop w:val="0"/>
      <w:marBottom w:val="0"/>
      <w:divBdr>
        <w:top w:val="none" w:sz="0" w:space="0" w:color="auto"/>
        <w:left w:val="none" w:sz="0" w:space="0" w:color="auto"/>
        <w:bottom w:val="none" w:sz="0" w:space="0" w:color="auto"/>
        <w:right w:val="none" w:sz="0" w:space="0" w:color="auto"/>
      </w:divBdr>
    </w:div>
    <w:div w:id="566840595">
      <w:bodyDiv w:val="1"/>
      <w:marLeft w:val="0"/>
      <w:marRight w:val="0"/>
      <w:marTop w:val="0"/>
      <w:marBottom w:val="0"/>
      <w:divBdr>
        <w:top w:val="none" w:sz="0" w:space="0" w:color="auto"/>
        <w:left w:val="none" w:sz="0" w:space="0" w:color="auto"/>
        <w:bottom w:val="none" w:sz="0" w:space="0" w:color="auto"/>
        <w:right w:val="none" w:sz="0" w:space="0" w:color="auto"/>
      </w:divBdr>
    </w:div>
    <w:div w:id="649598188">
      <w:bodyDiv w:val="1"/>
      <w:marLeft w:val="0"/>
      <w:marRight w:val="0"/>
      <w:marTop w:val="0"/>
      <w:marBottom w:val="0"/>
      <w:divBdr>
        <w:top w:val="none" w:sz="0" w:space="0" w:color="auto"/>
        <w:left w:val="none" w:sz="0" w:space="0" w:color="auto"/>
        <w:bottom w:val="none" w:sz="0" w:space="0" w:color="auto"/>
        <w:right w:val="none" w:sz="0" w:space="0" w:color="auto"/>
      </w:divBdr>
      <w:divsChild>
        <w:div w:id="728462392">
          <w:marLeft w:val="0"/>
          <w:marRight w:val="0"/>
          <w:marTop w:val="0"/>
          <w:marBottom w:val="0"/>
          <w:divBdr>
            <w:top w:val="none" w:sz="0" w:space="0" w:color="auto"/>
            <w:left w:val="none" w:sz="0" w:space="0" w:color="auto"/>
            <w:bottom w:val="none" w:sz="0" w:space="0" w:color="auto"/>
            <w:right w:val="none" w:sz="0" w:space="0" w:color="auto"/>
          </w:divBdr>
          <w:divsChild>
            <w:div w:id="598371700">
              <w:marLeft w:val="0"/>
              <w:marRight w:val="0"/>
              <w:marTop w:val="0"/>
              <w:marBottom w:val="0"/>
              <w:divBdr>
                <w:top w:val="none" w:sz="0" w:space="0" w:color="auto"/>
                <w:left w:val="none" w:sz="0" w:space="0" w:color="auto"/>
                <w:bottom w:val="none" w:sz="0" w:space="0" w:color="auto"/>
                <w:right w:val="none" w:sz="0" w:space="0" w:color="auto"/>
              </w:divBdr>
              <w:divsChild>
                <w:div w:id="37321027">
                  <w:marLeft w:val="0"/>
                  <w:marRight w:val="435"/>
                  <w:marTop w:val="0"/>
                  <w:marBottom w:val="0"/>
                  <w:divBdr>
                    <w:top w:val="none" w:sz="0" w:space="0" w:color="auto"/>
                    <w:left w:val="none" w:sz="0" w:space="0" w:color="auto"/>
                    <w:bottom w:val="none" w:sz="0" w:space="0" w:color="auto"/>
                    <w:right w:val="none" w:sz="0" w:space="0" w:color="auto"/>
                  </w:divBdr>
                  <w:divsChild>
                    <w:div w:id="1863593844">
                      <w:marLeft w:val="0"/>
                      <w:marRight w:val="0"/>
                      <w:marTop w:val="0"/>
                      <w:marBottom w:val="0"/>
                      <w:divBdr>
                        <w:top w:val="none" w:sz="0" w:space="0" w:color="auto"/>
                        <w:left w:val="none" w:sz="0" w:space="0" w:color="auto"/>
                        <w:bottom w:val="none" w:sz="0" w:space="0" w:color="auto"/>
                        <w:right w:val="none" w:sz="0" w:space="0" w:color="auto"/>
                      </w:divBdr>
                      <w:divsChild>
                        <w:div w:id="30420904">
                          <w:marLeft w:val="0"/>
                          <w:marRight w:val="0"/>
                          <w:marTop w:val="0"/>
                          <w:marBottom w:val="0"/>
                          <w:divBdr>
                            <w:top w:val="none" w:sz="0" w:space="0" w:color="auto"/>
                            <w:left w:val="none" w:sz="0" w:space="0" w:color="auto"/>
                            <w:bottom w:val="none" w:sz="0" w:space="0" w:color="auto"/>
                            <w:right w:val="none" w:sz="0" w:space="0" w:color="auto"/>
                          </w:divBdr>
                        </w:div>
                        <w:div w:id="1000232595">
                          <w:marLeft w:val="0"/>
                          <w:marRight w:val="0"/>
                          <w:marTop w:val="120"/>
                          <w:marBottom w:val="300"/>
                          <w:divBdr>
                            <w:top w:val="single" w:sz="6" w:space="0" w:color="E5E5E5"/>
                            <w:left w:val="none" w:sz="0" w:space="0" w:color="auto"/>
                            <w:bottom w:val="single" w:sz="6" w:space="0" w:color="E5E5E5"/>
                            <w:right w:val="none" w:sz="0" w:space="0" w:color="auto"/>
                          </w:divBdr>
                        </w:div>
                      </w:divsChild>
                    </w:div>
                  </w:divsChild>
                </w:div>
                <w:div w:id="8023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74841">
      <w:bodyDiv w:val="1"/>
      <w:marLeft w:val="0"/>
      <w:marRight w:val="0"/>
      <w:marTop w:val="0"/>
      <w:marBottom w:val="0"/>
      <w:divBdr>
        <w:top w:val="none" w:sz="0" w:space="0" w:color="auto"/>
        <w:left w:val="none" w:sz="0" w:space="0" w:color="auto"/>
        <w:bottom w:val="none" w:sz="0" w:space="0" w:color="auto"/>
        <w:right w:val="none" w:sz="0" w:space="0" w:color="auto"/>
      </w:divBdr>
    </w:div>
    <w:div w:id="989208669">
      <w:bodyDiv w:val="1"/>
      <w:marLeft w:val="0"/>
      <w:marRight w:val="0"/>
      <w:marTop w:val="0"/>
      <w:marBottom w:val="0"/>
      <w:divBdr>
        <w:top w:val="none" w:sz="0" w:space="0" w:color="auto"/>
        <w:left w:val="none" w:sz="0" w:space="0" w:color="auto"/>
        <w:bottom w:val="none" w:sz="0" w:space="0" w:color="auto"/>
        <w:right w:val="none" w:sz="0" w:space="0" w:color="auto"/>
      </w:divBdr>
    </w:div>
    <w:div w:id="1174302033">
      <w:bodyDiv w:val="1"/>
      <w:marLeft w:val="0"/>
      <w:marRight w:val="0"/>
      <w:marTop w:val="0"/>
      <w:marBottom w:val="0"/>
      <w:divBdr>
        <w:top w:val="none" w:sz="0" w:space="0" w:color="auto"/>
        <w:left w:val="none" w:sz="0" w:space="0" w:color="auto"/>
        <w:bottom w:val="none" w:sz="0" w:space="0" w:color="auto"/>
        <w:right w:val="none" w:sz="0" w:space="0" w:color="auto"/>
      </w:divBdr>
    </w:div>
    <w:div w:id="1224558835">
      <w:bodyDiv w:val="1"/>
      <w:marLeft w:val="0"/>
      <w:marRight w:val="0"/>
      <w:marTop w:val="0"/>
      <w:marBottom w:val="0"/>
      <w:divBdr>
        <w:top w:val="none" w:sz="0" w:space="0" w:color="auto"/>
        <w:left w:val="none" w:sz="0" w:space="0" w:color="auto"/>
        <w:bottom w:val="none" w:sz="0" w:space="0" w:color="auto"/>
        <w:right w:val="none" w:sz="0" w:space="0" w:color="auto"/>
      </w:divBdr>
    </w:div>
    <w:div w:id="1356232250">
      <w:bodyDiv w:val="1"/>
      <w:marLeft w:val="0"/>
      <w:marRight w:val="0"/>
      <w:marTop w:val="0"/>
      <w:marBottom w:val="0"/>
      <w:divBdr>
        <w:top w:val="none" w:sz="0" w:space="0" w:color="auto"/>
        <w:left w:val="none" w:sz="0" w:space="0" w:color="auto"/>
        <w:bottom w:val="none" w:sz="0" w:space="0" w:color="auto"/>
        <w:right w:val="none" w:sz="0" w:space="0" w:color="auto"/>
      </w:divBdr>
    </w:div>
    <w:div w:id="1378434042">
      <w:bodyDiv w:val="1"/>
      <w:marLeft w:val="0"/>
      <w:marRight w:val="0"/>
      <w:marTop w:val="0"/>
      <w:marBottom w:val="0"/>
      <w:divBdr>
        <w:top w:val="none" w:sz="0" w:space="0" w:color="auto"/>
        <w:left w:val="none" w:sz="0" w:space="0" w:color="auto"/>
        <w:bottom w:val="none" w:sz="0" w:space="0" w:color="auto"/>
        <w:right w:val="none" w:sz="0" w:space="0" w:color="auto"/>
      </w:divBdr>
    </w:div>
    <w:div w:id="1513716820">
      <w:bodyDiv w:val="1"/>
      <w:marLeft w:val="0"/>
      <w:marRight w:val="0"/>
      <w:marTop w:val="0"/>
      <w:marBottom w:val="0"/>
      <w:divBdr>
        <w:top w:val="none" w:sz="0" w:space="0" w:color="auto"/>
        <w:left w:val="none" w:sz="0" w:space="0" w:color="auto"/>
        <w:bottom w:val="none" w:sz="0" w:space="0" w:color="auto"/>
        <w:right w:val="none" w:sz="0" w:space="0" w:color="auto"/>
      </w:divBdr>
    </w:div>
    <w:div w:id="1566799346">
      <w:bodyDiv w:val="1"/>
      <w:marLeft w:val="0"/>
      <w:marRight w:val="0"/>
      <w:marTop w:val="0"/>
      <w:marBottom w:val="0"/>
      <w:divBdr>
        <w:top w:val="none" w:sz="0" w:space="0" w:color="auto"/>
        <w:left w:val="none" w:sz="0" w:space="0" w:color="auto"/>
        <w:bottom w:val="none" w:sz="0" w:space="0" w:color="auto"/>
        <w:right w:val="none" w:sz="0" w:space="0" w:color="auto"/>
      </w:divBdr>
      <w:divsChild>
        <w:div w:id="6797019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po.cz/assets/cz/rozcestnik/ministerstvo/o-ministerstvu/rozpocet/2021/6/ROCNI_ZPRAVA_MPO_2020_01.pdf" TargetMode="External"/><Relationship Id="rId2" Type="http://schemas.openxmlformats.org/officeDocument/2006/relationships/hyperlink" Target="https://monitor.statnipokladna.cz/ucetni-jednotka/47609109/rozpocet/vydaje-druhovy?obdobi=2012&amp;rad=j" TargetMode="External"/><Relationship Id="rId1" Type="http://schemas.openxmlformats.org/officeDocument/2006/relationships/hyperlink" Target="https://monitor.statnipokladna.cz/" TargetMode="External"/><Relationship Id="rId4" Type="http://schemas.openxmlformats.org/officeDocument/2006/relationships/hyperlink" Target="https://monitor.statnipokladna.cz/ucetni-jednotka/47609109/rozpocet/vydaje-druhovy?obdobi=2012&amp;rad=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EE732-A3B1-4BC1-B881-AEA3FB9EE595}">
  <ds:schemaRefs>
    <ds:schemaRef ds:uri="http://schemas.microsoft.com/sharepoint/v3/contenttype/forms"/>
  </ds:schemaRefs>
</ds:datastoreItem>
</file>

<file path=customXml/itemProps2.xml><?xml version="1.0" encoding="utf-8"?>
<ds:datastoreItem xmlns:ds="http://schemas.openxmlformats.org/officeDocument/2006/customXml" ds:itemID="{C2F0F923-7150-41FF-A829-D5640C567F8E}">
  <ds:schemaRefs>
    <ds:schemaRef ds:uri="http://schemas.microsoft.com/office/2006/documentManagement/types"/>
    <ds:schemaRef ds:uri="http://purl.org/dc/dcmitype/"/>
    <ds:schemaRef ds:uri="http://schemas.microsoft.com/sharepoint/v3"/>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825B72B-5633-455C-9C8D-7ED237617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BC5E66-BCEB-400D-BCEC-17771ED5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15068</Words>
  <Characters>88903</Characters>
  <Application>Microsoft Office Word</Application>
  <DocSecurity>0</DocSecurity>
  <Lines>740</Lines>
  <Paragraphs>207</Paragraphs>
  <ScaleCrop>false</ScaleCrop>
  <HeadingPairs>
    <vt:vector size="2" baseType="variant">
      <vt:variant>
        <vt:lpstr>Název</vt:lpstr>
      </vt:variant>
      <vt:variant>
        <vt:i4>1</vt:i4>
      </vt:variant>
    </vt:vector>
  </HeadingPairs>
  <TitlesOfParts>
    <vt:vector size="1" baseType="lpstr">
      <vt:lpstr>Kontrolní závěr z kontrolní akce NKÚ č. 20/34 - Závěrečný účet kapitoly státního rozpočtu Ministerstvo průmyslu a obchodu za rok 2020, účetní závěrka MPO za rok 2020 a údaje předkládané MPO pro hodnocení plnění státního rozpočtu za rok 2020</vt:lpstr>
    </vt:vector>
  </TitlesOfParts>
  <Company>NKU</Company>
  <LinksUpToDate>false</LinksUpToDate>
  <CharactersWithSpaces>103764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20/34 - Závěrečný účet kapitoly státního rozpočtu Ministerstvo průmyslu a obchodu za rok 2020, účetní závěrka MPO za rok 2020 a údaje předkládané MPO pro hodnocení plnění státního rozpočtu za rok 2020</dc:title>
  <dc:subject>Kontrolní závěr z kontrolní akce NKÚ č. 20/34 - Závěrečný účet kapitoly státního rozpočtu Ministerstvo průmyslu a obchodu za rok 2020, účetní závěrka MPO za rok 2020 a údaje předkládané MPO pro hodnocení plnění státního rozpočtu za rok 2020</dc:subject>
  <dc:creator>Nejvyšší kontrolní úřad</dc:creator>
  <cp:keywords>kontrolní závěr; MPO; účetnictví</cp:keywords>
  <cp:lastModifiedBy>KOKRDA Daniel</cp:lastModifiedBy>
  <cp:revision>3</cp:revision>
  <cp:lastPrinted>2021-10-01T06:58:00Z</cp:lastPrinted>
  <dcterms:created xsi:type="dcterms:W3CDTF">2021-10-01T06:57:00Z</dcterms:created>
  <dcterms:modified xsi:type="dcterms:W3CDTF">2021-10-01T07:00:00Z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19/03-NKU30/1082/19</vt:lpwstr>
  </property>
  <property fmtid="{D5CDD505-2E9C-101B-9397-08002B2CF9AE}" pid="5" name="CJ_PostaDoruc_PisemnostOdpovedNa_Pisemnost">
    <vt:lpwstr>XXX-XXX-XXX</vt:lpwstr>
  </property>
  <property fmtid="{D5CDD505-2E9C-101B-9397-08002B2CF9AE}" pid="6" name="CJ_Spis_Pisemnost">
    <vt:lpwstr>510/142/18</vt:lpwstr>
  </property>
  <property fmtid="{D5CDD505-2E9C-101B-9397-08002B2CF9AE}" pid="7" name="Contact_PostaOdes_All">
    <vt:lpwstr>ROZDĚLOVNÍK...</vt:lpwstr>
  </property>
  <property fmtid="{D5CDD505-2E9C-101B-9397-08002B2CF9AE}" pid="8" name="ContentTypeId">
    <vt:lpwstr>0x0101002F7A625AE9F5AB4A939F92BCAA7FEC02</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7.10.2019</vt:lpwstr>
  </property>
  <property fmtid="{D5CDD505-2E9C-101B-9397-08002B2CF9AE}" pid="12" name="DisplayName_CJCol">
    <vt:lpwstr>&lt;TABLE&gt;&lt;TR&gt;&lt;TD&gt;Č.j.:&lt;/TD&gt;&lt;TD&gt;19/03-NKU30/1082/19&lt;/TD&gt;&lt;/TR&gt;&lt;TR&gt;&lt;TD&gt;&lt;/TD&gt;&lt;TD&gt;&lt;/TD&gt;&lt;/TR&gt;&lt;/TABLE&gt;</vt:lpwstr>
  </property>
  <property fmtid="{D5CDD505-2E9C-101B-9397-08002B2CF9AE}" pid="13" name="DisplayName_SlozkaStupenUtajeniCollection_Slozka_Pisemnost">
    <vt:lpwstr/>
  </property>
  <property fmtid="{D5CDD505-2E9C-101B-9397-08002B2CF9AE}" pid="14" name="DisplayName_SpisovyUzel_PoziceZodpo_Pisemnost">
    <vt:lpwstr>Členové Úřadu</vt:lpwstr>
  </property>
  <property fmtid="{D5CDD505-2E9C-101B-9397-08002B2CF9AE}" pid="15" name="DisplayName_UserPoriz_Pisemnost">
    <vt:lpwstr>Bc. Jana Pokorná</vt:lpwstr>
  </property>
  <property fmtid="{D5CDD505-2E9C-101B-9397-08002B2CF9AE}" pid="16" name="DuvodZmeny_SlozkaStupenUtajeniCollection_Slozka_Pisemnost">
    <vt:lpwstr/>
  </property>
  <property fmtid="{D5CDD505-2E9C-101B-9397-08002B2CF9AE}" pid="17" name="EC_Pisemnost">
    <vt:lpwstr>19-13020/NKU</vt:lpwstr>
  </property>
  <property fmtid="{D5CDD505-2E9C-101B-9397-08002B2CF9AE}" pid="18" name="Key_BarCode_Pisemnost">
    <vt:lpwstr>*B000344466*</vt:lpwstr>
  </property>
  <property fmtid="{D5CDD505-2E9C-101B-9397-08002B2CF9AE}" pid="19" name="KRukam">
    <vt:lpwstr>{KRukam}</vt:lpwstr>
  </property>
  <property fmtid="{D5CDD505-2E9C-101B-9397-08002B2CF9AE}" pid="20" name="NameAddress_Contact_SpisovyUzel_PoziceZodpo_Pisemnost">
    <vt:lpwstr>ADRESÁT SU...</vt:lpwstr>
  </property>
  <property fmtid="{D5CDD505-2E9C-101B-9397-08002B2CF9AE}" pid="21" name="NamePostalAddress_Contact_PostaOdes">
    <vt:lpwstr>{NameAddress_Contact_PostaOdes}
{PostalAddress_Contact_PostaOdes}</vt:lpwstr>
  </property>
  <property fmtid="{D5CDD505-2E9C-101B-9397-08002B2CF9AE}" pid="22" name="Odkaz">
    <vt:lpwstr>ODKAZ</vt:lpwstr>
  </property>
  <property fmtid="{D5CDD505-2E9C-101B-9397-08002B2CF9AE}" pid="23" name="Password_PisemnostTypZpristupneniInformaciZOSZ_Pisemnost">
    <vt:lpwstr>ZOSZ_Password</vt:lpwstr>
  </property>
  <property fmtid="{D5CDD505-2E9C-101B-9397-08002B2CF9AE}" pid="24" name="PocetListuDokumentu_Pisemnost">
    <vt:lpwstr>1</vt:lpwstr>
  </property>
  <property fmtid="{D5CDD505-2E9C-101B-9397-08002B2CF9AE}" pid="25" name="PocetListu_Pisemnost">
    <vt:lpwstr>1</vt:lpwstr>
  </property>
  <property fmtid="{D5CDD505-2E9C-101B-9397-08002B2CF9AE}" pid="26" name="PocetPriloh_Pisemnost">
    <vt:lpwstr>POČET PŘÍLOH</vt:lpwstr>
  </property>
  <property fmtid="{D5CDD505-2E9C-101B-9397-08002B2CF9AE}" pid="27" name="Podpis">
    <vt:lpwstr/>
  </property>
  <property fmtid="{D5CDD505-2E9C-101B-9397-08002B2CF9AE}" pid="28" name="PostalAddress_Contact_SpisovyUzel_PoziceZodpo_Pisemnost">
    <vt:lpwstr>ADRESA SU...</vt:lpwstr>
  </property>
  <property fmtid="{D5CDD505-2E9C-101B-9397-08002B2CF9AE}" pid="29" name="RC">
    <vt:lpwstr/>
  </property>
  <property fmtid="{D5CDD505-2E9C-101B-9397-08002B2CF9AE}" pid="30" name="SkartacniZnakLhuta_PisemnostZnak">
    <vt:lpwstr>?/?</vt:lpwstr>
  </property>
  <property fmtid="{D5CDD505-2E9C-101B-9397-08002B2CF9AE}" pid="31" name="SmlouvaCislo">
    <vt:lpwstr>ČÍSLO SMLOUVY</vt:lpwstr>
  </property>
  <property fmtid="{D5CDD505-2E9C-101B-9397-08002B2CF9AE}" pid="32" name="SZ_Spis_Pisemnost">
    <vt:lpwstr>19/03</vt:lpwstr>
  </property>
  <property fmtid="{D5CDD505-2E9C-101B-9397-08002B2CF9AE}" pid="33" name="TEST">
    <vt:lpwstr>testovací pole</vt:lpwstr>
  </property>
  <property fmtid="{D5CDD505-2E9C-101B-9397-08002B2CF9AE}" pid="34" name="TypPrilohy_Pisemnost">
    <vt:lpwstr>TYP PŘÍLOHY</vt:lpwstr>
  </property>
  <property fmtid="{D5CDD505-2E9C-101B-9397-08002B2CF9AE}" pid="35" name="UserName_PisemnostTypZpristupneniInformaciZOSZ_Pisemnost">
    <vt:lpwstr>ZOSZ_UserName</vt:lpwstr>
  </property>
  <property fmtid="{D5CDD505-2E9C-101B-9397-08002B2CF9AE}" pid="36" name="Vec_Pisemnost">
    <vt:lpwstr>Návrh kontrolního závěru 19/03 – do připomínek</vt:lpwstr>
  </property>
  <property fmtid="{D5CDD505-2E9C-101B-9397-08002B2CF9AE}" pid="37" name="Zkratka_SpisovyUzel_PoziceZodpo_Pisemnost">
    <vt:lpwstr>30</vt:lpwstr>
  </property>
</Properties>
</file>