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E8273" w14:textId="77777777" w:rsidR="000B5E04" w:rsidRDefault="00063156" w:rsidP="0020405C">
      <w:pPr>
        <w:spacing w:after="0"/>
        <w:jc w:val="center"/>
        <w:rPr>
          <w:rFonts w:ascii="Calibri" w:hAnsi="Calibri" w:cs="Calibri"/>
        </w:rPr>
      </w:pPr>
      <w:r w:rsidRPr="003D1C56">
        <w:rPr>
          <w:noProof/>
        </w:rPr>
        <w:drawing>
          <wp:anchor distT="0" distB="0" distL="114300" distR="114300" simplePos="0" relativeHeight="251658240" behindDoc="0" locked="0" layoutInCell="1" allowOverlap="1" wp14:anchorId="34AB5AD0" wp14:editId="2CC79AB5">
            <wp:simplePos x="0" y="0"/>
            <wp:positionH relativeFrom="column">
              <wp:posOffset>2535003</wp:posOffset>
            </wp:positionH>
            <wp:positionV relativeFrom="paragraph">
              <wp:posOffset>248</wp:posOffset>
            </wp:positionV>
            <wp:extent cx="780415" cy="560705"/>
            <wp:effectExtent l="0" t="0" r="635"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139141"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80415" cy="560705"/>
                    </a:xfrm>
                    <a:prstGeom prst="rect">
                      <a:avLst/>
                    </a:prstGeom>
                    <a:noFill/>
                  </pic:spPr>
                </pic:pic>
              </a:graphicData>
            </a:graphic>
            <wp14:sizeRelH relativeFrom="page">
              <wp14:pctWidth>0</wp14:pctWidth>
            </wp14:sizeRelH>
            <wp14:sizeRelV relativeFrom="page">
              <wp14:pctHeight>0</wp14:pctHeight>
            </wp14:sizeRelV>
          </wp:anchor>
        </w:drawing>
      </w:r>
    </w:p>
    <w:p w14:paraId="158F6653" w14:textId="77777777" w:rsidR="00063156" w:rsidRDefault="00063156" w:rsidP="0020405C">
      <w:pPr>
        <w:spacing w:after="0"/>
        <w:jc w:val="center"/>
        <w:rPr>
          <w:rFonts w:ascii="Calibri" w:hAnsi="Calibri" w:cs="Calibri"/>
        </w:rPr>
      </w:pPr>
    </w:p>
    <w:p w14:paraId="39552AE3" w14:textId="77777777" w:rsidR="00462F78" w:rsidRPr="00840C68" w:rsidRDefault="00462F78" w:rsidP="0020405C">
      <w:pPr>
        <w:spacing w:after="0"/>
        <w:jc w:val="center"/>
        <w:rPr>
          <w:rFonts w:ascii="Calibri" w:hAnsi="Calibri" w:cs="Calibri"/>
        </w:rPr>
      </w:pPr>
    </w:p>
    <w:p w14:paraId="135B0ACD" w14:textId="77777777" w:rsidR="00462F78" w:rsidRPr="003D1C56" w:rsidRDefault="00EC4C55" w:rsidP="0020405C">
      <w:pPr>
        <w:spacing w:after="0"/>
        <w:jc w:val="center"/>
        <w:rPr>
          <w:rFonts w:cstheme="minorHAnsi"/>
          <w:b/>
          <w:sz w:val="28"/>
        </w:rPr>
      </w:pPr>
      <w:r w:rsidRPr="003D1C56">
        <w:rPr>
          <w:rFonts w:cstheme="minorHAnsi"/>
          <w:b/>
          <w:sz w:val="28"/>
        </w:rPr>
        <w:t>Kontrolní závěr z kontrolní akce</w:t>
      </w:r>
    </w:p>
    <w:p w14:paraId="26BA2720" w14:textId="77777777" w:rsidR="00462F78" w:rsidRPr="003D1C56" w:rsidRDefault="00462F78" w:rsidP="0020405C">
      <w:pPr>
        <w:spacing w:after="0"/>
        <w:jc w:val="center"/>
        <w:rPr>
          <w:rFonts w:ascii="Calibri" w:hAnsi="Calibri" w:cs="Calibri"/>
        </w:rPr>
      </w:pPr>
    </w:p>
    <w:p w14:paraId="4E7BC97F" w14:textId="77777777" w:rsidR="00462F78" w:rsidRPr="00840C68" w:rsidRDefault="00EC4C55" w:rsidP="0020405C">
      <w:pPr>
        <w:spacing w:after="0"/>
        <w:ind w:right="68"/>
        <w:jc w:val="center"/>
        <w:rPr>
          <w:rFonts w:ascii="Calibri" w:hAnsi="Calibri" w:cs="Calibri"/>
          <w:b/>
          <w:bCs/>
          <w:sz w:val="28"/>
        </w:rPr>
      </w:pPr>
      <w:r w:rsidRPr="003D1C56">
        <w:rPr>
          <w:rFonts w:ascii="Calibri" w:hAnsi="Calibri" w:cs="Calibri"/>
          <w:b/>
          <w:bCs/>
          <w:sz w:val="28"/>
        </w:rPr>
        <w:t>1</w:t>
      </w:r>
      <w:r w:rsidR="008170F1">
        <w:rPr>
          <w:rFonts w:ascii="Calibri" w:hAnsi="Calibri" w:cs="Calibri"/>
          <w:b/>
          <w:bCs/>
          <w:sz w:val="28"/>
        </w:rPr>
        <w:t>9</w:t>
      </w:r>
      <w:r w:rsidRPr="003D1C56">
        <w:rPr>
          <w:rFonts w:ascii="Calibri" w:hAnsi="Calibri" w:cs="Calibri"/>
          <w:b/>
          <w:bCs/>
          <w:sz w:val="28"/>
        </w:rPr>
        <w:t>/</w:t>
      </w:r>
      <w:r w:rsidR="001D380D" w:rsidRPr="003D1C56">
        <w:rPr>
          <w:rFonts w:ascii="Calibri" w:hAnsi="Calibri" w:cs="Calibri"/>
          <w:b/>
          <w:bCs/>
          <w:sz w:val="28"/>
        </w:rPr>
        <w:t>2</w:t>
      </w:r>
      <w:r w:rsidR="008170F1">
        <w:rPr>
          <w:rFonts w:ascii="Calibri" w:hAnsi="Calibri" w:cs="Calibri"/>
          <w:b/>
          <w:bCs/>
          <w:sz w:val="28"/>
        </w:rPr>
        <w:t>2</w:t>
      </w:r>
    </w:p>
    <w:p w14:paraId="7DEDE2ED" w14:textId="18FB1E5A" w:rsidR="007347A4" w:rsidRPr="003D1C56" w:rsidRDefault="00EC4C55" w:rsidP="0020405C">
      <w:pPr>
        <w:spacing w:after="0"/>
        <w:jc w:val="center"/>
        <w:rPr>
          <w:rFonts w:cstheme="minorHAnsi"/>
          <w:b/>
          <w:sz w:val="28"/>
          <w:szCs w:val="28"/>
        </w:rPr>
      </w:pPr>
      <w:r w:rsidRPr="008170F1">
        <w:rPr>
          <w:rFonts w:cstheme="minorHAnsi"/>
          <w:b/>
          <w:sz w:val="28"/>
          <w:szCs w:val="28"/>
        </w:rPr>
        <w:t xml:space="preserve">Peněžní prostředky státu určené na demolice budov </w:t>
      </w:r>
      <w:r w:rsidR="00230E83">
        <w:rPr>
          <w:rFonts w:cstheme="minorHAnsi"/>
          <w:b/>
          <w:sz w:val="28"/>
          <w:szCs w:val="28"/>
        </w:rPr>
        <w:br/>
      </w:r>
      <w:bookmarkStart w:id="0" w:name="_GoBack"/>
      <w:bookmarkEnd w:id="0"/>
      <w:r w:rsidRPr="008170F1">
        <w:rPr>
          <w:rFonts w:cstheme="minorHAnsi"/>
          <w:b/>
          <w:sz w:val="28"/>
          <w:szCs w:val="28"/>
        </w:rPr>
        <w:t>v sociálně vyloučených lokalitách</w:t>
      </w:r>
    </w:p>
    <w:p w14:paraId="2A279D7A" w14:textId="77777777" w:rsidR="00462F78" w:rsidRDefault="00462F78" w:rsidP="0020405C">
      <w:pPr>
        <w:spacing w:after="0"/>
        <w:jc w:val="both"/>
        <w:rPr>
          <w:rFonts w:ascii="Calibri" w:hAnsi="Calibri" w:cs="Calibri"/>
        </w:rPr>
      </w:pPr>
    </w:p>
    <w:p w14:paraId="4CD12311" w14:textId="77777777" w:rsidR="0020405C" w:rsidRPr="003D1C56" w:rsidRDefault="0020405C" w:rsidP="0020405C">
      <w:pPr>
        <w:spacing w:after="0"/>
        <w:jc w:val="both"/>
        <w:rPr>
          <w:rFonts w:ascii="Calibri" w:hAnsi="Calibri" w:cs="Calibri"/>
        </w:rPr>
      </w:pPr>
    </w:p>
    <w:p w14:paraId="0E3B2389" w14:textId="77777777" w:rsidR="00462F78" w:rsidRPr="003D1C56" w:rsidRDefault="00EC4C55" w:rsidP="0020405C">
      <w:pPr>
        <w:pStyle w:val="Zkladn"/>
        <w:spacing w:before="0" w:after="0"/>
        <w:rPr>
          <w:rFonts w:ascii="Calibri" w:hAnsi="Calibri" w:cs="Calibri"/>
        </w:rPr>
      </w:pPr>
      <w:r w:rsidRPr="00BB1F71">
        <w:rPr>
          <w:rFonts w:ascii="Calibri" w:hAnsi="Calibri" w:cs="Calibri"/>
        </w:rPr>
        <w:t>Kontrolní akce byla zařazena do plánu kontrolní činnosti Nejvyššího kontrolního úřadu (dále </w:t>
      </w:r>
      <w:r w:rsidR="000579F3" w:rsidRPr="00BB1F71">
        <w:rPr>
          <w:rFonts w:ascii="Calibri" w:hAnsi="Calibri" w:cs="Calibri"/>
        </w:rPr>
        <w:t xml:space="preserve">také </w:t>
      </w:r>
      <w:r w:rsidRPr="00BB1F71">
        <w:rPr>
          <w:rFonts w:ascii="Calibri" w:hAnsi="Calibri" w:cs="Calibri"/>
        </w:rPr>
        <w:t>„NKÚ“) na rok 201</w:t>
      </w:r>
      <w:r w:rsidR="008170F1" w:rsidRPr="00BB1F71">
        <w:rPr>
          <w:rFonts w:ascii="Calibri" w:hAnsi="Calibri" w:cs="Calibri"/>
        </w:rPr>
        <w:t>9</w:t>
      </w:r>
      <w:r w:rsidRPr="00BB1F71">
        <w:rPr>
          <w:rFonts w:ascii="Calibri" w:hAnsi="Calibri" w:cs="Calibri"/>
        </w:rPr>
        <w:t xml:space="preserve"> pod číslem </w:t>
      </w:r>
      <w:r w:rsidR="008170F1" w:rsidRPr="00BB1F71">
        <w:rPr>
          <w:rFonts w:ascii="Calibri" w:hAnsi="Calibri" w:cs="Calibri"/>
        </w:rPr>
        <w:t>19</w:t>
      </w:r>
      <w:r w:rsidRPr="00BB1F71">
        <w:rPr>
          <w:rFonts w:ascii="Calibri" w:hAnsi="Calibri" w:cs="Calibri"/>
        </w:rPr>
        <w:t>/</w:t>
      </w:r>
      <w:r w:rsidR="008170F1" w:rsidRPr="00BB1F71">
        <w:rPr>
          <w:rFonts w:ascii="Calibri" w:hAnsi="Calibri" w:cs="Calibri"/>
        </w:rPr>
        <w:t>22</w:t>
      </w:r>
      <w:r w:rsidRPr="00BB1F71">
        <w:rPr>
          <w:rFonts w:ascii="Calibri" w:hAnsi="Calibri" w:cs="Calibri"/>
        </w:rPr>
        <w:t>. Kontrolní akci řídil</w:t>
      </w:r>
      <w:r w:rsidR="008170F1" w:rsidRPr="00BB1F71">
        <w:rPr>
          <w:rFonts w:ascii="Calibri" w:hAnsi="Calibri" w:cs="Calibri"/>
        </w:rPr>
        <w:t>a</w:t>
      </w:r>
      <w:r w:rsidRPr="00BB1F71">
        <w:rPr>
          <w:rFonts w:ascii="Calibri" w:hAnsi="Calibri" w:cs="Calibri"/>
        </w:rPr>
        <w:t xml:space="preserve"> a kontrolní závěr vypracoval</w:t>
      </w:r>
      <w:r w:rsidR="008170F1" w:rsidRPr="00BB1F71">
        <w:rPr>
          <w:rFonts w:ascii="Calibri" w:hAnsi="Calibri" w:cs="Calibri"/>
        </w:rPr>
        <w:t>a</w:t>
      </w:r>
      <w:r w:rsidRPr="00BB1F71">
        <w:rPr>
          <w:rFonts w:ascii="Calibri" w:hAnsi="Calibri" w:cs="Calibri"/>
        </w:rPr>
        <w:t xml:space="preserve"> člen</w:t>
      </w:r>
      <w:r w:rsidR="008170F1" w:rsidRPr="00BB1F71">
        <w:rPr>
          <w:rFonts w:ascii="Calibri" w:hAnsi="Calibri" w:cs="Calibri"/>
        </w:rPr>
        <w:t>ka</w:t>
      </w:r>
      <w:r w:rsidRPr="00BB1F71">
        <w:rPr>
          <w:rFonts w:ascii="Calibri" w:hAnsi="Calibri" w:cs="Calibri"/>
        </w:rPr>
        <w:t xml:space="preserve"> NKÚ </w:t>
      </w:r>
      <w:r w:rsidR="001D380D" w:rsidRPr="00BB1F71">
        <w:rPr>
          <w:rFonts w:ascii="Calibri" w:hAnsi="Calibri" w:cs="Calibri"/>
        </w:rPr>
        <w:t>Ing</w:t>
      </w:r>
      <w:r w:rsidRPr="00BB1F71">
        <w:rPr>
          <w:rFonts w:ascii="Calibri" w:hAnsi="Calibri" w:cs="Calibri"/>
        </w:rPr>
        <w:t>.</w:t>
      </w:r>
      <w:r w:rsidR="001D380D" w:rsidRPr="00BB1F71">
        <w:rPr>
          <w:rFonts w:ascii="Calibri" w:hAnsi="Calibri" w:cs="Calibri"/>
        </w:rPr>
        <w:t xml:space="preserve"> </w:t>
      </w:r>
      <w:r w:rsidR="008170F1" w:rsidRPr="00BB1F71">
        <w:rPr>
          <w:rFonts w:ascii="Calibri" w:hAnsi="Calibri" w:cs="Calibri"/>
        </w:rPr>
        <w:t>Hana Hykšová</w:t>
      </w:r>
      <w:r w:rsidR="001D380D" w:rsidRPr="00BB1F71">
        <w:rPr>
          <w:rFonts w:ascii="Calibri" w:hAnsi="Calibri" w:cs="Calibri"/>
        </w:rPr>
        <w:t>.</w:t>
      </w:r>
      <w:r w:rsidRPr="003D1C56">
        <w:rPr>
          <w:rFonts w:ascii="Calibri" w:hAnsi="Calibri" w:cs="Calibri"/>
        </w:rPr>
        <w:t xml:space="preserve"> </w:t>
      </w:r>
    </w:p>
    <w:p w14:paraId="0DCF08E1" w14:textId="77777777" w:rsidR="00462F78" w:rsidRPr="003D1C56" w:rsidRDefault="00462F78" w:rsidP="0020405C">
      <w:pPr>
        <w:pStyle w:val="Zkladntextodsazen"/>
        <w:spacing w:after="0"/>
        <w:ind w:left="0"/>
        <w:jc w:val="both"/>
        <w:rPr>
          <w:rFonts w:ascii="Calibri" w:hAnsi="Calibri" w:cs="Calibri"/>
        </w:rPr>
      </w:pPr>
    </w:p>
    <w:p w14:paraId="5A944580" w14:textId="77777777" w:rsidR="001D380D" w:rsidRPr="008170F1" w:rsidRDefault="00EC4C55" w:rsidP="0020405C">
      <w:pPr>
        <w:spacing w:after="0"/>
        <w:jc w:val="both"/>
        <w:rPr>
          <w:rFonts w:cstheme="minorHAnsi"/>
          <w:lang w:eastAsia="en-US"/>
        </w:rPr>
      </w:pPr>
      <w:r w:rsidRPr="003D1C56">
        <w:rPr>
          <w:rFonts w:cstheme="minorHAnsi"/>
          <w:lang w:eastAsia="en-US"/>
        </w:rPr>
        <w:t xml:space="preserve">Cílem kontroly </w:t>
      </w:r>
      <w:r w:rsidR="008170F1">
        <w:rPr>
          <w:rFonts w:cstheme="minorHAnsi"/>
          <w:lang w:eastAsia="en-US"/>
        </w:rPr>
        <w:t xml:space="preserve">bylo prověřit, </w:t>
      </w:r>
      <w:r w:rsidR="008170F1" w:rsidRPr="008170F1">
        <w:rPr>
          <w:rFonts w:cstheme="minorHAnsi"/>
          <w:lang w:eastAsia="en-US"/>
        </w:rPr>
        <w:t>zda jsou peněžní prostředky z kapitoly státního rozpočtu Ministerstvo pro místní rozvoj určené na demolice v sociálně vyloučených lokalitách poskytovány a používány účelně a hospodárně a v souladu s právními předpisy</w:t>
      </w:r>
      <w:r w:rsidR="00BC3605">
        <w:rPr>
          <w:rFonts w:cstheme="minorHAnsi"/>
          <w:lang w:eastAsia="en-US"/>
        </w:rPr>
        <w:t>.</w:t>
      </w:r>
    </w:p>
    <w:p w14:paraId="053B2E53" w14:textId="77777777" w:rsidR="0031051C" w:rsidRDefault="0031051C" w:rsidP="0020405C">
      <w:pPr>
        <w:pStyle w:val="Zkladn"/>
        <w:spacing w:before="0" w:after="0"/>
        <w:rPr>
          <w:rFonts w:ascii="Calibri" w:hAnsi="Calibri" w:cs="Calibri"/>
          <w:b/>
        </w:rPr>
      </w:pPr>
    </w:p>
    <w:p w14:paraId="4A6CCC11" w14:textId="77777777" w:rsidR="0031051C" w:rsidRPr="003D1C56" w:rsidRDefault="00EC4C55" w:rsidP="0020405C">
      <w:pPr>
        <w:pStyle w:val="Zkladn"/>
        <w:spacing w:before="0" w:after="0"/>
        <w:rPr>
          <w:rFonts w:ascii="Calibri" w:hAnsi="Calibri" w:cs="Calibri"/>
          <w:b/>
        </w:rPr>
      </w:pPr>
      <w:r w:rsidRPr="003D1C56">
        <w:rPr>
          <w:rFonts w:ascii="Calibri" w:hAnsi="Calibri" w:cs="Calibri"/>
          <w:b/>
        </w:rPr>
        <w:t>Kontrolované osoby:</w:t>
      </w:r>
    </w:p>
    <w:p w14:paraId="4ADD7E91" w14:textId="77777777" w:rsidR="0031051C" w:rsidRPr="009134B9" w:rsidRDefault="00EC4C55" w:rsidP="0020405C">
      <w:pPr>
        <w:pStyle w:val="Zkladn"/>
        <w:spacing w:before="0" w:after="0"/>
        <w:jc w:val="left"/>
        <w:rPr>
          <w:rFonts w:ascii="Calibri" w:hAnsi="Calibri" w:cs="Calibri"/>
        </w:rPr>
      </w:pPr>
      <w:r w:rsidRPr="009134B9">
        <w:rPr>
          <w:rFonts w:ascii="Calibri" w:hAnsi="Calibri" w:cs="Calibri"/>
        </w:rPr>
        <w:t>Ministerstvo pro místní rozvoj (dále také „MMR“);</w:t>
      </w:r>
    </w:p>
    <w:p w14:paraId="2E4D6B13" w14:textId="77777777" w:rsidR="0031051C" w:rsidRPr="003D1C56" w:rsidRDefault="00EC4C55" w:rsidP="0020405C">
      <w:pPr>
        <w:pStyle w:val="Zkladn"/>
        <w:spacing w:before="0" w:after="0"/>
        <w:rPr>
          <w:rFonts w:ascii="Calibri" w:hAnsi="Calibri" w:cs="Calibri"/>
        </w:rPr>
      </w:pPr>
      <w:r w:rsidRPr="009134B9">
        <w:rPr>
          <w:rFonts w:ascii="Calibri" w:hAnsi="Calibri" w:cs="Calibri"/>
        </w:rPr>
        <w:t xml:space="preserve">vybraní příjemci podpory: </w:t>
      </w:r>
      <w:r w:rsidR="009134B9">
        <w:rPr>
          <w:rFonts w:ascii="Calibri" w:hAnsi="Calibri" w:cs="Calibri"/>
        </w:rPr>
        <w:t>m</w:t>
      </w:r>
      <w:r w:rsidRPr="009134B9">
        <w:rPr>
          <w:rFonts w:ascii="Calibri" w:hAnsi="Calibri" w:cs="Calibri"/>
        </w:rPr>
        <w:t xml:space="preserve">ěsto Bohumín; </w:t>
      </w:r>
      <w:r w:rsidR="009134B9">
        <w:rPr>
          <w:rFonts w:ascii="Calibri" w:hAnsi="Calibri" w:cs="Calibri"/>
        </w:rPr>
        <w:t>m</w:t>
      </w:r>
      <w:r w:rsidRPr="009134B9">
        <w:rPr>
          <w:rFonts w:ascii="Calibri" w:hAnsi="Calibri" w:cs="Calibri"/>
        </w:rPr>
        <w:t xml:space="preserve">ěsto Čáslav; </w:t>
      </w:r>
      <w:r w:rsidR="009134B9">
        <w:rPr>
          <w:rFonts w:ascii="Calibri" w:hAnsi="Calibri" w:cs="Calibri"/>
        </w:rPr>
        <w:t>m</w:t>
      </w:r>
      <w:r w:rsidRPr="009134B9">
        <w:rPr>
          <w:rFonts w:ascii="Calibri" w:hAnsi="Calibri" w:cs="Calibri"/>
        </w:rPr>
        <w:t xml:space="preserve">ěsto Duchcov; </w:t>
      </w:r>
      <w:r w:rsidR="009134B9">
        <w:rPr>
          <w:rFonts w:ascii="Calibri" w:hAnsi="Calibri" w:cs="Calibri"/>
        </w:rPr>
        <w:t>m</w:t>
      </w:r>
      <w:r w:rsidRPr="009134B9">
        <w:rPr>
          <w:rFonts w:ascii="Calibri" w:hAnsi="Calibri" w:cs="Calibri"/>
        </w:rPr>
        <w:t xml:space="preserve">ěsto Kralupy nad Vltavou; </w:t>
      </w:r>
      <w:r w:rsidR="009134B9">
        <w:rPr>
          <w:rFonts w:ascii="Calibri" w:hAnsi="Calibri" w:cs="Calibri"/>
        </w:rPr>
        <w:t>m</w:t>
      </w:r>
      <w:r w:rsidRPr="009134B9">
        <w:rPr>
          <w:rFonts w:ascii="Calibri" w:hAnsi="Calibri" w:cs="Calibri"/>
        </w:rPr>
        <w:t xml:space="preserve">ěsto Lázně Bělohrad; </w:t>
      </w:r>
      <w:r w:rsidR="009134B9">
        <w:rPr>
          <w:rFonts w:ascii="Calibri" w:hAnsi="Calibri" w:cs="Calibri"/>
        </w:rPr>
        <w:t>m</w:t>
      </w:r>
      <w:r w:rsidRPr="009134B9">
        <w:rPr>
          <w:rFonts w:ascii="Calibri" w:hAnsi="Calibri" w:cs="Calibri"/>
        </w:rPr>
        <w:t xml:space="preserve">ěsto Litvínov; </w:t>
      </w:r>
      <w:r w:rsidR="009134B9">
        <w:rPr>
          <w:rFonts w:ascii="Calibri" w:hAnsi="Calibri" w:cs="Calibri"/>
        </w:rPr>
        <w:t>m</w:t>
      </w:r>
      <w:r w:rsidRPr="009134B9">
        <w:rPr>
          <w:rFonts w:ascii="Calibri" w:hAnsi="Calibri" w:cs="Calibri"/>
        </w:rPr>
        <w:t xml:space="preserve">ěsto Lom; </w:t>
      </w:r>
      <w:r w:rsidR="009134B9">
        <w:rPr>
          <w:rFonts w:ascii="Calibri" w:hAnsi="Calibri" w:cs="Calibri"/>
        </w:rPr>
        <w:t>m</w:t>
      </w:r>
      <w:r w:rsidRPr="009134B9">
        <w:rPr>
          <w:rFonts w:ascii="Calibri" w:hAnsi="Calibri" w:cs="Calibri"/>
        </w:rPr>
        <w:t xml:space="preserve">ěsto Ralsko; </w:t>
      </w:r>
      <w:r w:rsidR="009134B9">
        <w:rPr>
          <w:rFonts w:ascii="Calibri" w:hAnsi="Calibri" w:cs="Calibri"/>
        </w:rPr>
        <w:t>m</w:t>
      </w:r>
      <w:r w:rsidRPr="009134B9">
        <w:rPr>
          <w:rFonts w:ascii="Calibri" w:hAnsi="Calibri" w:cs="Calibri"/>
        </w:rPr>
        <w:t xml:space="preserve">ěsto Rotava; </w:t>
      </w:r>
      <w:r w:rsidR="009134B9">
        <w:rPr>
          <w:rFonts w:ascii="Calibri" w:hAnsi="Calibri" w:cs="Calibri"/>
        </w:rPr>
        <w:t>m</w:t>
      </w:r>
      <w:r w:rsidRPr="009134B9">
        <w:rPr>
          <w:rFonts w:ascii="Calibri" w:hAnsi="Calibri" w:cs="Calibri"/>
        </w:rPr>
        <w:t xml:space="preserve">ěsto Žacléř; </w:t>
      </w:r>
      <w:r w:rsidR="009134B9">
        <w:rPr>
          <w:rFonts w:ascii="Calibri" w:hAnsi="Calibri" w:cs="Calibri"/>
        </w:rPr>
        <w:t>o</w:t>
      </w:r>
      <w:r w:rsidRPr="009134B9">
        <w:rPr>
          <w:rFonts w:ascii="Calibri" w:hAnsi="Calibri" w:cs="Calibri"/>
        </w:rPr>
        <w:t xml:space="preserve">bec Drahelčice; </w:t>
      </w:r>
      <w:r w:rsidR="009134B9">
        <w:rPr>
          <w:rFonts w:ascii="Calibri" w:hAnsi="Calibri" w:cs="Calibri"/>
        </w:rPr>
        <w:t>o</w:t>
      </w:r>
      <w:r w:rsidRPr="009134B9">
        <w:rPr>
          <w:rFonts w:ascii="Calibri" w:hAnsi="Calibri" w:cs="Calibri"/>
        </w:rPr>
        <w:t xml:space="preserve">bec Liblice; </w:t>
      </w:r>
      <w:r w:rsidR="009134B9">
        <w:rPr>
          <w:rFonts w:ascii="Calibri" w:hAnsi="Calibri" w:cs="Calibri"/>
        </w:rPr>
        <w:t>o</w:t>
      </w:r>
      <w:r w:rsidRPr="009134B9">
        <w:rPr>
          <w:rFonts w:ascii="Calibri" w:hAnsi="Calibri" w:cs="Calibri"/>
        </w:rPr>
        <w:t xml:space="preserve">bec Lípa; </w:t>
      </w:r>
      <w:r w:rsidR="009134B9">
        <w:rPr>
          <w:rFonts w:ascii="Calibri" w:hAnsi="Calibri" w:cs="Calibri"/>
        </w:rPr>
        <w:t>o</w:t>
      </w:r>
      <w:r w:rsidRPr="009134B9">
        <w:rPr>
          <w:rFonts w:ascii="Calibri" w:hAnsi="Calibri" w:cs="Calibri"/>
        </w:rPr>
        <w:t xml:space="preserve">bec Nivnice; </w:t>
      </w:r>
      <w:r w:rsidR="009134B9">
        <w:rPr>
          <w:rFonts w:ascii="Calibri" w:hAnsi="Calibri" w:cs="Calibri"/>
        </w:rPr>
        <w:t>o</w:t>
      </w:r>
      <w:r w:rsidRPr="009134B9">
        <w:rPr>
          <w:rFonts w:ascii="Calibri" w:hAnsi="Calibri" w:cs="Calibri"/>
        </w:rPr>
        <w:t xml:space="preserve">bec Prysk; </w:t>
      </w:r>
      <w:r w:rsidR="009134B9">
        <w:rPr>
          <w:rFonts w:ascii="Calibri" w:hAnsi="Calibri" w:cs="Calibri"/>
        </w:rPr>
        <w:t>o</w:t>
      </w:r>
      <w:r w:rsidRPr="009134B9">
        <w:rPr>
          <w:rFonts w:ascii="Calibri" w:hAnsi="Calibri" w:cs="Calibri"/>
        </w:rPr>
        <w:t xml:space="preserve">bec Zbraslav; </w:t>
      </w:r>
      <w:r w:rsidR="009134B9">
        <w:rPr>
          <w:rFonts w:ascii="Calibri" w:hAnsi="Calibri" w:cs="Calibri"/>
        </w:rPr>
        <w:t>s</w:t>
      </w:r>
      <w:r w:rsidRPr="009134B9">
        <w:rPr>
          <w:rFonts w:ascii="Calibri" w:hAnsi="Calibri" w:cs="Calibri"/>
        </w:rPr>
        <w:t xml:space="preserve">tatutární město Havířov; </w:t>
      </w:r>
      <w:r w:rsidR="009134B9">
        <w:rPr>
          <w:rFonts w:ascii="Calibri" w:hAnsi="Calibri" w:cs="Calibri"/>
        </w:rPr>
        <w:t>s</w:t>
      </w:r>
      <w:r w:rsidRPr="009134B9">
        <w:rPr>
          <w:rFonts w:ascii="Calibri" w:hAnsi="Calibri" w:cs="Calibri"/>
        </w:rPr>
        <w:t xml:space="preserve">tatutární město Chomutov; </w:t>
      </w:r>
      <w:r w:rsidR="009134B9">
        <w:rPr>
          <w:rFonts w:ascii="Calibri" w:hAnsi="Calibri" w:cs="Calibri"/>
        </w:rPr>
        <w:t>s</w:t>
      </w:r>
      <w:r w:rsidRPr="009134B9">
        <w:rPr>
          <w:rFonts w:ascii="Calibri" w:hAnsi="Calibri" w:cs="Calibri"/>
        </w:rPr>
        <w:t xml:space="preserve">tatutární město Karviná; </w:t>
      </w:r>
      <w:r w:rsidR="009134B9">
        <w:rPr>
          <w:rFonts w:ascii="Calibri" w:hAnsi="Calibri" w:cs="Calibri"/>
        </w:rPr>
        <w:t>s</w:t>
      </w:r>
      <w:r w:rsidRPr="009134B9">
        <w:rPr>
          <w:rFonts w:ascii="Calibri" w:hAnsi="Calibri" w:cs="Calibri"/>
        </w:rPr>
        <w:t>tatutární město Přerov.</w:t>
      </w:r>
    </w:p>
    <w:p w14:paraId="6B118F0B" w14:textId="77777777" w:rsidR="00462F78" w:rsidRPr="003D1C56" w:rsidRDefault="00462F78" w:rsidP="0020405C">
      <w:pPr>
        <w:spacing w:after="0"/>
        <w:jc w:val="both"/>
        <w:rPr>
          <w:rFonts w:cstheme="minorHAnsi"/>
          <w:noProof/>
          <w:color w:val="000000"/>
        </w:rPr>
      </w:pPr>
    </w:p>
    <w:p w14:paraId="1BA97C5B" w14:textId="77777777" w:rsidR="0031051C" w:rsidRDefault="00EC4C55" w:rsidP="0020405C">
      <w:pPr>
        <w:pStyle w:val="Zkladntextodsazen"/>
        <w:spacing w:after="0"/>
        <w:ind w:left="0"/>
        <w:jc w:val="both"/>
        <w:rPr>
          <w:rFonts w:ascii="Calibri" w:hAnsi="Calibri" w:cs="Calibri"/>
        </w:rPr>
      </w:pPr>
      <w:r w:rsidRPr="00464FF3">
        <w:rPr>
          <w:rFonts w:ascii="Calibri" w:hAnsi="Calibri" w:cs="Calibri"/>
          <w:b/>
        </w:rPr>
        <w:t>Kontrolováno bylo období</w:t>
      </w:r>
      <w:r w:rsidRPr="003D1C56">
        <w:rPr>
          <w:rFonts w:ascii="Calibri" w:hAnsi="Calibri" w:cs="Calibri"/>
        </w:rPr>
        <w:t xml:space="preserve"> od roku 20</w:t>
      </w:r>
      <w:r w:rsidR="008170F1">
        <w:rPr>
          <w:rFonts w:ascii="Calibri" w:hAnsi="Calibri" w:cs="Calibri"/>
        </w:rPr>
        <w:t>16</w:t>
      </w:r>
      <w:r w:rsidRPr="003D1C56">
        <w:rPr>
          <w:rFonts w:ascii="Calibri" w:hAnsi="Calibri" w:cs="Calibri"/>
        </w:rPr>
        <w:t xml:space="preserve"> do roku 201</w:t>
      </w:r>
      <w:r w:rsidR="008170F1">
        <w:rPr>
          <w:rFonts w:ascii="Calibri" w:hAnsi="Calibri" w:cs="Calibri"/>
        </w:rPr>
        <w:t>9</w:t>
      </w:r>
      <w:r w:rsidRPr="003D1C56">
        <w:rPr>
          <w:rFonts w:ascii="Calibri" w:hAnsi="Calibri" w:cs="Calibri"/>
        </w:rPr>
        <w:t>, v přípa</w:t>
      </w:r>
      <w:r w:rsidR="00055D97" w:rsidRPr="003D1C56">
        <w:rPr>
          <w:rFonts w:ascii="Calibri" w:hAnsi="Calibri" w:cs="Calibri"/>
        </w:rPr>
        <w:t xml:space="preserve">dě věcných souvislostí i období </w:t>
      </w:r>
      <w:r w:rsidRPr="003D1C56">
        <w:rPr>
          <w:rFonts w:ascii="Calibri" w:hAnsi="Calibri" w:cs="Calibri"/>
        </w:rPr>
        <w:t xml:space="preserve">předcházející a následující. </w:t>
      </w:r>
    </w:p>
    <w:p w14:paraId="50145D24" w14:textId="77777777" w:rsidR="0031051C" w:rsidRDefault="0031051C" w:rsidP="0020405C">
      <w:pPr>
        <w:pStyle w:val="Zkladntextodsazen"/>
        <w:spacing w:after="0"/>
        <w:ind w:left="0"/>
        <w:jc w:val="both"/>
        <w:rPr>
          <w:rFonts w:ascii="Calibri" w:hAnsi="Calibri" w:cs="Calibri"/>
        </w:rPr>
      </w:pPr>
    </w:p>
    <w:p w14:paraId="3845FCC1" w14:textId="77777777" w:rsidR="00462F78" w:rsidRPr="003D1C56" w:rsidRDefault="00EC4C55" w:rsidP="0020405C">
      <w:pPr>
        <w:pStyle w:val="Zkladntextodsazen"/>
        <w:spacing w:after="0"/>
        <w:ind w:left="0"/>
        <w:jc w:val="both"/>
        <w:rPr>
          <w:rFonts w:ascii="Calibri" w:hAnsi="Calibri" w:cs="Calibri"/>
        </w:rPr>
      </w:pPr>
      <w:r w:rsidRPr="00BB1F71">
        <w:rPr>
          <w:rFonts w:ascii="Calibri" w:hAnsi="Calibri" w:cs="Calibri"/>
        </w:rPr>
        <w:t xml:space="preserve">Kontrola byla u kontrolovaných osob </w:t>
      </w:r>
      <w:r w:rsidR="00057447" w:rsidRPr="00BB1F71">
        <w:rPr>
          <w:rFonts w:ascii="Calibri" w:hAnsi="Calibri" w:cs="Calibri"/>
        </w:rPr>
        <w:t xml:space="preserve">prováděna </w:t>
      </w:r>
      <w:r w:rsidRPr="00BB1F71">
        <w:rPr>
          <w:rFonts w:ascii="Calibri" w:hAnsi="Calibri" w:cs="Calibri"/>
        </w:rPr>
        <w:t xml:space="preserve">od </w:t>
      </w:r>
      <w:r w:rsidR="008170F1" w:rsidRPr="00BB1F71">
        <w:rPr>
          <w:rFonts w:ascii="Calibri" w:hAnsi="Calibri" w:cs="Calibri"/>
        </w:rPr>
        <w:t>září</w:t>
      </w:r>
      <w:r w:rsidRPr="00BB1F71">
        <w:rPr>
          <w:rFonts w:ascii="Calibri" w:hAnsi="Calibri" w:cs="Calibri"/>
        </w:rPr>
        <w:t xml:space="preserve"> </w:t>
      </w:r>
      <w:r w:rsidR="001D380D" w:rsidRPr="00BB1F71">
        <w:rPr>
          <w:rFonts w:ascii="Calibri" w:hAnsi="Calibri" w:cs="Calibri"/>
        </w:rPr>
        <w:t>20</w:t>
      </w:r>
      <w:r w:rsidR="008170F1" w:rsidRPr="00BB1F71">
        <w:rPr>
          <w:rFonts w:ascii="Calibri" w:hAnsi="Calibri" w:cs="Calibri"/>
        </w:rPr>
        <w:t>19</w:t>
      </w:r>
      <w:r w:rsidR="001D380D" w:rsidRPr="00BB1F71">
        <w:rPr>
          <w:rFonts w:ascii="Calibri" w:hAnsi="Calibri" w:cs="Calibri"/>
        </w:rPr>
        <w:t xml:space="preserve"> </w:t>
      </w:r>
      <w:r w:rsidRPr="00BB1F71">
        <w:rPr>
          <w:rFonts w:ascii="Calibri" w:hAnsi="Calibri" w:cs="Calibri"/>
        </w:rPr>
        <w:t xml:space="preserve">do </w:t>
      </w:r>
      <w:r w:rsidR="00956616" w:rsidRPr="00BB1F71">
        <w:rPr>
          <w:rFonts w:ascii="Calibri" w:hAnsi="Calibri" w:cs="Calibri"/>
        </w:rPr>
        <w:t>června</w:t>
      </w:r>
      <w:r w:rsidRPr="00BB1F71">
        <w:rPr>
          <w:rFonts w:ascii="Calibri" w:hAnsi="Calibri" w:cs="Calibri"/>
        </w:rPr>
        <w:t xml:space="preserve"> </w:t>
      </w:r>
      <w:r w:rsidR="008170F1" w:rsidRPr="00BB1F71">
        <w:rPr>
          <w:rFonts w:ascii="Calibri" w:hAnsi="Calibri" w:cs="Calibri"/>
        </w:rPr>
        <w:t>2020</w:t>
      </w:r>
      <w:r w:rsidRPr="00BB1F71">
        <w:rPr>
          <w:rFonts w:ascii="Calibri" w:hAnsi="Calibri" w:cs="Calibri"/>
        </w:rPr>
        <w:t>.</w:t>
      </w:r>
    </w:p>
    <w:p w14:paraId="6FFE474F" w14:textId="77777777" w:rsidR="00462F78" w:rsidRPr="003D1C56" w:rsidRDefault="00462F78" w:rsidP="0020405C">
      <w:pPr>
        <w:pStyle w:val="Zkladn"/>
        <w:spacing w:before="0" w:after="0"/>
        <w:rPr>
          <w:rFonts w:ascii="Calibri" w:hAnsi="Calibri" w:cs="Calibri"/>
        </w:rPr>
      </w:pPr>
    </w:p>
    <w:p w14:paraId="0902A1AE" w14:textId="77777777" w:rsidR="00462F78" w:rsidRPr="003D1C56" w:rsidRDefault="00462F78" w:rsidP="0020405C">
      <w:pPr>
        <w:spacing w:after="0"/>
        <w:ind w:right="70"/>
        <w:jc w:val="both"/>
        <w:rPr>
          <w:rFonts w:ascii="Calibri" w:hAnsi="Calibri" w:cs="Calibri"/>
        </w:rPr>
      </w:pPr>
    </w:p>
    <w:p w14:paraId="45014CFA" w14:textId="77777777" w:rsidR="00462F78" w:rsidRPr="00BB1F71" w:rsidRDefault="00EC4C55" w:rsidP="0099191B">
      <w:pPr>
        <w:ind w:right="70"/>
        <w:jc w:val="both"/>
        <w:rPr>
          <w:rFonts w:ascii="Calibri" w:hAnsi="Calibri" w:cs="Calibri"/>
        </w:rPr>
      </w:pPr>
      <w:r w:rsidRPr="00BB1F71">
        <w:rPr>
          <w:rFonts w:ascii="Calibri" w:hAnsi="Calibri" w:cs="Calibri"/>
          <w:b/>
          <w:bCs/>
          <w:i/>
          <w:iCs/>
        </w:rPr>
        <w:t>K o l e g i u m</w:t>
      </w:r>
      <w:r w:rsidRPr="00BB1F71">
        <w:rPr>
          <w:rFonts w:ascii="Calibri" w:hAnsi="Calibri" w:cs="Calibri"/>
        </w:rPr>
        <w:t xml:space="preserve">   </w:t>
      </w:r>
      <w:r w:rsidRPr="00BB1F71">
        <w:rPr>
          <w:rFonts w:ascii="Calibri" w:hAnsi="Calibri" w:cs="Calibri"/>
          <w:b/>
          <w:bCs/>
          <w:i/>
          <w:iCs/>
        </w:rPr>
        <w:t xml:space="preserve">N K Ú  </w:t>
      </w:r>
      <w:r w:rsidRPr="00BB1F71">
        <w:rPr>
          <w:rFonts w:ascii="Calibri" w:hAnsi="Calibri" w:cs="Calibri"/>
          <w:b/>
          <w:bCs/>
          <w:iCs/>
        </w:rPr>
        <w:t xml:space="preserve"> </w:t>
      </w:r>
      <w:r w:rsidR="00293B21" w:rsidRPr="00BB1F71">
        <w:rPr>
          <w:rFonts w:ascii="Calibri" w:hAnsi="Calibri" w:cs="Calibri"/>
        </w:rPr>
        <w:t xml:space="preserve">na svém </w:t>
      </w:r>
      <w:r w:rsidR="001F3C35">
        <w:rPr>
          <w:rFonts w:ascii="Calibri" w:hAnsi="Calibri" w:cs="Calibri"/>
        </w:rPr>
        <w:t>XI</w:t>
      </w:r>
      <w:r w:rsidR="002C292F">
        <w:rPr>
          <w:rFonts w:ascii="Calibri" w:hAnsi="Calibri" w:cs="Calibri"/>
        </w:rPr>
        <w:t>.</w:t>
      </w:r>
      <w:r w:rsidR="001E42CE" w:rsidRPr="00BB1F71">
        <w:rPr>
          <w:rFonts w:ascii="Calibri" w:hAnsi="Calibri" w:cs="Calibri"/>
        </w:rPr>
        <w:t xml:space="preserve"> </w:t>
      </w:r>
      <w:r w:rsidRPr="00BB1F71">
        <w:rPr>
          <w:rFonts w:ascii="Calibri" w:hAnsi="Calibri" w:cs="Calibri"/>
        </w:rPr>
        <w:t xml:space="preserve">jednání, které se konalo dne </w:t>
      </w:r>
      <w:r w:rsidR="001F3C35">
        <w:rPr>
          <w:rFonts w:ascii="Calibri" w:hAnsi="Calibri" w:cs="Calibri"/>
        </w:rPr>
        <w:t>20</w:t>
      </w:r>
      <w:r w:rsidR="00E25C35">
        <w:rPr>
          <w:rFonts w:ascii="Calibri" w:hAnsi="Calibri" w:cs="Calibri"/>
        </w:rPr>
        <w:t>.</w:t>
      </w:r>
      <w:r w:rsidR="001F3C35">
        <w:rPr>
          <w:rFonts w:ascii="Calibri" w:hAnsi="Calibri" w:cs="Calibri"/>
        </w:rPr>
        <w:t> července </w:t>
      </w:r>
      <w:r w:rsidR="00E47DE0" w:rsidRPr="00BB1F71">
        <w:rPr>
          <w:rFonts w:ascii="Calibri" w:hAnsi="Calibri" w:cs="Calibri"/>
        </w:rPr>
        <w:t>20</w:t>
      </w:r>
      <w:r w:rsidR="00F6481D" w:rsidRPr="00BB1F71">
        <w:rPr>
          <w:rFonts w:ascii="Calibri" w:hAnsi="Calibri" w:cs="Calibri"/>
        </w:rPr>
        <w:t>20</w:t>
      </w:r>
      <w:r w:rsidR="00E47DE0" w:rsidRPr="00BB1F71">
        <w:rPr>
          <w:rFonts w:ascii="Calibri" w:hAnsi="Calibri" w:cs="Calibri"/>
        </w:rPr>
        <w:t>,</w:t>
      </w:r>
    </w:p>
    <w:p w14:paraId="5DF2F892" w14:textId="77777777" w:rsidR="00462F78" w:rsidRPr="00BB1F71" w:rsidRDefault="00EC4C55" w:rsidP="0099191B">
      <w:pPr>
        <w:ind w:right="68"/>
        <w:jc w:val="both"/>
        <w:rPr>
          <w:rFonts w:ascii="Calibri" w:hAnsi="Calibri" w:cs="Calibri"/>
        </w:rPr>
      </w:pPr>
      <w:r w:rsidRPr="00BB1F71">
        <w:rPr>
          <w:rFonts w:ascii="Calibri" w:hAnsi="Calibri" w:cs="Calibri"/>
          <w:b/>
          <w:bCs/>
          <w:i/>
          <w:iCs/>
        </w:rPr>
        <w:t>s c h v á l i l o</w:t>
      </w:r>
      <w:r w:rsidRPr="00BB1F71">
        <w:rPr>
          <w:rFonts w:ascii="Calibri" w:hAnsi="Calibri" w:cs="Calibri"/>
        </w:rPr>
        <w:t xml:space="preserve">   usnesením č. </w:t>
      </w:r>
      <w:r w:rsidR="007F0356">
        <w:rPr>
          <w:rFonts w:ascii="Calibri" w:hAnsi="Calibri" w:cs="Calibri"/>
        </w:rPr>
        <w:t>9</w:t>
      </w:r>
      <w:r w:rsidR="00E47DE0" w:rsidRPr="00BB1F71">
        <w:rPr>
          <w:rFonts w:ascii="Calibri" w:hAnsi="Calibri" w:cs="Calibri"/>
        </w:rPr>
        <w:t>/</w:t>
      </w:r>
      <w:r w:rsidR="000E14CD">
        <w:rPr>
          <w:rFonts w:ascii="Calibri" w:hAnsi="Calibri" w:cs="Calibri"/>
        </w:rPr>
        <w:t>XI</w:t>
      </w:r>
      <w:r w:rsidR="00E47DE0" w:rsidRPr="00BB1F71">
        <w:rPr>
          <w:rFonts w:ascii="Calibri" w:hAnsi="Calibri" w:cs="Calibri"/>
        </w:rPr>
        <w:t>/20</w:t>
      </w:r>
      <w:r w:rsidR="00F6481D" w:rsidRPr="00BB1F71">
        <w:rPr>
          <w:rFonts w:ascii="Calibri" w:hAnsi="Calibri" w:cs="Calibri"/>
        </w:rPr>
        <w:t>20</w:t>
      </w:r>
    </w:p>
    <w:p w14:paraId="4D36EC81" w14:textId="77777777" w:rsidR="00462F78" w:rsidRPr="003D1C56" w:rsidRDefault="00EC4C55" w:rsidP="0099191B">
      <w:pPr>
        <w:ind w:right="70"/>
        <w:jc w:val="both"/>
        <w:rPr>
          <w:rFonts w:ascii="Calibri" w:hAnsi="Calibri" w:cs="Calibri"/>
        </w:rPr>
      </w:pPr>
      <w:r w:rsidRPr="00BB1F71">
        <w:rPr>
          <w:rFonts w:ascii="Calibri" w:hAnsi="Calibri" w:cs="Calibri"/>
          <w:b/>
          <w:bCs/>
          <w:i/>
          <w:iCs/>
        </w:rPr>
        <w:t>k o n t r o l n í   z á v ě r</w:t>
      </w:r>
      <w:r w:rsidRPr="00BB1F71">
        <w:rPr>
          <w:rFonts w:ascii="Calibri" w:hAnsi="Calibri" w:cs="Calibri"/>
        </w:rPr>
        <w:t xml:space="preserve">   v tomto znění:</w:t>
      </w:r>
    </w:p>
    <w:p w14:paraId="4F1BE72E" w14:textId="77777777" w:rsidR="001E2774" w:rsidRPr="00063156" w:rsidRDefault="00EC4C55" w:rsidP="001E2774">
      <w:pPr>
        <w:rPr>
          <w:rFonts w:cstheme="minorHAnsi"/>
          <w:color w:val="000000" w:themeColor="text1"/>
        </w:rPr>
      </w:pPr>
      <w:r w:rsidRPr="0067386D">
        <w:rPr>
          <w:rFonts w:cstheme="minorHAnsi"/>
          <w:color w:val="5B9BD5"/>
          <w:sz w:val="50"/>
          <w:szCs w:val="50"/>
        </w:rPr>
        <w:br w:type="page"/>
      </w:r>
    </w:p>
    <w:p w14:paraId="7C80B323" w14:textId="77777777" w:rsidR="001E2774" w:rsidRDefault="00EC4C55" w:rsidP="001E2774">
      <w:pPr>
        <w:rPr>
          <w:color w:val="5B9BD5"/>
          <w:sz w:val="44"/>
          <w:szCs w:val="44"/>
        </w:rPr>
      </w:pPr>
      <w:r w:rsidRPr="002E4D30">
        <w:rPr>
          <w:color w:val="5B9BD5"/>
          <w:sz w:val="44"/>
          <w:szCs w:val="44"/>
        </w:rPr>
        <w:lastRenderedPageBreak/>
        <w:t>Demolice budov v sociálně vyloučených lokalitách</w:t>
      </w:r>
    </w:p>
    <w:p w14:paraId="70654757" w14:textId="77777777" w:rsidR="00063156" w:rsidRPr="002E4D30" w:rsidRDefault="00063156" w:rsidP="001E2774">
      <w:pPr>
        <w:rPr>
          <w:rStyle w:val="A1"/>
          <w:rFonts w:ascii="Calibri Light" w:hAnsi="Calibri Light" w:cs="Calibri Light"/>
          <w:sz w:val="44"/>
          <w:szCs w:val="4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70" w:type="dxa"/>
          <w:bottom w:w="113" w:type="dxa"/>
          <w:right w:w="170" w:type="dxa"/>
        </w:tblCellMar>
        <w:tblLook w:val="04A0" w:firstRow="1" w:lastRow="0" w:firstColumn="1" w:lastColumn="0" w:noHBand="0" w:noVBand="1"/>
      </w:tblPr>
      <w:tblGrid>
        <w:gridCol w:w="3020"/>
        <w:gridCol w:w="3021"/>
        <w:gridCol w:w="3021"/>
      </w:tblGrid>
      <w:tr w:rsidR="006937DA" w14:paraId="2C06D017" w14:textId="77777777" w:rsidTr="005A47E9">
        <w:trPr>
          <w:trHeight w:val="1918"/>
        </w:trPr>
        <w:tc>
          <w:tcPr>
            <w:tcW w:w="3020" w:type="dxa"/>
          </w:tcPr>
          <w:p w14:paraId="786EB7BC" w14:textId="77777777" w:rsidR="001E2774" w:rsidRPr="009E7225" w:rsidRDefault="00EC4C55" w:rsidP="00117D5D">
            <w:pPr>
              <w:jc w:val="center"/>
              <w:rPr>
                <w:rFonts w:ascii="Calibri" w:hAnsi="Calibri" w:cs="Calibri"/>
                <w:b/>
                <w:bCs/>
                <w:color w:val="000000"/>
                <w:sz w:val="40"/>
                <w:szCs w:val="40"/>
              </w:rPr>
            </w:pPr>
            <w:r w:rsidRPr="009E7225">
              <w:rPr>
                <w:rStyle w:val="A14"/>
                <w:rFonts w:eastAsia="MS Gothic"/>
                <w:sz w:val="40"/>
                <w:szCs w:val="40"/>
              </w:rPr>
              <w:t xml:space="preserve">300 </w:t>
            </w:r>
            <w:r w:rsidRPr="009E7225">
              <w:rPr>
                <w:rStyle w:val="A15"/>
                <w:rFonts w:eastAsia="MS Gothic"/>
                <w:b/>
                <w:sz w:val="40"/>
                <w:szCs w:val="40"/>
              </w:rPr>
              <w:t>mil. Kč</w:t>
            </w:r>
          </w:p>
          <w:p w14:paraId="4A8B8D20" w14:textId="57D79C00" w:rsidR="001E2774" w:rsidRPr="002E4D30" w:rsidRDefault="00EC4C55" w:rsidP="007D5265">
            <w:pPr>
              <w:jc w:val="center"/>
              <w:rPr>
                <w:rStyle w:val="A1"/>
                <w:b/>
                <w:bCs/>
                <w:sz w:val="20"/>
                <w:szCs w:val="20"/>
              </w:rPr>
            </w:pPr>
            <w:r w:rsidRPr="002E4D30">
              <w:rPr>
                <w:b/>
                <w:color w:val="000000"/>
                <w:sz w:val="20"/>
                <w:szCs w:val="20"/>
              </w:rPr>
              <w:t>Schválená alokace</w:t>
            </w:r>
            <w:r w:rsidRPr="002E4D30">
              <w:rPr>
                <w:color w:val="000000"/>
                <w:sz w:val="20"/>
                <w:szCs w:val="20"/>
              </w:rPr>
              <w:t xml:space="preserve"> podprogramu na roky </w:t>
            </w:r>
            <w:r w:rsidR="007D5265">
              <w:rPr>
                <w:color w:val="000000"/>
                <w:sz w:val="20"/>
                <w:szCs w:val="20"/>
              </w:rPr>
              <w:br/>
            </w:r>
            <w:r w:rsidRPr="002E4D30">
              <w:rPr>
                <w:color w:val="000000"/>
                <w:sz w:val="20"/>
                <w:szCs w:val="20"/>
              </w:rPr>
              <w:t>2016</w:t>
            </w:r>
            <w:r w:rsidR="007D5265">
              <w:rPr>
                <w:color w:val="000000"/>
                <w:sz w:val="20"/>
                <w:szCs w:val="20"/>
              </w:rPr>
              <w:t>–</w:t>
            </w:r>
            <w:r w:rsidRPr="002E4D30">
              <w:rPr>
                <w:color w:val="000000"/>
                <w:sz w:val="20"/>
                <w:szCs w:val="20"/>
              </w:rPr>
              <w:t>2018</w:t>
            </w:r>
          </w:p>
        </w:tc>
        <w:tc>
          <w:tcPr>
            <w:tcW w:w="3021" w:type="dxa"/>
          </w:tcPr>
          <w:p w14:paraId="66B1D8C4" w14:textId="77777777" w:rsidR="001E2774" w:rsidRPr="002E4D30" w:rsidRDefault="00EC4C55" w:rsidP="00117D5D">
            <w:pPr>
              <w:jc w:val="center"/>
              <w:rPr>
                <w:rStyle w:val="A5"/>
              </w:rPr>
            </w:pPr>
            <w:r>
              <w:rPr>
                <w:rStyle w:val="A5"/>
              </w:rPr>
              <w:t>114 mil. Kč</w:t>
            </w:r>
          </w:p>
          <w:p w14:paraId="4FD5D6BB" w14:textId="03AF72FB" w:rsidR="001E2774" w:rsidRPr="002E4D30" w:rsidRDefault="00EC4C55" w:rsidP="00117D5D">
            <w:pPr>
              <w:jc w:val="center"/>
              <w:rPr>
                <w:sz w:val="20"/>
                <w:szCs w:val="20"/>
              </w:rPr>
            </w:pPr>
            <w:r>
              <w:rPr>
                <w:color w:val="000000"/>
                <w:sz w:val="20"/>
                <w:szCs w:val="20"/>
              </w:rPr>
              <w:t>Č</w:t>
            </w:r>
            <w:r w:rsidRPr="002E4D30">
              <w:rPr>
                <w:color w:val="000000"/>
                <w:sz w:val="20"/>
                <w:szCs w:val="20"/>
              </w:rPr>
              <w:t>erpání alokace</w:t>
            </w:r>
            <w:r w:rsidR="005A47E9">
              <w:rPr>
                <w:color w:val="000000"/>
                <w:sz w:val="20"/>
                <w:szCs w:val="20"/>
              </w:rPr>
              <w:t xml:space="preserve"> v období </w:t>
            </w:r>
            <w:r w:rsidR="007D5265">
              <w:rPr>
                <w:color w:val="000000"/>
                <w:sz w:val="20"/>
                <w:szCs w:val="20"/>
              </w:rPr>
              <w:br/>
            </w:r>
            <w:r w:rsidR="005A47E9">
              <w:rPr>
                <w:color w:val="000000"/>
                <w:sz w:val="20"/>
                <w:szCs w:val="20"/>
              </w:rPr>
              <w:t>2016</w:t>
            </w:r>
            <w:r w:rsidR="007D5265">
              <w:rPr>
                <w:color w:val="000000"/>
                <w:sz w:val="20"/>
                <w:szCs w:val="20"/>
              </w:rPr>
              <w:t>–</w:t>
            </w:r>
            <w:r w:rsidR="005A47E9">
              <w:rPr>
                <w:color w:val="000000"/>
                <w:sz w:val="20"/>
                <w:szCs w:val="20"/>
              </w:rPr>
              <w:t>2018</w:t>
            </w:r>
            <w:r>
              <w:rPr>
                <w:color w:val="000000"/>
                <w:sz w:val="20"/>
                <w:szCs w:val="20"/>
              </w:rPr>
              <w:t xml:space="preserve"> (38 % alokace)</w:t>
            </w:r>
          </w:p>
          <w:p w14:paraId="599BA39E" w14:textId="77777777" w:rsidR="001E2774" w:rsidRPr="002E4D30" w:rsidRDefault="001E2774" w:rsidP="00117D5D">
            <w:pPr>
              <w:jc w:val="center"/>
              <w:rPr>
                <w:rStyle w:val="A1"/>
                <w:sz w:val="20"/>
                <w:szCs w:val="20"/>
              </w:rPr>
            </w:pPr>
          </w:p>
        </w:tc>
        <w:tc>
          <w:tcPr>
            <w:tcW w:w="3021" w:type="dxa"/>
          </w:tcPr>
          <w:p w14:paraId="42E0BC84" w14:textId="77777777" w:rsidR="001E2774" w:rsidRPr="002E4D30" w:rsidRDefault="00EC4C55" w:rsidP="00117D5D">
            <w:pPr>
              <w:jc w:val="center"/>
              <w:rPr>
                <w:rStyle w:val="A5"/>
              </w:rPr>
            </w:pPr>
            <w:r>
              <w:rPr>
                <w:rStyle w:val="A14"/>
                <w:sz w:val="40"/>
                <w:szCs w:val="40"/>
              </w:rPr>
              <w:t>94</w:t>
            </w:r>
          </w:p>
          <w:p w14:paraId="42ACDECF" w14:textId="1F098408" w:rsidR="001E2774" w:rsidRPr="002E4D30" w:rsidRDefault="00EC4C55" w:rsidP="00117D5D">
            <w:pPr>
              <w:jc w:val="center"/>
              <w:rPr>
                <w:sz w:val="20"/>
                <w:szCs w:val="20"/>
              </w:rPr>
            </w:pPr>
            <w:r w:rsidRPr="002E4D30">
              <w:rPr>
                <w:b/>
                <w:color w:val="000000"/>
                <w:sz w:val="20"/>
                <w:szCs w:val="20"/>
              </w:rPr>
              <w:t>Počet podpořených projektů</w:t>
            </w:r>
            <w:r w:rsidRPr="002E4D30">
              <w:rPr>
                <w:color w:val="000000"/>
                <w:sz w:val="20"/>
                <w:szCs w:val="20"/>
              </w:rPr>
              <w:t xml:space="preserve"> z výzev </w:t>
            </w:r>
            <w:r w:rsidR="007D5265">
              <w:rPr>
                <w:color w:val="000000"/>
                <w:sz w:val="20"/>
                <w:szCs w:val="20"/>
              </w:rPr>
              <w:t xml:space="preserve">v období </w:t>
            </w:r>
            <w:r w:rsidRPr="002E4D30">
              <w:rPr>
                <w:color w:val="000000"/>
                <w:sz w:val="20"/>
                <w:szCs w:val="20"/>
              </w:rPr>
              <w:t>2016</w:t>
            </w:r>
            <w:r w:rsidR="007D5265">
              <w:rPr>
                <w:color w:val="000000"/>
                <w:sz w:val="20"/>
                <w:szCs w:val="20"/>
              </w:rPr>
              <w:t>–</w:t>
            </w:r>
            <w:r w:rsidRPr="002E4D30">
              <w:rPr>
                <w:color w:val="000000"/>
                <w:sz w:val="20"/>
                <w:szCs w:val="20"/>
              </w:rPr>
              <w:t>2018</w:t>
            </w:r>
          </w:p>
          <w:p w14:paraId="7CEC7048" w14:textId="77777777" w:rsidR="001E2774" w:rsidRPr="00055D3A" w:rsidRDefault="001E2774" w:rsidP="00117D5D">
            <w:pPr>
              <w:jc w:val="center"/>
              <w:rPr>
                <w:sz w:val="20"/>
                <w:szCs w:val="20"/>
              </w:rPr>
            </w:pPr>
          </w:p>
          <w:p w14:paraId="159C6621" w14:textId="77777777" w:rsidR="001E2774" w:rsidRPr="002D0F91" w:rsidRDefault="001E2774" w:rsidP="00117D5D">
            <w:pPr>
              <w:jc w:val="both"/>
              <w:rPr>
                <w:rStyle w:val="A1"/>
                <w:rFonts w:ascii="Calibri Light" w:hAnsi="Calibri Light" w:cs="Calibri Light"/>
                <w:sz w:val="20"/>
                <w:szCs w:val="20"/>
              </w:rPr>
            </w:pPr>
          </w:p>
        </w:tc>
      </w:tr>
      <w:tr w:rsidR="006937DA" w14:paraId="6DABF108" w14:textId="77777777" w:rsidTr="005A47E9">
        <w:tc>
          <w:tcPr>
            <w:tcW w:w="3020" w:type="dxa"/>
          </w:tcPr>
          <w:p w14:paraId="1C69BC81" w14:textId="7912E779" w:rsidR="001E2774" w:rsidRDefault="00EC4C55" w:rsidP="00117D5D">
            <w:pPr>
              <w:pStyle w:val="Pa19"/>
              <w:jc w:val="center"/>
              <w:rPr>
                <w:color w:val="000000"/>
                <w:sz w:val="22"/>
                <w:szCs w:val="22"/>
              </w:rPr>
            </w:pPr>
            <w:r w:rsidRPr="002E4D30">
              <w:rPr>
                <w:b/>
                <w:sz w:val="40"/>
                <w:szCs w:val="40"/>
              </w:rPr>
              <w:t>46 mil. Kč</w:t>
            </w:r>
            <w:r>
              <w:rPr>
                <w:b/>
                <w:sz w:val="20"/>
                <w:szCs w:val="20"/>
              </w:rPr>
              <w:br/>
            </w:r>
            <w:r w:rsidRPr="002E4D30">
              <w:rPr>
                <w:color w:val="000000"/>
                <w:sz w:val="20"/>
                <w:szCs w:val="20"/>
              </w:rPr>
              <w:t xml:space="preserve">Z výzev </w:t>
            </w:r>
            <w:r w:rsidR="007D5265">
              <w:rPr>
                <w:color w:val="000000"/>
                <w:sz w:val="20"/>
                <w:szCs w:val="20"/>
              </w:rPr>
              <w:t xml:space="preserve">v období </w:t>
            </w:r>
            <w:r w:rsidRPr="002E4D30">
              <w:rPr>
                <w:color w:val="000000"/>
                <w:sz w:val="20"/>
                <w:szCs w:val="20"/>
              </w:rPr>
              <w:t>2016–2018 zkontrolováno NKÚ u</w:t>
            </w:r>
            <w:r w:rsidR="007D5265">
              <w:rPr>
                <w:color w:val="000000"/>
                <w:sz w:val="20"/>
                <w:szCs w:val="20"/>
              </w:rPr>
              <w:t> </w:t>
            </w:r>
            <w:r w:rsidRPr="002E4D30">
              <w:rPr>
                <w:color w:val="000000"/>
                <w:sz w:val="20"/>
                <w:szCs w:val="20"/>
              </w:rPr>
              <w:t>jednotlivých příjemců</w:t>
            </w:r>
          </w:p>
          <w:p w14:paraId="1F71528B" w14:textId="77777777" w:rsidR="001E2774" w:rsidRDefault="001E2774" w:rsidP="00117D5D">
            <w:pPr>
              <w:jc w:val="both"/>
              <w:rPr>
                <w:rStyle w:val="A1"/>
                <w:rFonts w:ascii="Calibri Light" w:hAnsi="Calibri Light" w:cs="Calibri Light"/>
              </w:rPr>
            </w:pPr>
          </w:p>
        </w:tc>
        <w:tc>
          <w:tcPr>
            <w:tcW w:w="3021" w:type="dxa"/>
          </w:tcPr>
          <w:p w14:paraId="59786261" w14:textId="77777777" w:rsidR="001E2774" w:rsidRPr="002E4D30" w:rsidRDefault="00EC4C55" w:rsidP="00117D5D">
            <w:pPr>
              <w:jc w:val="center"/>
              <w:rPr>
                <w:rStyle w:val="A14"/>
                <w:rFonts w:eastAsia="MS Gothic"/>
                <w:sz w:val="40"/>
                <w:szCs w:val="40"/>
              </w:rPr>
            </w:pPr>
            <w:r>
              <w:rPr>
                <w:rStyle w:val="A14"/>
                <w:rFonts w:eastAsia="MS Gothic"/>
                <w:sz w:val="40"/>
                <w:szCs w:val="40"/>
              </w:rPr>
              <w:t>8,97 mil. Kč</w:t>
            </w:r>
          </w:p>
          <w:p w14:paraId="7A6312CE" w14:textId="77777777" w:rsidR="001E2774" w:rsidRPr="002E4D30" w:rsidRDefault="00EC4C55" w:rsidP="00117D5D">
            <w:pPr>
              <w:jc w:val="center"/>
              <w:rPr>
                <w:b/>
                <w:color w:val="000000" w:themeColor="text1"/>
                <w:sz w:val="20"/>
                <w:szCs w:val="20"/>
                <w14:textOutline w14:w="9525" w14:cap="rnd" w14:cmpd="sng" w14:algn="ctr">
                  <w14:noFill/>
                  <w14:prstDash w14:val="solid"/>
                  <w14:bevel/>
                </w14:textOutline>
              </w:rPr>
            </w:pPr>
            <w:r>
              <w:rPr>
                <w:color w:val="000000"/>
                <w:sz w:val="20"/>
                <w:szCs w:val="20"/>
              </w:rPr>
              <w:t>Vyčíslení</w:t>
            </w:r>
            <w:r w:rsidRPr="002E4D30">
              <w:rPr>
                <w:color w:val="000000"/>
                <w:sz w:val="20"/>
                <w:szCs w:val="20"/>
              </w:rPr>
              <w:t xml:space="preserve"> finančních nedostatků u</w:t>
            </w:r>
            <w:r w:rsidR="007D5265">
              <w:rPr>
                <w:color w:val="000000"/>
                <w:sz w:val="20"/>
                <w:szCs w:val="20"/>
              </w:rPr>
              <w:t> </w:t>
            </w:r>
            <w:r w:rsidRPr="002E4D30">
              <w:rPr>
                <w:color w:val="000000"/>
                <w:sz w:val="20"/>
                <w:szCs w:val="20"/>
              </w:rPr>
              <w:t>zkontrolovaných projektů</w:t>
            </w:r>
            <w:r>
              <w:rPr>
                <w:color w:val="000000"/>
                <w:sz w:val="20"/>
                <w:szCs w:val="20"/>
              </w:rPr>
              <w:t xml:space="preserve"> (19 %</w:t>
            </w:r>
            <w:r w:rsidR="00A308DC">
              <w:rPr>
                <w:color w:val="000000"/>
                <w:sz w:val="20"/>
                <w:szCs w:val="20"/>
              </w:rPr>
              <w:t xml:space="preserve"> z kontrolovaného objemu</w:t>
            </w:r>
            <w:r>
              <w:rPr>
                <w:color w:val="000000"/>
                <w:sz w:val="20"/>
                <w:szCs w:val="20"/>
              </w:rPr>
              <w:t>)</w:t>
            </w:r>
          </w:p>
          <w:p w14:paraId="45D5546F" w14:textId="77777777" w:rsidR="001E2774" w:rsidRPr="002D0F91" w:rsidRDefault="001E2774" w:rsidP="00117D5D">
            <w:pPr>
              <w:jc w:val="both"/>
              <w:rPr>
                <w:rStyle w:val="A1"/>
                <w:rFonts w:ascii="Calibri Light" w:hAnsi="Calibri Light" w:cs="Calibri Light"/>
                <w:sz w:val="20"/>
                <w:szCs w:val="20"/>
              </w:rPr>
            </w:pPr>
          </w:p>
        </w:tc>
        <w:tc>
          <w:tcPr>
            <w:tcW w:w="3021" w:type="dxa"/>
          </w:tcPr>
          <w:p w14:paraId="2414F9DF" w14:textId="77777777" w:rsidR="001E2774" w:rsidRPr="002E4D30" w:rsidRDefault="00EC4C55" w:rsidP="00117D5D">
            <w:pPr>
              <w:jc w:val="center"/>
              <w:rPr>
                <w:b/>
                <w:color w:val="000000" w:themeColor="text1"/>
                <w:sz w:val="40"/>
                <w:szCs w:val="40"/>
                <w14:textOutline w14:w="9525" w14:cap="rnd" w14:cmpd="sng" w14:algn="ctr">
                  <w14:noFill/>
                  <w14:prstDash w14:val="solid"/>
                  <w14:bevel/>
                </w14:textOutline>
              </w:rPr>
            </w:pPr>
            <w:r>
              <w:rPr>
                <w:rStyle w:val="A14"/>
                <w:rFonts w:eastAsia="MS Gothic"/>
                <w:sz w:val="40"/>
                <w:szCs w:val="40"/>
              </w:rPr>
              <w:t>23</w:t>
            </w:r>
          </w:p>
          <w:p w14:paraId="53C2A7CB" w14:textId="77777777" w:rsidR="001E2774" w:rsidRPr="002E4D30" w:rsidRDefault="00EC4C55" w:rsidP="00117D5D">
            <w:pPr>
              <w:jc w:val="center"/>
              <w:rPr>
                <w:rStyle w:val="A1"/>
                <w:rFonts w:ascii="Calibri Light" w:hAnsi="Calibri Light" w:cs="Calibri Light"/>
                <w:sz w:val="20"/>
                <w:szCs w:val="20"/>
              </w:rPr>
            </w:pPr>
            <w:r>
              <w:rPr>
                <w:color w:val="000000"/>
                <w:sz w:val="20"/>
                <w:szCs w:val="20"/>
              </w:rPr>
              <w:t>Počet zkontrolovaných projektů</w:t>
            </w:r>
          </w:p>
        </w:tc>
      </w:tr>
    </w:tbl>
    <w:p w14:paraId="784ABB63" w14:textId="77777777" w:rsidR="00F5664F" w:rsidRDefault="00F5664F" w:rsidP="00394932">
      <w:pPr>
        <w:spacing w:after="0"/>
        <w:jc w:val="both"/>
        <w:rPr>
          <w:b/>
        </w:rPr>
      </w:pPr>
    </w:p>
    <w:p w14:paraId="6603ABFD" w14:textId="77777777" w:rsidR="00F5664F" w:rsidRDefault="00F5664F" w:rsidP="00394932">
      <w:pPr>
        <w:spacing w:after="0"/>
        <w:jc w:val="both"/>
        <w:rPr>
          <w:b/>
        </w:rPr>
      </w:pPr>
    </w:p>
    <w:p w14:paraId="35E9FFD3" w14:textId="77777777" w:rsidR="004D3AFC" w:rsidRPr="004C778A" w:rsidRDefault="00EC4C55" w:rsidP="00394932">
      <w:pPr>
        <w:spacing w:after="0"/>
        <w:jc w:val="both"/>
        <w:rPr>
          <w:b/>
        </w:rPr>
      </w:pPr>
      <w:r w:rsidRPr="004C778A">
        <w:rPr>
          <w:b/>
        </w:rPr>
        <w:t xml:space="preserve">Přehled počtu realizovaných projektů a </w:t>
      </w:r>
      <w:r w:rsidR="00220A59">
        <w:rPr>
          <w:b/>
        </w:rPr>
        <w:t>sociálně vyloučených lokalit</w:t>
      </w:r>
      <w:r w:rsidRPr="004C778A">
        <w:rPr>
          <w:b/>
        </w:rPr>
        <w:t xml:space="preserve"> v krajích</w:t>
      </w:r>
    </w:p>
    <w:p w14:paraId="6D07FF3E" w14:textId="0A51F6B6" w:rsidR="00F41618" w:rsidRDefault="00DE4B5F" w:rsidP="001E2774">
      <w:pPr>
        <w:pStyle w:val="Text"/>
        <w:tabs>
          <w:tab w:val="left" w:pos="2696"/>
          <w:tab w:val="center" w:pos="4536"/>
        </w:tabs>
        <w:spacing w:before="0"/>
        <w:jc w:val="left"/>
        <w:rPr>
          <w:b/>
        </w:rPr>
      </w:pPr>
      <w:r>
        <w:rPr>
          <w:noProof/>
          <w:lang w:eastAsia="cs-CZ"/>
        </w:rPr>
        <w:drawing>
          <wp:inline distT="0" distB="0" distL="0" distR="0" wp14:anchorId="05725B7E" wp14:editId="6B97B8FA">
            <wp:extent cx="5761355" cy="373634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D7D333" w14:textId="77777777" w:rsidR="004D3AFC" w:rsidRPr="00490530" w:rsidRDefault="00EC4C55" w:rsidP="00122BA2">
      <w:pPr>
        <w:spacing w:after="0"/>
        <w:jc w:val="both"/>
        <w:rPr>
          <w:sz w:val="20"/>
          <w:szCs w:val="20"/>
        </w:rPr>
      </w:pPr>
      <w:r w:rsidRPr="00490530">
        <w:rPr>
          <w:b/>
          <w:sz w:val="20"/>
          <w:szCs w:val="20"/>
        </w:rPr>
        <w:t>Zdroj:</w:t>
      </w:r>
      <w:r w:rsidR="003336AD" w:rsidRPr="00490530">
        <w:rPr>
          <w:sz w:val="20"/>
          <w:szCs w:val="20"/>
        </w:rPr>
        <w:t xml:space="preserve"> MMR</w:t>
      </w:r>
      <w:r w:rsidR="00122BA2" w:rsidRPr="00490530">
        <w:rPr>
          <w:sz w:val="20"/>
          <w:szCs w:val="20"/>
        </w:rPr>
        <w:t xml:space="preserve">; </w:t>
      </w:r>
      <w:r w:rsidR="00122BA2" w:rsidRPr="007148B6">
        <w:rPr>
          <w:i/>
          <w:sz w:val="20"/>
          <w:szCs w:val="20"/>
        </w:rPr>
        <w:t>Ana</w:t>
      </w:r>
      <w:r w:rsidR="003336AD" w:rsidRPr="007148B6">
        <w:rPr>
          <w:i/>
          <w:sz w:val="20"/>
          <w:szCs w:val="20"/>
        </w:rPr>
        <w:t>lýza sociálně vyloučených lokalit v ČR</w:t>
      </w:r>
      <w:r w:rsidR="003336AD" w:rsidRPr="00490530">
        <w:rPr>
          <w:sz w:val="20"/>
          <w:szCs w:val="20"/>
        </w:rPr>
        <w:t>, MPSV 2015.</w:t>
      </w:r>
    </w:p>
    <w:p w14:paraId="00CE381A" w14:textId="267AAA02" w:rsidR="008460F2" w:rsidRDefault="00EC4C55" w:rsidP="00122BA2">
      <w:pPr>
        <w:jc w:val="both"/>
        <w:rPr>
          <w:b/>
          <w:kern w:val="36"/>
          <w:sz w:val="28"/>
          <w:szCs w:val="20"/>
        </w:rPr>
      </w:pPr>
      <w:r w:rsidRPr="00490530">
        <w:rPr>
          <w:b/>
          <w:sz w:val="20"/>
          <w:szCs w:val="20"/>
        </w:rPr>
        <w:t>Pozn.</w:t>
      </w:r>
      <w:r w:rsidR="007D5265">
        <w:rPr>
          <w:b/>
          <w:sz w:val="20"/>
          <w:szCs w:val="20"/>
        </w:rPr>
        <w:t>:</w:t>
      </w:r>
      <w:r w:rsidRPr="00490530">
        <w:rPr>
          <w:b/>
          <w:sz w:val="20"/>
          <w:szCs w:val="20"/>
        </w:rPr>
        <w:t xml:space="preserve"> </w:t>
      </w:r>
      <w:r w:rsidR="007D5265">
        <w:rPr>
          <w:sz w:val="20"/>
          <w:szCs w:val="20"/>
        </w:rPr>
        <w:t>P</w:t>
      </w:r>
      <w:r w:rsidRPr="00490530">
        <w:rPr>
          <w:sz w:val="20"/>
          <w:szCs w:val="20"/>
        </w:rPr>
        <w:t>rojekty proplacené v období 2016 až 6. 11. 2019</w:t>
      </w:r>
      <w:r w:rsidR="000E1282">
        <w:rPr>
          <w:sz w:val="20"/>
          <w:szCs w:val="20"/>
        </w:rPr>
        <w:t>,</w:t>
      </w:r>
      <w:r w:rsidR="005B65A8">
        <w:rPr>
          <w:sz w:val="20"/>
          <w:szCs w:val="20"/>
        </w:rPr>
        <w:t xml:space="preserve"> </w:t>
      </w:r>
      <w:r w:rsidR="000E1282">
        <w:rPr>
          <w:sz w:val="20"/>
          <w:szCs w:val="20"/>
        </w:rPr>
        <w:t xml:space="preserve">z toho </w:t>
      </w:r>
      <w:r w:rsidR="005B65A8">
        <w:rPr>
          <w:sz w:val="20"/>
          <w:szCs w:val="20"/>
        </w:rPr>
        <w:t>5 projektů bylo proplaceno z alokace roku 2019.</w:t>
      </w:r>
    </w:p>
    <w:p w14:paraId="024AF87E" w14:textId="77777777" w:rsidR="00063156" w:rsidRDefault="00063156">
      <w:pPr>
        <w:spacing w:after="0"/>
        <w:rPr>
          <w:b/>
          <w:kern w:val="36"/>
          <w:sz w:val="28"/>
          <w:szCs w:val="20"/>
        </w:rPr>
      </w:pPr>
      <w:r>
        <w:br w:type="page"/>
      </w:r>
    </w:p>
    <w:p w14:paraId="112BB259" w14:textId="77777777" w:rsidR="00462F78" w:rsidRDefault="00EC4C55" w:rsidP="002457BA">
      <w:pPr>
        <w:pStyle w:val="Nadpis1"/>
        <w:spacing w:before="0"/>
        <w:jc w:val="center"/>
      </w:pPr>
      <w:r w:rsidRPr="008124D7">
        <w:t>I.</w:t>
      </w:r>
      <w:r>
        <w:t xml:space="preserve"> </w:t>
      </w:r>
      <w:r w:rsidR="00CD2800" w:rsidRPr="008124D7">
        <w:t>Shrnutí</w:t>
      </w:r>
      <w:r w:rsidR="00CD2800" w:rsidRPr="003D1C56">
        <w:t xml:space="preserve"> a vyhodnocení</w:t>
      </w:r>
    </w:p>
    <w:p w14:paraId="5465C4A0" w14:textId="77777777" w:rsidR="00333A8D" w:rsidRPr="00333A8D" w:rsidRDefault="00EC4C55" w:rsidP="00333A8D">
      <w:pPr>
        <w:jc w:val="both"/>
      </w:pPr>
      <w:r w:rsidRPr="00333A8D">
        <w:t xml:space="preserve">NKÚ provedl kontrolu zaměřenou na poskytování a čerpání peněžních prostředků z kapitoly státního rozpočtu </w:t>
      </w:r>
      <w:r w:rsidRPr="00F6634B">
        <w:rPr>
          <w:i/>
        </w:rPr>
        <w:t>Ministerstvo pro místní rozvoj</w:t>
      </w:r>
      <w:r w:rsidRPr="00333A8D">
        <w:t xml:space="preserve"> určených na realizaci podprogramu </w:t>
      </w:r>
      <w:r w:rsidR="0020405C">
        <w:br/>
      </w:r>
      <w:r w:rsidRPr="00333A8D">
        <w:t>117D081</w:t>
      </w:r>
      <w:r w:rsidR="007D5265">
        <w:t> –</w:t>
      </w:r>
      <w:r w:rsidRPr="00333A8D">
        <w:t xml:space="preserve"> </w:t>
      </w:r>
      <w:r w:rsidRPr="00333A8D">
        <w:rPr>
          <w:i/>
        </w:rPr>
        <w:t>Demolice budov v sociálně vyloučených lokalitách</w:t>
      </w:r>
      <w:r w:rsidRPr="00333A8D">
        <w:t xml:space="preserve"> (dále také „podprogram“), jenž byl součástí programu 11708</w:t>
      </w:r>
      <w:r w:rsidR="007D5265">
        <w:t> –</w:t>
      </w:r>
      <w:r w:rsidRPr="00333A8D">
        <w:t xml:space="preserve"> </w:t>
      </w:r>
      <w:r w:rsidRPr="00333A8D">
        <w:rPr>
          <w:i/>
        </w:rPr>
        <w:t>Podpora revitalizace území</w:t>
      </w:r>
      <w:r w:rsidRPr="00333A8D">
        <w:t>. NKÚ prověřil na vybraném vzorku, zda finanční prostředky byly vynaloženy účelně, hospodárně a v souladu s právními předpisy.</w:t>
      </w:r>
    </w:p>
    <w:p w14:paraId="5F3519D5" w14:textId="77777777" w:rsidR="00333A8D" w:rsidRPr="00333A8D" w:rsidRDefault="00EC4C55" w:rsidP="00333A8D">
      <w:pPr>
        <w:jc w:val="both"/>
        <w:rPr>
          <w:rFonts w:cstheme="minorHAnsi"/>
          <w:lang w:eastAsia="en-US"/>
        </w:rPr>
      </w:pPr>
      <w:r w:rsidRPr="00333A8D">
        <w:rPr>
          <w:rFonts w:cstheme="minorHAnsi"/>
          <w:lang w:eastAsia="en-US"/>
        </w:rPr>
        <w:t>NKÚ prověřil u MMR přípravu podprogramu a jeho řízení v letech 2015 až 2019. U příjemců dotace ověřil 23 projektů</w:t>
      </w:r>
      <w:r w:rsidR="00B47674">
        <w:rPr>
          <w:rFonts w:cstheme="minorHAnsi"/>
          <w:lang w:eastAsia="en-US"/>
        </w:rPr>
        <w:t xml:space="preserve"> (</w:t>
      </w:r>
      <w:r w:rsidR="007D5265">
        <w:rPr>
          <w:rFonts w:cstheme="minorHAnsi"/>
          <w:lang w:eastAsia="en-US"/>
        </w:rPr>
        <w:t xml:space="preserve">viz </w:t>
      </w:r>
      <w:r w:rsidR="00B47674">
        <w:rPr>
          <w:rFonts w:cstheme="minorHAnsi"/>
          <w:lang w:eastAsia="en-US"/>
        </w:rPr>
        <w:t>příloha č. 1)</w:t>
      </w:r>
      <w:r w:rsidRPr="00333A8D">
        <w:rPr>
          <w:rFonts w:cstheme="minorHAnsi"/>
          <w:lang w:eastAsia="en-US"/>
        </w:rPr>
        <w:t xml:space="preserve">, které MMR podpořilo ze státního rozpočtu částkou v objemu přesahujícím 46 mil. Kč. </w:t>
      </w:r>
    </w:p>
    <w:p w14:paraId="132CF186" w14:textId="0D8D4D6D" w:rsidR="00333A8D" w:rsidRPr="00162B77" w:rsidRDefault="00EC4C55" w:rsidP="00333A8D">
      <w:pPr>
        <w:spacing w:before="120"/>
        <w:jc w:val="both"/>
        <w:rPr>
          <w:rFonts w:cstheme="minorHAnsi"/>
          <w:color w:val="000000"/>
          <w:szCs w:val="22"/>
          <w:lang w:eastAsia="en-US"/>
        </w:rPr>
      </w:pPr>
      <w:r w:rsidRPr="00162B77">
        <w:rPr>
          <w:rFonts w:cstheme="minorHAnsi"/>
          <w:color w:val="000000"/>
          <w:szCs w:val="22"/>
          <w:lang w:eastAsia="en-US"/>
        </w:rPr>
        <w:t>Cílem podprogramu bylo podpořit demolice budov v obcích se sociálně vyloučenou lokalitou (dále také „SVL“), resp. v obcích, u kterých je riziko jejího vzniku, a připravit území pro další rozvoj obcí a tím zamezit vzniku oblastí se sociální segregací.</w:t>
      </w:r>
      <w:r w:rsidR="009E7FEB">
        <w:rPr>
          <w:rFonts w:cstheme="minorHAnsi"/>
          <w:color w:val="000000"/>
          <w:szCs w:val="22"/>
          <w:lang w:eastAsia="en-US"/>
        </w:rPr>
        <w:t xml:space="preserve"> </w:t>
      </w:r>
    </w:p>
    <w:p w14:paraId="3E3A5FCC" w14:textId="2C52095C" w:rsidR="00B14CAA" w:rsidRPr="00A308DC" w:rsidRDefault="00EC4C55" w:rsidP="00B14CAA">
      <w:pPr>
        <w:jc w:val="both"/>
        <w:rPr>
          <w:b/>
        </w:rPr>
      </w:pPr>
      <w:r w:rsidRPr="00333A8D">
        <w:rPr>
          <w:b/>
        </w:rPr>
        <w:t>Na základě výsledků kontroly NKÚ konstatuje, že</w:t>
      </w:r>
      <w:r w:rsidR="00A308DC">
        <w:rPr>
          <w:b/>
        </w:rPr>
        <w:t xml:space="preserve"> </w:t>
      </w:r>
      <w:r w:rsidR="009E7FEB" w:rsidRPr="009E7FEB">
        <w:rPr>
          <w:b/>
        </w:rPr>
        <w:t>ú</w:t>
      </w:r>
      <w:r w:rsidR="009E7FEB" w:rsidRPr="00C63BF3">
        <w:rPr>
          <w:rFonts w:cstheme="minorHAnsi"/>
          <w:b/>
          <w:color w:val="000000"/>
          <w:szCs w:val="22"/>
          <w:lang w:eastAsia="en-US"/>
        </w:rPr>
        <w:t>čelnost podprogramu ve vztahu k</w:t>
      </w:r>
      <w:r w:rsidR="008F5E32">
        <w:rPr>
          <w:rFonts w:cstheme="minorHAnsi"/>
          <w:b/>
          <w:color w:val="000000"/>
          <w:szCs w:val="22"/>
          <w:lang w:eastAsia="en-US"/>
        </w:rPr>
        <w:t xml:space="preserve"> problematice </w:t>
      </w:r>
      <w:r w:rsidR="009E7FEB" w:rsidRPr="00C63BF3">
        <w:rPr>
          <w:rFonts w:cstheme="minorHAnsi"/>
          <w:b/>
          <w:color w:val="000000"/>
          <w:szCs w:val="22"/>
          <w:lang w:eastAsia="en-US"/>
        </w:rPr>
        <w:t>SVL byla výrazně oslabena již při nastavení jeho cílů.</w:t>
      </w:r>
      <w:r w:rsidR="008F5E32">
        <w:rPr>
          <w:rFonts w:cstheme="minorHAnsi"/>
          <w:b/>
          <w:color w:val="000000"/>
          <w:szCs w:val="22"/>
          <w:lang w:eastAsia="en-US"/>
        </w:rPr>
        <w:t xml:space="preserve"> Dalšími úpravami dokumentace podprogramu během jeho realizace MMR vazbu na SVL dále snížilo.</w:t>
      </w:r>
      <w:r w:rsidR="009E7FEB" w:rsidRPr="00C63BF3">
        <w:rPr>
          <w:rFonts w:cstheme="minorHAnsi"/>
          <w:b/>
          <w:color w:val="000000"/>
          <w:szCs w:val="22"/>
          <w:lang w:eastAsia="en-US"/>
        </w:rPr>
        <w:t xml:space="preserve"> </w:t>
      </w:r>
      <w:r w:rsidR="00A308DC" w:rsidRPr="009E7FEB">
        <w:rPr>
          <w:b/>
        </w:rPr>
        <w:t>MMR nesledovalo dopad poskytnutých prostředků a vliv realizace projektů na proble</w:t>
      </w:r>
      <w:r w:rsidR="00A308DC">
        <w:rPr>
          <w:b/>
        </w:rPr>
        <w:t xml:space="preserve">matiku SVL a </w:t>
      </w:r>
      <w:r w:rsidR="00A308DC" w:rsidRPr="00EC4FBB">
        <w:rPr>
          <w:b/>
        </w:rPr>
        <w:t>nenastavilo žádné nástroje</w:t>
      </w:r>
      <w:r w:rsidR="00A308DC">
        <w:rPr>
          <w:b/>
        </w:rPr>
        <w:t>,</w:t>
      </w:r>
      <w:r w:rsidR="00A308DC" w:rsidRPr="00EC4FBB">
        <w:rPr>
          <w:b/>
        </w:rPr>
        <w:t xml:space="preserve"> </w:t>
      </w:r>
      <w:r w:rsidR="007D5265">
        <w:rPr>
          <w:b/>
        </w:rPr>
        <w:t xml:space="preserve">jejichž </w:t>
      </w:r>
      <w:r w:rsidR="00A308DC" w:rsidRPr="00EC4FBB">
        <w:rPr>
          <w:b/>
        </w:rPr>
        <w:t xml:space="preserve">pomocí </w:t>
      </w:r>
      <w:r w:rsidR="007D5265">
        <w:rPr>
          <w:b/>
        </w:rPr>
        <w:t>by bylo</w:t>
      </w:r>
      <w:r w:rsidR="00A308DC">
        <w:rPr>
          <w:b/>
        </w:rPr>
        <w:t xml:space="preserve"> možné vyhodnotit </w:t>
      </w:r>
      <w:r w:rsidR="00A308DC" w:rsidRPr="00957DC4">
        <w:rPr>
          <w:rFonts w:cstheme="minorHAnsi"/>
          <w:b/>
          <w:color w:val="000000"/>
          <w:szCs w:val="22"/>
          <w:lang w:eastAsia="en-US"/>
        </w:rPr>
        <w:t xml:space="preserve">vliv </w:t>
      </w:r>
      <w:r w:rsidR="00A308DC">
        <w:rPr>
          <w:rFonts w:cstheme="minorHAnsi"/>
          <w:b/>
          <w:color w:val="000000"/>
          <w:szCs w:val="22"/>
          <w:lang w:eastAsia="en-US"/>
        </w:rPr>
        <w:t>podprogramu</w:t>
      </w:r>
      <w:r w:rsidR="00A308DC" w:rsidRPr="00957DC4">
        <w:rPr>
          <w:rFonts w:cstheme="minorHAnsi"/>
          <w:b/>
          <w:color w:val="000000"/>
          <w:szCs w:val="22"/>
          <w:lang w:eastAsia="en-US"/>
        </w:rPr>
        <w:t xml:space="preserve"> </w:t>
      </w:r>
      <w:r w:rsidR="00A308DC">
        <w:rPr>
          <w:rFonts w:cstheme="minorHAnsi"/>
          <w:b/>
          <w:color w:val="000000"/>
          <w:szCs w:val="22"/>
          <w:lang w:eastAsia="en-US"/>
        </w:rPr>
        <w:t>a</w:t>
      </w:r>
      <w:r w:rsidR="0020405C">
        <w:rPr>
          <w:rFonts w:cstheme="minorHAnsi"/>
          <w:b/>
          <w:color w:val="000000"/>
          <w:szCs w:val="22"/>
          <w:lang w:eastAsia="en-US"/>
        </w:rPr>
        <w:t> </w:t>
      </w:r>
      <w:r w:rsidR="00A308DC">
        <w:rPr>
          <w:rFonts w:cstheme="minorHAnsi"/>
          <w:b/>
          <w:color w:val="000000"/>
          <w:szCs w:val="22"/>
          <w:lang w:eastAsia="en-US"/>
        </w:rPr>
        <w:t>realizovaných projektů</w:t>
      </w:r>
      <w:r w:rsidR="00A308DC" w:rsidRPr="00957DC4">
        <w:rPr>
          <w:rFonts w:cstheme="minorHAnsi"/>
          <w:b/>
          <w:color w:val="000000"/>
          <w:szCs w:val="22"/>
          <w:lang w:eastAsia="en-US"/>
        </w:rPr>
        <w:t xml:space="preserve"> na existenci </w:t>
      </w:r>
      <w:r w:rsidR="00A308DC">
        <w:rPr>
          <w:rFonts w:cstheme="minorHAnsi"/>
          <w:b/>
          <w:color w:val="000000"/>
          <w:szCs w:val="22"/>
          <w:lang w:eastAsia="en-US"/>
        </w:rPr>
        <w:t xml:space="preserve">SVL </w:t>
      </w:r>
      <w:r w:rsidR="00A308DC" w:rsidRPr="00957DC4">
        <w:rPr>
          <w:rFonts w:cstheme="minorHAnsi"/>
          <w:b/>
          <w:color w:val="000000"/>
          <w:szCs w:val="22"/>
          <w:lang w:eastAsia="en-US"/>
        </w:rPr>
        <w:t>či omezení rizika</w:t>
      </w:r>
      <w:r w:rsidR="00A308DC">
        <w:rPr>
          <w:rFonts w:cstheme="minorHAnsi"/>
          <w:b/>
          <w:color w:val="000000"/>
          <w:szCs w:val="22"/>
          <w:lang w:eastAsia="en-US"/>
        </w:rPr>
        <w:t xml:space="preserve"> jejich</w:t>
      </w:r>
      <w:r w:rsidR="00A308DC" w:rsidRPr="00957DC4">
        <w:rPr>
          <w:rFonts w:cstheme="minorHAnsi"/>
          <w:b/>
          <w:color w:val="000000"/>
          <w:szCs w:val="22"/>
          <w:lang w:eastAsia="en-US"/>
        </w:rPr>
        <w:t xml:space="preserve"> vzniku</w:t>
      </w:r>
      <w:r w:rsidR="00A308DC">
        <w:rPr>
          <w:rFonts w:cstheme="minorHAnsi"/>
          <w:b/>
          <w:color w:val="000000"/>
          <w:szCs w:val="22"/>
          <w:lang w:eastAsia="en-US"/>
        </w:rPr>
        <w:t>.</w:t>
      </w:r>
      <w:r w:rsidRPr="00333A8D">
        <w:rPr>
          <w:b/>
        </w:rPr>
        <w:t xml:space="preserve"> </w:t>
      </w:r>
      <w:r w:rsidR="00B14CAA" w:rsidRPr="00A308DC">
        <w:rPr>
          <w:b/>
        </w:rPr>
        <w:t>Likvidace jednotlivých objektů primárně řešila revitalizaci daného území bez zřetelného a</w:t>
      </w:r>
      <w:r w:rsidR="0020405C">
        <w:rPr>
          <w:b/>
        </w:rPr>
        <w:t> </w:t>
      </w:r>
      <w:r w:rsidR="00B14CAA" w:rsidRPr="00A308DC">
        <w:rPr>
          <w:b/>
        </w:rPr>
        <w:t>prokazatelného efektu na existující SVL, či na území s rizikem vzniku takové lokality.</w:t>
      </w:r>
    </w:p>
    <w:p w14:paraId="6079DED6" w14:textId="623DE6D6" w:rsidR="00B14CAA" w:rsidRDefault="00B14CAA" w:rsidP="00B14CAA">
      <w:pPr>
        <w:jc w:val="both"/>
        <w:rPr>
          <w:b/>
        </w:rPr>
      </w:pPr>
      <w:r>
        <w:rPr>
          <w:b/>
        </w:rPr>
        <w:t>Oslabení vazby pod</w:t>
      </w:r>
      <w:r w:rsidRPr="00A308DC">
        <w:rPr>
          <w:b/>
        </w:rPr>
        <w:t>programu na řešení problematiky SVL ve schválené programové dokumentaci</w:t>
      </w:r>
      <w:r>
        <w:rPr>
          <w:b/>
        </w:rPr>
        <w:t xml:space="preserve"> umožnilo MMR</w:t>
      </w:r>
      <w:r w:rsidRPr="00A308DC">
        <w:rPr>
          <w:b/>
        </w:rPr>
        <w:t xml:space="preserve"> </w:t>
      </w:r>
      <w:r w:rsidR="006835F8">
        <w:rPr>
          <w:b/>
        </w:rPr>
        <w:t xml:space="preserve">poskytnout podporu </w:t>
      </w:r>
      <w:r w:rsidRPr="00A308DC">
        <w:rPr>
          <w:b/>
        </w:rPr>
        <w:t xml:space="preserve">37 projektům realizovaným v katastrech obcí, </w:t>
      </w:r>
      <w:r w:rsidR="007D5265">
        <w:rPr>
          <w:b/>
        </w:rPr>
        <w:t>kde</w:t>
      </w:r>
      <w:r w:rsidRPr="00A308DC">
        <w:rPr>
          <w:b/>
        </w:rPr>
        <w:t xml:space="preserve"> se nevyskytovala žádná SVL.</w:t>
      </w:r>
    </w:p>
    <w:p w14:paraId="3E66ADC1" w14:textId="1C1990E3" w:rsidR="00487474" w:rsidRPr="00C63BF3" w:rsidRDefault="0091340F" w:rsidP="00EA7164">
      <w:pPr>
        <w:jc w:val="both"/>
        <w:rPr>
          <w:rFonts w:cstheme="minorHAnsi"/>
          <w:b/>
        </w:rPr>
      </w:pPr>
      <w:r w:rsidRPr="00BE1F02">
        <w:rPr>
          <w:b/>
        </w:rPr>
        <w:t xml:space="preserve">MMR nenastavilo žádnou koordinaci podprogramu s jinými dotačními nástroji, přestože ji </w:t>
      </w:r>
      <w:r w:rsidR="00CC2990" w:rsidRPr="00BE1F02">
        <w:rPr>
          <w:b/>
        </w:rPr>
        <w:t xml:space="preserve">podprogram </w:t>
      </w:r>
      <w:r w:rsidRPr="00BE1F02">
        <w:rPr>
          <w:b/>
        </w:rPr>
        <w:t>předpokládal.</w:t>
      </w:r>
      <w:r w:rsidR="005C7A9E" w:rsidRPr="005C7A9E">
        <w:rPr>
          <w:rFonts w:cstheme="minorHAnsi"/>
          <w:b/>
        </w:rPr>
        <w:t xml:space="preserve"> </w:t>
      </w:r>
      <w:r w:rsidR="005C7A9E">
        <w:rPr>
          <w:rFonts w:cstheme="minorHAnsi"/>
          <w:b/>
        </w:rPr>
        <w:t>D</w:t>
      </w:r>
      <w:r w:rsidR="005C7A9E" w:rsidRPr="00C63BF3">
        <w:rPr>
          <w:rFonts w:cstheme="minorHAnsi"/>
          <w:b/>
        </w:rPr>
        <w:t xml:space="preserve">le </w:t>
      </w:r>
      <w:r w:rsidR="005C7A9E">
        <w:rPr>
          <w:rFonts w:cstheme="minorHAnsi"/>
          <w:b/>
        </w:rPr>
        <w:t xml:space="preserve">zjištění </w:t>
      </w:r>
      <w:r w:rsidR="005C7A9E" w:rsidRPr="00C63BF3">
        <w:rPr>
          <w:rFonts w:cstheme="minorHAnsi"/>
          <w:b/>
        </w:rPr>
        <w:t>NKÚ</w:t>
      </w:r>
      <w:r w:rsidR="005C7A9E">
        <w:rPr>
          <w:rFonts w:cstheme="minorHAnsi"/>
          <w:b/>
        </w:rPr>
        <w:t xml:space="preserve"> nejen v této kontrole</w:t>
      </w:r>
      <w:r w:rsidR="005C7A9E">
        <w:rPr>
          <w:rStyle w:val="Znakapoznpodarou"/>
          <w:rFonts w:cstheme="minorHAnsi"/>
          <w:b/>
        </w:rPr>
        <w:footnoteReference w:id="2"/>
      </w:r>
      <w:r w:rsidR="005C7A9E">
        <w:rPr>
          <w:rFonts w:cstheme="minorHAnsi"/>
          <w:b/>
        </w:rPr>
        <w:t xml:space="preserve"> je přitom mezire</w:t>
      </w:r>
      <w:r w:rsidR="007D5265">
        <w:rPr>
          <w:rFonts w:cstheme="minorHAnsi"/>
          <w:b/>
        </w:rPr>
        <w:t>s</w:t>
      </w:r>
      <w:r w:rsidR="005C7A9E">
        <w:rPr>
          <w:rFonts w:cstheme="minorHAnsi"/>
          <w:b/>
        </w:rPr>
        <w:t xml:space="preserve">ortní </w:t>
      </w:r>
      <w:r w:rsidR="005C7A9E" w:rsidRPr="00C63BF3">
        <w:rPr>
          <w:rFonts w:cstheme="minorHAnsi"/>
          <w:b/>
        </w:rPr>
        <w:t xml:space="preserve">spolupráce </w:t>
      </w:r>
      <w:r w:rsidR="005C7A9E">
        <w:rPr>
          <w:rFonts w:cstheme="minorHAnsi"/>
          <w:b/>
        </w:rPr>
        <w:t xml:space="preserve">a koordinace intervencí v oblasti problematiky SVL zcela </w:t>
      </w:r>
      <w:r w:rsidR="005C7A9E" w:rsidRPr="00C63BF3">
        <w:rPr>
          <w:rFonts w:cstheme="minorHAnsi"/>
          <w:b/>
        </w:rPr>
        <w:t>nezbytná.</w:t>
      </w:r>
      <w:r w:rsidR="00487474" w:rsidRPr="00C63BF3">
        <w:rPr>
          <w:rFonts w:cstheme="minorHAnsi"/>
          <w:b/>
        </w:rPr>
        <w:t xml:space="preserve"> Realizace podprogramu zaměřeného úzce pouze na demolici objektů má jen limitovanou možnost řešit problematiku SVL a riziko jejich vzniku.</w:t>
      </w:r>
      <w:r w:rsidR="00EA7164" w:rsidRPr="00EA7164">
        <w:rPr>
          <w:rFonts w:cstheme="minorHAnsi"/>
          <w:b/>
        </w:rPr>
        <w:t xml:space="preserve"> </w:t>
      </w:r>
    </w:p>
    <w:p w14:paraId="0424A22E" w14:textId="77777777" w:rsidR="00333A8D" w:rsidRPr="00957DC4" w:rsidRDefault="00EC4C55" w:rsidP="008B6E2C">
      <w:pPr>
        <w:spacing w:after="0"/>
        <w:jc w:val="both"/>
        <w:rPr>
          <w:b/>
        </w:rPr>
      </w:pPr>
      <w:r>
        <w:rPr>
          <w:b/>
        </w:rPr>
        <w:t xml:space="preserve">U MMR </w:t>
      </w:r>
      <w:r w:rsidRPr="00957DC4">
        <w:rPr>
          <w:b/>
        </w:rPr>
        <w:t xml:space="preserve">zjistil NKÚ </w:t>
      </w:r>
      <w:r w:rsidR="009E55E9">
        <w:rPr>
          <w:b/>
        </w:rPr>
        <w:t xml:space="preserve">následující </w:t>
      </w:r>
      <w:r w:rsidRPr="00957DC4">
        <w:rPr>
          <w:b/>
        </w:rPr>
        <w:t>nedostatky</w:t>
      </w:r>
      <w:r w:rsidRPr="00F778DD">
        <w:rPr>
          <w:b/>
        </w:rPr>
        <w:t xml:space="preserve"> </w:t>
      </w:r>
      <w:r>
        <w:rPr>
          <w:b/>
        </w:rPr>
        <w:t>v</w:t>
      </w:r>
      <w:r w:rsidRPr="00957DC4">
        <w:rPr>
          <w:b/>
        </w:rPr>
        <w:t> procesu administrace podprogramu:</w:t>
      </w:r>
    </w:p>
    <w:p w14:paraId="0C6E62C1" w14:textId="77777777" w:rsidR="00333A8D" w:rsidRPr="00957DC4" w:rsidRDefault="00EC4C55" w:rsidP="008B6E2C">
      <w:pPr>
        <w:numPr>
          <w:ilvl w:val="0"/>
          <w:numId w:val="46"/>
        </w:numPr>
        <w:spacing w:after="0"/>
        <w:ind w:left="360"/>
        <w:jc w:val="both"/>
        <w:rPr>
          <w:b/>
        </w:rPr>
      </w:pPr>
      <w:r w:rsidRPr="00957DC4">
        <w:rPr>
          <w:b/>
        </w:rPr>
        <w:t xml:space="preserve">v osmi případech </w:t>
      </w:r>
      <w:r>
        <w:rPr>
          <w:b/>
        </w:rPr>
        <w:t xml:space="preserve">MMR </w:t>
      </w:r>
      <w:r w:rsidRPr="00957DC4">
        <w:rPr>
          <w:b/>
        </w:rPr>
        <w:t>poskyt</w:t>
      </w:r>
      <w:r>
        <w:rPr>
          <w:b/>
        </w:rPr>
        <w:t>lo</w:t>
      </w:r>
      <w:r w:rsidRPr="00957DC4">
        <w:rPr>
          <w:b/>
        </w:rPr>
        <w:t xml:space="preserve"> </w:t>
      </w:r>
      <w:r>
        <w:rPr>
          <w:b/>
        </w:rPr>
        <w:t>podporu</w:t>
      </w:r>
      <w:r w:rsidRPr="00957DC4">
        <w:rPr>
          <w:b/>
        </w:rPr>
        <w:t xml:space="preserve"> na </w:t>
      </w:r>
      <w:r>
        <w:rPr>
          <w:b/>
        </w:rPr>
        <w:t>demolici objektů, které nesplňovaly vymezený předmět</w:t>
      </w:r>
      <w:r w:rsidRPr="00957DC4">
        <w:rPr>
          <w:b/>
        </w:rPr>
        <w:t xml:space="preserve"> podpory</w:t>
      </w:r>
      <w:r>
        <w:rPr>
          <w:b/>
        </w:rPr>
        <w:t>,</w:t>
      </w:r>
      <w:r w:rsidRPr="00957DC4">
        <w:rPr>
          <w:b/>
        </w:rPr>
        <w:t xml:space="preserve"> pochybení se týká částky až do výše 12 742 727 Kč;</w:t>
      </w:r>
    </w:p>
    <w:p w14:paraId="01CF47C1" w14:textId="77777777" w:rsidR="00333A8D" w:rsidRPr="00957DC4" w:rsidRDefault="00EC4C55" w:rsidP="008B6E2C">
      <w:pPr>
        <w:numPr>
          <w:ilvl w:val="0"/>
          <w:numId w:val="46"/>
        </w:numPr>
        <w:spacing w:after="0"/>
        <w:ind w:left="360"/>
        <w:jc w:val="both"/>
        <w:rPr>
          <w:b/>
        </w:rPr>
      </w:pPr>
      <w:r w:rsidRPr="00366CE9">
        <w:rPr>
          <w:b/>
        </w:rPr>
        <w:t>třem projektům poskytlo MMR podporu ve výši 3 202 566 Kč v rozporu se</w:t>
      </w:r>
      <w:r w:rsidR="007D5265">
        <w:rPr>
          <w:b/>
        </w:rPr>
        <w:t xml:space="preserve"> </w:t>
      </w:r>
      <w:r w:rsidRPr="00366CE9">
        <w:rPr>
          <w:b/>
        </w:rPr>
        <w:t>zásadami</w:t>
      </w:r>
      <w:r>
        <w:rPr>
          <w:rStyle w:val="Znakapoznpodarou"/>
          <w:b/>
        </w:rPr>
        <w:footnoteReference w:id="3"/>
      </w:r>
      <w:r w:rsidRPr="00366CE9">
        <w:rPr>
          <w:b/>
        </w:rPr>
        <w:t xml:space="preserve"> pro daný rok;</w:t>
      </w:r>
    </w:p>
    <w:p w14:paraId="08006F17" w14:textId="77777777" w:rsidR="00333A8D" w:rsidRPr="0009462F" w:rsidRDefault="00EC4C55" w:rsidP="008B6E2C">
      <w:pPr>
        <w:numPr>
          <w:ilvl w:val="0"/>
          <w:numId w:val="46"/>
        </w:numPr>
        <w:spacing w:after="0"/>
        <w:ind w:left="360"/>
        <w:jc w:val="both"/>
        <w:rPr>
          <w:b/>
        </w:rPr>
      </w:pPr>
      <w:r w:rsidRPr="00366CE9">
        <w:rPr>
          <w:b/>
        </w:rPr>
        <w:t>ve třech případech MMR určilo chybně výši podpory a poskytlo o 51 689 Kč</w:t>
      </w:r>
      <w:r w:rsidRPr="009D358B">
        <w:rPr>
          <w:b/>
        </w:rPr>
        <w:t xml:space="preserve"> vyšší podporu</w:t>
      </w:r>
      <w:r w:rsidR="00CD6F2B" w:rsidRPr="0009462F">
        <w:rPr>
          <w:b/>
        </w:rPr>
        <w:t>;</w:t>
      </w:r>
    </w:p>
    <w:p w14:paraId="13B26CC6" w14:textId="77777777" w:rsidR="00B14CAA" w:rsidRPr="00CD6F2B" w:rsidRDefault="00B14CAA" w:rsidP="00CD6F2B">
      <w:pPr>
        <w:numPr>
          <w:ilvl w:val="0"/>
          <w:numId w:val="46"/>
        </w:numPr>
        <w:ind w:left="360"/>
        <w:jc w:val="both"/>
        <w:rPr>
          <w:b/>
        </w:rPr>
      </w:pPr>
      <w:r w:rsidRPr="00CD6F2B">
        <w:rPr>
          <w:b/>
        </w:rPr>
        <w:t>MMR v rozhodnutích o poskytnutí dotace vydaných v letech 2016 a 2017 stanovilo příjemcům pouze pětiletý závazek zákazu převodu dotčených pozemků na jinou osobu, přestože platné podmínky podprogramu stanovily, že závazek má být desetiletý.</w:t>
      </w:r>
    </w:p>
    <w:p w14:paraId="3F03A0DE" w14:textId="77777777" w:rsidR="00333A8D" w:rsidRPr="00957DC4" w:rsidRDefault="00EC4C55" w:rsidP="00333A8D">
      <w:pPr>
        <w:jc w:val="both"/>
        <w:rPr>
          <w:rFonts w:cstheme="minorHAnsi"/>
          <w:b/>
          <w:lang w:eastAsia="en-US"/>
        </w:rPr>
      </w:pPr>
      <w:r>
        <w:rPr>
          <w:rFonts w:cstheme="minorHAnsi"/>
          <w:b/>
          <w:lang w:eastAsia="en-US"/>
        </w:rPr>
        <w:t xml:space="preserve">U příjemců provedl NKÚ </w:t>
      </w:r>
      <w:r w:rsidRPr="00957DC4">
        <w:rPr>
          <w:rFonts w:cstheme="minorHAnsi"/>
          <w:b/>
          <w:lang w:eastAsia="en-US"/>
        </w:rPr>
        <w:t>kontrol</w:t>
      </w:r>
      <w:r>
        <w:rPr>
          <w:rFonts w:cstheme="minorHAnsi"/>
          <w:b/>
          <w:lang w:eastAsia="en-US"/>
        </w:rPr>
        <w:t>u</w:t>
      </w:r>
      <w:r w:rsidRPr="00957DC4">
        <w:rPr>
          <w:rFonts w:cstheme="minorHAnsi"/>
          <w:b/>
          <w:lang w:eastAsia="en-US"/>
        </w:rPr>
        <w:t xml:space="preserve"> 23 projektů</w:t>
      </w:r>
      <w:r w:rsidRPr="00771805">
        <w:rPr>
          <w:rFonts w:cstheme="minorHAnsi"/>
          <w:b/>
          <w:lang w:eastAsia="en-US"/>
        </w:rPr>
        <w:t>,</w:t>
      </w:r>
      <w:r>
        <w:rPr>
          <w:rFonts w:cstheme="minorHAnsi"/>
          <w:b/>
          <w:lang w:eastAsia="en-US"/>
        </w:rPr>
        <w:t xml:space="preserve"> </w:t>
      </w:r>
      <w:r w:rsidRPr="00771805">
        <w:rPr>
          <w:rFonts w:cstheme="minorHAnsi"/>
          <w:b/>
          <w:lang w:eastAsia="en-US"/>
        </w:rPr>
        <w:t>na které MMR poskytlo dotaci převyšující 46</w:t>
      </w:r>
      <w:r w:rsidR="00137069">
        <w:rPr>
          <w:rFonts w:cstheme="minorHAnsi"/>
          <w:b/>
          <w:lang w:eastAsia="en-US"/>
        </w:rPr>
        <w:t> </w:t>
      </w:r>
      <w:r w:rsidRPr="00771805">
        <w:rPr>
          <w:rFonts w:cstheme="minorHAnsi"/>
          <w:b/>
          <w:lang w:eastAsia="en-US"/>
        </w:rPr>
        <w:t>mil. Kč</w:t>
      </w:r>
      <w:r>
        <w:rPr>
          <w:rFonts w:cstheme="minorHAnsi"/>
          <w:b/>
          <w:lang w:eastAsia="en-US"/>
        </w:rPr>
        <w:t>. U</w:t>
      </w:r>
      <w:r w:rsidRPr="00957DC4">
        <w:rPr>
          <w:rFonts w:cstheme="minorHAnsi"/>
          <w:b/>
          <w:lang w:eastAsia="en-US"/>
        </w:rPr>
        <w:t xml:space="preserve"> dvou příjemců </w:t>
      </w:r>
      <w:r>
        <w:rPr>
          <w:rFonts w:cstheme="minorHAnsi"/>
          <w:b/>
          <w:lang w:eastAsia="en-US"/>
        </w:rPr>
        <w:t xml:space="preserve">byly zjištěny </w:t>
      </w:r>
      <w:r w:rsidRPr="00957DC4">
        <w:rPr>
          <w:rFonts w:cstheme="minorHAnsi"/>
          <w:b/>
          <w:lang w:eastAsia="en-US"/>
        </w:rPr>
        <w:t>významné nedostatky při zadávání veřejných zakázek</w:t>
      </w:r>
      <w:r w:rsidR="00CD6F2B">
        <w:rPr>
          <w:rStyle w:val="Znakapoznpodarou"/>
          <w:rFonts w:cstheme="minorHAnsi"/>
          <w:b/>
          <w:lang w:eastAsia="en-US"/>
        </w:rPr>
        <w:footnoteReference w:id="4"/>
      </w:r>
      <w:r w:rsidRPr="00957DC4">
        <w:rPr>
          <w:rFonts w:cstheme="minorHAnsi"/>
          <w:b/>
          <w:lang w:eastAsia="en-US"/>
        </w:rPr>
        <w:t xml:space="preserve">. Tato pochybení týkající se částky téměř 9 mil. Kč (tj. cca 19 % kontrolovaného objemu) oznámil NKÚ jako podezření na porušení rozpočtové kázně. </w:t>
      </w:r>
    </w:p>
    <w:p w14:paraId="093F310B" w14:textId="77777777" w:rsidR="00333A8D" w:rsidRPr="00254D43" w:rsidRDefault="00EC4C55" w:rsidP="00F07B4E">
      <w:pPr>
        <w:keepNext/>
        <w:spacing w:before="360"/>
        <w:jc w:val="both"/>
        <w:rPr>
          <w:rFonts w:cstheme="minorHAnsi"/>
          <w:lang w:eastAsia="en-US"/>
        </w:rPr>
      </w:pPr>
      <w:r w:rsidRPr="00254D43">
        <w:rPr>
          <w:rFonts w:cstheme="minorHAnsi"/>
          <w:lang w:eastAsia="en-US"/>
        </w:rPr>
        <w:t>Celkové hodnocení vyplývá z následujících zjištěných nedostatků:</w:t>
      </w:r>
    </w:p>
    <w:p w14:paraId="58491A42" w14:textId="77777777" w:rsidR="00333A8D" w:rsidRPr="00461FD4" w:rsidRDefault="00254D43" w:rsidP="00254D43">
      <w:pPr>
        <w:keepNext/>
        <w:spacing w:before="240" w:after="160"/>
        <w:jc w:val="both"/>
        <w:rPr>
          <w:b/>
        </w:rPr>
      </w:pPr>
      <w:r>
        <w:rPr>
          <w:b/>
        </w:rPr>
        <w:t xml:space="preserve">1. </w:t>
      </w:r>
      <w:r w:rsidR="00EC4C55" w:rsidRPr="00461FD4">
        <w:rPr>
          <w:b/>
        </w:rPr>
        <w:t>Nastavení podprogramu a sledování jeho cílů</w:t>
      </w:r>
    </w:p>
    <w:p w14:paraId="078136B6" w14:textId="77777777" w:rsidR="006835F8" w:rsidRPr="00461FD4" w:rsidRDefault="00EC4C55" w:rsidP="006835F8">
      <w:pPr>
        <w:spacing w:after="160"/>
        <w:jc w:val="both"/>
        <w:rPr>
          <w:b/>
        </w:rPr>
      </w:pPr>
      <w:r w:rsidRPr="00461FD4">
        <w:rPr>
          <w:b/>
        </w:rPr>
        <w:t>Vazb</w:t>
      </w:r>
      <w:r w:rsidR="005219F8">
        <w:rPr>
          <w:b/>
        </w:rPr>
        <w:t>u</w:t>
      </w:r>
      <w:r w:rsidRPr="00461FD4">
        <w:rPr>
          <w:b/>
        </w:rPr>
        <w:t xml:space="preserve"> </w:t>
      </w:r>
      <w:r w:rsidR="00433C94">
        <w:rPr>
          <w:b/>
        </w:rPr>
        <w:t>pod</w:t>
      </w:r>
      <w:r w:rsidRPr="00461FD4">
        <w:rPr>
          <w:b/>
        </w:rPr>
        <w:t>programu na řešení problematiky SVL již při přípravě programové dokumentace</w:t>
      </w:r>
      <w:r w:rsidR="005219F8">
        <w:rPr>
          <w:b/>
        </w:rPr>
        <w:t xml:space="preserve"> MMR</w:t>
      </w:r>
      <w:r w:rsidRPr="00461FD4">
        <w:rPr>
          <w:b/>
        </w:rPr>
        <w:t xml:space="preserve"> zcela upoza</w:t>
      </w:r>
      <w:r w:rsidR="005219F8">
        <w:rPr>
          <w:b/>
        </w:rPr>
        <w:t>dilo</w:t>
      </w:r>
      <w:r w:rsidRPr="00461FD4">
        <w:rPr>
          <w:b/>
        </w:rPr>
        <w:t>.</w:t>
      </w:r>
      <w:r w:rsidRPr="00461FD4">
        <w:t xml:space="preserve"> Ačkoliv</w:t>
      </w:r>
      <w:r w:rsidR="00E34CCA">
        <w:t xml:space="preserve"> MMR</w:t>
      </w:r>
      <w:r w:rsidRPr="00461FD4">
        <w:t xml:space="preserve"> vznik nového národního dotačního titulu odůvod</w:t>
      </w:r>
      <w:r w:rsidR="00E34CCA">
        <w:t>nilo</w:t>
      </w:r>
      <w:r w:rsidRPr="00461FD4">
        <w:t xml:space="preserve"> potřebou komplexního řešení problematiky SVL a problémů s ní spojených a </w:t>
      </w:r>
      <w:r w:rsidR="00E34CCA">
        <w:t>vymezilo</w:t>
      </w:r>
      <w:r w:rsidR="00E34CCA" w:rsidRPr="00461FD4">
        <w:t xml:space="preserve"> </w:t>
      </w:r>
      <w:r>
        <w:t xml:space="preserve">pro něj </w:t>
      </w:r>
      <w:r w:rsidRPr="00461FD4">
        <w:t>základní předpoklady (teze)</w:t>
      </w:r>
      <w:r>
        <w:t>,</w:t>
      </w:r>
      <w:r w:rsidRPr="00957DC4">
        <w:t xml:space="preserve"> </w:t>
      </w:r>
      <w:r w:rsidRPr="00B00DA4">
        <w:t>již v průběhu přípravy</w:t>
      </w:r>
      <w:r>
        <w:t xml:space="preserve"> podprogramu je opustilo</w:t>
      </w:r>
      <w:r w:rsidRPr="00B00DA4">
        <w:t xml:space="preserve"> a původní záměr </w:t>
      </w:r>
      <w:r>
        <w:t>upravilo</w:t>
      </w:r>
      <w:r w:rsidRPr="00B00DA4">
        <w:t xml:space="preserve">. </w:t>
      </w:r>
      <w:r>
        <w:t>V důsledku toho s</w:t>
      </w:r>
      <w:r w:rsidRPr="00957DC4">
        <w:t>chválená dokumentace</w:t>
      </w:r>
      <w:r>
        <w:t xml:space="preserve"> podprogramu</w:t>
      </w:r>
      <w:r w:rsidRPr="00957DC4">
        <w:t xml:space="preserve"> </w:t>
      </w:r>
      <w:r>
        <w:t xml:space="preserve">např. </w:t>
      </w:r>
      <w:r w:rsidRPr="00957DC4">
        <w:t>nestanov</w:t>
      </w:r>
      <w:r>
        <w:t>ila podmínku</w:t>
      </w:r>
      <w:r w:rsidRPr="00957DC4">
        <w:t xml:space="preserve">, že předmět dotace </w:t>
      </w:r>
      <w:r>
        <w:t>se musí nacházet</w:t>
      </w:r>
      <w:r w:rsidRPr="00957DC4">
        <w:t xml:space="preserve"> přímo v SVL, nebo s ní alespoň souviset</w:t>
      </w:r>
      <w:r>
        <w:t xml:space="preserve">; nepožadovala předložení </w:t>
      </w:r>
      <w:r w:rsidRPr="00B00DA4">
        <w:t>situační analýz</w:t>
      </w:r>
      <w:r>
        <w:t>y</w:t>
      </w:r>
      <w:r w:rsidRPr="00B00DA4">
        <w:t xml:space="preserve">, kterou </w:t>
      </w:r>
      <w:r>
        <w:t xml:space="preserve">by </w:t>
      </w:r>
      <w:r w:rsidRPr="00B00DA4">
        <w:t>žadatel dolož</w:t>
      </w:r>
      <w:r>
        <w:t>il</w:t>
      </w:r>
      <w:r w:rsidRPr="00B00DA4">
        <w:t>, že existence nevyhovující nemovitosti má negativní sociální a ekonomické dopady na lokalitu</w:t>
      </w:r>
      <w:r>
        <w:t>; dále nepožadovala, aby p</w:t>
      </w:r>
      <w:r w:rsidRPr="00957DC4">
        <w:t>o skončení realizace projektu příjemc</w:t>
      </w:r>
      <w:r>
        <w:t xml:space="preserve">i </w:t>
      </w:r>
      <w:r w:rsidRPr="00957DC4">
        <w:t xml:space="preserve">vyhodnotili, jak realizace projektu přispěla k řešení problematiky SVL v jejich územích. </w:t>
      </w:r>
      <w:r>
        <w:t>MMR provádělo úpravy dokumen</w:t>
      </w:r>
      <w:r w:rsidR="007F0356">
        <w:t>tace podprogramu, které vedly k </w:t>
      </w:r>
      <w:r>
        <w:t xml:space="preserve">dalšímu zmírnění původně stanovených podmínek a rozvolnění vazby podprogramu na existující SVL. </w:t>
      </w:r>
      <w:r w:rsidR="006835F8" w:rsidRPr="00955F7F">
        <w:rPr>
          <w:rFonts w:cstheme="minorHAnsi"/>
          <w:lang w:eastAsia="en-US"/>
        </w:rPr>
        <w:t xml:space="preserve">MMR poskytlo </w:t>
      </w:r>
      <w:r w:rsidR="006835F8">
        <w:rPr>
          <w:rFonts w:cstheme="minorHAnsi"/>
          <w:lang w:eastAsia="en-US"/>
        </w:rPr>
        <w:t xml:space="preserve">v období 2016–2018 </w:t>
      </w:r>
      <w:r w:rsidR="006835F8" w:rsidRPr="00955F7F">
        <w:rPr>
          <w:rFonts w:cstheme="minorHAnsi"/>
          <w:lang w:eastAsia="en-US"/>
        </w:rPr>
        <w:t xml:space="preserve">podporu </w:t>
      </w:r>
      <w:r w:rsidR="006835F8">
        <w:rPr>
          <w:rFonts w:cstheme="minorHAnsi"/>
          <w:lang w:eastAsia="en-US"/>
        </w:rPr>
        <w:t>celkem 94 projektům, z toho</w:t>
      </w:r>
      <w:r w:rsidR="007F0356">
        <w:rPr>
          <w:rFonts w:cstheme="minorHAnsi"/>
          <w:lang w:eastAsia="en-US"/>
        </w:rPr>
        <w:t xml:space="preserve"> 37 </w:t>
      </w:r>
      <w:r w:rsidR="006835F8" w:rsidRPr="00955F7F">
        <w:rPr>
          <w:rFonts w:cstheme="minorHAnsi"/>
          <w:lang w:eastAsia="en-US"/>
        </w:rPr>
        <w:t>projektů</w:t>
      </w:r>
      <w:r w:rsidR="006835F8" w:rsidRPr="00957DC4">
        <w:rPr>
          <w:rFonts w:cstheme="minorHAnsi"/>
          <w:lang w:eastAsia="en-US"/>
        </w:rPr>
        <w:t xml:space="preserve"> se uskutečnil</w:t>
      </w:r>
      <w:r w:rsidR="006835F8">
        <w:rPr>
          <w:rFonts w:cstheme="minorHAnsi"/>
          <w:lang w:eastAsia="en-US"/>
        </w:rPr>
        <w:t>o</w:t>
      </w:r>
      <w:r w:rsidR="006835F8" w:rsidRPr="00957DC4">
        <w:rPr>
          <w:rFonts w:cstheme="minorHAnsi"/>
          <w:lang w:eastAsia="en-US"/>
        </w:rPr>
        <w:t xml:space="preserve"> v katastru obcí, kde se nevyskytovala žádná SVL</w:t>
      </w:r>
      <w:r w:rsidR="006835F8">
        <w:rPr>
          <w:rFonts w:cstheme="minorHAnsi"/>
          <w:lang w:eastAsia="en-US"/>
        </w:rPr>
        <w:t xml:space="preserve"> (</w:t>
      </w:r>
      <w:r w:rsidR="008E4A6D">
        <w:rPr>
          <w:rFonts w:cstheme="minorHAnsi"/>
          <w:lang w:eastAsia="en-US"/>
        </w:rPr>
        <w:t xml:space="preserve">viz </w:t>
      </w:r>
      <w:r w:rsidR="006835F8">
        <w:rPr>
          <w:rFonts w:cstheme="minorHAnsi"/>
          <w:lang w:eastAsia="en-US"/>
        </w:rPr>
        <w:t>příloha č. 2)</w:t>
      </w:r>
      <w:r w:rsidR="006835F8" w:rsidRPr="00957DC4">
        <w:rPr>
          <w:rFonts w:cstheme="minorHAnsi"/>
          <w:lang w:eastAsia="en-US"/>
        </w:rPr>
        <w:t xml:space="preserve">. </w:t>
      </w:r>
    </w:p>
    <w:p w14:paraId="031CAAB4" w14:textId="412F2EF8" w:rsidR="00333A8D" w:rsidRDefault="00EC4C55" w:rsidP="000C31E0">
      <w:pPr>
        <w:keepNext/>
        <w:spacing w:after="160"/>
        <w:jc w:val="both"/>
        <w:rPr>
          <w:b/>
        </w:rPr>
      </w:pPr>
      <w:r w:rsidRPr="005219F8">
        <w:rPr>
          <w:b/>
        </w:rPr>
        <w:t>MMR vliv podprogramu na řešení problematiky SVL vůbec nesledovalo.</w:t>
      </w:r>
      <w:r>
        <w:rPr>
          <w:b/>
        </w:rPr>
        <w:t xml:space="preserve"> </w:t>
      </w:r>
      <w:r w:rsidRPr="00957DC4">
        <w:t xml:space="preserve">MMR </w:t>
      </w:r>
      <w:r>
        <w:t>ne</w:t>
      </w:r>
      <w:r w:rsidRPr="00957DC4">
        <w:t>nastav</w:t>
      </w:r>
      <w:r>
        <w:t>ilo</w:t>
      </w:r>
      <w:r w:rsidRPr="00957DC4">
        <w:t xml:space="preserve"> žádné </w:t>
      </w:r>
      <w:r>
        <w:t xml:space="preserve">nástroje pro sledování </w:t>
      </w:r>
      <w:r w:rsidRPr="00957DC4">
        <w:t>vliv</w:t>
      </w:r>
      <w:r>
        <w:t>u realizace</w:t>
      </w:r>
      <w:r w:rsidRPr="00957DC4">
        <w:t xml:space="preserve"> projektů na řešení problematiky SVL</w:t>
      </w:r>
      <w:r>
        <w:t>. MMR stanovilo pouze kvantitativní parametry, které neumožňují hodnocení dopadu</w:t>
      </w:r>
      <w:r w:rsidRPr="00957DC4">
        <w:t xml:space="preserve">. </w:t>
      </w:r>
    </w:p>
    <w:p w14:paraId="7DCD72E9" w14:textId="77777777" w:rsidR="00333A8D" w:rsidRPr="00957DC4" w:rsidRDefault="008E4A6D" w:rsidP="008E4A6D">
      <w:pPr>
        <w:spacing w:before="240" w:after="160"/>
        <w:jc w:val="both"/>
        <w:rPr>
          <w:b/>
        </w:rPr>
      </w:pPr>
      <w:r>
        <w:rPr>
          <w:b/>
        </w:rPr>
        <w:t xml:space="preserve">2. </w:t>
      </w:r>
      <w:r w:rsidR="00EC4C55" w:rsidRPr="00957DC4">
        <w:rPr>
          <w:b/>
        </w:rPr>
        <w:t>Alokace podprogramu a její čerpání</w:t>
      </w:r>
    </w:p>
    <w:p w14:paraId="4DBE4557" w14:textId="77777777" w:rsidR="00333A8D" w:rsidRPr="00461FD4" w:rsidRDefault="00EC4C55" w:rsidP="00F07B4E">
      <w:pPr>
        <w:spacing w:after="160"/>
        <w:jc w:val="both"/>
        <w:rPr>
          <w:b/>
        </w:rPr>
      </w:pPr>
      <w:r w:rsidRPr="00957DC4">
        <w:rPr>
          <w:b/>
        </w:rPr>
        <w:t>Odhad alokace neodpovídal skutečné potřebě</w:t>
      </w:r>
      <w:r>
        <w:rPr>
          <w:b/>
        </w:rPr>
        <w:t xml:space="preserve">. </w:t>
      </w:r>
      <w:r w:rsidRPr="00957DC4">
        <w:t>Roční alokaci podprogramu ve výši 100</w:t>
      </w:r>
      <w:r w:rsidR="0020405C">
        <w:t> </w:t>
      </w:r>
      <w:r w:rsidRPr="00957DC4">
        <w:t>mil.</w:t>
      </w:r>
      <w:r w:rsidR="0020405C">
        <w:t> </w:t>
      </w:r>
      <w:r w:rsidRPr="00957DC4">
        <w:t>Kč navrhlo MMR</w:t>
      </w:r>
      <w:r>
        <w:t xml:space="preserve"> </w:t>
      </w:r>
      <w:r w:rsidRPr="00957DC4">
        <w:t>ještě před zpracováním jeho kompletní dokumentace a především dříve, než provedlo analýzu absorpční kapacity. Analýza</w:t>
      </w:r>
      <w:r>
        <w:t>, kterou MMR</w:t>
      </w:r>
      <w:r w:rsidRPr="00957DC4">
        <w:t xml:space="preserve"> </w:t>
      </w:r>
      <w:r>
        <w:t>provedlo následně,</w:t>
      </w:r>
      <w:r w:rsidRPr="00957DC4">
        <w:t xml:space="preserve"> byla zpracována v krátkém časovém úseku a pouze v základní rovině zkoumání zájmu</w:t>
      </w:r>
      <w:r>
        <w:t xml:space="preserve">. </w:t>
      </w:r>
      <w:r w:rsidRPr="00A6625D">
        <w:t xml:space="preserve">Závěry </w:t>
      </w:r>
      <w:r>
        <w:t>této</w:t>
      </w:r>
      <w:r w:rsidRPr="00A6625D">
        <w:t xml:space="preserve"> analýzy, podle které měl být zájem obcí dostatečný, se nepotvrdily</w:t>
      </w:r>
      <w:r>
        <w:t>.</w:t>
      </w:r>
      <w:r w:rsidRPr="005361AF">
        <w:t xml:space="preserve"> </w:t>
      </w:r>
      <w:r w:rsidRPr="00957DC4">
        <w:t>Skutečn</w:t>
      </w:r>
      <w:r w:rsidR="00F07B4E">
        <w:t>é využití alokace v letech 2016–</w:t>
      </w:r>
      <w:r w:rsidRPr="00957DC4">
        <w:t>2018 potvrzuje nedostatky ve stanovení finanční potřebnosti podprogramu, neboť čerpání dosáhlo v průměru pouze 38 % vyčleněné alokace</w:t>
      </w:r>
      <w:r w:rsidR="008E4A6D">
        <w:t>,</w:t>
      </w:r>
      <w:r w:rsidRPr="00957DC4">
        <w:t xml:space="preserve"> a větší část alokace tak zůstala nevyužitá. </w:t>
      </w:r>
    </w:p>
    <w:p w14:paraId="1776EC5B" w14:textId="77777777" w:rsidR="00333A8D" w:rsidRPr="00625E63" w:rsidRDefault="00EC4C55" w:rsidP="00F07B4E">
      <w:pPr>
        <w:spacing w:after="160"/>
        <w:jc w:val="both"/>
      </w:pPr>
      <w:r w:rsidRPr="00957DC4">
        <w:rPr>
          <w:b/>
        </w:rPr>
        <w:t xml:space="preserve">Nízké čerpání </w:t>
      </w:r>
      <w:r>
        <w:rPr>
          <w:b/>
        </w:rPr>
        <w:t xml:space="preserve">a malý zájem žadatelů o podporu. </w:t>
      </w:r>
      <w:r w:rsidRPr="00A6625D">
        <w:t xml:space="preserve">Jedním z důvodů </w:t>
      </w:r>
      <w:r>
        <w:t xml:space="preserve">nízkého čerpání </w:t>
      </w:r>
      <w:r w:rsidR="00906BDE">
        <w:t>byla i </w:t>
      </w:r>
      <w:r w:rsidRPr="00A6625D">
        <w:t xml:space="preserve">skutečnost, že předpokládané ceny demolic ve schválených projektech byly výrazně nadhodnoceny. </w:t>
      </w:r>
      <w:r w:rsidRPr="00957DC4">
        <w:t>Skutečná finanční potřeba</w:t>
      </w:r>
      <w:r>
        <w:t xml:space="preserve"> na demolice</w:t>
      </w:r>
      <w:r w:rsidRPr="00957DC4">
        <w:t xml:space="preserve"> vzešlá z provedených zadávacích řízení byla o </w:t>
      </w:r>
      <w:r w:rsidRPr="00A37A95">
        <w:t>cca 60 % nižší než</w:t>
      </w:r>
      <w:r w:rsidRPr="00957DC4">
        <w:t xml:space="preserve"> objem požadované dotace stanovený na základě projektovaných cen. </w:t>
      </w:r>
      <w:r>
        <w:t>Nízké čerpání bylo také zapříčiněno malým zájmem žadatelů o podporu.</w:t>
      </w:r>
      <w:r w:rsidRPr="005361AF">
        <w:t xml:space="preserve"> </w:t>
      </w:r>
      <w:r w:rsidRPr="00A6625D">
        <w:t>Kromě toho zjistil NKÚ,</w:t>
      </w:r>
      <w:r>
        <w:t xml:space="preserve"> že MMR</w:t>
      </w:r>
      <w:r w:rsidRPr="00957DC4">
        <w:t xml:space="preserve"> některé projekty </w:t>
      </w:r>
      <w:r>
        <w:t>v</w:t>
      </w:r>
      <w:r w:rsidRPr="00957DC4">
        <w:t>yřadilo z procesu hodnocení, přestože jejich nedostatky byly odstranitelné</w:t>
      </w:r>
      <w:r>
        <w:t xml:space="preserve">. </w:t>
      </w:r>
    </w:p>
    <w:p w14:paraId="4856190E" w14:textId="77777777" w:rsidR="00333A8D" w:rsidRPr="00A6625D" w:rsidRDefault="00EC4C55" w:rsidP="0016202F">
      <w:pPr>
        <w:spacing w:after="160"/>
        <w:jc w:val="both"/>
      </w:pPr>
      <w:r w:rsidRPr="00A6625D">
        <w:t>MMR na nedostatečné čerpání nereagovalo a zachovalo alokaci podprogramu ve výši 100</w:t>
      </w:r>
      <w:r w:rsidR="0020405C">
        <w:t> mil. </w:t>
      </w:r>
      <w:r w:rsidRPr="00A6625D">
        <w:t xml:space="preserve">Kč </w:t>
      </w:r>
      <w:r w:rsidR="0016202F">
        <w:t>ročně rovněž i pro období 2019–</w:t>
      </w:r>
      <w:r w:rsidRPr="00A6625D">
        <w:t>2021. Výše podpory v žádostech podaných na základě výzev v letech 2019 a 2020 dokazuje, že využití prostředků podprogramu výrazně neroste a je reálný předpoklad čerpání roční alokace ve výši cca 50 %</w:t>
      </w:r>
      <w:r>
        <w:rPr>
          <w:vertAlign w:val="superscript"/>
        </w:rPr>
        <w:footnoteReference w:id="5"/>
      </w:r>
      <w:r w:rsidRPr="00A6625D">
        <w:t>.</w:t>
      </w:r>
    </w:p>
    <w:p w14:paraId="2A0BF831" w14:textId="77777777" w:rsidR="00333A8D" w:rsidRDefault="008E4A6D" w:rsidP="008E4A6D">
      <w:pPr>
        <w:spacing w:before="240" w:after="160"/>
        <w:jc w:val="both"/>
        <w:rPr>
          <w:b/>
        </w:rPr>
      </w:pPr>
      <w:r>
        <w:rPr>
          <w:b/>
        </w:rPr>
        <w:t xml:space="preserve">3. </w:t>
      </w:r>
      <w:r w:rsidR="00EC4C55" w:rsidRPr="00957DC4">
        <w:rPr>
          <w:b/>
        </w:rPr>
        <w:t>Nedostatky v procesu administrace podprogramu</w:t>
      </w:r>
    </w:p>
    <w:p w14:paraId="283D3BEE" w14:textId="77777777" w:rsidR="00333A8D" w:rsidRPr="000535EF" w:rsidRDefault="00EC4C55" w:rsidP="0016202F">
      <w:pPr>
        <w:spacing w:after="160"/>
        <w:jc w:val="both"/>
        <w:rPr>
          <w:b/>
        </w:rPr>
      </w:pPr>
      <w:r>
        <w:rPr>
          <w:b/>
        </w:rPr>
        <w:t xml:space="preserve">Nedostatečné vymezení předmětu podpory. </w:t>
      </w:r>
      <w:r w:rsidRPr="00957DC4">
        <w:t>MMR jako předmět podpory stanovilo objekty, které sloužily pro bydlení, k rekreaci nebo jako ubytovací zařízení. Jinou možnost využití</w:t>
      </w:r>
      <w:r>
        <w:t xml:space="preserve"> objektů</w:t>
      </w:r>
      <w:r w:rsidRPr="00957DC4">
        <w:t xml:space="preserve"> podmínky podprogramu nepřipouštěly</w:t>
      </w:r>
      <w:r>
        <w:rPr>
          <w:rStyle w:val="Znakapoznpodarou"/>
        </w:rPr>
        <w:footnoteReference w:id="6"/>
      </w:r>
      <w:r w:rsidRPr="00957DC4">
        <w:t xml:space="preserve">. V některých případech na dotčených pozemcích probíhala demolice více objektů, přičemž někdy pouze jeden z nich splňoval stanovenou podmínku oprávněného předmětu podpory. MMR u některých projektů demolici těchto jiných objektů důsledně vyjímalo z uznatelných nákladů projektů, u jiných ale nikoli. NKÚ </w:t>
      </w:r>
      <w:r>
        <w:t xml:space="preserve">zjistil, že MMR poskytlo </w:t>
      </w:r>
      <w:r w:rsidRPr="00957DC4">
        <w:t xml:space="preserve">prostředky ve výši 12 742 727 Kč na </w:t>
      </w:r>
      <w:r>
        <w:t>realizaci osmi projektů, jejichž součástí byla i demolice</w:t>
      </w:r>
      <w:r w:rsidRPr="00957DC4">
        <w:t xml:space="preserve"> objektů, které nesplňovaly vymezení oprávněného předmětu podpory.</w:t>
      </w:r>
    </w:p>
    <w:p w14:paraId="5030E1EA" w14:textId="77777777" w:rsidR="00333A8D" w:rsidRPr="008E4A6D" w:rsidRDefault="00EC4C55" w:rsidP="0016202F">
      <w:pPr>
        <w:spacing w:after="160"/>
        <w:jc w:val="both"/>
      </w:pPr>
      <w:r>
        <w:rPr>
          <w:b/>
        </w:rPr>
        <w:t xml:space="preserve">Nedodržení </w:t>
      </w:r>
      <w:r w:rsidR="00137069">
        <w:rPr>
          <w:b/>
        </w:rPr>
        <w:t>z</w:t>
      </w:r>
      <w:r>
        <w:rPr>
          <w:b/>
        </w:rPr>
        <w:t xml:space="preserve">ásad podprogramu. </w:t>
      </w:r>
      <w:r w:rsidRPr="00957DC4">
        <w:t xml:space="preserve">MMR se také v roce 2017 rozhodlo podpořit tři projekty v hodnotě 3 202 566 Kč, které byly v rozporu s vyhlášenými </w:t>
      </w:r>
      <w:r w:rsidR="00137069">
        <w:t>z</w:t>
      </w:r>
      <w:r w:rsidRPr="00957DC4">
        <w:t>ásadami</w:t>
      </w:r>
      <w:r w:rsidR="00FF002D">
        <w:t xml:space="preserve"> pro dané období</w:t>
      </w:r>
      <w:r w:rsidR="0020405C">
        <w:t>. O </w:t>
      </w:r>
      <w:r w:rsidRPr="00957DC4">
        <w:t>podpoře těchto projektů rozhodlo MMR na základě doporučení hodnoticí komise, která je doporučila k realizaci, přestože projekty nebyly v souladu s nastavenými podmínkami.</w:t>
      </w:r>
      <w:r w:rsidRPr="008E4A6D">
        <w:t xml:space="preserve"> </w:t>
      </w:r>
    </w:p>
    <w:p w14:paraId="7E57C0A5" w14:textId="77777777" w:rsidR="00333A8D" w:rsidRDefault="00EC4C55" w:rsidP="0016202F">
      <w:pPr>
        <w:jc w:val="both"/>
        <w:rPr>
          <w:rFonts w:cstheme="minorHAnsi"/>
          <w:lang w:eastAsia="en-US"/>
        </w:rPr>
      </w:pPr>
      <w:r w:rsidRPr="00957DC4">
        <w:rPr>
          <w:rFonts w:cstheme="minorHAnsi"/>
          <w:b/>
          <w:lang w:eastAsia="en-US"/>
        </w:rPr>
        <w:t>Postup MMR by</w:t>
      </w:r>
      <w:r>
        <w:rPr>
          <w:rFonts w:cstheme="minorHAnsi"/>
          <w:b/>
          <w:lang w:eastAsia="en-US"/>
        </w:rPr>
        <w:t xml:space="preserve">l v rozporu s právními předpisy. </w:t>
      </w:r>
      <w:r w:rsidRPr="00461FD4">
        <w:rPr>
          <w:rFonts w:cstheme="minorHAnsi"/>
          <w:lang w:eastAsia="en-US"/>
        </w:rPr>
        <w:t>Př</w:t>
      </w:r>
      <w:r w:rsidRPr="00957DC4">
        <w:rPr>
          <w:rFonts w:cstheme="minorHAnsi"/>
          <w:lang w:eastAsia="en-US"/>
        </w:rPr>
        <w:t xml:space="preserve">i nastavení systému finančních kontrol </w:t>
      </w:r>
      <w:r>
        <w:rPr>
          <w:rFonts w:cstheme="minorHAnsi"/>
          <w:lang w:eastAsia="en-US"/>
        </w:rPr>
        <w:t>MMR</w:t>
      </w:r>
      <w:r w:rsidRPr="00957DC4">
        <w:rPr>
          <w:rFonts w:cstheme="minorHAnsi"/>
          <w:lang w:eastAsia="en-US"/>
        </w:rPr>
        <w:t xml:space="preserve"> zcela pominulo kontrolu zadávacích řízení. Kontrolu zadávacích řízení MMR neprovád</w:t>
      </w:r>
      <w:r>
        <w:rPr>
          <w:rFonts w:cstheme="minorHAnsi"/>
          <w:lang w:eastAsia="en-US"/>
        </w:rPr>
        <w:t>ělo</w:t>
      </w:r>
      <w:r w:rsidRPr="00957DC4">
        <w:rPr>
          <w:rFonts w:cstheme="minorHAnsi"/>
          <w:lang w:eastAsia="en-US"/>
        </w:rPr>
        <w:t xml:space="preserve"> ani při administrativních kontrolách, ani při kontrolách na místě. </w:t>
      </w:r>
      <w:r>
        <w:rPr>
          <w:rFonts w:cstheme="minorHAnsi"/>
          <w:lang w:eastAsia="en-US"/>
        </w:rPr>
        <w:t xml:space="preserve">MMR nezavedlo jiné způsoby pro zajištění hospodárnosti </w:t>
      </w:r>
      <w:r w:rsidRPr="00957DC4">
        <w:rPr>
          <w:rFonts w:cstheme="minorHAnsi"/>
          <w:lang w:eastAsia="en-US"/>
        </w:rPr>
        <w:t>(např. limity výdajů nebo maximální jednotkové ceny)</w:t>
      </w:r>
      <w:r>
        <w:rPr>
          <w:rFonts w:cstheme="minorHAnsi"/>
          <w:lang w:eastAsia="en-US"/>
        </w:rPr>
        <w:t xml:space="preserve">, takže kontrola provedených zadávacích řízení byla jediným mechanismem pro ověření hospodárnosti </w:t>
      </w:r>
      <w:r w:rsidRPr="00957DC4">
        <w:rPr>
          <w:rFonts w:cstheme="minorHAnsi"/>
          <w:lang w:eastAsia="en-US"/>
        </w:rPr>
        <w:t>poskytnuté podpory</w:t>
      </w:r>
      <w:r>
        <w:rPr>
          <w:rFonts w:cstheme="minorHAnsi"/>
          <w:lang w:eastAsia="en-US"/>
        </w:rPr>
        <w:t>.</w:t>
      </w:r>
    </w:p>
    <w:p w14:paraId="078676B3" w14:textId="77777777" w:rsidR="00333A8D" w:rsidRPr="000A63ED" w:rsidRDefault="00EC4C55" w:rsidP="00333A8D">
      <w:pPr>
        <w:jc w:val="both"/>
        <w:rPr>
          <w:rFonts w:cstheme="minorHAnsi"/>
          <w:lang w:eastAsia="en-US"/>
        </w:rPr>
      </w:pPr>
      <w:r>
        <w:rPr>
          <w:rFonts w:cstheme="minorHAnsi"/>
          <w:lang w:eastAsia="en-US"/>
        </w:rPr>
        <w:t xml:space="preserve">MMR </w:t>
      </w:r>
      <w:r w:rsidRPr="00957DC4">
        <w:rPr>
          <w:rFonts w:cstheme="minorHAnsi"/>
          <w:lang w:eastAsia="en-US"/>
        </w:rPr>
        <w:t xml:space="preserve">neprovedlo kroky </w:t>
      </w:r>
      <w:r>
        <w:rPr>
          <w:rFonts w:cstheme="minorHAnsi"/>
          <w:lang w:eastAsia="en-US"/>
        </w:rPr>
        <w:t xml:space="preserve">vedoucí </w:t>
      </w:r>
      <w:r w:rsidRPr="00957DC4">
        <w:rPr>
          <w:rFonts w:cstheme="minorHAnsi"/>
          <w:lang w:eastAsia="en-US"/>
        </w:rPr>
        <w:t xml:space="preserve">k nápravě pochybení </w:t>
      </w:r>
      <w:r>
        <w:rPr>
          <w:rFonts w:cstheme="minorHAnsi"/>
          <w:lang w:eastAsia="en-US"/>
        </w:rPr>
        <w:t xml:space="preserve">při </w:t>
      </w:r>
      <w:r w:rsidRPr="00957DC4">
        <w:rPr>
          <w:rFonts w:cstheme="minorHAnsi"/>
          <w:lang w:eastAsia="en-US"/>
        </w:rPr>
        <w:t>zadávací</w:t>
      </w:r>
      <w:r>
        <w:rPr>
          <w:rFonts w:cstheme="minorHAnsi"/>
          <w:lang w:eastAsia="en-US"/>
        </w:rPr>
        <w:t>m</w:t>
      </w:r>
      <w:r w:rsidRPr="00957DC4">
        <w:rPr>
          <w:rFonts w:cstheme="minorHAnsi"/>
          <w:lang w:eastAsia="en-US"/>
        </w:rPr>
        <w:t xml:space="preserve"> řízení </w:t>
      </w:r>
      <w:r>
        <w:rPr>
          <w:rFonts w:cstheme="minorHAnsi"/>
          <w:lang w:eastAsia="en-US"/>
        </w:rPr>
        <w:t xml:space="preserve">u jednoho projektu </w:t>
      </w:r>
      <w:r w:rsidRPr="00957DC4">
        <w:rPr>
          <w:rFonts w:cstheme="minorHAnsi"/>
          <w:lang w:eastAsia="en-US"/>
        </w:rPr>
        <w:t>ani na základě externích podnětů. NKÚ kontrolou dotčeného projektu potvrdil, že k indikovanému pochybení skutečně došlo.</w:t>
      </w:r>
    </w:p>
    <w:p w14:paraId="4C847523" w14:textId="3435C3B3" w:rsidR="00333A8D" w:rsidRPr="00957DC4" w:rsidRDefault="00EC4C55" w:rsidP="00333A8D">
      <w:pPr>
        <w:jc w:val="both"/>
        <w:rPr>
          <w:rFonts w:cstheme="minorHAnsi"/>
          <w:lang w:eastAsia="en-US"/>
        </w:rPr>
      </w:pPr>
      <w:r w:rsidRPr="00957DC4">
        <w:rPr>
          <w:rFonts w:cstheme="minorHAnsi"/>
          <w:lang w:eastAsia="en-US"/>
        </w:rPr>
        <w:t>Nastavený kontrolní systém MMR selhal nejenom v případě systémových chyb v určení oprávněnosti předmětu podpory a zajištění postupu v souladu s vyhlášenými podmínkami, ale ve třech případech neodhalil ani chybná stanovení výše dotace</w:t>
      </w:r>
      <w:r w:rsidR="000A63ED">
        <w:rPr>
          <w:rFonts w:cstheme="minorHAnsi"/>
          <w:lang w:eastAsia="en-US"/>
        </w:rPr>
        <w:t>,</w:t>
      </w:r>
      <w:r w:rsidRPr="00957DC4">
        <w:rPr>
          <w:rFonts w:cstheme="minorHAnsi"/>
          <w:lang w:eastAsia="en-US"/>
        </w:rPr>
        <w:t xml:space="preserve"> a </w:t>
      </w:r>
      <w:r>
        <w:rPr>
          <w:rFonts w:cstheme="minorHAnsi"/>
          <w:lang w:eastAsia="en-US"/>
        </w:rPr>
        <w:t>MMR</w:t>
      </w:r>
      <w:r w:rsidRPr="00957DC4">
        <w:rPr>
          <w:rFonts w:cstheme="minorHAnsi"/>
          <w:lang w:eastAsia="en-US"/>
        </w:rPr>
        <w:t xml:space="preserve"> </w:t>
      </w:r>
      <w:r w:rsidR="000A63ED">
        <w:rPr>
          <w:rFonts w:cstheme="minorHAnsi"/>
          <w:lang w:eastAsia="en-US"/>
        </w:rPr>
        <w:t>v důsledku toho</w:t>
      </w:r>
      <w:r>
        <w:rPr>
          <w:rFonts w:cstheme="minorHAnsi"/>
          <w:lang w:eastAsia="en-US"/>
        </w:rPr>
        <w:t xml:space="preserve"> </w:t>
      </w:r>
      <w:r w:rsidRPr="00957DC4">
        <w:rPr>
          <w:rFonts w:cstheme="minorHAnsi"/>
          <w:lang w:eastAsia="en-US"/>
        </w:rPr>
        <w:t>poskytl</w:t>
      </w:r>
      <w:r>
        <w:rPr>
          <w:rFonts w:cstheme="minorHAnsi"/>
          <w:lang w:eastAsia="en-US"/>
        </w:rPr>
        <w:t>o</w:t>
      </w:r>
      <w:r w:rsidRPr="00957DC4">
        <w:rPr>
          <w:rFonts w:cstheme="minorHAnsi"/>
          <w:lang w:eastAsia="en-US"/>
        </w:rPr>
        <w:t xml:space="preserve"> příjemcům o 51 689 Kč vyšší podporu.  </w:t>
      </w:r>
    </w:p>
    <w:p w14:paraId="108E9DD4" w14:textId="77777777" w:rsidR="00333A8D" w:rsidRPr="00957DC4" w:rsidRDefault="008E4A6D" w:rsidP="008E4A6D">
      <w:pPr>
        <w:spacing w:before="240" w:after="160" w:line="259" w:lineRule="auto"/>
        <w:jc w:val="both"/>
        <w:rPr>
          <w:b/>
        </w:rPr>
      </w:pPr>
      <w:r>
        <w:rPr>
          <w:b/>
        </w:rPr>
        <w:t xml:space="preserve">4. </w:t>
      </w:r>
      <w:r w:rsidR="00EC4C55" w:rsidRPr="00957DC4">
        <w:rPr>
          <w:b/>
        </w:rPr>
        <w:t>Kontrola vzorku projektů u příjemců dotace</w:t>
      </w:r>
    </w:p>
    <w:p w14:paraId="4A4986E3" w14:textId="074B1A8C" w:rsidR="00333A8D" w:rsidRPr="00957DC4" w:rsidRDefault="00EC4C55" w:rsidP="00333A8D">
      <w:pPr>
        <w:jc w:val="both"/>
        <w:rPr>
          <w:rFonts w:cstheme="minorHAnsi"/>
          <w:lang w:eastAsia="en-US"/>
        </w:rPr>
      </w:pPr>
      <w:r w:rsidRPr="00957DC4">
        <w:rPr>
          <w:rFonts w:cstheme="minorHAnsi"/>
          <w:lang w:eastAsia="en-US"/>
        </w:rPr>
        <w:t xml:space="preserve">NKÚ zkontroloval 23 projektů, na které MMR poskytlo dotaci převyšující 46 mil. Kč, tedy </w:t>
      </w:r>
      <w:r w:rsidR="00906F0F">
        <w:rPr>
          <w:rFonts w:cstheme="minorHAnsi"/>
          <w:lang w:eastAsia="en-US"/>
        </w:rPr>
        <w:t>cca</w:t>
      </w:r>
      <w:r w:rsidR="0020405C">
        <w:rPr>
          <w:rFonts w:cstheme="minorHAnsi"/>
          <w:lang w:eastAsia="en-US"/>
        </w:rPr>
        <w:t> </w:t>
      </w:r>
      <w:r w:rsidRPr="00957DC4">
        <w:rPr>
          <w:rFonts w:cstheme="minorHAnsi"/>
          <w:lang w:eastAsia="en-US"/>
        </w:rPr>
        <w:t>3</w:t>
      </w:r>
      <w:r>
        <w:rPr>
          <w:rFonts w:cstheme="minorHAnsi"/>
          <w:lang w:eastAsia="en-US"/>
        </w:rPr>
        <w:t>2</w:t>
      </w:r>
      <w:r w:rsidRPr="00957DC4">
        <w:rPr>
          <w:rFonts w:cstheme="minorHAnsi"/>
          <w:lang w:eastAsia="en-US"/>
        </w:rPr>
        <w:t> % z peněžních prostředků, které byly</w:t>
      </w:r>
      <w:r>
        <w:rPr>
          <w:rFonts w:cstheme="minorHAnsi"/>
          <w:lang w:eastAsia="en-US"/>
        </w:rPr>
        <w:t xml:space="preserve"> </w:t>
      </w:r>
      <w:r w:rsidRPr="00957DC4">
        <w:rPr>
          <w:rFonts w:cstheme="minorHAnsi"/>
          <w:lang w:eastAsia="en-US"/>
        </w:rPr>
        <w:t xml:space="preserve">proplaceny. NKÚ </w:t>
      </w:r>
      <w:r w:rsidR="001F3C35">
        <w:rPr>
          <w:rFonts w:cstheme="minorHAnsi"/>
          <w:lang w:eastAsia="en-US"/>
        </w:rPr>
        <w:t xml:space="preserve">zjistil </w:t>
      </w:r>
      <w:r w:rsidRPr="00957DC4">
        <w:rPr>
          <w:rFonts w:cstheme="minorHAnsi"/>
          <w:lang w:eastAsia="en-US"/>
        </w:rPr>
        <w:t>nedostatky, které se týkaly porušení právních předpisů a podmínek, které MMR stanovilo pro čerpání dotace</w:t>
      </w:r>
      <w:r>
        <w:rPr>
          <w:rFonts w:cstheme="minorHAnsi"/>
          <w:lang w:eastAsia="en-US"/>
        </w:rPr>
        <w:t xml:space="preserve"> jako závazn</w:t>
      </w:r>
      <w:r w:rsidR="001F3C35">
        <w:rPr>
          <w:rFonts w:cstheme="minorHAnsi"/>
          <w:lang w:eastAsia="en-US"/>
        </w:rPr>
        <w:t>é</w:t>
      </w:r>
      <w:r w:rsidR="000E1282">
        <w:rPr>
          <w:rFonts w:cstheme="minorHAnsi"/>
          <w:lang w:eastAsia="en-US"/>
        </w:rPr>
        <w:t>.</w:t>
      </w:r>
      <w:r w:rsidRPr="00957DC4">
        <w:rPr>
          <w:rFonts w:cstheme="minorHAnsi"/>
          <w:lang w:eastAsia="en-US"/>
        </w:rPr>
        <w:t xml:space="preserve"> </w:t>
      </w:r>
      <w:r w:rsidR="001F3C35">
        <w:t xml:space="preserve">Porušení </w:t>
      </w:r>
      <w:r>
        <w:t>účel</w:t>
      </w:r>
      <w:r w:rsidR="001F3C35">
        <w:t>u</w:t>
      </w:r>
      <w:r>
        <w:t xml:space="preserve">, ke kterému byly peněžní prostředky </w:t>
      </w:r>
      <w:r w:rsidR="007F0356">
        <w:t>příjemcům rozhodnutím o </w:t>
      </w:r>
      <w:r w:rsidR="001F3C35">
        <w:t xml:space="preserve">poskytnutí dotace </w:t>
      </w:r>
      <w:r>
        <w:t>poskytnuty</w:t>
      </w:r>
      <w:r w:rsidR="001F3C35">
        <w:t>,</w:t>
      </w:r>
      <w:r w:rsidR="00A84BDE">
        <w:t xml:space="preserve"> </w:t>
      </w:r>
      <w:r w:rsidR="001F3C35">
        <w:t>kontrolou zjištěno nebylo</w:t>
      </w:r>
      <w:r w:rsidR="001F3C35">
        <w:rPr>
          <w:rFonts w:cstheme="minorHAnsi"/>
          <w:lang w:eastAsia="en-US"/>
        </w:rPr>
        <w:t>.</w:t>
      </w:r>
    </w:p>
    <w:p w14:paraId="01C88723" w14:textId="77777777" w:rsidR="00333A8D" w:rsidRPr="00957DC4" w:rsidRDefault="00EC4C55" w:rsidP="00333A8D">
      <w:pPr>
        <w:jc w:val="both"/>
        <w:rPr>
          <w:rFonts w:cstheme="minorHAnsi"/>
          <w:lang w:eastAsia="en-US"/>
        </w:rPr>
      </w:pPr>
      <w:r w:rsidRPr="00957DC4">
        <w:rPr>
          <w:rFonts w:cstheme="minorHAnsi"/>
          <w:lang w:eastAsia="en-US"/>
        </w:rPr>
        <w:t>Ve dvou případech byla kontrolou zjištěna pochybení v procesu zadávání veřejných zakázek. Šlo o případy, kdy příjemci nezadali veřejné zakázky formou otevřeného řízení, jak ukládaly podmínky dotace. Tato pochybení se týkala částky téměř 9 mil. Kč, tedy cca 19 % z celého kontrolovaného objemu</w:t>
      </w:r>
      <w:r w:rsidR="000A63ED">
        <w:rPr>
          <w:rFonts w:cstheme="minorHAnsi"/>
          <w:lang w:eastAsia="en-US"/>
        </w:rPr>
        <w:t>,</w:t>
      </w:r>
      <w:r w:rsidRPr="00957DC4">
        <w:rPr>
          <w:rFonts w:cstheme="minorHAnsi"/>
          <w:lang w:eastAsia="en-US"/>
        </w:rPr>
        <w:t xml:space="preserve"> a NKÚ oba případy oznámil jako podezření na porušení rozpočtové kázně správcům daně.</w:t>
      </w:r>
    </w:p>
    <w:p w14:paraId="04F506EF" w14:textId="77777777" w:rsidR="00333A8D" w:rsidRDefault="00EC4C55" w:rsidP="00333A8D">
      <w:pPr>
        <w:jc w:val="both"/>
        <w:rPr>
          <w:rFonts w:cstheme="minorHAnsi"/>
          <w:lang w:eastAsia="en-US"/>
        </w:rPr>
      </w:pPr>
      <w:r w:rsidRPr="00957DC4">
        <w:rPr>
          <w:rFonts w:cstheme="minorHAnsi"/>
          <w:lang w:eastAsia="en-US"/>
        </w:rPr>
        <w:t>V dalších 10 případech šlo o méně významná porušení právních předpisů, která neměla finanční dopad.</w:t>
      </w:r>
    </w:p>
    <w:p w14:paraId="4717C1AA" w14:textId="77777777" w:rsidR="008B6E2C" w:rsidRDefault="008B6E2C" w:rsidP="008B6E2C">
      <w:pPr>
        <w:spacing w:after="0"/>
        <w:jc w:val="both"/>
        <w:rPr>
          <w:rFonts w:cstheme="minorHAnsi"/>
          <w:lang w:eastAsia="en-US"/>
        </w:rPr>
      </w:pPr>
    </w:p>
    <w:p w14:paraId="756D6220" w14:textId="77777777" w:rsidR="008B6E2C" w:rsidRPr="003B1144" w:rsidRDefault="008B6E2C" w:rsidP="008B6E2C">
      <w:pPr>
        <w:spacing w:after="0"/>
        <w:jc w:val="both"/>
        <w:rPr>
          <w:rFonts w:cstheme="minorHAnsi"/>
          <w:lang w:eastAsia="en-US"/>
        </w:rPr>
      </w:pPr>
    </w:p>
    <w:p w14:paraId="005A4C35" w14:textId="77777777" w:rsidR="004E31D6" w:rsidRPr="008124D7" w:rsidRDefault="00EC4C55" w:rsidP="002457BA">
      <w:pPr>
        <w:pStyle w:val="Nadpis1"/>
        <w:spacing w:before="0"/>
        <w:jc w:val="center"/>
      </w:pPr>
      <w:r w:rsidRPr="008124D7">
        <w:t xml:space="preserve">II. </w:t>
      </w:r>
      <w:r w:rsidR="00D932E3" w:rsidRPr="008124D7">
        <w:t>Informace o kontrolované oblasti</w:t>
      </w:r>
    </w:p>
    <w:p w14:paraId="232A33FE" w14:textId="77777777" w:rsidR="0068382E" w:rsidRPr="007519A8" w:rsidRDefault="00EC4C55" w:rsidP="0068382E">
      <w:pPr>
        <w:pStyle w:val="Nadpis2"/>
      </w:pPr>
      <w:bookmarkStart w:id="1" w:name="_Toc34902459"/>
      <w:bookmarkStart w:id="2" w:name="_Toc35593591"/>
      <w:bookmarkStart w:id="3" w:name="_Toc35595328"/>
      <w:bookmarkStart w:id="4" w:name="_Toc35596884"/>
      <w:bookmarkStart w:id="5" w:name="_Toc35600451"/>
      <w:bookmarkStart w:id="6" w:name="_Toc35605114"/>
      <w:bookmarkStart w:id="7" w:name="_Toc35607620"/>
      <w:bookmarkStart w:id="8" w:name="_Toc35615152"/>
      <w:bookmarkStart w:id="9" w:name="_Toc35615365"/>
      <w:bookmarkStart w:id="10" w:name="_Toc38570432"/>
      <w:r w:rsidRPr="007519A8">
        <w:t xml:space="preserve">Program </w:t>
      </w:r>
      <w:r w:rsidRPr="000E1669">
        <w:rPr>
          <w:i/>
        </w:rPr>
        <w:t>Podpora revitalizace území</w:t>
      </w:r>
      <w:bookmarkEnd w:id="1"/>
      <w:bookmarkEnd w:id="2"/>
      <w:bookmarkEnd w:id="3"/>
      <w:bookmarkEnd w:id="4"/>
      <w:bookmarkEnd w:id="5"/>
      <w:bookmarkEnd w:id="6"/>
      <w:bookmarkEnd w:id="7"/>
      <w:bookmarkEnd w:id="8"/>
      <w:bookmarkEnd w:id="9"/>
      <w:bookmarkEnd w:id="10"/>
    </w:p>
    <w:p w14:paraId="25196D98" w14:textId="05A64990" w:rsidR="0068382E" w:rsidRPr="000D3528" w:rsidRDefault="00EC4C55" w:rsidP="000D3528">
      <w:pPr>
        <w:jc w:val="both"/>
        <w:rPr>
          <w:rFonts w:cstheme="minorHAnsi"/>
          <w:lang w:eastAsia="en-US"/>
        </w:rPr>
      </w:pPr>
      <w:r w:rsidRPr="000D3528">
        <w:rPr>
          <w:rFonts w:cstheme="minorHAnsi"/>
          <w:lang w:eastAsia="en-US"/>
        </w:rPr>
        <w:t xml:space="preserve">Program </w:t>
      </w:r>
      <w:r w:rsidRPr="000E1669">
        <w:t>11708</w:t>
      </w:r>
      <w:r w:rsidR="006A7A52">
        <w:t> –</w:t>
      </w:r>
      <w:r w:rsidRPr="006A7A52">
        <w:rPr>
          <w:i/>
        </w:rPr>
        <w:t xml:space="preserve"> </w:t>
      </w:r>
      <w:r w:rsidRPr="00450D1D">
        <w:rPr>
          <w:i/>
        </w:rPr>
        <w:t>Podpora revitalizace území</w:t>
      </w:r>
      <w:r w:rsidR="00725968">
        <w:rPr>
          <w:rFonts w:cstheme="minorHAnsi"/>
          <w:lang w:eastAsia="en-US"/>
        </w:rPr>
        <w:t xml:space="preserve"> schválilo </w:t>
      </w:r>
      <w:r w:rsidR="0074151E">
        <w:rPr>
          <w:rFonts w:cstheme="minorHAnsi"/>
          <w:lang w:eastAsia="en-US"/>
        </w:rPr>
        <w:t xml:space="preserve">Ministerstvo financí </w:t>
      </w:r>
      <w:r w:rsidRPr="000D3528">
        <w:rPr>
          <w:rFonts w:cstheme="minorHAnsi"/>
          <w:lang w:eastAsia="en-US"/>
        </w:rPr>
        <w:t>dne 12. 2. 2016</w:t>
      </w:r>
      <w:r w:rsidR="00725968">
        <w:rPr>
          <w:rFonts w:cstheme="minorHAnsi"/>
          <w:lang w:eastAsia="en-US"/>
        </w:rPr>
        <w:t>.</w:t>
      </w:r>
      <w:r w:rsidRPr="000D3528">
        <w:rPr>
          <w:rFonts w:cstheme="minorHAnsi"/>
          <w:lang w:eastAsia="en-US"/>
        </w:rPr>
        <w:t xml:space="preserve"> Program 11708 </w:t>
      </w:r>
      <w:r w:rsidR="00BB7510">
        <w:rPr>
          <w:rFonts w:cstheme="minorHAnsi"/>
          <w:lang w:eastAsia="en-US"/>
        </w:rPr>
        <w:t xml:space="preserve">byl připraven </w:t>
      </w:r>
      <w:r w:rsidR="00203E04">
        <w:rPr>
          <w:rFonts w:cstheme="minorHAnsi"/>
          <w:lang w:eastAsia="en-US"/>
        </w:rPr>
        <w:t>na období let 2016–</w:t>
      </w:r>
      <w:r w:rsidR="00BB7510" w:rsidRPr="000D3528">
        <w:rPr>
          <w:rFonts w:cstheme="minorHAnsi"/>
          <w:lang w:eastAsia="en-US"/>
        </w:rPr>
        <w:t>2018</w:t>
      </w:r>
      <w:r w:rsidR="00BB7510">
        <w:rPr>
          <w:rFonts w:cstheme="minorHAnsi"/>
          <w:lang w:eastAsia="en-US"/>
        </w:rPr>
        <w:t xml:space="preserve"> a </w:t>
      </w:r>
      <w:r w:rsidRPr="000D3528">
        <w:rPr>
          <w:rFonts w:cstheme="minorHAnsi"/>
          <w:lang w:eastAsia="en-US"/>
        </w:rPr>
        <w:t xml:space="preserve">obsahoval jediný podprogram </w:t>
      </w:r>
      <w:r w:rsidR="006A7A52">
        <w:rPr>
          <w:rFonts w:cstheme="minorHAnsi"/>
          <w:lang w:eastAsia="en-US"/>
        </w:rPr>
        <w:t>–</w:t>
      </w:r>
      <w:r w:rsidRPr="000D3528">
        <w:rPr>
          <w:rFonts w:cstheme="minorHAnsi"/>
          <w:lang w:eastAsia="en-US"/>
        </w:rPr>
        <w:t xml:space="preserve"> 117D081</w:t>
      </w:r>
      <w:r w:rsidR="006A7A52">
        <w:rPr>
          <w:rFonts w:cstheme="minorHAnsi"/>
          <w:lang w:eastAsia="en-US"/>
        </w:rPr>
        <w:t> –</w:t>
      </w:r>
      <w:r w:rsidRPr="000D3528">
        <w:rPr>
          <w:rFonts w:cstheme="minorHAnsi"/>
          <w:lang w:eastAsia="en-US"/>
        </w:rPr>
        <w:t xml:space="preserve"> </w:t>
      </w:r>
      <w:r w:rsidRPr="00450D1D">
        <w:rPr>
          <w:i/>
        </w:rPr>
        <w:t>Demolice budov v sociálně vyloučených lokalitách</w:t>
      </w:r>
      <w:r w:rsidRPr="000D3528">
        <w:rPr>
          <w:rFonts w:cstheme="minorHAnsi"/>
          <w:lang w:eastAsia="en-US"/>
        </w:rPr>
        <w:t>.</w:t>
      </w:r>
    </w:p>
    <w:p w14:paraId="5B8E2BAC" w14:textId="5760DB79" w:rsidR="0068382E" w:rsidRPr="000D3528" w:rsidRDefault="00EC4C55" w:rsidP="000D3528">
      <w:pPr>
        <w:jc w:val="both"/>
        <w:rPr>
          <w:rFonts w:cstheme="minorHAnsi"/>
          <w:lang w:eastAsia="en-US"/>
        </w:rPr>
      </w:pPr>
      <w:r w:rsidRPr="0092427D">
        <w:rPr>
          <w:rFonts w:cstheme="minorHAnsi"/>
          <w:lang w:eastAsia="en-US"/>
        </w:rPr>
        <w:t>Cílem</w:t>
      </w:r>
      <w:r w:rsidRPr="000D3528">
        <w:rPr>
          <w:rFonts w:cstheme="minorHAnsi"/>
          <w:lang w:eastAsia="en-US"/>
        </w:rPr>
        <w:t xml:space="preserve"> </w:t>
      </w:r>
      <w:r w:rsidR="006A7A52">
        <w:rPr>
          <w:rFonts w:cstheme="minorHAnsi"/>
          <w:lang w:eastAsia="en-US"/>
        </w:rPr>
        <w:t>p</w:t>
      </w:r>
      <w:r w:rsidRPr="000D3528">
        <w:rPr>
          <w:rFonts w:cstheme="minorHAnsi"/>
          <w:lang w:eastAsia="en-US"/>
        </w:rPr>
        <w:t>rogramu 11708 bylo</w:t>
      </w:r>
      <w:r w:rsidR="006A7A52">
        <w:rPr>
          <w:rFonts w:cstheme="minorHAnsi"/>
          <w:lang w:eastAsia="en-US"/>
        </w:rPr>
        <w:t>:</w:t>
      </w:r>
      <w:r w:rsidRPr="000D3528">
        <w:rPr>
          <w:rFonts w:cstheme="minorHAnsi"/>
          <w:lang w:eastAsia="en-US"/>
        </w:rPr>
        <w:t xml:space="preserve"> „</w:t>
      </w:r>
      <w:r w:rsidR="006A7A52">
        <w:rPr>
          <w:rFonts w:cstheme="minorHAnsi"/>
          <w:lang w:eastAsia="en-US"/>
        </w:rPr>
        <w:t>… </w:t>
      </w:r>
      <w:r w:rsidRPr="000D3528">
        <w:rPr>
          <w:rFonts w:cstheme="minorHAnsi"/>
          <w:i/>
          <w:lang w:eastAsia="en-US"/>
        </w:rPr>
        <w:t>připravit území tak, aby bylo možné je znovu plnohodnotně využít pro další rozvoj obce, který může být spojován i s výstavbou objektu sloužícího jinému účelu než sociálnímu bydlení.</w:t>
      </w:r>
      <w:r w:rsidRPr="000D3528">
        <w:rPr>
          <w:rFonts w:cstheme="minorHAnsi"/>
          <w:lang w:eastAsia="en-US"/>
        </w:rPr>
        <w:t>“</w:t>
      </w:r>
    </w:p>
    <w:p w14:paraId="782E3BF3" w14:textId="77777777" w:rsidR="0092427D" w:rsidRPr="00CD3254" w:rsidRDefault="00EC4C55" w:rsidP="0092427D">
      <w:pPr>
        <w:jc w:val="both"/>
      </w:pPr>
      <w:r w:rsidRPr="00CD3254">
        <w:t xml:space="preserve">Cíl </w:t>
      </w:r>
      <w:r w:rsidR="00031DEF">
        <w:t>p</w:t>
      </w:r>
      <w:r w:rsidRPr="00CD3254">
        <w:t>odprogramu byl vymezen následovně:</w:t>
      </w:r>
      <w:r w:rsidR="0074151E">
        <w:t xml:space="preserve"> </w:t>
      </w:r>
      <w:r w:rsidRPr="00CD3254">
        <w:t>„</w:t>
      </w:r>
      <w:r w:rsidRPr="00074D3B">
        <w:rPr>
          <w:i/>
        </w:rPr>
        <w:t>Podprogram je zaměřen na podporu demolic budov v obcích se sociálně vyloučenou lokalitou. Demolice musí být následována celkovou revitalizací prostor, včetně možné výstavby objektu, který bude sloužit jinému účelu než sociálnímu bydlení (školské zařízení, komunitní centrum, sportovní zařízení atd.)</w:t>
      </w:r>
      <w:r w:rsidRPr="00CD3254">
        <w:t>“.</w:t>
      </w:r>
    </w:p>
    <w:p w14:paraId="20BECAA5" w14:textId="77777777" w:rsidR="0092427D" w:rsidRPr="00CD3254" w:rsidRDefault="00EC4C55" w:rsidP="0092427D">
      <w:pPr>
        <w:jc w:val="both"/>
      </w:pPr>
      <w:r w:rsidRPr="00CD3254">
        <w:t xml:space="preserve">Příjemcem dotace mohla být obec, na jejímž katastrálním území se nachází SVL.  </w:t>
      </w:r>
    </w:p>
    <w:p w14:paraId="5270EF09" w14:textId="6A25A9EF" w:rsidR="0092427D" w:rsidRPr="000D3528" w:rsidRDefault="00EC4C55" w:rsidP="0092427D">
      <w:pPr>
        <w:jc w:val="both"/>
        <w:rPr>
          <w:rFonts w:cstheme="minorHAnsi"/>
          <w:lang w:eastAsia="en-US"/>
        </w:rPr>
      </w:pPr>
      <w:r>
        <w:rPr>
          <w:rFonts w:cstheme="minorHAnsi"/>
          <w:lang w:eastAsia="en-US"/>
        </w:rPr>
        <w:t>V č</w:t>
      </w:r>
      <w:r w:rsidRPr="000D3528">
        <w:rPr>
          <w:rFonts w:cstheme="minorHAnsi"/>
          <w:lang w:eastAsia="en-US"/>
        </w:rPr>
        <w:t>ást</w:t>
      </w:r>
      <w:r w:rsidR="00352BBB">
        <w:rPr>
          <w:rFonts w:cstheme="minorHAnsi"/>
          <w:lang w:eastAsia="en-US"/>
        </w:rPr>
        <w:t>i</w:t>
      </w:r>
      <w:r w:rsidRPr="000D3528">
        <w:rPr>
          <w:rFonts w:cstheme="minorHAnsi"/>
          <w:lang w:eastAsia="en-US"/>
        </w:rPr>
        <w:t xml:space="preserve"> f) textu </w:t>
      </w:r>
      <w:r w:rsidR="006A7A52">
        <w:rPr>
          <w:rFonts w:cstheme="minorHAnsi"/>
          <w:lang w:eastAsia="en-US"/>
        </w:rPr>
        <w:t>p</w:t>
      </w:r>
      <w:r w:rsidRPr="000D3528">
        <w:rPr>
          <w:rFonts w:cstheme="minorHAnsi"/>
          <w:lang w:eastAsia="en-US"/>
        </w:rPr>
        <w:t xml:space="preserve">rogramu 11708 </w:t>
      </w:r>
      <w:r>
        <w:rPr>
          <w:rFonts w:cstheme="minorHAnsi"/>
          <w:lang w:eastAsia="en-US"/>
        </w:rPr>
        <w:t xml:space="preserve">bylo </w:t>
      </w:r>
      <w:r w:rsidRPr="000D3528">
        <w:rPr>
          <w:rFonts w:cstheme="minorHAnsi"/>
          <w:lang w:eastAsia="en-US"/>
        </w:rPr>
        <w:t>uv</w:t>
      </w:r>
      <w:r>
        <w:rPr>
          <w:rFonts w:cstheme="minorHAnsi"/>
          <w:lang w:eastAsia="en-US"/>
        </w:rPr>
        <w:t>edeno</w:t>
      </w:r>
      <w:r w:rsidRPr="000D3528">
        <w:rPr>
          <w:rFonts w:cstheme="minorHAnsi"/>
          <w:lang w:eastAsia="en-US"/>
        </w:rPr>
        <w:t xml:space="preserve">, že program vznikl jako reakce na nutnost </w:t>
      </w:r>
      <w:r w:rsidR="00415221">
        <w:rPr>
          <w:rFonts w:cstheme="minorHAnsi"/>
          <w:lang w:eastAsia="en-US"/>
        </w:rPr>
        <w:t>řešit výrazné</w:t>
      </w:r>
      <w:r w:rsidRPr="000D3528">
        <w:rPr>
          <w:rFonts w:cstheme="minorHAnsi"/>
          <w:lang w:eastAsia="en-US"/>
        </w:rPr>
        <w:t xml:space="preserve"> zvyšování počtu </w:t>
      </w:r>
      <w:r>
        <w:rPr>
          <w:rFonts w:cstheme="minorHAnsi"/>
          <w:lang w:eastAsia="en-US"/>
        </w:rPr>
        <w:t>SVL</w:t>
      </w:r>
      <w:r w:rsidRPr="000D3528">
        <w:rPr>
          <w:rFonts w:cstheme="minorHAnsi"/>
          <w:lang w:eastAsia="en-US"/>
        </w:rPr>
        <w:t>, zejména v Karlovarském, Ústeckém a</w:t>
      </w:r>
      <w:r w:rsidR="006A7A52">
        <w:rPr>
          <w:rFonts w:cstheme="minorHAnsi"/>
          <w:lang w:eastAsia="en-US"/>
        </w:rPr>
        <w:t> </w:t>
      </w:r>
      <w:r w:rsidRPr="000D3528">
        <w:rPr>
          <w:rFonts w:cstheme="minorHAnsi"/>
          <w:lang w:eastAsia="en-US"/>
        </w:rPr>
        <w:t xml:space="preserve">Moravskoslezském kraji. </w:t>
      </w:r>
      <w:r w:rsidR="00CD1CB3">
        <w:rPr>
          <w:rFonts w:cstheme="minorHAnsi"/>
          <w:lang w:eastAsia="en-US"/>
        </w:rPr>
        <w:t xml:space="preserve">V tomto ohledu </w:t>
      </w:r>
      <w:r w:rsidR="006A7A52">
        <w:rPr>
          <w:rFonts w:cstheme="minorHAnsi"/>
          <w:lang w:eastAsia="en-US"/>
        </w:rPr>
        <w:t>p</w:t>
      </w:r>
      <w:r w:rsidR="00CD1CB3" w:rsidRPr="00074D3B">
        <w:rPr>
          <w:rFonts w:cstheme="minorHAnsi"/>
          <w:lang w:eastAsia="en-US"/>
        </w:rPr>
        <w:t>rogram 11708 odkazoval na podkla</w:t>
      </w:r>
      <w:r w:rsidR="00360120">
        <w:rPr>
          <w:rFonts w:cstheme="minorHAnsi"/>
          <w:lang w:eastAsia="en-US"/>
        </w:rPr>
        <w:t>dy dodané Ministerstvem práce a </w:t>
      </w:r>
      <w:r w:rsidR="00CD1CB3" w:rsidRPr="00074D3B">
        <w:rPr>
          <w:rFonts w:cstheme="minorHAnsi"/>
          <w:lang w:eastAsia="en-US"/>
        </w:rPr>
        <w:t xml:space="preserve">sociálních věcí, podle kterých v době přípravy programu </w:t>
      </w:r>
      <w:r w:rsidR="00360120">
        <w:rPr>
          <w:rFonts w:cstheme="minorHAnsi"/>
          <w:lang w:eastAsia="en-US"/>
        </w:rPr>
        <w:t>mělo existovat v 297 obcích 606 </w:t>
      </w:r>
      <w:r w:rsidR="00CD1CB3" w:rsidRPr="00074D3B">
        <w:rPr>
          <w:rFonts w:cstheme="minorHAnsi"/>
          <w:lang w:eastAsia="en-US"/>
        </w:rPr>
        <w:t>SVL.</w:t>
      </w:r>
    </w:p>
    <w:p w14:paraId="518F16F7" w14:textId="77777777" w:rsidR="0092427D" w:rsidRDefault="00EC4C55" w:rsidP="0092427D">
      <w:pPr>
        <w:jc w:val="both"/>
        <w:rPr>
          <w:rFonts w:cstheme="minorHAnsi"/>
          <w:lang w:eastAsia="en-US"/>
        </w:rPr>
      </w:pPr>
      <w:r w:rsidRPr="000D3528">
        <w:rPr>
          <w:rFonts w:cstheme="minorHAnsi"/>
          <w:lang w:eastAsia="en-US"/>
        </w:rPr>
        <w:t xml:space="preserve">Program 11708 měl navazovat na další opatření, např. na opatření v rámci </w:t>
      </w:r>
      <w:r w:rsidRPr="000E1669">
        <w:rPr>
          <w:rFonts w:cstheme="minorHAnsi"/>
          <w:i/>
          <w:lang w:eastAsia="en-US"/>
        </w:rPr>
        <w:t>Integrovaného regionálního operačního programu</w:t>
      </w:r>
      <w:r w:rsidRPr="000D3528">
        <w:rPr>
          <w:rFonts w:cstheme="minorHAnsi"/>
          <w:lang w:eastAsia="en-US"/>
        </w:rPr>
        <w:t xml:space="preserve">, jež </w:t>
      </w:r>
      <w:r>
        <w:rPr>
          <w:rFonts w:cstheme="minorHAnsi"/>
          <w:lang w:eastAsia="en-US"/>
        </w:rPr>
        <w:t>byl</w:t>
      </w:r>
      <w:r w:rsidR="0032424B">
        <w:rPr>
          <w:rFonts w:cstheme="minorHAnsi"/>
          <w:lang w:eastAsia="en-US"/>
        </w:rPr>
        <w:t>a</w:t>
      </w:r>
      <w:r>
        <w:rPr>
          <w:rFonts w:cstheme="minorHAnsi"/>
          <w:lang w:eastAsia="en-US"/>
        </w:rPr>
        <w:t xml:space="preserve"> </w:t>
      </w:r>
      <w:r w:rsidRPr="000D3528">
        <w:rPr>
          <w:rFonts w:cstheme="minorHAnsi"/>
          <w:lang w:eastAsia="en-US"/>
        </w:rPr>
        <w:t>zaměřen</w:t>
      </w:r>
      <w:r w:rsidR="0032424B">
        <w:rPr>
          <w:rFonts w:cstheme="minorHAnsi"/>
          <w:lang w:eastAsia="en-US"/>
        </w:rPr>
        <w:t>a</w:t>
      </w:r>
      <w:r w:rsidRPr="000D3528">
        <w:rPr>
          <w:rFonts w:cstheme="minorHAnsi"/>
          <w:lang w:eastAsia="en-US"/>
        </w:rPr>
        <w:t xml:space="preserve"> na rozvoj sociálního bydlení, přičemž část výdajů </w:t>
      </w:r>
      <w:r>
        <w:rPr>
          <w:rFonts w:cstheme="minorHAnsi"/>
          <w:lang w:eastAsia="en-US"/>
        </w:rPr>
        <w:t>mohla</w:t>
      </w:r>
      <w:r w:rsidRPr="000D3528">
        <w:rPr>
          <w:rFonts w:cstheme="minorHAnsi"/>
          <w:lang w:eastAsia="en-US"/>
        </w:rPr>
        <w:t xml:space="preserve"> být použita i na demolice stávajících budov. </w:t>
      </w:r>
    </w:p>
    <w:p w14:paraId="7970F4BE" w14:textId="77777777" w:rsidR="0068382E" w:rsidRPr="007519A8" w:rsidRDefault="00EC4C55" w:rsidP="0020405C">
      <w:pPr>
        <w:pStyle w:val="Nadpis2"/>
        <w:widowControl w:val="0"/>
      </w:pPr>
      <w:bookmarkStart w:id="11" w:name="_Toc34902460"/>
      <w:bookmarkStart w:id="12" w:name="_Toc35593592"/>
      <w:bookmarkStart w:id="13" w:name="_Toc35595329"/>
      <w:bookmarkStart w:id="14" w:name="_Toc35596885"/>
      <w:bookmarkStart w:id="15" w:name="_Toc35600452"/>
      <w:bookmarkStart w:id="16" w:name="_Toc35605115"/>
      <w:bookmarkStart w:id="17" w:name="_Toc35607621"/>
      <w:bookmarkStart w:id="18" w:name="_Toc35615153"/>
      <w:bookmarkStart w:id="19" w:name="_Toc35615366"/>
      <w:bookmarkStart w:id="20" w:name="_Toc38570433"/>
      <w:r w:rsidRPr="007519A8">
        <w:t xml:space="preserve">Aktualizace programu </w:t>
      </w:r>
      <w:r w:rsidRPr="000E1669">
        <w:rPr>
          <w:i/>
        </w:rPr>
        <w:t>Podpora revitalizace území</w:t>
      </w:r>
      <w:bookmarkEnd w:id="11"/>
      <w:bookmarkEnd w:id="12"/>
      <w:bookmarkEnd w:id="13"/>
      <w:bookmarkEnd w:id="14"/>
      <w:bookmarkEnd w:id="15"/>
      <w:bookmarkEnd w:id="16"/>
      <w:bookmarkEnd w:id="17"/>
      <w:bookmarkEnd w:id="18"/>
      <w:bookmarkEnd w:id="19"/>
      <w:bookmarkEnd w:id="20"/>
    </w:p>
    <w:p w14:paraId="7D6A1641" w14:textId="4DA7D9B0" w:rsidR="002E3D91" w:rsidRPr="003102CC" w:rsidRDefault="00EC4C55" w:rsidP="002E3D91">
      <w:pPr>
        <w:jc w:val="both"/>
        <w:rPr>
          <w:rFonts w:cstheme="minorHAnsi"/>
          <w:lang w:eastAsia="en-US"/>
        </w:rPr>
      </w:pPr>
      <w:r w:rsidRPr="000D3528">
        <w:rPr>
          <w:rFonts w:cstheme="minorHAnsi"/>
          <w:lang w:eastAsia="en-US"/>
        </w:rPr>
        <w:t>MMR předložilo</w:t>
      </w:r>
      <w:r>
        <w:rPr>
          <w:rFonts w:cstheme="minorHAnsi"/>
          <w:lang w:eastAsia="en-US"/>
        </w:rPr>
        <w:t xml:space="preserve"> dne</w:t>
      </w:r>
      <w:r w:rsidRPr="000D3528">
        <w:rPr>
          <w:rFonts w:cstheme="minorHAnsi"/>
          <w:lang w:eastAsia="en-US"/>
        </w:rPr>
        <w:t xml:space="preserve"> 8. 11. 2018 ke schválení změnu </w:t>
      </w:r>
      <w:r w:rsidR="006A7A52">
        <w:rPr>
          <w:rFonts w:cstheme="minorHAnsi"/>
          <w:lang w:eastAsia="en-US"/>
        </w:rPr>
        <w:t>p</w:t>
      </w:r>
      <w:r w:rsidRPr="000D3528">
        <w:rPr>
          <w:rFonts w:cstheme="minorHAnsi"/>
          <w:lang w:eastAsia="en-US"/>
        </w:rPr>
        <w:t xml:space="preserve">rogramu 11708 a </w:t>
      </w:r>
      <w:r w:rsidR="0074151E">
        <w:rPr>
          <w:rFonts w:cstheme="minorHAnsi"/>
          <w:lang w:eastAsia="en-US"/>
        </w:rPr>
        <w:t>Ministerstvo financí</w:t>
      </w:r>
      <w:r w:rsidRPr="000D3528">
        <w:rPr>
          <w:rFonts w:cstheme="minorHAnsi"/>
          <w:lang w:eastAsia="en-US"/>
        </w:rPr>
        <w:t xml:space="preserve"> tuto změnu schválilo dne 12. 11. 2018. Aktualizované znění </w:t>
      </w:r>
      <w:r w:rsidR="006A7A52">
        <w:rPr>
          <w:rFonts w:cstheme="minorHAnsi"/>
          <w:lang w:eastAsia="en-US"/>
        </w:rPr>
        <w:t>p</w:t>
      </w:r>
      <w:r w:rsidRPr="000D3528">
        <w:rPr>
          <w:rFonts w:cstheme="minorHAnsi"/>
          <w:lang w:eastAsia="en-US"/>
        </w:rPr>
        <w:t>rogramu 11708 především dop</w:t>
      </w:r>
      <w:r>
        <w:rPr>
          <w:rFonts w:cstheme="minorHAnsi"/>
          <w:lang w:eastAsia="en-US"/>
        </w:rPr>
        <w:t>lnilo</w:t>
      </w:r>
      <w:r w:rsidRPr="000D3528">
        <w:rPr>
          <w:rFonts w:cstheme="minorHAnsi"/>
          <w:lang w:eastAsia="en-US"/>
        </w:rPr>
        <w:t xml:space="preserve"> další dva podprogramy</w:t>
      </w:r>
      <w:r>
        <w:rPr>
          <w:rStyle w:val="Znakapoznpodarou"/>
          <w:rFonts w:cstheme="minorHAnsi"/>
          <w:lang w:eastAsia="en-US"/>
        </w:rPr>
        <w:footnoteReference w:id="7"/>
      </w:r>
      <w:r>
        <w:rPr>
          <w:rFonts w:cstheme="minorHAnsi"/>
          <w:lang w:eastAsia="en-US"/>
        </w:rPr>
        <w:t>. N</w:t>
      </w:r>
      <w:r w:rsidRPr="003102CC">
        <w:rPr>
          <w:rFonts w:cstheme="minorHAnsi"/>
          <w:lang w:eastAsia="en-US"/>
        </w:rPr>
        <w:t xml:space="preserve">ové podprogramy </w:t>
      </w:r>
      <w:r>
        <w:rPr>
          <w:rFonts w:cstheme="minorHAnsi"/>
          <w:lang w:eastAsia="en-US"/>
        </w:rPr>
        <w:t>byly</w:t>
      </w:r>
      <w:r w:rsidRPr="003102CC">
        <w:rPr>
          <w:rFonts w:cstheme="minorHAnsi"/>
          <w:lang w:eastAsia="en-US"/>
        </w:rPr>
        <w:t xml:space="preserve"> přístupné všem obcím a krajům bez ohledu na existenci SVL v daném území. Tyto podprogramy nebyly předmětem kontroly </w:t>
      </w:r>
      <w:r>
        <w:rPr>
          <w:rFonts w:cstheme="minorHAnsi"/>
          <w:lang w:eastAsia="en-US"/>
        </w:rPr>
        <w:t>NKÚ</w:t>
      </w:r>
      <w:r w:rsidRPr="003102CC">
        <w:rPr>
          <w:rFonts w:cstheme="minorHAnsi"/>
          <w:lang w:eastAsia="en-US"/>
        </w:rPr>
        <w:t>.</w:t>
      </w:r>
    </w:p>
    <w:p w14:paraId="69E4B7EB" w14:textId="0CEFE67A" w:rsidR="0068382E" w:rsidRPr="000D3528" w:rsidRDefault="00EC4C55" w:rsidP="000D3528">
      <w:pPr>
        <w:jc w:val="both"/>
        <w:rPr>
          <w:rFonts w:cstheme="minorHAnsi"/>
          <w:lang w:eastAsia="en-US"/>
        </w:rPr>
      </w:pPr>
      <w:r w:rsidRPr="000D3528">
        <w:rPr>
          <w:rFonts w:cstheme="minorHAnsi"/>
          <w:lang w:eastAsia="en-US"/>
        </w:rPr>
        <w:t xml:space="preserve">Dále došlo k prodloužení realizace </w:t>
      </w:r>
      <w:r w:rsidR="006A7A52">
        <w:rPr>
          <w:rFonts w:cstheme="minorHAnsi"/>
          <w:lang w:eastAsia="en-US"/>
        </w:rPr>
        <w:t>p</w:t>
      </w:r>
      <w:r w:rsidRPr="000D3528">
        <w:rPr>
          <w:rFonts w:cstheme="minorHAnsi"/>
          <w:lang w:eastAsia="en-US"/>
        </w:rPr>
        <w:t xml:space="preserve">rogramu 11708 do konce roku 2023 s datem předložení závěrečného vyhodnocení do konce roku 2025. </w:t>
      </w:r>
    </w:p>
    <w:p w14:paraId="06709967" w14:textId="77777777" w:rsidR="0068382E" w:rsidRPr="000D3528" w:rsidRDefault="00EC4C55" w:rsidP="000D3528">
      <w:pPr>
        <w:jc w:val="both"/>
        <w:rPr>
          <w:rFonts w:cstheme="minorHAnsi"/>
          <w:lang w:eastAsia="en-US"/>
        </w:rPr>
      </w:pPr>
      <w:r w:rsidRPr="000D3528">
        <w:rPr>
          <w:rFonts w:cstheme="minorHAnsi"/>
          <w:lang w:eastAsia="en-US"/>
        </w:rPr>
        <w:t>Současně s rozšířením věcného záměru programu došlo k </w:t>
      </w:r>
      <w:r w:rsidRPr="00914A45">
        <w:rPr>
          <w:rFonts w:cstheme="minorHAnsi"/>
          <w:lang w:eastAsia="en-US"/>
        </w:rPr>
        <w:t>úpravě cíle,</w:t>
      </w:r>
      <w:r w:rsidRPr="000D3528">
        <w:rPr>
          <w:rFonts w:cstheme="minorHAnsi"/>
          <w:lang w:eastAsia="en-US"/>
        </w:rPr>
        <w:t xml:space="preserve"> který </w:t>
      </w:r>
      <w:r w:rsidR="002E3D91">
        <w:rPr>
          <w:rFonts w:cstheme="minorHAnsi"/>
          <w:lang w:eastAsia="en-US"/>
        </w:rPr>
        <w:t>byl</w:t>
      </w:r>
      <w:r w:rsidRPr="000D3528">
        <w:rPr>
          <w:rFonts w:cstheme="minorHAnsi"/>
          <w:lang w:eastAsia="en-US"/>
        </w:rPr>
        <w:t xml:space="preserve"> doplněn o cíl „</w:t>
      </w:r>
      <w:r w:rsidRPr="000D3528">
        <w:rPr>
          <w:rFonts w:cstheme="minorHAnsi"/>
          <w:i/>
          <w:lang w:eastAsia="en-US"/>
        </w:rPr>
        <w:t>připravit území, na němž se nachází objekty či plochy nevyužívané a zanedbané, které lze definovat jako brownfield tak, aby je bylo možné znovu plnohodnotně využít v dalším rozvoji obce, zamezit tak vzniku oblastí se sociální segregací a vytvořit podmínky pro stabilizaci území a zároveň do území přinést nové a potřebné funkce.</w:t>
      </w:r>
      <w:r w:rsidRPr="000D3528">
        <w:rPr>
          <w:rFonts w:cstheme="minorHAnsi"/>
          <w:lang w:eastAsia="en-US"/>
        </w:rPr>
        <w:t>“</w:t>
      </w:r>
    </w:p>
    <w:p w14:paraId="28B9AE88" w14:textId="77777777" w:rsidR="00914A45" w:rsidRPr="00914A45" w:rsidRDefault="00EC4C55" w:rsidP="00914A45">
      <w:pPr>
        <w:jc w:val="both"/>
      </w:pPr>
      <w:r w:rsidRPr="00914A45">
        <w:t xml:space="preserve">Cíl </w:t>
      </w:r>
      <w:r w:rsidR="00031DEF">
        <w:t>p</w:t>
      </w:r>
      <w:r w:rsidRPr="00914A45">
        <w:t>odprogramu byl upraven následovně:</w:t>
      </w:r>
      <w:r w:rsidR="000C54B7">
        <w:t xml:space="preserve"> </w:t>
      </w:r>
      <w:r w:rsidRPr="00914A45">
        <w:t>„</w:t>
      </w:r>
      <w:r w:rsidRPr="000C54B7">
        <w:rPr>
          <w:i/>
        </w:rPr>
        <w:t>Podprogram je zaměřen na podporu demolic budov v obcích s rizikem vzniku sociálně vyloučené lokality. Demolice objektu bude následována celkovou revitalizací prostoru, včetně možné výstavby objektu, který bude sloužit jinému účelu než sociálnímu bydlení. Cílem programu je připravit území tak, aby jej bylo možné znovu plnohodnotně využít v dalším rozvoji obce a zamezit tak vzniku oblastí se sociální segregací</w:t>
      </w:r>
      <w:r w:rsidRPr="00914A45">
        <w:t>.“</w:t>
      </w:r>
    </w:p>
    <w:p w14:paraId="76694E07" w14:textId="77777777" w:rsidR="00914A45" w:rsidRPr="007519A8" w:rsidRDefault="00EC4C55" w:rsidP="00914A45">
      <w:pPr>
        <w:pStyle w:val="KPnormln"/>
        <w:ind w:firstLine="0"/>
      </w:pPr>
      <w:r w:rsidRPr="00914A45">
        <w:t>Příjemcem dotace mohla být obec nebo kraj</w:t>
      </w:r>
      <w:r>
        <w:rPr>
          <w:rStyle w:val="Znakapoznpodarou"/>
        </w:rPr>
        <w:footnoteReference w:id="8"/>
      </w:r>
      <w:r w:rsidRPr="00914A45">
        <w:t>.</w:t>
      </w:r>
    </w:p>
    <w:p w14:paraId="40E34C58" w14:textId="59D45058" w:rsidR="0068382E" w:rsidRPr="000D3528" w:rsidRDefault="00EC4C55" w:rsidP="000D3528">
      <w:pPr>
        <w:jc w:val="both"/>
        <w:rPr>
          <w:rFonts w:cstheme="minorHAnsi"/>
          <w:lang w:eastAsia="en-US"/>
        </w:rPr>
      </w:pPr>
      <w:r w:rsidRPr="008B1D88">
        <w:rPr>
          <w:rFonts w:cstheme="minorHAnsi"/>
          <w:lang w:eastAsia="en-US"/>
        </w:rPr>
        <w:t xml:space="preserve">Aktualizované znění </w:t>
      </w:r>
      <w:r w:rsidR="006A7A52">
        <w:rPr>
          <w:rFonts w:cstheme="minorHAnsi"/>
          <w:lang w:eastAsia="en-US"/>
        </w:rPr>
        <w:t>p</w:t>
      </w:r>
      <w:r w:rsidRPr="008B1D88">
        <w:rPr>
          <w:rFonts w:cstheme="minorHAnsi"/>
          <w:lang w:eastAsia="en-US"/>
        </w:rPr>
        <w:t>rogramu 11708 odkaz</w:t>
      </w:r>
      <w:r w:rsidR="002E3D91" w:rsidRPr="008B1D88">
        <w:rPr>
          <w:rFonts w:cstheme="minorHAnsi"/>
          <w:lang w:eastAsia="en-US"/>
        </w:rPr>
        <w:t>ovalo</w:t>
      </w:r>
      <w:r w:rsidRPr="008B1D88">
        <w:rPr>
          <w:rFonts w:cstheme="minorHAnsi"/>
          <w:lang w:eastAsia="en-US"/>
        </w:rPr>
        <w:t xml:space="preserve"> na </w:t>
      </w:r>
      <w:r w:rsidRPr="000E1669">
        <w:rPr>
          <w:rFonts w:cstheme="minorHAnsi"/>
          <w:i/>
          <w:lang w:eastAsia="en-US"/>
        </w:rPr>
        <w:t>Program hospodářské restrukturalizace Ústeckého, Moravskoslezského a Karlovarského kraje</w:t>
      </w:r>
      <w:r w:rsidRPr="008B1D88">
        <w:rPr>
          <w:rFonts w:cstheme="minorHAnsi"/>
          <w:lang w:eastAsia="en-US"/>
        </w:rPr>
        <w:t xml:space="preserve"> (dále </w:t>
      </w:r>
      <w:r w:rsidR="002E3D91" w:rsidRPr="008B1D88">
        <w:rPr>
          <w:rFonts w:cstheme="minorHAnsi"/>
          <w:lang w:eastAsia="en-US"/>
        </w:rPr>
        <w:t>také</w:t>
      </w:r>
      <w:r w:rsidRPr="008B1D88">
        <w:rPr>
          <w:rFonts w:cstheme="minorHAnsi"/>
          <w:lang w:eastAsia="en-US"/>
        </w:rPr>
        <w:t xml:space="preserve"> „</w:t>
      </w:r>
      <w:r w:rsidR="0000161E">
        <w:rPr>
          <w:rFonts w:cstheme="minorHAnsi"/>
          <w:lang w:eastAsia="en-US"/>
        </w:rPr>
        <w:t>p</w:t>
      </w:r>
      <w:r w:rsidRPr="008B1D88">
        <w:rPr>
          <w:rFonts w:cstheme="minorHAnsi"/>
          <w:lang w:eastAsia="en-US"/>
        </w:rPr>
        <w:t xml:space="preserve">rogram RE:START“). Program RE:START </w:t>
      </w:r>
      <w:r w:rsidR="00087E13" w:rsidRPr="008B1D88">
        <w:rPr>
          <w:rFonts w:cstheme="minorHAnsi"/>
          <w:lang w:eastAsia="en-US"/>
        </w:rPr>
        <w:t>byl</w:t>
      </w:r>
      <w:r w:rsidRPr="008B1D88">
        <w:rPr>
          <w:rFonts w:cstheme="minorHAnsi"/>
          <w:lang w:eastAsia="en-US"/>
        </w:rPr>
        <w:t xml:space="preserve"> založen na vstupní analýze z roku 2016 a jeho základem </w:t>
      </w:r>
      <w:r w:rsidR="00087E13" w:rsidRPr="008B1D88">
        <w:rPr>
          <w:rFonts w:cstheme="minorHAnsi"/>
          <w:lang w:eastAsia="en-US"/>
        </w:rPr>
        <w:t>byl</w:t>
      </w:r>
      <w:r w:rsidRPr="008B1D88">
        <w:rPr>
          <w:rFonts w:cstheme="minorHAnsi"/>
          <w:lang w:eastAsia="en-US"/>
        </w:rPr>
        <w:t xml:space="preserve"> dokument </w:t>
      </w:r>
      <w:r w:rsidRPr="008B1D88">
        <w:rPr>
          <w:i/>
        </w:rPr>
        <w:t>Strategický rámec hospodářské restrukturalizace</w:t>
      </w:r>
      <w:r w:rsidR="007F0356">
        <w:rPr>
          <w:i/>
        </w:rPr>
        <w:t xml:space="preserve"> Ústeckého, Moravskoslezského a </w:t>
      </w:r>
      <w:r w:rsidRPr="008B1D88">
        <w:rPr>
          <w:i/>
        </w:rPr>
        <w:t>Karlovarské</w:t>
      </w:r>
      <w:r w:rsidR="003A2F3E">
        <w:rPr>
          <w:i/>
        </w:rPr>
        <w:t>ho</w:t>
      </w:r>
      <w:r w:rsidRPr="008B1D88">
        <w:rPr>
          <w:i/>
        </w:rPr>
        <w:t xml:space="preserve"> kraje</w:t>
      </w:r>
      <w:r w:rsidRPr="008B1D88">
        <w:rPr>
          <w:rFonts w:cstheme="minorHAnsi"/>
          <w:lang w:eastAsia="en-US"/>
        </w:rPr>
        <w:t>, je</w:t>
      </w:r>
      <w:r w:rsidR="00BA0E2D" w:rsidRPr="008B1D88">
        <w:rPr>
          <w:rFonts w:cstheme="minorHAnsi"/>
          <w:lang w:eastAsia="en-US"/>
        </w:rPr>
        <w:t>n</w:t>
      </w:r>
      <w:r w:rsidRPr="008B1D88">
        <w:rPr>
          <w:rFonts w:cstheme="minorHAnsi"/>
          <w:lang w:eastAsia="en-US"/>
        </w:rPr>
        <w:t>ž schválila vláda ČR usnesením ze dne 9. ledna 2017 č.</w:t>
      </w:r>
      <w:r w:rsidR="00087E13" w:rsidRPr="008B1D88">
        <w:rPr>
          <w:rFonts w:cstheme="minorHAnsi"/>
          <w:lang w:eastAsia="en-US"/>
        </w:rPr>
        <w:t> </w:t>
      </w:r>
      <w:r w:rsidRPr="008B1D88">
        <w:rPr>
          <w:rFonts w:cstheme="minorHAnsi"/>
          <w:lang w:eastAsia="en-US"/>
        </w:rPr>
        <w:t>3, a navazující souhrnné akční plány.</w:t>
      </w:r>
      <w:r w:rsidRPr="000D3528">
        <w:rPr>
          <w:rFonts w:cstheme="minorHAnsi"/>
          <w:lang w:eastAsia="en-US"/>
        </w:rPr>
        <w:t xml:space="preserve"> </w:t>
      </w:r>
    </w:p>
    <w:p w14:paraId="6AF491BA" w14:textId="77777777" w:rsidR="0068382E" w:rsidRPr="007519A8" w:rsidRDefault="00EC4C55" w:rsidP="0068382E">
      <w:pPr>
        <w:pStyle w:val="Nadpis2"/>
      </w:pPr>
      <w:bookmarkStart w:id="21" w:name="_Toc34902463"/>
      <w:bookmarkStart w:id="22" w:name="_Toc35593595"/>
      <w:bookmarkStart w:id="23" w:name="_Toc35595332"/>
      <w:bookmarkStart w:id="24" w:name="_Toc35596888"/>
      <w:bookmarkStart w:id="25" w:name="_Toc35600455"/>
      <w:bookmarkStart w:id="26" w:name="_Toc35605118"/>
      <w:bookmarkStart w:id="27" w:name="_Toc35607624"/>
      <w:bookmarkStart w:id="28" w:name="_Toc35615156"/>
      <w:bookmarkStart w:id="29" w:name="_Toc35615369"/>
      <w:bookmarkStart w:id="30" w:name="_Toc38570436"/>
      <w:r w:rsidRPr="007519A8">
        <w:t xml:space="preserve">Zajištění realizace </w:t>
      </w:r>
      <w:r w:rsidR="00031DEF">
        <w:t>p</w:t>
      </w:r>
      <w:r w:rsidRPr="007519A8">
        <w:t>odprogramu</w:t>
      </w:r>
      <w:bookmarkEnd w:id="21"/>
      <w:bookmarkEnd w:id="22"/>
      <w:bookmarkEnd w:id="23"/>
      <w:bookmarkEnd w:id="24"/>
      <w:bookmarkEnd w:id="25"/>
      <w:bookmarkEnd w:id="26"/>
      <w:bookmarkEnd w:id="27"/>
      <w:bookmarkEnd w:id="28"/>
      <w:bookmarkEnd w:id="29"/>
      <w:bookmarkEnd w:id="30"/>
    </w:p>
    <w:p w14:paraId="43876A88" w14:textId="0EF14AA0" w:rsidR="0068382E" w:rsidRPr="000D3528" w:rsidRDefault="00EC4C55" w:rsidP="000D3528">
      <w:pPr>
        <w:jc w:val="both"/>
        <w:rPr>
          <w:rFonts w:cstheme="minorHAnsi"/>
          <w:lang w:eastAsia="en-US"/>
        </w:rPr>
      </w:pPr>
      <w:r w:rsidRPr="000D3528">
        <w:rPr>
          <w:rFonts w:cstheme="minorHAnsi"/>
          <w:lang w:eastAsia="en-US"/>
        </w:rPr>
        <w:t xml:space="preserve">Podprogram </w:t>
      </w:r>
      <w:r w:rsidR="003951FC">
        <w:rPr>
          <w:rFonts w:cstheme="minorHAnsi"/>
          <w:lang w:eastAsia="en-US"/>
        </w:rPr>
        <w:t>byl</w:t>
      </w:r>
      <w:r w:rsidRPr="000D3528">
        <w:rPr>
          <w:rFonts w:cstheme="minorHAnsi"/>
          <w:lang w:eastAsia="en-US"/>
        </w:rPr>
        <w:t xml:space="preserve"> realizován prostřednictvím ročních výzev. MMR k datu kontroly NKÚ vyhlásilo výzvy na roky 2016, 2017, 2018, 2019 a 2020. Dokumentace každé z výzev obsah</w:t>
      </w:r>
      <w:r w:rsidR="003951FC">
        <w:rPr>
          <w:rFonts w:cstheme="minorHAnsi"/>
          <w:lang w:eastAsia="en-US"/>
        </w:rPr>
        <w:t>ovala</w:t>
      </w:r>
      <w:r w:rsidRPr="000D3528">
        <w:rPr>
          <w:rFonts w:cstheme="minorHAnsi"/>
          <w:lang w:eastAsia="en-US"/>
        </w:rPr>
        <w:t xml:space="preserve"> mj. </w:t>
      </w:r>
      <w:r w:rsidR="0088743D">
        <w:rPr>
          <w:rFonts w:cstheme="minorHAnsi"/>
          <w:i/>
          <w:lang w:eastAsia="en-US"/>
        </w:rPr>
        <w:t>z</w:t>
      </w:r>
      <w:r w:rsidRPr="00023B19">
        <w:rPr>
          <w:rFonts w:cstheme="minorHAnsi"/>
          <w:i/>
          <w:lang w:eastAsia="en-US"/>
        </w:rPr>
        <w:t>ásady podprogramu pro poskytování dotací</w:t>
      </w:r>
      <w:r w:rsidR="0088743D">
        <w:rPr>
          <w:rFonts w:cstheme="minorHAnsi"/>
          <w:i/>
          <w:lang w:eastAsia="en-US"/>
        </w:rPr>
        <w:t xml:space="preserve"> </w:t>
      </w:r>
      <w:r w:rsidR="0088743D">
        <w:rPr>
          <w:rFonts w:cstheme="minorHAnsi"/>
          <w:lang w:eastAsia="en-US"/>
        </w:rPr>
        <w:t>(dále také „zásady“)</w:t>
      </w:r>
      <w:r w:rsidR="00023B19" w:rsidRPr="0088743D">
        <w:rPr>
          <w:rFonts w:cstheme="minorHAnsi"/>
          <w:lang w:eastAsia="en-US"/>
        </w:rPr>
        <w:t>,</w:t>
      </w:r>
      <w:r w:rsidRPr="000D3528">
        <w:rPr>
          <w:rFonts w:cstheme="minorHAnsi"/>
          <w:lang w:eastAsia="en-US"/>
        </w:rPr>
        <w:t xml:space="preserve"> </w:t>
      </w:r>
      <w:r w:rsidR="0088743D">
        <w:rPr>
          <w:rFonts w:cstheme="minorHAnsi"/>
          <w:lang w:eastAsia="en-US"/>
        </w:rPr>
        <w:t>kde byly obsaženy</w:t>
      </w:r>
      <w:r w:rsidRPr="000D3528">
        <w:rPr>
          <w:rFonts w:cstheme="minorHAnsi"/>
          <w:lang w:eastAsia="en-US"/>
        </w:rPr>
        <w:t xml:space="preserve"> podmínky pro poskytnutí dotace a odkaz na ně je i součástí rozhodnutí o poskytnutí dotace </w:t>
      </w:r>
    </w:p>
    <w:p w14:paraId="3D0EB4DB" w14:textId="77777777" w:rsidR="0068382E" w:rsidRDefault="00EC4C55" w:rsidP="000D3528">
      <w:pPr>
        <w:jc w:val="both"/>
        <w:rPr>
          <w:rFonts w:cstheme="minorHAnsi"/>
          <w:lang w:eastAsia="en-US"/>
        </w:rPr>
      </w:pPr>
      <w:r>
        <w:rPr>
          <w:rFonts w:cstheme="minorHAnsi"/>
          <w:lang w:eastAsia="en-US"/>
        </w:rPr>
        <w:t xml:space="preserve">K datu </w:t>
      </w:r>
      <w:r w:rsidRPr="003102CC">
        <w:rPr>
          <w:rFonts w:cstheme="minorHAnsi"/>
          <w:lang w:eastAsia="en-US"/>
        </w:rPr>
        <w:t xml:space="preserve">25. 2. 2020 </w:t>
      </w:r>
      <w:r>
        <w:rPr>
          <w:rFonts w:cstheme="minorHAnsi"/>
          <w:lang w:eastAsia="en-US"/>
        </w:rPr>
        <w:t>(</w:t>
      </w:r>
      <w:r w:rsidRPr="000D3528">
        <w:rPr>
          <w:rFonts w:cstheme="minorHAnsi"/>
          <w:lang w:eastAsia="en-US"/>
        </w:rPr>
        <w:t>ukončení kontroly NKÚ</w:t>
      </w:r>
      <w:r>
        <w:rPr>
          <w:rFonts w:cstheme="minorHAnsi"/>
          <w:lang w:eastAsia="en-US"/>
        </w:rPr>
        <w:t>)</w:t>
      </w:r>
      <w:r w:rsidRPr="000D3528">
        <w:rPr>
          <w:rFonts w:cstheme="minorHAnsi"/>
          <w:lang w:eastAsia="en-US"/>
        </w:rPr>
        <w:t xml:space="preserve"> MMR vyplatilo z </w:t>
      </w:r>
      <w:r w:rsidR="00031DEF">
        <w:rPr>
          <w:rFonts w:cstheme="minorHAnsi"/>
          <w:lang w:eastAsia="en-US"/>
        </w:rPr>
        <w:t>p</w:t>
      </w:r>
      <w:r w:rsidRPr="000D3528">
        <w:rPr>
          <w:rFonts w:cstheme="minorHAnsi"/>
          <w:lang w:eastAsia="en-US"/>
        </w:rPr>
        <w:t xml:space="preserve">odprogramu dotace v objemu 143 740 481 Kč na realizaci 111 projektů z let </w:t>
      </w:r>
      <w:r w:rsidR="007F0356">
        <w:rPr>
          <w:rFonts w:cstheme="minorHAnsi"/>
          <w:lang w:eastAsia="en-US"/>
        </w:rPr>
        <w:t>2016–</w:t>
      </w:r>
      <w:r w:rsidRPr="000D3528">
        <w:rPr>
          <w:rFonts w:cstheme="minorHAnsi"/>
          <w:lang w:eastAsia="en-US"/>
        </w:rPr>
        <w:t>2019. V projektech z výzvy na rok 2020 nedošlo</w:t>
      </w:r>
      <w:r w:rsidR="00023B19">
        <w:rPr>
          <w:rFonts w:cstheme="minorHAnsi"/>
          <w:lang w:eastAsia="en-US"/>
        </w:rPr>
        <w:t xml:space="preserve"> </w:t>
      </w:r>
      <w:r w:rsidR="00C05EA0">
        <w:rPr>
          <w:rFonts w:cstheme="minorHAnsi"/>
          <w:lang w:eastAsia="en-US"/>
        </w:rPr>
        <w:t>do doby ukončení kontroly</w:t>
      </w:r>
      <w:r w:rsidR="008B3860">
        <w:rPr>
          <w:rFonts w:cstheme="minorHAnsi"/>
          <w:lang w:eastAsia="en-US"/>
        </w:rPr>
        <w:t xml:space="preserve"> </w:t>
      </w:r>
      <w:r w:rsidRPr="000D3528">
        <w:rPr>
          <w:rFonts w:cstheme="minorHAnsi"/>
          <w:lang w:eastAsia="en-US"/>
        </w:rPr>
        <w:t xml:space="preserve">k čerpání.    </w:t>
      </w:r>
    </w:p>
    <w:p w14:paraId="783CFA0A" w14:textId="77777777" w:rsidR="002457BA" w:rsidRDefault="002457BA" w:rsidP="002457BA">
      <w:pPr>
        <w:spacing w:after="0"/>
        <w:jc w:val="both"/>
        <w:rPr>
          <w:rFonts w:cstheme="minorHAnsi"/>
          <w:lang w:eastAsia="en-US"/>
        </w:rPr>
      </w:pPr>
    </w:p>
    <w:p w14:paraId="56515295" w14:textId="77777777" w:rsidR="002457BA" w:rsidRPr="000D3528" w:rsidRDefault="002457BA" w:rsidP="002457BA">
      <w:pPr>
        <w:spacing w:after="0"/>
        <w:jc w:val="both"/>
        <w:rPr>
          <w:rFonts w:cstheme="minorHAnsi"/>
          <w:lang w:eastAsia="en-US"/>
        </w:rPr>
      </w:pPr>
    </w:p>
    <w:p w14:paraId="08DA0F33" w14:textId="77777777" w:rsidR="00462F78" w:rsidRPr="003D1C56" w:rsidRDefault="00EC4C55" w:rsidP="002457BA">
      <w:pPr>
        <w:pStyle w:val="Nadpis1"/>
        <w:spacing w:before="0"/>
        <w:jc w:val="center"/>
      </w:pPr>
      <w:r w:rsidRPr="003D1C56">
        <w:t>III. Rozsah kontroly</w:t>
      </w:r>
    </w:p>
    <w:p w14:paraId="3085CEAD" w14:textId="77777777" w:rsidR="00F448C6" w:rsidRDefault="00EC4C55" w:rsidP="0000161E">
      <w:pPr>
        <w:jc w:val="both"/>
        <w:rPr>
          <w:rFonts w:cstheme="minorHAnsi"/>
          <w:lang w:eastAsia="en-US"/>
        </w:rPr>
      </w:pPr>
      <w:r w:rsidRPr="003D1C56">
        <w:rPr>
          <w:rFonts w:cstheme="minorHAnsi"/>
          <w:lang w:eastAsia="en-US"/>
        </w:rPr>
        <w:t xml:space="preserve">Kontrolní akcí </w:t>
      </w:r>
      <w:r w:rsidR="000D6413" w:rsidRPr="003D1C56">
        <w:rPr>
          <w:rFonts w:cstheme="minorHAnsi"/>
          <w:lang w:eastAsia="en-US"/>
        </w:rPr>
        <w:t>č.</w:t>
      </w:r>
      <w:r w:rsidR="008F6A57">
        <w:rPr>
          <w:rFonts w:cstheme="minorHAnsi"/>
          <w:lang w:eastAsia="en-US"/>
        </w:rPr>
        <w:t> 19</w:t>
      </w:r>
      <w:r w:rsidRPr="003D1C56">
        <w:rPr>
          <w:rFonts w:cstheme="minorHAnsi"/>
          <w:lang w:eastAsia="en-US"/>
        </w:rPr>
        <w:t>/</w:t>
      </w:r>
      <w:r w:rsidR="008F6A57">
        <w:rPr>
          <w:rFonts w:cstheme="minorHAnsi"/>
          <w:lang w:eastAsia="en-US"/>
        </w:rPr>
        <w:t>22</w:t>
      </w:r>
      <w:r w:rsidRPr="003D1C56">
        <w:rPr>
          <w:rFonts w:cstheme="minorHAnsi"/>
          <w:lang w:eastAsia="en-US"/>
        </w:rPr>
        <w:t xml:space="preserve"> bylo prověřeno, </w:t>
      </w:r>
      <w:r w:rsidR="008F6A57" w:rsidRPr="008170F1">
        <w:rPr>
          <w:rFonts w:cstheme="minorHAnsi"/>
          <w:lang w:eastAsia="en-US"/>
        </w:rPr>
        <w:t>zda jsou peněžní prostředky z kapitoly státního rozpočtu Ministerstvo pro místní rozvoj určené na demolice v sociálně vyloučených lokalitách poskytovány a používány účelně a hospodárně a v souladu s právními předpisy</w:t>
      </w:r>
      <w:r w:rsidR="008F6A57">
        <w:rPr>
          <w:rFonts w:cstheme="minorHAnsi"/>
          <w:lang w:eastAsia="en-US"/>
        </w:rPr>
        <w:t>.</w:t>
      </w:r>
    </w:p>
    <w:p w14:paraId="185690B3" w14:textId="77777777" w:rsidR="009E130F" w:rsidRPr="00F050EF" w:rsidRDefault="00A84BDE" w:rsidP="0000161E">
      <w:pPr>
        <w:jc w:val="both"/>
        <w:rPr>
          <w:rFonts w:cstheme="minorHAnsi"/>
          <w:lang w:eastAsia="en-US"/>
        </w:rPr>
      </w:pPr>
      <w:r>
        <w:t>Při kontrole účelnosti NKÚ posuzoval, jak vynaložené prostředky</w:t>
      </w:r>
      <w:r w:rsidRPr="00F050EF">
        <w:rPr>
          <w:rFonts w:cstheme="minorHAnsi"/>
          <w:lang w:eastAsia="en-US"/>
        </w:rPr>
        <w:t xml:space="preserve"> </w:t>
      </w:r>
      <w:r w:rsidR="00EC4C55" w:rsidRPr="00F050EF">
        <w:rPr>
          <w:rFonts w:cstheme="minorHAnsi"/>
          <w:lang w:eastAsia="en-US"/>
        </w:rPr>
        <w:t>přispěly k dosahov</w:t>
      </w:r>
      <w:r w:rsidR="00940FC2" w:rsidRPr="00F050EF">
        <w:rPr>
          <w:rFonts w:cstheme="minorHAnsi"/>
          <w:lang w:eastAsia="en-US"/>
        </w:rPr>
        <w:t>á</w:t>
      </w:r>
      <w:r w:rsidR="00EC4C55" w:rsidRPr="00F050EF">
        <w:rPr>
          <w:rFonts w:cstheme="minorHAnsi"/>
          <w:lang w:eastAsia="en-US"/>
        </w:rPr>
        <w:t xml:space="preserve">ní stanovených cílů a dalších parametrů určených poskytovatelem podpory. Kritériem </w:t>
      </w:r>
      <w:r w:rsidR="00957BDD">
        <w:rPr>
          <w:rFonts w:cstheme="minorHAnsi"/>
          <w:lang w:eastAsia="en-US"/>
        </w:rPr>
        <w:t xml:space="preserve">pro posouzení </w:t>
      </w:r>
      <w:r w:rsidR="00EC4C55" w:rsidRPr="00F050EF">
        <w:rPr>
          <w:rFonts w:cstheme="minorHAnsi"/>
          <w:lang w:eastAsia="en-US"/>
        </w:rPr>
        <w:t>hospodárnosti bylo především dodržení podmínek pro výběr dodavatelů.</w:t>
      </w:r>
    </w:p>
    <w:p w14:paraId="4BF9F24D" w14:textId="77777777" w:rsidR="00487B6C" w:rsidRPr="003D1C56" w:rsidRDefault="00EC4C55" w:rsidP="0000161E">
      <w:pPr>
        <w:pStyle w:val="Zkladntextodsazen"/>
        <w:ind w:left="0"/>
        <w:jc w:val="both"/>
        <w:rPr>
          <w:rFonts w:ascii="Calibri" w:hAnsi="Calibri" w:cs="Calibri"/>
        </w:rPr>
      </w:pPr>
      <w:r w:rsidRPr="008F6A57">
        <w:rPr>
          <w:rFonts w:ascii="Calibri" w:hAnsi="Calibri" w:cs="Calibri"/>
        </w:rPr>
        <w:t>Kontrolováno bylo období od roku 20</w:t>
      </w:r>
      <w:r w:rsidR="008F6A57" w:rsidRPr="008F6A57">
        <w:rPr>
          <w:rFonts w:ascii="Calibri" w:hAnsi="Calibri" w:cs="Calibri"/>
        </w:rPr>
        <w:t>16</w:t>
      </w:r>
      <w:r w:rsidRPr="008F6A57">
        <w:rPr>
          <w:rFonts w:ascii="Calibri" w:hAnsi="Calibri" w:cs="Calibri"/>
        </w:rPr>
        <w:t xml:space="preserve"> do roku 201</w:t>
      </w:r>
      <w:r w:rsidR="008F6A57" w:rsidRPr="008F6A57">
        <w:rPr>
          <w:rFonts w:ascii="Calibri" w:hAnsi="Calibri" w:cs="Calibri"/>
        </w:rPr>
        <w:t>9</w:t>
      </w:r>
      <w:r w:rsidRPr="008F6A57">
        <w:rPr>
          <w:rFonts w:ascii="Calibri" w:hAnsi="Calibri" w:cs="Calibri"/>
        </w:rPr>
        <w:t xml:space="preserve">, v případě věcných souvislostí i období předcházející a následující. </w:t>
      </w:r>
    </w:p>
    <w:p w14:paraId="4ED1548E" w14:textId="77777777" w:rsidR="00487B6C" w:rsidRPr="003D1C56" w:rsidRDefault="00EC4C55" w:rsidP="00DC0F14">
      <w:pPr>
        <w:spacing w:before="240" w:after="0"/>
        <w:jc w:val="both"/>
      </w:pPr>
      <w:r w:rsidRPr="003D1C56">
        <w:t>Nejvyšší kontrolní úřad prověřil:</w:t>
      </w:r>
    </w:p>
    <w:p w14:paraId="4FA5AA98" w14:textId="77777777" w:rsidR="00487B6C" w:rsidRPr="00F050EF" w:rsidRDefault="00EC4C55" w:rsidP="00DC0F14">
      <w:pPr>
        <w:pStyle w:val="Odstavecseseznamem"/>
        <w:numPr>
          <w:ilvl w:val="0"/>
          <w:numId w:val="2"/>
        </w:numPr>
        <w:spacing w:after="0"/>
        <w:jc w:val="both"/>
      </w:pPr>
      <w:r w:rsidRPr="00F050EF">
        <w:t xml:space="preserve">Plnění povinností MMR jakožto správce podprogramu 117D081 – </w:t>
      </w:r>
      <w:r w:rsidRPr="00450D1D">
        <w:rPr>
          <w:i/>
        </w:rPr>
        <w:t xml:space="preserve">Demolice budov </w:t>
      </w:r>
      <w:r w:rsidR="00D60999">
        <w:rPr>
          <w:i/>
        </w:rPr>
        <w:t>v </w:t>
      </w:r>
      <w:r w:rsidRPr="00450D1D">
        <w:rPr>
          <w:i/>
        </w:rPr>
        <w:t>sociálně vyloučených lokalitách</w:t>
      </w:r>
      <w:r w:rsidRPr="00F050EF">
        <w:t xml:space="preserve">, zejména přípravu </w:t>
      </w:r>
      <w:r w:rsidR="00031DEF">
        <w:t>p</w:t>
      </w:r>
      <w:r w:rsidRPr="00F050EF">
        <w:t>odprogramu, výběr a schvalování projektů, proplácení dotací a jejich kontroly.</w:t>
      </w:r>
    </w:p>
    <w:p w14:paraId="218E6F59" w14:textId="20AC6CB2" w:rsidR="00B95E97" w:rsidRPr="00F050EF" w:rsidRDefault="00EC4C55" w:rsidP="00776C7F">
      <w:pPr>
        <w:pStyle w:val="Odstavecseseznamem"/>
        <w:numPr>
          <w:ilvl w:val="0"/>
          <w:numId w:val="2"/>
        </w:numPr>
        <w:jc w:val="both"/>
      </w:pPr>
      <w:r w:rsidRPr="00F050EF">
        <w:t>23 projektů</w:t>
      </w:r>
      <w:r w:rsidR="00CD2800" w:rsidRPr="00F050EF">
        <w:t>, na jejichž realizaci poskytlo</w:t>
      </w:r>
      <w:r w:rsidR="002C6790" w:rsidRPr="00F050EF">
        <w:t xml:space="preserve"> MMR </w:t>
      </w:r>
      <w:r w:rsidR="008C7305" w:rsidRPr="00F050EF">
        <w:t xml:space="preserve">dotaci </w:t>
      </w:r>
      <w:r w:rsidR="002C6790" w:rsidRPr="00F050EF">
        <w:t>celkem</w:t>
      </w:r>
      <w:r w:rsidR="0088743D">
        <w:rPr>
          <w:rFonts w:ascii="Calibri" w:hAnsi="Calibri" w:cs="Calibri"/>
          <w:color w:val="000000"/>
        </w:rPr>
        <w:t xml:space="preserve"> </w:t>
      </w:r>
      <w:r w:rsidR="00776C7F" w:rsidRPr="00F050EF">
        <w:rPr>
          <w:rFonts w:ascii="Calibri" w:hAnsi="Calibri" w:cs="Calibri"/>
          <w:color w:val="000000"/>
        </w:rPr>
        <w:t>46 641 005</w:t>
      </w:r>
      <w:r w:rsidRPr="00F050EF">
        <w:rPr>
          <w:rFonts w:ascii="Calibri" w:hAnsi="Calibri" w:cs="Calibri"/>
          <w:color w:val="000000"/>
        </w:rPr>
        <w:t xml:space="preserve"> </w:t>
      </w:r>
      <w:r w:rsidR="00487B6C" w:rsidRPr="00F050EF">
        <w:t xml:space="preserve">Kč. </w:t>
      </w:r>
      <w:r w:rsidR="00776C7F" w:rsidRPr="00F050EF">
        <w:t xml:space="preserve">Přehled kontrolovaných projektů obsahuje příloha č. 1 </w:t>
      </w:r>
      <w:r w:rsidR="0088743D">
        <w:t xml:space="preserve">tohoto </w:t>
      </w:r>
      <w:r w:rsidR="00776C7F" w:rsidRPr="00F050EF">
        <w:t>kontrolního závěru.</w:t>
      </w:r>
      <w:r w:rsidR="008C7305" w:rsidRPr="00F050EF">
        <w:t xml:space="preserve"> Kontrolovaný objem prostředků představoval cca </w:t>
      </w:r>
      <w:r w:rsidR="00172113">
        <w:t>32</w:t>
      </w:r>
      <w:r w:rsidR="008C7305" w:rsidRPr="00F050EF">
        <w:t xml:space="preserve"> % z celkového objemu dotace, kter</w:t>
      </w:r>
      <w:r w:rsidR="00790A30">
        <w:t>ou</w:t>
      </w:r>
      <w:r w:rsidR="008C7305" w:rsidRPr="00F050EF">
        <w:t xml:space="preserve"> MMR </w:t>
      </w:r>
      <w:r w:rsidR="00910916">
        <w:t>do</w:t>
      </w:r>
      <w:r w:rsidR="00172113">
        <w:t xml:space="preserve"> 25. 2</w:t>
      </w:r>
      <w:r w:rsidR="00625B48">
        <w:t>.</w:t>
      </w:r>
      <w:r w:rsidR="00172113">
        <w:t> </w:t>
      </w:r>
      <w:r w:rsidR="008C7305" w:rsidRPr="00F050EF">
        <w:t>20</w:t>
      </w:r>
      <w:r w:rsidR="00172113">
        <w:t>20</w:t>
      </w:r>
      <w:r w:rsidR="008C7305" w:rsidRPr="00F050EF">
        <w:t xml:space="preserve"> vyplatilo</w:t>
      </w:r>
      <w:r>
        <w:rPr>
          <w:rStyle w:val="Znakapoznpodarou"/>
        </w:rPr>
        <w:footnoteReference w:id="9"/>
      </w:r>
      <w:r w:rsidR="008C7305" w:rsidRPr="00F050EF">
        <w:t>.</w:t>
      </w:r>
    </w:p>
    <w:p w14:paraId="705272E9" w14:textId="77777777" w:rsidR="00E77357" w:rsidRDefault="00EC4C55" w:rsidP="00964890">
      <w:pPr>
        <w:spacing w:before="240"/>
        <w:jc w:val="both"/>
      </w:pPr>
      <w:r w:rsidRPr="00F050EF">
        <w:t xml:space="preserve">Vzorek kontrolovaných projektů </w:t>
      </w:r>
      <w:r w:rsidR="005A78E3" w:rsidRPr="00F050EF">
        <w:t xml:space="preserve">vybral NKÚ </w:t>
      </w:r>
      <w:r w:rsidR="00ED0C0E" w:rsidRPr="00F050EF">
        <w:t>s ohledem na fázi realizac</w:t>
      </w:r>
      <w:r w:rsidR="00F050EF" w:rsidRPr="00F050EF">
        <w:t>e</w:t>
      </w:r>
      <w:r w:rsidR="00ED0C0E" w:rsidRPr="00F050EF">
        <w:t xml:space="preserve"> projektu,</w:t>
      </w:r>
      <w:r w:rsidR="00F050EF" w:rsidRPr="00F050EF">
        <w:t xml:space="preserve"> nalezená rizika,</w:t>
      </w:r>
      <w:r w:rsidR="00ED0C0E" w:rsidRPr="00F050EF">
        <w:t xml:space="preserve"> </w:t>
      </w:r>
      <w:r w:rsidR="00F050EF" w:rsidRPr="00F050EF">
        <w:t>objem poskytnuté dotace a místo realizace</w:t>
      </w:r>
      <w:r w:rsidR="00E909DD">
        <w:t xml:space="preserve"> projektu</w:t>
      </w:r>
      <w:r w:rsidR="00F050EF" w:rsidRPr="00F050EF">
        <w:t>.</w:t>
      </w:r>
      <w:r w:rsidR="00F34984">
        <w:t xml:space="preserve"> </w:t>
      </w:r>
      <w:r w:rsidRPr="00F050EF">
        <w:t xml:space="preserve">Kontrola </w:t>
      </w:r>
      <w:r w:rsidR="00E061D6" w:rsidRPr="00F050EF">
        <w:t xml:space="preserve">se u </w:t>
      </w:r>
      <w:r w:rsidRPr="00F050EF">
        <w:t>projektů zaměřila na</w:t>
      </w:r>
      <w:r w:rsidR="00FC134F" w:rsidRPr="00F050EF">
        <w:t xml:space="preserve"> účelné a hospodárné použití dotace a soulad s právními předpisy</w:t>
      </w:r>
      <w:r w:rsidR="00ED0C0E" w:rsidRPr="00F050EF">
        <w:t xml:space="preserve"> a dalšími podmínkami stanovenými v rozhodnutí o poskytnutí dotace.</w:t>
      </w:r>
    </w:p>
    <w:p w14:paraId="260F3CB9" w14:textId="77777777" w:rsidR="00EC4C55" w:rsidRDefault="00EC4C55" w:rsidP="00EC4C55">
      <w:pPr>
        <w:ind w:left="993" w:hanging="993"/>
        <w:jc w:val="both"/>
        <w:rPr>
          <w:sz w:val="20"/>
          <w:szCs w:val="20"/>
        </w:rPr>
      </w:pPr>
      <w:r w:rsidRPr="00F12021">
        <w:rPr>
          <w:b/>
          <w:sz w:val="20"/>
          <w:szCs w:val="20"/>
        </w:rPr>
        <w:t>Poznámka:</w:t>
      </w:r>
      <w:r w:rsidRPr="00F12021">
        <w:rPr>
          <w:sz w:val="20"/>
          <w:szCs w:val="20"/>
        </w:rPr>
        <w:t xml:space="preserve"> </w:t>
      </w:r>
      <w:r>
        <w:rPr>
          <w:sz w:val="20"/>
          <w:szCs w:val="20"/>
        </w:rPr>
        <w:tab/>
      </w:r>
      <w:r w:rsidRPr="00F12021">
        <w:rPr>
          <w:sz w:val="20"/>
          <w:szCs w:val="20"/>
        </w:rPr>
        <w:t>Právní předpisy uvedené v tomto kontrolním závěru jsou aplikovány ve znění účinném pro kontrolované období.</w:t>
      </w:r>
    </w:p>
    <w:p w14:paraId="31994439" w14:textId="77777777" w:rsidR="000E1282" w:rsidRDefault="000E1282" w:rsidP="002457BA">
      <w:pPr>
        <w:spacing w:after="0"/>
        <w:ind w:left="992" w:hanging="992"/>
        <w:jc w:val="both"/>
      </w:pPr>
    </w:p>
    <w:p w14:paraId="5FDB0F54" w14:textId="77777777" w:rsidR="000E1282" w:rsidRPr="003D1C56" w:rsidRDefault="000E1282" w:rsidP="002457BA">
      <w:pPr>
        <w:spacing w:after="0"/>
        <w:ind w:left="992" w:hanging="992"/>
        <w:jc w:val="both"/>
      </w:pPr>
    </w:p>
    <w:p w14:paraId="71E7F470" w14:textId="77777777" w:rsidR="00264646" w:rsidRPr="003D1C56" w:rsidRDefault="00EC4C55" w:rsidP="002457BA">
      <w:pPr>
        <w:pStyle w:val="Nadpis1"/>
        <w:spacing w:before="0"/>
        <w:jc w:val="center"/>
      </w:pPr>
      <w:r w:rsidRPr="003D1C56">
        <w:t>IV. Podrobn</w:t>
      </w:r>
      <w:r w:rsidR="00F82FB5" w:rsidRPr="003D1C56">
        <w:t>osti</w:t>
      </w:r>
      <w:r w:rsidRPr="003D1C56">
        <w:t xml:space="preserve"> </w:t>
      </w:r>
      <w:r w:rsidR="00F82FB5" w:rsidRPr="003D1C56">
        <w:t xml:space="preserve">ke zjištěným </w:t>
      </w:r>
      <w:r w:rsidRPr="003D1C56">
        <w:t>skutečnost</w:t>
      </w:r>
      <w:r w:rsidR="00F82FB5" w:rsidRPr="003D1C56">
        <w:t>em</w:t>
      </w:r>
    </w:p>
    <w:p w14:paraId="6A994E3E" w14:textId="77777777" w:rsidR="00FB1CD1" w:rsidRDefault="008130F6" w:rsidP="008130F6">
      <w:pPr>
        <w:pStyle w:val="Nadpis2"/>
        <w:jc w:val="both"/>
      </w:pPr>
      <w:r>
        <w:t>1.</w:t>
      </w:r>
      <w:r w:rsidR="00EC4C55" w:rsidRPr="00A13694">
        <w:t xml:space="preserve"> Nastavení podprogramu a sledování jeho cílů</w:t>
      </w:r>
    </w:p>
    <w:p w14:paraId="165B8D8C" w14:textId="0E8ABBAB" w:rsidR="004F59B7" w:rsidRDefault="00EC4C55" w:rsidP="000C06E0">
      <w:pPr>
        <w:jc w:val="both"/>
      </w:pPr>
      <w:r>
        <w:t>P</w:t>
      </w:r>
      <w:r w:rsidR="000C06E0">
        <w:t>rogram</w:t>
      </w:r>
      <w:r>
        <w:t xml:space="preserve"> 11708 vznikl</w:t>
      </w:r>
      <w:r w:rsidR="000C06E0">
        <w:t xml:space="preserve"> jako reakce na nutnost </w:t>
      </w:r>
      <w:r w:rsidR="00415221">
        <w:t>řešit výrazné</w:t>
      </w:r>
      <w:r w:rsidR="000C06E0">
        <w:t xml:space="preserve"> zvyšování počtu sociálně vyloučených lokalit, zejména v Karlovarském, Ústeckém a Moravskoslezském kraji, a</w:t>
      </w:r>
      <w:r w:rsidR="00415221">
        <w:t> </w:t>
      </w:r>
      <w:r w:rsidR="000C06E0">
        <w:t xml:space="preserve">měl navazovat na další opatření, např. na opatření v rámci </w:t>
      </w:r>
      <w:r w:rsidR="000C06E0" w:rsidRPr="00593269">
        <w:rPr>
          <w:i/>
        </w:rPr>
        <w:t>Integrovaného regionálního operačního programu</w:t>
      </w:r>
      <w:r w:rsidR="000C06E0">
        <w:t xml:space="preserve">, jež jsou zaměřeny na rozvoj sociálního bydlení, </w:t>
      </w:r>
      <w:r w:rsidR="00BD5A82">
        <w:t>z kterého</w:t>
      </w:r>
      <w:r w:rsidR="00275B16">
        <w:t xml:space="preserve"> </w:t>
      </w:r>
      <w:r w:rsidR="000C06E0">
        <w:t>část výdajů může být použita i na demolice stávajících budov. Program 11708 proto předpokládal koordinovaný přístup. Nezbytnost</w:t>
      </w:r>
      <w:r w:rsidR="004137A0">
        <w:t xml:space="preserve"> řešit problematiku prostřednictvím demolic budov ležících přímo </w:t>
      </w:r>
      <w:r w:rsidR="00B5547B">
        <w:t xml:space="preserve">v </w:t>
      </w:r>
      <w:r w:rsidR="004137A0">
        <w:t>SVL</w:t>
      </w:r>
      <w:r w:rsidR="000C06E0">
        <w:t xml:space="preserve"> </w:t>
      </w:r>
      <w:r w:rsidR="004137A0">
        <w:t xml:space="preserve">vyplývá i z názvu podprogramu. </w:t>
      </w:r>
      <w:r w:rsidR="000C06E0" w:rsidRPr="005C7A9E">
        <w:rPr>
          <w:b/>
        </w:rPr>
        <w:t>Dokumentace podprogramu</w:t>
      </w:r>
      <w:r w:rsidR="00C53D4F" w:rsidRPr="005C7A9E">
        <w:rPr>
          <w:b/>
        </w:rPr>
        <w:t xml:space="preserve">, kterou připravilo MMR, </w:t>
      </w:r>
      <w:r w:rsidRPr="005C7A9E">
        <w:rPr>
          <w:b/>
        </w:rPr>
        <w:t>však</w:t>
      </w:r>
      <w:r w:rsidR="000C06E0" w:rsidRPr="005C7A9E">
        <w:rPr>
          <w:b/>
        </w:rPr>
        <w:t xml:space="preserve"> tento záměr </w:t>
      </w:r>
      <w:r w:rsidRPr="005C7A9E">
        <w:rPr>
          <w:b/>
        </w:rPr>
        <w:t xml:space="preserve">plně </w:t>
      </w:r>
      <w:r w:rsidR="000C06E0" w:rsidRPr="005C7A9E">
        <w:rPr>
          <w:b/>
        </w:rPr>
        <w:t>nerespekt</w:t>
      </w:r>
      <w:r w:rsidR="00CC58AE" w:rsidRPr="005C7A9E">
        <w:rPr>
          <w:b/>
        </w:rPr>
        <w:t>ovala</w:t>
      </w:r>
      <w:r w:rsidRPr="005C7A9E">
        <w:rPr>
          <w:b/>
        </w:rPr>
        <w:t>, např</w:t>
      </w:r>
      <w:r w:rsidR="00C53D4F" w:rsidRPr="005C7A9E">
        <w:rPr>
          <w:b/>
        </w:rPr>
        <w:t>.</w:t>
      </w:r>
      <w:r w:rsidRPr="005C7A9E">
        <w:rPr>
          <w:b/>
        </w:rPr>
        <w:t>:</w:t>
      </w:r>
    </w:p>
    <w:p w14:paraId="5151F259" w14:textId="77777777" w:rsidR="000C06E0" w:rsidRDefault="00EC4C55" w:rsidP="00B71E82">
      <w:pPr>
        <w:pStyle w:val="Odstavecseseznamem"/>
        <w:numPr>
          <w:ilvl w:val="0"/>
          <w:numId w:val="57"/>
        </w:numPr>
        <w:jc w:val="both"/>
      </w:pPr>
      <w:r>
        <w:t xml:space="preserve">Cíl podprogramu byl nastaven tak, že </w:t>
      </w:r>
      <w:r w:rsidR="00255B1D">
        <w:t>p</w:t>
      </w:r>
      <w:r w:rsidR="00C53D4F">
        <w:t>rostředky z podprogramu mohla získat obec</w:t>
      </w:r>
      <w:r w:rsidR="00B5547B">
        <w:t xml:space="preserve"> i na demolici objektu, který se nenacházel přímo v SVL.</w:t>
      </w:r>
      <w:r w:rsidR="00C53D4F">
        <w:t xml:space="preserve"> </w:t>
      </w:r>
    </w:p>
    <w:p w14:paraId="4FCB2CE7" w14:textId="77777777" w:rsidR="004F59B7" w:rsidRDefault="00EC4C55" w:rsidP="00B71E82">
      <w:pPr>
        <w:pStyle w:val="Odstavecseseznamem"/>
        <w:numPr>
          <w:ilvl w:val="0"/>
          <w:numId w:val="57"/>
        </w:numPr>
        <w:jc w:val="both"/>
      </w:pPr>
      <w:r>
        <w:t xml:space="preserve">MMR </w:t>
      </w:r>
      <w:r w:rsidR="00B40CC2">
        <w:t>do podmínek</w:t>
      </w:r>
      <w:r>
        <w:t xml:space="preserve"> podprogramu </w:t>
      </w:r>
      <w:r w:rsidR="00B40CC2">
        <w:t>nezahrnulo p</w:t>
      </w:r>
      <w:r w:rsidR="00AA2661">
        <w:t>ovinnost zpracovat</w:t>
      </w:r>
      <w:r>
        <w:t xml:space="preserve"> situační analýzu prokazující</w:t>
      </w:r>
      <w:r w:rsidRPr="00B00DA4">
        <w:t>, že existence nevyhovující nemovitosti má negativní sociální a ekonomické dopady na lokalitu</w:t>
      </w:r>
      <w:r>
        <w:t>.</w:t>
      </w:r>
    </w:p>
    <w:p w14:paraId="40867B53" w14:textId="77777777" w:rsidR="00AA2661" w:rsidRDefault="00EC4C55" w:rsidP="00B71E82">
      <w:pPr>
        <w:pStyle w:val="Odstavecseseznamem"/>
        <w:numPr>
          <w:ilvl w:val="0"/>
          <w:numId w:val="57"/>
        </w:numPr>
        <w:jc w:val="both"/>
      </w:pPr>
      <w:r>
        <w:t>P</w:t>
      </w:r>
      <w:r w:rsidR="0074625D">
        <w:t>odmínky podprogramu</w:t>
      </w:r>
      <w:r w:rsidR="000C06E0" w:rsidRPr="00957DC4">
        <w:t xml:space="preserve"> </w:t>
      </w:r>
      <w:r w:rsidR="004F59B7">
        <w:t>ne</w:t>
      </w:r>
      <w:r>
        <w:t xml:space="preserve">ukládají </w:t>
      </w:r>
      <w:r w:rsidR="0074625D" w:rsidRPr="00957DC4">
        <w:t>příjemc</w:t>
      </w:r>
      <w:r w:rsidR="0074625D">
        <w:t xml:space="preserve">ům </w:t>
      </w:r>
      <w:r>
        <w:t>povinnost</w:t>
      </w:r>
      <w:r w:rsidR="000C06E0" w:rsidRPr="00957DC4">
        <w:t xml:space="preserve">, </w:t>
      </w:r>
      <w:r w:rsidR="000C06E0">
        <w:t>aby</w:t>
      </w:r>
      <w:r>
        <w:t xml:space="preserve"> sledovali a vyhodnocovali</w:t>
      </w:r>
      <w:r w:rsidR="000C06E0">
        <w:t xml:space="preserve"> vliv realizace projektů na řešení problematiky SVL po </w:t>
      </w:r>
      <w:r>
        <w:t>jejich</w:t>
      </w:r>
      <w:r w:rsidR="000C06E0">
        <w:t xml:space="preserve"> ukončení</w:t>
      </w:r>
      <w:r w:rsidR="000C06E0" w:rsidRPr="00957DC4">
        <w:t>.</w:t>
      </w:r>
      <w:r w:rsidR="007676C5">
        <w:t xml:space="preserve"> </w:t>
      </w:r>
    </w:p>
    <w:p w14:paraId="0235FE17" w14:textId="77777777" w:rsidR="000C06E0" w:rsidRDefault="00EC4C55" w:rsidP="00B71E82">
      <w:pPr>
        <w:pStyle w:val="Odstavecseseznamem"/>
        <w:numPr>
          <w:ilvl w:val="0"/>
          <w:numId w:val="57"/>
        </w:numPr>
        <w:jc w:val="both"/>
      </w:pPr>
      <w:r>
        <w:t>Veškeré parametry podprogramu a jednotlivých podpořených projektů mají charakter okamžitého výstupu, přičemž hlavním parametrem pro prokázání splnění cíle podprogramu je pouze ukazatel celkové revitalizované plochy</w:t>
      </w:r>
      <w:r w:rsidR="00334532">
        <w:t xml:space="preserve"> (dalšími ukazateli byly</w:t>
      </w:r>
      <w:r w:rsidR="00904F1D">
        <w:t xml:space="preserve"> počet odstraněných objektů, obestavěný prostor odstraněných objektů a počet odstraněných bytových jednotek</w:t>
      </w:r>
      <w:r w:rsidR="00334532">
        <w:t>)</w:t>
      </w:r>
      <w:r>
        <w:t xml:space="preserve">. Nebyly zavedeny žádné parametry, které by sledovaly dlouhodobé přínosy </w:t>
      </w:r>
      <w:r w:rsidR="00425A41">
        <w:t>a dopady</w:t>
      </w:r>
      <w:r>
        <w:t xml:space="preserve"> podprogramu a měly nějaký vztah k SVL. </w:t>
      </w:r>
    </w:p>
    <w:p w14:paraId="6C617126" w14:textId="77777777" w:rsidR="004137A0" w:rsidRDefault="00EC4C55" w:rsidP="00B71E82">
      <w:pPr>
        <w:pStyle w:val="Odstavecseseznamem"/>
        <w:numPr>
          <w:ilvl w:val="0"/>
          <w:numId w:val="57"/>
        </w:numPr>
        <w:jc w:val="both"/>
      </w:pPr>
      <w:r>
        <w:t xml:space="preserve">Dokumentace podprogramu nezahrnovala </w:t>
      </w:r>
      <w:r w:rsidR="000B2090">
        <w:t xml:space="preserve">postup a pravidla </w:t>
      </w:r>
      <w:r w:rsidR="009D358B">
        <w:t xml:space="preserve">pro </w:t>
      </w:r>
      <w:r>
        <w:t>koordinac</w:t>
      </w:r>
      <w:r w:rsidR="000B2090">
        <w:t>e</w:t>
      </w:r>
      <w:r>
        <w:t xml:space="preserve"> s jinými opatřeními realizovanými v oblasti řešení problematiky SVL.  </w:t>
      </w:r>
    </w:p>
    <w:p w14:paraId="713EB2DE" w14:textId="57969129" w:rsidR="000C06E0" w:rsidRDefault="00EC4C55" w:rsidP="000C06E0">
      <w:pPr>
        <w:jc w:val="both"/>
      </w:pPr>
      <w:r w:rsidRPr="00957DC4">
        <w:t>Vazb</w:t>
      </w:r>
      <w:r w:rsidR="00425A41">
        <w:t>ě</w:t>
      </w:r>
      <w:r w:rsidRPr="00957DC4">
        <w:t xml:space="preserve"> </w:t>
      </w:r>
      <w:r>
        <w:t>pod</w:t>
      </w:r>
      <w:r w:rsidRPr="00957DC4">
        <w:t xml:space="preserve">programu na řešení problematiky SVL </w:t>
      </w:r>
      <w:r w:rsidRPr="00B00DA4">
        <w:t>tak</w:t>
      </w:r>
      <w:r w:rsidR="00E34CCA">
        <w:t xml:space="preserve"> MMR</w:t>
      </w:r>
      <w:r w:rsidRPr="00B00DA4">
        <w:t xml:space="preserve"> již při přípravě a schvalování programové dokumentace </w:t>
      </w:r>
      <w:r w:rsidR="00E34CCA">
        <w:t>nevěnovalo</w:t>
      </w:r>
      <w:r w:rsidR="00425A41">
        <w:t xml:space="preserve"> pozornost</w:t>
      </w:r>
      <w:r w:rsidRPr="00B00DA4">
        <w:t>.</w:t>
      </w:r>
      <w:r>
        <w:t xml:space="preserve"> </w:t>
      </w:r>
      <w:r w:rsidRPr="00A25341">
        <w:rPr>
          <w:rFonts w:cstheme="minorBidi"/>
          <w:szCs w:val="22"/>
          <w:lang w:eastAsia="en-US"/>
        </w:rPr>
        <w:t>Podprogram tak</w:t>
      </w:r>
      <w:r w:rsidR="004D2EE3" w:rsidRPr="00A25341">
        <w:rPr>
          <w:rFonts w:cstheme="minorBidi"/>
          <w:szCs w:val="22"/>
          <w:lang w:eastAsia="en-US"/>
        </w:rPr>
        <w:t>,</w:t>
      </w:r>
      <w:r w:rsidRPr="00A25341">
        <w:rPr>
          <w:rFonts w:cstheme="minorBidi"/>
          <w:szCs w:val="22"/>
          <w:lang w:eastAsia="en-US"/>
        </w:rPr>
        <w:t xml:space="preserve"> jak byl nastaven a řízen, </w:t>
      </w:r>
      <w:r w:rsidR="00F71197">
        <w:rPr>
          <w:rFonts w:cstheme="minorBidi"/>
          <w:szCs w:val="22"/>
          <w:lang w:eastAsia="en-US"/>
        </w:rPr>
        <w:t>pouze</w:t>
      </w:r>
      <w:r w:rsidR="00B5547B">
        <w:rPr>
          <w:rFonts w:cstheme="minorBidi"/>
          <w:szCs w:val="22"/>
          <w:lang w:eastAsia="en-US"/>
        </w:rPr>
        <w:t xml:space="preserve"> </w:t>
      </w:r>
      <w:r w:rsidRPr="00A25341">
        <w:rPr>
          <w:rFonts w:cstheme="minorBidi"/>
          <w:szCs w:val="22"/>
          <w:lang w:eastAsia="en-US"/>
        </w:rPr>
        <w:t>finančně pomáhal obcím s likvidací nežádoucích objektů, které byly v jejich majetku. Obce likvidací těchto objektů řešily primárně pouze revitalizaci daného území bez zřetelného a prokazatelného efektu na existující SVL, či na území s rizikem vzniku takové lokality.</w:t>
      </w:r>
      <w:r>
        <w:t xml:space="preserve"> </w:t>
      </w:r>
      <w:r w:rsidR="0066780B">
        <w:t xml:space="preserve">Kromě </w:t>
      </w:r>
      <w:r w:rsidR="0066042E">
        <w:t>obytných budov</w:t>
      </w:r>
      <w:r w:rsidR="0066780B">
        <w:t xml:space="preserve"> došlo </w:t>
      </w:r>
      <w:r w:rsidR="00DA589E">
        <w:t xml:space="preserve">v souladu s dokumentací podprogramu </w:t>
      </w:r>
      <w:r w:rsidR="0066780B">
        <w:t>např. k demolici bývalých restauračních zařízení, hotelů, vojenských ubytoven či nádraží.</w:t>
      </w:r>
      <w:r w:rsidR="00DE498F">
        <w:t xml:space="preserve"> </w:t>
      </w:r>
    </w:p>
    <w:p w14:paraId="0D60ED5B" w14:textId="208427F4" w:rsidR="00DA5C8E" w:rsidRDefault="00EC4C55" w:rsidP="000C31E0">
      <w:pPr>
        <w:jc w:val="both"/>
      </w:pPr>
      <w:r>
        <w:t xml:space="preserve">MMR </w:t>
      </w:r>
      <w:r w:rsidR="00102820">
        <w:t>při realizaci</w:t>
      </w:r>
      <w:r>
        <w:t xml:space="preserve"> podprogramu dále provedlo změny</w:t>
      </w:r>
      <w:r w:rsidR="004D2ED3">
        <w:t xml:space="preserve"> zásad</w:t>
      </w:r>
      <w:r>
        <w:t>, které umožnily, aby podpora byla poskytnuta i účastníkům, v jejichž správním území se žádná SVL nenacházela. Od roku 201</w:t>
      </w:r>
      <w:r w:rsidR="00166378">
        <w:t>8</w:t>
      </w:r>
      <w:r>
        <w:t xml:space="preserve"> postačuje, aby se alespoň jedna SVL nacházela ve správním obvodu obce s rozšířenou působností, do jejíhož území účastník náleží. Tento posun se projevil </w:t>
      </w:r>
      <w:r w:rsidR="001760DD">
        <w:t>i</w:t>
      </w:r>
      <w:r>
        <w:t xml:space="preserve"> v úpravě cíle podprogramu jeho aktualizací schválenou dne </w:t>
      </w:r>
      <w:r w:rsidRPr="000D3528">
        <w:rPr>
          <w:rFonts w:cstheme="minorHAnsi"/>
          <w:lang w:eastAsia="en-US"/>
        </w:rPr>
        <w:t>12. 11. 2018.</w:t>
      </w:r>
      <w:r>
        <w:rPr>
          <w:rFonts w:cstheme="minorHAnsi"/>
        </w:rPr>
        <w:t xml:space="preserve"> Aktuáln</w:t>
      </w:r>
      <w:r w:rsidR="004D2EE3">
        <w:rPr>
          <w:rFonts w:cstheme="minorHAnsi"/>
        </w:rPr>
        <w:t>ě</w:t>
      </w:r>
      <w:r>
        <w:rPr>
          <w:rFonts w:cstheme="minorHAnsi"/>
        </w:rPr>
        <w:t xml:space="preserve"> platný cíl podprogramu zní: </w:t>
      </w:r>
      <w:r w:rsidRPr="000D3528">
        <w:rPr>
          <w:rFonts w:cstheme="minorHAnsi"/>
          <w:lang w:eastAsia="en-US"/>
        </w:rPr>
        <w:t>„</w:t>
      </w:r>
      <w:r w:rsidRPr="002836FA">
        <w:rPr>
          <w:rFonts w:cstheme="minorHAnsi"/>
          <w:i/>
          <w:lang w:eastAsia="en-US"/>
        </w:rPr>
        <w:t>Podprogram je zaměřen na podporu demolic budov v obcích s rizikem vzniku sociálně vyloučené lokality. Demolice objektu bude následována celkovou revitalizací prostoru, včetně možné výstavby objektu, který bude sloužit jinému účelu než sociálnímu bydlení. Cílem programu je připravit území tak, aby jej bylo možné znovu plnohodnotně využít v dalším rozvoji obce a zamezit tak vzniku oblastí se sociální segregací</w:t>
      </w:r>
      <w:r w:rsidRPr="000D3528">
        <w:rPr>
          <w:rFonts w:cstheme="minorHAnsi"/>
          <w:lang w:eastAsia="en-US"/>
        </w:rPr>
        <w:t>.“</w:t>
      </w:r>
      <w:r>
        <w:rPr>
          <w:rFonts w:cstheme="minorHAnsi"/>
        </w:rPr>
        <w:t xml:space="preserve"> K úpravě názvu podprogramu přitom nedošlo.</w:t>
      </w:r>
    </w:p>
    <w:p w14:paraId="5A7E7587" w14:textId="243D2138" w:rsidR="00DA5C8E" w:rsidRPr="00DA5C8E" w:rsidRDefault="00DA5C8E" w:rsidP="00DA5C8E">
      <w:pPr>
        <w:keepNext/>
        <w:keepLines/>
        <w:jc w:val="both"/>
        <w:rPr>
          <w:b/>
        </w:rPr>
      </w:pPr>
      <w:r w:rsidRPr="00DA5C8E">
        <w:rPr>
          <w:b/>
        </w:rPr>
        <w:t>Obrázek č.</w:t>
      </w:r>
      <w:r w:rsidR="008130F6">
        <w:rPr>
          <w:b/>
        </w:rPr>
        <w:t> 1</w:t>
      </w:r>
      <w:r w:rsidRPr="004C778A">
        <w:rPr>
          <w:b/>
        </w:rPr>
        <w:t>: Rozšiřování okruhu oprávněných žadatelů</w:t>
      </w:r>
    </w:p>
    <w:p w14:paraId="406FA218" w14:textId="77777777" w:rsidR="00DA5C8E" w:rsidRDefault="00DA5C8E" w:rsidP="00D60999">
      <w:pPr>
        <w:spacing w:after="0"/>
        <w:jc w:val="both"/>
        <w:rPr>
          <w:rFonts w:cstheme="minorHAnsi"/>
          <w:b/>
          <w:sz w:val="20"/>
          <w:szCs w:val="20"/>
        </w:rPr>
      </w:pPr>
      <w:r>
        <w:rPr>
          <w:noProof/>
        </w:rPr>
        <mc:AlternateContent>
          <mc:Choice Requires="wpg">
            <w:drawing>
              <wp:inline distT="0" distB="0" distL="0" distR="0" wp14:anchorId="4C154AF4" wp14:editId="67E94FED">
                <wp:extent cx="5369560" cy="3028315"/>
                <wp:effectExtent l="19050" t="19050" r="40640" b="1968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9560" cy="3028315"/>
                          <a:chOff x="0" y="0"/>
                          <a:chExt cx="52319" cy="32600"/>
                        </a:xfrm>
                        <a:solidFill>
                          <a:schemeClr val="accent1">
                            <a:lumMod val="20000"/>
                            <a:lumOff val="80000"/>
                          </a:schemeClr>
                        </a:solidFill>
                      </wpg:grpSpPr>
                      <wps:wsp>
                        <wps:cNvPr id="13" name="Rovnoramenný trojúhelník 33"/>
                        <wps:cNvSpPr>
                          <a:spLocks noChangeArrowheads="1"/>
                        </wps:cNvSpPr>
                        <wps:spPr bwMode="auto">
                          <a:xfrm>
                            <a:off x="0" y="0"/>
                            <a:ext cx="52319" cy="32600"/>
                          </a:xfrm>
                          <a:prstGeom prst="triangle">
                            <a:avLst>
                              <a:gd name="adj" fmla="val 50000"/>
                            </a:avLst>
                          </a:prstGeom>
                          <a:grpFill/>
                          <a:ln w="12700">
                            <a:solidFill>
                              <a:srgbClr val="004595"/>
                            </a:solidFill>
                            <a:miter lim="800000"/>
                            <a:headEnd/>
                            <a:tailEnd/>
                          </a:ln>
                        </wps:spPr>
                        <wps:bodyPr rot="0" vert="horz" wrap="square" lIns="91440" tIns="45720" rIns="91440" bIns="45720" anchor="ctr" anchorCtr="0" upright="1">
                          <a:noAutofit/>
                        </wps:bodyPr>
                      </wps:wsp>
                      <wps:wsp>
                        <wps:cNvPr id="14" name="Obdélník 34"/>
                        <wps:cNvSpPr>
                          <a:spLocks noChangeArrowheads="1"/>
                        </wps:cNvSpPr>
                        <wps:spPr bwMode="auto">
                          <a:xfrm>
                            <a:off x="22860" y="4572"/>
                            <a:ext cx="6673" cy="3657"/>
                          </a:xfrm>
                          <a:prstGeom prst="rect">
                            <a:avLst/>
                          </a:prstGeom>
                          <a:grp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B1B97E7" w14:textId="77777777" w:rsidR="00CA7D59" w:rsidRDefault="00CA7D59" w:rsidP="00DA5C8E">
                              <w:pPr>
                                <w:spacing w:after="0"/>
                                <w:jc w:val="center"/>
                                <w:rPr>
                                  <w:b/>
                                  <w:color w:val="000000" w:themeColor="text1"/>
                                  <w:sz w:val="36"/>
                                  <w14:textOutline w14:w="0" w14:cap="flat" w14:cmpd="sng" w14:algn="ctr">
                                    <w14:noFill/>
                                    <w14:prstDash w14:val="solid"/>
                                    <w14:round/>
                                  </w14:textOutline>
                                </w:rPr>
                              </w:pPr>
                              <w:r>
                                <w:rPr>
                                  <w:b/>
                                  <w:color w:val="000000" w:themeColor="text1"/>
                                  <w:sz w:val="36"/>
                                  <w14:textOutline w14:w="0" w14:cap="flat" w14:cmpd="sng" w14:algn="ctr">
                                    <w14:noFill/>
                                    <w14:prstDash w14:val="solid"/>
                                    <w14:round/>
                                  </w14:textOutline>
                                </w:rPr>
                                <w:t>2016</w:t>
                              </w:r>
                            </w:p>
                          </w:txbxContent>
                        </wps:txbx>
                        <wps:bodyPr rot="0" vert="horz" wrap="square" lIns="91440" tIns="45720" rIns="91440" bIns="45720" anchor="ctr" anchorCtr="0" upright="1">
                          <a:noAutofit/>
                        </wps:bodyPr>
                      </wps:wsp>
                      <wps:wsp>
                        <wps:cNvPr id="15" name="Obdélník 35"/>
                        <wps:cNvSpPr>
                          <a:spLocks noChangeArrowheads="1"/>
                        </wps:cNvSpPr>
                        <wps:spPr bwMode="auto">
                          <a:xfrm>
                            <a:off x="22955" y="14287"/>
                            <a:ext cx="6679" cy="3658"/>
                          </a:xfrm>
                          <a:prstGeom prst="rect">
                            <a:avLst/>
                          </a:prstGeom>
                          <a:grp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ECDD6CD" w14:textId="77777777" w:rsidR="00CA7D59" w:rsidRDefault="00CA7D59" w:rsidP="00DA5C8E">
                              <w:pPr>
                                <w:jc w:val="center"/>
                                <w:rPr>
                                  <w:b/>
                                  <w:color w:val="000000" w:themeColor="text1"/>
                                  <w:sz w:val="36"/>
                                  <w14:textOutline w14:w="0" w14:cap="flat" w14:cmpd="sng" w14:algn="ctr">
                                    <w14:noFill/>
                                    <w14:prstDash w14:val="solid"/>
                                    <w14:round/>
                                  </w14:textOutline>
                                </w:rPr>
                              </w:pPr>
                              <w:r>
                                <w:rPr>
                                  <w:b/>
                                  <w:color w:val="000000" w:themeColor="text1"/>
                                  <w:sz w:val="36"/>
                                  <w14:textOutline w14:w="0" w14:cap="flat" w14:cmpd="sng" w14:algn="ctr">
                                    <w14:noFill/>
                                    <w14:prstDash w14:val="solid"/>
                                    <w14:round/>
                                  </w14:textOutline>
                                </w:rPr>
                                <w:t>2018</w:t>
                              </w:r>
                            </w:p>
                          </w:txbxContent>
                        </wps:txbx>
                        <wps:bodyPr rot="0" vert="horz" wrap="square" lIns="91440" tIns="45720" rIns="91440" bIns="45720" anchor="ctr" anchorCtr="0" upright="1">
                          <a:noAutofit/>
                        </wps:bodyPr>
                      </wps:wsp>
                      <wps:wsp>
                        <wps:cNvPr id="16" name="Obdélník 36"/>
                        <wps:cNvSpPr>
                          <a:spLocks noChangeArrowheads="1"/>
                        </wps:cNvSpPr>
                        <wps:spPr bwMode="auto">
                          <a:xfrm>
                            <a:off x="20193" y="8191"/>
                            <a:ext cx="12160" cy="4845"/>
                          </a:xfrm>
                          <a:prstGeom prst="rect">
                            <a:avLst/>
                          </a:prstGeom>
                          <a:grp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FA47C38" w14:textId="77777777" w:rsidR="00CA7D59" w:rsidRDefault="00CA7D59" w:rsidP="00DA5C8E">
                              <w:pPr>
                                <w:jc w:val="center"/>
                                <w:rPr>
                                  <w:sz w:val="20"/>
                                </w:rPr>
                              </w:pPr>
                              <w:r>
                                <w:rPr>
                                  <w:sz w:val="20"/>
                                </w:rPr>
                                <w:t xml:space="preserve">Obec se SVL </w:t>
                              </w:r>
                              <w:r>
                                <w:rPr>
                                  <w:sz w:val="20"/>
                                </w:rPr>
                                <w:br/>
                                <w:t>ve svém katastru</w:t>
                              </w:r>
                            </w:p>
                          </w:txbxContent>
                        </wps:txbx>
                        <wps:bodyPr rot="0" vert="horz" wrap="square" lIns="91440" tIns="45720" rIns="91440" bIns="45720" anchor="ctr" anchorCtr="0" upright="1">
                          <a:noAutofit/>
                        </wps:bodyPr>
                      </wps:wsp>
                      <wps:wsp>
                        <wps:cNvPr id="17" name="Obdélník 37"/>
                        <wps:cNvSpPr>
                          <a:spLocks noChangeArrowheads="1"/>
                        </wps:cNvSpPr>
                        <wps:spPr bwMode="auto">
                          <a:xfrm>
                            <a:off x="15906" y="18002"/>
                            <a:ext cx="21151" cy="4612"/>
                          </a:xfrm>
                          <a:prstGeom prst="rect">
                            <a:avLst/>
                          </a:prstGeom>
                          <a:grp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7799EAD" w14:textId="77777777" w:rsidR="00CA7D59" w:rsidRDefault="00CA7D59" w:rsidP="00DA5C8E">
                              <w:pPr>
                                <w:jc w:val="center"/>
                                <w:rPr>
                                  <w:sz w:val="20"/>
                                </w:rPr>
                              </w:pPr>
                              <w:r>
                                <w:rPr>
                                  <w:sz w:val="20"/>
                                </w:rPr>
                                <w:t xml:space="preserve">Obec spadající pod SO ORP </w:t>
                              </w:r>
                              <w:r>
                                <w:rPr>
                                  <w:sz w:val="20"/>
                                </w:rPr>
                                <w:br/>
                                <w:t>s alespoň jednou SVL</w:t>
                              </w:r>
                            </w:p>
                          </w:txbxContent>
                        </wps:txbx>
                        <wps:bodyPr rot="0" vert="horz" wrap="square" lIns="91440" tIns="45720" rIns="91440" bIns="45720" anchor="ctr" anchorCtr="0" upright="1">
                          <a:noAutofit/>
                        </wps:bodyPr>
                      </wps:wsp>
                      <wps:wsp>
                        <wps:cNvPr id="18" name="Obdélník 38"/>
                        <wps:cNvSpPr>
                          <a:spLocks noChangeArrowheads="1"/>
                        </wps:cNvSpPr>
                        <wps:spPr bwMode="auto">
                          <a:xfrm>
                            <a:off x="23145" y="23622"/>
                            <a:ext cx="6674" cy="3657"/>
                          </a:xfrm>
                          <a:prstGeom prst="rect">
                            <a:avLst/>
                          </a:prstGeom>
                          <a:grp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00418CD" w14:textId="77777777" w:rsidR="00CA7D59" w:rsidRDefault="00CA7D59" w:rsidP="00DA5C8E">
                              <w:pPr>
                                <w:jc w:val="center"/>
                                <w:rPr>
                                  <w:b/>
                                  <w:color w:val="000000" w:themeColor="text1"/>
                                  <w:sz w:val="36"/>
                                  <w14:textOutline w14:w="0" w14:cap="flat" w14:cmpd="sng" w14:algn="ctr">
                                    <w14:noFill/>
                                    <w14:prstDash w14:val="solid"/>
                                    <w14:round/>
                                  </w14:textOutline>
                                </w:rPr>
                              </w:pPr>
                              <w:r>
                                <w:rPr>
                                  <w:b/>
                                  <w:color w:val="000000" w:themeColor="text1"/>
                                  <w:sz w:val="36"/>
                                  <w14:textOutline w14:w="0" w14:cap="flat" w14:cmpd="sng" w14:algn="ctr">
                                    <w14:noFill/>
                                    <w14:prstDash w14:val="solid"/>
                                    <w14:round/>
                                  </w14:textOutline>
                                </w:rPr>
                                <w:t>2019</w:t>
                              </w:r>
                            </w:p>
                          </w:txbxContent>
                        </wps:txbx>
                        <wps:bodyPr rot="0" vert="horz" wrap="square" lIns="91440" tIns="45720" rIns="91440" bIns="45720" anchor="ctr" anchorCtr="0" upright="1">
                          <a:noAutofit/>
                        </wps:bodyPr>
                      </wps:wsp>
                      <wps:wsp>
                        <wps:cNvPr id="19" name="Obdélník 39"/>
                        <wps:cNvSpPr>
                          <a:spLocks noChangeArrowheads="1"/>
                        </wps:cNvSpPr>
                        <wps:spPr bwMode="auto">
                          <a:xfrm>
                            <a:off x="12096" y="27336"/>
                            <a:ext cx="28620" cy="4610"/>
                          </a:xfrm>
                          <a:prstGeom prst="rect">
                            <a:avLst/>
                          </a:prstGeom>
                          <a:grp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783F750" w14:textId="77777777" w:rsidR="00CA7D59" w:rsidRDefault="00CA7D59" w:rsidP="00DA5C8E">
                              <w:pPr>
                                <w:jc w:val="center"/>
                                <w:rPr>
                                  <w:sz w:val="20"/>
                                </w:rPr>
                              </w:pPr>
                              <w:r>
                                <w:rPr>
                                  <w:sz w:val="20"/>
                                </w:rPr>
                                <w:t>Kraj vlastnící nemovitost, která se nachází v SO ORP s alespoň jednou SVL</w:t>
                              </w:r>
                            </w:p>
                          </w:txbxContent>
                        </wps:txbx>
                        <wps:bodyPr rot="0" vert="horz" wrap="square" lIns="91440" tIns="45720" rIns="91440" bIns="45720" anchor="ctr" anchorCtr="0" upright="1">
                          <a:noAutofit/>
                        </wps:bodyPr>
                      </wps:wsp>
                      <wps:wsp>
                        <wps:cNvPr id="29" name="Přímá spojnice 40"/>
                        <wps:cNvCnPr>
                          <a:cxnSpLocks noChangeShapeType="1"/>
                        </wps:cNvCnPr>
                        <wps:spPr bwMode="auto">
                          <a:xfrm>
                            <a:off x="15240" y="13716"/>
                            <a:ext cx="21821" cy="0"/>
                          </a:xfrm>
                          <a:prstGeom prst="line">
                            <a:avLst/>
                          </a:prstGeom>
                          <a:grpFill/>
                          <a:ln w="12700">
                            <a:solidFill>
                              <a:srgbClr val="004595"/>
                            </a:solidFill>
                            <a:prstDash val="sysDot"/>
                            <a:round/>
                            <a:headEnd/>
                            <a:tailEnd/>
                          </a:ln>
                          <a:extLst/>
                        </wps:spPr>
                        <wps:bodyPr/>
                      </wps:wsp>
                      <wps:wsp>
                        <wps:cNvPr id="31" name="Přímá spojnice 41"/>
                        <wps:cNvCnPr>
                          <a:cxnSpLocks noChangeShapeType="1"/>
                        </wps:cNvCnPr>
                        <wps:spPr bwMode="auto">
                          <a:xfrm flipV="1">
                            <a:off x="7524" y="23145"/>
                            <a:ext cx="37091" cy="0"/>
                          </a:xfrm>
                          <a:prstGeom prst="line">
                            <a:avLst/>
                          </a:prstGeom>
                          <a:grpFill/>
                          <a:ln w="12700">
                            <a:solidFill>
                              <a:srgbClr val="004595"/>
                            </a:solidFill>
                            <a:prstDash val="sysDot"/>
                            <a:round/>
                            <a:headEnd/>
                            <a:tailEnd/>
                          </a:ln>
                          <a:extLst/>
                        </wps:spPr>
                        <wps:bodyPr/>
                      </wps:wsp>
                    </wpg:wgp>
                  </a:graphicData>
                </a:graphic>
              </wp:inline>
            </w:drawing>
          </mc:Choice>
          <mc:Fallback>
            <w:pict>
              <v:group w14:anchorId="4C154AF4" id="Skupina 4" o:spid="_x0000_s1026" style="width:422.8pt;height:238.45pt;mso-position-horizontal-relative:char;mso-position-vertical-relative:line" coordsize="52319,3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Rovnoramenný trojúhelník 33" o:spid="_x0000_s1027" type="#_x0000_t5" style="position:absolute;width:52319;height:3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" filled="f" strokecolor="#004595" strokeweight="1pt"/>
                <v:rect id="Obdélník 34" o:spid="_x0000_s1028" style="position:absolute;left:22860;top:4572;width:6673;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filled="f" stroked="f" strokeweight="1pt">
                  <v:textbox>
                    <w:txbxContent>
                      <w:p w14:paraId="7B1B97E7" w14:textId="77777777" w:rsidR="00CA7D59" w:rsidRDefault="00CA7D59" w:rsidP="00DA5C8E">
                        <w:pPr>
                          <w:spacing w:after="0"/>
                          <w:jc w:val="center"/>
                          <w:rPr>
                            <w:b/>
                            <w:color w:val="000000" w:themeColor="text1"/>
                            <w:sz w:val="36"/>
                            <w14:textOutline w14:w="0" w14:cap="flat" w14:cmpd="sng" w14:algn="ctr">
                              <w14:noFill/>
                              <w14:prstDash w14:val="solid"/>
                              <w14:round/>
                            </w14:textOutline>
                          </w:rPr>
                        </w:pPr>
                        <w:r>
                          <w:rPr>
                            <w:b/>
                            <w:color w:val="000000" w:themeColor="text1"/>
                            <w:sz w:val="36"/>
                            <w14:textOutline w14:w="0" w14:cap="flat" w14:cmpd="sng" w14:algn="ctr">
                              <w14:noFill/>
                              <w14:prstDash w14:val="solid"/>
                              <w14:round/>
                            </w14:textOutline>
                          </w:rPr>
                          <w:t>2016</w:t>
                        </w:r>
                      </w:p>
                    </w:txbxContent>
                  </v:textbox>
                </v:rect>
                <v:rect id="Obdélník 35" o:spid="_x0000_s1029" style="position:absolute;left:22955;top:14287;width:6679;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textbox>
                    <w:txbxContent>
                      <w:p w14:paraId="3ECDD6CD" w14:textId="77777777" w:rsidR="00CA7D59" w:rsidRDefault="00CA7D59" w:rsidP="00DA5C8E">
                        <w:pPr>
                          <w:jc w:val="center"/>
                          <w:rPr>
                            <w:b/>
                            <w:color w:val="000000" w:themeColor="text1"/>
                            <w:sz w:val="36"/>
                            <w14:textOutline w14:w="0" w14:cap="flat" w14:cmpd="sng" w14:algn="ctr">
                              <w14:noFill/>
                              <w14:prstDash w14:val="solid"/>
                              <w14:round/>
                            </w14:textOutline>
                          </w:rPr>
                        </w:pPr>
                        <w:r>
                          <w:rPr>
                            <w:b/>
                            <w:color w:val="000000" w:themeColor="text1"/>
                            <w:sz w:val="36"/>
                            <w14:textOutline w14:w="0" w14:cap="flat" w14:cmpd="sng" w14:algn="ctr">
                              <w14:noFill/>
                              <w14:prstDash w14:val="solid"/>
                              <w14:round/>
                            </w14:textOutline>
                          </w:rPr>
                          <w:t>2018</w:t>
                        </w:r>
                      </w:p>
                    </w:txbxContent>
                  </v:textbox>
                </v:rect>
                <v:rect id="Obdélník 36" o:spid="_x0000_s1030" style="position:absolute;left:20193;top:8191;width:12160;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" filled="f" stroked="f" strokeweight="1pt">
                  <v:textbox>
                    <w:txbxContent>
                      <w:p w14:paraId="5FA47C38" w14:textId="77777777" w:rsidR="00CA7D59" w:rsidRDefault="00CA7D59" w:rsidP="00DA5C8E">
                        <w:pPr>
                          <w:jc w:val="center"/>
                          <w:rPr>
                            <w:sz w:val="20"/>
                          </w:rPr>
                        </w:pPr>
                        <w:r>
                          <w:rPr>
                            <w:sz w:val="20"/>
                          </w:rPr>
                          <w:t xml:space="preserve">Obec se SVL </w:t>
                        </w:r>
                        <w:r>
                          <w:rPr>
                            <w:sz w:val="20"/>
                          </w:rPr>
                          <w:br/>
                          <w:t>ve svém katastru</w:t>
                        </w:r>
                      </w:p>
                    </w:txbxContent>
                  </v:textbox>
                </v:rect>
                <v:rect id="Obdélník 37" o:spid="_x0000_s1031" style="position:absolute;left:15906;top:18002;width:21151;height:4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" filled="f" stroked="f" strokeweight="1pt">
                  <v:textbox>
                    <w:txbxContent>
                      <w:p w14:paraId="27799EAD" w14:textId="77777777" w:rsidR="00CA7D59" w:rsidRDefault="00CA7D59" w:rsidP="00DA5C8E">
                        <w:pPr>
                          <w:jc w:val="center"/>
                          <w:rPr>
                            <w:sz w:val="20"/>
                          </w:rPr>
                        </w:pPr>
                        <w:r>
                          <w:rPr>
                            <w:sz w:val="20"/>
                          </w:rPr>
                          <w:t xml:space="preserve">Obec spadající pod SO ORP </w:t>
                        </w:r>
                        <w:r>
                          <w:rPr>
                            <w:sz w:val="20"/>
                          </w:rPr>
                          <w:br/>
                          <w:t>s alespoň jednou SVL</w:t>
                        </w:r>
                      </w:p>
                    </w:txbxContent>
                  </v:textbox>
                </v:rect>
                <v:rect id="Obdélník 38" o:spid="_x0000_s1032" style="position:absolute;left:23145;top:23622;width:6674;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v:textbox>
                    <w:txbxContent>
                      <w:p w14:paraId="600418CD" w14:textId="77777777" w:rsidR="00CA7D59" w:rsidRDefault="00CA7D59" w:rsidP="00DA5C8E">
                        <w:pPr>
                          <w:jc w:val="center"/>
                          <w:rPr>
                            <w:b/>
                            <w:color w:val="000000" w:themeColor="text1"/>
                            <w:sz w:val="36"/>
                            <w14:textOutline w14:w="0" w14:cap="flat" w14:cmpd="sng" w14:algn="ctr">
                              <w14:noFill/>
                              <w14:prstDash w14:val="solid"/>
                              <w14:round/>
                            </w14:textOutline>
                          </w:rPr>
                        </w:pPr>
                        <w:r>
                          <w:rPr>
                            <w:b/>
                            <w:color w:val="000000" w:themeColor="text1"/>
                            <w:sz w:val="36"/>
                            <w14:textOutline w14:w="0" w14:cap="flat" w14:cmpd="sng" w14:algn="ctr">
                              <w14:noFill/>
                              <w14:prstDash w14:val="solid"/>
                              <w14:round/>
                            </w14:textOutline>
                          </w:rPr>
                          <w:t>2019</w:t>
                        </w:r>
                      </w:p>
                    </w:txbxContent>
                  </v:textbox>
                </v:rect>
                <v:rect id="Obdélník 39" o:spid="_x0000_s1033" style="position:absolute;left:12096;top:27336;width:28620;height:4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" filled="f" stroked="f" strokeweight="1pt">
                  <v:textbox>
                    <w:txbxContent>
                      <w:p w14:paraId="4783F750" w14:textId="77777777" w:rsidR="00CA7D59" w:rsidRDefault="00CA7D59" w:rsidP="00DA5C8E">
                        <w:pPr>
                          <w:jc w:val="center"/>
                          <w:rPr>
                            <w:sz w:val="20"/>
                          </w:rPr>
                        </w:pPr>
                        <w:r>
                          <w:rPr>
                            <w:sz w:val="20"/>
                          </w:rPr>
                          <w:t>Kraj vlastnící nemovitost, která se nachází v SO ORP s alespoň jednou SVL</w:t>
                        </w:r>
                      </w:p>
                    </w:txbxContent>
                  </v:textbox>
                </v:rect>
                <v:line id="Přímá spojnice 40" o:spid="_x0000_s1034" style="position:absolute;visibility:visible;mso-wrap-style:square" from="15240,13716" to="37061,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" strokecolor="#004595" strokeweight="1pt">
                  <v:stroke dashstyle="1 1"/>
                </v:line>
                <v:line id="Přímá spojnice 41" o:spid="_x0000_s1035" style="position:absolute;flip:y;visibility:visible;mso-wrap-style:square" from="7524,23145" to="44615,2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" strokecolor="#004595" strokeweight="1pt">
                  <v:stroke dashstyle="1 1"/>
                </v:line>
                <w10:anchorlock/>
              </v:group>
            </w:pict>
          </mc:Fallback>
        </mc:AlternateContent>
      </w:r>
    </w:p>
    <w:p w14:paraId="15AA5BB2" w14:textId="77777777" w:rsidR="00061E32" w:rsidRPr="00D60999" w:rsidRDefault="00EC4C55" w:rsidP="00D60999">
      <w:pPr>
        <w:spacing w:after="0"/>
        <w:jc w:val="both"/>
        <w:rPr>
          <w:sz w:val="20"/>
          <w:szCs w:val="20"/>
        </w:rPr>
      </w:pPr>
      <w:r w:rsidRPr="00D60999">
        <w:rPr>
          <w:rFonts w:cstheme="minorHAnsi"/>
          <w:b/>
          <w:sz w:val="20"/>
          <w:szCs w:val="20"/>
        </w:rPr>
        <w:t>Z</w:t>
      </w:r>
      <w:r w:rsidRPr="00D60999">
        <w:rPr>
          <w:b/>
          <w:sz w:val="20"/>
          <w:szCs w:val="20"/>
        </w:rPr>
        <w:t>droj:</w:t>
      </w:r>
      <w:r w:rsidRPr="00D60999">
        <w:rPr>
          <w:sz w:val="20"/>
          <w:szCs w:val="20"/>
        </w:rPr>
        <w:t xml:space="preserve"> </w:t>
      </w:r>
      <w:r w:rsidR="008130F6">
        <w:rPr>
          <w:sz w:val="20"/>
          <w:szCs w:val="20"/>
        </w:rPr>
        <w:t xml:space="preserve">vypracoval </w:t>
      </w:r>
      <w:r w:rsidRPr="00D60999">
        <w:rPr>
          <w:sz w:val="20"/>
          <w:szCs w:val="20"/>
        </w:rPr>
        <w:t>NKÚ</w:t>
      </w:r>
      <w:r w:rsidR="004C778A" w:rsidRPr="00D60999">
        <w:rPr>
          <w:sz w:val="20"/>
          <w:szCs w:val="20"/>
        </w:rPr>
        <w:t>.</w:t>
      </w:r>
    </w:p>
    <w:p w14:paraId="438C817F" w14:textId="77777777" w:rsidR="00C9185A" w:rsidRPr="00D60999" w:rsidRDefault="00EC4C55" w:rsidP="00D60999">
      <w:pPr>
        <w:spacing w:after="0"/>
        <w:jc w:val="both"/>
        <w:rPr>
          <w:sz w:val="20"/>
          <w:szCs w:val="20"/>
        </w:rPr>
      </w:pPr>
      <w:r w:rsidRPr="00D60999">
        <w:rPr>
          <w:b/>
          <w:sz w:val="20"/>
          <w:szCs w:val="20"/>
        </w:rPr>
        <w:t>Pozn.</w:t>
      </w:r>
      <w:r w:rsidR="008130F6">
        <w:rPr>
          <w:b/>
          <w:sz w:val="20"/>
          <w:szCs w:val="20"/>
        </w:rPr>
        <w:t>:</w:t>
      </w:r>
      <w:r w:rsidRPr="00D60999">
        <w:rPr>
          <w:sz w:val="20"/>
          <w:szCs w:val="20"/>
        </w:rPr>
        <w:t xml:space="preserve"> SO ORP – správní obvod obce s rozšířenou působností.</w:t>
      </w:r>
    </w:p>
    <w:p w14:paraId="0050CA12" w14:textId="27AC419B" w:rsidR="000C06E0" w:rsidRDefault="00EC4C55" w:rsidP="00E916D3">
      <w:pPr>
        <w:spacing w:before="240"/>
        <w:jc w:val="both"/>
        <w:rPr>
          <w:rFonts w:cstheme="minorHAnsi"/>
        </w:rPr>
      </w:pPr>
      <w:r>
        <w:rPr>
          <w:rFonts w:cstheme="minorHAnsi"/>
        </w:rPr>
        <w:t xml:space="preserve">NKÚ zjistil, že z prostředků podprogramu </w:t>
      </w:r>
      <w:r w:rsidR="002960EB">
        <w:rPr>
          <w:rFonts w:cstheme="minorHAnsi"/>
        </w:rPr>
        <w:t>bylo podpořeno</w:t>
      </w:r>
      <w:r>
        <w:rPr>
          <w:rFonts w:cstheme="minorHAnsi"/>
        </w:rPr>
        <w:t xml:space="preserve"> </w:t>
      </w:r>
      <w:r w:rsidR="002960EB">
        <w:rPr>
          <w:rFonts w:cstheme="minorHAnsi"/>
        </w:rPr>
        <w:t>v rozporu s</w:t>
      </w:r>
      <w:r w:rsidR="000C7CE0">
        <w:rPr>
          <w:rFonts w:cstheme="minorHAnsi"/>
        </w:rPr>
        <w:t xml:space="preserve"> dokumentací </w:t>
      </w:r>
      <w:r w:rsidR="00D04139">
        <w:rPr>
          <w:rFonts w:cstheme="minorHAnsi"/>
        </w:rPr>
        <w:t>pod</w:t>
      </w:r>
      <w:r w:rsidR="000C7CE0">
        <w:rPr>
          <w:rFonts w:cstheme="minorHAnsi"/>
        </w:rPr>
        <w:t>programu</w:t>
      </w:r>
      <w:r>
        <w:rPr>
          <w:rFonts w:cstheme="minorHAnsi"/>
        </w:rPr>
        <w:t xml:space="preserve"> 37 projektů</w:t>
      </w:r>
      <w:r w:rsidR="002960EB">
        <w:rPr>
          <w:rFonts w:cstheme="minorHAnsi"/>
        </w:rPr>
        <w:t>. Projekty byly realizovány</w:t>
      </w:r>
      <w:r w:rsidRPr="00957DC4">
        <w:rPr>
          <w:rFonts w:cstheme="minorHAnsi"/>
          <w:lang w:eastAsia="en-US"/>
        </w:rPr>
        <w:t xml:space="preserve"> v</w:t>
      </w:r>
      <w:r w:rsidR="002960EB">
        <w:rPr>
          <w:rFonts w:cstheme="minorHAnsi"/>
          <w:lang w:eastAsia="en-US"/>
        </w:rPr>
        <w:t> </w:t>
      </w:r>
      <w:r w:rsidRPr="00957DC4">
        <w:rPr>
          <w:rFonts w:cstheme="minorHAnsi"/>
          <w:lang w:eastAsia="en-US"/>
        </w:rPr>
        <w:t>katastr</w:t>
      </w:r>
      <w:r w:rsidR="002960EB">
        <w:rPr>
          <w:rFonts w:cstheme="minorHAnsi"/>
          <w:lang w:eastAsia="en-US"/>
        </w:rPr>
        <w:t xml:space="preserve">álních územích </w:t>
      </w:r>
      <w:r w:rsidRPr="00957DC4">
        <w:rPr>
          <w:rFonts w:cstheme="minorHAnsi"/>
          <w:lang w:eastAsia="en-US"/>
        </w:rPr>
        <w:t xml:space="preserve">obcí, </w:t>
      </w:r>
      <w:r w:rsidR="002960EB">
        <w:rPr>
          <w:rFonts w:cstheme="minorHAnsi"/>
          <w:lang w:eastAsia="en-US"/>
        </w:rPr>
        <w:t>v</w:t>
      </w:r>
      <w:r w:rsidR="000C7CE0">
        <w:rPr>
          <w:rFonts w:cstheme="minorHAnsi"/>
          <w:lang w:eastAsia="en-US"/>
        </w:rPr>
        <w:t>e</w:t>
      </w:r>
      <w:r w:rsidR="002960EB">
        <w:rPr>
          <w:rFonts w:cstheme="minorHAnsi"/>
          <w:lang w:eastAsia="en-US"/>
        </w:rPr>
        <w:t xml:space="preserve"> kterých</w:t>
      </w:r>
      <w:r w:rsidRPr="00957DC4">
        <w:rPr>
          <w:rFonts w:cstheme="minorHAnsi"/>
          <w:lang w:eastAsia="en-US"/>
        </w:rPr>
        <w:t xml:space="preserve"> se nevyskytovala žádná SVL</w:t>
      </w:r>
      <w:r w:rsidR="000270B7">
        <w:rPr>
          <w:rFonts w:cstheme="minorHAnsi"/>
        </w:rPr>
        <w:t xml:space="preserve">, což </w:t>
      </w:r>
      <w:r w:rsidR="001F68EA">
        <w:rPr>
          <w:rFonts w:cstheme="minorHAnsi"/>
        </w:rPr>
        <w:t xml:space="preserve">cíl </w:t>
      </w:r>
      <w:r w:rsidR="00D84661">
        <w:rPr>
          <w:rFonts w:cstheme="minorHAnsi"/>
        </w:rPr>
        <w:t>pod</w:t>
      </w:r>
      <w:r w:rsidR="000270B7">
        <w:rPr>
          <w:rFonts w:cstheme="minorHAnsi"/>
        </w:rPr>
        <w:t>program</w:t>
      </w:r>
      <w:r w:rsidR="001F68EA">
        <w:rPr>
          <w:rFonts w:cstheme="minorHAnsi"/>
        </w:rPr>
        <w:t>u</w:t>
      </w:r>
      <w:r w:rsidR="000270B7">
        <w:rPr>
          <w:rFonts w:cstheme="minorHAnsi"/>
        </w:rPr>
        <w:t xml:space="preserve"> před aktualizací </w:t>
      </w:r>
      <w:r w:rsidR="001F68EA">
        <w:rPr>
          <w:rFonts w:cstheme="minorHAnsi"/>
        </w:rPr>
        <w:t>nepřipouštěl.</w:t>
      </w:r>
    </w:p>
    <w:p w14:paraId="3664BB5A" w14:textId="77777777" w:rsidR="00C3066F" w:rsidRDefault="00C3066F" w:rsidP="000C06E0">
      <w:pPr>
        <w:jc w:val="both"/>
        <w:rPr>
          <w:rFonts w:cstheme="minorHAnsi"/>
        </w:rPr>
      </w:pPr>
      <w:r w:rsidRPr="00C3066F">
        <w:rPr>
          <w:rFonts w:cstheme="minorHAnsi"/>
        </w:rPr>
        <w:t>NKÚ také zjistil, že nastavení podmínek podpory by zajistilo soustředění podpory na tři strukturálně postižené kraje</w:t>
      </w:r>
      <w:r>
        <w:rPr>
          <w:rFonts w:cstheme="minorHAnsi"/>
        </w:rPr>
        <w:t>. V </w:t>
      </w:r>
      <w:r w:rsidRPr="00C3066F">
        <w:rPr>
          <w:rFonts w:cstheme="minorHAnsi"/>
        </w:rPr>
        <w:t>praxi</w:t>
      </w:r>
      <w:r>
        <w:rPr>
          <w:rFonts w:cstheme="minorHAnsi"/>
        </w:rPr>
        <w:t xml:space="preserve"> ale z důvodu dostatku finančních prostředků nebylo jejich zvýhodnění potřebné.</w:t>
      </w:r>
    </w:p>
    <w:p w14:paraId="517448FB" w14:textId="77777777" w:rsidR="00487474" w:rsidRDefault="00487474" w:rsidP="000C06E0">
      <w:pPr>
        <w:jc w:val="both"/>
        <w:rPr>
          <w:rFonts w:cstheme="minorHAnsi"/>
        </w:rPr>
      </w:pPr>
      <w:r w:rsidRPr="00487474">
        <w:rPr>
          <w:rFonts w:cstheme="minorHAnsi"/>
        </w:rPr>
        <w:t>Dokumentace podprog</w:t>
      </w:r>
      <w:r>
        <w:rPr>
          <w:rFonts w:cstheme="minorHAnsi"/>
        </w:rPr>
        <w:t>ramu také předpokládala koordin</w:t>
      </w:r>
      <w:r w:rsidRPr="00487474">
        <w:rPr>
          <w:rFonts w:cstheme="minorHAnsi"/>
        </w:rPr>
        <w:t>aci a s</w:t>
      </w:r>
      <w:r w:rsidR="009C07F5">
        <w:rPr>
          <w:rFonts w:cstheme="minorHAnsi"/>
        </w:rPr>
        <w:t>polupráci s jinými opatřeními a </w:t>
      </w:r>
      <w:r w:rsidRPr="00487474">
        <w:rPr>
          <w:rFonts w:cstheme="minorHAnsi"/>
        </w:rPr>
        <w:t>programy, která měla mít např. podobu časové návaznosti a zacílenosti aktivit. NKÚ nezjistil, že by MMR nějakou spolupráci tohoto či podobného typu v době realizace podprogramu provádělo</w:t>
      </w:r>
      <w:r>
        <w:rPr>
          <w:rFonts w:cstheme="minorHAnsi"/>
        </w:rPr>
        <w:t xml:space="preserve">. </w:t>
      </w:r>
      <w:r w:rsidRPr="00487474">
        <w:rPr>
          <w:rFonts w:cstheme="minorHAnsi"/>
        </w:rPr>
        <w:t>Pro řešení problematiky SVL a problémů s ní spojených je dle NKÚ přitom tato koordinace a spolupráce nezbytná. Realizace podprogramu zaměřeného úzce pouze na demolici objektů má jen limitovanou možnost řešit problematiku SVL a riziko jejich vzniku.</w:t>
      </w:r>
    </w:p>
    <w:p w14:paraId="7520B2E0" w14:textId="77777777" w:rsidR="001760DD" w:rsidRDefault="00EC4C55" w:rsidP="00DC0F14">
      <w:pPr>
        <w:spacing w:after="0"/>
        <w:jc w:val="both"/>
        <w:rPr>
          <w:rFonts w:cstheme="minorHAnsi"/>
        </w:rPr>
      </w:pPr>
      <w:r>
        <w:rPr>
          <w:rFonts w:cstheme="minorHAnsi"/>
        </w:rPr>
        <w:t xml:space="preserve">MMR během realizace podprogramu přijalo i další kroky, </w:t>
      </w:r>
      <w:r w:rsidR="00053C58">
        <w:rPr>
          <w:rFonts w:cstheme="minorHAnsi"/>
        </w:rPr>
        <w:t xml:space="preserve">kterými </w:t>
      </w:r>
      <w:r>
        <w:rPr>
          <w:rFonts w:cstheme="minorHAnsi"/>
        </w:rPr>
        <w:t>změnil</w:t>
      </w:r>
      <w:r w:rsidR="00053C58">
        <w:rPr>
          <w:rFonts w:cstheme="minorHAnsi"/>
        </w:rPr>
        <w:t>o</w:t>
      </w:r>
      <w:r>
        <w:rPr>
          <w:rFonts w:cstheme="minorHAnsi"/>
        </w:rPr>
        <w:t xml:space="preserve"> podmínky realizace projektů a </w:t>
      </w:r>
      <w:r w:rsidR="00053C58">
        <w:rPr>
          <w:rFonts w:cstheme="minorHAnsi"/>
        </w:rPr>
        <w:t xml:space="preserve">které </w:t>
      </w:r>
      <w:r>
        <w:rPr>
          <w:rFonts w:cstheme="minorHAnsi"/>
        </w:rPr>
        <w:t>negativně ovlivnily schopnost podprogramu zajistit dosažení významných dlouhodobých efektů. Za nejdůležitější z nich považuje NKÚ:</w:t>
      </w:r>
    </w:p>
    <w:p w14:paraId="027B3896" w14:textId="713A958E" w:rsidR="000C06E0" w:rsidRPr="008B1D88" w:rsidRDefault="00EC4C55" w:rsidP="00DC0F14">
      <w:pPr>
        <w:pStyle w:val="Odstavecseseznamem"/>
        <w:numPr>
          <w:ilvl w:val="0"/>
          <w:numId w:val="58"/>
        </w:numPr>
        <w:spacing w:after="0"/>
        <w:ind w:left="284" w:hanging="284"/>
        <w:jc w:val="both"/>
        <w:rPr>
          <w:rFonts w:cstheme="minorHAnsi"/>
        </w:rPr>
      </w:pPr>
      <w:r w:rsidRPr="008B1D88">
        <w:rPr>
          <w:rFonts w:cstheme="minorHAnsi"/>
        </w:rPr>
        <w:t>nedostatečně upravená pravidla pro realizaci projektu následného využití území (dále též „PNV“)</w:t>
      </w:r>
      <w:r w:rsidR="008302F8" w:rsidRPr="008B1D88">
        <w:rPr>
          <w:rFonts w:cstheme="minorHAnsi"/>
        </w:rPr>
        <w:t>.</w:t>
      </w:r>
      <w:r w:rsidRPr="008B1D88">
        <w:rPr>
          <w:rFonts w:cstheme="minorHAnsi"/>
        </w:rPr>
        <w:t xml:space="preserve"> Mezi základními předpoklady při přípravě programu bylo i</w:t>
      </w:r>
      <w:r w:rsidR="00E87EAA">
        <w:rPr>
          <w:rFonts w:cstheme="minorHAnsi"/>
        </w:rPr>
        <w:t xml:space="preserve"> to</w:t>
      </w:r>
      <w:r w:rsidRPr="008B1D88">
        <w:rPr>
          <w:rFonts w:cstheme="minorHAnsi"/>
        </w:rPr>
        <w:t xml:space="preserve">, že </w:t>
      </w:r>
      <w:r w:rsidR="00E87EAA">
        <w:rPr>
          <w:rFonts w:cstheme="minorHAnsi"/>
        </w:rPr>
        <w:t>PNV měl zahrnovat výstavbu nového objektu</w:t>
      </w:r>
      <w:r w:rsidRPr="008B1D88">
        <w:rPr>
          <w:rFonts w:cstheme="minorHAnsi"/>
        </w:rPr>
        <w:t xml:space="preserve">. MMR ale tuto skutečnost do </w:t>
      </w:r>
      <w:r w:rsidR="0066042E" w:rsidRPr="008B1D88">
        <w:rPr>
          <w:rFonts w:cstheme="minorHAnsi"/>
        </w:rPr>
        <w:t>d</w:t>
      </w:r>
      <w:r w:rsidRPr="008B1D88">
        <w:rPr>
          <w:rFonts w:cstheme="minorHAnsi"/>
        </w:rPr>
        <w:t>okumentace podprogramu nepřeneslo a schválená pravidla povinnost výstavby objektu nepředepisovala</w:t>
      </w:r>
      <w:r w:rsidR="008302F8" w:rsidRPr="008B1D88">
        <w:rPr>
          <w:rFonts w:cstheme="minorHAnsi"/>
        </w:rPr>
        <w:t>.</w:t>
      </w:r>
      <w:r w:rsidRPr="008B1D88">
        <w:rPr>
          <w:rFonts w:cstheme="minorHAnsi"/>
        </w:rPr>
        <w:t xml:space="preserve"> Kontrolou NKÚ bylo ověřeno, že PNV byl ve velké většině realizován pouze v podobě zatravnění pozemků, případně s jejich přeměnou do podoby odpočinkové zóny nebo parkoviště. MMR dále v průběhu realizace podprogramu přijalo opatření, kterým se realizace projektu následného využití stala od roku</w:t>
      </w:r>
      <w:r w:rsidR="00CD3254" w:rsidRPr="008B1D88">
        <w:rPr>
          <w:rFonts w:cstheme="minorHAnsi"/>
        </w:rPr>
        <w:t xml:space="preserve"> 2018</w:t>
      </w:r>
      <w:r w:rsidRPr="008B1D88">
        <w:rPr>
          <w:rFonts w:cstheme="minorHAnsi"/>
        </w:rPr>
        <w:t xml:space="preserve"> nepovinnou</w:t>
      </w:r>
      <w:r w:rsidR="00230895">
        <w:rPr>
          <w:rFonts w:cstheme="minorHAnsi"/>
        </w:rPr>
        <w:t>;</w:t>
      </w:r>
    </w:p>
    <w:p w14:paraId="4C3673AF" w14:textId="6D5A3A79" w:rsidR="000C06E0" w:rsidRDefault="00230895" w:rsidP="00DC0F14">
      <w:pPr>
        <w:pStyle w:val="Odstavecseseznamem"/>
        <w:numPr>
          <w:ilvl w:val="0"/>
          <w:numId w:val="58"/>
        </w:numPr>
        <w:ind w:left="284" w:hanging="284"/>
        <w:jc w:val="both"/>
        <w:rPr>
          <w:rFonts w:cstheme="minorHAnsi"/>
        </w:rPr>
      </w:pPr>
      <w:r>
        <w:rPr>
          <w:rFonts w:cstheme="minorHAnsi"/>
        </w:rPr>
        <w:t>p</w:t>
      </w:r>
      <w:r w:rsidR="007D6460">
        <w:rPr>
          <w:rFonts w:cstheme="minorHAnsi"/>
        </w:rPr>
        <w:t>ochybení</w:t>
      </w:r>
      <w:r w:rsidR="00EC4C55">
        <w:rPr>
          <w:rFonts w:cstheme="minorHAnsi"/>
        </w:rPr>
        <w:t xml:space="preserve"> MMR, které v rozhodnutích o poskytnutí dotace vydaných v letech </w:t>
      </w:r>
      <w:r w:rsidR="003209D3">
        <w:rPr>
          <w:rFonts w:cstheme="minorHAnsi"/>
        </w:rPr>
        <w:t xml:space="preserve">2016 a 2017 </w:t>
      </w:r>
      <w:r w:rsidR="00EC4C55">
        <w:rPr>
          <w:rFonts w:cstheme="minorHAnsi"/>
        </w:rPr>
        <w:t xml:space="preserve">stanovilo příjemcům pouze pětiletý závazek nepřevést dotčený pozemek na jinou osobu, přestože platné podmínky podprogramu po celou dobu realizace stanovily, že závazek </w:t>
      </w:r>
      <w:r w:rsidR="005F49B8">
        <w:rPr>
          <w:rFonts w:cstheme="minorHAnsi"/>
        </w:rPr>
        <w:t xml:space="preserve">má být </w:t>
      </w:r>
      <w:r w:rsidR="00EC4C55">
        <w:rPr>
          <w:rFonts w:cstheme="minorHAnsi"/>
        </w:rPr>
        <w:t>desetiletý.</w:t>
      </w:r>
    </w:p>
    <w:p w14:paraId="6000EC52" w14:textId="77777777" w:rsidR="00A13694" w:rsidRDefault="009449A4" w:rsidP="009449A4">
      <w:pPr>
        <w:pStyle w:val="Nadpis2"/>
        <w:jc w:val="both"/>
      </w:pPr>
      <w:r>
        <w:t xml:space="preserve">2. </w:t>
      </w:r>
      <w:r w:rsidR="00EC4C55" w:rsidRPr="00A13694">
        <w:t>Alokace podprogramu a její čerpání</w:t>
      </w:r>
    </w:p>
    <w:p w14:paraId="1E76FE47" w14:textId="77777777" w:rsidR="005A593A" w:rsidRPr="009449A4" w:rsidRDefault="00EC4C55" w:rsidP="005A593A">
      <w:pPr>
        <w:pStyle w:val="Nadpis3"/>
        <w:rPr>
          <w:u w:val="none"/>
        </w:rPr>
      </w:pPr>
      <w:r w:rsidRPr="009449A4">
        <w:rPr>
          <w:u w:val="none"/>
        </w:rPr>
        <w:t>Odhad alokace neodpovídal skutečné potřebě</w:t>
      </w:r>
    </w:p>
    <w:p w14:paraId="5605A044" w14:textId="3CF375CD" w:rsidR="00026221" w:rsidRDefault="00EC4C55" w:rsidP="00026221">
      <w:pPr>
        <w:jc w:val="both"/>
      </w:pPr>
      <w:r>
        <w:t xml:space="preserve">První známé informace o záměru připravit nový podprogram pro podporu demolic objektů </w:t>
      </w:r>
      <w:r w:rsidR="008766E2">
        <w:t>byly</w:t>
      </w:r>
      <w:r>
        <w:t xml:space="preserve"> ve</w:t>
      </w:r>
      <w:r w:rsidR="00230895">
        <w:t xml:space="preserve"> </w:t>
      </w:r>
      <w:r>
        <w:t xml:space="preserve">veřejně publikovaných zdrojích dostupné v červenci 2015. MMR </w:t>
      </w:r>
      <w:r w:rsidR="004D2ED3">
        <w:t>n</w:t>
      </w:r>
      <w:r>
        <w:t xml:space="preserve">a základě jednání souvisejících s přípravou státního rozpočtu na rok 2016 a střednědobého výhledu na roky 2017 a 2018 </w:t>
      </w:r>
      <w:r w:rsidR="004D2ED3">
        <w:t>obdrželo</w:t>
      </w:r>
      <w:r>
        <w:t xml:space="preserve"> navýšení rozpočtu MMR o 100 mil. Kč ročně na realizaci podprogramu tohoto zaměření usnesením vlády ČR č. </w:t>
      </w:r>
      <w:r w:rsidR="0030508B">
        <w:t xml:space="preserve">748 </w:t>
      </w:r>
      <w:r>
        <w:t xml:space="preserve">ze dne </w:t>
      </w:r>
      <w:r w:rsidR="0030508B">
        <w:t>23. 9. 2015</w:t>
      </w:r>
      <w:r>
        <w:t xml:space="preserve">. </w:t>
      </w:r>
    </w:p>
    <w:p w14:paraId="30E22C91" w14:textId="77777777" w:rsidR="0066042E" w:rsidRDefault="00EC4C55" w:rsidP="00026221">
      <w:pPr>
        <w:jc w:val="both"/>
      </w:pPr>
      <w:r w:rsidRPr="007D4DDB">
        <w:t>Analýza absorpční kapacity byla vyhotovena k datu 13. 11. 2015. Byla zpracována v krátkém časovém úseku pouze na území tří vybraných krajů –</w:t>
      </w:r>
      <w:r w:rsidR="00755FBC">
        <w:t xml:space="preserve"> Moravskoslezského, Ústeckého a </w:t>
      </w:r>
      <w:r w:rsidRPr="007D4DDB">
        <w:t>Karlovarského</w:t>
      </w:r>
      <w:r w:rsidR="00255B1D" w:rsidRPr="007D4DDB">
        <w:t>,</w:t>
      </w:r>
      <w:r w:rsidRPr="007D4DDB">
        <w:t xml:space="preserve"> které jsou definovány jako nejvíce strukturálně postižená území ČR</w:t>
      </w:r>
      <w:r w:rsidR="008833C3">
        <w:t>,</w:t>
      </w:r>
      <w:r w:rsidR="00755FBC">
        <w:t xml:space="preserve"> a </w:t>
      </w:r>
      <w:r w:rsidR="00255B1D" w:rsidRPr="007D4DDB">
        <w:t>zaměřila se zejména na zkoumání možného zájmu</w:t>
      </w:r>
      <w:r>
        <w:t xml:space="preserve"> obcí o dotaci</w:t>
      </w:r>
      <w:r w:rsidRPr="007D4DDB">
        <w:t xml:space="preserve">. </w:t>
      </w:r>
    </w:p>
    <w:p w14:paraId="6FD484AC" w14:textId="2EB675A6" w:rsidR="00026221" w:rsidRDefault="00EC4C55" w:rsidP="00026221">
      <w:pPr>
        <w:jc w:val="both"/>
      </w:pPr>
      <w:r w:rsidRPr="007D4DDB">
        <w:t>Závěry analýzy, která pracovala s předpokladem, že příjemcem podpory budou pouze obce, na jejichž území se nachází SVL,</w:t>
      </w:r>
      <w:r w:rsidRPr="00CA7D59">
        <w:t xml:space="preserve"> </w:t>
      </w:r>
      <w:r w:rsidRPr="007D4DDB">
        <w:t>a demolovaná nemovitost je v jej</w:t>
      </w:r>
      <w:r w:rsidR="00A30770">
        <w:t>ich</w:t>
      </w:r>
      <w:r w:rsidRPr="007D4DDB">
        <w:t xml:space="preserve"> majetku, indikovaly, že jenom pro toto území </w:t>
      </w:r>
      <w:r w:rsidR="00255B1D" w:rsidRPr="007D4DDB">
        <w:t xml:space="preserve">činí </w:t>
      </w:r>
      <w:r w:rsidRPr="007D4DDB">
        <w:t>odhadova</w:t>
      </w:r>
      <w:r w:rsidR="00255B1D" w:rsidRPr="007D4DDB">
        <w:t>ná</w:t>
      </w:r>
      <w:r w:rsidRPr="007D4DDB">
        <w:t xml:space="preserve"> potřeba finančních prostředků </w:t>
      </w:r>
      <w:r w:rsidR="00255B1D" w:rsidRPr="007D4DDB">
        <w:t>částku</w:t>
      </w:r>
      <w:r w:rsidRPr="007D4DDB">
        <w:t xml:space="preserve"> 552,2 mil. Kč. Dle analýzy byly přitom vytipovány i další vhodné objekty k demolici (bez finančního vyčíslení), které nebyly ve vlastnictví obcí. Závěry analýzy nijak nesignalizovaly, že by mohl být problém s vyčerpáním stanovené alokace </w:t>
      </w:r>
      <w:r w:rsidR="00693C90">
        <w:t>pro tříleté období</w:t>
      </w:r>
      <w:r w:rsidRPr="007D4DDB">
        <w:t xml:space="preserve"> ve výši 300 mil. Kč</w:t>
      </w:r>
      <w:r w:rsidR="009D24A7">
        <w:t>.</w:t>
      </w:r>
      <w:r w:rsidRPr="007D4DDB">
        <w:t xml:space="preserve"> Navíc</w:t>
      </w:r>
      <w:r w:rsidR="00230895">
        <w:t xml:space="preserve"> byl</w:t>
      </w:r>
      <w:r w:rsidRPr="007D4DDB">
        <w:t xml:space="preserve"> podprogram</w:t>
      </w:r>
      <w:r w:rsidR="00255B1D" w:rsidRPr="007D4DDB">
        <w:t xml:space="preserve"> připraven</w:t>
      </w:r>
      <w:r w:rsidRPr="007D4DDB">
        <w:t xml:space="preserve"> </w:t>
      </w:r>
      <w:r w:rsidR="00255B1D" w:rsidRPr="007D4DDB">
        <w:t>pro</w:t>
      </w:r>
      <w:r w:rsidRPr="007D4DDB">
        <w:t xml:space="preserve"> území celé ČR, nejenom </w:t>
      </w:r>
      <w:r w:rsidR="00255B1D" w:rsidRPr="007D4DDB">
        <w:t xml:space="preserve">pro </w:t>
      </w:r>
      <w:r w:rsidRPr="007D4DDB">
        <w:t>tř</w:t>
      </w:r>
      <w:r w:rsidR="00255B1D" w:rsidRPr="007D4DDB">
        <w:t>i</w:t>
      </w:r>
      <w:r w:rsidRPr="007D4DDB">
        <w:t xml:space="preserve"> </w:t>
      </w:r>
      <w:r w:rsidR="00255B1D" w:rsidRPr="007D4DDB">
        <w:t>zkoumané</w:t>
      </w:r>
      <w:r w:rsidR="009D24A7">
        <w:t xml:space="preserve"> a původně preferované </w:t>
      </w:r>
      <w:r w:rsidRPr="007D4DDB">
        <w:t>kraj</w:t>
      </w:r>
      <w:r w:rsidR="00255B1D" w:rsidRPr="007D4DDB">
        <w:t>e</w:t>
      </w:r>
      <w:r w:rsidRPr="007D4DDB">
        <w:t xml:space="preserve">. </w:t>
      </w:r>
    </w:p>
    <w:p w14:paraId="46F2BE0F" w14:textId="20E598E2" w:rsidR="00026221" w:rsidRDefault="00EC4C55" w:rsidP="00026221">
      <w:pPr>
        <w:jc w:val="both"/>
      </w:pPr>
      <w:r w:rsidRPr="008B1D88">
        <w:t xml:space="preserve">Následující tabulka č. </w:t>
      </w:r>
      <w:r w:rsidR="00DC79FD" w:rsidRPr="008B1D88">
        <w:t>1</w:t>
      </w:r>
      <w:r w:rsidRPr="008B1D88">
        <w:t xml:space="preserve"> zobrazuje zájem žadatelů o podporu v rámci podprogramu </w:t>
      </w:r>
      <w:r w:rsidR="00A30770" w:rsidRPr="008B1D88">
        <w:t>u výzev pro roky 2016</w:t>
      </w:r>
      <w:r w:rsidR="008130F6">
        <w:t>–</w:t>
      </w:r>
      <w:r w:rsidR="00A30770" w:rsidRPr="008B1D88">
        <w:t>2018</w:t>
      </w:r>
      <w:r w:rsidRPr="008B1D88">
        <w:t xml:space="preserve"> a dosavadní čerpání.</w:t>
      </w:r>
    </w:p>
    <w:p w14:paraId="69721DCA" w14:textId="0739DBA4" w:rsidR="000C54B7" w:rsidRPr="004C778A" w:rsidRDefault="00EC4C55" w:rsidP="009449A4">
      <w:pPr>
        <w:tabs>
          <w:tab w:val="right" w:pos="9072"/>
        </w:tabs>
        <w:spacing w:after="40"/>
        <w:jc w:val="both"/>
        <w:rPr>
          <w:b/>
        </w:rPr>
      </w:pPr>
      <w:r w:rsidRPr="004C778A">
        <w:rPr>
          <w:b/>
        </w:rPr>
        <w:t xml:space="preserve">Tabulka č. </w:t>
      </w:r>
      <w:r w:rsidR="00394932" w:rsidRPr="004C778A">
        <w:rPr>
          <w:b/>
        </w:rPr>
        <w:fldChar w:fldCharType="begin"/>
      </w:r>
      <w:r w:rsidR="00394932" w:rsidRPr="004C778A">
        <w:rPr>
          <w:b/>
        </w:rPr>
        <w:instrText xml:space="preserve"> SEQ Tabulka_č. \* ARABIC </w:instrText>
      </w:r>
      <w:r w:rsidR="00394932" w:rsidRPr="004C778A">
        <w:rPr>
          <w:b/>
        </w:rPr>
        <w:fldChar w:fldCharType="separate"/>
      </w:r>
      <w:r w:rsidR="00D22FA5">
        <w:rPr>
          <w:b/>
          <w:noProof/>
        </w:rPr>
        <w:t>1</w:t>
      </w:r>
      <w:r w:rsidR="00394932" w:rsidRPr="004C778A">
        <w:rPr>
          <w:b/>
          <w:noProof/>
        </w:rPr>
        <w:fldChar w:fldCharType="end"/>
      </w:r>
      <w:r w:rsidRPr="004C778A">
        <w:rPr>
          <w:b/>
        </w:rPr>
        <w:t xml:space="preserve">: Čerpání </w:t>
      </w:r>
      <w:r w:rsidR="000E496B" w:rsidRPr="004C778A">
        <w:rPr>
          <w:b/>
        </w:rPr>
        <w:t>prostředků z</w:t>
      </w:r>
      <w:r w:rsidR="00755FBC">
        <w:rPr>
          <w:b/>
        </w:rPr>
        <w:t xml:space="preserve"> výzev pro roky 2016–</w:t>
      </w:r>
      <w:r w:rsidRPr="004C778A">
        <w:rPr>
          <w:b/>
        </w:rPr>
        <w:t xml:space="preserve">2018 </w:t>
      </w:r>
      <w:r w:rsidR="000E496B" w:rsidRPr="004C778A">
        <w:rPr>
          <w:b/>
        </w:rPr>
        <w:t>k </w:t>
      </w:r>
      <w:r w:rsidR="00034298" w:rsidRPr="004C778A">
        <w:rPr>
          <w:b/>
        </w:rPr>
        <w:t>25. 2. 2020</w:t>
      </w:r>
      <w:r w:rsidR="000E496B" w:rsidRPr="004C778A">
        <w:rPr>
          <w:b/>
        </w:rPr>
        <w:t xml:space="preserve"> </w:t>
      </w:r>
      <w:r w:rsidR="008130F6">
        <w:rPr>
          <w:b/>
        </w:rPr>
        <w:tab/>
      </w:r>
      <w:r w:rsidRPr="004C778A">
        <w:rPr>
          <w:b/>
        </w:rPr>
        <w:t>(v Kč)</w:t>
      </w:r>
    </w:p>
    <w:tbl>
      <w:tblPr>
        <w:tblStyle w:val="Mkatabulky"/>
        <w:tblW w:w="9026" w:type="dxa"/>
        <w:jc w:val="center"/>
        <w:tblLook w:val="04A0" w:firstRow="1" w:lastRow="0" w:firstColumn="1" w:lastColumn="0" w:noHBand="0" w:noVBand="1"/>
      </w:tblPr>
      <w:tblGrid>
        <w:gridCol w:w="1701"/>
        <w:gridCol w:w="2488"/>
        <w:gridCol w:w="2586"/>
        <w:gridCol w:w="2251"/>
      </w:tblGrid>
      <w:tr w:rsidR="00524A07" w14:paraId="314C0A63" w14:textId="77777777" w:rsidTr="009449A4">
        <w:trPr>
          <w:trHeight w:val="283"/>
          <w:jc w:val="center"/>
        </w:trPr>
        <w:tc>
          <w:tcPr>
            <w:tcW w:w="1701"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59EDAE24" w14:textId="77777777" w:rsidR="00524A07" w:rsidRDefault="00524A07">
            <w:pPr>
              <w:keepNext/>
              <w:spacing w:after="0"/>
              <w:jc w:val="center"/>
              <w:rPr>
                <w:rFonts w:ascii="Calibri" w:eastAsia="Times New Roman" w:hAnsi="Calibri"/>
                <w:b/>
                <w:sz w:val="20"/>
              </w:rPr>
            </w:pPr>
            <w:r>
              <w:rPr>
                <w:rFonts w:ascii="Calibri" w:eastAsia="Times New Roman" w:hAnsi="Calibri" w:cs="Calibri"/>
                <w:b/>
                <w:sz w:val="20"/>
              </w:rPr>
              <w:t>Rok</w:t>
            </w:r>
          </w:p>
        </w:tc>
        <w:tc>
          <w:tcPr>
            <w:tcW w:w="2488"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0E3E7A2A" w14:textId="77777777" w:rsidR="00524A07" w:rsidRDefault="00524A07">
            <w:pPr>
              <w:keepNext/>
              <w:spacing w:after="0"/>
              <w:jc w:val="center"/>
              <w:rPr>
                <w:rFonts w:ascii="Calibri" w:eastAsia="Times New Roman" w:hAnsi="Calibri" w:cs="Calibri"/>
                <w:b/>
                <w:sz w:val="20"/>
              </w:rPr>
            </w:pPr>
            <w:r>
              <w:rPr>
                <w:rFonts w:ascii="Calibri" w:eastAsia="Times New Roman" w:hAnsi="Calibri" w:cs="Calibri"/>
                <w:b/>
                <w:sz w:val="20"/>
              </w:rPr>
              <w:t xml:space="preserve">Předložené žádosti </w:t>
            </w:r>
          </w:p>
        </w:tc>
        <w:tc>
          <w:tcPr>
            <w:tcW w:w="2586"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0DE163FE" w14:textId="77777777" w:rsidR="00524A07" w:rsidRDefault="00524A07">
            <w:pPr>
              <w:keepNext/>
              <w:spacing w:after="0"/>
              <w:jc w:val="center"/>
              <w:rPr>
                <w:rFonts w:ascii="Calibri" w:eastAsia="Times New Roman" w:hAnsi="Calibri" w:cs="Calibri"/>
                <w:b/>
                <w:sz w:val="20"/>
              </w:rPr>
            </w:pPr>
            <w:r>
              <w:rPr>
                <w:rFonts w:ascii="Calibri" w:eastAsia="Times New Roman" w:hAnsi="Calibri" w:cs="Calibri"/>
                <w:b/>
                <w:sz w:val="20"/>
              </w:rPr>
              <w:t xml:space="preserve">Schválené žádosti </w:t>
            </w:r>
          </w:p>
        </w:tc>
        <w:tc>
          <w:tcPr>
            <w:tcW w:w="2251" w:type="dxa"/>
            <w:tcBorders>
              <w:top w:val="single" w:sz="4" w:space="0" w:color="auto"/>
              <w:left w:val="single" w:sz="4" w:space="0" w:color="auto"/>
              <w:bottom w:val="single" w:sz="4" w:space="0" w:color="auto"/>
              <w:right w:val="single" w:sz="4" w:space="0" w:color="auto"/>
            </w:tcBorders>
            <w:shd w:val="clear" w:color="auto" w:fill="E5F1FF"/>
            <w:hideMark/>
          </w:tcPr>
          <w:p w14:paraId="1AC5CCBC" w14:textId="77777777" w:rsidR="00524A07" w:rsidRDefault="00524A07">
            <w:pPr>
              <w:keepNext/>
              <w:spacing w:after="0"/>
              <w:jc w:val="center"/>
              <w:rPr>
                <w:rFonts w:ascii="Calibri" w:eastAsia="Times New Roman" w:hAnsi="Calibri" w:cs="Calibri"/>
                <w:b/>
                <w:sz w:val="20"/>
              </w:rPr>
            </w:pPr>
            <w:r>
              <w:rPr>
                <w:rFonts w:ascii="Calibri" w:eastAsia="Times New Roman" w:hAnsi="Calibri" w:cs="Calibri"/>
                <w:b/>
                <w:sz w:val="20"/>
              </w:rPr>
              <w:t>Čerpáno</w:t>
            </w:r>
          </w:p>
        </w:tc>
      </w:tr>
      <w:tr w:rsidR="00524A07" w14:paraId="5A126A37" w14:textId="77777777" w:rsidTr="009449A4">
        <w:trPr>
          <w:trHeight w:val="28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4D373362" w14:textId="77777777" w:rsidR="00524A07" w:rsidRDefault="00524A07">
            <w:pPr>
              <w:keepNext/>
              <w:spacing w:after="0"/>
              <w:jc w:val="center"/>
              <w:rPr>
                <w:rFonts w:ascii="Calibri" w:eastAsia="Times New Roman" w:hAnsi="Calibri" w:cs="Calibri"/>
                <w:sz w:val="20"/>
              </w:rPr>
            </w:pPr>
            <w:r>
              <w:rPr>
                <w:rFonts w:ascii="Calibri" w:eastAsia="Times New Roman" w:hAnsi="Calibri" w:cs="Calibri"/>
                <w:sz w:val="20"/>
              </w:rPr>
              <w:t>2016</w:t>
            </w:r>
          </w:p>
        </w:tc>
        <w:tc>
          <w:tcPr>
            <w:tcW w:w="2488" w:type="dxa"/>
            <w:tcBorders>
              <w:top w:val="single" w:sz="4" w:space="0" w:color="auto"/>
              <w:left w:val="single" w:sz="4" w:space="0" w:color="auto"/>
              <w:bottom w:val="single" w:sz="4" w:space="0" w:color="auto"/>
              <w:right w:val="single" w:sz="4" w:space="0" w:color="auto"/>
            </w:tcBorders>
            <w:vAlign w:val="center"/>
            <w:hideMark/>
          </w:tcPr>
          <w:p w14:paraId="59BB1203" w14:textId="77777777" w:rsidR="00524A07" w:rsidRDefault="00524A07" w:rsidP="009449A4">
            <w:pPr>
              <w:keepNext/>
              <w:spacing w:after="0"/>
              <w:ind w:right="394"/>
              <w:jc w:val="right"/>
              <w:rPr>
                <w:rFonts w:ascii="Calibri" w:eastAsia="Times New Roman" w:hAnsi="Calibri" w:cs="Calibri"/>
                <w:sz w:val="20"/>
              </w:rPr>
            </w:pPr>
            <w:r>
              <w:rPr>
                <w:rFonts w:ascii="Calibri" w:eastAsia="Times New Roman" w:hAnsi="Calibri" w:cs="Calibri"/>
                <w:sz w:val="20"/>
              </w:rPr>
              <w:t xml:space="preserve">82 578 197 </w:t>
            </w:r>
          </w:p>
        </w:tc>
        <w:tc>
          <w:tcPr>
            <w:tcW w:w="2586" w:type="dxa"/>
            <w:tcBorders>
              <w:top w:val="single" w:sz="4" w:space="0" w:color="auto"/>
              <w:left w:val="single" w:sz="4" w:space="0" w:color="auto"/>
              <w:bottom w:val="single" w:sz="4" w:space="0" w:color="auto"/>
              <w:right w:val="single" w:sz="4" w:space="0" w:color="auto"/>
            </w:tcBorders>
            <w:vAlign w:val="center"/>
            <w:hideMark/>
          </w:tcPr>
          <w:p w14:paraId="78AEEE01" w14:textId="77777777" w:rsidR="00524A07" w:rsidRDefault="00524A07" w:rsidP="009449A4">
            <w:pPr>
              <w:keepNext/>
              <w:spacing w:after="0"/>
              <w:ind w:right="394"/>
              <w:jc w:val="right"/>
              <w:rPr>
                <w:rFonts w:ascii="Calibri" w:eastAsia="Times New Roman" w:hAnsi="Calibri" w:cs="Calibri"/>
                <w:sz w:val="20"/>
              </w:rPr>
            </w:pPr>
            <w:r>
              <w:rPr>
                <w:rFonts w:ascii="Calibri" w:eastAsia="Times New Roman" w:hAnsi="Calibri" w:cs="Calibri"/>
                <w:sz w:val="20"/>
              </w:rPr>
              <w:t xml:space="preserve">68 795 319 </w:t>
            </w:r>
          </w:p>
        </w:tc>
        <w:tc>
          <w:tcPr>
            <w:tcW w:w="2251" w:type="dxa"/>
            <w:tcBorders>
              <w:top w:val="single" w:sz="4" w:space="0" w:color="auto"/>
              <w:left w:val="single" w:sz="4" w:space="0" w:color="auto"/>
              <w:bottom w:val="single" w:sz="4" w:space="0" w:color="auto"/>
              <w:right w:val="single" w:sz="4" w:space="0" w:color="auto"/>
            </w:tcBorders>
            <w:vAlign w:val="center"/>
            <w:hideMark/>
          </w:tcPr>
          <w:p w14:paraId="69ED924C" w14:textId="77777777" w:rsidR="00524A07" w:rsidRDefault="00524A07" w:rsidP="009449A4">
            <w:pPr>
              <w:keepNext/>
              <w:spacing w:after="0"/>
              <w:ind w:right="394"/>
              <w:jc w:val="right"/>
              <w:rPr>
                <w:rFonts w:ascii="Calibri" w:eastAsia="Times New Roman" w:hAnsi="Calibri" w:cs="Calibri"/>
                <w:sz w:val="20"/>
              </w:rPr>
            </w:pPr>
            <w:r>
              <w:rPr>
                <w:rFonts w:ascii="Calibri" w:eastAsia="Times New Roman" w:hAnsi="Calibri" w:cs="Calibri"/>
                <w:sz w:val="20"/>
              </w:rPr>
              <w:t xml:space="preserve">25 439 165 </w:t>
            </w:r>
          </w:p>
        </w:tc>
      </w:tr>
      <w:tr w:rsidR="00524A07" w14:paraId="2943D30F" w14:textId="77777777" w:rsidTr="009449A4">
        <w:trPr>
          <w:trHeight w:val="28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0F819C72" w14:textId="77777777" w:rsidR="00524A07" w:rsidRDefault="00524A07">
            <w:pPr>
              <w:keepNext/>
              <w:spacing w:after="0"/>
              <w:jc w:val="center"/>
              <w:rPr>
                <w:rFonts w:ascii="Calibri" w:eastAsia="Times New Roman" w:hAnsi="Calibri" w:cs="Calibri"/>
                <w:sz w:val="20"/>
              </w:rPr>
            </w:pPr>
            <w:r>
              <w:rPr>
                <w:rFonts w:ascii="Calibri" w:eastAsia="Times New Roman" w:hAnsi="Calibri" w:cs="Calibri"/>
                <w:sz w:val="20"/>
              </w:rPr>
              <w:t>2017</w:t>
            </w:r>
          </w:p>
        </w:tc>
        <w:tc>
          <w:tcPr>
            <w:tcW w:w="2488" w:type="dxa"/>
            <w:tcBorders>
              <w:top w:val="single" w:sz="4" w:space="0" w:color="auto"/>
              <w:left w:val="single" w:sz="4" w:space="0" w:color="auto"/>
              <w:bottom w:val="single" w:sz="4" w:space="0" w:color="auto"/>
              <w:right w:val="single" w:sz="4" w:space="0" w:color="auto"/>
            </w:tcBorders>
            <w:vAlign w:val="center"/>
            <w:hideMark/>
          </w:tcPr>
          <w:p w14:paraId="7A5B7A6E" w14:textId="77777777" w:rsidR="00524A07" w:rsidRDefault="00524A07" w:rsidP="009449A4">
            <w:pPr>
              <w:keepNext/>
              <w:spacing w:after="0"/>
              <w:ind w:right="394"/>
              <w:jc w:val="right"/>
              <w:rPr>
                <w:rFonts w:ascii="Calibri" w:eastAsia="Times New Roman" w:hAnsi="Calibri" w:cs="Calibri"/>
                <w:sz w:val="20"/>
              </w:rPr>
            </w:pPr>
            <w:r>
              <w:rPr>
                <w:rFonts w:ascii="Calibri" w:eastAsia="Times New Roman" w:hAnsi="Calibri" w:cs="Calibri"/>
                <w:sz w:val="20"/>
              </w:rPr>
              <w:t xml:space="preserve">113 418 654 </w:t>
            </w:r>
          </w:p>
        </w:tc>
        <w:tc>
          <w:tcPr>
            <w:tcW w:w="2586" w:type="dxa"/>
            <w:tcBorders>
              <w:top w:val="single" w:sz="4" w:space="0" w:color="auto"/>
              <w:left w:val="single" w:sz="4" w:space="0" w:color="auto"/>
              <w:bottom w:val="single" w:sz="4" w:space="0" w:color="auto"/>
              <w:right w:val="single" w:sz="4" w:space="0" w:color="auto"/>
            </w:tcBorders>
            <w:vAlign w:val="center"/>
            <w:hideMark/>
          </w:tcPr>
          <w:p w14:paraId="2274D6EF" w14:textId="77777777" w:rsidR="00524A07" w:rsidRDefault="00524A07" w:rsidP="009449A4">
            <w:pPr>
              <w:keepNext/>
              <w:spacing w:after="0"/>
              <w:ind w:right="394"/>
              <w:jc w:val="right"/>
              <w:rPr>
                <w:rFonts w:ascii="Calibri" w:eastAsia="Times New Roman" w:hAnsi="Calibri" w:cs="Calibri"/>
                <w:sz w:val="20"/>
              </w:rPr>
            </w:pPr>
            <w:r>
              <w:rPr>
                <w:rFonts w:ascii="Calibri" w:eastAsia="Times New Roman" w:hAnsi="Calibri" w:cs="Calibri"/>
                <w:sz w:val="20"/>
              </w:rPr>
              <w:t xml:space="preserve">88 503 014 </w:t>
            </w:r>
          </w:p>
        </w:tc>
        <w:tc>
          <w:tcPr>
            <w:tcW w:w="2251" w:type="dxa"/>
            <w:tcBorders>
              <w:top w:val="single" w:sz="4" w:space="0" w:color="auto"/>
              <w:left w:val="single" w:sz="4" w:space="0" w:color="auto"/>
              <w:bottom w:val="single" w:sz="4" w:space="0" w:color="auto"/>
              <w:right w:val="single" w:sz="4" w:space="0" w:color="auto"/>
            </w:tcBorders>
            <w:vAlign w:val="center"/>
            <w:hideMark/>
          </w:tcPr>
          <w:p w14:paraId="776643CC" w14:textId="77777777" w:rsidR="00524A07" w:rsidRDefault="00524A07" w:rsidP="009449A4">
            <w:pPr>
              <w:keepNext/>
              <w:spacing w:after="0"/>
              <w:ind w:right="394"/>
              <w:jc w:val="right"/>
              <w:rPr>
                <w:rFonts w:ascii="Calibri" w:eastAsia="Times New Roman" w:hAnsi="Calibri" w:cs="Calibri"/>
                <w:sz w:val="20"/>
              </w:rPr>
            </w:pPr>
            <w:r>
              <w:rPr>
                <w:rFonts w:ascii="Calibri" w:eastAsia="Times New Roman" w:hAnsi="Calibri" w:cs="Calibri"/>
                <w:sz w:val="20"/>
              </w:rPr>
              <w:t xml:space="preserve">42 013 927 </w:t>
            </w:r>
          </w:p>
        </w:tc>
      </w:tr>
      <w:tr w:rsidR="00524A07" w14:paraId="638FC397" w14:textId="77777777" w:rsidTr="009449A4">
        <w:trPr>
          <w:trHeight w:val="283"/>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2A04BA4C" w14:textId="77777777" w:rsidR="00524A07" w:rsidRDefault="00524A07">
            <w:pPr>
              <w:keepNext/>
              <w:spacing w:after="0"/>
              <w:jc w:val="center"/>
              <w:rPr>
                <w:rFonts w:ascii="Calibri" w:eastAsia="Times New Roman" w:hAnsi="Calibri" w:cs="Calibri"/>
                <w:sz w:val="20"/>
              </w:rPr>
            </w:pPr>
            <w:r>
              <w:rPr>
                <w:rFonts w:ascii="Calibri" w:eastAsia="Times New Roman" w:hAnsi="Calibri" w:cs="Calibri"/>
                <w:sz w:val="20"/>
              </w:rPr>
              <w:t>2018</w:t>
            </w:r>
          </w:p>
        </w:tc>
        <w:tc>
          <w:tcPr>
            <w:tcW w:w="2488" w:type="dxa"/>
            <w:tcBorders>
              <w:top w:val="single" w:sz="4" w:space="0" w:color="auto"/>
              <w:left w:val="single" w:sz="4" w:space="0" w:color="auto"/>
              <w:bottom w:val="single" w:sz="4" w:space="0" w:color="auto"/>
              <w:right w:val="single" w:sz="4" w:space="0" w:color="auto"/>
            </w:tcBorders>
            <w:vAlign w:val="center"/>
            <w:hideMark/>
          </w:tcPr>
          <w:p w14:paraId="126BB2E7" w14:textId="77777777" w:rsidR="00524A07" w:rsidRDefault="00524A07" w:rsidP="009449A4">
            <w:pPr>
              <w:keepNext/>
              <w:spacing w:after="0"/>
              <w:ind w:right="394"/>
              <w:jc w:val="right"/>
              <w:rPr>
                <w:rFonts w:ascii="Calibri" w:eastAsia="Times New Roman" w:hAnsi="Calibri" w:cs="Calibri"/>
                <w:sz w:val="20"/>
              </w:rPr>
            </w:pPr>
            <w:r>
              <w:rPr>
                <w:rFonts w:ascii="Calibri" w:eastAsia="Times New Roman" w:hAnsi="Calibri" w:cs="Calibri"/>
                <w:sz w:val="20"/>
              </w:rPr>
              <w:t xml:space="preserve">121 571 850 </w:t>
            </w:r>
          </w:p>
        </w:tc>
        <w:tc>
          <w:tcPr>
            <w:tcW w:w="2586" w:type="dxa"/>
            <w:tcBorders>
              <w:top w:val="single" w:sz="4" w:space="0" w:color="auto"/>
              <w:left w:val="single" w:sz="4" w:space="0" w:color="auto"/>
              <w:bottom w:val="single" w:sz="4" w:space="0" w:color="auto"/>
              <w:right w:val="single" w:sz="4" w:space="0" w:color="auto"/>
            </w:tcBorders>
            <w:vAlign w:val="center"/>
            <w:hideMark/>
          </w:tcPr>
          <w:p w14:paraId="48BB11B9" w14:textId="77777777" w:rsidR="00524A07" w:rsidRDefault="00524A07" w:rsidP="009449A4">
            <w:pPr>
              <w:keepNext/>
              <w:spacing w:after="0"/>
              <w:ind w:right="394"/>
              <w:jc w:val="right"/>
              <w:rPr>
                <w:rFonts w:ascii="Calibri" w:eastAsia="Times New Roman" w:hAnsi="Calibri" w:cs="Calibri"/>
                <w:sz w:val="20"/>
              </w:rPr>
            </w:pPr>
            <w:r>
              <w:rPr>
                <w:rFonts w:ascii="Calibri" w:eastAsia="Times New Roman" w:hAnsi="Calibri" w:cs="Calibri"/>
                <w:sz w:val="20"/>
              </w:rPr>
              <w:t xml:space="preserve">113 666 835 </w:t>
            </w:r>
          </w:p>
        </w:tc>
        <w:tc>
          <w:tcPr>
            <w:tcW w:w="2251" w:type="dxa"/>
            <w:tcBorders>
              <w:top w:val="single" w:sz="4" w:space="0" w:color="auto"/>
              <w:left w:val="single" w:sz="4" w:space="0" w:color="auto"/>
              <w:bottom w:val="single" w:sz="4" w:space="0" w:color="auto"/>
              <w:right w:val="single" w:sz="4" w:space="0" w:color="auto"/>
            </w:tcBorders>
            <w:vAlign w:val="center"/>
            <w:hideMark/>
          </w:tcPr>
          <w:p w14:paraId="4BA3BCD3" w14:textId="77777777" w:rsidR="00524A07" w:rsidRDefault="00524A07" w:rsidP="009449A4">
            <w:pPr>
              <w:keepNext/>
              <w:spacing w:after="0"/>
              <w:ind w:right="394"/>
              <w:jc w:val="right"/>
              <w:rPr>
                <w:rFonts w:ascii="Calibri" w:eastAsia="Times New Roman" w:hAnsi="Calibri" w:cs="Calibri"/>
                <w:sz w:val="20"/>
              </w:rPr>
            </w:pPr>
            <w:r>
              <w:rPr>
                <w:rFonts w:ascii="Calibri" w:eastAsia="Times New Roman" w:hAnsi="Calibri" w:cs="Calibri"/>
                <w:sz w:val="20"/>
              </w:rPr>
              <w:t xml:space="preserve">46 757 870 </w:t>
            </w:r>
          </w:p>
        </w:tc>
      </w:tr>
      <w:tr w:rsidR="00524A07" w14:paraId="449A42C7" w14:textId="77777777" w:rsidTr="009449A4">
        <w:trPr>
          <w:trHeight w:val="283"/>
          <w:jc w:val="center"/>
        </w:trPr>
        <w:tc>
          <w:tcPr>
            <w:tcW w:w="1701" w:type="dxa"/>
            <w:tcBorders>
              <w:top w:val="single" w:sz="4" w:space="0" w:color="auto"/>
              <w:left w:val="single" w:sz="4" w:space="0" w:color="auto"/>
              <w:bottom w:val="single" w:sz="4" w:space="0" w:color="auto"/>
              <w:right w:val="single" w:sz="4" w:space="0" w:color="auto"/>
            </w:tcBorders>
            <w:shd w:val="clear" w:color="auto" w:fill="F2C6C9"/>
            <w:vAlign w:val="center"/>
            <w:hideMark/>
          </w:tcPr>
          <w:p w14:paraId="1D4F6900" w14:textId="77777777" w:rsidR="00524A07" w:rsidRDefault="00524A07">
            <w:pPr>
              <w:keepNext/>
              <w:spacing w:after="0"/>
              <w:jc w:val="center"/>
              <w:rPr>
                <w:rFonts w:ascii="Calibri" w:eastAsia="Times New Roman" w:hAnsi="Calibri" w:cs="Calibri"/>
                <w:b/>
                <w:sz w:val="20"/>
              </w:rPr>
            </w:pPr>
            <w:r>
              <w:rPr>
                <w:rFonts w:ascii="Calibri" w:hAnsi="Calibri" w:cs="Calibri"/>
                <w:b/>
                <w:sz w:val="20"/>
              </w:rPr>
              <w:t>Celkem</w:t>
            </w:r>
          </w:p>
        </w:tc>
        <w:tc>
          <w:tcPr>
            <w:tcW w:w="2488" w:type="dxa"/>
            <w:tcBorders>
              <w:top w:val="single" w:sz="4" w:space="0" w:color="auto"/>
              <w:left w:val="single" w:sz="4" w:space="0" w:color="auto"/>
              <w:bottom w:val="single" w:sz="4" w:space="0" w:color="auto"/>
              <w:right w:val="single" w:sz="4" w:space="0" w:color="auto"/>
            </w:tcBorders>
            <w:shd w:val="clear" w:color="auto" w:fill="F2C6C9"/>
            <w:vAlign w:val="center"/>
            <w:hideMark/>
          </w:tcPr>
          <w:p w14:paraId="0A7BE31F" w14:textId="77777777" w:rsidR="00524A07" w:rsidRDefault="00524A07" w:rsidP="009449A4">
            <w:pPr>
              <w:keepNext/>
              <w:spacing w:after="0"/>
              <w:ind w:right="394"/>
              <w:jc w:val="right"/>
              <w:rPr>
                <w:rFonts w:ascii="Calibri" w:eastAsia="Times New Roman" w:hAnsi="Calibri" w:cs="Calibri"/>
                <w:b/>
                <w:sz w:val="20"/>
              </w:rPr>
            </w:pPr>
            <w:r>
              <w:rPr>
                <w:rFonts w:ascii="Calibri" w:hAnsi="Calibri" w:cs="Calibri"/>
                <w:b/>
                <w:sz w:val="20"/>
              </w:rPr>
              <w:t xml:space="preserve">317 568 701 </w:t>
            </w:r>
          </w:p>
        </w:tc>
        <w:tc>
          <w:tcPr>
            <w:tcW w:w="2586" w:type="dxa"/>
            <w:tcBorders>
              <w:top w:val="single" w:sz="4" w:space="0" w:color="auto"/>
              <w:left w:val="single" w:sz="4" w:space="0" w:color="auto"/>
              <w:bottom w:val="single" w:sz="4" w:space="0" w:color="auto"/>
              <w:right w:val="single" w:sz="4" w:space="0" w:color="auto"/>
            </w:tcBorders>
            <w:shd w:val="clear" w:color="auto" w:fill="F2C6C9"/>
            <w:vAlign w:val="center"/>
            <w:hideMark/>
          </w:tcPr>
          <w:p w14:paraId="4DC4BFA1" w14:textId="77777777" w:rsidR="00524A07" w:rsidRDefault="00524A07" w:rsidP="009449A4">
            <w:pPr>
              <w:keepNext/>
              <w:spacing w:after="0"/>
              <w:ind w:right="394"/>
              <w:jc w:val="right"/>
              <w:rPr>
                <w:rFonts w:ascii="Calibri" w:eastAsia="Times New Roman" w:hAnsi="Calibri" w:cs="Calibri"/>
                <w:b/>
                <w:sz w:val="20"/>
              </w:rPr>
            </w:pPr>
            <w:r>
              <w:rPr>
                <w:rFonts w:ascii="Calibri" w:hAnsi="Calibri" w:cs="Calibri"/>
                <w:b/>
                <w:sz w:val="20"/>
              </w:rPr>
              <w:t>270 965 168</w:t>
            </w:r>
          </w:p>
        </w:tc>
        <w:tc>
          <w:tcPr>
            <w:tcW w:w="2251" w:type="dxa"/>
            <w:tcBorders>
              <w:top w:val="single" w:sz="4" w:space="0" w:color="auto"/>
              <w:left w:val="single" w:sz="4" w:space="0" w:color="auto"/>
              <w:bottom w:val="single" w:sz="4" w:space="0" w:color="auto"/>
              <w:right w:val="single" w:sz="4" w:space="0" w:color="auto"/>
            </w:tcBorders>
            <w:shd w:val="clear" w:color="auto" w:fill="F2C6C9"/>
            <w:vAlign w:val="center"/>
            <w:hideMark/>
          </w:tcPr>
          <w:p w14:paraId="0FF85324" w14:textId="77777777" w:rsidR="00524A07" w:rsidRDefault="00524A07" w:rsidP="009449A4">
            <w:pPr>
              <w:keepNext/>
              <w:spacing w:after="0"/>
              <w:ind w:right="394"/>
              <w:jc w:val="right"/>
              <w:rPr>
                <w:rFonts w:ascii="Calibri" w:eastAsia="Times New Roman" w:hAnsi="Calibri" w:cs="Calibri"/>
                <w:b/>
                <w:sz w:val="20"/>
              </w:rPr>
            </w:pPr>
            <w:r>
              <w:rPr>
                <w:rFonts w:ascii="Calibri" w:hAnsi="Calibri" w:cs="Calibri"/>
                <w:b/>
                <w:sz w:val="20"/>
              </w:rPr>
              <w:t>114 290 962</w:t>
            </w:r>
          </w:p>
        </w:tc>
      </w:tr>
    </w:tbl>
    <w:p w14:paraId="6D0096B2" w14:textId="77777777" w:rsidR="00026221" w:rsidRPr="00755FBC" w:rsidRDefault="00EC4C55" w:rsidP="009449A4">
      <w:pPr>
        <w:spacing w:before="40"/>
        <w:jc w:val="both"/>
        <w:rPr>
          <w:sz w:val="20"/>
          <w:szCs w:val="20"/>
        </w:rPr>
      </w:pPr>
      <w:r w:rsidRPr="00755FBC">
        <w:rPr>
          <w:b/>
          <w:sz w:val="20"/>
          <w:szCs w:val="20"/>
        </w:rPr>
        <w:t>Zdroj:</w:t>
      </w:r>
      <w:r w:rsidR="00085D83" w:rsidRPr="00755FBC">
        <w:rPr>
          <w:sz w:val="20"/>
          <w:szCs w:val="20"/>
        </w:rPr>
        <w:t xml:space="preserve"> </w:t>
      </w:r>
      <w:r w:rsidR="00CF38A8" w:rsidRPr="00755FBC">
        <w:rPr>
          <w:sz w:val="20"/>
          <w:szCs w:val="20"/>
        </w:rPr>
        <w:t>Státní pokladna</w:t>
      </w:r>
      <w:r w:rsidR="004C778A" w:rsidRPr="00755FBC">
        <w:rPr>
          <w:sz w:val="20"/>
          <w:szCs w:val="20"/>
        </w:rPr>
        <w:t>.</w:t>
      </w:r>
    </w:p>
    <w:p w14:paraId="4AA212AA" w14:textId="0440AC9B" w:rsidR="00026221" w:rsidRPr="00026221" w:rsidRDefault="00EC4C55" w:rsidP="00026221">
      <w:pPr>
        <w:jc w:val="both"/>
      </w:pPr>
      <w:r>
        <w:t>Z uvedených údajů vyplývá, že z</w:t>
      </w:r>
      <w:r w:rsidR="0066042E">
        <w:t xml:space="preserve"> </w:t>
      </w:r>
      <w:r>
        <w:t>300 mil.</w:t>
      </w:r>
      <w:r w:rsidR="00755FBC">
        <w:t xml:space="preserve"> Kč vyčleněných pro období 2016–</w:t>
      </w:r>
      <w:r>
        <w:t>2018 se k datu 25.</w:t>
      </w:r>
      <w:r w:rsidR="00255B1D">
        <w:t> </w:t>
      </w:r>
      <w:r>
        <w:t>2.</w:t>
      </w:r>
      <w:r w:rsidR="00255B1D">
        <w:t> </w:t>
      </w:r>
      <w:r>
        <w:t xml:space="preserve">2020 dosud podařilo vyčerpat </w:t>
      </w:r>
      <w:r w:rsidR="00230895">
        <w:t xml:space="preserve">jen </w:t>
      </w:r>
      <w:r>
        <w:t xml:space="preserve">114 290 962 Kč, tedy pouze cca 38 % možné alokace. Částka čerpání je přitom téměř finální a může být pouze nepatrně navýšena. Z tohoto srovnání je zřejmé, že závěry analýzy absorpční kapacity </w:t>
      </w:r>
      <w:r w:rsidR="009503C5">
        <w:t xml:space="preserve">pro </w:t>
      </w:r>
      <w:r w:rsidR="00755FBC">
        <w:t>období 2016–</w:t>
      </w:r>
      <w:r>
        <w:t xml:space="preserve">2018 </w:t>
      </w:r>
      <w:r w:rsidR="009503C5">
        <w:t xml:space="preserve">se </w:t>
      </w:r>
      <w:r>
        <w:t>neprokázaly</w:t>
      </w:r>
      <w:r w:rsidR="00045215">
        <w:t>,</w:t>
      </w:r>
      <w:r>
        <w:t xml:space="preserve"> a </w:t>
      </w:r>
      <w:r w:rsidR="009503C5">
        <w:t xml:space="preserve">to </w:t>
      </w:r>
      <w:r>
        <w:t xml:space="preserve">dokonce </w:t>
      </w:r>
      <w:r w:rsidR="009503C5">
        <w:t xml:space="preserve">ani </w:t>
      </w:r>
      <w:r>
        <w:t xml:space="preserve">v situaci, kdy </w:t>
      </w:r>
      <w:r w:rsidR="009503C5">
        <w:t>poskytnutí</w:t>
      </w:r>
      <w:r>
        <w:t xml:space="preserve"> podpor</w:t>
      </w:r>
      <w:r w:rsidR="009503C5">
        <w:t>y bylo</w:t>
      </w:r>
      <w:r>
        <w:t xml:space="preserve"> možn</w:t>
      </w:r>
      <w:r w:rsidR="009503C5">
        <w:t>é</w:t>
      </w:r>
      <w:r>
        <w:t xml:space="preserve"> na území celé ČR.</w:t>
      </w:r>
    </w:p>
    <w:p w14:paraId="46B2E218" w14:textId="77777777" w:rsidR="005A593A" w:rsidRPr="009449A4" w:rsidRDefault="00EC4C55" w:rsidP="005A593A">
      <w:pPr>
        <w:pStyle w:val="Nadpis3"/>
        <w:rPr>
          <w:u w:val="none"/>
        </w:rPr>
      </w:pPr>
      <w:r w:rsidRPr="009449A4">
        <w:rPr>
          <w:u w:val="none"/>
        </w:rPr>
        <w:t>Nízké čerpání a malý zájem žadatelů o podporu</w:t>
      </w:r>
    </w:p>
    <w:p w14:paraId="5798807E" w14:textId="77777777" w:rsidR="00026221" w:rsidRDefault="00EC4C55" w:rsidP="00026221">
      <w:pPr>
        <w:jc w:val="both"/>
      </w:pPr>
      <w:r w:rsidRPr="008B1D88">
        <w:t xml:space="preserve">Jak je patrné z tabulky č. </w:t>
      </w:r>
      <w:r w:rsidR="00DC79FD" w:rsidRPr="008B1D88">
        <w:t>1</w:t>
      </w:r>
      <w:r w:rsidRPr="008B1D88">
        <w:t xml:space="preserve">, </w:t>
      </w:r>
      <w:r w:rsidR="00D4157A">
        <w:t xml:space="preserve">čerpání je výrazně </w:t>
      </w:r>
      <w:r w:rsidR="00793D52">
        <w:t xml:space="preserve">nižší </w:t>
      </w:r>
      <w:r w:rsidR="00D4157A">
        <w:t>oproti finančnímu objemu schválených žádostí</w:t>
      </w:r>
      <w:r w:rsidRPr="008B1D88">
        <w:t xml:space="preserve">. Příčina této skutečnosti není způsobena neúspěchy v realizaci projektů (např. odstoupení od projektu, či </w:t>
      </w:r>
      <w:r w:rsidR="000075CC" w:rsidRPr="008B1D88">
        <w:t xml:space="preserve">realizace </w:t>
      </w:r>
      <w:r w:rsidRPr="008B1D88">
        <w:t xml:space="preserve">jen z části), ale </w:t>
      </w:r>
      <w:r w:rsidR="00AF1C22" w:rsidRPr="008B1D88">
        <w:t xml:space="preserve">je </w:t>
      </w:r>
      <w:r w:rsidRPr="008B1D88">
        <w:t>dán</w:t>
      </w:r>
      <w:r w:rsidR="00AF1C22" w:rsidRPr="008B1D88">
        <w:t>a</w:t>
      </w:r>
      <w:r w:rsidRPr="008B1D88">
        <w:t xml:space="preserve"> výraznými rozdíly mezi předpokládanou a skutečnou cenou provedených demolic. Výše částek zahrnutých do přijatých a vybraných žádostí k podpoře vychází z cenové hladiny prací stanoven</w:t>
      </w:r>
      <w:r w:rsidR="00197125">
        <w:t>é</w:t>
      </w:r>
      <w:r w:rsidRPr="008B1D88">
        <w:t xml:space="preserve"> v projektových dokumentacích. Čerpání odráží skutečný stav uzavřených smluv o</w:t>
      </w:r>
      <w:r w:rsidR="004A27D5">
        <w:t> </w:t>
      </w:r>
      <w:r w:rsidRPr="008B1D88">
        <w:t xml:space="preserve">dílo po dokončení zadávacích řízení. Na základě </w:t>
      </w:r>
      <w:r w:rsidR="0066042E" w:rsidRPr="008B1D88">
        <w:t>smluvních</w:t>
      </w:r>
      <w:r w:rsidRPr="008B1D88">
        <w:t xml:space="preserve"> cen </w:t>
      </w:r>
      <w:r w:rsidR="0066042E" w:rsidRPr="008B1D88">
        <w:t>byla</w:t>
      </w:r>
      <w:r w:rsidRPr="008B1D88">
        <w:t xml:space="preserve"> zároveň stanovena i výše dotace v rozhodnutích o poskytnutí dotace. NKÚ zjistil, že skutečná finanční potřeba vzešlá z provedených zadávacích řízení byla o cca </w:t>
      </w:r>
      <w:r w:rsidR="00F05F63" w:rsidRPr="008B1D88">
        <w:t>60</w:t>
      </w:r>
      <w:r w:rsidRPr="008B1D88">
        <w:t> % nižší než objem požadované dotace stanovený na základě projektovaných cen.</w:t>
      </w:r>
      <w:r>
        <w:t xml:space="preserve"> </w:t>
      </w:r>
    </w:p>
    <w:p w14:paraId="10865072" w14:textId="77777777" w:rsidR="00150B38" w:rsidRDefault="00EC4C55" w:rsidP="00026221">
      <w:pPr>
        <w:jc w:val="both"/>
      </w:pPr>
      <w:r>
        <w:t>MMR během realizace podprogramu podpořilo všechny žádosti, které shledalo jako přípustné</w:t>
      </w:r>
      <w:r w:rsidR="002C4E63">
        <w:t>.</w:t>
      </w:r>
      <w:r>
        <w:t xml:space="preserve"> </w:t>
      </w:r>
      <w:r w:rsidR="002C4E63">
        <w:t>NKÚ zjistil, že MMR</w:t>
      </w:r>
      <w:r>
        <w:t xml:space="preserve"> </w:t>
      </w:r>
      <w:r w:rsidR="000F55CD">
        <w:t xml:space="preserve">v průběhu schvalovacího procesu </w:t>
      </w:r>
      <w:r>
        <w:t>vyřadilo z procesu hodnocení</w:t>
      </w:r>
      <w:r w:rsidR="00C60D71">
        <w:t xml:space="preserve"> </w:t>
      </w:r>
      <w:r w:rsidR="00175C68">
        <w:t>sedm</w:t>
      </w:r>
      <w:r w:rsidR="00C60D71">
        <w:t xml:space="preserve"> žádostí kvůli jednoduchým chybám, které </w:t>
      </w:r>
      <w:r w:rsidR="00B65343">
        <w:t>mohl žadatel</w:t>
      </w:r>
      <w:r>
        <w:t xml:space="preserve"> </w:t>
      </w:r>
      <w:r w:rsidR="00175C68">
        <w:t>v</w:t>
      </w:r>
      <w:r w:rsidR="00C60D71">
        <w:t xml:space="preserve"> souladu s platnými pravidly</w:t>
      </w:r>
      <w:r>
        <w:t xml:space="preserve"> </w:t>
      </w:r>
      <w:r w:rsidR="00C60D71">
        <w:t xml:space="preserve">opravit. </w:t>
      </w:r>
      <w:r>
        <w:t>V jiných podobných případech přitom MMR postupovalo odlišně</w:t>
      </w:r>
      <w:r w:rsidR="00C60D71">
        <w:t>, využilo možnost danou pravidly</w:t>
      </w:r>
      <w:r>
        <w:t xml:space="preserve"> a k napravení chyb došlo. </w:t>
      </w:r>
    </w:p>
    <w:p w14:paraId="0BC8E3C2" w14:textId="77777777" w:rsidR="00026221" w:rsidRDefault="00EC4C55" w:rsidP="00026221">
      <w:pPr>
        <w:jc w:val="both"/>
        <w:rPr>
          <w:b/>
        </w:rPr>
      </w:pPr>
      <w:r w:rsidRPr="00C329F2">
        <w:rPr>
          <w:b/>
        </w:rPr>
        <w:t xml:space="preserve">Srovnání parametrů </w:t>
      </w:r>
      <w:r w:rsidR="00AB2034">
        <w:rPr>
          <w:b/>
        </w:rPr>
        <w:t>pod</w:t>
      </w:r>
      <w:r w:rsidRPr="00C329F2">
        <w:rPr>
          <w:b/>
        </w:rPr>
        <w:t xml:space="preserve">programu </w:t>
      </w:r>
      <w:r>
        <w:rPr>
          <w:b/>
        </w:rPr>
        <w:t>a finanční alokace</w:t>
      </w:r>
    </w:p>
    <w:p w14:paraId="34D641C0" w14:textId="77777777" w:rsidR="00026221" w:rsidRDefault="00EC4C55" w:rsidP="00026221">
      <w:pPr>
        <w:jc w:val="both"/>
      </w:pPr>
      <w:r w:rsidRPr="008B1D88">
        <w:t xml:space="preserve">Následující tabulka č. </w:t>
      </w:r>
      <w:r w:rsidR="00637E58" w:rsidRPr="008B1D88">
        <w:t>2</w:t>
      </w:r>
      <w:r w:rsidRPr="008B1D88">
        <w:t xml:space="preserve"> zachycuje plnění parametrů podprogramu stanovených v původní dokumentaci podprogramu.</w:t>
      </w:r>
      <w:r>
        <w:t xml:space="preserve"> </w:t>
      </w:r>
    </w:p>
    <w:p w14:paraId="1AA5260A" w14:textId="5D0FA396" w:rsidR="00637E58" w:rsidRPr="004C778A" w:rsidRDefault="00EC4C55" w:rsidP="009449A4">
      <w:pPr>
        <w:keepNext/>
        <w:spacing w:after="40"/>
        <w:jc w:val="both"/>
        <w:rPr>
          <w:b/>
        </w:rPr>
      </w:pPr>
      <w:r w:rsidRPr="004C778A">
        <w:rPr>
          <w:b/>
        </w:rPr>
        <w:t xml:space="preserve">Tabulka č. </w:t>
      </w:r>
      <w:r w:rsidR="00394932" w:rsidRPr="004C778A">
        <w:rPr>
          <w:b/>
        </w:rPr>
        <w:fldChar w:fldCharType="begin"/>
      </w:r>
      <w:r w:rsidR="00394932" w:rsidRPr="004C778A">
        <w:rPr>
          <w:b/>
        </w:rPr>
        <w:instrText xml:space="preserve"> SEQ Tabulka_č. \* ARABIC </w:instrText>
      </w:r>
      <w:r w:rsidR="00394932" w:rsidRPr="004C778A">
        <w:rPr>
          <w:b/>
        </w:rPr>
        <w:fldChar w:fldCharType="separate"/>
      </w:r>
      <w:r w:rsidR="00D22FA5">
        <w:rPr>
          <w:b/>
          <w:noProof/>
        </w:rPr>
        <w:t>2</w:t>
      </w:r>
      <w:r w:rsidR="00394932" w:rsidRPr="004C778A">
        <w:rPr>
          <w:b/>
          <w:noProof/>
        </w:rPr>
        <w:fldChar w:fldCharType="end"/>
      </w:r>
      <w:r w:rsidRPr="004C778A">
        <w:rPr>
          <w:b/>
        </w:rPr>
        <w:t>: Plnění</w:t>
      </w:r>
      <w:r w:rsidR="000A0B33" w:rsidRPr="004C778A">
        <w:rPr>
          <w:b/>
        </w:rPr>
        <w:t xml:space="preserve"> původně stanovených</w:t>
      </w:r>
      <w:r w:rsidRPr="004C778A">
        <w:rPr>
          <w:b/>
        </w:rPr>
        <w:t xml:space="preserve"> parametrů podprogramu </w:t>
      </w:r>
      <w:r w:rsidR="00F822D1" w:rsidRPr="004C778A">
        <w:rPr>
          <w:b/>
        </w:rPr>
        <w:t>k datu 25. 2. 2020</w:t>
      </w:r>
    </w:p>
    <w:tbl>
      <w:tblPr>
        <w:tblStyle w:val="Mkatabulky"/>
        <w:tblW w:w="0" w:type="auto"/>
        <w:tblLook w:val="04A0" w:firstRow="1" w:lastRow="0" w:firstColumn="1" w:lastColumn="0" w:noHBand="0" w:noVBand="1"/>
      </w:tblPr>
      <w:tblGrid>
        <w:gridCol w:w="827"/>
        <w:gridCol w:w="4173"/>
        <w:gridCol w:w="520"/>
        <w:gridCol w:w="1087"/>
        <w:gridCol w:w="1217"/>
        <w:gridCol w:w="1239"/>
      </w:tblGrid>
      <w:tr w:rsidR="00524A07" w14:paraId="40426CF0" w14:textId="77777777" w:rsidTr="00524A07">
        <w:trPr>
          <w:trHeight w:val="306"/>
        </w:trPr>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1FF"/>
            <w:noWrap/>
            <w:vAlign w:val="center"/>
            <w:hideMark/>
          </w:tcPr>
          <w:p w14:paraId="4CB10574" w14:textId="77777777" w:rsidR="00524A07" w:rsidRDefault="00524A07">
            <w:pPr>
              <w:keepNext/>
              <w:spacing w:after="0"/>
              <w:jc w:val="center"/>
              <w:rPr>
                <w:rFonts w:ascii="Calibri" w:eastAsia="Times New Roman" w:hAnsi="Calibri" w:cs="Calibri"/>
                <w:b/>
                <w:sz w:val="20"/>
              </w:rPr>
            </w:pPr>
            <w:r>
              <w:rPr>
                <w:rFonts w:ascii="Calibri" w:eastAsia="Times New Roman" w:hAnsi="Calibri" w:cs="Calibri"/>
                <w:b/>
                <w:sz w:val="20"/>
              </w:rPr>
              <w:t>Kód</w:t>
            </w:r>
          </w:p>
        </w:tc>
        <w:tc>
          <w:tcPr>
            <w:tcW w:w="41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1FF"/>
            <w:noWrap/>
            <w:vAlign w:val="center"/>
            <w:hideMark/>
          </w:tcPr>
          <w:p w14:paraId="3E2B1958" w14:textId="77777777" w:rsidR="00524A07" w:rsidRDefault="00524A07">
            <w:pPr>
              <w:keepNext/>
              <w:spacing w:after="0"/>
              <w:jc w:val="center"/>
              <w:rPr>
                <w:rFonts w:ascii="Calibri" w:eastAsia="Times New Roman" w:hAnsi="Calibri" w:cs="Calibri"/>
                <w:b/>
                <w:sz w:val="20"/>
              </w:rPr>
            </w:pPr>
            <w:r>
              <w:rPr>
                <w:rFonts w:ascii="Calibri" w:eastAsia="Times New Roman" w:hAnsi="Calibri" w:cs="Calibri"/>
                <w:b/>
                <w:sz w:val="20"/>
              </w:rPr>
              <w:t>Název</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1FF"/>
            <w:noWrap/>
            <w:vAlign w:val="center"/>
            <w:hideMark/>
          </w:tcPr>
          <w:p w14:paraId="16781585" w14:textId="77777777" w:rsidR="00524A07" w:rsidRDefault="00524A07">
            <w:pPr>
              <w:keepNext/>
              <w:spacing w:after="0"/>
              <w:jc w:val="center"/>
              <w:rPr>
                <w:rFonts w:ascii="Calibri" w:eastAsia="Times New Roman" w:hAnsi="Calibri" w:cs="Calibri"/>
                <w:b/>
                <w:sz w:val="20"/>
              </w:rPr>
            </w:pPr>
            <w:r>
              <w:rPr>
                <w:rFonts w:ascii="Calibri" w:eastAsia="Times New Roman" w:hAnsi="Calibri" w:cs="Calibri"/>
                <w:b/>
                <w:sz w:val="20"/>
              </w:rPr>
              <w:t>MJ</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1FF"/>
            <w:noWrap/>
            <w:vAlign w:val="center"/>
            <w:hideMark/>
          </w:tcPr>
          <w:p w14:paraId="17DE4CE9" w14:textId="77777777" w:rsidR="00524A07" w:rsidRDefault="00524A07">
            <w:pPr>
              <w:keepNext/>
              <w:spacing w:after="0"/>
              <w:jc w:val="center"/>
              <w:rPr>
                <w:rFonts w:ascii="Calibri" w:eastAsia="Times New Roman" w:hAnsi="Calibri" w:cs="Calibri"/>
                <w:b/>
                <w:sz w:val="20"/>
              </w:rPr>
            </w:pPr>
            <w:r>
              <w:rPr>
                <w:rFonts w:ascii="Calibri" w:eastAsia="Times New Roman" w:hAnsi="Calibri" w:cs="Calibri"/>
                <w:b/>
                <w:sz w:val="20"/>
              </w:rPr>
              <w:t>Cíl</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1FF"/>
            <w:noWrap/>
            <w:vAlign w:val="center"/>
            <w:hideMark/>
          </w:tcPr>
          <w:p w14:paraId="463945F5" w14:textId="77777777" w:rsidR="00524A07" w:rsidRDefault="00524A07">
            <w:pPr>
              <w:keepNext/>
              <w:spacing w:after="0"/>
              <w:jc w:val="center"/>
              <w:rPr>
                <w:rFonts w:ascii="Calibri" w:eastAsia="Times New Roman" w:hAnsi="Calibri" w:cs="Calibri"/>
                <w:b/>
                <w:sz w:val="20"/>
              </w:rPr>
            </w:pPr>
            <w:r>
              <w:rPr>
                <w:rFonts w:ascii="Calibri" w:eastAsia="Times New Roman" w:hAnsi="Calibri" w:cs="Calibri"/>
                <w:b/>
                <w:sz w:val="20"/>
              </w:rPr>
              <w:t>Dosaženo</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1FF"/>
            <w:noWrap/>
            <w:vAlign w:val="center"/>
            <w:hideMark/>
          </w:tcPr>
          <w:p w14:paraId="1E3DB481" w14:textId="77777777" w:rsidR="00524A07" w:rsidRDefault="00524A07">
            <w:pPr>
              <w:keepNext/>
              <w:spacing w:after="0"/>
              <w:jc w:val="center"/>
              <w:rPr>
                <w:rFonts w:ascii="Calibri" w:eastAsia="Times New Roman" w:hAnsi="Calibri" w:cs="Calibri"/>
                <w:b/>
                <w:sz w:val="20"/>
              </w:rPr>
            </w:pPr>
            <w:r>
              <w:rPr>
                <w:rFonts w:ascii="Calibri" w:eastAsia="Times New Roman" w:hAnsi="Calibri" w:cs="Calibri"/>
                <w:b/>
                <w:sz w:val="20"/>
              </w:rPr>
              <w:t>Plnění</w:t>
            </w:r>
          </w:p>
        </w:tc>
      </w:tr>
      <w:tr w:rsidR="00524A07" w14:paraId="0015BAD3" w14:textId="77777777" w:rsidTr="00524A07">
        <w:trPr>
          <w:trHeight w:val="306"/>
        </w:trPr>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F5A163E" w14:textId="77777777" w:rsidR="00524A07" w:rsidRDefault="00524A07">
            <w:pPr>
              <w:keepNext/>
              <w:spacing w:after="0"/>
              <w:jc w:val="both"/>
              <w:rPr>
                <w:rFonts w:ascii="Calibri" w:eastAsia="Times New Roman" w:hAnsi="Calibri" w:cs="Calibri"/>
                <w:sz w:val="20"/>
              </w:rPr>
            </w:pPr>
            <w:r>
              <w:rPr>
                <w:rFonts w:ascii="Calibri" w:eastAsia="Times New Roman" w:hAnsi="Calibri" w:cs="Calibri"/>
                <w:sz w:val="20"/>
              </w:rPr>
              <w:t>32 001</w:t>
            </w:r>
          </w:p>
        </w:tc>
        <w:tc>
          <w:tcPr>
            <w:tcW w:w="417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E14274F" w14:textId="40434C66" w:rsidR="00524A07" w:rsidRDefault="00230895">
            <w:pPr>
              <w:keepNext/>
              <w:spacing w:after="0"/>
              <w:jc w:val="both"/>
              <w:rPr>
                <w:rFonts w:ascii="Calibri" w:eastAsia="Times New Roman" w:hAnsi="Calibri" w:cs="Calibri"/>
                <w:sz w:val="20"/>
              </w:rPr>
            </w:pPr>
            <w:r>
              <w:rPr>
                <w:rFonts w:ascii="Calibri" w:eastAsia="Times New Roman" w:hAnsi="Calibri" w:cs="Calibri"/>
                <w:sz w:val="20"/>
              </w:rPr>
              <w:t>O</w:t>
            </w:r>
            <w:r w:rsidR="00524A07">
              <w:rPr>
                <w:rFonts w:ascii="Calibri" w:eastAsia="Times New Roman" w:hAnsi="Calibri" w:cs="Calibri"/>
                <w:sz w:val="20"/>
              </w:rPr>
              <w:t>bestavěný prostor odstraněné stavby</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634D2EB" w14:textId="77777777" w:rsidR="00524A07" w:rsidRDefault="00524A07">
            <w:pPr>
              <w:keepNext/>
              <w:spacing w:after="0"/>
              <w:jc w:val="both"/>
              <w:rPr>
                <w:rFonts w:ascii="Calibri" w:eastAsia="Times New Roman" w:hAnsi="Calibri" w:cs="Calibri"/>
                <w:sz w:val="20"/>
              </w:rPr>
            </w:pPr>
            <w:r>
              <w:rPr>
                <w:rFonts w:ascii="Calibri" w:eastAsia="Times New Roman" w:hAnsi="Calibri" w:cs="Calibri"/>
                <w:sz w:val="20"/>
              </w:rPr>
              <w:t>m</w:t>
            </w:r>
            <w:r>
              <w:rPr>
                <w:rFonts w:ascii="Calibri" w:eastAsia="Times New Roman" w:hAnsi="Calibri" w:cs="Calibri"/>
                <w:sz w:val="20"/>
                <w:vertAlign w:val="superscript"/>
              </w:rPr>
              <w:t>3</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38C7DAD" w14:textId="77777777" w:rsidR="00524A07" w:rsidRDefault="00524A07">
            <w:pPr>
              <w:keepNext/>
              <w:spacing w:after="0"/>
              <w:jc w:val="right"/>
              <w:rPr>
                <w:rFonts w:ascii="Calibri" w:eastAsia="Times New Roman" w:hAnsi="Calibri" w:cs="Calibri"/>
                <w:sz w:val="20"/>
              </w:rPr>
            </w:pPr>
            <w:r>
              <w:rPr>
                <w:rFonts w:ascii="Calibri" w:eastAsia="Times New Roman" w:hAnsi="Calibri" w:cs="Calibri"/>
                <w:sz w:val="20"/>
              </w:rPr>
              <w:t>450 000</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FBE3CE0" w14:textId="77777777" w:rsidR="00524A07" w:rsidRDefault="00524A07">
            <w:pPr>
              <w:keepNext/>
              <w:spacing w:after="0"/>
              <w:jc w:val="right"/>
              <w:rPr>
                <w:rFonts w:ascii="Calibri" w:eastAsia="Times New Roman" w:hAnsi="Calibri" w:cs="Calibri"/>
                <w:sz w:val="20"/>
              </w:rPr>
            </w:pPr>
            <w:r>
              <w:rPr>
                <w:rFonts w:ascii="Calibri" w:eastAsia="Times New Roman" w:hAnsi="Calibri" w:cs="Calibri"/>
                <w:sz w:val="20"/>
              </w:rPr>
              <w:t>365 469,34</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0322DD9" w14:textId="77777777" w:rsidR="00524A07" w:rsidRDefault="00524A07">
            <w:pPr>
              <w:keepNext/>
              <w:spacing w:after="0"/>
              <w:jc w:val="right"/>
              <w:rPr>
                <w:rFonts w:ascii="Calibri" w:eastAsia="Times New Roman" w:hAnsi="Calibri" w:cs="Calibri"/>
                <w:sz w:val="20"/>
              </w:rPr>
            </w:pPr>
            <w:r>
              <w:rPr>
                <w:rFonts w:ascii="Calibri" w:eastAsia="Times New Roman" w:hAnsi="Calibri" w:cs="Calibri"/>
                <w:sz w:val="20"/>
              </w:rPr>
              <w:t>81,22%</w:t>
            </w:r>
          </w:p>
        </w:tc>
      </w:tr>
      <w:tr w:rsidR="00524A07" w14:paraId="78578E2E" w14:textId="77777777" w:rsidTr="00524A07">
        <w:trPr>
          <w:trHeight w:val="306"/>
        </w:trPr>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CACCDB9" w14:textId="77777777" w:rsidR="00524A07" w:rsidRDefault="00524A07">
            <w:pPr>
              <w:keepNext/>
              <w:spacing w:after="0"/>
              <w:jc w:val="both"/>
              <w:rPr>
                <w:rFonts w:ascii="Calibri" w:eastAsia="Times New Roman" w:hAnsi="Calibri" w:cs="Calibri"/>
                <w:sz w:val="20"/>
              </w:rPr>
            </w:pPr>
            <w:r>
              <w:rPr>
                <w:rFonts w:ascii="Calibri" w:eastAsia="Times New Roman" w:hAnsi="Calibri" w:cs="Calibri"/>
                <w:sz w:val="20"/>
              </w:rPr>
              <w:t>32 002</w:t>
            </w:r>
          </w:p>
        </w:tc>
        <w:tc>
          <w:tcPr>
            <w:tcW w:w="417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C5D1E54" w14:textId="6EC7280C" w:rsidR="00524A07" w:rsidRDefault="00230895">
            <w:pPr>
              <w:keepNext/>
              <w:spacing w:after="0"/>
              <w:jc w:val="both"/>
              <w:rPr>
                <w:rFonts w:ascii="Calibri" w:eastAsia="Times New Roman" w:hAnsi="Calibri" w:cs="Calibri"/>
                <w:sz w:val="20"/>
              </w:rPr>
            </w:pPr>
            <w:r>
              <w:rPr>
                <w:rFonts w:ascii="Calibri" w:eastAsia="Times New Roman" w:hAnsi="Calibri" w:cs="Calibri"/>
                <w:sz w:val="20"/>
              </w:rPr>
              <w:t>O</w:t>
            </w:r>
            <w:r w:rsidR="00524A07">
              <w:rPr>
                <w:rFonts w:ascii="Calibri" w:eastAsia="Times New Roman" w:hAnsi="Calibri" w:cs="Calibri"/>
                <w:sz w:val="20"/>
              </w:rPr>
              <w:t>dstraněný objekt určený k bydlení</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B61681D" w14:textId="77777777" w:rsidR="00524A07" w:rsidRDefault="00524A07">
            <w:pPr>
              <w:keepNext/>
              <w:spacing w:after="0"/>
              <w:jc w:val="both"/>
              <w:rPr>
                <w:rFonts w:ascii="Calibri" w:eastAsia="Times New Roman" w:hAnsi="Calibri" w:cs="Calibri"/>
                <w:sz w:val="20"/>
              </w:rPr>
            </w:pPr>
            <w:r>
              <w:rPr>
                <w:rFonts w:ascii="Calibri" w:eastAsia="Times New Roman" w:hAnsi="Calibri" w:cs="Calibri"/>
                <w:sz w:val="20"/>
              </w:rPr>
              <w:t>ks</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2E3F414" w14:textId="77777777" w:rsidR="00524A07" w:rsidRDefault="00524A07">
            <w:pPr>
              <w:keepNext/>
              <w:spacing w:after="0"/>
              <w:jc w:val="right"/>
              <w:rPr>
                <w:rFonts w:ascii="Calibri" w:eastAsia="Times New Roman" w:hAnsi="Calibri" w:cs="Calibri"/>
                <w:sz w:val="20"/>
              </w:rPr>
            </w:pPr>
            <w:r>
              <w:rPr>
                <w:rFonts w:ascii="Calibri" w:eastAsia="Times New Roman" w:hAnsi="Calibri" w:cs="Calibri"/>
                <w:sz w:val="20"/>
              </w:rPr>
              <w:t>100</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E179169" w14:textId="77777777" w:rsidR="00524A07" w:rsidRDefault="00524A07">
            <w:pPr>
              <w:keepNext/>
              <w:spacing w:after="0"/>
              <w:jc w:val="right"/>
              <w:rPr>
                <w:rFonts w:ascii="Calibri" w:eastAsia="Times New Roman" w:hAnsi="Calibri" w:cs="Calibri"/>
                <w:sz w:val="20"/>
              </w:rPr>
            </w:pPr>
            <w:r>
              <w:rPr>
                <w:rFonts w:ascii="Calibri" w:eastAsia="Times New Roman" w:hAnsi="Calibri" w:cs="Calibri"/>
                <w:sz w:val="20"/>
              </w:rPr>
              <w:t>108</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9324395" w14:textId="77777777" w:rsidR="00524A07" w:rsidRDefault="00524A07">
            <w:pPr>
              <w:keepNext/>
              <w:spacing w:after="0"/>
              <w:jc w:val="right"/>
              <w:rPr>
                <w:rFonts w:ascii="Calibri" w:eastAsia="Times New Roman" w:hAnsi="Calibri" w:cs="Calibri"/>
                <w:sz w:val="20"/>
              </w:rPr>
            </w:pPr>
            <w:r>
              <w:rPr>
                <w:rFonts w:ascii="Calibri" w:eastAsia="Times New Roman" w:hAnsi="Calibri" w:cs="Calibri"/>
                <w:sz w:val="20"/>
              </w:rPr>
              <w:t>108,00%</w:t>
            </w:r>
          </w:p>
        </w:tc>
      </w:tr>
      <w:tr w:rsidR="00524A07" w14:paraId="4814F633" w14:textId="77777777" w:rsidTr="00524A07">
        <w:trPr>
          <w:trHeight w:val="306"/>
        </w:trPr>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1F67FDC" w14:textId="77777777" w:rsidR="00524A07" w:rsidRDefault="00524A07">
            <w:pPr>
              <w:keepNext/>
              <w:spacing w:after="0"/>
              <w:jc w:val="both"/>
              <w:rPr>
                <w:rFonts w:ascii="Calibri" w:eastAsia="Times New Roman" w:hAnsi="Calibri" w:cs="Calibri"/>
                <w:sz w:val="20"/>
              </w:rPr>
            </w:pPr>
            <w:r>
              <w:rPr>
                <w:rFonts w:ascii="Calibri" w:eastAsia="Times New Roman" w:hAnsi="Calibri" w:cs="Calibri"/>
                <w:sz w:val="20"/>
              </w:rPr>
              <w:t>32 004</w:t>
            </w:r>
          </w:p>
        </w:tc>
        <w:tc>
          <w:tcPr>
            <w:tcW w:w="417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893EC37" w14:textId="7B9FF6FD" w:rsidR="00524A07" w:rsidRDefault="00230895">
            <w:pPr>
              <w:keepNext/>
              <w:spacing w:after="0"/>
              <w:jc w:val="both"/>
              <w:rPr>
                <w:rFonts w:ascii="Calibri" w:eastAsia="Times New Roman" w:hAnsi="Calibri" w:cs="Calibri"/>
                <w:sz w:val="20"/>
              </w:rPr>
            </w:pPr>
            <w:r>
              <w:rPr>
                <w:rFonts w:ascii="Calibri" w:eastAsia="Times New Roman" w:hAnsi="Calibri" w:cs="Calibri"/>
                <w:sz w:val="20"/>
              </w:rPr>
              <w:t>O</w:t>
            </w:r>
            <w:r w:rsidR="00524A07">
              <w:rPr>
                <w:rFonts w:ascii="Calibri" w:eastAsia="Times New Roman" w:hAnsi="Calibri" w:cs="Calibri"/>
                <w:sz w:val="20"/>
              </w:rPr>
              <w:t>dstraněná bytová jednotka</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DD9FD41" w14:textId="77777777" w:rsidR="00524A07" w:rsidRDefault="00524A07">
            <w:pPr>
              <w:keepNext/>
              <w:spacing w:after="0"/>
              <w:jc w:val="both"/>
              <w:rPr>
                <w:rFonts w:ascii="Calibri" w:eastAsia="Times New Roman" w:hAnsi="Calibri" w:cs="Calibri"/>
                <w:sz w:val="20"/>
              </w:rPr>
            </w:pPr>
            <w:r>
              <w:rPr>
                <w:rFonts w:ascii="Calibri" w:eastAsia="Times New Roman" w:hAnsi="Calibri" w:cs="Calibri"/>
                <w:sz w:val="20"/>
              </w:rPr>
              <w:t>ks</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ED58972" w14:textId="77777777" w:rsidR="00524A07" w:rsidRDefault="00524A07">
            <w:pPr>
              <w:keepNext/>
              <w:spacing w:after="0"/>
              <w:jc w:val="right"/>
              <w:rPr>
                <w:rFonts w:ascii="Calibri" w:eastAsia="Times New Roman" w:hAnsi="Calibri" w:cs="Calibri"/>
                <w:sz w:val="20"/>
              </w:rPr>
            </w:pPr>
            <w:r>
              <w:rPr>
                <w:rFonts w:ascii="Calibri" w:eastAsia="Times New Roman" w:hAnsi="Calibri" w:cs="Calibri"/>
                <w:sz w:val="20"/>
              </w:rPr>
              <w:t>2 000</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106A44B" w14:textId="77777777" w:rsidR="00524A07" w:rsidRDefault="00524A07">
            <w:pPr>
              <w:keepNext/>
              <w:spacing w:after="0"/>
              <w:jc w:val="right"/>
              <w:rPr>
                <w:rFonts w:ascii="Calibri" w:eastAsia="Times New Roman" w:hAnsi="Calibri" w:cs="Calibri"/>
                <w:sz w:val="20"/>
              </w:rPr>
            </w:pPr>
            <w:r>
              <w:rPr>
                <w:rFonts w:ascii="Calibri" w:eastAsia="Times New Roman" w:hAnsi="Calibri" w:cs="Calibri"/>
                <w:sz w:val="20"/>
              </w:rPr>
              <w:t>973</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6D9AED4" w14:textId="77777777" w:rsidR="00524A07" w:rsidRDefault="00524A07">
            <w:pPr>
              <w:keepNext/>
              <w:spacing w:after="0"/>
              <w:jc w:val="right"/>
              <w:rPr>
                <w:rFonts w:ascii="Calibri" w:eastAsia="Times New Roman" w:hAnsi="Calibri" w:cs="Calibri"/>
                <w:sz w:val="20"/>
              </w:rPr>
            </w:pPr>
            <w:r>
              <w:rPr>
                <w:rFonts w:ascii="Calibri" w:eastAsia="Times New Roman" w:hAnsi="Calibri" w:cs="Calibri"/>
                <w:sz w:val="20"/>
              </w:rPr>
              <w:t>48,65%</w:t>
            </w:r>
          </w:p>
        </w:tc>
      </w:tr>
      <w:tr w:rsidR="00524A07" w14:paraId="2C17AF06" w14:textId="77777777" w:rsidTr="00524A07">
        <w:trPr>
          <w:trHeight w:val="306"/>
        </w:trPr>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735CDAE" w14:textId="77777777" w:rsidR="00524A07" w:rsidRDefault="00524A07">
            <w:pPr>
              <w:keepNext/>
              <w:spacing w:after="0"/>
              <w:jc w:val="both"/>
              <w:rPr>
                <w:rFonts w:ascii="Calibri" w:eastAsia="Times New Roman" w:hAnsi="Calibri" w:cs="Calibri"/>
                <w:sz w:val="20"/>
              </w:rPr>
            </w:pPr>
            <w:r>
              <w:rPr>
                <w:rFonts w:ascii="Calibri" w:eastAsia="Times New Roman" w:hAnsi="Calibri" w:cs="Calibri"/>
                <w:sz w:val="20"/>
              </w:rPr>
              <w:t>32 005</w:t>
            </w:r>
          </w:p>
        </w:tc>
        <w:tc>
          <w:tcPr>
            <w:tcW w:w="417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6206D2C" w14:textId="27368507" w:rsidR="00524A07" w:rsidRDefault="00230895">
            <w:pPr>
              <w:keepNext/>
              <w:spacing w:after="0"/>
              <w:jc w:val="both"/>
              <w:rPr>
                <w:rFonts w:ascii="Calibri" w:eastAsia="Times New Roman" w:hAnsi="Calibri" w:cs="Calibri"/>
                <w:sz w:val="20"/>
              </w:rPr>
            </w:pPr>
            <w:r>
              <w:rPr>
                <w:rFonts w:ascii="Calibri" w:eastAsia="Times New Roman" w:hAnsi="Calibri" w:cs="Calibri"/>
                <w:sz w:val="20"/>
              </w:rPr>
              <w:t>R</w:t>
            </w:r>
            <w:r w:rsidR="00524A07">
              <w:rPr>
                <w:rFonts w:ascii="Calibri" w:eastAsia="Times New Roman" w:hAnsi="Calibri" w:cs="Calibri"/>
                <w:sz w:val="20"/>
              </w:rPr>
              <w:t>evitalizovaná plocha</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508E61B" w14:textId="77777777" w:rsidR="00524A07" w:rsidRDefault="00524A07">
            <w:pPr>
              <w:keepNext/>
              <w:spacing w:after="0"/>
              <w:jc w:val="both"/>
              <w:rPr>
                <w:rFonts w:ascii="Calibri" w:eastAsia="Times New Roman" w:hAnsi="Calibri" w:cs="Calibri"/>
                <w:sz w:val="20"/>
              </w:rPr>
            </w:pPr>
            <w:r>
              <w:rPr>
                <w:rFonts w:ascii="Calibri" w:eastAsia="Times New Roman" w:hAnsi="Calibri" w:cs="Calibri"/>
                <w:sz w:val="20"/>
              </w:rPr>
              <w:t>m</w:t>
            </w:r>
            <w:r>
              <w:rPr>
                <w:rFonts w:ascii="Calibri" w:eastAsia="Times New Roman" w:hAnsi="Calibri" w:cs="Calibri"/>
                <w:sz w:val="20"/>
                <w:vertAlign w:val="superscript"/>
              </w:rPr>
              <w:t>2</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17091B1" w14:textId="77777777" w:rsidR="00524A07" w:rsidRDefault="00524A07">
            <w:pPr>
              <w:keepNext/>
              <w:spacing w:after="0"/>
              <w:jc w:val="right"/>
              <w:rPr>
                <w:rFonts w:ascii="Calibri" w:eastAsia="Times New Roman" w:hAnsi="Calibri" w:cs="Calibri"/>
                <w:sz w:val="20"/>
              </w:rPr>
            </w:pPr>
            <w:r>
              <w:rPr>
                <w:rFonts w:ascii="Calibri" w:eastAsia="Times New Roman" w:hAnsi="Calibri" w:cs="Calibri"/>
                <w:sz w:val="20"/>
              </w:rPr>
              <w:t>40 000</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692251F" w14:textId="77777777" w:rsidR="00524A07" w:rsidRDefault="00524A07">
            <w:pPr>
              <w:keepNext/>
              <w:spacing w:after="0"/>
              <w:jc w:val="right"/>
              <w:rPr>
                <w:rFonts w:ascii="Calibri" w:eastAsia="Times New Roman" w:hAnsi="Calibri" w:cs="Calibri"/>
                <w:sz w:val="20"/>
              </w:rPr>
            </w:pPr>
            <w:r>
              <w:rPr>
                <w:rFonts w:ascii="Calibri" w:eastAsia="Times New Roman" w:hAnsi="Calibri" w:cs="Calibri"/>
                <w:sz w:val="20"/>
              </w:rPr>
              <w:t>108 113,79</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FA6C671" w14:textId="77777777" w:rsidR="00524A07" w:rsidRDefault="00524A07">
            <w:pPr>
              <w:keepNext/>
              <w:spacing w:after="0"/>
              <w:jc w:val="right"/>
              <w:rPr>
                <w:rFonts w:ascii="Calibri" w:eastAsia="Times New Roman" w:hAnsi="Calibri" w:cs="Calibri"/>
                <w:sz w:val="20"/>
              </w:rPr>
            </w:pPr>
            <w:r>
              <w:rPr>
                <w:rFonts w:ascii="Calibri" w:eastAsia="Times New Roman" w:hAnsi="Calibri" w:cs="Calibri"/>
                <w:sz w:val="20"/>
              </w:rPr>
              <w:t>270,28%</w:t>
            </w:r>
          </w:p>
        </w:tc>
      </w:tr>
      <w:tr w:rsidR="00524A07" w14:paraId="75E49D2E" w14:textId="77777777" w:rsidTr="00524A07">
        <w:trPr>
          <w:trHeight w:val="306"/>
        </w:trPr>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3A24815" w14:textId="77777777" w:rsidR="00524A07" w:rsidRDefault="00524A07">
            <w:pPr>
              <w:keepNext/>
              <w:spacing w:after="0"/>
              <w:jc w:val="both"/>
              <w:rPr>
                <w:rFonts w:ascii="Calibri" w:eastAsia="Times New Roman" w:hAnsi="Calibri" w:cs="Calibri"/>
                <w:sz w:val="20"/>
              </w:rPr>
            </w:pPr>
            <w:r>
              <w:rPr>
                <w:rFonts w:ascii="Calibri" w:eastAsia="Times New Roman" w:hAnsi="Calibri" w:cs="Calibri"/>
                <w:sz w:val="20"/>
              </w:rPr>
              <w:t>32 006</w:t>
            </w:r>
          </w:p>
        </w:tc>
        <w:tc>
          <w:tcPr>
            <w:tcW w:w="417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3B40B5F" w14:textId="6562A4CC" w:rsidR="00524A07" w:rsidRDefault="00230895">
            <w:pPr>
              <w:keepNext/>
              <w:spacing w:after="0"/>
              <w:jc w:val="both"/>
              <w:rPr>
                <w:rFonts w:ascii="Calibri" w:eastAsia="Times New Roman" w:hAnsi="Calibri" w:cs="Calibri"/>
                <w:sz w:val="20"/>
              </w:rPr>
            </w:pPr>
            <w:r>
              <w:rPr>
                <w:rFonts w:ascii="Calibri" w:eastAsia="Times New Roman" w:hAnsi="Calibri" w:cs="Calibri"/>
                <w:sz w:val="20"/>
              </w:rPr>
              <w:t>O</w:t>
            </w:r>
            <w:r w:rsidR="00524A07">
              <w:rPr>
                <w:rFonts w:ascii="Calibri" w:eastAsia="Times New Roman" w:hAnsi="Calibri" w:cs="Calibri"/>
                <w:sz w:val="20"/>
              </w:rPr>
              <w:t>dstraněný objekt určený k ubytování</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D2508C3" w14:textId="77777777" w:rsidR="00524A07" w:rsidRDefault="00524A07">
            <w:pPr>
              <w:keepNext/>
              <w:spacing w:after="0"/>
              <w:jc w:val="both"/>
              <w:rPr>
                <w:rFonts w:ascii="Calibri" w:eastAsia="Times New Roman" w:hAnsi="Calibri" w:cs="Calibri"/>
                <w:sz w:val="20"/>
              </w:rPr>
            </w:pPr>
            <w:r>
              <w:rPr>
                <w:rFonts w:ascii="Calibri" w:eastAsia="Times New Roman" w:hAnsi="Calibri" w:cs="Calibri"/>
                <w:sz w:val="20"/>
              </w:rPr>
              <w:t>ks</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0CE0519" w14:textId="77777777" w:rsidR="00524A07" w:rsidRDefault="00524A07">
            <w:pPr>
              <w:keepNext/>
              <w:spacing w:after="0"/>
              <w:jc w:val="right"/>
              <w:rPr>
                <w:rFonts w:ascii="Calibri" w:eastAsia="Times New Roman" w:hAnsi="Calibri" w:cs="Calibri"/>
                <w:sz w:val="20"/>
              </w:rPr>
            </w:pPr>
            <w:r>
              <w:rPr>
                <w:rFonts w:ascii="Calibri" w:eastAsia="Times New Roman" w:hAnsi="Calibri" w:cs="Calibri"/>
                <w:sz w:val="20"/>
              </w:rPr>
              <w:t>15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1AA644E9" w14:textId="77777777" w:rsidR="00524A07" w:rsidRDefault="00524A07">
            <w:pPr>
              <w:keepNext/>
              <w:spacing w:after="0"/>
              <w:jc w:val="right"/>
              <w:rPr>
                <w:rFonts w:ascii="Calibri" w:eastAsia="Times New Roman" w:hAnsi="Calibri" w:cs="Calibri"/>
                <w:sz w:val="20"/>
              </w:rPr>
            </w:pPr>
            <w:r>
              <w:rPr>
                <w:rFonts w:ascii="Calibri" w:eastAsia="Times New Roman" w:hAnsi="Calibri" w:cs="Calibri"/>
                <w:sz w:val="20"/>
              </w:rPr>
              <w:t>7</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7AE544A" w14:textId="77777777" w:rsidR="00524A07" w:rsidRDefault="00524A07">
            <w:pPr>
              <w:keepNext/>
              <w:spacing w:after="0"/>
              <w:jc w:val="right"/>
              <w:rPr>
                <w:rFonts w:ascii="Calibri" w:eastAsia="Times New Roman" w:hAnsi="Calibri" w:cs="Calibri"/>
                <w:sz w:val="20"/>
              </w:rPr>
            </w:pPr>
            <w:r>
              <w:rPr>
                <w:rFonts w:ascii="Calibri" w:eastAsia="Times New Roman" w:hAnsi="Calibri" w:cs="Calibri"/>
                <w:sz w:val="20"/>
              </w:rPr>
              <w:t>46,67%</w:t>
            </w:r>
          </w:p>
        </w:tc>
      </w:tr>
      <w:tr w:rsidR="00524A07" w14:paraId="1BBEB420" w14:textId="77777777" w:rsidTr="00524A07">
        <w:trPr>
          <w:trHeight w:val="306"/>
        </w:trPr>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E6EE91E" w14:textId="77777777" w:rsidR="00524A07" w:rsidRDefault="00524A07">
            <w:pPr>
              <w:keepNext/>
              <w:spacing w:after="0"/>
              <w:jc w:val="both"/>
              <w:rPr>
                <w:rFonts w:ascii="Calibri" w:eastAsia="Times New Roman" w:hAnsi="Calibri" w:cs="Calibri"/>
                <w:sz w:val="20"/>
              </w:rPr>
            </w:pPr>
            <w:r>
              <w:rPr>
                <w:rFonts w:ascii="Calibri" w:eastAsia="Times New Roman" w:hAnsi="Calibri" w:cs="Calibri"/>
                <w:sz w:val="20"/>
              </w:rPr>
              <w:t>32 007</w:t>
            </w:r>
          </w:p>
        </w:tc>
        <w:tc>
          <w:tcPr>
            <w:tcW w:w="417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FF20408" w14:textId="5B4CE416" w:rsidR="00524A07" w:rsidRDefault="00230895">
            <w:pPr>
              <w:keepNext/>
              <w:spacing w:after="0"/>
              <w:jc w:val="both"/>
              <w:rPr>
                <w:rFonts w:ascii="Calibri" w:eastAsia="Times New Roman" w:hAnsi="Calibri" w:cs="Calibri"/>
                <w:sz w:val="20"/>
              </w:rPr>
            </w:pPr>
            <w:r>
              <w:rPr>
                <w:rFonts w:ascii="Calibri" w:eastAsia="Times New Roman" w:hAnsi="Calibri" w:cs="Calibri"/>
                <w:sz w:val="20"/>
              </w:rPr>
              <w:t>O</w:t>
            </w:r>
            <w:r w:rsidR="00524A07">
              <w:rPr>
                <w:rFonts w:ascii="Calibri" w:eastAsia="Times New Roman" w:hAnsi="Calibri" w:cs="Calibri"/>
                <w:sz w:val="20"/>
              </w:rPr>
              <w:t>dstraněný objekt určený k rekreaci</w:t>
            </w:r>
          </w:p>
        </w:tc>
        <w:tc>
          <w:tcPr>
            <w:tcW w:w="5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62918278" w14:textId="77777777" w:rsidR="00524A07" w:rsidRDefault="00524A07">
            <w:pPr>
              <w:keepNext/>
              <w:spacing w:after="0"/>
              <w:jc w:val="both"/>
              <w:rPr>
                <w:rFonts w:ascii="Calibri" w:eastAsia="Times New Roman" w:hAnsi="Calibri" w:cs="Calibri"/>
                <w:sz w:val="20"/>
              </w:rPr>
            </w:pPr>
            <w:r>
              <w:rPr>
                <w:rFonts w:ascii="Calibri" w:eastAsia="Times New Roman" w:hAnsi="Calibri" w:cs="Calibri"/>
                <w:sz w:val="20"/>
              </w:rPr>
              <w:t>ks</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3470E17" w14:textId="77777777" w:rsidR="00524A07" w:rsidRDefault="00524A07">
            <w:pPr>
              <w:keepNext/>
              <w:spacing w:after="0"/>
              <w:jc w:val="right"/>
              <w:rPr>
                <w:rFonts w:ascii="Calibri" w:eastAsia="Times New Roman" w:hAnsi="Calibri" w:cs="Calibri"/>
                <w:sz w:val="20"/>
              </w:rPr>
            </w:pPr>
            <w:r>
              <w:rPr>
                <w:rFonts w:ascii="Calibri" w:eastAsia="Times New Roman" w:hAnsi="Calibri" w:cs="Calibri"/>
                <w:sz w:val="20"/>
              </w:rPr>
              <w:t>10</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57F42953" w14:textId="77777777" w:rsidR="00524A07" w:rsidRDefault="00524A07">
            <w:pPr>
              <w:keepNext/>
              <w:spacing w:after="0"/>
              <w:jc w:val="right"/>
              <w:rPr>
                <w:rFonts w:ascii="Calibri" w:eastAsia="Times New Roman" w:hAnsi="Calibri" w:cs="Calibri"/>
                <w:sz w:val="20"/>
              </w:rPr>
            </w:pPr>
            <w:r>
              <w:rPr>
                <w:rFonts w:ascii="Calibri" w:eastAsia="Times New Roman" w:hAnsi="Calibri" w:cs="Calibri"/>
                <w:sz w:val="20"/>
              </w:rPr>
              <w:t>14</w:t>
            </w:r>
          </w:p>
        </w:tc>
        <w:tc>
          <w:tcPr>
            <w:tcW w:w="123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4CE22BFF" w14:textId="77777777" w:rsidR="00524A07" w:rsidRDefault="00524A07">
            <w:pPr>
              <w:keepNext/>
              <w:spacing w:after="0"/>
              <w:jc w:val="right"/>
              <w:rPr>
                <w:rFonts w:ascii="Calibri" w:eastAsia="Times New Roman" w:hAnsi="Calibri" w:cs="Calibri"/>
                <w:sz w:val="20"/>
              </w:rPr>
            </w:pPr>
            <w:r>
              <w:rPr>
                <w:rFonts w:ascii="Calibri" w:eastAsia="Times New Roman" w:hAnsi="Calibri" w:cs="Calibri"/>
                <w:sz w:val="20"/>
              </w:rPr>
              <w:t>140,00%</w:t>
            </w:r>
          </w:p>
        </w:tc>
      </w:tr>
    </w:tbl>
    <w:p w14:paraId="7E10E4F8" w14:textId="77777777" w:rsidR="00026221" w:rsidRPr="00755FBC" w:rsidRDefault="00EC4C55" w:rsidP="009449A4">
      <w:pPr>
        <w:spacing w:before="40"/>
        <w:jc w:val="both"/>
        <w:rPr>
          <w:sz w:val="20"/>
          <w:szCs w:val="20"/>
        </w:rPr>
      </w:pPr>
      <w:r w:rsidRPr="00755FBC">
        <w:rPr>
          <w:b/>
          <w:sz w:val="20"/>
          <w:szCs w:val="20"/>
        </w:rPr>
        <w:t>Zdroj:</w:t>
      </w:r>
      <w:r w:rsidR="002C4E63" w:rsidRPr="00755FBC">
        <w:rPr>
          <w:sz w:val="20"/>
          <w:szCs w:val="20"/>
        </w:rPr>
        <w:t xml:space="preserve"> </w:t>
      </w:r>
      <w:r w:rsidR="001A04E9" w:rsidRPr="00755FBC">
        <w:rPr>
          <w:sz w:val="20"/>
          <w:szCs w:val="20"/>
        </w:rPr>
        <w:t>DIS, dokumentace jednotlivých projektů podpořených na základě výzev v let</w:t>
      </w:r>
      <w:r w:rsidR="00755FBC">
        <w:rPr>
          <w:sz w:val="20"/>
          <w:szCs w:val="20"/>
        </w:rPr>
        <w:t>ech 2016</w:t>
      </w:r>
      <w:r w:rsidR="004C778A" w:rsidRPr="00755FBC">
        <w:rPr>
          <w:sz w:val="20"/>
          <w:szCs w:val="20"/>
        </w:rPr>
        <w:t>–</w:t>
      </w:r>
      <w:r w:rsidR="001A04E9" w:rsidRPr="00755FBC">
        <w:rPr>
          <w:sz w:val="20"/>
          <w:szCs w:val="20"/>
        </w:rPr>
        <w:t>2018</w:t>
      </w:r>
      <w:r w:rsidR="004C778A" w:rsidRPr="00755FBC">
        <w:rPr>
          <w:sz w:val="20"/>
          <w:szCs w:val="20"/>
        </w:rPr>
        <w:t>.</w:t>
      </w:r>
    </w:p>
    <w:p w14:paraId="692D0AE2" w14:textId="0166764E" w:rsidR="00026221" w:rsidRDefault="00EC4C55" w:rsidP="00026221">
      <w:pPr>
        <w:jc w:val="both"/>
      </w:pPr>
      <w:r>
        <w:t>Z údajů obsažených v tabulce je zřejmé, že cílová hodnota klíčového parametru „revitalizovaná plocha“ je významně překročena (více než 2,7</w:t>
      </w:r>
      <w:r w:rsidR="008603AA">
        <w:t>násobně</w:t>
      </w:r>
      <w:r>
        <w:t xml:space="preserve">). </w:t>
      </w:r>
      <w:r w:rsidRPr="007C62A8">
        <w:rPr>
          <w:b/>
        </w:rPr>
        <w:t>Tuto skutečnost není možné hodnotit jako významný úspěch podprogramu a překročení jeho cílů, ale s ohledem na nízkou míru čerpání jako výrazně nepřesný či neambiciózní odhad při stanovení cílové hodnoty.</w:t>
      </w:r>
      <w:r>
        <w:t xml:space="preserve"> MMR </w:t>
      </w:r>
      <w:r w:rsidR="000D7361">
        <w:t>nedoložilo</w:t>
      </w:r>
      <w:r>
        <w:t xml:space="preserve">, na základě jakých předpokladů byly cílové hodnoty parametrů při vypracování podprogramu stanoveny. </w:t>
      </w:r>
    </w:p>
    <w:p w14:paraId="000765A2" w14:textId="77777777" w:rsidR="00026221" w:rsidRDefault="00EC4C55" w:rsidP="00026221">
      <w:pPr>
        <w:jc w:val="both"/>
      </w:pPr>
      <w:r w:rsidRPr="008B1D88">
        <w:t>MMR</w:t>
      </w:r>
      <w:r w:rsidR="008603AA" w:rsidRPr="008B1D88">
        <w:t xml:space="preserve"> rovněž</w:t>
      </w:r>
      <w:r w:rsidRPr="008B1D88">
        <w:t xml:space="preserve"> </w:t>
      </w:r>
      <w:r w:rsidR="000D7361" w:rsidRPr="008B1D88">
        <w:t>nedoložilo</w:t>
      </w:r>
      <w:r w:rsidRPr="008B1D88">
        <w:t xml:space="preserve">, na základě jakých předpokladů byly stanoveny cílové hodnoty parametrů při aktualizaci </w:t>
      </w:r>
      <w:r w:rsidR="00D075FC" w:rsidRPr="008B1D88">
        <w:t>pod</w:t>
      </w:r>
      <w:r w:rsidRPr="008B1D88">
        <w:t>programu</w:t>
      </w:r>
      <w:r w:rsidR="00430354" w:rsidRPr="008B1D88">
        <w:t>.</w:t>
      </w:r>
      <w:r w:rsidR="00DD5495" w:rsidRPr="008B1D88">
        <w:t xml:space="preserve"> </w:t>
      </w:r>
      <w:r w:rsidR="00430354" w:rsidRPr="008B1D88">
        <w:t>P</w:t>
      </w:r>
      <w:r w:rsidRPr="008B1D88">
        <w:t xml:space="preserve">o změně dokumentace </w:t>
      </w:r>
      <w:r w:rsidR="00D075FC" w:rsidRPr="008B1D88">
        <w:t>pod</w:t>
      </w:r>
      <w:r w:rsidRPr="008B1D88">
        <w:t xml:space="preserve">programu jsou </w:t>
      </w:r>
      <w:r w:rsidR="00430354" w:rsidRPr="008B1D88">
        <w:t xml:space="preserve">nové hodnoty parametrů </w:t>
      </w:r>
      <w:r w:rsidRPr="008B1D88">
        <w:t xml:space="preserve">stanoveny na </w:t>
      </w:r>
      <w:r w:rsidR="00A628F4" w:rsidRPr="008B1D88">
        <w:t>celou dobu realizace podprogramu</w:t>
      </w:r>
      <w:r w:rsidRPr="008B1D88">
        <w:t>. Z následující tabulky č.</w:t>
      </w:r>
      <w:r w:rsidR="007C62A8" w:rsidRPr="008B1D88">
        <w:t> </w:t>
      </w:r>
      <w:r w:rsidR="00DD5495" w:rsidRPr="008B1D88">
        <w:t>3</w:t>
      </w:r>
      <w:r w:rsidRPr="008B1D88">
        <w:t xml:space="preserve"> se jeví, že dosavadní známé výsledky realizace podprogramu byly MMR vzaty do úvahy a nová cílová hodnota parametru „revitalizovaná plocha“ tak např. činí více než dvojnásobek skutečně dosaženého stavu.</w:t>
      </w:r>
    </w:p>
    <w:p w14:paraId="36D2B00C" w14:textId="457D6E37" w:rsidR="00DD5495" w:rsidRPr="004C778A" w:rsidRDefault="00EC4C55" w:rsidP="00E82ADB">
      <w:pPr>
        <w:keepNext/>
        <w:spacing w:after="40"/>
        <w:ind w:left="1418" w:hanging="1418"/>
        <w:jc w:val="both"/>
        <w:rPr>
          <w:b/>
        </w:rPr>
      </w:pPr>
      <w:r w:rsidRPr="004C778A">
        <w:rPr>
          <w:b/>
        </w:rPr>
        <w:t>Tabulka č.</w:t>
      </w:r>
      <w:r w:rsidR="004C778A">
        <w:rPr>
          <w:b/>
        </w:rPr>
        <w:t> </w:t>
      </w:r>
      <w:r w:rsidR="00394932" w:rsidRPr="004C778A">
        <w:rPr>
          <w:b/>
        </w:rPr>
        <w:fldChar w:fldCharType="begin"/>
      </w:r>
      <w:r w:rsidR="00394932" w:rsidRPr="004C778A">
        <w:rPr>
          <w:b/>
        </w:rPr>
        <w:instrText xml:space="preserve"> SEQ Tabulka_č. \* ARABIC </w:instrText>
      </w:r>
      <w:r w:rsidR="00394932" w:rsidRPr="004C778A">
        <w:rPr>
          <w:b/>
        </w:rPr>
        <w:fldChar w:fldCharType="separate"/>
      </w:r>
      <w:r w:rsidR="00D22FA5">
        <w:rPr>
          <w:b/>
          <w:noProof/>
        </w:rPr>
        <w:t>3</w:t>
      </w:r>
      <w:r w:rsidR="00394932" w:rsidRPr="004C778A">
        <w:rPr>
          <w:b/>
          <w:noProof/>
        </w:rPr>
        <w:fldChar w:fldCharType="end"/>
      </w:r>
      <w:r w:rsidRPr="004C778A">
        <w:rPr>
          <w:b/>
        </w:rPr>
        <w:t xml:space="preserve">: </w:t>
      </w:r>
      <w:r w:rsidR="00E82ADB">
        <w:rPr>
          <w:b/>
        </w:rPr>
        <w:tab/>
      </w:r>
      <w:r w:rsidRPr="004C778A">
        <w:rPr>
          <w:b/>
        </w:rPr>
        <w:t>Stav plnění parametrů podprogramu a úprava jejich cílových hodnot při aktualizac</w:t>
      </w:r>
      <w:r w:rsidR="007034EB" w:rsidRPr="004C778A">
        <w:rPr>
          <w:b/>
        </w:rPr>
        <w:t>i</w:t>
      </w:r>
      <w:r w:rsidRPr="004C778A">
        <w:rPr>
          <w:b/>
        </w:rPr>
        <w:t xml:space="preserve"> podprogramu </w:t>
      </w:r>
    </w:p>
    <w:tbl>
      <w:tblPr>
        <w:tblStyle w:val="Mkatabulky"/>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631"/>
        <w:gridCol w:w="964"/>
        <w:gridCol w:w="2268"/>
        <w:gridCol w:w="1417"/>
      </w:tblGrid>
      <w:tr w:rsidR="00524A07" w14:paraId="24B26A57" w14:textId="77777777" w:rsidTr="009449A4">
        <w:trPr>
          <w:trHeight w:val="300"/>
          <w:jc w:val="center"/>
        </w:trPr>
        <w:tc>
          <w:tcPr>
            <w:tcW w:w="3742"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4BB89F0A" w14:textId="77777777" w:rsidR="00524A07" w:rsidRDefault="00524A07">
            <w:pPr>
              <w:keepNext/>
              <w:spacing w:after="0"/>
              <w:jc w:val="center"/>
              <w:rPr>
                <w:rFonts w:ascii="Calibri" w:eastAsia="Times New Roman" w:hAnsi="Calibri" w:cs="Calibri"/>
                <w:b/>
                <w:sz w:val="20"/>
                <w:szCs w:val="20"/>
              </w:rPr>
            </w:pPr>
            <w:r>
              <w:rPr>
                <w:rFonts w:ascii="Calibri" w:eastAsia="Times New Roman" w:hAnsi="Calibri" w:cs="Calibri"/>
                <w:b/>
                <w:sz w:val="20"/>
                <w:szCs w:val="20"/>
              </w:rPr>
              <w:t>Název</w:t>
            </w:r>
          </w:p>
        </w:tc>
        <w:tc>
          <w:tcPr>
            <w:tcW w:w="631"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04BA3294" w14:textId="77777777" w:rsidR="00524A07" w:rsidRDefault="00524A07">
            <w:pPr>
              <w:keepNext/>
              <w:spacing w:after="0"/>
              <w:jc w:val="center"/>
              <w:rPr>
                <w:rFonts w:ascii="Calibri" w:eastAsia="Times New Roman" w:hAnsi="Calibri" w:cs="Calibri"/>
                <w:b/>
                <w:sz w:val="20"/>
                <w:szCs w:val="20"/>
              </w:rPr>
            </w:pPr>
            <w:r>
              <w:rPr>
                <w:rFonts w:ascii="Calibri" w:eastAsia="Times New Roman" w:hAnsi="Calibri" w:cs="Calibri"/>
                <w:b/>
                <w:sz w:val="20"/>
                <w:szCs w:val="20"/>
              </w:rPr>
              <w:t>MJ</w:t>
            </w:r>
          </w:p>
        </w:tc>
        <w:tc>
          <w:tcPr>
            <w:tcW w:w="964"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7633197A" w14:textId="77777777" w:rsidR="00524A07" w:rsidRDefault="00524A07">
            <w:pPr>
              <w:keepNext/>
              <w:spacing w:after="0"/>
              <w:jc w:val="center"/>
              <w:rPr>
                <w:rFonts w:ascii="Calibri" w:eastAsia="Times New Roman" w:hAnsi="Calibri" w:cs="Calibri"/>
                <w:b/>
                <w:sz w:val="20"/>
                <w:szCs w:val="20"/>
              </w:rPr>
            </w:pPr>
            <w:r>
              <w:rPr>
                <w:rFonts w:ascii="Calibri" w:eastAsia="Times New Roman" w:hAnsi="Calibri" w:cs="Calibri"/>
                <w:b/>
                <w:sz w:val="20"/>
                <w:szCs w:val="20"/>
              </w:rPr>
              <w:t>Cílová hodnota</w:t>
            </w:r>
          </w:p>
        </w:tc>
        <w:tc>
          <w:tcPr>
            <w:tcW w:w="2268"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216542A0" w14:textId="1CC8EF6C" w:rsidR="00524A07" w:rsidRDefault="00524A07" w:rsidP="00E82ADB">
            <w:pPr>
              <w:keepNext/>
              <w:spacing w:after="0"/>
              <w:jc w:val="center"/>
              <w:rPr>
                <w:rFonts w:ascii="Calibri" w:hAnsi="Calibri" w:cs="Calibri"/>
                <w:b/>
                <w:sz w:val="20"/>
                <w:szCs w:val="20"/>
              </w:rPr>
            </w:pPr>
            <w:r>
              <w:rPr>
                <w:rFonts w:ascii="Calibri" w:eastAsia="Times New Roman" w:hAnsi="Calibri" w:cs="Calibri"/>
                <w:b/>
                <w:sz w:val="20"/>
                <w:szCs w:val="20"/>
              </w:rPr>
              <w:t>Úprava cílové hodnoty k</w:t>
            </w:r>
            <w:r w:rsidR="00E82ADB">
              <w:rPr>
                <w:rFonts w:ascii="Calibri" w:eastAsia="Times New Roman" w:hAnsi="Calibri" w:cs="Calibri"/>
                <w:b/>
                <w:sz w:val="20"/>
                <w:szCs w:val="20"/>
              </w:rPr>
              <w:t> </w:t>
            </w:r>
            <w:r>
              <w:rPr>
                <w:rFonts w:ascii="Calibri" w:eastAsia="Times New Roman" w:hAnsi="Calibri" w:cs="Calibri"/>
                <w:b/>
                <w:sz w:val="20"/>
                <w:szCs w:val="20"/>
              </w:rPr>
              <w:t>12.</w:t>
            </w:r>
            <w:r w:rsidR="009449A4">
              <w:rPr>
                <w:rFonts w:ascii="Calibri" w:eastAsia="Times New Roman" w:hAnsi="Calibri" w:cs="Calibri"/>
                <w:b/>
                <w:sz w:val="20"/>
                <w:szCs w:val="20"/>
              </w:rPr>
              <w:t> </w:t>
            </w:r>
            <w:r>
              <w:rPr>
                <w:rFonts w:ascii="Calibri" w:eastAsia="Times New Roman" w:hAnsi="Calibri" w:cs="Calibri"/>
                <w:b/>
                <w:sz w:val="20"/>
                <w:szCs w:val="20"/>
              </w:rPr>
              <w:t>11.</w:t>
            </w:r>
            <w:r w:rsidR="00E82ADB">
              <w:rPr>
                <w:rFonts w:ascii="Calibri" w:eastAsia="Times New Roman" w:hAnsi="Calibri" w:cs="Calibri"/>
                <w:b/>
                <w:sz w:val="20"/>
                <w:szCs w:val="20"/>
              </w:rPr>
              <w:t> </w:t>
            </w:r>
            <w:r>
              <w:rPr>
                <w:rFonts w:ascii="Calibri" w:eastAsia="Times New Roman" w:hAnsi="Calibri" w:cs="Calibri"/>
                <w:b/>
                <w:sz w:val="20"/>
                <w:szCs w:val="20"/>
              </w:rPr>
              <w:t>2018</w:t>
            </w:r>
          </w:p>
        </w:tc>
        <w:tc>
          <w:tcPr>
            <w:tcW w:w="1417" w:type="dxa"/>
            <w:tcBorders>
              <w:top w:val="single" w:sz="4" w:space="0" w:color="auto"/>
              <w:left w:val="single" w:sz="4" w:space="0" w:color="auto"/>
              <w:bottom w:val="single" w:sz="4" w:space="0" w:color="auto"/>
              <w:right w:val="single" w:sz="4" w:space="0" w:color="auto"/>
            </w:tcBorders>
            <w:shd w:val="clear" w:color="auto" w:fill="E5F1FF"/>
            <w:noWrap/>
            <w:vAlign w:val="center"/>
            <w:hideMark/>
          </w:tcPr>
          <w:p w14:paraId="44B9BDC8" w14:textId="5B8017D5" w:rsidR="00524A07" w:rsidRDefault="00524A07" w:rsidP="00E82ADB">
            <w:pPr>
              <w:keepNext/>
              <w:spacing w:after="0"/>
              <w:jc w:val="center"/>
              <w:rPr>
                <w:rFonts w:ascii="Calibri" w:eastAsia="Times New Roman" w:hAnsi="Calibri" w:cs="Calibri"/>
                <w:b/>
                <w:sz w:val="20"/>
                <w:szCs w:val="20"/>
              </w:rPr>
            </w:pPr>
            <w:r>
              <w:rPr>
                <w:rFonts w:ascii="Calibri" w:eastAsia="Times New Roman" w:hAnsi="Calibri" w:cs="Calibri"/>
                <w:b/>
                <w:sz w:val="20"/>
                <w:szCs w:val="20"/>
              </w:rPr>
              <w:t>Dosaženo k</w:t>
            </w:r>
            <w:r w:rsidR="00E82ADB">
              <w:rPr>
                <w:rFonts w:ascii="Calibri" w:eastAsia="Times New Roman" w:hAnsi="Calibri" w:cs="Calibri"/>
                <w:b/>
                <w:sz w:val="20"/>
                <w:szCs w:val="20"/>
              </w:rPr>
              <w:t> </w:t>
            </w:r>
            <w:r>
              <w:rPr>
                <w:rFonts w:ascii="Calibri" w:eastAsia="Times New Roman" w:hAnsi="Calibri" w:cs="Calibri"/>
                <w:b/>
                <w:sz w:val="20"/>
                <w:szCs w:val="20"/>
              </w:rPr>
              <w:t>25.</w:t>
            </w:r>
            <w:r w:rsidR="009449A4">
              <w:rPr>
                <w:rFonts w:ascii="Calibri" w:eastAsia="Times New Roman" w:hAnsi="Calibri" w:cs="Calibri"/>
                <w:b/>
                <w:sz w:val="20"/>
                <w:szCs w:val="20"/>
              </w:rPr>
              <w:t> 2. </w:t>
            </w:r>
            <w:r>
              <w:rPr>
                <w:rFonts w:ascii="Calibri" w:eastAsia="Times New Roman" w:hAnsi="Calibri" w:cs="Calibri"/>
                <w:b/>
                <w:sz w:val="20"/>
                <w:szCs w:val="20"/>
              </w:rPr>
              <w:t xml:space="preserve">2020 </w:t>
            </w:r>
          </w:p>
        </w:tc>
      </w:tr>
      <w:tr w:rsidR="00524A07" w14:paraId="09036448" w14:textId="77777777" w:rsidTr="009449A4">
        <w:trPr>
          <w:trHeight w:val="300"/>
          <w:jc w:val="center"/>
        </w:trPr>
        <w:tc>
          <w:tcPr>
            <w:tcW w:w="3742" w:type="dxa"/>
            <w:tcBorders>
              <w:top w:val="single" w:sz="4" w:space="0" w:color="auto"/>
              <w:left w:val="single" w:sz="4" w:space="0" w:color="auto"/>
              <w:bottom w:val="single" w:sz="4" w:space="0" w:color="auto"/>
              <w:right w:val="single" w:sz="4" w:space="0" w:color="auto"/>
            </w:tcBorders>
            <w:noWrap/>
            <w:vAlign w:val="center"/>
            <w:hideMark/>
          </w:tcPr>
          <w:p w14:paraId="6BA6466C" w14:textId="2B80FFC6" w:rsidR="00524A07" w:rsidRDefault="00E82ADB" w:rsidP="009449A4">
            <w:pPr>
              <w:keepNext/>
              <w:spacing w:after="0"/>
              <w:rPr>
                <w:rFonts w:ascii="Calibri" w:eastAsia="Times New Roman" w:hAnsi="Calibri" w:cs="Calibri"/>
                <w:sz w:val="20"/>
                <w:szCs w:val="20"/>
              </w:rPr>
            </w:pPr>
            <w:r>
              <w:rPr>
                <w:rFonts w:ascii="Calibri" w:eastAsia="Times New Roman" w:hAnsi="Calibri" w:cs="Calibri"/>
                <w:sz w:val="20"/>
                <w:szCs w:val="20"/>
              </w:rPr>
              <w:t>O</w:t>
            </w:r>
            <w:r w:rsidR="00524A07">
              <w:rPr>
                <w:rFonts w:ascii="Calibri" w:eastAsia="Times New Roman" w:hAnsi="Calibri" w:cs="Calibri"/>
                <w:sz w:val="20"/>
                <w:szCs w:val="20"/>
              </w:rPr>
              <w:t xml:space="preserve">bestavěný prostor odstraněné stavby </w:t>
            </w:r>
          </w:p>
        </w:tc>
        <w:tc>
          <w:tcPr>
            <w:tcW w:w="631" w:type="dxa"/>
            <w:tcBorders>
              <w:top w:val="single" w:sz="4" w:space="0" w:color="auto"/>
              <w:left w:val="single" w:sz="4" w:space="0" w:color="auto"/>
              <w:bottom w:val="single" w:sz="4" w:space="0" w:color="auto"/>
              <w:right w:val="single" w:sz="4" w:space="0" w:color="auto"/>
            </w:tcBorders>
            <w:noWrap/>
            <w:vAlign w:val="center"/>
            <w:hideMark/>
          </w:tcPr>
          <w:p w14:paraId="64E88DA0" w14:textId="77777777" w:rsidR="00524A07" w:rsidRDefault="00524A07" w:rsidP="009449A4">
            <w:pPr>
              <w:keepNext/>
              <w:spacing w:after="0"/>
              <w:jc w:val="center"/>
              <w:rPr>
                <w:rFonts w:ascii="Calibri" w:eastAsia="Times New Roman" w:hAnsi="Calibri" w:cs="Calibri"/>
                <w:sz w:val="20"/>
                <w:szCs w:val="20"/>
              </w:rPr>
            </w:pPr>
            <w:r>
              <w:rPr>
                <w:rFonts w:ascii="Calibri" w:eastAsia="Times New Roman" w:hAnsi="Calibri" w:cs="Calibri"/>
                <w:sz w:val="20"/>
                <w:szCs w:val="20"/>
              </w:rPr>
              <w:t>m</w:t>
            </w:r>
            <w:r>
              <w:rPr>
                <w:rFonts w:ascii="Calibri" w:eastAsia="Times New Roman" w:hAnsi="Calibri" w:cs="Calibri"/>
                <w:sz w:val="20"/>
                <w:szCs w:val="20"/>
                <w:vertAlign w:val="superscript"/>
              </w:rPr>
              <w:t>3</w:t>
            </w:r>
          </w:p>
        </w:tc>
        <w:tc>
          <w:tcPr>
            <w:tcW w:w="964" w:type="dxa"/>
            <w:tcBorders>
              <w:top w:val="single" w:sz="4" w:space="0" w:color="auto"/>
              <w:left w:val="single" w:sz="4" w:space="0" w:color="auto"/>
              <w:bottom w:val="single" w:sz="4" w:space="0" w:color="auto"/>
              <w:right w:val="single" w:sz="4" w:space="0" w:color="auto"/>
            </w:tcBorders>
            <w:noWrap/>
            <w:vAlign w:val="center"/>
            <w:hideMark/>
          </w:tcPr>
          <w:p w14:paraId="488E1EA6" w14:textId="77777777" w:rsidR="00524A07" w:rsidRDefault="00524A07" w:rsidP="009449A4">
            <w:pPr>
              <w:keepNext/>
              <w:spacing w:after="0"/>
              <w:ind w:right="57"/>
              <w:jc w:val="right"/>
              <w:rPr>
                <w:rFonts w:ascii="Calibri" w:eastAsia="Times New Roman" w:hAnsi="Calibri" w:cs="Calibri"/>
                <w:sz w:val="20"/>
                <w:szCs w:val="20"/>
              </w:rPr>
            </w:pPr>
            <w:r>
              <w:rPr>
                <w:rFonts w:ascii="Calibri" w:eastAsia="Times New Roman" w:hAnsi="Calibri" w:cs="Calibri"/>
                <w:sz w:val="20"/>
                <w:szCs w:val="20"/>
              </w:rPr>
              <w:t>450 000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F3A92E2" w14:textId="77777777" w:rsidR="00524A07" w:rsidRDefault="00524A07" w:rsidP="009449A4">
            <w:pPr>
              <w:keepNext/>
              <w:spacing w:after="0"/>
              <w:ind w:right="412"/>
              <w:jc w:val="right"/>
              <w:rPr>
                <w:rFonts w:ascii="Calibri" w:hAnsi="Calibri" w:cs="Calibri"/>
                <w:sz w:val="20"/>
                <w:szCs w:val="20"/>
              </w:rPr>
            </w:pPr>
            <w:r>
              <w:rPr>
                <w:rFonts w:ascii="Calibri" w:eastAsia="Times New Roman" w:hAnsi="Calibri" w:cs="Calibri"/>
                <w:sz w:val="20"/>
                <w:szCs w:val="20"/>
              </w:rPr>
              <w:t>946 098</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521B401" w14:textId="77777777" w:rsidR="00524A07" w:rsidRDefault="00524A07" w:rsidP="009449A4">
            <w:pPr>
              <w:keepNext/>
              <w:spacing w:after="0"/>
              <w:ind w:right="137"/>
              <w:jc w:val="right"/>
              <w:rPr>
                <w:rFonts w:ascii="Calibri" w:eastAsia="Times New Roman" w:hAnsi="Calibri" w:cs="Calibri"/>
                <w:sz w:val="20"/>
                <w:szCs w:val="20"/>
              </w:rPr>
            </w:pPr>
            <w:r>
              <w:rPr>
                <w:rFonts w:ascii="Calibri" w:eastAsia="Times New Roman" w:hAnsi="Calibri" w:cs="Calibri"/>
                <w:sz w:val="20"/>
                <w:szCs w:val="20"/>
              </w:rPr>
              <w:t>365 469</w:t>
            </w:r>
          </w:p>
        </w:tc>
      </w:tr>
      <w:tr w:rsidR="00524A07" w14:paraId="48AAD17A" w14:textId="77777777" w:rsidTr="009449A4">
        <w:trPr>
          <w:trHeight w:val="300"/>
          <w:jc w:val="center"/>
        </w:trPr>
        <w:tc>
          <w:tcPr>
            <w:tcW w:w="3742" w:type="dxa"/>
            <w:tcBorders>
              <w:top w:val="single" w:sz="4" w:space="0" w:color="auto"/>
              <w:left w:val="single" w:sz="4" w:space="0" w:color="auto"/>
              <w:bottom w:val="single" w:sz="4" w:space="0" w:color="auto"/>
              <w:right w:val="single" w:sz="4" w:space="0" w:color="auto"/>
            </w:tcBorders>
            <w:noWrap/>
            <w:vAlign w:val="center"/>
            <w:hideMark/>
          </w:tcPr>
          <w:p w14:paraId="622AD06E" w14:textId="4062DA03" w:rsidR="00524A07" w:rsidRDefault="00E82ADB" w:rsidP="009449A4">
            <w:pPr>
              <w:keepNext/>
              <w:spacing w:after="0"/>
              <w:rPr>
                <w:rFonts w:ascii="Calibri" w:eastAsia="Times New Roman" w:hAnsi="Calibri" w:cs="Calibri"/>
                <w:sz w:val="20"/>
                <w:szCs w:val="20"/>
              </w:rPr>
            </w:pPr>
            <w:r>
              <w:rPr>
                <w:rFonts w:ascii="Calibri" w:eastAsia="Times New Roman" w:hAnsi="Calibri" w:cs="Calibri"/>
                <w:sz w:val="20"/>
                <w:szCs w:val="20"/>
              </w:rPr>
              <w:t>O</w:t>
            </w:r>
            <w:r w:rsidR="00524A07">
              <w:rPr>
                <w:rFonts w:ascii="Calibri" w:eastAsia="Times New Roman" w:hAnsi="Calibri" w:cs="Calibri"/>
                <w:sz w:val="20"/>
                <w:szCs w:val="20"/>
              </w:rPr>
              <w:t>dstraněný objekt určený k bydlení</w:t>
            </w:r>
          </w:p>
        </w:tc>
        <w:tc>
          <w:tcPr>
            <w:tcW w:w="631" w:type="dxa"/>
            <w:tcBorders>
              <w:top w:val="single" w:sz="4" w:space="0" w:color="auto"/>
              <w:left w:val="single" w:sz="4" w:space="0" w:color="auto"/>
              <w:bottom w:val="single" w:sz="4" w:space="0" w:color="auto"/>
              <w:right w:val="single" w:sz="4" w:space="0" w:color="auto"/>
            </w:tcBorders>
            <w:noWrap/>
            <w:vAlign w:val="center"/>
            <w:hideMark/>
          </w:tcPr>
          <w:p w14:paraId="1F8B0798" w14:textId="77777777" w:rsidR="00524A07" w:rsidRDefault="00524A07" w:rsidP="009449A4">
            <w:pPr>
              <w:keepNext/>
              <w:spacing w:after="0"/>
              <w:jc w:val="center"/>
              <w:rPr>
                <w:rFonts w:ascii="Calibri" w:eastAsia="Times New Roman" w:hAnsi="Calibri" w:cs="Calibri"/>
                <w:sz w:val="20"/>
                <w:szCs w:val="20"/>
              </w:rPr>
            </w:pPr>
            <w:r>
              <w:rPr>
                <w:rFonts w:ascii="Calibri" w:eastAsia="Times New Roman" w:hAnsi="Calibri" w:cs="Calibri"/>
                <w:sz w:val="20"/>
                <w:szCs w:val="20"/>
              </w:rPr>
              <w:t>ks</w:t>
            </w:r>
          </w:p>
        </w:tc>
        <w:tc>
          <w:tcPr>
            <w:tcW w:w="964" w:type="dxa"/>
            <w:tcBorders>
              <w:top w:val="single" w:sz="4" w:space="0" w:color="auto"/>
              <w:left w:val="single" w:sz="4" w:space="0" w:color="auto"/>
              <w:bottom w:val="single" w:sz="4" w:space="0" w:color="auto"/>
              <w:right w:val="single" w:sz="4" w:space="0" w:color="auto"/>
            </w:tcBorders>
            <w:noWrap/>
            <w:vAlign w:val="center"/>
            <w:hideMark/>
          </w:tcPr>
          <w:p w14:paraId="33AF20D2" w14:textId="77777777" w:rsidR="00524A07" w:rsidRDefault="00524A07" w:rsidP="009449A4">
            <w:pPr>
              <w:keepNext/>
              <w:spacing w:after="0"/>
              <w:ind w:right="57"/>
              <w:jc w:val="right"/>
              <w:rPr>
                <w:rFonts w:ascii="Calibri" w:eastAsia="Times New Roman" w:hAnsi="Calibri" w:cs="Calibri"/>
                <w:sz w:val="20"/>
                <w:szCs w:val="20"/>
              </w:rPr>
            </w:pPr>
            <w:r>
              <w:rPr>
                <w:rFonts w:ascii="Calibri" w:eastAsia="Times New Roman" w:hAnsi="Calibri" w:cs="Calibri"/>
                <w:sz w:val="20"/>
                <w:szCs w:val="20"/>
              </w:rPr>
              <w:t>100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8AE085" w14:textId="77777777" w:rsidR="00524A07" w:rsidRDefault="00524A07" w:rsidP="009449A4">
            <w:pPr>
              <w:keepNext/>
              <w:spacing w:after="0"/>
              <w:ind w:right="412"/>
              <w:jc w:val="right"/>
              <w:rPr>
                <w:rFonts w:ascii="Calibri" w:hAnsi="Calibri" w:cs="Calibri"/>
                <w:sz w:val="20"/>
                <w:szCs w:val="20"/>
              </w:rPr>
            </w:pPr>
            <w:r>
              <w:rPr>
                <w:rFonts w:ascii="Calibri" w:eastAsia="Times New Roman" w:hAnsi="Calibri" w:cs="Calibri"/>
                <w:sz w:val="20"/>
                <w:szCs w:val="20"/>
              </w:rPr>
              <w:t>250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AD42C0D" w14:textId="77777777" w:rsidR="00524A07" w:rsidRDefault="00524A07" w:rsidP="009449A4">
            <w:pPr>
              <w:keepNext/>
              <w:spacing w:after="0"/>
              <w:ind w:right="137"/>
              <w:jc w:val="right"/>
              <w:rPr>
                <w:rFonts w:ascii="Calibri" w:eastAsia="Times New Roman" w:hAnsi="Calibri" w:cs="Calibri"/>
                <w:sz w:val="20"/>
                <w:szCs w:val="20"/>
              </w:rPr>
            </w:pPr>
            <w:r>
              <w:rPr>
                <w:rFonts w:ascii="Calibri" w:eastAsia="Times New Roman" w:hAnsi="Calibri" w:cs="Calibri"/>
                <w:sz w:val="20"/>
                <w:szCs w:val="20"/>
              </w:rPr>
              <w:t>108</w:t>
            </w:r>
          </w:p>
        </w:tc>
      </w:tr>
      <w:tr w:rsidR="00524A07" w14:paraId="30EAF0B1" w14:textId="77777777" w:rsidTr="009449A4">
        <w:trPr>
          <w:trHeight w:val="300"/>
          <w:jc w:val="center"/>
        </w:trPr>
        <w:tc>
          <w:tcPr>
            <w:tcW w:w="3742" w:type="dxa"/>
            <w:tcBorders>
              <w:top w:val="single" w:sz="4" w:space="0" w:color="auto"/>
              <w:left w:val="single" w:sz="4" w:space="0" w:color="auto"/>
              <w:bottom w:val="single" w:sz="4" w:space="0" w:color="auto"/>
              <w:right w:val="single" w:sz="4" w:space="0" w:color="auto"/>
            </w:tcBorders>
            <w:noWrap/>
            <w:vAlign w:val="center"/>
            <w:hideMark/>
          </w:tcPr>
          <w:p w14:paraId="5C331E98" w14:textId="6E060FDC" w:rsidR="00524A07" w:rsidRDefault="00E82ADB" w:rsidP="009449A4">
            <w:pPr>
              <w:keepNext/>
              <w:spacing w:after="0"/>
              <w:rPr>
                <w:rFonts w:ascii="Calibri" w:eastAsia="Times New Roman" w:hAnsi="Calibri" w:cs="Calibri"/>
                <w:sz w:val="20"/>
                <w:szCs w:val="20"/>
              </w:rPr>
            </w:pPr>
            <w:r>
              <w:rPr>
                <w:rFonts w:ascii="Calibri" w:eastAsia="Times New Roman" w:hAnsi="Calibri" w:cs="Calibri"/>
                <w:sz w:val="20"/>
                <w:szCs w:val="20"/>
              </w:rPr>
              <w:t>O</w:t>
            </w:r>
            <w:r w:rsidR="00524A07">
              <w:rPr>
                <w:rFonts w:ascii="Calibri" w:eastAsia="Times New Roman" w:hAnsi="Calibri" w:cs="Calibri"/>
                <w:sz w:val="20"/>
                <w:szCs w:val="20"/>
              </w:rPr>
              <w:t>dstraněná bytová jednotka</w:t>
            </w:r>
          </w:p>
        </w:tc>
        <w:tc>
          <w:tcPr>
            <w:tcW w:w="631" w:type="dxa"/>
            <w:tcBorders>
              <w:top w:val="single" w:sz="4" w:space="0" w:color="auto"/>
              <w:left w:val="single" w:sz="4" w:space="0" w:color="auto"/>
              <w:bottom w:val="single" w:sz="4" w:space="0" w:color="auto"/>
              <w:right w:val="single" w:sz="4" w:space="0" w:color="auto"/>
            </w:tcBorders>
            <w:noWrap/>
            <w:vAlign w:val="center"/>
            <w:hideMark/>
          </w:tcPr>
          <w:p w14:paraId="30298EED" w14:textId="77777777" w:rsidR="00524A07" w:rsidRDefault="00524A07" w:rsidP="009449A4">
            <w:pPr>
              <w:keepNext/>
              <w:spacing w:after="0"/>
              <w:jc w:val="center"/>
              <w:rPr>
                <w:rFonts w:ascii="Calibri" w:eastAsia="Times New Roman" w:hAnsi="Calibri" w:cs="Calibri"/>
                <w:sz w:val="20"/>
                <w:szCs w:val="20"/>
              </w:rPr>
            </w:pPr>
            <w:r>
              <w:rPr>
                <w:rFonts w:ascii="Calibri" w:eastAsia="Times New Roman" w:hAnsi="Calibri" w:cs="Calibri"/>
                <w:sz w:val="20"/>
                <w:szCs w:val="20"/>
              </w:rPr>
              <w:t>ks</w:t>
            </w:r>
          </w:p>
        </w:tc>
        <w:tc>
          <w:tcPr>
            <w:tcW w:w="964" w:type="dxa"/>
            <w:tcBorders>
              <w:top w:val="single" w:sz="4" w:space="0" w:color="auto"/>
              <w:left w:val="single" w:sz="4" w:space="0" w:color="auto"/>
              <w:bottom w:val="single" w:sz="4" w:space="0" w:color="auto"/>
              <w:right w:val="single" w:sz="4" w:space="0" w:color="auto"/>
            </w:tcBorders>
            <w:noWrap/>
            <w:vAlign w:val="center"/>
            <w:hideMark/>
          </w:tcPr>
          <w:p w14:paraId="455CEE8B" w14:textId="77777777" w:rsidR="00524A07" w:rsidRDefault="00524A07" w:rsidP="009449A4">
            <w:pPr>
              <w:keepNext/>
              <w:spacing w:after="0"/>
              <w:ind w:right="57"/>
              <w:jc w:val="right"/>
              <w:rPr>
                <w:rFonts w:ascii="Calibri" w:eastAsia="Times New Roman" w:hAnsi="Calibri" w:cs="Calibri"/>
                <w:sz w:val="20"/>
                <w:szCs w:val="20"/>
              </w:rPr>
            </w:pPr>
            <w:r>
              <w:rPr>
                <w:rFonts w:ascii="Calibri" w:eastAsia="Times New Roman" w:hAnsi="Calibri" w:cs="Calibri"/>
                <w:sz w:val="20"/>
                <w:szCs w:val="20"/>
              </w:rPr>
              <w:t>2 000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938192C" w14:textId="77777777" w:rsidR="00524A07" w:rsidRDefault="00524A07" w:rsidP="009449A4">
            <w:pPr>
              <w:keepNext/>
              <w:spacing w:after="0"/>
              <w:ind w:right="412"/>
              <w:jc w:val="right"/>
              <w:rPr>
                <w:rFonts w:ascii="Calibri" w:hAnsi="Calibri" w:cs="Calibri"/>
                <w:sz w:val="20"/>
                <w:szCs w:val="20"/>
              </w:rPr>
            </w:pPr>
            <w:r>
              <w:rPr>
                <w:rFonts w:ascii="Calibri" w:eastAsia="Times New Roman" w:hAnsi="Calibri" w:cs="Calibri"/>
                <w:sz w:val="20"/>
                <w:szCs w:val="20"/>
              </w:rPr>
              <w:t>2 567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82A7C30" w14:textId="77777777" w:rsidR="00524A07" w:rsidRDefault="00524A07" w:rsidP="009449A4">
            <w:pPr>
              <w:keepNext/>
              <w:spacing w:after="0"/>
              <w:ind w:right="137"/>
              <w:jc w:val="right"/>
              <w:rPr>
                <w:rFonts w:ascii="Calibri" w:eastAsia="Times New Roman" w:hAnsi="Calibri" w:cs="Calibri"/>
                <w:sz w:val="20"/>
                <w:szCs w:val="20"/>
              </w:rPr>
            </w:pPr>
            <w:r>
              <w:rPr>
                <w:rFonts w:ascii="Calibri" w:eastAsia="Times New Roman" w:hAnsi="Calibri" w:cs="Calibri"/>
                <w:sz w:val="20"/>
                <w:szCs w:val="20"/>
              </w:rPr>
              <w:t>973</w:t>
            </w:r>
          </w:p>
        </w:tc>
      </w:tr>
      <w:tr w:rsidR="00524A07" w14:paraId="06D66EA3" w14:textId="77777777" w:rsidTr="009449A4">
        <w:trPr>
          <w:trHeight w:val="300"/>
          <w:jc w:val="center"/>
        </w:trPr>
        <w:tc>
          <w:tcPr>
            <w:tcW w:w="3742" w:type="dxa"/>
            <w:tcBorders>
              <w:top w:val="single" w:sz="4" w:space="0" w:color="auto"/>
              <w:left w:val="single" w:sz="4" w:space="0" w:color="auto"/>
              <w:bottom w:val="single" w:sz="4" w:space="0" w:color="auto"/>
              <w:right w:val="single" w:sz="4" w:space="0" w:color="auto"/>
            </w:tcBorders>
            <w:noWrap/>
            <w:vAlign w:val="center"/>
            <w:hideMark/>
          </w:tcPr>
          <w:p w14:paraId="40207311" w14:textId="5822D6A0" w:rsidR="00524A07" w:rsidRDefault="00E82ADB" w:rsidP="009449A4">
            <w:pPr>
              <w:keepNext/>
              <w:spacing w:after="0"/>
              <w:rPr>
                <w:rFonts w:ascii="Calibri" w:eastAsia="Times New Roman" w:hAnsi="Calibri" w:cs="Calibri"/>
                <w:sz w:val="20"/>
                <w:szCs w:val="20"/>
              </w:rPr>
            </w:pPr>
            <w:r>
              <w:rPr>
                <w:rFonts w:ascii="Calibri" w:eastAsia="Times New Roman" w:hAnsi="Calibri" w:cs="Calibri"/>
                <w:sz w:val="20"/>
                <w:szCs w:val="20"/>
              </w:rPr>
              <w:t>R</w:t>
            </w:r>
            <w:r w:rsidR="00524A07">
              <w:rPr>
                <w:rFonts w:ascii="Calibri" w:eastAsia="Times New Roman" w:hAnsi="Calibri" w:cs="Calibri"/>
                <w:sz w:val="20"/>
                <w:szCs w:val="20"/>
              </w:rPr>
              <w:t>evitalizovaná plocha</w:t>
            </w:r>
          </w:p>
        </w:tc>
        <w:tc>
          <w:tcPr>
            <w:tcW w:w="631" w:type="dxa"/>
            <w:tcBorders>
              <w:top w:val="single" w:sz="4" w:space="0" w:color="auto"/>
              <w:left w:val="single" w:sz="4" w:space="0" w:color="auto"/>
              <w:bottom w:val="single" w:sz="4" w:space="0" w:color="auto"/>
              <w:right w:val="single" w:sz="4" w:space="0" w:color="auto"/>
            </w:tcBorders>
            <w:noWrap/>
            <w:vAlign w:val="center"/>
            <w:hideMark/>
          </w:tcPr>
          <w:p w14:paraId="37EB38EE" w14:textId="77777777" w:rsidR="00524A07" w:rsidRDefault="00524A07" w:rsidP="009449A4">
            <w:pPr>
              <w:keepNext/>
              <w:spacing w:after="0"/>
              <w:jc w:val="center"/>
              <w:rPr>
                <w:rFonts w:ascii="Calibri" w:eastAsia="Times New Roman" w:hAnsi="Calibri" w:cs="Calibri"/>
                <w:sz w:val="20"/>
                <w:szCs w:val="20"/>
              </w:rPr>
            </w:pPr>
            <w:r>
              <w:rPr>
                <w:rFonts w:ascii="Calibri" w:eastAsia="Times New Roman" w:hAnsi="Calibri" w:cs="Calibri"/>
                <w:sz w:val="20"/>
                <w:szCs w:val="20"/>
              </w:rPr>
              <w:t>m</w:t>
            </w:r>
            <w:r>
              <w:rPr>
                <w:rFonts w:ascii="Calibri" w:eastAsia="Times New Roman" w:hAnsi="Calibri" w:cs="Calibri"/>
                <w:sz w:val="20"/>
                <w:szCs w:val="20"/>
                <w:vertAlign w:val="superscript"/>
              </w:rPr>
              <w:t>2</w:t>
            </w:r>
          </w:p>
        </w:tc>
        <w:tc>
          <w:tcPr>
            <w:tcW w:w="964" w:type="dxa"/>
            <w:tcBorders>
              <w:top w:val="single" w:sz="4" w:space="0" w:color="auto"/>
              <w:left w:val="single" w:sz="4" w:space="0" w:color="auto"/>
              <w:bottom w:val="single" w:sz="4" w:space="0" w:color="auto"/>
              <w:right w:val="single" w:sz="4" w:space="0" w:color="auto"/>
            </w:tcBorders>
            <w:noWrap/>
            <w:vAlign w:val="center"/>
            <w:hideMark/>
          </w:tcPr>
          <w:p w14:paraId="55F3CF90" w14:textId="77777777" w:rsidR="00524A07" w:rsidRDefault="00524A07" w:rsidP="009449A4">
            <w:pPr>
              <w:keepNext/>
              <w:spacing w:after="0"/>
              <w:ind w:right="57"/>
              <w:jc w:val="right"/>
              <w:rPr>
                <w:rFonts w:ascii="Calibri" w:eastAsia="Times New Roman" w:hAnsi="Calibri" w:cs="Calibri"/>
                <w:sz w:val="20"/>
                <w:szCs w:val="20"/>
              </w:rPr>
            </w:pPr>
            <w:r>
              <w:rPr>
                <w:rFonts w:ascii="Calibri" w:eastAsia="Times New Roman" w:hAnsi="Calibri" w:cs="Calibri"/>
                <w:sz w:val="20"/>
                <w:szCs w:val="20"/>
              </w:rPr>
              <w:t>40 000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6E9DA2" w14:textId="77777777" w:rsidR="00524A07" w:rsidRDefault="00524A07" w:rsidP="009449A4">
            <w:pPr>
              <w:keepNext/>
              <w:spacing w:after="0"/>
              <w:ind w:right="412"/>
              <w:jc w:val="right"/>
              <w:rPr>
                <w:rFonts w:ascii="Calibri" w:hAnsi="Calibri" w:cs="Calibri"/>
                <w:sz w:val="20"/>
                <w:szCs w:val="20"/>
              </w:rPr>
            </w:pPr>
            <w:r>
              <w:rPr>
                <w:rFonts w:ascii="Calibri" w:eastAsia="Times New Roman" w:hAnsi="Calibri" w:cs="Calibri"/>
                <w:sz w:val="20"/>
                <w:szCs w:val="20"/>
              </w:rPr>
              <w:t>232 819</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FA20CEA" w14:textId="77777777" w:rsidR="00524A07" w:rsidRDefault="00524A07" w:rsidP="009449A4">
            <w:pPr>
              <w:keepNext/>
              <w:spacing w:after="0"/>
              <w:ind w:right="137"/>
              <w:jc w:val="right"/>
              <w:rPr>
                <w:rFonts w:ascii="Calibri" w:eastAsia="Times New Roman" w:hAnsi="Calibri" w:cs="Calibri"/>
                <w:sz w:val="20"/>
                <w:szCs w:val="20"/>
              </w:rPr>
            </w:pPr>
            <w:r>
              <w:rPr>
                <w:rFonts w:ascii="Calibri" w:eastAsia="Times New Roman" w:hAnsi="Calibri" w:cs="Calibri"/>
                <w:sz w:val="20"/>
                <w:szCs w:val="20"/>
              </w:rPr>
              <w:t>108 114</w:t>
            </w:r>
          </w:p>
        </w:tc>
      </w:tr>
      <w:tr w:rsidR="00524A07" w14:paraId="0E7CFBAD" w14:textId="77777777" w:rsidTr="009449A4">
        <w:trPr>
          <w:trHeight w:val="300"/>
          <w:jc w:val="center"/>
        </w:trPr>
        <w:tc>
          <w:tcPr>
            <w:tcW w:w="3742" w:type="dxa"/>
            <w:tcBorders>
              <w:top w:val="single" w:sz="4" w:space="0" w:color="auto"/>
              <w:left w:val="single" w:sz="4" w:space="0" w:color="auto"/>
              <w:bottom w:val="single" w:sz="4" w:space="0" w:color="auto"/>
              <w:right w:val="single" w:sz="4" w:space="0" w:color="auto"/>
            </w:tcBorders>
            <w:noWrap/>
            <w:vAlign w:val="center"/>
            <w:hideMark/>
          </w:tcPr>
          <w:p w14:paraId="6B5F1FFB" w14:textId="0AF83CB7" w:rsidR="00524A07" w:rsidRDefault="00E82ADB" w:rsidP="009449A4">
            <w:pPr>
              <w:keepNext/>
              <w:spacing w:after="0"/>
              <w:rPr>
                <w:rFonts w:ascii="Calibri" w:eastAsia="Times New Roman" w:hAnsi="Calibri" w:cs="Calibri"/>
                <w:sz w:val="20"/>
                <w:szCs w:val="20"/>
              </w:rPr>
            </w:pPr>
            <w:r>
              <w:rPr>
                <w:rFonts w:ascii="Calibri" w:eastAsia="Times New Roman" w:hAnsi="Calibri" w:cs="Calibri"/>
                <w:sz w:val="20"/>
                <w:szCs w:val="20"/>
              </w:rPr>
              <w:t>O</w:t>
            </w:r>
            <w:r w:rsidR="00524A07">
              <w:rPr>
                <w:rFonts w:ascii="Calibri" w:eastAsia="Times New Roman" w:hAnsi="Calibri" w:cs="Calibri"/>
                <w:sz w:val="20"/>
                <w:szCs w:val="20"/>
              </w:rPr>
              <w:t>dstraněný objekt určený k ubytování</w:t>
            </w:r>
          </w:p>
        </w:tc>
        <w:tc>
          <w:tcPr>
            <w:tcW w:w="631" w:type="dxa"/>
            <w:tcBorders>
              <w:top w:val="single" w:sz="4" w:space="0" w:color="auto"/>
              <w:left w:val="single" w:sz="4" w:space="0" w:color="auto"/>
              <w:bottom w:val="single" w:sz="4" w:space="0" w:color="auto"/>
              <w:right w:val="single" w:sz="4" w:space="0" w:color="auto"/>
            </w:tcBorders>
            <w:noWrap/>
            <w:vAlign w:val="center"/>
            <w:hideMark/>
          </w:tcPr>
          <w:p w14:paraId="3B5AC5F0" w14:textId="77777777" w:rsidR="00524A07" w:rsidRDefault="00524A07" w:rsidP="009449A4">
            <w:pPr>
              <w:keepNext/>
              <w:spacing w:after="0"/>
              <w:jc w:val="center"/>
              <w:rPr>
                <w:rFonts w:ascii="Calibri" w:eastAsia="Times New Roman" w:hAnsi="Calibri" w:cs="Calibri"/>
                <w:sz w:val="20"/>
                <w:szCs w:val="20"/>
              </w:rPr>
            </w:pPr>
            <w:r>
              <w:rPr>
                <w:rFonts w:ascii="Calibri" w:eastAsia="Times New Roman" w:hAnsi="Calibri" w:cs="Calibri"/>
                <w:sz w:val="20"/>
                <w:szCs w:val="20"/>
              </w:rPr>
              <w:t>ks</w:t>
            </w:r>
          </w:p>
        </w:tc>
        <w:tc>
          <w:tcPr>
            <w:tcW w:w="964" w:type="dxa"/>
            <w:tcBorders>
              <w:top w:val="single" w:sz="4" w:space="0" w:color="auto"/>
              <w:left w:val="single" w:sz="4" w:space="0" w:color="auto"/>
              <w:bottom w:val="single" w:sz="4" w:space="0" w:color="auto"/>
              <w:right w:val="single" w:sz="4" w:space="0" w:color="auto"/>
            </w:tcBorders>
            <w:noWrap/>
            <w:vAlign w:val="center"/>
            <w:hideMark/>
          </w:tcPr>
          <w:p w14:paraId="24685571" w14:textId="77777777" w:rsidR="00524A07" w:rsidRDefault="00524A07" w:rsidP="009449A4">
            <w:pPr>
              <w:keepNext/>
              <w:spacing w:after="0"/>
              <w:ind w:right="57"/>
              <w:jc w:val="right"/>
              <w:rPr>
                <w:rFonts w:ascii="Calibri" w:eastAsia="Times New Roman" w:hAnsi="Calibri" w:cs="Calibri"/>
                <w:sz w:val="20"/>
                <w:szCs w:val="20"/>
              </w:rPr>
            </w:pPr>
            <w:r>
              <w:rPr>
                <w:rFonts w:ascii="Calibri" w:eastAsia="Times New Roman" w:hAnsi="Calibri" w:cs="Calibri"/>
                <w:sz w:val="20"/>
                <w:szCs w:val="20"/>
              </w:rPr>
              <w:t>15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A28DF1" w14:textId="77777777" w:rsidR="00524A07" w:rsidRDefault="00524A07" w:rsidP="009449A4">
            <w:pPr>
              <w:keepNext/>
              <w:spacing w:after="0"/>
              <w:ind w:right="412"/>
              <w:jc w:val="right"/>
              <w:rPr>
                <w:rFonts w:ascii="Calibri" w:hAnsi="Calibri" w:cs="Calibri"/>
                <w:sz w:val="20"/>
                <w:szCs w:val="20"/>
              </w:rPr>
            </w:pPr>
            <w:r>
              <w:rPr>
                <w:rFonts w:ascii="Calibri" w:eastAsia="Times New Roman" w:hAnsi="Calibri" w:cs="Calibri"/>
                <w:sz w:val="20"/>
                <w:szCs w:val="20"/>
              </w:rPr>
              <w:t>200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42C31BD" w14:textId="77777777" w:rsidR="00524A07" w:rsidRDefault="00524A07" w:rsidP="009449A4">
            <w:pPr>
              <w:keepNext/>
              <w:spacing w:after="0"/>
              <w:ind w:right="137"/>
              <w:jc w:val="right"/>
              <w:rPr>
                <w:rFonts w:ascii="Calibri" w:eastAsia="Times New Roman" w:hAnsi="Calibri" w:cs="Calibri"/>
                <w:sz w:val="20"/>
                <w:szCs w:val="20"/>
              </w:rPr>
            </w:pPr>
            <w:r>
              <w:rPr>
                <w:rFonts w:ascii="Calibri" w:eastAsia="Times New Roman" w:hAnsi="Calibri" w:cs="Calibri"/>
                <w:sz w:val="20"/>
                <w:szCs w:val="20"/>
              </w:rPr>
              <w:t>7</w:t>
            </w:r>
          </w:p>
        </w:tc>
      </w:tr>
      <w:tr w:rsidR="00524A07" w14:paraId="3831CAB5" w14:textId="77777777" w:rsidTr="009449A4">
        <w:trPr>
          <w:trHeight w:val="300"/>
          <w:jc w:val="center"/>
        </w:trPr>
        <w:tc>
          <w:tcPr>
            <w:tcW w:w="3742" w:type="dxa"/>
            <w:tcBorders>
              <w:top w:val="single" w:sz="4" w:space="0" w:color="auto"/>
              <w:left w:val="single" w:sz="4" w:space="0" w:color="auto"/>
              <w:bottom w:val="single" w:sz="4" w:space="0" w:color="auto"/>
              <w:right w:val="single" w:sz="4" w:space="0" w:color="auto"/>
            </w:tcBorders>
            <w:noWrap/>
            <w:vAlign w:val="center"/>
            <w:hideMark/>
          </w:tcPr>
          <w:p w14:paraId="6BCFD16B" w14:textId="12EB49B8" w:rsidR="00524A07" w:rsidRDefault="00E82ADB" w:rsidP="009449A4">
            <w:pPr>
              <w:keepNext/>
              <w:spacing w:after="0"/>
              <w:rPr>
                <w:rFonts w:ascii="Calibri" w:eastAsia="Times New Roman" w:hAnsi="Calibri" w:cs="Calibri"/>
                <w:sz w:val="20"/>
                <w:szCs w:val="20"/>
              </w:rPr>
            </w:pPr>
            <w:r>
              <w:rPr>
                <w:rFonts w:ascii="Calibri" w:eastAsia="Times New Roman" w:hAnsi="Calibri" w:cs="Calibri"/>
                <w:sz w:val="20"/>
                <w:szCs w:val="20"/>
              </w:rPr>
              <w:t>O</w:t>
            </w:r>
            <w:r w:rsidR="00524A07">
              <w:rPr>
                <w:rFonts w:ascii="Calibri" w:eastAsia="Times New Roman" w:hAnsi="Calibri" w:cs="Calibri"/>
                <w:sz w:val="20"/>
                <w:szCs w:val="20"/>
              </w:rPr>
              <w:t>dstraněný objekt určený k rekreaci</w:t>
            </w:r>
          </w:p>
        </w:tc>
        <w:tc>
          <w:tcPr>
            <w:tcW w:w="631" w:type="dxa"/>
            <w:tcBorders>
              <w:top w:val="single" w:sz="4" w:space="0" w:color="auto"/>
              <w:left w:val="single" w:sz="4" w:space="0" w:color="auto"/>
              <w:bottom w:val="single" w:sz="4" w:space="0" w:color="auto"/>
              <w:right w:val="single" w:sz="4" w:space="0" w:color="auto"/>
            </w:tcBorders>
            <w:noWrap/>
            <w:vAlign w:val="center"/>
            <w:hideMark/>
          </w:tcPr>
          <w:p w14:paraId="1EA1F135" w14:textId="77777777" w:rsidR="00524A07" w:rsidRDefault="00524A07" w:rsidP="009449A4">
            <w:pPr>
              <w:keepNext/>
              <w:spacing w:after="0"/>
              <w:jc w:val="center"/>
              <w:rPr>
                <w:rFonts w:ascii="Calibri" w:eastAsia="Times New Roman" w:hAnsi="Calibri" w:cs="Calibri"/>
                <w:sz w:val="20"/>
                <w:szCs w:val="20"/>
              </w:rPr>
            </w:pPr>
            <w:r>
              <w:rPr>
                <w:rFonts w:ascii="Calibri" w:eastAsia="Times New Roman" w:hAnsi="Calibri" w:cs="Calibri"/>
                <w:sz w:val="20"/>
                <w:szCs w:val="20"/>
              </w:rPr>
              <w:t>ks</w:t>
            </w:r>
          </w:p>
        </w:tc>
        <w:tc>
          <w:tcPr>
            <w:tcW w:w="964" w:type="dxa"/>
            <w:tcBorders>
              <w:top w:val="single" w:sz="4" w:space="0" w:color="auto"/>
              <w:left w:val="single" w:sz="4" w:space="0" w:color="auto"/>
              <w:bottom w:val="single" w:sz="4" w:space="0" w:color="auto"/>
              <w:right w:val="single" w:sz="4" w:space="0" w:color="auto"/>
            </w:tcBorders>
            <w:noWrap/>
            <w:vAlign w:val="center"/>
            <w:hideMark/>
          </w:tcPr>
          <w:p w14:paraId="45AF3121" w14:textId="77777777" w:rsidR="00524A07" w:rsidRDefault="00524A07" w:rsidP="009449A4">
            <w:pPr>
              <w:keepNext/>
              <w:spacing w:after="0"/>
              <w:ind w:right="57"/>
              <w:jc w:val="right"/>
              <w:rPr>
                <w:rFonts w:ascii="Calibri" w:eastAsia="Times New Roman" w:hAnsi="Calibri" w:cs="Calibri"/>
                <w:sz w:val="20"/>
                <w:szCs w:val="20"/>
              </w:rPr>
            </w:pPr>
            <w:r>
              <w:rPr>
                <w:rFonts w:ascii="Calibri" w:eastAsia="Times New Roman" w:hAnsi="Calibri" w:cs="Calibri"/>
                <w:sz w:val="20"/>
                <w:szCs w:val="20"/>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FCA5A3" w14:textId="77777777" w:rsidR="00524A07" w:rsidRDefault="00524A07" w:rsidP="009449A4">
            <w:pPr>
              <w:keepNext/>
              <w:spacing w:after="0"/>
              <w:ind w:right="412"/>
              <w:jc w:val="right"/>
              <w:rPr>
                <w:rFonts w:ascii="Calibri" w:hAnsi="Calibri" w:cs="Calibri"/>
                <w:sz w:val="20"/>
                <w:szCs w:val="20"/>
              </w:rPr>
            </w:pPr>
            <w:r>
              <w:rPr>
                <w:rFonts w:ascii="Calibri" w:eastAsia="Times New Roman" w:hAnsi="Calibri" w:cs="Calibri"/>
                <w:sz w:val="20"/>
                <w:szCs w:val="20"/>
              </w:rPr>
              <w:t>30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36B5893" w14:textId="77777777" w:rsidR="00524A07" w:rsidRDefault="00524A07" w:rsidP="009449A4">
            <w:pPr>
              <w:keepNext/>
              <w:spacing w:after="0"/>
              <w:ind w:right="137"/>
              <w:jc w:val="right"/>
              <w:rPr>
                <w:rFonts w:ascii="Calibri" w:eastAsia="Times New Roman" w:hAnsi="Calibri" w:cs="Calibri"/>
                <w:sz w:val="20"/>
                <w:szCs w:val="20"/>
              </w:rPr>
            </w:pPr>
            <w:r>
              <w:rPr>
                <w:rFonts w:ascii="Calibri" w:eastAsia="Times New Roman" w:hAnsi="Calibri" w:cs="Calibri"/>
                <w:sz w:val="20"/>
                <w:szCs w:val="20"/>
              </w:rPr>
              <w:t>14</w:t>
            </w:r>
          </w:p>
        </w:tc>
      </w:tr>
      <w:tr w:rsidR="00524A07" w14:paraId="053CD51F" w14:textId="77777777" w:rsidTr="009449A4">
        <w:trPr>
          <w:trHeight w:val="300"/>
          <w:jc w:val="center"/>
        </w:trPr>
        <w:tc>
          <w:tcPr>
            <w:tcW w:w="3742" w:type="dxa"/>
            <w:tcBorders>
              <w:top w:val="single" w:sz="4" w:space="0" w:color="auto"/>
              <w:left w:val="single" w:sz="4" w:space="0" w:color="auto"/>
              <w:bottom w:val="single" w:sz="4" w:space="0" w:color="auto"/>
              <w:right w:val="single" w:sz="4" w:space="0" w:color="auto"/>
            </w:tcBorders>
            <w:noWrap/>
            <w:vAlign w:val="center"/>
            <w:hideMark/>
          </w:tcPr>
          <w:p w14:paraId="693A4A48" w14:textId="67F9FA3D" w:rsidR="00524A07" w:rsidRDefault="00E82ADB" w:rsidP="009449A4">
            <w:pPr>
              <w:keepNext/>
              <w:spacing w:after="0"/>
              <w:rPr>
                <w:rFonts w:ascii="Calibri" w:eastAsia="Times New Roman" w:hAnsi="Calibri" w:cs="Calibri"/>
                <w:sz w:val="20"/>
                <w:szCs w:val="20"/>
              </w:rPr>
            </w:pPr>
            <w:r>
              <w:rPr>
                <w:rFonts w:ascii="Calibri" w:eastAsia="Times New Roman" w:hAnsi="Calibri" w:cs="Calibri"/>
                <w:sz w:val="20"/>
                <w:szCs w:val="20"/>
              </w:rPr>
              <w:t>O</w:t>
            </w:r>
            <w:r w:rsidR="00524A07">
              <w:rPr>
                <w:rFonts w:ascii="Calibri" w:eastAsia="Times New Roman" w:hAnsi="Calibri" w:cs="Calibri"/>
                <w:sz w:val="20"/>
                <w:szCs w:val="20"/>
              </w:rPr>
              <w:t>dstraněný objekt (občanská vybavenost)</w:t>
            </w:r>
          </w:p>
        </w:tc>
        <w:tc>
          <w:tcPr>
            <w:tcW w:w="631" w:type="dxa"/>
            <w:tcBorders>
              <w:top w:val="single" w:sz="4" w:space="0" w:color="auto"/>
              <w:left w:val="single" w:sz="4" w:space="0" w:color="auto"/>
              <w:bottom w:val="single" w:sz="4" w:space="0" w:color="auto"/>
              <w:right w:val="single" w:sz="4" w:space="0" w:color="auto"/>
            </w:tcBorders>
            <w:noWrap/>
            <w:vAlign w:val="center"/>
            <w:hideMark/>
          </w:tcPr>
          <w:p w14:paraId="7C40A5C3" w14:textId="77777777" w:rsidR="00524A07" w:rsidRDefault="00524A07" w:rsidP="009449A4">
            <w:pPr>
              <w:keepNext/>
              <w:spacing w:after="0"/>
              <w:jc w:val="center"/>
              <w:rPr>
                <w:rFonts w:ascii="Calibri" w:eastAsia="Times New Roman" w:hAnsi="Calibri" w:cs="Calibri"/>
                <w:sz w:val="20"/>
                <w:szCs w:val="20"/>
              </w:rPr>
            </w:pPr>
            <w:r>
              <w:rPr>
                <w:rFonts w:ascii="Calibri" w:eastAsia="Times New Roman" w:hAnsi="Calibri" w:cs="Calibri"/>
                <w:sz w:val="20"/>
                <w:szCs w:val="20"/>
              </w:rPr>
              <w:t>ks</w:t>
            </w:r>
          </w:p>
        </w:tc>
        <w:tc>
          <w:tcPr>
            <w:tcW w:w="964" w:type="dxa"/>
            <w:tcBorders>
              <w:top w:val="single" w:sz="4" w:space="0" w:color="auto"/>
              <w:left w:val="single" w:sz="4" w:space="0" w:color="auto"/>
              <w:bottom w:val="single" w:sz="4" w:space="0" w:color="auto"/>
              <w:right w:val="single" w:sz="4" w:space="0" w:color="auto"/>
            </w:tcBorders>
            <w:noWrap/>
            <w:vAlign w:val="center"/>
            <w:hideMark/>
          </w:tcPr>
          <w:p w14:paraId="57242279" w14:textId="759B25B0" w:rsidR="00524A07" w:rsidRDefault="00524A07" w:rsidP="009449A4">
            <w:pPr>
              <w:keepNext/>
              <w:spacing w:after="0"/>
              <w:ind w:right="57"/>
              <w:jc w:val="right"/>
              <w:rPr>
                <w:rFonts w:ascii="Calibri" w:eastAsia="Times New Roman" w:hAnsi="Calibri" w:cs="Calibri"/>
                <w:sz w:val="20"/>
                <w:szCs w:val="20"/>
              </w:rPr>
            </w:pPr>
            <w:r>
              <w:rPr>
                <w:rFonts w:ascii="Calibri" w:eastAsia="Times New Roman" w:hAnsi="Calibri" w:cs="Calibri"/>
                <w:sz w:val="20"/>
                <w:szCs w:val="20"/>
              </w:rPr>
              <w:t>n.</w:t>
            </w:r>
            <w:r w:rsidR="00E82ADB">
              <w:rPr>
                <w:rFonts w:ascii="Calibri" w:eastAsia="Times New Roman" w:hAnsi="Calibri" w:cs="Calibri"/>
                <w:sz w:val="20"/>
                <w:szCs w:val="20"/>
              </w:rPr>
              <w:t> </w:t>
            </w:r>
            <w:r>
              <w:rPr>
                <w:rFonts w:ascii="Calibri" w:eastAsia="Times New Roman" w:hAnsi="Calibri" w:cs="Calibri"/>
                <w:sz w:val="20"/>
                <w:szCs w:val="20"/>
              </w:rPr>
              <w:t>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4B66E2" w14:textId="77777777" w:rsidR="00524A07" w:rsidRDefault="00524A07" w:rsidP="009449A4">
            <w:pPr>
              <w:keepNext/>
              <w:spacing w:after="0"/>
              <w:ind w:right="412"/>
              <w:jc w:val="right"/>
              <w:rPr>
                <w:rFonts w:ascii="Calibri" w:hAnsi="Calibri" w:cs="Calibri"/>
                <w:sz w:val="20"/>
                <w:szCs w:val="20"/>
              </w:rPr>
            </w:pPr>
            <w:r>
              <w:rPr>
                <w:rFonts w:ascii="Calibri" w:eastAsia="Times New Roman" w:hAnsi="Calibri" w:cs="Calibri"/>
                <w:sz w:val="20"/>
                <w:szCs w:val="20"/>
              </w:rPr>
              <w:t>150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7B6A74C" w14:textId="0E42F9AD" w:rsidR="00524A07" w:rsidRDefault="00524A07" w:rsidP="009449A4">
            <w:pPr>
              <w:keepNext/>
              <w:spacing w:after="0"/>
              <w:ind w:right="137"/>
              <w:jc w:val="right"/>
              <w:rPr>
                <w:rFonts w:ascii="Calibri" w:eastAsia="Times New Roman" w:hAnsi="Calibri" w:cs="Calibri"/>
                <w:sz w:val="20"/>
                <w:szCs w:val="20"/>
              </w:rPr>
            </w:pPr>
            <w:r>
              <w:rPr>
                <w:rFonts w:ascii="Calibri" w:eastAsia="Times New Roman" w:hAnsi="Calibri" w:cs="Calibri"/>
                <w:sz w:val="20"/>
                <w:szCs w:val="20"/>
              </w:rPr>
              <w:t>n.</w:t>
            </w:r>
            <w:r w:rsidR="00E82ADB">
              <w:rPr>
                <w:rFonts w:ascii="Calibri" w:eastAsia="Times New Roman" w:hAnsi="Calibri" w:cs="Calibri"/>
                <w:sz w:val="20"/>
                <w:szCs w:val="20"/>
              </w:rPr>
              <w:t> </w:t>
            </w:r>
            <w:r>
              <w:rPr>
                <w:rFonts w:ascii="Calibri" w:eastAsia="Times New Roman" w:hAnsi="Calibri" w:cs="Calibri"/>
                <w:sz w:val="20"/>
                <w:szCs w:val="20"/>
              </w:rPr>
              <w:t>r.</w:t>
            </w:r>
          </w:p>
        </w:tc>
      </w:tr>
      <w:tr w:rsidR="00524A07" w14:paraId="65055768" w14:textId="77777777" w:rsidTr="009449A4">
        <w:trPr>
          <w:trHeight w:val="300"/>
          <w:jc w:val="center"/>
        </w:trPr>
        <w:tc>
          <w:tcPr>
            <w:tcW w:w="3742" w:type="dxa"/>
            <w:tcBorders>
              <w:top w:val="single" w:sz="4" w:space="0" w:color="auto"/>
              <w:left w:val="single" w:sz="4" w:space="0" w:color="auto"/>
              <w:bottom w:val="single" w:sz="4" w:space="0" w:color="auto"/>
              <w:right w:val="single" w:sz="4" w:space="0" w:color="auto"/>
            </w:tcBorders>
            <w:noWrap/>
            <w:vAlign w:val="center"/>
            <w:hideMark/>
          </w:tcPr>
          <w:p w14:paraId="09C8B6D2" w14:textId="77601584" w:rsidR="00524A07" w:rsidRDefault="00E82ADB" w:rsidP="009449A4">
            <w:pPr>
              <w:keepNext/>
              <w:spacing w:after="0"/>
              <w:rPr>
                <w:rFonts w:ascii="Calibri" w:eastAsia="Times New Roman" w:hAnsi="Calibri" w:cs="Calibri"/>
                <w:sz w:val="20"/>
                <w:szCs w:val="20"/>
              </w:rPr>
            </w:pPr>
            <w:r>
              <w:rPr>
                <w:rFonts w:ascii="Calibri" w:eastAsia="Times New Roman" w:hAnsi="Calibri" w:cs="Calibri"/>
                <w:sz w:val="20"/>
                <w:szCs w:val="20"/>
              </w:rPr>
              <w:t>O</w:t>
            </w:r>
            <w:r w:rsidR="00524A07">
              <w:rPr>
                <w:rFonts w:ascii="Calibri" w:eastAsia="Times New Roman" w:hAnsi="Calibri" w:cs="Calibri"/>
                <w:sz w:val="20"/>
                <w:szCs w:val="20"/>
              </w:rPr>
              <w:t>dstraněný objekt (ostatní využití)</w:t>
            </w:r>
          </w:p>
        </w:tc>
        <w:tc>
          <w:tcPr>
            <w:tcW w:w="631" w:type="dxa"/>
            <w:tcBorders>
              <w:top w:val="single" w:sz="4" w:space="0" w:color="auto"/>
              <w:left w:val="single" w:sz="4" w:space="0" w:color="auto"/>
              <w:bottom w:val="single" w:sz="4" w:space="0" w:color="auto"/>
              <w:right w:val="single" w:sz="4" w:space="0" w:color="auto"/>
            </w:tcBorders>
            <w:noWrap/>
            <w:vAlign w:val="center"/>
            <w:hideMark/>
          </w:tcPr>
          <w:p w14:paraId="741A3E5F" w14:textId="77777777" w:rsidR="00524A07" w:rsidRDefault="00524A07" w:rsidP="009449A4">
            <w:pPr>
              <w:keepNext/>
              <w:spacing w:after="0"/>
              <w:jc w:val="center"/>
              <w:rPr>
                <w:rFonts w:ascii="Calibri" w:eastAsia="Times New Roman" w:hAnsi="Calibri" w:cs="Calibri"/>
                <w:sz w:val="20"/>
                <w:szCs w:val="20"/>
              </w:rPr>
            </w:pPr>
            <w:r>
              <w:rPr>
                <w:rFonts w:ascii="Calibri" w:eastAsia="Times New Roman" w:hAnsi="Calibri" w:cs="Calibri"/>
                <w:sz w:val="20"/>
                <w:szCs w:val="20"/>
              </w:rPr>
              <w:t>ks</w:t>
            </w:r>
          </w:p>
        </w:tc>
        <w:tc>
          <w:tcPr>
            <w:tcW w:w="964" w:type="dxa"/>
            <w:tcBorders>
              <w:top w:val="single" w:sz="4" w:space="0" w:color="auto"/>
              <w:left w:val="single" w:sz="4" w:space="0" w:color="auto"/>
              <w:bottom w:val="single" w:sz="4" w:space="0" w:color="auto"/>
              <w:right w:val="single" w:sz="4" w:space="0" w:color="auto"/>
            </w:tcBorders>
            <w:noWrap/>
            <w:vAlign w:val="center"/>
            <w:hideMark/>
          </w:tcPr>
          <w:p w14:paraId="2DD7C989" w14:textId="3D6B3A3A" w:rsidR="00524A07" w:rsidRDefault="00524A07" w:rsidP="009449A4">
            <w:pPr>
              <w:keepNext/>
              <w:spacing w:after="0"/>
              <w:ind w:right="57"/>
              <w:jc w:val="right"/>
              <w:rPr>
                <w:rFonts w:ascii="Calibri" w:eastAsia="Times New Roman" w:hAnsi="Calibri" w:cs="Calibri"/>
                <w:sz w:val="20"/>
                <w:szCs w:val="20"/>
              </w:rPr>
            </w:pPr>
            <w:r>
              <w:rPr>
                <w:rFonts w:ascii="Calibri" w:eastAsia="Times New Roman" w:hAnsi="Calibri" w:cs="Calibri"/>
                <w:sz w:val="20"/>
                <w:szCs w:val="20"/>
              </w:rPr>
              <w:t>n.</w:t>
            </w:r>
            <w:r w:rsidR="00E82ADB">
              <w:rPr>
                <w:rFonts w:ascii="Calibri" w:eastAsia="Times New Roman" w:hAnsi="Calibri" w:cs="Calibri"/>
                <w:sz w:val="20"/>
                <w:szCs w:val="20"/>
              </w:rPr>
              <w:t> </w:t>
            </w:r>
            <w:r>
              <w:rPr>
                <w:rFonts w:ascii="Calibri" w:eastAsia="Times New Roman" w:hAnsi="Calibri" w:cs="Calibri"/>
                <w:sz w:val="20"/>
                <w:szCs w:val="20"/>
              </w:rPr>
              <w:t>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A5B4C89" w14:textId="77777777" w:rsidR="00524A07" w:rsidRDefault="00524A07" w:rsidP="009449A4">
            <w:pPr>
              <w:keepNext/>
              <w:spacing w:after="0"/>
              <w:ind w:right="412"/>
              <w:jc w:val="right"/>
              <w:rPr>
                <w:rFonts w:ascii="Calibri" w:hAnsi="Calibri" w:cs="Calibri"/>
                <w:sz w:val="20"/>
                <w:szCs w:val="20"/>
              </w:rPr>
            </w:pPr>
            <w:r>
              <w:rPr>
                <w:rFonts w:ascii="Calibri" w:eastAsia="Times New Roman" w:hAnsi="Calibri" w:cs="Calibri"/>
                <w:sz w:val="20"/>
                <w:szCs w:val="20"/>
              </w:rPr>
              <w:t>150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B93ED5A" w14:textId="781EBBD9" w:rsidR="00524A07" w:rsidRDefault="00524A07" w:rsidP="009449A4">
            <w:pPr>
              <w:keepNext/>
              <w:spacing w:after="0"/>
              <w:ind w:right="137"/>
              <w:jc w:val="right"/>
              <w:rPr>
                <w:rFonts w:ascii="Calibri" w:eastAsia="Times New Roman" w:hAnsi="Calibri" w:cs="Calibri"/>
                <w:sz w:val="20"/>
                <w:szCs w:val="20"/>
              </w:rPr>
            </w:pPr>
            <w:r>
              <w:rPr>
                <w:rFonts w:ascii="Calibri" w:eastAsia="Times New Roman" w:hAnsi="Calibri" w:cs="Calibri"/>
                <w:sz w:val="20"/>
                <w:szCs w:val="20"/>
              </w:rPr>
              <w:t>n.</w:t>
            </w:r>
            <w:r w:rsidR="00E82ADB">
              <w:rPr>
                <w:rFonts w:ascii="Calibri" w:eastAsia="Times New Roman" w:hAnsi="Calibri" w:cs="Calibri"/>
                <w:sz w:val="20"/>
                <w:szCs w:val="20"/>
              </w:rPr>
              <w:t> </w:t>
            </w:r>
            <w:r>
              <w:rPr>
                <w:rFonts w:ascii="Calibri" w:eastAsia="Times New Roman" w:hAnsi="Calibri" w:cs="Calibri"/>
                <w:sz w:val="20"/>
                <w:szCs w:val="20"/>
              </w:rPr>
              <w:t>r.</w:t>
            </w:r>
          </w:p>
        </w:tc>
      </w:tr>
    </w:tbl>
    <w:p w14:paraId="18F71616" w14:textId="77777777" w:rsidR="00026221" w:rsidRDefault="00EC4C55" w:rsidP="00E773FD">
      <w:pPr>
        <w:spacing w:before="40" w:after="0"/>
        <w:rPr>
          <w:sz w:val="20"/>
          <w:szCs w:val="20"/>
        </w:rPr>
      </w:pPr>
      <w:r w:rsidRPr="00755FBC">
        <w:rPr>
          <w:b/>
          <w:sz w:val="20"/>
          <w:szCs w:val="20"/>
        </w:rPr>
        <w:t>Zdroj:</w:t>
      </w:r>
      <w:r w:rsidR="002C4E63" w:rsidRPr="00755FBC">
        <w:rPr>
          <w:sz w:val="20"/>
          <w:szCs w:val="20"/>
        </w:rPr>
        <w:t xml:space="preserve"> </w:t>
      </w:r>
      <w:r w:rsidR="00430354" w:rsidRPr="00755FBC">
        <w:rPr>
          <w:sz w:val="20"/>
          <w:szCs w:val="20"/>
        </w:rPr>
        <w:t>DIS, dokumentace jednotlivých projektů</w:t>
      </w:r>
      <w:r w:rsidR="00A708B2" w:rsidRPr="00755FBC">
        <w:rPr>
          <w:sz w:val="20"/>
          <w:szCs w:val="20"/>
        </w:rPr>
        <w:t>, aktualizované znění podprogramu</w:t>
      </w:r>
      <w:r w:rsidR="004C778A" w:rsidRPr="00755FBC">
        <w:rPr>
          <w:sz w:val="20"/>
          <w:szCs w:val="20"/>
        </w:rPr>
        <w:t>.</w:t>
      </w:r>
    </w:p>
    <w:p w14:paraId="5A1713A5" w14:textId="66902681" w:rsidR="003C6ACC" w:rsidRDefault="003C6ACC" w:rsidP="00E916D3">
      <w:pPr>
        <w:jc w:val="both"/>
        <w:rPr>
          <w:sz w:val="20"/>
          <w:szCs w:val="20"/>
        </w:rPr>
      </w:pPr>
      <w:r>
        <w:rPr>
          <w:b/>
          <w:sz w:val="20"/>
          <w:szCs w:val="20"/>
        </w:rPr>
        <w:t>Pozn.</w:t>
      </w:r>
      <w:r w:rsidR="00E82ADB">
        <w:rPr>
          <w:b/>
          <w:sz w:val="20"/>
          <w:szCs w:val="20"/>
        </w:rPr>
        <w:t>:</w:t>
      </w:r>
      <w:r>
        <w:rPr>
          <w:b/>
          <w:sz w:val="20"/>
          <w:szCs w:val="20"/>
        </w:rPr>
        <w:t xml:space="preserve"> </w:t>
      </w:r>
      <w:r>
        <w:rPr>
          <w:sz w:val="20"/>
          <w:szCs w:val="20"/>
        </w:rPr>
        <w:t>n.</w:t>
      </w:r>
      <w:r w:rsidR="00E82ADB">
        <w:rPr>
          <w:sz w:val="20"/>
          <w:szCs w:val="20"/>
        </w:rPr>
        <w:t> </w:t>
      </w:r>
      <w:r>
        <w:rPr>
          <w:sz w:val="20"/>
          <w:szCs w:val="20"/>
        </w:rPr>
        <w:t>r.  – není relevantní</w:t>
      </w:r>
      <w:r w:rsidRPr="00177608">
        <w:rPr>
          <w:sz w:val="20"/>
          <w:szCs w:val="20"/>
        </w:rPr>
        <w:t>.</w:t>
      </w:r>
    </w:p>
    <w:p w14:paraId="42598FFC" w14:textId="77777777" w:rsidR="00026221" w:rsidRPr="00AA19FF" w:rsidRDefault="00EC4C55" w:rsidP="005128EB">
      <w:pPr>
        <w:keepNext/>
        <w:jc w:val="both"/>
        <w:rPr>
          <w:b/>
        </w:rPr>
      </w:pPr>
      <w:r w:rsidRPr="00AA19FF">
        <w:rPr>
          <w:b/>
        </w:rPr>
        <w:t>Zachování stávající alokace</w:t>
      </w:r>
    </w:p>
    <w:p w14:paraId="00F597BC" w14:textId="68EC464F" w:rsidR="00026221" w:rsidRDefault="00EC4C55" w:rsidP="001B1B93">
      <w:pPr>
        <w:jc w:val="both"/>
        <w:rPr>
          <w:rFonts w:cstheme="minorHAnsi"/>
        </w:rPr>
      </w:pPr>
      <w:r>
        <w:t xml:space="preserve">K datu </w:t>
      </w:r>
      <w:r w:rsidRPr="000D3528">
        <w:rPr>
          <w:rFonts w:cstheme="minorHAnsi"/>
        </w:rPr>
        <w:t>12. 11. 2018</w:t>
      </w:r>
      <w:r>
        <w:rPr>
          <w:rFonts w:cstheme="minorHAnsi"/>
        </w:rPr>
        <w:t xml:space="preserve"> </w:t>
      </w:r>
      <w:r w:rsidR="00C928E3">
        <w:rPr>
          <w:rFonts w:cstheme="minorHAnsi"/>
        </w:rPr>
        <w:t>schválilo Ministerstvo financí</w:t>
      </w:r>
      <w:r>
        <w:rPr>
          <w:rFonts w:cstheme="minorHAnsi"/>
        </w:rPr>
        <w:t xml:space="preserve"> aktualizac</w:t>
      </w:r>
      <w:r w:rsidR="00C928E3">
        <w:rPr>
          <w:rFonts w:cstheme="minorHAnsi"/>
        </w:rPr>
        <w:t>i</w:t>
      </w:r>
      <w:r>
        <w:rPr>
          <w:rFonts w:cstheme="minorHAnsi"/>
        </w:rPr>
        <w:t xml:space="preserve"> podprogramu, která mj. prodl</w:t>
      </w:r>
      <w:r w:rsidR="00684831">
        <w:rPr>
          <w:rFonts w:cstheme="minorHAnsi"/>
        </w:rPr>
        <w:t>o</w:t>
      </w:r>
      <w:r>
        <w:rPr>
          <w:rFonts w:cstheme="minorHAnsi"/>
        </w:rPr>
        <w:t>užila jeho trvání</w:t>
      </w:r>
      <w:r w:rsidR="006A1F5A">
        <w:rPr>
          <w:rFonts w:cstheme="minorHAnsi"/>
        </w:rPr>
        <w:t>,</w:t>
      </w:r>
      <w:r>
        <w:rPr>
          <w:rFonts w:cstheme="minorHAnsi"/>
        </w:rPr>
        <w:t xml:space="preserve"> přičemž zůstala zachována stanovená alokace 100 mil. Kč ročně</w:t>
      </w:r>
      <w:r>
        <w:rPr>
          <w:rStyle w:val="Znakapoznpodarou"/>
          <w:rFonts w:cstheme="minorHAnsi"/>
        </w:rPr>
        <w:footnoteReference w:id="10"/>
      </w:r>
      <w:r w:rsidR="006A1F5A">
        <w:rPr>
          <w:rFonts w:cstheme="minorHAnsi"/>
        </w:rPr>
        <w:t xml:space="preserve"> pro další tříleté období (roky 2019֪–2021). </w:t>
      </w:r>
      <w:r>
        <w:rPr>
          <w:rFonts w:cstheme="minorHAnsi"/>
        </w:rPr>
        <w:t xml:space="preserve">K úpravě alokace nedošlo, ačkoli dosavadní známé plnění dávalo jasnou informaci o tom, že se tuto výši alokace nedaří čerpat. </w:t>
      </w:r>
      <w:r w:rsidR="00E9151D">
        <w:rPr>
          <w:rFonts w:cstheme="minorHAnsi"/>
        </w:rPr>
        <w:t xml:space="preserve">Maximální možná výše čerpání pro daný rok byla přitom </w:t>
      </w:r>
      <w:r w:rsidR="00E9151D">
        <w:t>MMR znám</w:t>
      </w:r>
      <w:r w:rsidR="00684831">
        <w:t>a</w:t>
      </w:r>
      <w:r w:rsidR="00E9151D">
        <w:t xml:space="preserve"> z uzavřených rozhodnutí o poskytnutí dotace, neboť ta byla vydávána na základě </w:t>
      </w:r>
      <w:r w:rsidR="00993635">
        <w:t>smluvních</w:t>
      </w:r>
      <w:r w:rsidR="00E9151D">
        <w:t xml:space="preserve"> cen vzešlých z uskuteč</w:t>
      </w:r>
      <w:r w:rsidR="002B09FB">
        <w:t>ně</w:t>
      </w:r>
      <w:r w:rsidR="00E9151D">
        <w:t xml:space="preserve">ných zadávacích řízení. </w:t>
      </w:r>
      <w:r>
        <w:rPr>
          <w:rFonts w:cstheme="minorHAnsi"/>
        </w:rPr>
        <w:t xml:space="preserve">MMR </w:t>
      </w:r>
      <w:r w:rsidR="003171CC">
        <w:rPr>
          <w:rFonts w:cstheme="minorHAnsi"/>
        </w:rPr>
        <w:t>neprovedlo průzkum zájmu</w:t>
      </w:r>
      <w:r>
        <w:rPr>
          <w:rFonts w:cstheme="minorHAnsi"/>
        </w:rPr>
        <w:t>, kter</w:t>
      </w:r>
      <w:r w:rsidR="00AF7692">
        <w:rPr>
          <w:rFonts w:cstheme="minorHAnsi"/>
        </w:rPr>
        <w:t>ý</w:t>
      </w:r>
      <w:r>
        <w:rPr>
          <w:rFonts w:cstheme="minorHAnsi"/>
        </w:rPr>
        <w:t xml:space="preserve"> by </w:t>
      </w:r>
      <w:r w:rsidR="00AF7692">
        <w:rPr>
          <w:rFonts w:cstheme="minorHAnsi"/>
        </w:rPr>
        <w:t>potvrdil skutečný</w:t>
      </w:r>
      <w:r>
        <w:rPr>
          <w:rFonts w:cstheme="minorHAnsi"/>
        </w:rPr>
        <w:t xml:space="preserve"> zájem žadatelů o prostředky z</w:t>
      </w:r>
      <w:r w:rsidR="00AF7692">
        <w:rPr>
          <w:rFonts w:cstheme="minorHAnsi"/>
        </w:rPr>
        <w:t> </w:t>
      </w:r>
      <w:r>
        <w:rPr>
          <w:rFonts w:cstheme="minorHAnsi"/>
        </w:rPr>
        <w:t>podprogramu</w:t>
      </w:r>
      <w:r w:rsidR="00AF7692">
        <w:rPr>
          <w:rFonts w:cstheme="minorHAnsi"/>
        </w:rPr>
        <w:t xml:space="preserve"> pro období</w:t>
      </w:r>
      <w:r w:rsidR="008650A3">
        <w:rPr>
          <w:rFonts w:cstheme="minorHAnsi"/>
        </w:rPr>
        <w:t xml:space="preserve"> </w:t>
      </w:r>
      <w:r w:rsidR="00AF7692">
        <w:rPr>
          <w:rFonts w:cstheme="minorHAnsi"/>
        </w:rPr>
        <w:t>2019</w:t>
      </w:r>
      <w:r w:rsidR="00C035F3">
        <w:rPr>
          <w:rFonts w:cstheme="minorHAnsi"/>
        </w:rPr>
        <w:t>–</w:t>
      </w:r>
      <w:r w:rsidR="00AF7692">
        <w:rPr>
          <w:rFonts w:cstheme="minorHAnsi"/>
        </w:rPr>
        <w:t>2021</w:t>
      </w:r>
      <w:r w:rsidR="001B1B93">
        <w:rPr>
          <w:rFonts w:cstheme="minorHAnsi"/>
        </w:rPr>
        <w:t>.</w:t>
      </w:r>
      <w:r w:rsidR="00AF7692">
        <w:rPr>
          <w:rFonts w:cstheme="minorHAnsi"/>
        </w:rPr>
        <w:t xml:space="preserve"> </w:t>
      </w:r>
    </w:p>
    <w:p w14:paraId="68CAAAF6" w14:textId="7EB0D8D9" w:rsidR="00026221" w:rsidRPr="00475A7C" w:rsidRDefault="00EC4C55" w:rsidP="00026221">
      <w:pPr>
        <w:jc w:val="both"/>
      </w:pPr>
      <w:r w:rsidRPr="00957DC4">
        <w:t xml:space="preserve">Z dostupných údajů je přitom zjevné, že objem podaných žádostí </w:t>
      </w:r>
      <w:r>
        <w:t xml:space="preserve">v letech 2019 a 2020 </w:t>
      </w:r>
      <w:r w:rsidRPr="00957DC4">
        <w:t>ani nadále nedosahuje stanovené výše roční alokace. Míra čerpání alokace na základě výzvy pro rok 2019 se podle dostupných údajů sice zvýší, ale bude činit maximálně 55 % alokace na tento rok</w:t>
      </w:r>
      <w:r w:rsidR="0075469F">
        <w:t xml:space="preserve"> (celková výše podpor</w:t>
      </w:r>
      <w:r w:rsidR="00E1202E">
        <w:t>y</w:t>
      </w:r>
      <w:r w:rsidR="0075469F">
        <w:t xml:space="preserve"> na základě vydaných rozhodnutí o poskytnutí dotace činí 54,38</w:t>
      </w:r>
      <w:r w:rsidR="00E82ADB">
        <w:t> </w:t>
      </w:r>
      <w:r w:rsidR="0075469F">
        <w:t>mil.</w:t>
      </w:r>
      <w:r w:rsidR="00DD5495">
        <w:t> </w:t>
      </w:r>
      <w:r w:rsidR="0075469F">
        <w:t>Kč)</w:t>
      </w:r>
      <w:r w:rsidRPr="00957DC4">
        <w:t>. Objem žádostí podaných na základě výzvy pro rok 2020 pak byl nejnižší za celou dobu realizace podprogramu.</w:t>
      </w:r>
      <w:r w:rsidR="000F138C">
        <w:t xml:space="preserve"> Podrobnější údaje zobrazuje následující tabulka.</w:t>
      </w:r>
    </w:p>
    <w:p w14:paraId="420D8AE4" w14:textId="62A78033" w:rsidR="00DD5495" w:rsidRPr="004C778A" w:rsidRDefault="00EC4C55" w:rsidP="00E773FD">
      <w:pPr>
        <w:keepNext/>
        <w:tabs>
          <w:tab w:val="right" w:pos="9072"/>
        </w:tabs>
        <w:spacing w:after="40"/>
        <w:ind w:left="1276" w:hanging="1276"/>
        <w:jc w:val="both"/>
        <w:rPr>
          <w:b/>
        </w:rPr>
      </w:pPr>
      <w:r w:rsidRPr="004C778A">
        <w:rPr>
          <w:b/>
        </w:rPr>
        <w:t xml:space="preserve">Tabulka č. </w:t>
      </w:r>
      <w:r w:rsidR="00394932" w:rsidRPr="004C778A">
        <w:rPr>
          <w:b/>
        </w:rPr>
        <w:fldChar w:fldCharType="begin"/>
      </w:r>
      <w:r w:rsidR="00394932" w:rsidRPr="004C778A">
        <w:rPr>
          <w:b/>
        </w:rPr>
        <w:instrText xml:space="preserve"> SEQ Tabulka_č. \* ARABIC </w:instrText>
      </w:r>
      <w:r w:rsidR="00394932" w:rsidRPr="004C778A">
        <w:rPr>
          <w:b/>
        </w:rPr>
        <w:fldChar w:fldCharType="separate"/>
      </w:r>
      <w:r w:rsidR="00D22FA5">
        <w:rPr>
          <w:b/>
          <w:noProof/>
        </w:rPr>
        <w:t>4</w:t>
      </w:r>
      <w:r w:rsidR="00394932" w:rsidRPr="004C778A">
        <w:rPr>
          <w:b/>
          <w:noProof/>
        </w:rPr>
        <w:fldChar w:fldCharType="end"/>
      </w:r>
      <w:r w:rsidR="00E773FD">
        <w:rPr>
          <w:b/>
        </w:rPr>
        <w:t>:</w:t>
      </w:r>
      <w:r w:rsidR="00E773FD">
        <w:rPr>
          <w:b/>
        </w:rPr>
        <w:tab/>
        <w:t xml:space="preserve"> </w:t>
      </w:r>
      <w:r w:rsidRPr="004C778A">
        <w:rPr>
          <w:b/>
        </w:rPr>
        <w:t xml:space="preserve">Přehled podaných a schválených žádostí a čerpání alokace výzev pro roky 2019 a 2020 </w:t>
      </w:r>
      <w:r w:rsidR="00F54B9D" w:rsidRPr="004C778A">
        <w:rPr>
          <w:b/>
        </w:rPr>
        <w:t xml:space="preserve">k datu 25. 2. 2020 </w:t>
      </w:r>
      <w:r w:rsidRPr="004C778A">
        <w:rPr>
          <w:b/>
        </w:rPr>
        <w:t xml:space="preserve">(v Kč) </w:t>
      </w:r>
    </w:p>
    <w:tbl>
      <w:tblPr>
        <w:tblStyle w:val="Mkatabulky"/>
        <w:tblW w:w="9029" w:type="dxa"/>
        <w:jc w:val="center"/>
        <w:tblLook w:val="04A0" w:firstRow="1" w:lastRow="0" w:firstColumn="1" w:lastColumn="0" w:noHBand="0" w:noVBand="1"/>
      </w:tblPr>
      <w:tblGrid>
        <w:gridCol w:w="979"/>
        <w:gridCol w:w="1814"/>
        <w:gridCol w:w="1984"/>
        <w:gridCol w:w="2891"/>
        <w:gridCol w:w="1361"/>
      </w:tblGrid>
      <w:tr w:rsidR="00E773FD" w14:paraId="02670F90" w14:textId="77777777" w:rsidTr="00E773FD">
        <w:trPr>
          <w:trHeight w:val="261"/>
          <w:jc w:val="center"/>
        </w:trPr>
        <w:tc>
          <w:tcPr>
            <w:tcW w:w="979"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1C9624DF" w14:textId="77777777" w:rsidR="00524A07" w:rsidRDefault="00524A07">
            <w:pPr>
              <w:keepNext/>
              <w:spacing w:after="0"/>
              <w:jc w:val="center"/>
              <w:rPr>
                <w:rFonts w:ascii="Calibri" w:eastAsia="Times New Roman" w:hAnsi="Calibri"/>
                <w:b/>
                <w:sz w:val="20"/>
              </w:rPr>
            </w:pPr>
            <w:r>
              <w:rPr>
                <w:rFonts w:ascii="Calibri" w:eastAsia="Times New Roman" w:hAnsi="Calibri" w:cs="Calibri"/>
                <w:b/>
                <w:sz w:val="20"/>
              </w:rPr>
              <w:t>Rok</w:t>
            </w:r>
          </w:p>
        </w:tc>
        <w:tc>
          <w:tcPr>
            <w:tcW w:w="1814"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471142E6" w14:textId="77777777" w:rsidR="00524A07" w:rsidRDefault="00524A07">
            <w:pPr>
              <w:keepNext/>
              <w:spacing w:after="0"/>
              <w:jc w:val="center"/>
              <w:rPr>
                <w:rFonts w:ascii="Calibri" w:eastAsia="Times New Roman" w:hAnsi="Calibri" w:cs="Calibri"/>
                <w:b/>
                <w:sz w:val="20"/>
              </w:rPr>
            </w:pPr>
            <w:r>
              <w:rPr>
                <w:rFonts w:ascii="Calibri" w:eastAsia="Times New Roman" w:hAnsi="Calibri" w:cs="Calibri"/>
                <w:b/>
                <w:sz w:val="20"/>
              </w:rPr>
              <w:t>Předložené žádosti</w:t>
            </w:r>
          </w:p>
        </w:tc>
        <w:tc>
          <w:tcPr>
            <w:tcW w:w="1984"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7C403AC2" w14:textId="77777777" w:rsidR="00524A07" w:rsidRDefault="00524A07">
            <w:pPr>
              <w:keepNext/>
              <w:spacing w:after="0"/>
              <w:jc w:val="center"/>
              <w:rPr>
                <w:rFonts w:ascii="Calibri" w:eastAsia="Times New Roman" w:hAnsi="Calibri" w:cs="Calibri"/>
                <w:b/>
                <w:sz w:val="20"/>
              </w:rPr>
            </w:pPr>
            <w:r>
              <w:rPr>
                <w:rFonts w:ascii="Calibri" w:eastAsia="Times New Roman" w:hAnsi="Calibri" w:cs="Calibri"/>
                <w:b/>
                <w:sz w:val="20"/>
              </w:rPr>
              <w:t>Schválené žádosti</w:t>
            </w:r>
          </w:p>
        </w:tc>
        <w:tc>
          <w:tcPr>
            <w:tcW w:w="2891" w:type="dxa"/>
            <w:tcBorders>
              <w:top w:val="single" w:sz="4" w:space="0" w:color="auto"/>
              <w:left w:val="single" w:sz="4" w:space="0" w:color="auto"/>
              <w:bottom w:val="single" w:sz="4" w:space="0" w:color="auto"/>
              <w:right w:val="single" w:sz="4" w:space="0" w:color="auto"/>
            </w:tcBorders>
            <w:shd w:val="clear" w:color="auto" w:fill="E5F1FF"/>
            <w:hideMark/>
          </w:tcPr>
          <w:p w14:paraId="471B1013" w14:textId="77777777" w:rsidR="00524A07" w:rsidRDefault="00524A07">
            <w:pPr>
              <w:keepNext/>
              <w:spacing w:after="0"/>
              <w:jc w:val="center"/>
              <w:rPr>
                <w:rFonts w:ascii="Calibri" w:hAnsi="Calibri" w:cs="Calibri"/>
                <w:b/>
                <w:sz w:val="20"/>
              </w:rPr>
            </w:pPr>
            <w:r>
              <w:rPr>
                <w:rFonts w:ascii="Calibri" w:hAnsi="Calibri" w:cs="Calibri"/>
                <w:b/>
                <w:sz w:val="20"/>
              </w:rPr>
              <w:t>Schválená dotace dle rozhodnutí o poskytnutí dotace</w:t>
            </w:r>
          </w:p>
        </w:tc>
        <w:tc>
          <w:tcPr>
            <w:tcW w:w="1361" w:type="dxa"/>
            <w:tcBorders>
              <w:top w:val="single" w:sz="4" w:space="0" w:color="auto"/>
              <w:left w:val="single" w:sz="4" w:space="0" w:color="auto"/>
              <w:bottom w:val="single" w:sz="4" w:space="0" w:color="auto"/>
              <w:right w:val="single" w:sz="4" w:space="0" w:color="auto"/>
            </w:tcBorders>
            <w:shd w:val="clear" w:color="auto" w:fill="E5F1FF"/>
            <w:vAlign w:val="center"/>
            <w:hideMark/>
          </w:tcPr>
          <w:p w14:paraId="74447C72" w14:textId="77777777" w:rsidR="00524A07" w:rsidRDefault="00524A07">
            <w:pPr>
              <w:keepNext/>
              <w:spacing w:after="0"/>
              <w:jc w:val="center"/>
              <w:rPr>
                <w:rFonts w:ascii="Calibri" w:eastAsia="Times New Roman" w:hAnsi="Calibri" w:cs="Calibri"/>
                <w:b/>
                <w:sz w:val="20"/>
              </w:rPr>
            </w:pPr>
            <w:r>
              <w:rPr>
                <w:rFonts w:ascii="Calibri" w:eastAsia="Times New Roman" w:hAnsi="Calibri" w:cs="Calibri"/>
                <w:b/>
                <w:sz w:val="20"/>
              </w:rPr>
              <w:t>Čerpáno</w:t>
            </w:r>
          </w:p>
        </w:tc>
      </w:tr>
      <w:tr w:rsidR="00E773FD" w14:paraId="39137F84" w14:textId="77777777" w:rsidTr="00E773FD">
        <w:trPr>
          <w:trHeight w:val="246"/>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46CCBB63" w14:textId="77777777" w:rsidR="00524A07" w:rsidRDefault="00524A07">
            <w:pPr>
              <w:keepNext/>
              <w:spacing w:after="0"/>
              <w:jc w:val="center"/>
              <w:rPr>
                <w:rFonts w:ascii="Calibri" w:eastAsia="Times New Roman" w:hAnsi="Calibri" w:cs="Calibri"/>
                <w:sz w:val="20"/>
              </w:rPr>
            </w:pPr>
            <w:r>
              <w:rPr>
                <w:rFonts w:ascii="Calibri" w:eastAsia="Times New Roman" w:hAnsi="Calibri" w:cs="Calibri"/>
                <w:sz w:val="20"/>
              </w:rPr>
              <w:t>2019</w:t>
            </w:r>
          </w:p>
        </w:tc>
        <w:tc>
          <w:tcPr>
            <w:tcW w:w="1814" w:type="dxa"/>
            <w:tcBorders>
              <w:top w:val="single" w:sz="4" w:space="0" w:color="auto"/>
              <w:left w:val="single" w:sz="4" w:space="0" w:color="auto"/>
              <w:bottom w:val="single" w:sz="4" w:space="0" w:color="auto"/>
              <w:right w:val="single" w:sz="4" w:space="0" w:color="auto"/>
            </w:tcBorders>
            <w:vAlign w:val="center"/>
            <w:hideMark/>
          </w:tcPr>
          <w:p w14:paraId="373DA806" w14:textId="77777777" w:rsidR="00524A07" w:rsidRDefault="00524A07" w:rsidP="00E773FD">
            <w:pPr>
              <w:keepNext/>
              <w:spacing w:after="0"/>
              <w:ind w:right="275"/>
              <w:jc w:val="right"/>
              <w:rPr>
                <w:rFonts w:ascii="Calibri" w:eastAsia="Times New Roman" w:hAnsi="Calibri" w:cs="Calibri"/>
                <w:sz w:val="20"/>
              </w:rPr>
            </w:pPr>
            <w:r>
              <w:rPr>
                <w:rFonts w:ascii="Calibri" w:eastAsia="Times New Roman" w:hAnsi="Calibri" w:cs="Calibri"/>
                <w:sz w:val="20"/>
              </w:rPr>
              <w:t xml:space="preserve">99 461 048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363BD9A" w14:textId="77777777" w:rsidR="00524A07" w:rsidRDefault="00524A07" w:rsidP="00E773FD">
            <w:pPr>
              <w:keepNext/>
              <w:spacing w:after="0"/>
              <w:ind w:right="275"/>
              <w:jc w:val="right"/>
              <w:rPr>
                <w:rFonts w:ascii="Calibri" w:eastAsia="Times New Roman" w:hAnsi="Calibri" w:cs="Calibri"/>
                <w:sz w:val="20"/>
              </w:rPr>
            </w:pPr>
            <w:r>
              <w:rPr>
                <w:rFonts w:ascii="Calibri" w:eastAsia="Times New Roman" w:hAnsi="Calibri" w:cs="Calibri"/>
                <w:sz w:val="20"/>
              </w:rPr>
              <w:t xml:space="preserve">95 310 030 </w:t>
            </w:r>
          </w:p>
        </w:tc>
        <w:tc>
          <w:tcPr>
            <w:tcW w:w="2891" w:type="dxa"/>
            <w:tcBorders>
              <w:top w:val="single" w:sz="4" w:space="0" w:color="auto"/>
              <w:left w:val="single" w:sz="4" w:space="0" w:color="auto"/>
              <w:bottom w:val="single" w:sz="4" w:space="0" w:color="auto"/>
              <w:right w:val="single" w:sz="4" w:space="0" w:color="auto"/>
            </w:tcBorders>
            <w:vAlign w:val="center"/>
            <w:hideMark/>
          </w:tcPr>
          <w:p w14:paraId="346DAB77" w14:textId="77777777" w:rsidR="00524A07" w:rsidRDefault="00524A07" w:rsidP="00E773FD">
            <w:pPr>
              <w:keepNext/>
              <w:spacing w:after="0"/>
              <w:ind w:right="756"/>
              <w:jc w:val="right"/>
              <w:rPr>
                <w:rFonts w:ascii="Calibri" w:hAnsi="Calibri" w:cs="Calibri"/>
                <w:sz w:val="20"/>
              </w:rPr>
            </w:pPr>
            <w:r>
              <w:rPr>
                <w:rFonts w:ascii="Calibri" w:hAnsi="Calibri" w:cs="Calibri"/>
                <w:sz w:val="20"/>
              </w:rPr>
              <w:t>54 377 071</w:t>
            </w:r>
          </w:p>
        </w:tc>
        <w:tc>
          <w:tcPr>
            <w:tcW w:w="1361" w:type="dxa"/>
            <w:tcBorders>
              <w:top w:val="single" w:sz="4" w:space="0" w:color="auto"/>
              <w:left w:val="single" w:sz="4" w:space="0" w:color="auto"/>
              <w:bottom w:val="single" w:sz="4" w:space="0" w:color="auto"/>
              <w:right w:val="single" w:sz="4" w:space="0" w:color="auto"/>
            </w:tcBorders>
            <w:vAlign w:val="center"/>
            <w:hideMark/>
          </w:tcPr>
          <w:p w14:paraId="6E57CAFF" w14:textId="77777777" w:rsidR="00524A07" w:rsidRDefault="00524A07" w:rsidP="00E773FD">
            <w:pPr>
              <w:keepNext/>
              <w:spacing w:after="0"/>
              <w:jc w:val="right"/>
              <w:rPr>
                <w:rFonts w:ascii="Calibri" w:eastAsia="Times New Roman" w:hAnsi="Calibri" w:cs="Calibri"/>
                <w:sz w:val="20"/>
              </w:rPr>
            </w:pPr>
            <w:r>
              <w:rPr>
                <w:rFonts w:ascii="Calibri" w:eastAsia="Times New Roman" w:hAnsi="Calibri" w:cs="Calibri"/>
                <w:sz w:val="20"/>
              </w:rPr>
              <w:t xml:space="preserve">29 529 520 </w:t>
            </w:r>
          </w:p>
        </w:tc>
      </w:tr>
      <w:tr w:rsidR="00E773FD" w14:paraId="2D9F33F1" w14:textId="77777777" w:rsidTr="00E773FD">
        <w:trPr>
          <w:trHeight w:val="246"/>
          <w:jc w:val="center"/>
        </w:trPr>
        <w:tc>
          <w:tcPr>
            <w:tcW w:w="979" w:type="dxa"/>
            <w:tcBorders>
              <w:top w:val="single" w:sz="4" w:space="0" w:color="auto"/>
              <w:left w:val="single" w:sz="4" w:space="0" w:color="auto"/>
              <w:bottom w:val="single" w:sz="4" w:space="0" w:color="auto"/>
              <w:right w:val="single" w:sz="4" w:space="0" w:color="auto"/>
            </w:tcBorders>
            <w:vAlign w:val="center"/>
            <w:hideMark/>
          </w:tcPr>
          <w:p w14:paraId="3C0FAD91" w14:textId="77777777" w:rsidR="00524A07" w:rsidRDefault="00524A07">
            <w:pPr>
              <w:keepNext/>
              <w:spacing w:after="0"/>
              <w:jc w:val="center"/>
              <w:rPr>
                <w:rFonts w:ascii="Calibri" w:eastAsia="Times New Roman" w:hAnsi="Calibri" w:cs="Calibri"/>
                <w:sz w:val="20"/>
              </w:rPr>
            </w:pPr>
            <w:r>
              <w:rPr>
                <w:rFonts w:ascii="Calibri" w:eastAsia="Times New Roman" w:hAnsi="Calibri" w:cs="Calibri"/>
                <w:sz w:val="20"/>
              </w:rPr>
              <w:t>2020</w:t>
            </w:r>
          </w:p>
        </w:tc>
        <w:tc>
          <w:tcPr>
            <w:tcW w:w="1814" w:type="dxa"/>
            <w:tcBorders>
              <w:top w:val="single" w:sz="4" w:space="0" w:color="auto"/>
              <w:left w:val="single" w:sz="4" w:space="0" w:color="auto"/>
              <w:bottom w:val="single" w:sz="4" w:space="0" w:color="auto"/>
              <w:right w:val="single" w:sz="4" w:space="0" w:color="auto"/>
            </w:tcBorders>
            <w:vAlign w:val="center"/>
            <w:hideMark/>
          </w:tcPr>
          <w:p w14:paraId="40825982" w14:textId="77777777" w:rsidR="00524A07" w:rsidRDefault="00524A07" w:rsidP="00E773FD">
            <w:pPr>
              <w:keepNext/>
              <w:spacing w:after="0"/>
              <w:ind w:right="275"/>
              <w:jc w:val="right"/>
              <w:rPr>
                <w:rFonts w:ascii="Calibri" w:eastAsia="Times New Roman" w:hAnsi="Calibri" w:cs="Calibri"/>
                <w:sz w:val="20"/>
              </w:rPr>
            </w:pPr>
            <w:r>
              <w:rPr>
                <w:rFonts w:ascii="Calibri" w:eastAsia="Times New Roman" w:hAnsi="Calibri" w:cs="Calibri"/>
                <w:sz w:val="20"/>
              </w:rPr>
              <w:t xml:space="preserve">77 692 645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3B0B527" w14:textId="77777777" w:rsidR="00524A07" w:rsidRDefault="00524A07" w:rsidP="00E773FD">
            <w:pPr>
              <w:keepNext/>
              <w:spacing w:after="0"/>
              <w:ind w:right="-140"/>
              <w:jc w:val="center"/>
              <w:rPr>
                <w:rFonts w:ascii="Calibri" w:eastAsia="Times New Roman" w:hAnsi="Calibri" w:cs="Calibri"/>
                <w:sz w:val="20"/>
              </w:rPr>
            </w:pPr>
            <w:r>
              <w:rPr>
                <w:rFonts w:ascii="Calibri" w:eastAsia="Times New Roman" w:hAnsi="Calibri" w:cs="Calibri"/>
                <w:sz w:val="20"/>
              </w:rPr>
              <w:t>n/a</w:t>
            </w:r>
          </w:p>
        </w:tc>
        <w:tc>
          <w:tcPr>
            <w:tcW w:w="2891" w:type="dxa"/>
            <w:tcBorders>
              <w:top w:val="single" w:sz="4" w:space="0" w:color="auto"/>
              <w:left w:val="single" w:sz="4" w:space="0" w:color="auto"/>
              <w:bottom w:val="single" w:sz="4" w:space="0" w:color="auto"/>
              <w:right w:val="single" w:sz="4" w:space="0" w:color="auto"/>
            </w:tcBorders>
            <w:vAlign w:val="center"/>
            <w:hideMark/>
          </w:tcPr>
          <w:p w14:paraId="0D228CB6" w14:textId="77777777" w:rsidR="00524A07" w:rsidRDefault="00524A07" w:rsidP="00E773FD">
            <w:pPr>
              <w:keepNext/>
              <w:spacing w:after="0"/>
              <w:ind w:right="-95"/>
              <w:jc w:val="center"/>
              <w:rPr>
                <w:rFonts w:ascii="Calibri" w:hAnsi="Calibri" w:cs="Calibri"/>
                <w:sz w:val="20"/>
              </w:rPr>
            </w:pPr>
            <w:r>
              <w:rPr>
                <w:rFonts w:ascii="Calibri" w:hAnsi="Calibri" w:cs="Calibri"/>
                <w:sz w:val="20"/>
              </w:rPr>
              <w:t>n/a</w:t>
            </w:r>
          </w:p>
        </w:tc>
        <w:tc>
          <w:tcPr>
            <w:tcW w:w="1361" w:type="dxa"/>
            <w:tcBorders>
              <w:top w:val="single" w:sz="4" w:space="0" w:color="auto"/>
              <w:left w:val="single" w:sz="4" w:space="0" w:color="auto"/>
              <w:bottom w:val="single" w:sz="4" w:space="0" w:color="auto"/>
              <w:right w:val="single" w:sz="4" w:space="0" w:color="auto"/>
            </w:tcBorders>
            <w:vAlign w:val="center"/>
            <w:hideMark/>
          </w:tcPr>
          <w:p w14:paraId="017CD90B" w14:textId="77777777" w:rsidR="00524A07" w:rsidRDefault="00524A07">
            <w:pPr>
              <w:keepNext/>
              <w:spacing w:after="0"/>
              <w:jc w:val="center"/>
              <w:rPr>
                <w:rFonts w:ascii="Calibri" w:eastAsia="Times New Roman" w:hAnsi="Calibri" w:cs="Calibri"/>
                <w:sz w:val="20"/>
              </w:rPr>
            </w:pPr>
            <w:r>
              <w:rPr>
                <w:rFonts w:ascii="Calibri" w:eastAsia="Times New Roman" w:hAnsi="Calibri" w:cs="Calibri"/>
                <w:sz w:val="20"/>
              </w:rPr>
              <w:t>n/a</w:t>
            </w:r>
          </w:p>
        </w:tc>
      </w:tr>
      <w:tr w:rsidR="00E773FD" w14:paraId="57B3BF61" w14:textId="77777777" w:rsidTr="00E773FD">
        <w:trPr>
          <w:trHeight w:val="246"/>
          <w:jc w:val="center"/>
        </w:trPr>
        <w:tc>
          <w:tcPr>
            <w:tcW w:w="979" w:type="dxa"/>
            <w:tcBorders>
              <w:top w:val="single" w:sz="4" w:space="0" w:color="auto"/>
              <w:left w:val="single" w:sz="4" w:space="0" w:color="auto"/>
              <w:bottom w:val="single" w:sz="4" w:space="0" w:color="auto"/>
              <w:right w:val="single" w:sz="4" w:space="0" w:color="auto"/>
            </w:tcBorders>
            <w:shd w:val="clear" w:color="auto" w:fill="F2C6C9"/>
            <w:vAlign w:val="center"/>
            <w:hideMark/>
          </w:tcPr>
          <w:p w14:paraId="4F988030" w14:textId="77777777" w:rsidR="00524A07" w:rsidRDefault="00524A07">
            <w:pPr>
              <w:keepNext/>
              <w:spacing w:after="0"/>
              <w:jc w:val="center"/>
              <w:rPr>
                <w:rFonts w:ascii="Calibri" w:hAnsi="Calibri" w:cs="Calibri"/>
                <w:b/>
                <w:sz w:val="20"/>
              </w:rPr>
            </w:pPr>
            <w:r>
              <w:rPr>
                <w:rFonts w:ascii="Calibri" w:hAnsi="Calibri" w:cs="Calibri"/>
                <w:b/>
                <w:sz w:val="20"/>
              </w:rPr>
              <w:t>Celkem</w:t>
            </w:r>
          </w:p>
        </w:tc>
        <w:tc>
          <w:tcPr>
            <w:tcW w:w="1814" w:type="dxa"/>
            <w:tcBorders>
              <w:top w:val="single" w:sz="4" w:space="0" w:color="auto"/>
              <w:left w:val="single" w:sz="4" w:space="0" w:color="auto"/>
              <w:bottom w:val="single" w:sz="4" w:space="0" w:color="auto"/>
              <w:right w:val="single" w:sz="4" w:space="0" w:color="auto"/>
            </w:tcBorders>
            <w:shd w:val="clear" w:color="auto" w:fill="F2C6C9"/>
            <w:vAlign w:val="center"/>
            <w:hideMark/>
          </w:tcPr>
          <w:p w14:paraId="287A9C66" w14:textId="77777777" w:rsidR="00524A07" w:rsidRDefault="00524A07" w:rsidP="00E773FD">
            <w:pPr>
              <w:keepNext/>
              <w:spacing w:after="0"/>
              <w:ind w:right="275"/>
              <w:jc w:val="right"/>
              <w:rPr>
                <w:rFonts w:ascii="Calibri" w:hAnsi="Calibri" w:cs="Calibri"/>
                <w:b/>
                <w:sz w:val="20"/>
              </w:rPr>
            </w:pPr>
            <w:r>
              <w:rPr>
                <w:rFonts w:ascii="Calibri" w:hAnsi="Calibri" w:cs="Calibri"/>
                <w:b/>
                <w:sz w:val="20"/>
              </w:rPr>
              <w:t>177 153 693</w:t>
            </w:r>
          </w:p>
        </w:tc>
        <w:tc>
          <w:tcPr>
            <w:tcW w:w="1984" w:type="dxa"/>
            <w:tcBorders>
              <w:top w:val="single" w:sz="4" w:space="0" w:color="auto"/>
              <w:left w:val="single" w:sz="4" w:space="0" w:color="auto"/>
              <w:bottom w:val="single" w:sz="4" w:space="0" w:color="auto"/>
              <w:right w:val="single" w:sz="4" w:space="0" w:color="auto"/>
            </w:tcBorders>
            <w:shd w:val="clear" w:color="auto" w:fill="F2C6C9"/>
            <w:vAlign w:val="center"/>
            <w:hideMark/>
          </w:tcPr>
          <w:p w14:paraId="02CEC6E1" w14:textId="77777777" w:rsidR="00524A07" w:rsidRDefault="00524A07" w:rsidP="00E773FD">
            <w:pPr>
              <w:keepNext/>
              <w:spacing w:after="0"/>
              <w:ind w:right="275"/>
              <w:jc w:val="right"/>
              <w:rPr>
                <w:rFonts w:ascii="Calibri" w:hAnsi="Calibri" w:cs="Calibri"/>
                <w:b/>
                <w:sz w:val="20"/>
              </w:rPr>
            </w:pPr>
            <w:r>
              <w:rPr>
                <w:rFonts w:ascii="Calibri" w:hAnsi="Calibri" w:cs="Calibri"/>
                <w:b/>
                <w:sz w:val="20"/>
              </w:rPr>
              <w:t>95 310 030</w:t>
            </w:r>
          </w:p>
        </w:tc>
        <w:tc>
          <w:tcPr>
            <w:tcW w:w="2891" w:type="dxa"/>
            <w:tcBorders>
              <w:top w:val="single" w:sz="4" w:space="0" w:color="auto"/>
              <w:left w:val="single" w:sz="4" w:space="0" w:color="auto"/>
              <w:bottom w:val="single" w:sz="4" w:space="0" w:color="auto"/>
              <w:right w:val="single" w:sz="4" w:space="0" w:color="auto"/>
            </w:tcBorders>
            <w:shd w:val="clear" w:color="auto" w:fill="F2C6C9"/>
            <w:vAlign w:val="center"/>
            <w:hideMark/>
          </w:tcPr>
          <w:p w14:paraId="51B066B3" w14:textId="77777777" w:rsidR="00524A07" w:rsidRDefault="00524A07" w:rsidP="00E773FD">
            <w:pPr>
              <w:keepNext/>
              <w:spacing w:after="0"/>
              <w:ind w:right="756"/>
              <w:jc w:val="right"/>
              <w:rPr>
                <w:rFonts w:ascii="Calibri" w:hAnsi="Calibri" w:cs="Calibri"/>
                <w:b/>
                <w:sz w:val="20"/>
              </w:rPr>
            </w:pPr>
            <w:r>
              <w:rPr>
                <w:rFonts w:ascii="Calibri" w:hAnsi="Calibri" w:cs="Calibri"/>
                <w:b/>
                <w:sz w:val="20"/>
              </w:rPr>
              <w:t>54 377 071</w:t>
            </w:r>
          </w:p>
        </w:tc>
        <w:tc>
          <w:tcPr>
            <w:tcW w:w="1361" w:type="dxa"/>
            <w:tcBorders>
              <w:top w:val="single" w:sz="4" w:space="0" w:color="auto"/>
              <w:left w:val="single" w:sz="4" w:space="0" w:color="auto"/>
              <w:bottom w:val="single" w:sz="4" w:space="0" w:color="auto"/>
              <w:right w:val="single" w:sz="4" w:space="0" w:color="auto"/>
            </w:tcBorders>
            <w:shd w:val="clear" w:color="auto" w:fill="F2C6C9"/>
            <w:vAlign w:val="center"/>
            <w:hideMark/>
          </w:tcPr>
          <w:p w14:paraId="7760CD5F" w14:textId="77777777" w:rsidR="00524A07" w:rsidRDefault="00524A07">
            <w:pPr>
              <w:keepNext/>
              <w:spacing w:after="0"/>
              <w:jc w:val="right"/>
              <w:rPr>
                <w:rFonts w:ascii="Calibri" w:hAnsi="Calibri" w:cs="Calibri"/>
                <w:b/>
                <w:sz w:val="20"/>
              </w:rPr>
            </w:pPr>
            <w:r>
              <w:rPr>
                <w:rFonts w:ascii="Calibri" w:hAnsi="Calibri" w:cs="Calibri"/>
                <w:b/>
                <w:sz w:val="20"/>
              </w:rPr>
              <w:t>29 529 520</w:t>
            </w:r>
          </w:p>
        </w:tc>
      </w:tr>
    </w:tbl>
    <w:p w14:paraId="25C1CE79" w14:textId="5C7FF796" w:rsidR="00D5548E" w:rsidRDefault="00EC4C55" w:rsidP="002457BA">
      <w:pPr>
        <w:spacing w:before="40" w:after="0"/>
        <w:jc w:val="both"/>
        <w:rPr>
          <w:sz w:val="20"/>
          <w:szCs w:val="20"/>
        </w:rPr>
      </w:pPr>
      <w:r w:rsidRPr="00C035F3">
        <w:rPr>
          <w:b/>
          <w:sz w:val="20"/>
          <w:szCs w:val="20"/>
        </w:rPr>
        <w:t>Zdroj:</w:t>
      </w:r>
      <w:r w:rsidRPr="00C035F3">
        <w:rPr>
          <w:sz w:val="20"/>
          <w:szCs w:val="20"/>
        </w:rPr>
        <w:t xml:space="preserve"> </w:t>
      </w:r>
      <w:r w:rsidR="00486DD9">
        <w:rPr>
          <w:sz w:val="20"/>
          <w:szCs w:val="20"/>
        </w:rPr>
        <w:t>S</w:t>
      </w:r>
      <w:r w:rsidRPr="00C035F3">
        <w:rPr>
          <w:sz w:val="20"/>
          <w:szCs w:val="20"/>
        </w:rPr>
        <w:t>tátní pokladna</w:t>
      </w:r>
      <w:r w:rsidR="004C778A" w:rsidRPr="00C035F3">
        <w:rPr>
          <w:sz w:val="20"/>
          <w:szCs w:val="20"/>
        </w:rPr>
        <w:t>.</w:t>
      </w:r>
    </w:p>
    <w:p w14:paraId="171AB075" w14:textId="6CE1F103" w:rsidR="003C6ACC" w:rsidRDefault="003C6ACC" w:rsidP="00026221">
      <w:pPr>
        <w:jc w:val="both"/>
        <w:rPr>
          <w:sz w:val="20"/>
          <w:szCs w:val="20"/>
        </w:rPr>
      </w:pPr>
      <w:r>
        <w:rPr>
          <w:b/>
          <w:sz w:val="20"/>
          <w:szCs w:val="20"/>
        </w:rPr>
        <w:t>Pozn.</w:t>
      </w:r>
      <w:r w:rsidR="00E82ADB">
        <w:rPr>
          <w:b/>
          <w:sz w:val="20"/>
          <w:szCs w:val="20"/>
        </w:rPr>
        <w:t>:</w:t>
      </w:r>
      <w:r>
        <w:rPr>
          <w:b/>
          <w:sz w:val="20"/>
          <w:szCs w:val="20"/>
        </w:rPr>
        <w:t xml:space="preserve"> </w:t>
      </w:r>
      <w:r>
        <w:rPr>
          <w:sz w:val="20"/>
          <w:szCs w:val="20"/>
        </w:rPr>
        <w:t>n/a – není k dispozici</w:t>
      </w:r>
      <w:r w:rsidRPr="00177608">
        <w:rPr>
          <w:sz w:val="20"/>
          <w:szCs w:val="20"/>
        </w:rPr>
        <w:t>.</w:t>
      </w:r>
    </w:p>
    <w:p w14:paraId="75F02A54" w14:textId="77777777" w:rsidR="00A13694" w:rsidRDefault="002457BA" w:rsidP="002457BA">
      <w:pPr>
        <w:pStyle w:val="Nadpis2"/>
        <w:jc w:val="both"/>
      </w:pPr>
      <w:r>
        <w:t xml:space="preserve">3. </w:t>
      </w:r>
      <w:r w:rsidR="00EC4C55">
        <w:t>N</w:t>
      </w:r>
      <w:r w:rsidR="00EC4C55" w:rsidRPr="00A13694">
        <w:t>edostatky v procesu administrace podprogramu</w:t>
      </w:r>
    </w:p>
    <w:p w14:paraId="1994D0B4" w14:textId="77777777" w:rsidR="005A593A" w:rsidRPr="002457BA" w:rsidRDefault="00EC4C55" w:rsidP="005A593A">
      <w:pPr>
        <w:pStyle w:val="Nadpis3"/>
        <w:rPr>
          <w:u w:val="none"/>
        </w:rPr>
      </w:pPr>
      <w:r w:rsidRPr="002457BA">
        <w:rPr>
          <w:u w:val="none"/>
        </w:rPr>
        <w:t>Nedostatečné vymezení předmětu podpory</w:t>
      </w:r>
    </w:p>
    <w:p w14:paraId="7D174A5A" w14:textId="0FDC9EBB" w:rsidR="00BF514E" w:rsidRDefault="00EC4C55" w:rsidP="00C958FA">
      <w:pPr>
        <w:jc w:val="both"/>
        <w:rPr>
          <w:i/>
        </w:rPr>
      </w:pPr>
      <w:r>
        <w:t xml:space="preserve">MMR stanovilo, že předmětem podpory z podprogramu </w:t>
      </w:r>
      <w:r w:rsidR="000A02B5">
        <w:t>byly</w:t>
      </w:r>
      <w:r w:rsidR="001B1B93">
        <w:t xml:space="preserve"> </w:t>
      </w:r>
      <w:r w:rsidR="00486DD9">
        <w:t>„… </w:t>
      </w:r>
      <w:r>
        <w:rPr>
          <w:i/>
        </w:rPr>
        <w:t>objekt</w:t>
      </w:r>
      <w:r w:rsidR="000A02B5">
        <w:rPr>
          <w:i/>
        </w:rPr>
        <w:t>y</w:t>
      </w:r>
      <w:r>
        <w:rPr>
          <w:i/>
        </w:rPr>
        <w:t xml:space="preserve"> pro bydlení, rekreaci nebo ubytovací zařízení, které se nacházejí v technicky nevyhovujícím stavu </w:t>
      </w:r>
      <w:r w:rsidR="000A02B5">
        <w:rPr>
          <w:i/>
        </w:rPr>
        <w:t>a jsou nezpůsobilé k bydlení</w:t>
      </w:r>
      <w:r w:rsidR="00486DD9">
        <w:rPr>
          <w:i/>
        </w:rPr>
        <w:t>“</w:t>
      </w:r>
      <w:r w:rsidR="000A02B5">
        <w:rPr>
          <w:i/>
        </w:rPr>
        <w:t>.</w:t>
      </w:r>
      <w:r>
        <w:rPr>
          <w:i/>
        </w:rPr>
        <w:t xml:space="preserve"> </w:t>
      </w:r>
      <w:r w:rsidR="000A02B5">
        <w:rPr>
          <w:i/>
        </w:rPr>
        <w:t xml:space="preserve"> </w:t>
      </w:r>
    </w:p>
    <w:p w14:paraId="018C4B0C" w14:textId="77777777" w:rsidR="00BF514E" w:rsidRPr="00C958FA" w:rsidRDefault="00EC4C55" w:rsidP="00C958FA">
      <w:pPr>
        <w:jc w:val="both"/>
      </w:pPr>
      <w:r>
        <w:t xml:space="preserve">MMR přesněji nevymezilo, jak dlouho, popř. </w:t>
      </w:r>
      <w:r w:rsidR="007C42E3">
        <w:t>jaká část podlahové plochy</w:t>
      </w:r>
      <w:r>
        <w:t xml:space="preserve"> </w:t>
      </w:r>
      <w:r w:rsidR="007C42E3">
        <w:t>objektů měla</w:t>
      </w:r>
      <w:r>
        <w:t xml:space="preserve"> k</w:t>
      </w:r>
      <w:r w:rsidR="007C42E3">
        <w:t> výše uvedeným účelům sloužit. NKÚ zjistil, že dotací byla např. podpořena demolice bývalé nádražní budovy</w:t>
      </w:r>
      <w:r w:rsidR="00740D4A">
        <w:t>, která obsahovala též</w:t>
      </w:r>
      <w:r w:rsidR="00B3437B">
        <w:t xml:space="preserve"> tři</w:t>
      </w:r>
      <w:r w:rsidR="00740D4A">
        <w:t xml:space="preserve"> byty nádražních zaměstnanců a nebyla cca 30 let nijak využívána. </w:t>
      </w:r>
    </w:p>
    <w:p w14:paraId="7E27B1A5" w14:textId="57E4A491" w:rsidR="00AD234F" w:rsidRDefault="00EC4C55" w:rsidP="00C958FA">
      <w:pPr>
        <w:jc w:val="both"/>
      </w:pPr>
      <w:r>
        <w:t>NK</w:t>
      </w:r>
      <w:r w:rsidR="00BF514E">
        <w:t>Ú zjistil na vzorku projektů osm případů, kdy MMR poskytlo z</w:t>
      </w:r>
      <w:r w:rsidR="00740D4A">
        <w:t> </w:t>
      </w:r>
      <w:r w:rsidR="00BF514E">
        <w:t>podprogramu</w:t>
      </w:r>
      <w:r w:rsidR="00740D4A">
        <w:t xml:space="preserve"> prostředky ve</w:t>
      </w:r>
      <w:r w:rsidR="00486DD9">
        <w:t xml:space="preserve"> </w:t>
      </w:r>
      <w:r w:rsidR="00740D4A">
        <w:t xml:space="preserve">výši </w:t>
      </w:r>
      <w:r w:rsidR="00740D4A" w:rsidRPr="00957DC4">
        <w:t>12 742 727 Kč</w:t>
      </w:r>
      <w:r w:rsidR="00740D4A">
        <w:t xml:space="preserve"> </w:t>
      </w:r>
      <w:r w:rsidR="005C5C8D">
        <w:t xml:space="preserve">na projekty demolic, které </w:t>
      </w:r>
      <w:r w:rsidR="002960EB">
        <w:t>nesplňovaly vymezený předmět do</w:t>
      </w:r>
      <w:r w:rsidR="00A93C23">
        <w:t>t</w:t>
      </w:r>
      <w:r w:rsidR="00FA4075">
        <w:t>ace a </w:t>
      </w:r>
      <w:r w:rsidR="005C5C8D">
        <w:t xml:space="preserve">zahrnovaly i objekty, které nebyly objekty pro bydlení, rekreaci nebo ubytovací zařízení. Jednalo se o objekty, např. garáže </w:t>
      </w:r>
      <w:r w:rsidR="009C07F5">
        <w:t>a hospodářské budovy, které</w:t>
      </w:r>
      <w:r w:rsidR="005C5C8D">
        <w:t xml:space="preserve"> v některých případech nebyly s objektem, jeho</w:t>
      </w:r>
      <w:r w:rsidR="002960EB">
        <w:t>ž</w:t>
      </w:r>
      <w:r w:rsidR="005C5C8D">
        <w:t xml:space="preserve"> podpora z podprogramu byla možná, konstrukčně spojené. </w:t>
      </w:r>
    </w:p>
    <w:p w14:paraId="53D7002D" w14:textId="77777777" w:rsidR="005C5C8D" w:rsidRDefault="00EC4C55" w:rsidP="00C958FA">
      <w:pPr>
        <w:jc w:val="both"/>
      </w:pPr>
      <w:r>
        <w:t>Postup MMR přito</w:t>
      </w:r>
      <w:r w:rsidR="00F91911">
        <w:t>m</w:t>
      </w:r>
      <w:r>
        <w:t xml:space="preserve"> nebyl jednotný, takže v jiných případech na tyto typy objektů příjemci dotaci čerpat nemohli. </w:t>
      </w:r>
      <w:r w:rsidR="00F91911">
        <w:t xml:space="preserve">V roce 2019 MMR upřesnilo podmínky v tom smyslu, že uznatelným nákladem bylo odstranění objektu a jeho neoddělitelných částí a </w:t>
      </w:r>
      <w:r w:rsidR="000D7361">
        <w:t xml:space="preserve">naopak </w:t>
      </w:r>
      <w:r w:rsidR="00F91911">
        <w:t xml:space="preserve">nebylo možné podpořit náklady na demolici samostatných </w:t>
      </w:r>
      <w:r w:rsidR="0040494B">
        <w:t>budov nebytového charakteru.</w:t>
      </w:r>
      <w:r w:rsidR="00E750AA">
        <w:t xml:space="preserve"> V případě jednoho projektu MMR tuto podmínku porušilo</w:t>
      </w:r>
      <w:r w:rsidR="0069355F">
        <w:t xml:space="preserve"> a projekt schválilo k</w:t>
      </w:r>
      <w:r w:rsidR="00723A27">
        <w:t> </w:t>
      </w:r>
      <w:r w:rsidR="0069355F">
        <w:t>realizaci</w:t>
      </w:r>
      <w:r w:rsidR="00723A27">
        <w:t>.</w:t>
      </w:r>
    </w:p>
    <w:p w14:paraId="7A2E9FAD" w14:textId="3591B8E4" w:rsidR="00661E9A" w:rsidRDefault="00EC4C55" w:rsidP="00583015">
      <w:pPr>
        <w:keepNext/>
        <w:jc w:val="both"/>
      </w:pPr>
      <w:r>
        <w:t>Příklad</w:t>
      </w:r>
      <w:r>
        <w:rPr>
          <w:rStyle w:val="Znakapoznpodarou"/>
        </w:rPr>
        <w:footnoteReference w:id="11"/>
      </w:r>
      <w:r>
        <w:t xml:space="preserve"> </w:t>
      </w:r>
      <w:r w:rsidR="00BF514E">
        <w:t>odstranění nepodporovaných objektů</w:t>
      </w:r>
      <w:r w:rsidR="00486DD9">
        <w:t>:</w:t>
      </w:r>
    </w:p>
    <w:p w14:paraId="69B0AE2D" w14:textId="77777777" w:rsidR="00661E9A" w:rsidRDefault="00EC4C55" w:rsidP="00661E9A">
      <w:pPr>
        <w:pBdr>
          <w:top w:val="single" w:sz="4" w:space="1" w:color="auto"/>
          <w:left w:val="single" w:sz="4" w:space="4" w:color="auto"/>
          <w:bottom w:val="single" w:sz="4" w:space="1" w:color="auto"/>
          <w:right w:val="single" w:sz="4" w:space="4" w:color="auto"/>
        </w:pBdr>
        <w:jc w:val="both"/>
      </w:pPr>
      <w:r w:rsidRPr="00661E9A">
        <w:t>MMR poskytlo</w:t>
      </w:r>
      <w:r w:rsidR="002534A7">
        <w:t xml:space="preserve"> </w:t>
      </w:r>
      <w:r w:rsidRPr="00661E9A">
        <w:t xml:space="preserve">dotaci na </w:t>
      </w:r>
      <w:r w:rsidR="000E496B">
        <w:t>projekt zahrnuj</w:t>
      </w:r>
      <w:r w:rsidR="004664C6">
        <w:t>í</w:t>
      </w:r>
      <w:r w:rsidR="000E496B">
        <w:t>cí</w:t>
      </w:r>
      <w:r w:rsidRPr="00661E9A">
        <w:t xml:space="preserve"> demolici 10 objektů, přičemž k bydlení byla určena pouze část jednoho z nich (obytná část bývalé budovy sýpky). Mezi další odstraňované objekty patřily např. garáže, zděné oplocení nebo nákladní váha.</w:t>
      </w:r>
    </w:p>
    <w:p w14:paraId="3A16D7C7" w14:textId="2766725C" w:rsidR="00536AD1" w:rsidRDefault="00EC4C55" w:rsidP="00C958FA">
      <w:pPr>
        <w:jc w:val="both"/>
      </w:pPr>
      <w:r>
        <w:t>Pokud jde o</w:t>
      </w:r>
      <w:r w:rsidR="00B43A0A">
        <w:t xml:space="preserve"> </w:t>
      </w:r>
      <w:r w:rsidR="00B3437B">
        <w:t xml:space="preserve">technicky nevyhovující stav </w:t>
      </w:r>
      <w:r w:rsidR="000A02B5">
        <w:t xml:space="preserve">a </w:t>
      </w:r>
      <w:r>
        <w:t>ne</w:t>
      </w:r>
      <w:r w:rsidR="000A02B5">
        <w:t>způsobilost k</w:t>
      </w:r>
      <w:r w:rsidR="00661E9A">
        <w:t xml:space="preserve"> </w:t>
      </w:r>
      <w:r w:rsidR="000A02B5">
        <w:t>bydlení</w:t>
      </w:r>
      <w:r w:rsidR="00B43A0A">
        <w:t xml:space="preserve"> jako podmín</w:t>
      </w:r>
      <w:r w:rsidR="00661E9A">
        <w:t>ky</w:t>
      </w:r>
      <w:r w:rsidR="00B43A0A">
        <w:t xml:space="preserve"> podpory</w:t>
      </w:r>
      <w:r w:rsidR="000A02B5">
        <w:t>, NKÚ zjistil, že postupy zav</w:t>
      </w:r>
      <w:r>
        <w:t>edené MMR neumožňovaly bez bližšího zkoumání prokázat, že ve všech případech byl</w:t>
      </w:r>
      <w:r w:rsidR="008105C3">
        <w:t>y</w:t>
      </w:r>
      <w:r>
        <w:t xml:space="preserve"> </w:t>
      </w:r>
      <w:r w:rsidR="001F4504">
        <w:t xml:space="preserve">stanovené </w:t>
      </w:r>
      <w:r>
        <w:t>podmínk</w:t>
      </w:r>
      <w:r w:rsidR="008105C3">
        <w:t>y</w:t>
      </w:r>
      <w:r>
        <w:t xml:space="preserve"> naplněn</w:t>
      </w:r>
      <w:r w:rsidR="008105C3">
        <w:t>y</w:t>
      </w:r>
      <w:r>
        <w:t>.</w:t>
      </w:r>
      <w:r w:rsidR="009E582E">
        <w:t xml:space="preserve"> MMR</w:t>
      </w:r>
      <w:r w:rsidR="000A02B5">
        <w:t xml:space="preserve"> nijak nedefinovalo</w:t>
      </w:r>
      <w:r w:rsidR="0088157F">
        <w:t xml:space="preserve"> </w:t>
      </w:r>
      <w:r w:rsidR="002534A7">
        <w:t>pojmy</w:t>
      </w:r>
      <w:r w:rsidR="000A02B5">
        <w:t xml:space="preserve"> </w:t>
      </w:r>
      <w:r w:rsidR="002534A7">
        <w:t>„</w:t>
      </w:r>
      <w:r w:rsidR="000A02B5">
        <w:t>špatný technický stav</w:t>
      </w:r>
      <w:r w:rsidR="002534A7">
        <w:t>“</w:t>
      </w:r>
      <w:r w:rsidR="000A02B5">
        <w:t xml:space="preserve"> a </w:t>
      </w:r>
      <w:r w:rsidR="002534A7">
        <w:t>„</w:t>
      </w:r>
      <w:r w:rsidR="000A02B5">
        <w:t>nezpůsobilost</w:t>
      </w:r>
      <w:r w:rsidR="002534A7">
        <w:t xml:space="preserve"> objektu</w:t>
      </w:r>
      <w:r w:rsidR="000A02B5">
        <w:t xml:space="preserve"> k</w:t>
      </w:r>
      <w:r w:rsidR="009E582E">
        <w:t> </w:t>
      </w:r>
      <w:r w:rsidR="000A02B5">
        <w:t>bydlení</w:t>
      </w:r>
      <w:r w:rsidR="002534A7">
        <w:t>“</w:t>
      </w:r>
      <w:r w:rsidR="009E582E">
        <w:t xml:space="preserve">. K posouzení </w:t>
      </w:r>
      <w:r w:rsidR="008105C3">
        <w:t>špatného technického stavu a nezpůsobilosti objektu k bydlení</w:t>
      </w:r>
      <w:r w:rsidR="002534A7">
        <w:t xml:space="preserve"> </w:t>
      </w:r>
      <w:r w:rsidR="009E582E">
        <w:t>MMR používalo primárně fotodokumentaci</w:t>
      </w:r>
      <w:r w:rsidR="0088157F">
        <w:t>.</w:t>
      </w:r>
      <w:r w:rsidR="009E582E">
        <w:t xml:space="preserve"> </w:t>
      </w:r>
      <w:r w:rsidR="0088157F">
        <w:t>NKÚ zjistil případy, kdy dokumentace projektu jednoznačně neprokazovala špatný technický</w:t>
      </w:r>
      <w:r w:rsidR="00FA4075">
        <w:t xml:space="preserve"> stav a </w:t>
      </w:r>
      <w:r w:rsidR="0088157F">
        <w:t>nezpůsobilost objektu k bydlení</w:t>
      </w:r>
      <w:r w:rsidR="009E582E">
        <w:t xml:space="preserve">. </w:t>
      </w:r>
    </w:p>
    <w:p w14:paraId="1960C88F" w14:textId="2DB8BB33" w:rsidR="00536AD1" w:rsidRDefault="00EC4C55" w:rsidP="00583015">
      <w:pPr>
        <w:keepNext/>
        <w:jc w:val="both"/>
      </w:pPr>
      <w:r>
        <w:t>Příklad</w:t>
      </w:r>
      <w:r>
        <w:rPr>
          <w:rStyle w:val="Znakapoznpodarou"/>
        </w:rPr>
        <w:footnoteReference w:id="12"/>
      </w:r>
      <w:r>
        <w:t xml:space="preserve"> objektu, který nebyl ve špatném technickém stavu</w:t>
      </w:r>
      <w:r w:rsidR="00486DD9">
        <w:t>:</w:t>
      </w:r>
    </w:p>
    <w:p w14:paraId="30FAD291" w14:textId="77777777" w:rsidR="00536AD1" w:rsidRDefault="00EC4C55" w:rsidP="00536AD1">
      <w:pPr>
        <w:pBdr>
          <w:top w:val="single" w:sz="4" w:space="1" w:color="auto"/>
          <w:left w:val="single" w:sz="4" w:space="4" w:color="auto"/>
          <w:bottom w:val="single" w:sz="4" w:space="1" w:color="auto"/>
          <w:right w:val="single" w:sz="4" w:space="4" w:color="auto"/>
        </w:pBdr>
        <w:jc w:val="both"/>
      </w:pPr>
      <w:r>
        <w:t>NKÚ při kontrole jednoho z odstraněných objektů zjistil, že</w:t>
      </w:r>
      <w:r w:rsidR="00FA4075">
        <w:t xml:space="preserve"> žadatel deklaroval v žádosti o </w:t>
      </w:r>
      <w:r>
        <w:t>dotaci nevyh</w:t>
      </w:r>
      <w:r w:rsidRPr="00536AD1">
        <w:t>ovující stav objek</w:t>
      </w:r>
      <w:r>
        <w:t>tu, avšak dle dokumentace bouracích</w:t>
      </w:r>
      <w:r w:rsidRPr="00536AD1">
        <w:t xml:space="preserve"> prací</w:t>
      </w:r>
      <w:r w:rsidR="00A46E88">
        <w:t>, která obsahovala zhodnocení technického stavu,</w:t>
      </w:r>
      <w:r w:rsidRPr="00536AD1">
        <w:t xml:space="preserve"> neprokazoval</w:t>
      </w:r>
      <w:r>
        <w:t xml:space="preserve"> objekt</w:t>
      </w:r>
      <w:r w:rsidRPr="00536AD1">
        <w:t xml:space="preserve"> žádné závažné stavebně-technické nedostatky.</w:t>
      </w:r>
    </w:p>
    <w:p w14:paraId="216CDC7E" w14:textId="77777777" w:rsidR="008105C3" w:rsidRDefault="00EC4C55" w:rsidP="00C958FA">
      <w:pPr>
        <w:jc w:val="both"/>
      </w:pPr>
      <w:r>
        <w:t xml:space="preserve">Před vydáním rozhodnutí o poskytnutí dotace </w:t>
      </w:r>
      <w:r w:rsidR="001F4504">
        <w:t xml:space="preserve">sice </w:t>
      </w:r>
      <w:r>
        <w:t xml:space="preserve">museli žadatelé předložit i povolení odstranění stavby nebo souhlas stavebního úřadu s odstraněním stavby, avšak ani ty nezaručovaly, že </w:t>
      </w:r>
      <w:r w:rsidR="001F4504">
        <w:t>podmínky stanovené</w:t>
      </w:r>
      <w:r w:rsidR="002534A7">
        <w:t xml:space="preserve"> </w:t>
      </w:r>
      <w:r>
        <w:t xml:space="preserve">MMR </w:t>
      </w:r>
      <w:r w:rsidR="001F4504">
        <w:t>byly splněny</w:t>
      </w:r>
      <w:r w:rsidR="00B3437B">
        <w:t xml:space="preserve"> (např. že objekt byl v technicky nevyhovujícím stavu)</w:t>
      </w:r>
      <w:r>
        <w:t xml:space="preserve">. </w:t>
      </w:r>
    </w:p>
    <w:p w14:paraId="6853A31D" w14:textId="77777777" w:rsidR="001B2E4F" w:rsidRPr="002457BA" w:rsidRDefault="00EC4C55" w:rsidP="00884649">
      <w:pPr>
        <w:pStyle w:val="Nadpis3"/>
        <w:rPr>
          <w:u w:val="none"/>
        </w:rPr>
      </w:pPr>
      <w:r w:rsidRPr="002457BA">
        <w:rPr>
          <w:u w:val="none"/>
        </w:rPr>
        <w:t>N</w:t>
      </w:r>
      <w:r w:rsidR="005A593A" w:rsidRPr="002457BA">
        <w:rPr>
          <w:u w:val="none"/>
        </w:rPr>
        <w:t xml:space="preserve">edodržení </w:t>
      </w:r>
      <w:r w:rsidR="00CA1915" w:rsidRPr="002457BA">
        <w:rPr>
          <w:u w:val="none"/>
        </w:rPr>
        <w:t xml:space="preserve">zásad </w:t>
      </w:r>
      <w:r w:rsidR="005A593A" w:rsidRPr="002457BA">
        <w:rPr>
          <w:u w:val="none"/>
        </w:rPr>
        <w:t>podprogramu</w:t>
      </w:r>
    </w:p>
    <w:p w14:paraId="6BA58B77" w14:textId="77777777" w:rsidR="001741F7" w:rsidRDefault="00EC4C55" w:rsidP="00884649">
      <w:pPr>
        <w:jc w:val="both"/>
      </w:pPr>
      <w:r>
        <w:t xml:space="preserve">V zásadách pro rok 2017 MMR stanovilo, že kromě obcí, v jejichž katastru je území definované jako SVL dle </w:t>
      </w:r>
      <w:r w:rsidRPr="00450D1D">
        <w:rPr>
          <w:i/>
        </w:rPr>
        <w:t>Analýzy sociálně vyloučených lokalit</w:t>
      </w:r>
      <w:r>
        <w:t>, mohou žádat o dotaci také obce, které se nachází ve správním obvodu obce s rozšířenou působností, která má ve svém katastru SVL.</w:t>
      </w:r>
    </w:p>
    <w:p w14:paraId="48E43EB4" w14:textId="3E7040F1" w:rsidR="001B2E4F" w:rsidRPr="00884649" w:rsidRDefault="00EC4C55" w:rsidP="00884649">
      <w:pPr>
        <w:jc w:val="both"/>
      </w:pPr>
      <w:r>
        <w:t>V rámci posuzování předložených projektů hodnoticí komise zjistila, že tři žadate</w:t>
      </w:r>
      <w:r w:rsidR="001741F7">
        <w:t>lé podmínku uvedenou v zásadách nesplnili</w:t>
      </w:r>
      <w:r w:rsidR="00A93C23">
        <w:t xml:space="preserve"> a </w:t>
      </w:r>
      <w:r w:rsidR="001634BA">
        <w:t xml:space="preserve">žádná SVL nebyla </w:t>
      </w:r>
      <w:r w:rsidR="00A93C23">
        <w:t xml:space="preserve">v katastru </w:t>
      </w:r>
      <w:r w:rsidR="001634BA">
        <w:t xml:space="preserve">ani </w:t>
      </w:r>
      <w:r w:rsidR="00A93C23">
        <w:t xml:space="preserve">jejich </w:t>
      </w:r>
      <w:r w:rsidR="003C7224">
        <w:t xml:space="preserve">obce </w:t>
      </w:r>
      <w:r w:rsidR="001634BA">
        <w:t xml:space="preserve">ani příslušné obce </w:t>
      </w:r>
      <w:r w:rsidR="003C7224">
        <w:t>s rozšířenou působností</w:t>
      </w:r>
      <w:r w:rsidR="001741F7">
        <w:t xml:space="preserve">. MMR přes tento nesoulad projekty schválilo a proplatilo na ně dotaci ve výši </w:t>
      </w:r>
      <w:r w:rsidR="00D94CBB" w:rsidRPr="00D94CBB">
        <w:t>3</w:t>
      </w:r>
      <w:r w:rsidR="00EF5379">
        <w:t> </w:t>
      </w:r>
      <w:r w:rsidR="00D94CBB" w:rsidRPr="00D94CBB">
        <w:t>202</w:t>
      </w:r>
      <w:r w:rsidR="00EF5379">
        <w:t> </w:t>
      </w:r>
      <w:r w:rsidR="00D94CBB" w:rsidRPr="00D94CBB">
        <w:t>566</w:t>
      </w:r>
      <w:r w:rsidR="001741F7">
        <w:t xml:space="preserve"> Kč. </w:t>
      </w:r>
      <w:r w:rsidR="00B41EC0">
        <w:t xml:space="preserve">Kromě toho, že došlo k porušení </w:t>
      </w:r>
      <w:r w:rsidR="00EF45CE">
        <w:t>zásad</w:t>
      </w:r>
      <w:r w:rsidR="00B41EC0">
        <w:t>, byl tento pos</w:t>
      </w:r>
      <w:r w:rsidR="003800A0">
        <w:t>tup i </w:t>
      </w:r>
      <w:r w:rsidR="00B41EC0">
        <w:t>diskriminační vůči ostatním potenciálním žadatelům, kteří respektovali vyhlášené podmínky</w:t>
      </w:r>
      <w:r w:rsidR="00F34984">
        <w:t xml:space="preserve"> a</w:t>
      </w:r>
      <w:r w:rsidR="00B41EC0">
        <w:t xml:space="preserve"> své projekty nepředložili, neboť </w:t>
      </w:r>
      <w:r w:rsidR="00FF075B">
        <w:t xml:space="preserve">stanovené podmínce </w:t>
      </w:r>
      <w:r w:rsidR="00B41EC0">
        <w:t>nemohl</w:t>
      </w:r>
      <w:r w:rsidR="00FF075B">
        <w:t>i</w:t>
      </w:r>
      <w:r w:rsidR="00B41EC0">
        <w:t xml:space="preserve"> vyhovět. </w:t>
      </w:r>
    </w:p>
    <w:p w14:paraId="77465D93" w14:textId="77777777" w:rsidR="005A593A" w:rsidRPr="002457BA" w:rsidRDefault="00EC4C55" w:rsidP="005A593A">
      <w:pPr>
        <w:pStyle w:val="Nadpis3"/>
        <w:rPr>
          <w:u w:val="none"/>
        </w:rPr>
      </w:pPr>
      <w:r w:rsidRPr="002457BA">
        <w:rPr>
          <w:u w:val="none"/>
        </w:rPr>
        <w:t>Nedostatečné vedení záznamů o stanovení výše podpory</w:t>
      </w:r>
      <w:r w:rsidR="004638EA" w:rsidRPr="002457BA">
        <w:rPr>
          <w:u w:val="none"/>
        </w:rPr>
        <w:t xml:space="preserve"> </w:t>
      </w:r>
    </w:p>
    <w:p w14:paraId="6180B69A" w14:textId="4704CD31" w:rsidR="00A60E2E" w:rsidRDefault="00EC4C55" w:rsidP="00884649">
      <w:pPr>
        <w:tabs>
          <w:tab w:val="left" w:pos="1902"/>
        </w:tabs>
        <w:jc w:val="both"/>
      </w:pPr>
      <w:r>
        <w:t xml:space="preserve">MMR v rámci podprogramu vydávalo rozhodnutí o poskytnutí dotace až poté, co proběhlo zadávací řízení na plánovanou demolici. Kromě samotné demolice </w:t>
      </w:r>
      <w:r w:rsidR="00EA46E0">
        <w:t xml:space="preserve">zahrnovaly </w:t>
      </w:r>
      <w:r>
        <w:t>rozpočty projektů často i související práce, které nebyly uznatelnými náklady. Jednalo se například o</w:t>
      </w:r>
      <w:r w:rsidR="003566D7">
        <w:t> </w:t>
      </w:r>
      <w:r>
        <w:t xml:space="preserve">náklady na zatravnění revitalizovaného pozemku. </w:t>
      </w:r>
      <w:r w:rsidR="00B3437B">
        <w:t xml:space="preserve">MMR nevedlo žádné </w:t>
      </w:r>
      <w:r w:rsidR="005C510C">
        <w:t xml:space="preserve">prokazatelné </w:t>
      </w:r>
      <w:r w:rsidR="00B3437B">
        <w:t>záznamy o výpočtu výše dotace z žadatelem</w:t>
      </w:r>
      <w:r w:rsidR="00486DD9">
        <w:t xml:space="preserve"> </w:t>
      </w:r>
      <w:r w:rsidR="00B3437B">
        <w:t>předložených celkových nákladů. MMR nevyčíslovalo celkovou výši uznatelných a neuznatelných n</w:t>
      </w:r>
      <w:r w:rsidR="003800A0">
        <w:t>ákladů, a to ani v rozhodnutí o </w:t>
      </w:r>
      <w:r w:rsidR="00B3437B">
        <w:t>poskytnutí dotace.</w:t>
      </w:r>
      <w:r>
        <w:t xml:space="preserve"> </w:t>
      </w:r>
      <w:r w:rsidR="00B938E2">
        <w:t>Tyto základní údaje bylo možné zjistit pouze dodatečně</w:t>
      </w:r>
      <w:r w:rsidR="00EA46E0">
        <w:t xml:space="preserve"> pomocí kontrolních propočtů nad projektovou dokumentací a dalšími doklady předloženými příjemci</w:t>
      </w:r>
      <w:r w:rsidR="00DF592B">
        <w:t xml:space="preserve">, </w:t>
      </w:r>
      <w:r w:rsidR="00FA4075">
        <w:t>což NKÚ nepovažuje za žádoucí a </w:t>
      </w:r>
      <w:r w:rsidR="00DF592B">
        <w:t xml:space="preserve">neodpovídá to zavedené </w:t>
      </w:r>
      <w:r w:rsidR="0069355F">
        <w:t xml:space="preserve">dobré </w:t>
      </w:r>
      <w:r w:rsidR="00DF592B">
        <w:t>praxi</w:t>
      </w:r>
      <w:r w:rsidR="00EA46E0">
        <w:t>,</w:t>
      </w:r>
      <w:r w:rsidR="00DF592B">
        <w:t xml:space="preserve"> </w:t>
      </w:r>
      <w:r w:rsidR="0069355F">
        <w:t xml:space="preserve">která je uplatňována </w:t>
      </w:r>
      <w:r w:rsidR="00DF592B">
        <w:t>např. v oblasti projektů spolufinancovaných z rozpočtu EU.</w:t>
      </w:r>
    </w:p>
    <w:p w14:paraId="21EA28DC" w14:textId="77777777" w:rsidR="00DF592B" w:rsidRPr="00884649" w:rsidRDefault="00EC4C55" w:rsidP="00884649">
      <w:pPr>
        <w:tabs>
          <w:tab w:val="left" w:pos="1902"/>
        </w:tabs>
        <w:jc w:val="both"/>
      </w:pPr>
      <w:r>
        <w:t xml:space="preserve">MMR </w:t>
      </w:r>
      <w:r w:rsidR="008F2045">
        <w:t xml:space="preserve">má </w:t>
      </w:r>
      <w:r>
        <w:t xml:space="preserve">pro administraci projektů k dispozici informační systém DIS, kam </w:t>
      </w:r>
      <w:r w:rsidR="008F2045">
        <w:t xml:space="preserve">jsou </w:t>
      </w:r>
      <w:r>
        <w:t xml:space="preserve">žadatelé povinni ukládat </w:t>
      </w:r>
      <w:r w:rsidR="008F2045">
        <w:t xml:space="preserve">elektronickou verzi </w:t>
      </w:r>
      <w:r>
        <w:t>žádost</w:t>
      </w:r>
      <w:r w:rsidR="008F2045">
        <w:t>i</w:t>
      </w:r>
      <w:r>
        <w:t xml:space="preserve"> včetně příloh. NKÚ zjistil, že dokumenty </w:t>
      </w:r>
      <w:r w:rsidR="008F2045">
        <w:t>předkládané</w:t>
      </w:r>
      <w:r w:rsidR="0034345B">
        <w:t xml:space="preserve"> žadateli</w:t>
      </w:r>
      <w:r w:rsidR="008F2045">
        <w:t xml:space="preserve"> v dalších fázích administrace projektů</w:t>
      </w:r>
      <w:r>
        <w:t xml:space="preserve"> </w:t>
      </w:r>
      <w:r w:rsidR="00866BD4">
        <w:t xml:space="preserve">nebyly </w:t>
      </w:r>
      <w:r>
        <w:t>v</w:t>
      </w:r>
      <w:r w:rsidR="008F2045">
        <w:t xml:space="preserve"> tomto </w:t>
      </w:r>
      <w:r>
        <w:t xml:space="preserve">systému vždy uloženy a </w:t>
      </w:r>
      <w:r w:rsidR="00866BD4">
        <w:t>byly</w:t>
      </w:r>
      <w:r w:rsidR="008F2045">
        <w:t xml:space="preserve"> </w:t>
      </w:r>
      <w:r>
        <w:t>pouze v</w:t>
      </w:r>
      <w:r w:rsidR="008F2045">
        <w:t> </w:t>
      </w:r>
      <w:r>
        <w:t>listinn</w:t>
      </w:r>
      <w:r w:rsidR="008F2045">
        <w:t>é podobě</w:t>
      </w:r>
      <w:r>
        <w:t xml:space="preserve"> </w:t>
      </w:r>
      <w:r w:rsidR="008F2045">
        <w:t xml:space="preserve">založeny ve </w:t>
      </w:r>
      <w:r w:rsidR="00866BD4">
        <w:t>složkách</w:t>
      </w:r>
      <w:r w:rsidR="008F2045">
        <w:t xml:space="preserve"> </w:t>
      </w:r>
      <w:r>
        <w:t>projekt</w:t>
      </w:r>
      <w:r w:rsidR="00866BD4">
        <w:t>ů</w:t>
      </w:r>
      <w:r>
        <w:t>. Rovněž</w:t>
      </w:r>
      <w:r w:rsidR="00866BD4">
        <w:t xml:space="preserve"> údaje o stavu realizace projektů, které DIS vykazoval,</w:t>
      </w:r>
      <w:r w:rsidR="008F2045">
        <w:t xml:space="preserve"> neodpovídal</w:t>
      </w:r>
      <w:r w:rsidR="00866BD4">
        <w:t>y</w:t>
      </w:r>
      <w:r w:rsidR="008F2045">
        <w:t xml:space="preserve"> </w:t>
      </w:r>
      <w:r>
        <w:t>v některých případech skutečnosti.</w:t>
      </w:r>
      <w:r w:rsidR="00361B3E">
        <w:t xml:space="preserve"> </w:t>
      </w:r>
      <w:r>
        <w:t xml:space="preserve">Tyto </w:t>
      </w:r>
      <w:r w:rsidR="008F2045">
        <w:t>skutečnosti omezují</w:t>
      </w:r>
      <w:r>
        <w:t xml:space="preserve"> využitelnost </w:t>
      </w:r>
      <w:r w:rsidR="00F34984">
        <w:t>informačního</w:t>
      </w:r>
      <w:r>
        <w:t xml:space="preserve"> systému pro administraci podprogramu. </w:t>
      </w:r>
    </w:p>
    <w:p w14:paraId="2F2E3D84" w14:textId="77777777" w:rsidR="005A593A" w:rsidRPr="002457BA" w:rsidRDefault="00EC4C55" w:rsidP="005A593A">
      <w:pPr>
        <w:pStyle w:val="Nadpis3"/>
        <w:rPr>
          <w:u w:val="none"/>
        </w:rPr>
      </w:pPr>
      <w:r w:rsidRPr="002457BA">
        <w:rPr>
          <w:u w:val="none"/>
        </w:rPr>
        <w:t>Postup MMR byl v rozporu s právními předpisy</w:t>
      </w:r>
    </w:p>
    <w:p w14:paraId="1BFAB045" w14:textId="77777777" w:rsidR="0056105B" w:rsidRDefault="00EC4C55" w:rsidP="00884649">
      <w:pPr>
        <w:jc w:val="both"/>
      </w:pPr>
      <w:r>
        <w:t>Při kontrole nastavení systému veřejnosprávních kontrol zjistil NKÚ nedostatky týkající se kontrol před vznikem závazku. MMR nepostupovalo v souladu se zákonem o finanční kontrole a jeho prováděcí vyhláškou</w:t>
      </w:r>
      <w:r>
        <w:rPr>
          <w:rStyle w:val="Znakapoznpodarou"/>
        </w:rPr>
        <w:footnoteReference w:id="13"/>
      </w:r>
      <w:r>
        <w:t xml:space="preserve">, protože v rámci předběžné kontroly </w:t>
      </w:r>
      <w:r w:rsidR="00F34984">
        <w:t>neověřovalo</w:t>
      </w:r>
      <w:r w:rsidR="00FA4075">
        <w:t xml:space="preserve"> efektivnost a </w:t>
      </w:r>
      <w:r>
        <w:t xml:space="preserve">dodržení podmínek stanovených pro zadávání veřejných zakázek. </w:t>
      </w:r>
      <w:r w:rsidR="00866BD4" w:rsidRPr="00866BD4">
        <w:t>MMR tak nečinilo ani přesto, že výš</w:t>
      </w:r>
      <w:r w:rsidR="006F4F88">
        <w:t>i</w:t>
      </w:r>
      <w:r w:rsidR="00866BD4" w:rsidRPr="00866BD4">
        <w:t xml:space="preserve"> dotace </w:t>
      </w:r>
      <w:r w:rsidR="006F4F88">
        <w:t xml:space="preserve">stanovilo </w:t>
      </w:r>
      <w:r w:rsidR="00866BD4" w:rsidRPr="00866BD4">
        <w:t>až na základě skutečných vysoutěžených cen</w:t>
      </w:r>
      <w:r w:rsidR="00866BD4">
        <w:t xml:space="preserve">. </w:t>
      </w:r>
      <w:r w:rsidR="006F4F88">
        <w:t>MMR nepožadovalo po příjemcích předložení dokumentace zadávacích řízení. V důsledku toho nemohlo MMR</w:t>
      </w:r>
      <w:r>
        <w:t xml:space="preserve"> </w:t>
      </w:r>
      <w:r w:rsidR="006F4F88">
        <w:t>jejich kontrolu provést</w:t>
      </w:r>
      <w:r>
        <w:t xml:space="preserve">. </w:t>
      </w:r>
    </w:p>
    <w:p w14:paraId="7B490D32" w14:textId="77777777" w:rsidR="00553F30" w:rsidRDefault="00EC4C55" w:rsidP="00884649">
      <w:pPr>
        <w:jc w:val="both"/>
      </w:pPr>
      <w:r>
        <w:t>K</w:t>
      </w:r>
      <w:r w:rsidR="0056105B">
        <w:t xml:space="preserve">ontrolu splnění podmínek pro výběr dodavatele přitom kromě právních předpisů předpokládala i dokumentace podprogramu. </w:t>
      </w:r>
      <w:r>
        <w:t xml:space="preserve">Kontrolu zadávacích řízení neprovádělo MMR ani v rámci veřejnosprávních kontrol na místě, přestože to ukládal vnitřní předpis. </w:t>
      </w:r>
    </w:p>
    <w:p w14:paraId="3C8C37F7" w14:textId="3C62F473" w:rsidR="00445EFE" w:rsidRPr="00884649" w:rsidRDefault="00EC4C55" w:rsidP="00884649">
      <w:pPr>
        <w:jc w:val="both"/>
      </w:pPr>
      <w:r>
        <w:t>NKÚ konstatuje, že kompletní absence kontroly zadávacích ř</w:t>
      </w:r>
      <w:r w:rsidR="007A61EB">
        <w:t xml:space="preserve">ízení </w:t>
      </w:r>
      <w:r w:rsidR="004C377A">
        <w:t xml:space="preserve">má </w:t>
      </w:r>
      <w:r w:rsidR="007A61EB">
        <w:t xml:space="preserve">kromě nemožnosti získat ujištění o souladu s právními předpisy a podmínkami dotace také </w:t>
      </w:r>
      <w:r w:rsidR="004C377A">
        <w:t xml:space="preserve">vliv </w:t>
      </w:r>
      <w:r w:rsidR="007A61EB">
        <w:t xml:space="preserve">na posouzení hospodárnosti. Provedení zadávacího řízení bylo totiž hlavním mechanismem pro minimalizaci ceny za provedení demolice, protože MMR jiné nástroje, např. limit nákladů na </w:t>
      </w:r>
      <w:r w:rsidR="004C377A">
        <w:t>1 </w:t>
      </w:r>
      <w:r w:rsidR="007A61EB">
        <w:t>m</w:t>
      </w:r>
      <w:r w:rsidR="007A61EB" w:rsidRPr="00884649">
        <w:rPr>
          <w:vertAlign w:val="superscript"/>
        </w:rPr>
        <w:t>3</w:t>
      </w:r>
      <w:r w:rsidR="007A61EB">
        <w:t xml:space="preserve"> demolice, nepoužívalo. </w:t>
      </w:r>
    </w:p>
    <w:p w14:paraId="6A4BE1DC" w14:textId="5020AFE3" w:rsidR="004F3F2F" w:rsidRDefault="00EC4C55" w:rsidP="00884649">
      <w:pPr>
        <w:jc w:val="both"/>
      </w:pPr>
      <w:r>
        <w:t>NKÚ</w:t>
      </w:r>
      <w:r w:rsidR="00D76436">
        <w:t xml:space="preserve"> proto</w:t>
      </w:r>
      <w:r>
        <w:t xml:space="preserve"> provedl </w:t>
      </w:r>
      <w:r w:rsidR="00D76436">
        <w:t xml:space="preserve">vlastní </w:t>
      </w:r>
      <w:r>
        <w:t>analýzu dostupných dat u 114 projektů</w:t>
      </w:r>
      <w:r>
        <w:rPr>
          <w:rStyle w:val="Znakapoznpodarou"/>
        </w:rPr>
        <w:footnoteReference w:id="14"/>
      </w:r>
      <w:r>
        <w:t xml:space="preserve"> a zjistil, že </w:t>
      </w:r>
      <w:r w:rsidR="00D76436">
        <w:t xml:space="preserve">se </w:t>
      </w:r>
      <w:r>
        <w:t xml:space="preserve">ceny za odstranění </w:t>
      </w:r>
      <w:r w:rsidR="004C377A">
        <w:t>1 </w:t>
      </w:r>
      <w:r>
        <w:t>m</w:t>
      </w:r>
      <w:r w:rsidRPr="00884649">
        <w:rPr>
          <w:vertAlign w:val="superscript"/>
        </w:rPr>
        <w:t>3</w:t>
      </w:r>
      <w:r>
        <w:t xml:space="preserve"> obestavěného prostoru výrazně lišily</w:t>
      </w:r>
      <w:r w:rsidR="00D76436">
        <w:t xml:space="preserve">, jak ukazuje </w:t>
      </w:r>
      <w:r w:rsidR="00FC7907">
        <w:t>následující tabulka a graf</w:t>
      </w:r>
      <w:r w:rsidR="00D76436">
        <w:t xml:space="preserve"> č.</w:t>
      </w:r>
      <w:r w:rsidR="004C377A">
        <w:t> </w:t>
      </w:r>
      <w:r w:rsidR="00FC7907">
        <w:t>1</w:t>
      </w:r>
      <w:r>
        <w:t>:</w:t>
      </w:r>
    </w:p>
    <w:p w14:paraId="7C249AAC" w14:textId="332FE791" w:rsidR="00854542" w:rsidRPr="004C778A" w:rsidRDefault="00EC4C55" w:rsidP="004C377A">
      <w:pPr>
        <w:keepNext/>
        <w:spacing w:after="40"/>
        <w:ind w:left="1418" w:hanging="1418"/>
        <w:jc w:val="both"/>
        <w:rPr>
          <w:b/>
        </w:rPr>
      </w:pPr>
      <w:r w:rsidRPr="004C778A">
        <w:rPr>
          <w:b/>
        </w:rPr>
        <w:t xml:space="preserve">Tabulka č. </w:t>
      </w:r>
      <w:r w:rsidR="00394932" w:rsidRPr="004C778A">
        <w:rPr>
          <w:b/>
        </w:rPr>
        <w:fldChar w:fldCharType="begin"/>
      </w:r>
      <w:r w:rsidR="00394932" w:rsidRPr="004C778A">
        <w:rPr>
          <w:b/>
        </w:rPr>
        <w:instrText xml:space="preserve"> SEQ Tabulka_č. \* ARABIC </w:instrText>
      </w:r>
      <w:r w:rsidR="00394932" w:rsidRPr="004C778A">
        <w:rPr>
          <w:b/>
        </w:rPr>
        <w:fldChar w:fldCharType="separate"/>
      </w:r>
      <w:r w:rsidR="00D22FA5">
        <w:rPr>
          <w:b/>
          <w:noProof/>
        </w:rPr>
        <w:t>5</w:t>
      </w:r>
      <w:r w:rsidR="00394932" w:rsidRPr="004C778A">
        <w:rPr>
          <w:b/>
          <w:noProof/>
        </w:rPr>
        <w:fldChar w:fldCharType="end"/>
      </w:r>
      <w:r w:rsidRPr="004C778A">
        <w:rPr>
          <w:b/>
        </w:rPr>
        <w:t xml:space="preserve">: </w:t>
      </w:r>
      <w:r w:rsidR="004C377A">
        <w:rPr>
          <w:b/>
        </w:rPr>
        <w:tab/>
      </w:r>
      <w:r w:rsidRPr="004C778A">
        <w:rPr>
          <w:b/>
        </w:rPr>
        <w:t xml:space="preserve">Srovnání vysoutěžených cen </w:t>
      </w:r>
      <w:r w:rsidR="002237B3">
        <w:rPr>
          <w:b/>
        </w:rPr>
        <w:t>vč.</w:t>
      </w:r>
      <w:r w:rsidRPr="004C778A">
        <w:rPr>
          <w:b/>
        </w:rPr>
        <w:t xml:space="preserve"> DPH za odstranění </w:t>
      </w:r>
      <w:r w:rsidR="004C377A">
        <w:rPr>
          <w:b/>
        </w:rPr>
        <w:t>1 </w:t>
      </w:r>
      <w:r w:rsidRPr="004C778A">
        <w:rPr>
          <w:b/>
        </w:rPr>
        <w:t>m</w:t>
      </w:r>
      <w:r w:rsidRPr="004C778A">
        <w:rPr>
          <w:b/>
          <w:vertAlign w:val="superscript"/>
        </w:rPr>
        <w:t>3</w:t>
      </w:r>
      <w:r w:rsidRPr="004C778A">
        <w:rPr>
          <w:b/>
        </w:rPr>
        <w:t xml:space="preserve"> obestavěného prostoru</w:t>
      </w:r>
    </w:p>
    <w:tbl>
      <w:tblPr>
        <w:tblStyle w:val="Mkatabulky"/>
        <w:tblW w:w="9067" w:type="dxa"/>
        <w:tblLook w:val="04A0" w:firstRow="1" w:lastRow="0" w:firstColumn="1" w:lastColumn="0" w:noHBand="0" w:noVBand="1"/>
      </w:tblPr>
      <w:tblGrid>
        <w:gridCol w:w="4531"/>
        <w:gridCol w:w="4536"/>
      </w:tblGrid>
      <w:tr w:rsidR="00524A07" w14:paraId="2D8E0D85" w14:textId="77777777" w:rsidTr="00524A07">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1FF"/>
            <w:hideMark/>
          </w:tcPr>
          <w:p w14:paraId="234EABF3" w14:textId="77777777" w:rsidR="00524A07" w:rsidRDefault="00524A07">
            <w:pPr>
              <w:keepNext/>
              <w:spacing w:after="0"/>
              <w:jc w:val="center"/>
              <w:rPr>
                <w:b/>
                <w:sz w:val="20"/>
              </w:rPr>
            </w:pPr>
            <w:r>
              <w:rPr>
                <w:b/>
                <w:sz w:val="20"/>
              </w:rPr>
              <w:t>Údaj</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1FF"/>
            <w:hideMark/>
          </w:tcPr>
          <w:p w14:paraId="1C275FAC" w14:textId="77777777" w:rsidR="00524A07" w:rsidRDefault="00524A07">
            <w:pPr>
              <w:keepNext/>
              <w:spacing w:after="0"/>
              <w:jc w:val="center"/>
              <w:rPr>
                <w:b/>
                <w:sz w:val="20"/>
              </w:rPr>
            </w:pPr>
            <w:r>
              <w:rPr>
                <w:b/>
                <w:sz w:val="20"/>
              </w:rPr>
              <w:t>Hodnota</w:t>
            </w:r>
          </w:p>
        </w:tc>
      </w:tr>
      <w:tr w:rsidR="00524A07" w14:paraId="07369938" w14:textId="77777777" w:rsidTr="002457BA">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A97E75" w14:textId="77777777" w:rsidR="00524A07" w:rsidRDefault="00524A07" w:rsidP="002457BA">
            <w:pPr>
              <w:keepNext/>
              <w:spacing w:after="0"/>
              <w:rPr>
                <w:sz w:val="20"/>
              </w:rPr>
            </w:pPr>
            <w:r>
              <w:rPr>
                <w:sz w:val="20"/>
              </w:rPr>
              <w:t>Minimální cena</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6531DC" w14:textId="77777777" w:rsidR="00524A07" w:rsidRDefault="00524A07" w:rsidP="002457BA">
            <w:pPr>
              <w:keepNext/>
              <w:spacing w:after="0"/>
              <w:ind w:right="1741"/>
              <w:jc w:val="right"/>
              <w:rPr>
                <w:sz w:val="20"/>
              </w:rPr>
            </w:pPr>
            <w:r>
              <w:rPr>
                <w:sz w:val="20"/>
              </w:rPr>
              <w:t>144 Kč/m</w:t>
            </w:r>
            <w:r>
              <w:rPr>
                <w:vertAlign w:val="superscript"/>
              </w:rPr>
              <w:t>3</w:t>
            </w:r>
          </w:p>
        </w:tc>
      </w:tr>
      <w:tr w:rsidR="00524A07" w14:paraId="30F07E68" w14:textId="77777777" w:rsidTr="002457BA">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A0BA15" w14:textId="77777777" w:rsidR="00524A07" w:rsidRDefault="00524A07" w:rsidP="002457BA">
            <w:pPr>
              <w:keepNext/>
              <w:spacing w:after="0"/>
              <w:rPr>
                <w:sz w:val="20"/>
              </w:rPr>
            </w:pPr>
            <w:r>
              <w:rPr>
                <w:sz w:val="20"/>
              </w:rPr>
              <w:t>Maximální cena</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0F8F12" w14:textId="77777777" w:rsidR="00524A07" w:rsidRDefault="00524A07" w:rsidP="002457BA">
            <w:pPr>
              <w:keepNext/>
              <w:spacing w:after="0"/>
              <w:ind w:right="1741"/>
              <w:jc w:val="right"/>
              <w:rPr>
                <w:sz w:val="20"/>
              </w:rPr>
            </w:pPr>
            <w:r>
              <w:rPr>
                <w:sz w:val="20"/>
              </w:rPr>
              <w:t>3 391 Kč/m</w:t>
            </w:r>
            <w:r>
              <w:rPr>
                <w:vertAlign w:val="superscript"/>
              </w:rPr>
              <w:t>3</w:t>
            </w:r>
          </w:p>
        </w:tc>
      </w:tr>
      <w:tr w:rsidR="00524A07" w14:paraId="0C766DDD" w14:textId="77777777" w:rsidTr="002457BA">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2E1F98" w14:textId="77777777" w:rsidR="00524A07" w:rsidRDefault="00524A07" w:rsidP="002457BA">
            <w:pPr>
              <w:keepNext/>
              <w:spacing w:after="0"/>
              <w:rPr>
                <w:sz w:val="20"/>
              </w:rPr>
            </w:pPr>
            <w:r>
              <w:rPr>
                <w:sz w:val="20"/>
              </w:rPr>
              <w:t xml:space="preserve">Průměrná cena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7ECC75" w14:textId="77777777" w:rsidR="00524A07" w:rsidRDefault="00524A07" w:rsidP="002457BA">
            <w:pPr>
              <w:keepNext/>
              <w:spacing w:after="0"/>
              <w:ind w:right="1741"/>
              <w:jc w:val="right"/>
              <w:rPr>
                <w:sz w:val="20"/>
              </w:rPr>
            </w:pPr>
            <w:r>
              <w:rPr>
                <w:sz w:val="20"/>
              </w:rPr>
              <w:t>425 Kč/m</w:t>
            </w:r>
            <w:r>
              <w:rPr>
                <w:vertAlign w:val="superscript"/>
              </w:rPr>
              <w:t>3</w:t>
            </w:r>
          </w:p>
        </w:tc>
      </w:tr>
    </w:tbl>
    <w:p w14:paraId="36616418" w14:textId="77777777" w:rsidR="004F3F2F" w:rsidRPr="00673E65" w:rsidRDefault="00EC4C55" w:rsidP="002457BA">
      <w:pPr>
        <w:keepNext/>
        <w:spacing w:before="40"/>
        <w:jc w:val="both"/>
        <w:rPr>
          <w:sz w:val="20"/>
          <w:szCs w:val="20"/>
        </w:rPr>
      </w:pPr>
      <w:r w:rsidRPr="00673E65">
        <w:rPr>
          <w:b/>
          <w:sz w:val="20"/>
          <w:szCs w:val="20"/>
        </w:rPr>
        <w:t>Zdroj:</w:t>
      </w:r>
      <w:r w:rsidRPr="00673E65">
        <w:rPr>
          <w:sz w:val="20"/>
          <w:szCs w:val="20"/>
        </w:rPr>
        <w:t xml:space="preserve"> NKÚ s využitím údajů v</w:t>
      </w:r>
      <w:r w:rsidR="004C778A" w:rsidRPr="00673E65">
        <w:rPr>
          <w:sz w:val="20"/>
          <w:szCs w:val="20"/>
        </w:rPr>
        <w:t> </w:t>
      </w:r>
      <w:r w:rsidRPr="00673E65">
        <w:rPr>
          <w:sz w:val="20"/>
          <w:szCs w:val="20"/>
        </w:rPr>
        <w:t>DIS</w:t>
      </w:r>
      <w:r w:rsidR="004C778A" w:rsidRPr="00673E65">
        <w:rPr>
          <w:sz w:val="20"/>
          <w:szCs w:val="20"/>
        </w:rPr>
        <w:t>.</w:t>
      </w:r>
    </w:p>
    <w:p w14:paraId="5149B805" w14:textId="77777777" w:rsidR="007A00FF" w:rsidRDefault="007A00FF" w:rsidP="00884649">
      <w:pPr>
        <w:jc w:val="both"/>
      </w:pPr>
      <w:r>
        <w:t xml:space="preserve">Výrazné rozdíly v jednotkových cenách za odstranění obestavěného prostoru indikují, že </w:t>
      </w:r>
      <w:r w:rsidR="008F68B6">
        <w:t>zajištění hospodárnosti poskytnutých prostředků pouze prostřednictvím dodržení pravidel pro zadávací řízení není dostatečné. Rozptyl jednotkových cen zobrazuje následující graf.</w:t>
      </w:r>
      <w:r>
        <w:t xml:space="preserve"> </w:t>
      </w:r>
    </w:p>
    <w:p w14:paraId="142586B7" w14:textId="0688035C" w:rsidR="008650A3" w:rsidRPr="00E950DD" w:rsidRDefault="008650A3" w:rsidP="002457BA">
      <w:pPr>
        <w:keepNext/>
        <w:spacing w:after="0"/>
        <w:ind w:left="993" w:hanging="993"/>
        <w:jc w:val="both"/>
        <w:rPr>
          <w:b/>
        </w:rPr>
      </w:pPr>
      <w:r w:rsidRPr="00E950DD">
        <w:rPr>
          <w:b/>
        </w:rPr>
        <w:t xml:space="preserve">Graf č. </w:t>
      </w:r>
      <w:r w:rsidRPr="00E950DD">
        <w:rPr>
          <w:b/>
        </w:rPr>
        <w:fldChar w:fldCharType="begin"/>
      </w:r>
      <w:r w:rsidRPr="00E950DD">
        <w:rPr>
          <w:b/>
        </w:rPr>
        <w:instrText xml:space="preserve"> SEQ Graf_č. \* ARABIC </w:instrText>
      </w:r>
      <w:r w:rsidRPr="00E950DD">
        <w:rPr>
          <w:b/>
        </w:rPr>
        <w:fldChar w:fldCharType="separate"/>
      </w:r>
      <w:r w:rsidR="00D22FA5">
        <w:rPr>
          <w:b/>
          <w:noProof/>
        </w:rPr>
        <w:t>1</w:t>
      </w:r>
      <w:r w:rsidRPr="00E950DD">
        <w:rPr>
          <w:b/>
        </w:rPr>
        <w:fldChar w:fldCharType="end"/>
      </w:r>
      <w:r w:rsidRPr="00E950DD">
        <w:rPr>
          <w:b/>
        </w:rPr>
        <w:t xml:space="preserve">: </w:t>
      </w:r>
      <w:r w:rsidR="002457BA">
        <w:rPr>
          <w:b/>
        </w:rPr>
        <w:tab/>
      </w:r>
      <w:r w:rsidRPr="00FB2279">
        <w:rPr>
          <w:b/>
        </w:rPr>
        <w:t xml:space="preserve">Smluvní ceny demolic za </w:t>
      </w:r>
      <w:r w:rsidR="004C377A">
        <w:rPr>
          <w:b/>
        </w:rPr>
        <w:t>1 </w:t>
      </w:r>
      <w:r w:rsidRPr="00FB2279">
        <w:rPr>
          <w:b/>
        </w:rPr>
        <w:t>m</w:t>
      </w:r>
      <w:r w:rsidRPr="008650A3">
        <w:rPr>
          <w:b/>
          <w:vertAlign w:val="superscript"/>
        </w:rPr>
        <w:t>3</w:t>
      </w:r>
      <w:r w:rsidRPr="00FB2279">
        <w:rPr>
          <w:b/>
        </w:rPr>
        <w:t xml:space="preserve"> s DPH podle obestavěného prostoru odstraňované nemovitosti</w:t>
      </w:r>
    </w:p>
    <w:p w14:paraId="7EADC75C" w14:textId="77777777" w:rsidR="008F68B6" w:rsidRDefault="008F68B6" w:rsidP="00884649">
      <w:pPr>
        <w:jc w:val="both"/>
      </w:pPr>
      <w:r>
        <w:rPr>
          <w:noProof/>
        </w:rPr>
        <w:drawing>
          <wp:inline distT="0" distB="0" distL="0" distR="0" wp14:anchorId="7CAC1667" wp14:editId="70E46F6A">
            <wp:extent cx="5761355" cy="3231369"/>
            <wp:effectExtent l="0" t="0" r="0" b="762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BC60D0E" w14:textId="4D4F0E10" w:rsidR="008650A3" w:rsidRPr="00FB2279" w:rsidRDefault="008650A3" w:rsidP="008650A3">
      <w:pPr>
        <w:keepNext/>
        <w:keepLines/>
        <w:rPr>
          <w:b/>
          <w:sz w:val="20"/>
        </w:rPr>
      </w:pPr>
      <w:r w:rsidRPr="00FB2279">
        <w:rPr>
          <w:b/>
          <w:sz w:val="20"/>
        </w:rPr>
        <w:t xml:space="preserve">Zdroj: </w:t>
      </w:r>
      <w:r w:rsidR="004C377A">
        <w:rPr>
          <w:b/>
          <w:sz w:val="20"/>
        </w:rPr>
        <w:t xml:space="preserve">vypracoval </w:t>
      </w:r>
      <w:r w:rsidRPr="00FB2279">
        <w:rPr>
          <w:sz w:val="20"/>
        </w:rPr>
        <w:t>NKÚ s využitím dat MMR.</w:t>
      </w:r>
    </w:p>
    <w:p w14:paraId="27EFBD03" w14:textId="79739A02" w:rsidR="00445EFE" w:rsidRDefault="00EC4C55" w:rsidP="00884649">
      <w:pPr>
        <w:jc w:val="both"/>
      </w:pPr>
      <w:r>
        <w:t xml:space="preserve">Kromě toho, že MMR neověřovalo zadávací řízení, bylo nečinné i v případě externích oznámení. V případě jednoho projektu obdrželo v červenci 2019 dva podněty upozorňující na porušení podmínek pro výběr dodavatele. V září </w:t>
      </w:r>
      <w:r w:rsidR="00362827">
        <w:t xml:space="preserve">téhož roku </w:t>
      </w:r>
      <w:r w:rsidR="00F400C6">
        <w:t>sice</w:t>
      </w:r>
      <w:r w:rsidR="00362827">
        <w:t xml:space="preserve"> potvrdilo, že došlo k porušení podmínek poskytnutí dotace, avšak ani na konci března 2020 v rozporu s vnitřním předpisem neoznámilo podezření na porušení rozpočtové kázně místně příslušnému finančnímu úřadu.</w:t>
      </w:r>
      <w:r w:rsidR="00463ACF">
        <w:t xml:space="preserve"> NKÚ vlastní kontrolou potvrdil oprávněnost obou podání u tohoto projektu</w:t>
      </w:r>
      <w:r w:rsidR="00463ACF">
        <w:rPr>
          <w:rStyle w:val="Znakapoznpodarou"/>
        </w:rPr>
        <w:footnoteReference w:id="15"/>
      </w:r>
      <w:r w:rsidR="00463ACF">
        <w:t>.</w:t>
      </w:r>
    </w:p>
    <w:p w14:paraId="3332D75C" w14:textId="77777777" w:rsidR="005A593A" w:rsidRPr="002457BA" w:rsidRDefault="005038C4" w:rsidP="005A593A">
      <w:pPr>
        <w:pStyle w:val="Nadpis3"/>
        <w:rPr>
          <w:u w:val="none"/>
        </w:rPr>
      </w:pPr>
      <w:r w:rsidRPr="002457BA">
        <w:rPr>
          <w:u w:val="none"/>
        </w:rPr>
        <w:t xml:space="preserve">Nedostatky </w:t>
      </w:r>
      <w:r w:rsidR="00EC4C55" w:rsidRPr="002457BA">
        <w:rPr>
          <w:u w:val="none"/>
        </w:rPr>
        <w:t>kontrolního systému</w:t>
      </w:r>
    </w:p>
    <w:p w14:paraId="407CB1E6" w14:textId="7C169FAC" w:rsidR="008C0742" w:rsidRDefault="00EC4C55" w:rsidP="00884649">
      <w:pPr>
        <w:jc w:val="both"/>
      </w:pPr>
      <w:r>
        <w:t>Kontrolní systém MMR selhal v předchozích zmíněných případech, kdy MMR proplatilo do</w:t>
      </w:r>
      <w:r w:rsidR="00322E4C">
        <w:t>taci na demolici objektů, které nebyly vymezen</w:t>
      </w:r>
      <w:r w:rsidR="000F5BE8">
        <w:t>y</w:t>
      </w:r>
      <w:r w:rsidR="00322E4C">
        <w:t xml:space="preserve"> v předmětu podp</w:t>
      </w:r>
      <w:r w:rsidR="00673E65">
        <w:t>ory, a schválilo podporu i </w:t>
      </w:r>
      <w:r w:rsidR="00322E4C">
        <w:t>pro žadatele, kteří ji podle vyhlášených zásad podprogramu nemohli získat.</w:t>
      </w:r>
    </w:p>
    <w:p w14:paraId="0AC1975B" w14:textId="77777777" w:rsidR="00322E4C" w:rsidRDefault="00EC4C55" w:rsidP="00884649">
      <w:pPr>
        <w:jc w:val="both"/>
      </w:pPr>
      <w:r>
        <w:t>Kromě těchto nedostatků zjistil NKÚ další</w:t>
      </w:r>
      <w:r w:rsidR="00434F9B">
        <w:t xml:space="preserve"> tři</w:t>
      </w:r>
      <w:r>
        <w:t xml:space="preserve"> případy, kdy MMR proplatilo v rámci projektů neuznatelné náklady</w:t>
      </w:r>
      <w:r w:rsidR="00434F9B">
        <w:t xml:space="preserve"> v</w:t>
      </w:r>
      <w:r w:rsidR="00844198">
        <w:t xml:space="preserve"> celkové </w:t>
      </w:r>
      <w:r w:rsidR="00434F9B">
        <w:t xml:space="preserve">výši 51 689 Kč, neboť nevyjmulo při schvalování dotace položky, které se netýkaly samotné demolice, ale následující revitalizace území (zejména položky související se zatravněním). </w:t>
      </w:r>
      <w:r w:rsidR="004632CD">
        <w:t xml:space="preserve">Za jednu z příčin vzniklého stavu považuje NKÚ </w:t>
      </w:r>
      <w:r w:rsidR="00B8079F">
        <w:t>nejednoznačné</w:t>
      </w:r>
      <w:r w:rsidR="004632CD">
        <w:t xml:space="preserve"> vymezení okruhu </w:t>
      </w:r>
      <w:r w:rsidR="006F4F88">
        <w:t>u</w:t>
      </w:r>
      <w:r w:rsidR="00CF6166">
        <w:t xml:space="preserve">znatelných/neuznatelných </w:t>
      </w:r>
      <w:r w:rsidR="006F4F88">
        <w:t>nákladů</w:t>
      </w:r>
      <w:r w:rsidR="004632CD">
        <w:t xml:space="preserve"> v </w:t>
      </w:r>
      <w:r w:rsidR="00315338">
        <w:t xml:space="preserve">zásadách </w:t>
      </w:r>
      <w:r w:rsidR="00CF44D0">
        <w:t xml:space="preserve">v prvních letech </w:t>
      </w:r>
      <w:r w:rsidR="00513AC5">
        <w:t>realizace</w:t>
      </w:r>
      <w:r w:rsidR="004632CD">
        <w:t xml:space="preserve"> podprogramu.</w:t>
      </w:r>
    </w:p>
    <w:p w14:paraId="3FD82685" w14:textId="77777777" w:rsidR="00117D5D" w:rsidRDefault="00EC4C55" w:rsidP="00A5135E">
      <w:pPr>
        <w:jc w:val="both"/>
      </w:pPr>
      <w:r>
        <w:t>MMR provádělo předběžnou kontrolu hned po schválení projektů</w:t>
      </w:r>
      <w:r w:rsidR="00C05EA0">
        <w:t xml:space="preserve">. V </w:t>
      </w:r>
      <w:r>
        <w:t>případě jednoho projektu</w:t>
      </w:r>
      <w:r w:rsidR="007B2074">
        <w:t xml:space="preserve"> došlo po </w:t>
      </w:r>
      <w:r w:rsidR="00C05EA0">
        <w:t xml:space="preserve">provedení </w:t>
      </w:r>
      <w:r w:rsidR="007B2074">
        <w:t>zadávací</w:t>
      </w:r>
      <w:r w:rsidR="00C05EA0">
        <w:t xml:space="preserve">ho </w:t>
      </w:r>
      <w:r w:rsidR="007B2074">
        <w:t xml:space="preserve">řízení ke změně poměru nákladů na </w:t>
      </w:r>
      <w:r w:rsidR="002B7800">
        <w:t xml:space="preserve">vlastní </w:t>
      </w:r>
      <w:r w:rsidR="007B2074">
        <w:t>demolici</w:t>
      </w:r>
      <w:r w:rsidR="002B7800">
        <w:t xml:space="preserve"> objektu</w:t>
      </w:r>
      <w:r w:rsidR="00D41F6D">
        <w:t xml:space="preserve"> a </w:t>
      </w:r>
      <w:r w:rsidR="007B2074">
        <w:t xml:space="preserve">na </w:t>
      </w:r>
      <w:r w:rsidR="002B7800">
        <w:t>statické zabezpečení sousedního objektu</w:t>
      </w:r>
      <w:r w:rsidR="007B2074">
        <w:t>.</w:t>
      </w:r>
      <w:r>
        <w:t xml:space="preserve"> </w:t>
      </w:r>
      <w:r w:rsidR="007B2074">
        <w:t>N</w:t>
      </w:r>
      <w:r>
        <w:t xml:space="preserve">a samotnou demolici </w:t>
      </w:r>
      <w:r w:rsidR="007B2074">
        <w:t xml:space="preserve">byla v důsledku této změny </w:t>
      </w:r>
      <w:r>
        <w:t>použita méně než polovina poskytnuté dotace. Zb</w:t>
      </w:r>
      <w:r w:rsidR="00B30EFC">
        <w:t>ý</w:t>
      </w:r>
      <w:r>
        <w:t>vající čás</w:t>
      </w:r>
      <w:r w:rsidR="007B2074">
        <w:t>t dotace příjemce dotace použil k úhradě</w:t>
      </w:r>
      <w:r>
        <w:t xml:space="preserve"> náklad</w:t>
      </w:r>
      <w:r w:rsidR="007B2074">
        <w:t>ů</w:t>
      </w:r>
      <w:r>
        <w:t xml:space="preserve"> na statické zabezpečení vedlejšího objektu</w:t>
      </w:r>
      <w:r>
        <w:rPr>
          <w:rStyle w:val="Znakapoznpodarou"/>
        </w:rPr>
        <w:footnoteReference w:id="16"/>
      </w:r>
      <w:r>
        <w:t xml:space="preserve">. </w:t>
      </w:r>
      <w:r w:rsidR="00C05EA0">
        <w:t>MMR tuto skutečnost nezjistilo a neprovedlo nové posouzení hospodárnosti projektu.</w:t>
      </w:r>
    </w:p>
    <w:p w14:paraId="624A9973" w14:textId="4B6DF25C" w:rsidR="00434F9B" w:rsidRDefault="00EC4C55" w:rsidP="00DC0F14">
      <w:pPr>
        <w:spacing w:after="0"/>
        <w:jc w:val="both"/>
      </w:pPr>
      <w:r>
        <w:t xml:space="preserve">NKÚ také </w:t>
      </w:r>
      <w:r w:rsidR="006353FA">
        <w:t xml:space="preserve">zjistil </w:t>
      </w:r>
      <w:r>
        <w:t xml:space="preserve">chyby v rozhodnutích o poskytnutí dotace, které byly způsobeny nedostatečnou kontrolou před jejich vydáním. </w:t>
      </w:r>
      <w:r w:rsidR="005A0C27">
        <w:t xml:space="preserve">Tyto chyby se týkaly všech rozhodnutí vydaných na základě výzvy na daný rok a jednalo se jak o chyby méně </w:t>
      </w:r>
      <w:r w:rsidR="00F34984">
        <w:t>významné</w:t>
      </w:r>
      <w:r w:rsidR="005A0C27">
        <w:t xml:space="preserve">, tak i </w:t>
      </w:r>
      <w:r w:rsidR="00067D35">
        <w:t>o </w:t>
      </w:r>
      <w:r w:rsidR="005A0C27">
        <w:t>chyby mající vliv na základní podmínky podpory:</w:t>
      </w:r>
    </w:p>
    <w:p w14:paraId="62EDC883" w14:textId="77777777" w:rsidR="005A0C27" w:rsidRDefault="00EC4C55" w:rsidP="00DC0F14">
      <w:pPr>
        <w:pStyle w:val="Odstavecseseznamem"/>
        <w:numPr>
          <w:ilvl w:val="0"/>
          <w:numId w:val="53"/>
        </w:numPr>
        <w:spacing w:after="0"/>
        <w:ind w:left="284" w:hanging="284"/>
        <w:jc w:val="both"/>
      </w:pPr>
      <w:r>
        <w:t>V rozhodnutích o poskytnutí dotace výzvy z roku 2017 uvedlo MMR odkaz na špatnou verzi zásad</w:t>
      </w:r>
      <w:r w:rsidR="004C2378">
        <w:t>.</w:t>
      </w:r>
    </w:p>
    <w:p w14:paraId="57322D78" w14:textId="77777777" w:rsidR="005A0C27" w:rsidRDefault="00EC4C55" w:rsidP="00DC0F14">
      <w:pPr>
        <w:pStyle w:val="Odstavecseseznamem"/>
        <w:numPr>
          <w:ilvl w:val="0"/>
          <w:numId w:val="53"/>
        </w:numPr>
        <w:spacing w:after="0"/>
        <w:ind w:left="284" w:hanging="284"/>
        <w:jc w:val="both"/>
      </w:pPr>
      <w:r>
        <w:t>V rozhodnutích o poskytnutí dotace výzev na roky 2016, 2017 a 2018 uvedlo MMR chybně sankční ustanovení v případě porušení rozpočtové kázně</w:t>
      </w:r>
      <w:r w:rsidR="004C2378">
        <w:t>.</w:t>
      </w:r>
    </w:p>
    <w:p w14:paraId="3B07334E" w14:textId="3B08185C" w:rsidR="005A0C27" w:rsidRDefault="00EC4C55" w:rsidP="00DC0F14">
      <w:pPr>
        <w:pStyle w:val="Odstavecseseznamem"/>
        <w:numPr>
          <w:ilvl w:val="0"/>
          <w:numId w:val="53"/>
        </w:numPr>
        <w:ind w:left="284" w:hanging="284"/>
        <w:jc w:val="both"/>
      </w:pPr>
      <w:r>
        <w:t>V rozhodnutí</w:t>
      </w:r>
      <w:r w:rsidR="00067D35">
        <w:t>ch</w:t>
      </w:r>
      <w:r>
        <w:t xml:space="preserve"> o poskytnutí dotace na roky 2016</w:t>
      </w:r>
      <w:r w:rsidR="00ED457A">
        <w:t xml:space="preserve"> a</w:t>
      </w:r>
      <w:r>
        <w:t xml:space="preserve"> 2017 zavázalo MMR příjemce dotace k zákazu převodu nemovitosti a k omezení volného nakládání s</w:t>
      </w:r>
      <w:r w:rsidR="004C2378">
        <w:t> </w:t>
      </w:r>
      <w:r>
        <w:t>ní</w:t>
      </w:r>
      <w:r w:rsidR="004C2378">
        <w:t xml:space="preserve"> nebo její použití jako zástavy na dobu pěti let, přestože podle </w:t>
      </w:r>
      <w:r w:rsidR="00F34984">
        <w:t>dokumentace</w:t>
      </w:r>
      <w:r w:rsidR="004C2378">
        <w:t xml:space="preserve"> podprogramu a vydaných zásad toto omezení mělo trvat dvojnásobek</w:t>
      </w:r>
      <w:r w:rsidR="004B4ADB">
        <w:t>, tj. deset let</w:t>
      </w:r>
      <w:r w:rsidR="004C2378">
        <w:t xml:space="preserve">. </w:t>
      </w:r>
    </w:p>
    <w:p w14:paraId="1E480198" w14:textId="77777777" w:rsidR="00A13694" w:rsidRPr="00A13694" w:rsidRDefault="002457BA" w:rsidP="002457BA">
      <w:pPr>
        <w:pStyle w:val="Nadpis2"/>
        <w:jc w:val="both"/>
      </w:pPr>
      <w:r>
        <w:t xml:space="preserve">4. </w:t>
      </w:r>
      <w:r w:rsidR="00EC4C55" w:rsidRPr="00A13694">
        <w:t xml:space="preserve">Kontrola vzorku </w:t>
      </w:r>
      <w:r w:rsidR="004A358C">
        <w:t xml:space="preserve">23 </w:t>
      </w:r>
      <w:r w:rsidR="00EC4C55" w:rsidRPr="00A13694">
        <w:t>projektů u příjemců dotace</w:t>
      </w:r>
      <w:r w:rsidR="0062256D">
        <w:t xml:space="preserve"> </w:t>
      </w:r>
    </w:p>
    <w:p w14:paraId="4B71D7EB" w14:textId="77777777" w:rsidR="00257015" w:rsidRPr="002457BA" w:rsidRDefault="00EC4C55" w:rsidP="00257015">
      <w:pPr>
        <w:pStyle w:val="Nadpis3"/>
        <w:rPr>
          <w:u w:val="none"/>
        </w:rPr>
      </w:pPr>
      <w:r w:rsidRPr="002457BA">
        <w:rPr>
          <w:u w:val="none"/>
        </w:rPr>
        <w:t>Účelnost</w:t>
      </w:r>
    </w:p>
    <w:p w14:paraId="697538F2" w14:textId="77777777" w:rsidR="00257015" w:rsidRDefault="00EC4C55" w:rsidP="00257015">
      <w:pPr>
        <w:jc w:val="both"/>
      </w:pPr>
      <w:r>
        <w:t xml:space="preserve">NKÚ zjistil, že všichni </w:t>
      </w:r>
      <w:r w:rsidR="00E265E5">
        <w:t xml:space="preserve">kontrolovaní </w:t>
      </w:r>
      <w:r>
        <w:t>příjemci naplnili účel dotace</w:t>
      </w:r>
      <w:r w:rsidR="00CF6166">
        <w:t xml:space="preserve"> stanovený v rozhodnutích o</w:t>
      </w:r>
      <w:r w:rsidR="00151689">
        <w:t> </w:t>
      </w:r>
      <w:r w:rsidR="00CF6166">
        <w:t>poskytnutí dotace</w:t>
      </w:r>
      <w:r>
        <w:t xml:space="preserve"> a dosáhli stanovených parametrů. </w:t>
      </w:r>
      <w:r w:rsidR="00FA0256">
        <w:t>Nedo</w:t>
      </w:r>
      <w:r w:rsidR="00CF44D0">
        <w:t>s</w:t>
      </w:r>
      <w:r w:rsidR="00026BED">
        <w:t>tatky nebyly zjištěny ani u </w:t>
      </w:r>
      <w:r w:rsidR="00FA0256">
        <w:t>kontroly uskutečňování</w:t>
      </w:r>
      <w:r>
        <w:t xml:space="preserve"> projektů následného využití revitalizovaného území</w:t>
      </w:r>
      <w:r w:rsidR="00FA0256">
        <w:t>:</w:t>
      </w:r>
      <w:r>
        <w:t xml:space="preserve"> </w:t>
      </w:r>
      <w:r w:rsidR="00FA0256">
        <w:t xml:space="preserve">ve </w:t>
      </w:r>
      <w:r w:rsidR="00026BED">
        <w:t>14 </w:t>
      </w:r>
      <w:r>
        <w:t>případech byly tyto projekty dokončeny</w:t>
      </w:r>
      <w:r w:rsidR="00FA0256">
        <w:t xml:space="preserve"> a</w:t>
      </w:r>
      <w:r>
        <w:t xml:space="preserve"> </w:t>
      </w:r>
      <w:r w:rsidR="00FA0256">
        <w:t>v</w:t>
      </w:r>
      <w:r w:rsidR="0030627C">
        <w:t xml:space="preserve"> pěti</w:t>
      </w:r>
      <w:r>
        <w:t xml:space="preserve"> případech stále běžela lhůta pro jejich dokončení</w:t>
      </w:r>
      <w:r w:rsidR="00C93144">
        <w:t>. U čtyř projektů</w:t>
      </w:r>
      <w:r w:rsidR="00A10A4D">
        <w:t xml:space="preserve"> </w:t>
      </w:r>
      <w:r w:rsidR="00E10BE7">
        <w:t xml:space="preserve">nebyla </w:t>
      </w:r>
      <w:r w:rsidR="00C93144">
        <w:t>lhůt</w:t>
      </w:r>
      <w:r w:rsidR="00E10BE7">
        <w:t>a</w:t>
      </w:r>
      <w:r w:rsidR="00C93144">
        <w:t xml:space="preserve"> pro </w:t>
      </w:r>
      <w:r w:rsidR="00E10BE7">
        <w:t xml:space="preserve">dokončení </w:t>
      </w:r>
      <w:r w:rsidR="00C93144">
        <w:t>realizac</w:t>
      </w:r>
      <w:r w:rsidR="00E10BE7">
        <w:t>e</w:t>
      </w:r>
      <w:r w:rsidR="00C93144">
        <w:t xml:space="preserve"> PNV </w:t>
      </w:r>
      <w:r w:rsidR="00E10BE7">
        <w:t xml:space="preserve">v podmínkách dotace </w:t>
      </w:r>
      <w:r w:rsidR="0030627C">
        <w:t>stanovena</w:t>
      </w:r>
      <w:r w:rsidR="00C93144">
        <w:t>.</w:t>
      </w:r>
    </w:p>
    <w:p w14:paraId="51168F4E" w14:textId="53A6E48F" w:rsidR="00257015" w:rsidRDefault="00EC4C55" w:rsidP="00257015">
      <w:pPr>
        <w:jc w:val="both"/>
      </w:pPr>
      <w:r>
        <w:t xml:space="preserve">Jedním z prověřovaných aspektů na úrovni projektů byl i přínos odstranění objektů k řešení problému sociálně vyloučených lokalit. NKÚ zjistil, že </w:t>
      </w:r>
      <w:r w:rsidR="00067D35">
        <w:t>u </w:t>
      </w:r>
      <w:r>
        <w:t>více než polovin</w:t>
      </w:r>
      <w:r w:rsidR="00067D35">
        <w:t>y</w:t>
      </w:r>
      <w:r>
        <w:t xml:space="preserve"> projektů se odstraňované objekty nenacházely </w:t>
      </w:r>
      <w:r w:rsidR="002D2B88">
        <w:t xml:space="preserve">přímo </w:t>
      </w:r>
      <w:r>
        <w:t>v SVL (často neby</w:t>
      </w:r>
      <w:r w:rsidR="00026BED">
        <w:t>la v katastru obce žádná SVL)</w:t>
      </w:r>
      <w:r w:rsidR="003138BB">
        <w:t>,</w:t>
      </w:r>
      <w:r w:rsidR="00026BED">
        <w:t xml:space="preserve"> a </w:t>
      </w:r>
      <w:r>
        <w:t xml:space="preserve">demolice tak měly zejména preventivní roli. </w:t>
      </w:r>
    </w:p>
    <w:p w14:paraId="698472AF" w14:textId="77777777" w:rsidR="00257015" w:rsidRPr="002457BA" w:rsidRDefault="00EC4C55" w:rsidP="00257015">
      <w:pPr>
        <w:pStyle w:val="Nadpis3"/>
        <w:rPr>
          <w:u w:val="none"/>
        </w:rPr>
      </w:pPr>
      <w:r w:rsidRPr="002457BA">
        <w:rPr>
          <w:u w:val="none"/>
        </w:rPr>
        <w:t>Hospodárnost</w:t>
      </w:r>
    </w:p>
    <w:p w14:paraId="19308B21" w14:textId="00DEA722" w:rsidR="00257015" w:rsidRDefault="00EC4C55" w:rsidP="00257015">
      <w:pPr>
        <w:jc w:val="both"/>
      </w:pPr>
      <w:r>
        <w:t xml:space="preserve">Hospodárné využití dotace kontroloval NKÚ především v návaznosti na zadávací řízení, </w:t>
      </w:r>
      <w:r w:rsidR="00045F57">
        <w:t>jejichž správné provedení by mělo zajistit</w:t>
      </w:r>
      <w:r w:rsidR="003138BB">
        <w:t xml:space="preserve"> </w:t>
      </w:r>
      <w:r>
        <w:t>dosažení nejnižší ceny demolice. NKÚ zjistil nedostatky ve třech projektech. Ve dvou případech nezadali příjemci dotace veřejnou zakázku v otevřeném řízení, což vedlo k </w:t>
      </w:r>
      <w:r w:rsidR="00E265E5">
        <w:t xml:space="preserve">omezení </w:t>
      </w:r>
      <w:r>
        <w:t xml:space="preserve">počtu uchazečů. </w:t>
      </w:r>
    </w:p>
    <w:p w14:paraId="76562583" w14:textId="77777777" w:rsidR="00257015" w:rsidRDefault="00EC4C55" w:rsidP="00257015">
      <w:pPr>
        <w:jc w:val="both"/>
      </w:pPr>
      <w:r>
        <w:t>V jednom případě</w:t>
      </w:r>
      <w:r>
        <w:rPr>
          <w:rStyle w:val="Znakapoznpodarou"/>
        </w:rPr>
        <w:footnoteReference w:id="17"/>
      </w:r>
      <w:r>
        <w:t xml:space="preserve"> pak příjemce vyřadil nabídku, která byla o </w:t>
      </w:r>
      <w:r w:rsidR="00495525">
        <w:t>68</w:t>
      </w:r>
      <w:r w:rsidR="0030627C">
        <w:t>9 tis.</w:t>
      </w:r>
      <w:r w:rsidR="00495525">
        <w:t> </w:t>
      </w:r>
      <w:r w:rsidR="00361B3E">
        <w:t>Kč</w:t>
      </w:r>
      <w:r w:rsidR="00495525">
        <w:t xml:space="preserve"> včetně DPH (31 %)</w:t>
      </w:r>
      <w:r>
        <w:t xml:space="preserve"> nižší než nabídka vítězná</w:t>
      </w:r>
      <w:r w:rsidR="000C7F82">
        <w:t>. NKÚ vyhodnotil, že nabídka vyřazeného uchazeče</w:t>
      </w:r>
      <w:r w:rsidR="003800A0">
        <w:t xml:space="preserve"> byla úplná a </w:t>
      </w:r>
      <w:r>
        <w:t xml:space="preserve">obsahovala vyčíslení všech </w:t>
      </w:r>
      <w:r w:rsidR="000C7F82">
        <w:t>požadovaných</w:t>
      </w:r>
      <w:r>
        <w:t xml:space="preserve"> nákladů.</w:t>
      </w:r>
      <w:r w:rsidR="000C7F82">
        <w:t xml:space="preserve"> </w:t>
      </w:r>
      <w:r w:rsidR="005F6938">
        <w:t xml:space="preserve">Pouze jedna položka nebyla naceněna samostatně, ale byla </w:t>
      </w:r>
      <w:r w:rsidR="0030627C">
        <w:t>promítnuta</w:t>
      </w:r>
      <w:r w:rsidR="005F6938">
        <w:t xml:space="preserve"> v celkové ceně</w:t>
      </w:r>
      <w:r>
        <w:rPr>
          <w:rStyle w:val="Znakapoznpodarou"/>
        </w:rPr>
        <w:footnoteReference w:id="18"/>
      </w:r>
      <w:r w:rsidR="005F6938">
        <w:t>. Z tohoto důvodu zadavatel nabídku vyřadil</w:t>
      </w:r>
      <w:r>
        <w:t>.</w:t>
      </w:r>
      <w:r w:rsidR="000C7F82">
        <w:t xml:space="preserve"> Ačkoliv</w:t>
      </w:r>
      <w:r w:rsidR="005F6938">
        <w:t xml:space="preserve"> tímto postupem</w:t>
      </w:r>
      <w:r w:rsidR="000C7F82">
        <w:t xml:space="preserve"> </w:t>
      </w:r>
      <w:r w:rsidR="005F6938">
        <w:t>zadavatel</w:t>
      </w:r>
      <w:r w:rsidR="000C7F82">
        <w:t xml:space="preserve"> neporušil </w:t>
      </w:r>
      <w:r w:rsidR="00F400C6">
        <w:t>zákon</w:t>
      </w:r>
      <w:r w:rsidR="00495525">
        <w:t xml:space="preserve"> </w:t>
      </w:r>
      <w:r w:rsidR="005F6938">
        <w:t>o</w:t>
      </w:r>
      <w:r w:rsidR="00495525">
        <w:t xml:space="preserve"> zadávání veřejných zakázek</w:t>
      </w:r>
      <w:r w:rsidR="000C7F82">
        <w:t xml:space="preserve">, jeho </w:t>
      </w:r>
      <w:r w:rsidR="005F6938">
        <w:t>formální</w:t>
      </w:r>
      <w:r w:rsidR="000C7F82">
        <w:t xml:space="preserve"> postup vedl k</w:t>
      </w:r>
      <w:r w:rsidR="00033284">
        <w:t xml:space="preserve"> faktickému </w:t>
      </w:r>
      <w:r w:rsidR="000C7F82">
        <w:t xml:space="preserve">navýšení ceny </w:t>
      </w:r>
      <w:r w:rsidR="005F6938">
        <w:t xml:space="preserve">za </w:t>
      </w:r>
      <w:r w:rsidR="000C7F82">
        <w:t>demolic</w:t>
      </w:r>
      <w:r w:rsidR="005F6938">
        <w:t>i</w:t>
      </w:r>
      <w:r w:rsidR="00F400C6">
        <w:t xml:space="preserve">. </w:t>
      </w:r>
    </w:p>
    <w:p w14:paraId="61E9F917" w14:textId="0B941F08" w:rsidR="00257015" w:rsidRPr="007E4333" w:rsidRDefault="00270BD2" w:rsidP="00257015">
      <w:pPr>
        <w:jc w:val="both"/>
      </w:pPr>
      <w:r>
        <w:t>P</w:t>
      </w:r>
      <w:r w:rsidR="00EC4C55">
        <w:t xml:space="preserve">řibližně </w:t>
      </w:r>
      <w:r>
        <w:t>u </w:t>
      </w:r>
      <w:r w:rsidR="00EC4C55">
        <w:t xml:space="preserve">poloviny projektů (13 z 23) NKÚ </w:t>
      </w:r>
      <w:r w:rsidR="003A643A">
        <w:t xml:space="preserve">kontrolou u příjemců </w:t>
      </w:r>
      <w:r w:rsidR="00E265E5">
        <w:t>ověřil</w:t>
      </w:r>
      <w:r w:rsidR="00EC4C55">
        <w:t xml:space="preserve">, že by provedli demolici bez ohledu na poskytnutou dotaci. Jedná </w:t>
      </w:r>
      <w:r w:rsidR="00045F57">
        <w:t xml:space="preserve">se </w:t>
      </w:r>
      <w:r w:rsidR="00EC4C55">
        <w:t>o tzv.</w:t>
      </w:r>
      <w:r w:rsidR="000F3D65">
        <w:t xml:space="preserve"> efekt mrtvé váhy</w:t>
      </w:r>
      <w:r w:rsidR="00EC4C55">
        <w:t>, kdy by zamýšleného cíle (demolice objektu</w:t>
      </w:r>
      <w:r w:rsidR="00045F57">
        <w:t>)</w:t>
      </w:r>
      <w:r w:rsidR="00EC4C55">
        <w:t xml:space="preserve"> bylo dosaženo i bez vynaložení zdrojů státního rozpočtu. </w:t>
      </w:r>
    </w:p>
    <w:p w14:paraId="6805D3C6" w14:textId="77777777" w:rsidR="00257015" w:rsidRPr="002457BA" w:rsidRDefault="00EC4C55" w:rsidP="00257015">
      <w:pPr>
        <w:pStyle w:val="Nadpis3"/>
        <w:rPr>
          <w:u w:val="none"/>
        </w:rPr>
      </w:pPr>
      <w:r w:rsidRPr="002457BA">
        <w:rPr>
          <w:u w:val="none"/>
        </w:rPr>
        <w:t>Soulad s právními předpisy a podmínkami dotace</w:t>
      </w:r>
    </w:p>
    <w:p w14:paraId="429A4CC3" w14:textId="77777777" w:rsidR="00257015" w:rsidRDefault="00EC4C55" w:rsidP="00257015">
      <w:pPr>
        <w:jc w:val="both"/>
      </w:pPr>
      <w:r>
        <w:t>Porušení právních předpisů anebo podmínek dotace stanovených v rozhodnutích o poskytnutí dotace zjistil NKÚ u devíti z 23 kontrolovaných projektů. Z celkem 12 zjištěných nedostatků se v převážné většině jednalo o méně závažná porušení, která neměla finanční dopad, např. porušení povinnosti oznámit ve stanovené lhůtě odstranění stavby</w:t>
      </w:r>
      <w:r>
        <w:rPr>
          <w:rStyle w:val="Znakapoznpodarou"/>
        </w:rPr>
        <w:footnoteReference w:id="19"/>
      </w:r>
      <w:r>
        <w:t>.</w:t>
      </w:r>
    </w:p>
    <w:p w14:paraId="347FBC04" w14:textId="77777777" w:rsidR="00257015" w:rsidRDefault="00EC4C55" w:rsidP="00DC0F14">
      <w:pPr>
        <w:spacing w:after="0"/>
        <w:jc w:val="both"/>
      </w:pPr>
      <w:r>
        <w:t>Ve dvou případech zjistil NKÚ porušení podmínek pro zadávání veřejných zakázek, která oznámil jako podezření na porušení rozpočtové kázně. Šlo o následující případy:</w:t>
      </w:r>
    </w:p>
    <w:p w14:paraId="235CC3DD" w14:textId="77777777" w:rsidR="00257015" w:rsidRPr="004664C6" w:rsidRDefault="00EC4C55" w:rsidP="00DC0F14">
      <w:pPr>
        <w:pStyle w:val="Odstavecseseznamem"/>
        <w:numPr>
          <w:ilvl w:val="0"/>
          <w:numId w:val="44"/>
        </w:numPr>
        <w:spacing w:after="0"/>
        <w:ind w:left="284" w:hanging="284"/>
        <w:jc w:val="both"/>
      </w:pPr>
      <w:r w:rsidRPr="004664C6">
        <w:t>Příjemce</w:t>
      </w:r>
      <w:r>
        <w:rPr>
          <w:rStyle w:val="Znakapoznpodarou"/>
        </w:rPr>
        <w:footnoteReference w:id="20"/>
      </w:r>
      <w:r w:rsidRPr="004664C6">
        <w:t xml:space="preserve"> namísto zveřejnění veřejné zakázky prostřednictvím otevřeného řízení pouze přímo oslovil čtyři vybrané potencionální dodavatele. Zadání formou otevřeného řízení přitom bylo podmínkou poskytnutí dotace. Na základě této veřejné zakázky čerpal příjemce dotaci ve výši 5 mil. Kč.</w:t>
      </w:r>
      <w:r w:rsidR="00F91B4A" w:rsidRPr="004664C6">
        <w:t xml:space="preserve"> </w:t>
      </w:r>
    </w:p>
    <w:p w14:paraId="38D2CA08" w14:textId="77777777" w:rsidR="00257015" w:rsidRDefault="00EC4C55" w:rsidP="00DC0F14">
      <w:pPr>
        <w:pStyle w:val="Odstavecseseznamem"/>
        <w:numPr>
          <w:ilvl w:val="0"/>
          <w:numId w:val="44"/>
        </w:numPr>
        <w:ind w:left="284" w:hanging="284"/>
        <w:jc w:val="both"/>
      </w:pPr>
      <w:r>
        <w:t>Příjemce</w:t>
      </w:r>
      <w:r>
        <w:rPr>
          <w:rStyle w:val="Znakapoznpodarou"/>
        </w:rPr>
        <w:footnoteReference w:id="21"/>
      </w:r>
      <w:r>
        <w:t xml:space="preserve"> namísto zahájení veřejné zakázky formou otevřeného řízení zvolil pouze formu uveřejnění veřejné zakázky na svém profilu zadavatele</w:t>
      </w:r>
      <w:r w:rsidR="00E265E5">
        <w:t>.</w:t>
      </w:r>
      <w:r>
        <w:t xml:space="preserve"> Na základě této veřejné zakázky čerpal příjemce dotaci ve výši necelých 4 mil. Kč.</w:t>
      </w:r>
    </w:p>
    <w:p w14:paraId="099D5918" w14:textId="77777777" w:rsidR="00257015" w:rsidRDefault="00EC4C55" w:rsidP="00257015">
      <w:pPr>
        <w:jc w:val="both"/>
      </w:pPr>
      <w:r>
        <w:t>Objem výše uvedených nedostatků představoval 19 % z celkem kontrolovaného objemu poskytnuté dotace</w:t>
      </w:r>
      <w:r>
        <w:rPr>
          <w:rStyle w:val="Znakapoznpodarou"/>
        </w:rPr>
        <w:footnoteReference w:id="22"/>
      </w:r>
      <w:r>
        <w:t>.</w:t>
      </w:r>
    </w:p>
    <w:p w14:paraId="746FAC6E" w14:textId="77777777" w:rsidR="0020405C" w:rsidRDefault="0020405C" w:rsidP="0020405C">
      <w:pPr>
        <w:spacing w:after="0"/>
        <w:jc w:val="both"/>
      </w:pPr>
    </w:p>
    <w:p w14:paraId="7B36F96F" w14:textId="77777777" w:rsidR="0020405C" w:rsidRPr="00525B31" w:rsidRDefault="0020405C" w:rsidP="0020405C">
      <w:pPr>
        <w:spacing w:after="0"/>
        <w:jc w:val="both"/>
      </w:pPr>
    </w:p>
    <w:p w14:paraId="070C12BC" w14:textId="4842D13E" w:rsidR="002E1D2E" w:rsidRPr="003D1C56" w:rsidRDefault="00EC4C55" w:rsidP="0020405C">
      <w:pPr>
        <w:keepNext/>
        <w:widowControl w:val="0"/>
        <w:jc w:val="both"/>
        <w:rPr>
          <w:rFonts w:cstheme="minorHAnsi"/>
          <w:b/>
        </w:rPr>
      </w:pPr>
      <w:r w:rsidRPr="003D1C56">
        <w:rPr>
          <w:rFonts w:cstheme="minorHAnsi"/>
          <w:b/>
        </w:rPr>
        <w:t>S</w:t>
      </w:r>
      <w:r w:rsidR="00462F78" w:rsidRPr="003D1C56">
        <w:rPr>
          <w:rFonts w:cstheme="minorHAnsi"/>
          <w:b/>
        </w:rPr>
        <w:t>eznam zkratek</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803"/>
      </w:tblGrid>
      <w:tr w:rsidR="006937DA" w:rsidRPr="00DC0F14" w14:paraId="3F42864D" w14:textId="77777777" w:rsidTr="00DC0F14">
        <w:trPr>
          <w:trHeight w:val="283"/>
        </w:trPr>
        <w:tc>
          <w:tcPr>
            <w:tcW w:w="2268" w:type="dxa"/>
            <w:vAlign w:val="center"/>
          </w:tcPr>
          <w:p w14:paraId="75377010" w14:textId="77777777" w:rsidR="00C00E25" w:rsidRPr="00DC0F14" w:rsidRDefault="00EC4C55" w:rsidP="0020405C">
            <w:pPr>
              <w:keepNext/>
              <w:widowControl w:val="0"/>
              <w:spacing w:before="40" w:after="40"/>
              <w:rPr>
                <w:rFonts w:ascii="Calibri" w:hAnsi="Calibri" w:cs="Calibri"/>
              </w:rPr>
            </w:pPr>
            <w:r w:rsidRPr="00DC0F14">
              <w:rPr>
                <w:rFonts w:ascii="Calibri" w:hAnsi="Calibri" w:cs="Calibri"/>
              </w:rPr>
              <w:t>DIS</w:t>
            </w:r>
          </w:p>
        </w:tc>
        <w:tc>
          <w:tcPr>
            <w:tcW w:w="6803" w:type="dxa"/>
            <w:vAlign w:val="center"/>
          </w:tcPr>
          <w:p w14:paraId="6AD317BC" w14:textId="4AA4D36D" w:rsidR="00C00E25" w:rsidRPr="00466BC7" w:rsidRDefault="00EC4C55" w:rsidP="00270BD2">
            <w:pPr>
              <w:keepNext/>
              <w:widowControl w:val="0"/>
              <w:spacing w:before="40" w:after="40"/>
              <w:rPr>
                <w:rFonts w:ascii="Calibri" w:hAnsi="Calibri" w:cs="Calibri"/>
                <w:i/>
              </w:rPr>
            </w:pPr>
            <w:r w:rsidRPr="00466BC7">
              <w:rPr>
                <w:rFonts w:ascii="Calibri" w:hAnsi="Calibri" w:cs="Calibri"/>
                <w:i/>
              </w:rPr>
              <w:t>Dotační informační systém M</w:t>
            </w:r>
            <w:r w:rsidR="00270BD2" w:rsidRPr="00466BC7">
              <w:rPr>
                <w:rFonts w:ascii="Calibri" w:hAnsi="Calibri" w:cs="Calibri"/>
                <w:i/>
              </w:rPr>
              <w:t>inisterstva pro místní rozvoj</w:t>
            </w:r>
          </w:p>
        </w:tc>
      </w:tr>
      <w:tr w:rsidR="006937DA" w:rsidRPr="00DC0F14" w14:paraId="745747E5" w14:textId="77777777" w:rsidTr="00DC0F14">
        <w:trPr>
          <w:trHeight w:val="283"/>
        </w:trPr>
        <w:tc>
          <w:tcPr>
            <w:tcW w:w="2268" w:type="dxa"/>
            <w:vAlign w:val="center"/>
          </w:tcPr>
          <w:p w14:paraId="76270D50" w14:textId="77777777" w:rsidR="00C00E25" w:rsidRPr="00DC0F14" w:rsidRDefault="00EC4C55" w:rsidP="0020405C">
            <w:pPr>
              <w:keepNext/>
              <w:widowControl w:val="0"/>
              <w:spacing w:before="40" w:after="40"/>
              <w:rPr>
                <w:rFonts w:ascii="Calibri" w:hAnsi="Calibri" w:cs="Calibri"/>
              </w:rPr>
            </w:pPr>
            <w:r w:rsidRPr="00DC0F14">
              <w:rPr>
                <w:rFonts w:ascii="Calibri" w:hAnsi="Calibri" w:cs="Calibri"/>
              </w:rPr>
              <w:t>MMR</w:t>
            </w:r>
          </w:p>
        </w:tc>
        <w:tc>
          <w:tcPr>
            <w:tcW w:w="6803" w:type="dxa"/>
            <w:vAlign w:val="center"/>
          </w:tcPr>
          <w:p w14:paraId="5336B1FE" w14:textId="77777777" w:rsidR="00C00E25" w:rsidRPr="00DC0F14" w:rsidRDefault="00EC4C55" w:rsidP="0020405C">
            <w:pPr>
              <w:keepNext/>
              <w:widowControl w:val="0"/>
              <w:spacing w:before="40" w:after="40"/>
              <w:rPr>
                <w:rFonts w:ascii="Calibri" w:hAnsi="Calibri" w:cs="Calibri"/>
              </w:rPr>
            </w:pPr>
            <w:r w:rsidRPr="00DC0F14">
              <w:rPr>
                <w:rFonts w:ascii="Calibri" w:hAnsi="Calibri" w:cs="Calibri"/>
              </w:rPr>
              <w:t>Ministerstvo pro místní rozvoj</w:t>
            </w:r>
          </w:p>
        </w:tc>
      </w:tr>
      <w:tr w:rsidR="006937DA" w:rsidRPr="00DC0F14" w14:paraId="6AA2E453" w14:textId="77777777" w:rsidTr="00DC0F14">
        <w:trPr>
          <w:trHeight w:val="283"/>
        </w:trPr>
        <w:tc>
          <w:tcPr>
            <w:tcW w:w="2268" w:type="dxa"/>
            <w:vAlign w:val="center"/>
          </w:tcPr>
          <w:p w14:paraId="536E083D" w14:textId="77777777" w:rsidR="00C00E25" w:rsidRPr="00DC0F14" w:rsidRDefault="00EC4C55" w:rsidP="0020405C">
            <w:pPr>
              <w:keepNext/>
              <w:widowControl w:val="0"/>
              <w:spacing w:before="40" w:after="40"/>
              <w:rPr>
                <w:rFonts w:ascii="Calibri" w:hAnsi="Calibri" w:cs="Calibri"/>
              </w:rPr>
            </w:pPr>
            <w:r w:rsidRPr="00DC0F14">
              <w:rPr>
                <w:rFonts w:ascii="Calibri" w:hAnsi="Calibri" w:cs="Calibri"/>
              </w:rPr>
              <w:t>NKÚ</w:t>
            </w:r>
          </w:p>
        </w:tc>
        <w:tc>
          <w:tcPr>
            <w:tcW w:w="6803" w:type="dxa"/>
            <w:vAlign w:val="center"/>
          </w:tcPr>
          <w:p w14:paraId="3F3EE34D" w14:textId="77777777" w:rsidR="00C00E25" w:rsidRPr="00DC0F14" w:rsidRDefault="00EC4C55" w:rsidP="0020405C">
            <w:pPr>
              <w:keepNext/>
              <w:widowControl w:val="0"/>
              <w:spacing w:before="40" w:after="40"/>
              <w:rPr>
                <w:rFonts w:ascii="Calibri" w:hAnsi="Calibri" w:cs="Calibri"/>
              </w:rPr>
            </w:pPr>
            <w:r w:rsidRPr="00DC0F14">
              <w:rPr>
                <w:rFonts w:ascii="Calibri" w:hAnsi="Calibri" w:cs="Calibri"/>
              </w:rPr>
              <w:t>Nejvyšší kontrolní úřad</w:t>
            </w:r>
          </w:p>
        </w:tc>
      </w:tr>
      <w:tr w:rsidR="006937DA" w:rsidRPr="00DC0F14" w14:paraId="6299CB6A" w14:textId="77777777" w:rsidTr="00DC0F14">
        <w:trPr>
          <w:trHeight w:val="283"/>
        </w:trPr>
        <w:tc>
          <w:tcPr>
            <w:tcW w:w="2268" w:type="dxa"/>
            <w:vAlign w:val="center"/>
          </w:tcPr>
          <w:p w14:paraId="061E3ED0" w14:textId="77777777" w:rsidR="00C00E25" w:rsidRPr="00DC0F14" w:rsidRDefault="00EC4C55" w:rsidP="0020405C">
            <w:pPr>
              <w:keepNext/>
              <w:widowControl w:val="0"/>
              <w:spacing w:before="40" w:after="40"/>
              <w:rPr>
                <w:rFonts w:ascii="Calibri" w:hAnsi="Calibri" w:cs="Calibri"/>
              </w:rPr>
            </w:pPr>
            <w:r w:rsidRPr="00DC0F14">
              <w:rPr>
                <w:rFonts w:ascii="Calibri" w:hAnsi="Calibri" w:cs="Calibri"/>
              </w:rPr>
              <w:t>PNV</w:t>
            </w:r>
          </w:p>
        </w:tc>
        <w:tc>
          <w:tcPr>
            <w:tcW w:w="6803" w:type="dxa"/>
            <w:vAlign w:val="center"/>
          </w:tcPr>
          <w:p w14:paraId="515C724D" w14:textId="16B65839" w:rsidR="00C00E25" w:rsidRPr="00DC0F14" w:rsidRDefault="00E55D29" w:rsidP="0020405C">
            <w:pPr>
              <w:keepNext/>
              <w:widowControl w:val="0"/>
              <w:spacing w:before="40" w:after="40"/>
              <w:rPr>
                <w:rFonts w:ascii="Calibri" w:hAnsi="Calibri" w:cs="Calibri"/>
              </w:rPr>
            </w:pPr>
            <w:r>
              <w:rPr>
                <w:rFonts w:ascii="Calibri" w:hAnsi="Calibri" w:cs="Calibri"/>
              </w:rPr>
              <w:t>p</w:t>
            </w:r>
            <w:r w:rsidR="00EC4C55" w:rsidRPr="00DC0F14">
              <w:rPr>
                <w:rFonts w:ascii="Calibri" w:hAnsi="Calibri" w:cs="Calibri"/>
              </w:rPr>
              <w:t>rojekt následného využití</w:t>
            </w:r>
          </w:p>
        </w:tc>
      </w:tr>
      <w:tr w:rsidR="006937DA" w:rsidRPr="00DC0F14" w14:paraId="64DEBA2C" w14:textId="77777777" w:rsidTr="00DC0F14">
        <w:trPr>
          <w:trHeight w:val="283"/>
        </w:trPr>
        <w:tc>
          <w:tcPr>
            <w:tcW w:w="2268" w:type="dxa"/>
            <w:vAlign w:val="center"/>
          </w:tcPr>
          <w:p w14:paraId="411D7A5F" w14:textId="5FD159A0" w:rsidR="00C00E25" w:rsidRPr="00DC0F14" w:rsidRDefault="0000161E" w:rsidP="0020405C">
            <w:pPr>
              <w:keepNext/>
              <w:widowControl w:val="0"/>
              <w:spacing w:before="40" w:after="40"/>
              <w:rPr>
                <w:rFonts w:ascii="Calibri" w:hAnsi="Calibri" w:cs="Calibri"/>
              </w:rPr>
            </w:pPr>
            <w:r>
              <w:rPr>
                <w:rFonts w:ascii="Calibri" w:hAnsi="Calibri" w:cs="Calibri"/>
              </w:rPr>
              <w:t>p</w:t>
            </w:r>
            <w:r w:rsidR="00EC4C55" w:rsidRPr="00DC0F14">
              <w:rPr>
                <w:rFonts w:ascii="Calibri" w:hAnsi="Calibri" w:cs="Calibri"/>
              </w:rPr>
              <w:t>odprogram</w:t>
            </w:r>
          </w:p>
        </w:tc>
        <w:tc>
          <w:tcPr>
            <w:tcW w:w="6803" w:type="dxa"/>
            <w:vAlign w:val="center"/>
          </w:tcPr>
          <w:p w14:paraId="22EC78B0" w14:textId="6C50AAF6" w:rsidR="00C00E25" w:rsidRPr="00DC0F14" w:rsidRDefault="00E55D29" w:rsidP="0020405C">
            <w:pPr>
              <w:keepNext/>
              <w:widowControl w:val="0"/>
              <w:spacing w:before="40" w:after="40"/>
              <w:rPr>
                <w:rFonts w:ascii="Calibri" w:hAnsi="Calibri" w:cs="Calibri"/>
              </w:rPr>
            </w:pPr>
            <w:r>
              <w:rPr>
                <w:rFonts w:ascii="Calibri" w:hAnsi="Calibri" w:cs="Calibri"/>
              </w:rPr>
              <w:t>p</w:t>
            </w:r>
            <w:r w:rsidR="00EC4C55" w:rsidRPr="00DC0F14">
              <w:rPr>
                <w:rFonts w:ascii="Calibri" w:hAnsi="Calibri" w:cs="Calibri"/>
              </w:rPr>
              <w:t>odprogram 117D081</w:t>
            </w:r>
            <w:r>
              <w:rPr>
                <w:rFonts w:ascii="Calibri" w:hAnsi="Calibri" w:cs="Calibri"/>
              </w:rPr>
              <w:t> –</w:t>
            </w:r>
            <w:r w:rsidR="00EC4C55" w:rsidRPr="00DC0F14">
              <w:rPr>
                <w:rFonts w:ascii="Calibri" w:hAnsi="Calibri" w:cs="Calibri"/>
              </w:rPr>
              <w:t xml:space="preserve"> </w:t>
            </w:r>
            <w:r w:rsidR="00EC4C55" w:rsidRPr="00466BC7">
              <w:rPr>
                <w:rFonts w:ascii="Calibri" w:hAnsi="Calibri" w:cs="Calibri"/>
                <w:i/>
              </w:rPr>
              <w:t>Demolice budov v sociálně vyloučených lokalitách</w:t>
            </w:r>
          </w:p>
        </w:tc>
      </w:tr>
      <w:tr w:rsidR="006937DA" w:rsidRPr="00DC0F14" w14:paraId="0E891C9E" w14:textId="77777777" w:rsidTr="00DC0F14">
        <w:trPr>
          <w:trHeight w:val="283"/>
        </w:trPr>
        <w:tc>
          <w:tcPr>
            <w:tcW w:w="2268" w:type="dxa"/>
            <w:vAlign w:val="center"/>
          </w:tcPr>
          <w:p w14:paraId="4F9919B4" w14:textId="4A0FD040" w:rsidR="00C00E25" w:rsidRPr="00DC0F14" w:rsidRDefault="0000161E" w:rsidP="0020405C">
            <w:pPr>
              <w:keepNext/>
              <w:widowControl w:val="0"/>
              <w:spacing w:before="40" w:after="40"/>
              <w:rPr>
                <w:rFonts w:ascii="Calibri" w:hAnsi="Calibri" w:cs="Calibri"/>
              </w:rPr>
            </w:pPr>
            <w:r>
              <w:rPr>
                <w:rFonts w:ascii="Calibri" w:hAnsi="Calibri" w:cs="Calibri"/>
              </w:rPr>
              <w:t>p</w:t>
            </w:r>
            <w:r w:rsidR="00EC4C55" w:rsidRPr="00DC0F14">
              <w:rPr>
                <w:rFonts w:ascii="Calibri" w:hAnsi="Calibri" w:cs="Calibri"/>
              </w:rPr>
              <w:t>rogram RE:START</w:t>
            </w:r>
          </w:p>
        </w:tc>
        <w:tc>
          <w:tcPr>
            <w:tcW w:w="6803" w:type="dxa"/>
            <w:vAlign w:val="center"/>
          </w:tcPr>
          <w:p w14:paraId="3F7BE190" w14:textId="77777777" w:rsidR="00C00E25" w:rsidRPr="00466BC7" w:rsidRDefault="00EC4C55" w:rsidP="0020405C">
            <w:pPr>
              <w:keepNext/>
              <w:widowControl w:val="0"/>
              <w:spacing w:before="40" w:after="40"/>
              <w:rPr>
                <w:rFonts w:ascii="Calibri" w:hAnsi="Calibri" w:cs="Calibri"/>
                <w:i/>
              </w:rPr>
            </w:pPr>
            <w:r w:rsidRPr="00466BC7">
              <w:rPr>
                <w:rFonts w:ascii="Calibri" w:hAnsi="Calibri" w:cs="Calibri"/>
                <w:i/>
              </w:rPr>
              <w:t>Program hospodářské restrukturalizace Ústeckého, M</w:t>
            </w:r>
            <w:r w:rsidR="00DC0F14" w:rsidRPr="00466BC7">
              <w:rPr>
                <w:rFonts w:ascii="Calibri" w:hAnsi="Calibri" w:cs="Calibri"/>
                <w:i/>
              </w:rPr>
              <w:t>oravskoslezského a </w:t>
            </w:r>
            <w:r w:rsidRPr="00466BC7">
              <w:rPr>
                <w:rFonts w:ascii="Calibri" w:hAnsi="Calibri" w:cs="Calibri"/>
                <w:i/>
              </w:rPr>
              <w:t>Karlovarského kraje</w:t>
            </w:r>
          </w:p>
        </w:tc>
      </w:tr>
      <w:tr w:rsidR="006937DA" w:rsidRPr="00DC0F14" w14:paraId="2DE1C407" w14:textId="77777777" w:rsidTr="00DC0F14">
        <w:trPr>
          <w:trHeight w:val="283"/>
        </w:trPr>
        <w:tc>
          <w:tcPr>
            <w:tcW w:w="2268" w:type="dxa"/>
            <w:vAlign w:val="center"/>
          </w:tcPr>
          <w:p w14:paraId="3D1BA1EE" w14:textId="77777777" w:rsidR="00C00E25" w:rsidRPr="00DC0F14" w:rsidRDefault="00EC4C55" w:rsidP="0020405C">
            <w:pPr>
              <w:keepNext/>
              <w:widowControl w:val="0"/>
              <w:spacing w:before="40" w:after="40"/>
              <w:rPr>
                <w:rFonts w:ascii="Calibri" w:hAnsi="Calibri" w:cs="Calibri"/>
              </w:rPr>
            </w:pPr>
            <w:r w:rsidRPr="00DC0F14">
              <w:rPr>
                <w:rFonts w:ascii="Calibri" w:hAnsi="Calibri" w:cs="Calibri"/>
              </w:rPr>
              <w:t>SO ORP</w:t>
            </w:r>
          </w:p>
        </w:tc>
        <w:tc>
          <w:tcPr>
            <w:tcW w:w="6803" w:type="dxa"/>
            <w:vAlign w:val="center"/>
          </w:tcPr>
          <w:p w14:paraId="681FFAB4" w14:textId="68EB8295" w:rsidR="00C00E25" w:rsidRPr="00DC0F14" w:rsidRDefault="00E55D29" w:rsidP="0020405C">
            <w:pPr>
              <w:keepNext/>
              <w:widowControl w:val="0"/>
              <w:spacing w:before="40" w:after="40"/>
              <w:rPr>
                <w:rFonts w:ascii="Calibri" w:hAnsi="Calibri" w:cs="Calibri"/>
              </w:rPr>
            </w:pPr>
            <w:r>
              <w:rPr>
                <w:rFonts w:ascii="Calibri" w:hAnsi="Calibri" w:cs="Calibri"/>
              </w:rPr>
              <w:t>s</w:t>
            </w:r>
            <w:r w:rsidR="00EC4C55" w:rsidRPr="00DC0F14">
              <w:rPr>
                <w:rFonts w:ascii="Calibri" w:hAnsi="Calibri" w:cs="Calibri"/>
              </w:rPr>
              <w:t>právní obvod obce s rozšířenou působností</w:t>
            </w:r>
          </w:p>
        </w:tc>
      </w:tr>
      <w:tr w:rsidR="006937DA" w:rsidRPr="00DC0F14" w14:paraId="43D15117" w14:textId="77777777" w:rsidTr="00DC0F14">
        <w:trPr>
          <w:trHeight w:val="283"/>
        </w:trPr>
        <w:tc>
          <w:tcPr>
            <w:tcW w:w="2268" w:type="dxa"/>
            <w:vAlign w:val="center"/>
          </w:tcPr>
          <w:p w14:paraId="492A04F4" w14:textId="77777777" w:rsidR="00C00E25" w:rsidRPr="00DC0F14" w:rsidRDefault="00EC4C55" w:rsidP="0020405C">
            <w:pPr>
              <w:keepNext/>
              <w:widowControl w:val="0"/>
              <w:spacing w:before="40" w:after="40"/>
              <w:rPr>
                <w:rFonts w:ascii="Calibri" w:hAnsi="Calibri" w:cs="Calibri"/>
              </w:rPr>
            </w:pPr>
            <w:r w:rsidRPr="00DC0F14">
              <w:rPr>
                <w:rFonts w:ascii="Calibri" w:hAnsi="Calibri" w:cs="Calibri"/>
              </w:rPr>
              <w:t>SVL</w:t>
            </w:r>
          </w:p>
        </w:tc>
        <w:tc>
          <w:tcPr>
            <w:tcW w:w="6803" w:type="dxa"/>
            <w:vAlign w:val="center"/>
          </w:tcPr>
          <w:p w14:paraId="6C0CD842" w14:textId="7B8425AC" w:rsidR="00C00E25" w:rsidRPr="00DC0F14" w:rsidRDefault="00E55D29" w:rsidP="0020405C">
            <w:pPr>
              <w:keepNext/>
              <w:widowControl w:val="0"/>
              <w:spacing w:before="40" w:after="40"/>
              <w:rPr>
                <w:rFonts w:ascii="Calibri" w:hAnsi="Calibri" w:cs="Calibri"/>
              </w:rPr>
            </w:pPr>
            <w:r>
              <w:rPr>
                <w:rFonts w:ascii="Calibri" w:hAnsi="Calibri" w:cs="Calibri"/>
              </w:rPr>
              <w:t>s</w:t>
            </w:r>
            <w:r w:rsidR="00EC4C55" w:rsidRPr="00DC0F14">
              <w:rPr>
                <w:rFonts w:ascii="Calibri" w:hAnsi="Calibri" w:cs="Calibri"/>
              </w:rPr>
              <w:t>ociálně vyloučená</w:t>
            </w:r>
            <w:r w:rsidR="00270BD2">
              <w:rPr>
                <w:rFonts w:ascii="Calibri" w:hAnsi="Calibri" w:cs="Calibri"/>
              </w:rPr>
              <w:t>/é</w:t>
            </w:r>
            <w:r w:rsidR="00EC4C55" w:rsidRPr="00DC0F14">
              <w:rPr>
                <w:rFonts w:ascii="Calibri" w:hAnsi="Calibri" w:cs="Calibri"/>
              </w:rPr>
              <w:t xml:space="preserve"> lokalita/y</w:t>
            </w:r>
          </w:p>
        </w:tc>
      </w:tr>
      <w:tr w:rsidR="006937DA" w:rsidRPr="00DC0F14" w14:paraId="615A0461" w14:textId="77777777" w:rsidTr="00DC0F14">
        <w:trPr>
          <w:trHeight w:val="283"/>
        </w:trPr>
        <w:tc>
          <w:tcPr>
            <w:tcW w:w="2268" w:type="dxa"/>
            <w:vAlign w:val="center"/>
          </w:tcPr>
          <w:p w14:paraId="5020B599" w14:textId="40ED38FA" w:rsidR="00C00E25" w:rsidRPr="00DC0F14" w:rsidRDefault="0000161E" w:rsidP="0020405C">
            <w:pPr>
              <w:keepNext/>
              <w:widowControl w:val="0"/>
              <w:spacing w:before="40" w:after="40"/>
              <w:rPr>
                <w:rFonts w:ascii="Calibri" w:hAnsi="Calibri" w:cs="Calibri"/>
              </w:rPr>
            </w:pPr>
            <w:r>
              <w:rPr>
                <w:rFonts w:ascii="Calibri" w:hAnsi="Calibri" w:cs="Calibri"/>
              </w:rPr>
              <w:t>z</w:t>
            </w:r>
            <w:r w:rsidR="00EC4C55" w:rsidRPr="00DC0F14">
              <w:rPr>
                <w:rFonts w:ascii="Calibri" w:hAnsi="Calibri" w:cs="Calibri"/>
              </w:rPr>
              <w:t>ásady</w:t>
            </w:r>
          </w:p>
        </w:tc>
        <w:tc>
          <w:tcPr>
            <w:tcW w:w="6803" w:type="dxa"/>
            <w:vAlign w:val="center"/>
          </w:tcPr>
          <w:p w14:paraId="11E38B0C" w14:textId="6E566197" w:rsidR="00C00E25" w:rsidRPr="0088743D" w:rsidRDefault="0088743D" w:rsidP="0020405C">
            <w:pPr>
              <w:keepNext/>
              <w:widowControl w:val="0"/>
              <w:spacing w:before="40" w:after="40"/>
              <w:rPr>
                <w:rFonts w:ascii="Calibri" w:hAnsi="Calibri" w:cs="Calibri"/>
              </w:rPr>
            </w:pPr>
            <w:r>
              <w:rPr>
                <w:rFonts w:ascii="Calibri" w:hAnsi="Calibri" w:cs="Calibri"/>
              </w:rPr>
              <w:t>z</w:t>
            </w:r>
            <w:r w:rsidR="00EC4C55" w:rsidRPr="0088743D">
              <w:rPr>
                <w:rFonts w:ascii="Calibri" w:hAnsi="Calibri" w:cs="Calibri"/>
              </w:rPr>
              <w:t>ásady podprogramu pro poskytování dotací</w:t>
            </w:r>
          </w:p>
        </w:tc>
      </w:tr>
    </w:tbl>
    <w:p w14:paraId="5566DFD8" w14:textId="77777777" w:rsidR="009368EC" w:rsidRDefault="009368EC" w:rsidP="009368EC">
      <w:pPr>
        <w:widowControl w:val="0"/>
        <w:spacing w:after="0"/>
        <w:jc w:val="both"/>
        <w:rPr>
          <w:b/>
        </w:rPr>
      </w:pPr>
    </w:p>
    <w:p w14:paraId="66A63CCE" w14:textId="77777777" w:rsidR="009368EC" w:rsidRDefault="009368EC">
      <w:pPr>
        <w:spacing w:after="0"/>
        <w:rPr>
          <w:b/>
        </w:rPr>
      </w:pPr>
      <w:r>
        <w:rPr>
          <w:b/>
        </w:rPr>
        <w:br w:type="page"/>
      </w:r>
    </w:p>
    <w:p w14:paraId="127794CA" w14:textId="6CA742E8" w:rsidR="008537AC" w:rsidRDefault="00EC4C55" w:rsidP="00466BC7">
      <w:pPr>
        <w:widowControl w:val="0"/>
        <w:spacing w:after="0"/>
        <w:jc w:val="right"/>
        <w:rPr>
          <w:b/>
        </w:rPr>
      </w:pPr>
      <w:r w:rsidRPr="004C778A">
        <w:rPr>
          <w:b/>
        </w:rPr>
        <w:t xml:space="preserve">Příloha č. </w:t>
      </w:r>
      <w:r w:rsidRPr="004C778A">
        <w:rPr>
          <w:b/>
        </w:rPr>
        <w:fldChar w:fldCharType="begin"/>
      </w:r>
      <w:r w:rsidRPr="004C778A">
        <w:rPr>
          <w:b/>
        </w:rPr>
        <w:instrText xml:space="preserve"> SEQ Příloha_č. \* ARABIC </w:instrText>
      </w:r>
      <w:r w:rsidRPr="004C778A">
        <w:rPr>
          <w:b/>
        </w:rPr>
        <w:fldChar w:fldCharType="separate"/>
      </w:r>
      <w:r w:rsidR="00D22FA5">
        <w:rPr>
          <w:b/>
          <w:noProof/>
        </w:rPr>
        <w:t>1</w:t>
      </w:r>
      <w:r w:rsidRPr="004C778A">
        <w:rPr>
          <w:b/>
        </w:rPr>
        <w:fldChar w:fldCharType="end"/>
      </w:r>
    </w:p>
    <w:p w14:paraId="1093B6B8" w14:textId="77777777" w:rsidR="000B1E7D" w:rsidRDefault="00E55D29" w:rsidP="009368EC">
      <w:pPr>
        <w:widowControl w:val="0"/>
        <w:spacing w:after="0"/>
        <w:jc w:val="both"/>
        <w:rPr>
          <w:b/>
        </w:rPr>
      </w:pPr>
      <w:r>
        <w:rPr>
          <w:b/>
        </w:rPr>
        <w:t>Přehled</w:t>
      </w:r>
      <w:r w:rsidRPr="004C778A">
        <w:rPr>
          <w:b/>
        </w:rPr>
        <w:t xml:space="preserve"> kontrolovaných projektů</w:t>
      </w:r>
    </w:p>
    <w:p w14:paraId="0DD56034" w14:textId="77777777" w:rsidR="009368EC" w:rsidRDefault="009368EC" w:rsidP="009368EC">
      <w:pPr>
        <w:widowControl w:val="0"/>
        <w:rPr>
          <w:sz w:val="20"/>
        </w:rPr>
      </w:pPr>
    </w:p>
    <w:p w14:paraId="4DD85693" w14:textId="77777777" w:rsidR="000B1E7D" w:rsidRPr="009368EC" w:rsidRDefault="009368EC" w:rsidP="009368EC">
      <w:pPr>
        <w:spacing w:after="0"/>
        <w:rPr>
          <w:sz w:val="20"/>
          <w:szCs w:val="20"/>
        </w:rPr>
      </w:pPr>
      <w:r>
        <w:rPr>
          <w:b/>
          <w:sz w:val="20"/>
          <w:szCs w:val="20"/>
        </w:rPr>
        <w:t xml:space="preserve">Zdroj: </w:t>
      </w:r>
      <w:r w:rsidR="00E55D29">
        <w:rPr>
          <w:b/>
          <w:sz w:val="20"/>
          <w:szCs w:val="20"/>
        </w:rPr>
        <w:t xml:space="preserve">vypracoval </w:t>
      </w:r>
      <w:r>
        <w:rPr>
          <w:sz w:val="20"/>
          <w:szCs w:val="20"/>
        </w:rPr>
        <w:t>NKÚ.</w:t>
      </w:r>
    </w:p>
    <w:tbl>
      <w:tblPr>
        <w:tblpPr w:leftFromText="141" w:rightFromText="141" w:vertAnchor="page" w:horzAnchor="margin" w:tblpY="2542"/>
        <w:tblW w:w="909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70" w:type="dxa"/>
          <w:right w:w="70" w:type="dxa"/>
        </w:tblCellMar>
        <w:tblLook w:val="04A0" w:firstRow="1" w:lastRow="0" w:firstColumn="1" w:lastColumn="0" w:noHBand="0" w:noVBand="1"/>
      </w:tblPr>
      <w:tblGrid>
        <w:gridCol w:w="1415"/>
        <w:gridCol w:w="3685"/>
        <w:gridCol w:w="1394"/>
        <w:gridCol w:w="1441"/>
        <w:gridCol w:w="1140"/>
        <w:gridCol w:w="22"/>
      </w:tblGrid>
      <w:tr w:rsidR="00E55D29" w:rsidRPr="000B1E7D" w14:paraId="0454DF92" w14:textId="77777777" w:rsidTr="00270BD2">
        <w:trPr>
          <w:trHeight w:val="510"/>
        </w:trPr>
        <w:tc>
          <w:tcPr>
            <w:tcW w:w="1415" w:type="dxa"/>
            <w:shd w:val="clear" w:color="auto" w:fill="E5F1FF"/>
            <w:vAlign w:val="center"/>
            <w:hideMark/>
          </w:tcPr>
          <w:p w14:paraId="7F7E1B44" w14:textId="77777777" w:rsidR="009368EC" w:rsidRPr="000B1E7D" w:rsidRDefault="009368EC" w:rsidP="009368EC">
            <w:pPr>
              <w:widowControl w:val="0"/>
              <w:spacing w:after="0"/>
              <w:jc w:val="center"/>
              <w:rPr>
                <w:rFonts w:ascii="Calibri" w:hAnsi="Calibri" w:cs="Calibri"/>
                <w:b/>
                <w:bCs/>
                <w:color w:val="000000"/>
                <w:sz w:val="19"/>
                <w:szCs w:val="19"/>
              </w:rPr>
            </w:pPr>
            <w:r w:rsidRPr="000B1E7D">
              <w:rPr>
                <w:rFonts w:ascii="Calibri" w:hAnsi="Calibri" w:cs="Calibri"/>
                <w:b/>
                <w:bCs/>
                <w:color w:val="000000"/>
                <w:sz w:val="19"/>
                <w:szCs w:val="19"/>
              </w:rPr>
              <w:t>Číslo projektu</w:t>
            </w:r>
          </w:p>
        </w:tc>
        <w:tc>
          <w:tcPr>
            <w:tcW w:w="3685" w:type="dxa"/>
            <w:shd w:val="clear" w:color="auto" w:fill="E5F1FF"/>
            <w:vAlign w:val="center"/>
            <w:hideMark/>
          </w:tcPr>
          <w:p w14:paraId="23E9060D" w14:textId="77777777" w:rsidR="009368EC" w:rsidRPr="000B1E7D" w:rsidRDefault="009368EC" w:rsidP="009368EC">
            <w:pPr>
              <w:widowControl w:val="0"/>
              <w:spacing w:after="0"/>
              <w:jc w:val="center"/>
              <w:rPr>
                <w:rFonts w:ascii="Calibri" w:hAnsi="Calibri" w:cs="Calibri"/>
                <w:b/>
                <w:bCs/>
                <w:color w:val="000000"/>
                <w:sz w:val="19"/>
                <w:szCs w:val="19"/>
              </w:rPr>
            </w:pPr>
            <w:r w:rsidRPr="000B1E7D">
              <w:rPr>
                <w:rFonts w:ascii="Calibri" w:hAnsi="Calibri" w:cs="Calibri"/>
                <w:b/>
                <w:bCs/>
                <w:color w:val="000000"/>
                <w:sz w:val="19"/>
                <w:szCs w:val="19"/>
              </w:rPr>
              <w:t>Název projektu</w:t>
            </w:r>
          </w:p>
        </w:tc>
        <w:tc>
          <w:tcPr>
            <w:tcW w:w="1394" w:type="dxa"/>
            <w:shd w:val="clear" w:color="auto" w:fill="E5F1FF"/>
            <w:vAlign w:val="center"/>
            <w:hideMark/>
          </w:tcPr>
          <w:p w14:paraId="3D99EE6C" w14:textId="77777777" w:rsidR="009368EC" w:rsidRPr="000B1E7D" w:rsidRDefault="009368EC" w:rsidP="009368EC">
            <w:pPr>
              <w:widowControl w:val="0"/>
              <w:spacing w:after="0"/>
              <w:jc w:val="center"/>
              <w:rPr>
                <w:rFonts w:ascii="Calibri" w:hAnsi="Calibri" w:cs="Calibri"/>
                <w:b/>
                <w:bCs/>
                <w:color w:val="000000"/>
                <w:sz w:val="19"/>
                <w:szCs w:val="19"/>
              </w:rPr>
            </w:pPr>
            <w:r w:rsidRPr="000B1E7D">
              <w:rPr>
                <w:rFonts w:ascii="Calibri" w:hAnsi="Calibri" w:cs="Calibri"/>
                <w:b/>
                <w:bCs/>
                <w:color w:val="000000"/>
                <w:sz w:val="19"/>
                <w:szCs w:val="19"/>
              </w:rPr>
              <w:t>Kontrolovaná osoba</w:t>
            </w:r>
          </w:p>
        </w:tc>
        <w:tc>
          <w:tcPr>
            <w:tcW w:w="1441" w:type="dxa"/>
            <w:shd w:val="clear" w:color="auto" w:fill="E5F1FF"/>
            <w:vAlign w:val="center"/>
            <w:hideMark/>
          </w:tcPr>
          <w:p w14:paraId="555C8CEF" w14:textId="77777777" w:rsidR="009368EC" w:rsidRPr="000B1E7D" w:rsidRDefault="009368EC" w:rsidP="009368EC">
            <w:pPr>
              <w:widowControl w:val="0"/>
              <w:spacing w:after="0"/>
              <w:jc w:val="center"/>
              <w:rPr>
                <w:rFonts w:ascii="Calibri" w:hAnsi="Calibri" w:cs="Calibri"/>
                <w:b/>
                <w:bCs/>
                <w:color w:val="000000"/>
                <w:sz w:val="19"/>
                <w:szCs w:val="19"/>
              </w:rPr>
            </w:pPr>
            <w:r w:rsidRPr="000B1E7D">
              <w:rPr>
                <w:rFonts w:ascii="Calibri" w:hAnsi="Calibri" w:cs="Calibri"/>
                <w:b/>
                <w:bCs/>
                <w:color w:val="000000"/>
                <w:sz w:val="19"/>
                <w:szCs w:val="19"/>
              </w:rPr>
              <w:t>Kraj</w:t>
            </w:r>
          </w:p>
        </w:tc>
        <w:tc>
          <w:tcPr>
            <w:tcW w:w="1162" w:type="dxa"/>
            <w:gridSpan w:val="2"/>
            <w:shd w:val="clear" w:color="auto" w:fill="E5F1FF"/>
            <w:vAlign w:val="center"/>
            <w:hideMark/>
          </w:tcPr>
          <w:p w14:paraId="5A9795A6" w14:textId="1FE73018" w:rsidR="009368EC" w:rsidRPr="000B1E7D" w:rsidRDefault="009368EC" w:rsidP="009368EC">
            <w:pPr>
              <w:widowControl w:val="0"/>
              <w:spacing w:after="0"/>
              <w:jc w:val="center"/>
              <w:rPr>
                <w:rFonts w:ascii="Calibri" w:hAnsi="Calibri" w:cs="Calibri"/>
                <w:b/>
                <w:bCs/>
                <w:color w:val="000000"/>
                <w:sz w:val="19"/>
                <w:szCs w:val="19"/>
              </w:rPr>
            </w:pPr>
            <w:r w:rsidRPr="000B1E7D">
              <w:rPr>
                <w:rFonts w:ascii="Calibri" w:hAnsi="Calibri" w:cs="Calibri"/>
                <w:b/>
                <w:bCs/>
                <w:color w:val="000000"/>
                <w:sz w:val="19"/>
                <w:szCs w:val="19"/>
              </w:rPr>
              <w:t>Poskytnutá dotace (</w:t>
            </w:r>
            <w:r w:rsidR="00270BD2">
              <w:rPr>
                <w:rFonts w:ascii="Calibri" w:hAnsi="Calibri" w:cs="Calibri"/>
                <w:b/>
                <w:bCs/>
                <w:color w:val="000000"/>
                <w:sz w:val="19"/>
                <w:szCs w:val="19"/>
              </w:rPr>
              <w:t>v </w:t>
            </w:r>
            <w:r w:rsidRPr="000B1E7D">
              <w:rPr>
                <w:rFonts w:ascii="Calibri" w:hAnsi="Calibri" w:cs="Calibri"/>
                <w:b/>
                <w:bCs/>
                <w:color w:val="000000"/>
                <w:sz w:val="19"/>
                <w:szCs w:val="19"/>
              </w:rPr>
              <w:t>Kč)</w:t>
            </w:r>
          </w:p>
        </w:tc>
      </w:tr>
      <w:tr w:rsidR="00E55D29" w:rsidRPr="000B1E7D" w14:paraId="3E2BC7F9" w14:textId="77777777" w:rsidTr="00270BD2">
        <w:trPr>
          <w:trHeight w:val="510"/>
        </w:trPr>
        <w:tc>
          <w:tcPr>
            <w:tcW w:w="1415" w:type="dxa"/>
            <w:vAlign w:val="center"/>
            <w:hideMark/>
          </w:tcPr>
          <w:p w14:paraId="4711847C"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117D081000201</w:t>
            </w:r>
          </w:p>
        </w:tc>
        <w:tc>
          <w:tcPr>
            <w:tcW w:w="3685" w:type="dxa"/>
            <w:vAlign w:val="center"/>
            <w:hideMark/>
          </w:tcPr>
          <w:p w14:paraId="0614557A" w14:textId="77777777" w:rsidR="009368EC" w:rsidRPr="000B1E7D" w:rsidRDefault="009368EC" w:rsidP="009368EC">
            <w:pPr>
              <w:widowControl w:val="0"/>
              <w:spacing w:after="0"/>
              <w:rPr>
                <w:rFonts w:ascii="Calibri" w:hAnsi="Calibri" w:cs="Calibri"/>
                <w:color w:val="000000"/>
                <w:sz w:val="19"/>
                <w:szCs w:val="19"/>
              </w:rPr>
            </w:pPr>
            <w:r w:rsidRPr="000B1E7D">
              <w:rPr>
                <w:rFonts w:ascii="Calibri" w:hAnsi="Calibri" w:cs="Calibri"/>
                <w:color w:val="000000"/>
                <w:sz w:val="19"/>
                <w:szCs w:val="19"/>
              </w:rPr>
              <w:t>Odstranění bytového domu č. p. 239 na ulici Drátovenská, Bohumín</w:t>
            </w:r>
          </w:p>
        </w:tc>
        <w:tc>
          <w:tcPr>
            <w:tcW w:w="1394" w:type="dxa"/>
            <w:vAlign w:val="center"/>
            <w:hideMark/>
          </w:tcPr>
          <w:p w14:paraId="551FE749"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Město Bohumín</w:t>
            </w:r>
          </w:p>
        </w:tc>
        <w:tc>
          <w:tcPr>
            <w:tcW w:w="1441" w:type="dxa"/>
            <w:vAlign w:val="center"/>
            <w:hideMark/>
          </w:tcPr>
          <w:p w14:paraId="43F8BDAD"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Moravskoslezský</w:t>
            </w:r>
          </w:p>
        </w:tc>
        <w:tc>
          <w:tcPr>
            <w:tcW w:w="1162" w:type="dxa"/>
            <w:gridSpan w:val="2"/>
            <w:noWrap/>
            <w:vAlign w:val="center"/>
            <w:hideMark/>
          </w:tcPr>
          <w:p w14:paraId="38916DBD" w14:textId="77777777" w:rsidR="009368EC" w:rsidRPr="000B1E7D" w:rsidRDefault="009368EC" w:rsidP="009368EC">
            <w:pPr>
              <w:widowControl w:val="0"/>
              <w:spacing w:after="0"/>
              <w:jc w:val="right"/>
              <w:rPr>
                <w:rFonts w:ascii="Calibri" w:hAnsi="Calibri" w:cs="Calibri"/>
                <w:color w:val="000000"/>
                <w:sz w:val="19"/>
                <w:szCs w:val="19"/>
              </w:rPr>
            </w:pPr>
            <w:r w:rsidRPr="000B1E7D">
              <w:rPr>
                <w:rFonts w:ascii="Calibri" w:hAnsi="Calibri" w:cs="Calibri"/>
                <w:color w:val="000000"/>
                <w:sz w:val="19"/>
                <w:szCs w:val="19"/>
              </w:rPr>
              <w:t>954 859</w:t>
            </w:r>
          </w:p>
        </w:tc>
      </w:tr>
      <w:tr w:rsidR="00E55D29" w:rsidRPr="000B1E7D" w14:paraId="47BE16D8" w14:textId="77777777" w:rsidTr="00270BD2">
        <w:trPr>
          <w:trHeight w:val="255"/>
        </w:trPr>
        <w:tc>
          <w:tcPr>
            <w:tcW w:w="1415" w:type="dxa"/>
            <w:vAlign w:val="center"/>
            <w:hideMark/>
          </w:tcPr>
          <w:p w14:paraId="30A36CE8"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117D081000235</w:t>
            </w:r>
          </w:p>
        </w:tc>
        <w:tc>
          <w:tcPr>
            <w:tcW w:w="3685" w:type="dxa"/>
            <w:vAlign w:val="center"/>
            <w:hideMark/>
          </w:tcPr>
          <w:p w14:paraId="0895C4C5" w14:textId="77777777" w:rsidR="009368EC" w:rsidRPr="000B1E7D" w:rsidRDefault="009368EC" w:rsidP="009368EC">
            <w:pPr>
              <w:widowControl w:val="0"/>
              <w:spacing w:after="0"/>
              <w:rPr>
                <w:rFonts w:ascii="Calibri" w:hAnsi="Calibri" w:cs="Calibri"/>
                <w:color w:val="000000"/>
                <w:sz w:val="19"/>
                <w:szCs w:val="19"/>
              </w:rPr>
            </w:pPr>
            <w:r w:rsidRPr="000B1E7D">
              <w:rPr>
                <w:rFonts w:ascii="Calibri" w:hAnsi="Calibri" w:cs="Calibri"/>
                <w:color w:val="000000"/>
                <w:sz w:val="19"/>
                <w:szCs w:val="19"/>
              </w:rPr>
              <w:t>Demolice objektu č.</w:t>
            </w:r>
            <w:r w:rsidR="00E55D29">
              <w:rPr>
                <w:rFonts w:ascii="Calibri" w:hAnsi="Calibri" w:cs="Calibri"/>
                <w:color w:val="000000"/>
                <w:sz w:val="19"/>
                <w:szCs w:val="19"/>
              </w:rPr>
              <w:t> </w:t>
            </w:r>
            <w:r w:rsidRPr="000B1E7D">
              <w:rPr>
                <w:rFonts w:ascii="Calibri" w:hAnsi="Calibri" w:cs="Calibri"/>
                <w:color w:val="000000"/>
                <w:sz w:val="19"/>
                <w:szCs w:val="19"/>
              </w:rPr>
              <w:t>p. 1082 v Čáslavi</w:t>
            </w:r>
          </w:p>
        </w:tc>
        <w:tc>
          <w:tcPr>
            <w:tcW w:w="1394" w:type="dxa"/>
            <w:vAlign w:val="center"/>
            <w:hideMark/>
          </w:tcPr>
          <w:p w14:paraId="74AA6DCA"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Město Čáslav</w:t>
            </w:r>
          </w:p>
        </w:tc>
        <w:tc>
          <w:tcPr>
            <w:tcW w:w="1441" w:type="dxa"/>
            <w:vAlign w:val="center"/>
            <w:hideMark/>
          </w:tcPr>
          <w:p w14:paraId="4942CF60"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Středočeský</w:t>
            </w:r>
          </w:p>
        </w:tc>
        <w:tc>
          <w:tcPr>
            <w:tcW w:w="1162" w:type="dxa"/>
            <w:gridSpan w:val="2"/>
            <w:noWrap/>
            <w:vAlign w:val="center"/>
            <w:hideMark/>
          </w:tcPr>
          <w:p w14:paraId="231A6C6B" w14:textId="77777777" w:rsidR="009368EC" w:rsidRPr="000B1E7D" w:rsidRDefault="009368EC" w:rsidP="009368EC">
            <w:pPr>
              <w:widowControl w:val="0"/>
              <w:spacing w:after="0"/>
              <w:jc w:val="right"/>
              <w:rPr>
                <w:rFonts w:ascii="Calibri" w:hAnsi="Calibri" w:cs="Calibri"/>
                <w:color w:val="000000"/>
                <w:sz w:val="19"/>
                <w:szCs w:val="19"/>
              </w:rPr>
            </w:pPr>
            <w:r w:rsidRPr="000B1E7D">
              <w:rPr>
                <w:rFonts w:ascii="Calibri" w:hAnsi="Calibri" w:cs="Calibri"/>
                <w:color w:val="000000"/>
                <w:sz w:val="19"/>
                <w:szCs w:val="19"/>
              </w:rPr>
              <w:t>1 489 811</w:t>
            </w:r>
          </w:p>
        </w:tc>
      </w:tr>
      <w:tr w:rsidR="00E55D29" w:rsidRPr="000B1E7D" w14:paraId="276317CE" w14:textId="77777777" w:rsidTr="00270BD2">
        <w:trPr>
          <w:trHeight w:val="255"/>
        </w:trPr>
        <w:tc>
          <w:tcPr>
            <w:tcW w:w="1415" w:type="dxa"/>
            <w:vAlign w:val="center"/>
            <w:hideMark/>
          </w:tcPr>
          <w:p w14:paraId="627F2B5E"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117D081000206</w:t>
            </w:r>
          </w:p>
        </w:tc>
        <w:tc>
          <w:tcPr>
            <w:tcW w:w="3685" w:type="dxa"/>
            <w:vAlign w:val="center"/>
            <w:hideMark/>
          </w:tcPr>
          <w:p w14:paraId="43AF9941" w14:textId="30068036" w:rsidR="009368EC" w:rsidRPr="000B1E7D" w:rsidRDefault="009368EC" w:rsidP="00E55D29">
            <w:pPr>
              <w:widowControl w:val="0"/>
              <w:spacing w:after="0"/>
              <w:rPr>
                <w:rFonts w:ascii="Calibri" w:hAnsi="Calibri" w:cs="Calibri"/>
                <w:color w:val="000000"/>
                <w:sz w:val="19"/>
                <w:szCs w:val="19"/>
              </w:rPr>
            </w:pPr>
            <w:r w:rsidRPr="000B1E7D">
              <w:rPr>
                <w:rFonts w:ascii="Calibri" w:hAnsi="Calibri" w:cs="Calibri"/>
                <w:color w:val="000000"/>
                <w:sz w:val="19"/>
                <w:szCs w:val="19"/>
              </w:rPr>
              <w:t xml:space="preserve">Duchcov </w:t>
            </w:r>
            <w:r w:rsidR="00E55D29">
              <w:rPr>
                <w:rFonts w:ascii="Calibri" w:hAnsi="Calibri" w:cs="Calibri"/>
                <w:color w:val="000000"/>
                <w:sz w:val="19"/>
                <w:szCs w:val="19"/>
              </w:rPr>
              <w:t>–</w:t>
            </w:r>
            <w:r w:rsidRPr="000B1E7D">
              <w:rPr>
                <w:rFonts w:ascii="Calibri" w:hAnsi="Calibri" w:cs="Calibri"/>
                <w:color w:val="000000"/>
                <w:sz w:val="19"/>
                <w:szCs w:val="19"/>
              </w:rPr>
              <w:t xml:space="preserve"> demolice budovy nádraží</w:t>
            </w:r>
          </w:p>
        </w:tc>
        <w:tc>
          <w:tcPr>
            <w:tcW w:w="1394" w:type="dxa"/>
            <w:vAlign w:val="center"/>
            <w:hideMark/>
          </w:tcPr>
          <w:p w14:paraId="42971FDD"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Město Duchcov</w:t>
            </w:r>
          </w:p>
        </w:tc>
        <w:tc>
          <w:tcPr>
            <w:tcW w:w="1441" w:type="dxa"/>
            <w:vAlign w:val="center"/>
            <w:hideMark/>
          </w:tcPr>
          <w:p w14:paraId="3AAE458A"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Ústecký</w:t>
            </w:r>
          </w:p>
        </w:tc>
        <w:tc>
          <w:tcPr>
            <w:tcW w:w="1162" w:type="dxa"/>
            <w:gridSpan w:val="2"/>
            <w:noWrap/>
            <w:vAlign w:val="center"/>
            <w:hideMark/>
          </w:tcPr>
          <w:p w14:paraId="4AAE9A52" w14:textId="77777777" w:rsidR="009368EC" w:rsidRPr="000B1E7D" w:rsidRDefault="009368EC" w:rsidP="009368EC">
            <w:pPr>
              <w:widowControl w:val="0"/>
              <w:spacing w:after="0"/>
              <w:jc w:val="right"/>
              <w:rPr>
                <w:rFonts w:ascii="Calibri" w:hAnsi="Calibri" w:cs="Calibri"/>
                <w:color w:val="000000"/>
                <w:sz w:val="19"/>
                <w:szCs w:val="19"/>
              </w:rPr>
            </w:pPr>
            <w:r w:rsidRPr="000B1E7D">
              <w:rPr>
                <w:rFonts w:ascii="Calibri" w:hAnsi="Calibri" w:cs="Calibri"/>
                <w:color w:val="000000"/>
                <w:sz w:val="19"/>
                <w:szCs w:val="19"/>
              </w:rPr>
              <w:t>1 376 742</w:t>
            </w:r>
          </w:p>
        </w:tc>
      </w:tr>
      <w:tr w:rsidR="00E55D29" w:rsidRPr="000B1E7D" w14:paraId="0011B974" w14:textId="77777777" w:rsidTr="00270BD2">
        <w:trPr>
          <w:trHeight w:val="510"/>
        </w:trPr>
        <w:tc>
          <w:tcPr>
            <w:tcW w:w="1415" w:type="dxa"/>
            <w:vAlign w:val="center"/>
            <w:hideMark/>
          </w:tcPr>
          <w:p w14:paraId="1F94EF69"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117D081000002</w:t>
            </w:r>
          </w:p>
        </w:tc>
        <w:tc>
          <w:tcPr>
            <w:tcW w:w="3685" w:type="dxa"/>
            <w:vAlign w:val="center"/>
            <w:hideMark/>
          </w:tcPr>
          <w:p w14:paraId="2FB1641D" w14:textId="77777777" w:rsidR="009368EC" w:rsidRPr="000B1E7D" w:rsidRDefault="009368EC" w:rsidP="009368EC">
            <w:pPr>
              <w:widowControl w:val="0"/>
              <w:spacing w:after="0"/>
              <w:rPr>
                <w:rFonts w:ascii="Calibri" w:hAnsi="Calibri" w:cs="Calibri"/>
                <w:color w:val="000000"/>
                <w:sz w:val="19"/>
                <w:szCs w:val="19"/>
              </w:rPr>
            </w:pPr>
            <w:r w:rsidRPr="000B1E7D">
              <w:rPr>
                <w:rFonts w:ascii="Calibri" w:hAnsi="Calibri" w:cs="Calibri"/>
                <w:color w:val="000000"/>
                <w:sz w:val="19"/>
                <w:szCs w:val="19"/>
              </w:rPr>
              <w:t>Demolice objektu Hotelu Praha, Palackého nám. 2, Kralupy nad Vltavou</w:t>
            </w:r>
          </w:p>
        </w:tc>
        <w:tc>
          <w:tcPr>
            <w:tcW w:w="1394" w:type="dxa"/>
            <w:vAlign w:val="center"/>
            <w:hideMark/>
          </w:tcPr>
          <w:p w14:paraId="435A85A0"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Město Kralupy nad Vltavou</w:t>
            </w:r>
          </w:p>
        </w:tc>
        <w:tc>
          <w:tcPr>
            <w:tcW w:w="1441" w:type="dxa"/>
            <w:vAlign w:val="center"/>
            <w:hideMark/>
          </w:tcPr>
          <w:p w14:paraId="02C523D8"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Středočeský</w:t>
            </w:r>
          </w:p>
        </w:tc>
        <w:tc>
          <w:tcPr>
            <w:tcW w:w="1162" w:type="dxa"/>
            <w:gridSpan w:val="2"/>
            <w:noWrap/>
            <w:vAlign w:val="center"/>
            <w:hideMark/>
          </w:tcPr>
          <w:p w14:paraId="5FFCCB57" w14:textId="77777777" w:rsidR="009368EC" w:rsidRPr="000B1E7D" w:rsidRDefault="009368EC" w:rsidP="009368EC">
            <w:pPr>
              <w:widowControl w:val="0"/>
              <w:spacing w:after="0"/>
              <w:jc w:val="right"/>
              <w:rPr>
                <w:rFonts w:ascii="Calibri" w:hAnsi="Calibri" w:cs="Calibri"/>
                <w:color w:val="000000"/>
                <w:sz w:val="19"/>
                <w:szCs w:val="19"/>
              </w:rPr>
            </w:pPr>
            <w:r w:rsidRPr="000B1E7D">
              <w:rPr>
                <w:rFonts w:ascii="Calibri" w:hAnsi="Calibri" w:cs="Calibri"/>
                <w:color w:val="000000"/>
                <w:sz w:val="19"/>
                <w:szCs w:val="19"/>
              </w:rPr>
              <w:t>1 768 502</w:t>
            </w:r>
          </w:p>
        </w:tc>
      </w:tr>
      <w:tr w:rsidR="00E55D29" w:rsidRPr="000B1E7D" w14:paraId="038835FB" w14:textId="77777777" w:rsidTr="00270BD2">
        <w:trPr>
          <w:trHeight w:val="510"/>
        </w:trPr>
        <w:tc>
          <w:tcPr>
            <w:tcW w:w="1415" w:type="dxa"/>
            <w:vAlign w:val="center"/>
            <w:hideMark/>
          </w:tcPr>
          <w:p w14:paraId="43045063"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117D081000106</w:t>
            </w:r>
          </w:p>
        </w:tc>
        <w:tc>
          <w:tcPr>
            <w:tcW w:w="3685" w:type="dxa"/>
            <w:vAlign w:val="center"/>
            <w:hideMark/>
          </w:tcPr>
          <w:p w14:paraId="178CB71E" w14:textId="77777777" w:rsidR="009368EC" w:rsidRPr="000B1E7D" w:rsidRDefault="009368EC" w:rsidP="009368EC">
            <w:pPr>
              <w:widowControl w:val="0"/>
              <w:spacing w:after="0"/>
              <w:rPr>
                <w:rFonts w:ascii="Calibri" w:hAnsi="Calibri" w:cs="Calibri"/>
                <w:color w:val="000000"/>
                <w:sz w:val="19"/>
                <w:szCs w:val="19"/>
              </w:rPr>
            </w:pPr>
            <w:r w:rsidRPr="000B1E7D">
              <w:rPr>
                <w:rFonts w:ascii="Calibri" w:hAnsi="Calibri" w:cs="Calibri"/>
                <w:color w:val="000000"/>
                <w:sz w:val="19"/>
                <w:szCs w:val="19"/>
              </w:rPr>
              <w:t>Demolice bytových domů čp. 80 a čp. 24 v</w:t>
            </w:r>
            <w:r>
              <w:rPr>
                <w:rFonts w:ascii="Calibri" w:hAnsi="Calibri" w:cs="Calibri"/>
                <w:color w:val="000000"/>
                <w:sz w:val="19"/>
                <w:szCs w:val="19"/>
              </w:rPr>
              <w:t> </w:t>
            </w:r>
            <w:r w:rsidRPr="000B1E7D">
              <w:rPr>
                <w:rFonts w:ascii="Calibri" w:hAnsi="Calibri" w:cs="Calibri"/>
                <w:color w:val="000000"/>
                <w:sz w:val="19"/>
                <w:szCs w:val="19"/>
              </w:rPr>
              <w:t>Kralupech nad Vltavou</w:t>
            </w:r>
          </w:p>
        </w:tc>
        <w:tc>
          <w:tcPr>
            <w:tcW w:w="1394" w:type="dxa"/>
            <w:vAlign w:val="center"/>
            <w:hideMark/>
          </w:tcPr>
          <w:p w14:paraId="0C59B026"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Město Kralupy nad Vltavou</w:t>
            </w:r>
          </w:p>
        </w:tc>
        <w:tc>
          <w:tcPr>
            <w:tcW w:w="1441" w:type="dxa"/>
            <w:vAlign w:val="center"/>
            <w:hideMark/>
          </w:tcPr>
          <w:p w14:paraId="67C768C2"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 xml:space="preserve">Středočeský  </w:t>
            </w:r>
          </w:p>
        </w:tc>
        <w:tc>
          <w:tcPr>
            <w:tcW w:w="1162" w:type="dxa"/>
            <w:gridSpan w:val="2"/>
            <w:noWrap/>
            <w:vAlign w:val="center"/>
            <w:hideMark/>
          </w:tcPr>
          <w:p w14:paraId="680ADB34" w14:textId="77777777" w:rsidR="009368EC" w:rsidRPr="000B1E7D" w:rsidRDefault="009368EC" w:rsidP="009368EC">
            <w:pPr>
              <w:widowControl w:val="0"/>
              <w:spacing w:after="0"/>
              <w:jc w:val="right"/>
              <w:rPr>
                <w:rFonts w:ascii="Calibri" w:hAnsi="Calibri" w:cs="Calibri"/>
                <w:color w:val="000000"/>
                <w:sz w:val="19"/>
                <w:szCs w:val="19"/>
              </w:rPr>
            </w:pPr>
            <w:r w:rsidRPr="000B1E7D">
              <w:rPr>
                <w:rFonts w:ascii="Calibri" w:hAnsi="Calibri" w:cs="Calibri"/>
                <w:color w:val="000000"/>
                <w:sz w:val="19"/>
                <w:szCs w:val="19"/>
              </w:rPr>
              <w:t>1 193 431</w:t>
            </w:r>
          </w:p>
        </w:tc>
      </w:tr>
      <w:tr w:rsidR="00E55D29" w:rsidRPr="000B1E7D" w14:paraId="7EBD8A23" w14:textId="77777777" w:rsidTr="00270BD2">
        <w:trPr>
          <w:trHeight w:val="510"/>
        </w:trPr>
        <w:tc>
          <w:tcPr>
            <w:tcW w:w="1415" w:type="dxa"/>
            <w:vAlign w:val="center"/>
            <w:hideMark/>
          </w:tcPr>
          <w:p w14:paraId="1B8B9ABA"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117D081000114</w:t>
            </w:r>
          </w:p>
        </w:tc>
        <w:tc>
          <w:tcPr>
            <w:tcW w:w="3685" w:type="dxa"/>
            <w:vAlign w:val="center"/>
            <w:hideMark/>
          </w:tcPr>
          <w:p w14:paraId="55BBA26B" w14:textId="77777777" w:rsidR="009368EC" w:rsidRPr="000B1E7D" w:rsidRDefault="009368EC" w:rsidP="009368EC">
            <w:pPr>
              <w:widowControl w:val="0"/>
              <w:spacing w:after="0"/>
              <w:rPr>
                <w:rFonts w:ascii="Calibri" w:hAnsi="Calibri" w:cs="Calibri"/>
                <w:color w:val="000000"/>
                <w:sz w:val="19"/>
                <w:szCs w:val="19"/>
              </w:rPr>
            </w:pPr>
            <w:r w:rsidRPr="000B1E7D">
              <w:rPr>
                <w:rFonts w:ascii="Calibri" w:hAnsi="Calibri" w:cs="Calibri"/>
                <w:color w:val="000000"/>
                <w:sz w:val="19"/>
                <w:szCs w:val="19"/>
              </w:rPr>
              <w:t>Demolice budov čp. 28 a 27 ve městě Lázně Bělohrad</w:t>
            </w:r>
          </w:p>
        </w:tc>
        <w:tc>
          <w:tcPr>
            <w:tcW w:w="1394" w:type="dxa"/>
            <w:vAlign w:val="center"/>
            <w:hideMark/>
          </w:tcPr>
          <w:p w14:paraId="1A52BC57"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Město Lázně Bělohrad</w:t>
            </w:r>
          </w:p>
        </w:tc>
        <w:tc>
          <w:tcPr>
            <w:tcW w:w="1441" w:type="dxa"/>
            <w:vAlign w:val="center"/>
            <w:hideMark/>
          </w:tcPr>
          <w:p w14:paraId="7310046F"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Královéhradecký</w:t>
            </w:r>
          </w:p>
        </w:tc>
        <w:tc>
          <w:tcPr>
            <w:tcW w:w="1162" w:type="dxa"/>
            <w:gridSpan w:val="2"/>
            <w:noWrap/>
            <w:vAlign w:val="center"/>
            <w:hideMark/>
          </w:tcPr>
          <w:p w14:paraId="48870452" w14:textId="77777777" w:rsidR="009368EC" w:rsidRPr="000B1E7D" w:rsidRDefault="009368EC" w:rsidP="009368EC">
            <w:pPr>
              <w:widowControl w:val="0"/>
              <w:spacing w:after="0"/>
              <w:jc w:val="right"/>
              <w:rPr>
                <w:rFonts w:ascii="Calibri" w:hAnsi="Calibri" w:cs="Calibri"/>
                <w:color w:val="000000"/>
                <w:sz w:val="19"/>
                <w:szCs w:val="19"/>
              </w:rPr>
            </w:pPr>
            <w:r w:rsidRPr="000B1E7D">
              <w:rPr>
                <w:rFonts w:ascii="Calibri" w:hAnsi="Calibri" w:cs="Calibri"/>
                <w:color w:val="000000"/>
                <w:sz w:val="19"/>
                <w:szCs w:val="19"/>
              </w:rPr>
              <w:t>1 451 654</w:t>
            </w:r>
          </w:p>
        </w:tc>
      </w:tr>
      <w:tr w:rsidR="00E55D29" w:rsidRPr="000B1E7D" w14:paraId="2CD939E8" w14:textId="77777777" w:rsidTr="00270BD2">
        <w:trPr>
          <w:trHeight w:val="255"/>
        </w:trPr>
        <w:tc>
          <w:tcPr>
            <w:tcW w:w="1415" w:type="dxa"/>
            <w:vAlign w:val="center"/>
            <w:hideMark/>
          </w:tcPr>
          <w:p w14:paraId="48696470"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117D081000015</w:t>
            </w:r>
          </w:p>
        </w:tc>
        <w:tc>
          <w:tcPr>
            <w:tcW w:w="3685" w:type="dxa"/>
            <w:vAlign w:val="center"/>
            <w:hideMark/>
          </w:tcPr>
          <w:p w14:paraId="0E3F031E" w14:textId="77777777" w:rsidR="009368EC" w:rsidRPr="000B1E7D" w:rsidRDefault="009368EC" w:rsidP="009368EC">
            <w:pPr>
              <w:widowControl w:val="0"/>
              <w:spacing w:after="0"/>
              <w:rPr>
                <w:rFonts w:ascii="Calibri" w:hAnsi="Calibri" w:cs="Calibri"/>
                <w:color w:val="000000"/>
                <w:sz w:val="19"/>
                <w:szCs w:val="19"/>
              </w:rPr>
            </w:pPr>
            <w:r w:rsidRPr="000B1E7D">
              <w:rPr>
                <w:rFonts w:ascii="Calibri" w:hAnsi="Calibri" w:cs="Calibri"/>
                <w:color w:val="000000"/>
                <w:sz w:val="19"/>
                <w:szCs w:val="19"/>
              </w:rPr>
              <w:t>Demolice 6 budov bývalých ubytoven Bílý sloup</w:t>
            </w:r>
          </w:p>
        </w:tc>
        <w:tc>
          <w:tcPr>
            <w:tcW w:w="1394" w:type="dxa"/>
            <w:vAlign w:val="center"/>
            <w:hideMark/>
          </w:tcPr>
          <w:p w14:paraId="226754FD"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Město Litvínov</w:t>
            </w:r>
          </w:p>
        </w:tc>
        <w:tc>
          <w:tcPr>
            <w:tcW w:w="1441" w:type="dxa"/>
            <w:vAlign w:val="center"/>
            <w:hideMark/>
          </w:tcPr>
          <w:p w14:paraId="71344580"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Ústecký</w:t>
            </w:r>
          </w:p>
        </w:tc>
        <w:tc>
          <w:tcPr>
            <w:tcW w:w="1162" w:type="dxa"/>
            <w:gridSpan w:val="2"/>
            <w:noWrap/>
            <w:vAlign w:val="center"/>
            <w:hideMark/>
          </w:tcPr>
          <w:p w14:paraId="7D5B264C" w14:textId="77777777" w:rsidR="009368EC" w:rsidRPr="000B1E7D" w:rsidRDefault="009368EC" w:rsidP="009368EC">
            <w:pPr>
              <w:widowControl w:val="0"/>
              <w:spacing w:after="0"/>
              <w:jc w:val="right"/>
              <w:rPr>
                <w:rFonts w:ascii="Calibri" w:hAnsi="Calibri" w:cs="Calibri"/>
                <w:color w:val="000000"/>
                <w:sz w:val="19"/>
                <w:szCs w:val="19"/>
              </w:rPr>
            </w:pPr>
            <w:r w:rsidRPr="000B1E7D">
              <w:rPr>
                <w:rFonts w:ascii="Calibri" w:hAnsi="Calibri" w:cs="Calibri"/>
                <w:color w:val="000000"/>
                <w:sz w:val="19"/>
                <w:szCs w:val="19"/>
              </w:rPr>
              <w:t>2 601 016</w:t>
            </w:r>
          </w:p>
        </w:tc>
      </w:tr>
      <w:tr w:rsidR="00E55D29" w:rsidRPr="000B1E7D" w14:paraId="5BB93925" w14:textId="77777777" w:rsidTr="00270BD2">
        <w:trPr>
          <w:trHeight w:val="510"/>
        </w:trPr>
        <w:tc>
          <w:tcPr>
            <w:tcW w:w="1415" w:type="dxa"/>
            <w:vAlign w:val="center"/>
            <w:hideMark/>
          </w:tcPr>
          <w:p w14:paraId="248F3C58"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117D081000131</w:t>
            </w:r>
          </w:p>
        </w:tc>
        <w:tc>
          <w:tcPr>
            <w:tcW w:w="3685" w:type="dxa"/>
            <w:vAlign w:val="center"/>
            <w:hideMark/>
          </w:tcPr>
          <w:p w14:paraId="260AC540" w14:textId="77777777" w:rsidR="009368EC" w:rsidRPr="000B1E7D" w:rsidRDefault="009368EC" w:rsidP="009368EC">
            <w:pPr>
              <w:widowControl w:val="0"/>
              <w:spacing w:after="0"/>
              <w:rPr>
                <w:rFonts w:ascii="Calibri" w:hAnsi="Calibri" w:cs="Calibri"/>
                <w:color w:val="000000"/>
                <w:sz w:val="19"/>
                <w:szCs w:val="19"/>
              </w:rPr>
            </w:pPr>
            <w:r w:rsidRPr="000B1E7D">
              <w:rPr>
                <w:rFonts w:ascii="Calibri" w:hAnsi="Calibri" w:cs="Calibri"/>
                <w:color w:val="000000"/>
                <w:sz w:val="19"/>
                <w:szCs w:val="19"/>
              </w:rPr>
              <w:t>Demolice bytového domu čp. 205 v</w:t>
            </w:r>
            <w:r>
              <w:rPr>
                <w:rFonts w:ascii="Calibri" w:hAnsi="Calibri" w:cs="Calibri"/>
                <w:color w:val="000000"/>
                <w:sz w:val="19"/>
                <w:szCs w:val="19"/>
              </w:rPr>
              <w:t> </w:t>
            </w:r>
            <w:r w:rsidRPr="000B1E7D">
              <w:rPr>
                <w:rFonts w:ascii="Calibri" w:hAnsi="Calibri" w:cs="Calibri"/>
                <w:color w:val="000000"/>
                <w:sz w:val="19"/>
                <w:szCs w:val="19"/>
              </w:rPr>
              <w:t>ul.</w:t>
            </w:r>
            <w:r>
              <w:rPr>
                <w:rFonts w:ascii="Calibri" w:hAnsi="Calibri" w:cs="Calibri"/>
                <w:color w:val="000000"/>
                <w:sz w:val="19"/>
                <w:szCs w:val="19"/>
              </w:rPr>
              <w:t> </w:t>
            </w:r>
            <w:r w:rsidRPr="000B1E7D">
              <w:rPr>
                <w:rFonts w:ascii="Calibri" w:hAnsi="Calibri" w:cs="Calibri"/>
                <w:color w:val="000000"/>
                <w:sz w:val="19"/>
                <w:szCs w:val="19"/>
              </w:rPr>
              <w:t>Osecká v Lomu</w:t>
            </w:r>
          </w:p>
        </w:tc>
        <w:tc>
          <w:tcPr>
            <w:tcW w:w="1394" w:type="dxa"/>
            <w:vAlign w:val="center"/>
            <w:hideMark/>
          </w:tcPr>
          <w:p w14:paraId="063DF475"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Město Lom</w:t>
            </w:r>
          </w:p>
        </w:tc>
        <w:tc>
          <w:tcPr>
            <w:tcW w:w="1441" w:type="dxa"/>
            <w:vAlign w:val="center"/>
            <w:hideMark/>
          </w:tcPr>
          <w:p w14:paraId="11D7D591"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Ústecký</w:t>
            </w:r>
          </w:p>
        </w:tc>
        <w:tc>
          <w:tcPr>
            <w:tcW w:w="1162" w:type="dxa"/>
            <w:gridSpan w:val="2"/>
            <w:noWrap/>
            <w:vAlign w:val="center"/>
            <w:hideMark/>
          </w:tcPr>
          <w:p w14:paraId="2028E3D6" w14:textId="77777777" w:rsidR="009368EC" w:rsidRPr="000B1E7D" w:rsidRDefault="009368EC" w:rsidP="009368EC">
            <w:pPr>
              <w:widowControl w:val="0"/>
              <w:spacing w:after="0"/>
              <w:jc w:val="right"/>
              <w:rPr>
                <w:rFonts w:ascii="Calibri" w:hAnsi="Calibri" w:cs="Calibri"/>
                <w:color w:val="000000"/>
                <w:sz w:val="19"/>
                <w:szCs w:val="19"/>
              </w:rPr>
            </w:pPr>
            <w:r w:rsidRPr="000B1E7D">
              <w:rPr>
                <w:rFonts w:ascii="Calibri" w:hAnsi="Calibri" w:cs="Calibri"/>
                <w:color w:val="000000"/>
                <w:sz w:val="19"/>
                <w:szCs w:val="19"/>
              </w:rPr>
              <w:t>5 000 000</w:t>
            </w:r>
          </w:p>
        </w:tc>
      </w:tr>
      <w:tr w:rsidR="00E55D29" w:rsidRPr="000B1E7D" w14:paraId="42E30D46" w14:textId="77777777" w:rsidTr="00270BD2">
        <w:trPr>
          <w:trHeight w:val="510"/>
        </w:trPr>
        <w:tc>
          <w:tcPr>
            <w:tcW w:w="1415" w:type="dxa"/>
            <w:vAlign w:val="center"/>
            <w:hideMark/>
          </w:tcPr>
          <w:p w14:paraId="6BD22751"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117D081000018</w:t>
            </w:r>
          </w:p>
        </w:tc>
        <w:tc>
          <w:tcPr>
            <w:tcW w:w="3685" w:type="dxa"/>
            <w:vAlign w:val="center"/>
            <w:hideMark/>
          </w:tcPr>
          <w:p w14:paraId="783B3753" w14:textId="77777777" w:rsidR="009368EC" w:rsidRPr="000B1E7D" w:rsidRDefault="009368EC" w:rsidP="009368EC">
            <w:pPr>
              <w:widowControl w:val="0"/>
              <w:spacing w:after="0"/>
              <w:rPr>
                <w:rFonts w:ascii="Calibri" w:hAnsi="Calibri" w:cs="Calibri"/>
                <w:color w:val="000000"/>
                <w:sz w:val="19"/>
                <w:szCs w:val="19"/>
              </w:rPr>
            </w:pPr>
            <w:r w:rsidRPr="000B1E7D">
              <w:rPr>
                <w:rFonts w:ascii="Calibri" w:hAnsi="Calibri" w:cs="Calibri"/>
                <w:color w:val="000000"/>
                <w:sz w:val="19"/>
                <w:szCs w:val="19"/>
              </w:rPr>
              <w:t>Demolice objektu na p.č. 5 v</w:t>
            </w:r>
            <w:r>
              <w:rPr>
                <w:rFonts w:ascii="Calibri" w:hAnsi="Calibri" w:cs="Calibri"/>
                <w:color w:val="000000"/>
                <w:sz w:val="19"/>
                <w:szCs w:val="19"/>
              </w:rPr>
              <w:t> </w:t>
            </w:r>
            <w:r w:rsidRPr="000B1E7D">
              <w:rPr>
                <w:rFonts w:ascii="Calibri" w:hAnsi="Calibri" w:cs="Calibri"/>
                <w:color w:val="000000"/>
                <w:sz w:val="19"/>
                <w:szCs w:val="19"/>
              </w:rPr>
              <w:t>k.</w:t>
            </w:r>
            <w:r w:rsidR="00E55D29">
              <w:rPr>
                <w:rFonts w:ascii="Calibri" w:hAnsi="Calibri" w:cs="Calibri"/>
                <w:color w:val="000000"/>
                <w:sz w:val="19"/>
                <w:szCs w:val="19"/>
              </w:rPr>
              <w:t> </w:t>
            </w:r>
            <w:r w:rsidRPr="000B1E7D">
              <w:rPr>
                <w:rFonts w:ascii="Calibri" w:hAnsi="Calibri" w:cs="Calibri"/>
                <w:color w:val="000000"/>
                <w:sz w:val="19"/>
                <w:szCs w:val="19"/>
              </w:rPr>
              <w:t>ú.</w:t>
            </w:r>
            <w:r>
              <w:rPr>
                <w:rFonts w:ascii="Calibri" w:hAnsi="Calibri" w:cs="Calibri"/>
                <w:color w:val="000000"/>
                <w:sz w:val="19"/>
                <w:szCs w:val="19"/>
              </w:rPr>
              <w:t> </w:t>
            </w:r>
            <w:r w:rsidRPr="000B1E7D">
              <w:rPr>
                <w:rFonts w:ascii="Calibri" w:hAnsi="Calibri" w:cs="Calibri"/>
                <w:color w:val="000000"/>
                <w:sz w:val="19"/>
                <w:szCs w:val="19"/>
              </w:rPr>
              <w:t>Hradčany nad Ploučnicí</w:t>
            </w:r>
          </w:p>
        </w:tc>
        <w:tc>
          <w:tcPr>
            <w:tcW w:w="1394" w:type="dxa"/>
            <w:vAlign w:val="center"/>
            <w:hideMark/>
          </w:tcPr>
          <w:p w14:paraId="12C65062"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Město Ralsko</w:t>
            </w:r>
          </w:p>
        </w:tc>
        <w:tc>
          <w:tcPr>
            <w:tcW w:w="1441" w:type="dxa"/>
            <w:vAlign w:val="center"/>
            <w:hideMark/>
          </w:tcPr>
          <w:p w14:paraId="5D06825C"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Liberecký</w:t>
            </w:r>
          </w:p>
        </w:tc>
        <w:tc>
          <w:tcPr>
            <w:tcW w:w="1162" w:type="dxa"/>
            <w:gridSpan w:val="2"/>
            <w:noWrap/>
            <w:vAlign w:val="center"/>
            <w:hideMark/>
          </w:tcPr>
          <w:p w14:paraId="5DC3FD8E" w14:textId="77777777" w:rsidR="009368EC" w:rsidRPr="000B1E7D" w:rsidRDefault="009368EC" w:rsidP="009368EC">
            <w:pPr>
              <w:widowControl w:val="0"/>
              <w:spacing w:after="0"/>
              <w:jc w:val="right"/>
              <w:rPr>
                <w:rFonts w:ascii="Calibri" w:hAnsi="Calibri" w:cs="Calibri"/>
                <w:color w:val="000000"/>
                <w:sz w:val="19"/>
                <w:szCs w:val="19"/>
              </w:rPr>
            </w:pPr>
            <w:r w:rsidRPr="000B1E7D">
              <w:rPr>
                <w:rFonts w:ascii="Calibri" w:hAnsi="Calibri" w:cs="Calibri"/>
                <w:color w:val="000000"/>
                <w:sz w:val="19"/>
                <w:szCs w:val="19"/>
              </w:rPr>
              <w:t>1 227 844</w:t>
            </w:r>
          </w:p>
        </w:tc>
      </w:tr>
      <w:tr w:rsidR="00E55D29" w:rsidRPr="000B1E7D" w14:paraId="382D22C3" w14:textId="77777777" w:rsidTr="00270BD2">
        <w:trPr>
          <w:trHeight w:val="255"/>
        </w:trPr>
        <w:tc>
          <w:tcPr>
            <w:tcW w:w="1415" w:type="dxa"/>
            <w:vAlign w:val="center"/>
            <w:hideMark/>
          </w:tcPr>
          <w:p w14:paraId="1B81045C"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117D081000026</w:t>
            </w:r>
          </w:p>
        </w:tc>
        <w:tc>
          <w:tcPr>
            <w:tcW w:w="3685" w:type="dxa"/>
            <w:vAlign w:val="center"/>
            <w:hideMark/>
          </w:tcPr>
          <w:p w14:paraId="3F90ED4D" w14:textId="04715BE1" w:rsidR="009368EC" w:rsidRPr="000B1E7D" w:rsidRDefault="009368EC" w:rsidP="00E55D29">
            <w:pPr>
              <w:widowControl w:val="0"/>
              <w:spacing w:after="0"/>
              <w:rPr>
                <w:rFonts w:ascii="Calibri" w:hAnsi="Calibri" w:cs="Calibri"/>
                <w:color w:val="000000"/>
                <w:sz w:val="19"/>
                <w:szCs w:val="19"/>
              </w:rPr>
            </w:pPr>
            <w:r w:rsidRPr="000B1E7D">
              <w:rPr>
                <w:rFonts w:ascii="Calibri" w:hAnsi="Calibri" w:cs="Calibri"/>
                <w:color w:val="000000"/>
                <w:sz w:val="19"/>
                <w:szCs w:val="19"/>
              </w:rPr>
              <w:t>Demolice objektu č.</w:t>
            </w:r>
            <w:r w:rsidR="00E55D29">
              <w:rPr>
                <w:rFonts w:ascii="Calibri" w:hAnsi="Calibri" w:cs="Calibri"/>
                <w:color w:val="000000"/>
                <w:sz w:val="19"/>
                <w:szCs w:val="19"/>
              </w:rPr>
              <w:t> </w:t>
            </w:r>
            <w:r w:rsidRPr="000B1E7D">
              <w:rPr>
                <w:rFonts w:ascii="Calibri" w:hAnsi="Calibri" w:cs="Calibri"/>
                <w:color w:val="000000"/>
                <w:sz w:val="19"/>
                <w:szCs w:val="19"/>
              </w:rPr>
              <w:t xml:space="preserve">p. 250 </w:t>
            </w:r>
            <w:r w:rsidR="00E55D29">
              <w:rPr>
                <w:rFonts w:ascii="Calibri" w:hAnsi="Calibri" w:cs="Calibri"/>
                <w:color w:val="000000"/>
                <w:sz w:val="19"/>
                <w:szCs w:val="19"/>
              </w:rPr>
              <w:t>–</w:t>
            </w:r>
            <w:r w:rsidRPr="000B1E7D">
              <w:rPr>
                <w:rFonts w:ascii="Calibri" w:hAnsi="Calibri" w:cs="Calibri"/>
                <w:color w:val="000000"/>
                <w:sz w:val="19"/>
                <w:szCs w:val="19"/>
              </w:rPr>
              <w:t xml:space="preserve"> Město Rotava</w:t>
            </w:r>
          </w:p>
        </w:tc>
        <w:tc>
          <w:tcPr>
            <w:tcW w:w="1394" w:type="dxa"/>
            <w:vAlign w:val="center"/>
            <w:hideMark/>
          </w:tcPr>
          <w:p w14:paraId="35EC7F6F"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Město Rotava</w:t>
            </w:r>
          </w:p>
        </w:tc>
        <w:tc>
          <w:tcPr>
            <w:tcW w:w="1441" w:type="dxa"/>
            <w:vAlign w:val="center"/>
            <w:hideMark/>
          </w:tcPr>
          <w:p w14:paraId="4CE1A4B5"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Karlovarský</w:t>
            </w:r>
          </w:p>
        </w:tc>
        <w:tc>
          <w:tcPr>
            <w:tcW w:w="1162" w:type="dxa"/>
            <w:gridSpan w:val="2"/>
            <w:noWrap/>
            <w:vAlign w:val="center"/>
            <w:hideMark/>
          </w:tcPr>
          <w:p w14:paraId="0778965D" w14:textId="77777777" w:rsidR="009368EC" w:rsidRPr="000B1E7D" w:rsidRDefault="009368EC" w:rsidP="009368EC">
            <w:pPr>
              <w:widowControl w:val="0"/>
              <w:spacing w:after="0"/>
              <w:jc w:val="right"/>
              <w:rPr>
                <w:rFonts w:ascii="Calibri" w:hAnsi="Calibri" w:cs="Calibri"/>
                <w:color w:val="000000"/>
                <w:sz w:val="19"/>
                <w:szCs w:val="19"/>
              </w:rPr>
            </w:pPr>
            <w:r w:rsidRPr="000B1E7D">
              <w:rPr>
                <w:rFonts w:ascii="Calibri" w:hAnsi="Calibri" w:cs="Calibri"/>
                <w:color w:val="000000"/>
                <w:sz w:val="19"/>
                <w:szCs w:val="19"/>
              </w:rPr>
              <w:t>1 289 899</w:t>
            </w:r>
          </w:p>
        </w:tc>
      </w:tr>
      <w:tr w:rsidR="00E55D29" w:rsidRPr="000B1E7D" w14:paraId="1ED72392" w14:textId="77777777" w:rsidTr="00270BD2">
        <w:trPr>
          <w:trHeight w:val="510"/>
        </w:trPr>
        <w:tc>
          <w:tcPr>
            <w:tcW w:w="1415" w:type="dxa"/>
            <w:vAlign w:val="center"/>
            <w:hideMark/>
          </w:tcPr>
          <w:p w14:paraId="369B566D"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117D081000214</w:t>
            </w:r>
          </w:p>
        </w:tc>
        <w:tc>
          <w:tcPr>
            <w:tcW w:w="3685" w:type="dxa"/>
            <w:vAlign w:val="center"/>
            <w:hideMark/>
          </w:tcPr>
          <w:p w14:paraId="004F674C" w14:textId="77777777" w:rsidR="009368EC" w:rsidRPr="000B1E7D" w:rsidRDefault="009368EC" w:rsidP="00E55D29">
            <w:pPr>
              <w:widowControl w:val="0"/>
              <w:spacing w:after="0"/>
              <w:rPr>
                <w:rFonts w:ascii="Calibri" w:hAnsi="Calibri" w:cs="Calibri"/>
                <w:color w:val="000000"/>
                <w:sz w:val="19"/>
                <w:szCs w:val="19"/>
              </w:rPr>
            </w:pPr>
            <w:r w:rsidRPr="000B1E7D">
              <w:rPr>
                <w:rFonts w:ascii="Calibri" w:hAnsi="Calibri" w:cs="Calibri"/>
                <w:color w:val="000000"/>
                <w:sz w:val="19"/>
                <w:szCs w:val="19"/>
              </w:rPr>
              <w:t>Demolice bytových domů č.p. 221, 222, 223 v</w:t>
            </w:r>
            <w:r w:rsidR="00E55D29">
              <w:rPr>
                <w:rFonts w:ascii="Calibri" w:hAnsi="Calibri" w:cs="Calibri"/>
                <w:color w:val="000000"/>
                <w:sz w:val="19"/>
                <w:szCs w:val="19"/>
              </w:rPr>
              <w:t> </w:t>
            </w:r>
            <w:r w:rsidRPr="000B1E7D">
              <w:rPr>
                <w:rFonts w:ascii="Calibri" w:hAnsi="Calibri" w:cs="Calibri"/>
                <w:color w:val="000000"/>
                <w:sz w:val="19"/>
                <w:szCs w:val="19"/>
              </w:rPr>
              <w:t>ulici Havířská</w:t>
            </w:r>
          </w:p>
        </w:tc>
        <w:tc>
          <w:tcPr>
            <w:tcW w:w="1394" w:type="dxa"/>
            <w:vAlign w:val="center"/>
            <w:hideMark/>
          </w:tcPr>
          <w:p w14:paraId="013A7DF8"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Město Žacléř</w:t>
            </w:r>
          </w:p>
        </w:tc>
        <w:tc>
          <w:tcPr>
            <w:tcW w:w="1441" w:type="dxa"/>
            <w:vAlign w:val="center"/>
            <w:hideMark/>
          </w:tcPr>
          <w:p w14:paraId="3BFF3EC7"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Královéhradecký</w:t>
            </w:r>
          </w:p>
        </w:tc>
        <w:tc>
          <w:tcPr>
            <w:tcW w:w="1162" w:type="dxa"/>
            <w:gridSpan w:val="2"/>
            <w:noWrap/>
            <w:vAlign w:val="center"/>
            <w:hideMark/>
          </w:tcPr>
          <w:p w14:paraId="4A183C89" w14:textId="77777777" w:rsidR="009368EC" w:rsidRPr="000B1E7D" w:rsidRDefault="009368EC" w:rsidP="009368EC">
            <w:pPr>
              <w:widowControl w:val="0"/>
              <w:spacing w:after="0"/>
              <w:jc w:val="right"/>
              <w:rPr>
                <w:rFonts w:ascii="Calibri" w:hAnsi="Calibri" w:cs="Calibri"/>
                <w:color w:val="000000"/>
                <w:sz w:val="19"/>
                <w:szCs w:val="19"/>
              </w:rPr>
            </w:pPr>
            <w:r w:rsidRPr="000B1E7D">
              <w:rPr>
                <w:rFonts w:ascii="Calibri" w:hAnsi="Calibri" w:cs="Calibri"/>
                <w:color w:val="000000"/>
                <w:sz w:val="19"/>
                <w:szCs w:val="19"/>
              </w:rPr>
              <w:t>3 965 563</w:t>
            </w:r>
          </w:p>
        </w:tc>
      </w:tr>
      <w:tr w:rsidR="00E55D29" w:rsidRPr="000B1E7D" w14:paraId="1914A7C9" w14:textId="77777777" w:rsidTr="00270BD2">
        <w:trPr>
          <w:trHeight w:val="255"/>
        </w:trPr>
        <w:tc>
          <w:tcPr>
            <w:tcW w:w="1415" w:type="dxa"/>
            <w:vAlign w:val="center"/>
            <w:hideMark/>
          </w:tcPr>
          <w:p w14:paraId="3E7C5CAC"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117D081000226</w:t>
            </w:r>
          </w:p>
        </w:tc>
        <w:tc>
          <w:tcPr>
            <w:tcW w:w="3685" w:type="dxa"/>
            <w:vAlign w:val="center"/>
            <w:hideMark/>
          </w:tcPr>
          <w:p w14:paraId="43FC1B02" w14:textId="77777777" w:rsidR="009368EC" w:rsidRPr="000B1E7D" w:rsidRDefault="009368EC" w:rsidP="009368EC">
            <w:pPr>
              <w:widowControl w:val="0"/>
              <w:spacing w:after="0"/>
              <w:rPr>
                <w:rFonts w:ascii="Calibri" w:hAnsi="Calibri" w:cs="Calibri"/>
                <w:color w:val="000000"/>
                <w:sz w:val="19"/>
                <w:szCs w:val="19"/>
              </w:rPr>
            </w:pPr>
            <w:r w:rsidRPr="000B1E7D">
              <w:rPr>
                <w:rFonts w:ascii="Calibri" w:hAnsi="Calibri" w:cs="Calibri"/>
                <w:color w:val="000000"/>
                <w:sz w:val="19"/>
                <w:szCs w:val="19"/>
              </w:rPr>
              <w:t>Demolice objektu čp. 5, obec Drahelčice</w:t>
            </w:r>
          </w:p>
        </w:tc>
        <w:tc>
          <w:tcPr>
            <w:tcW w:w="1394" w:type="dxa"/>
            <w:vAlign w:val="center"/>
            <w:hideMark/>
          </w:tcPr>
          <w:p w14:paraId="39A5047A"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Obec Drahelčice</w:t>
            </w:r>
          </w:p>
        </w:tc>
        <w:tc>
          <w:tcPr>
            <w:tcW w:w="1441" w:type="dxa"/>
            <w:vAlign w:val="center"/>
            <w:hideMark/>
          </w:tcPr>
          <w:p w14:paraId="0AA9939E"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Středočeský</w:t>
            </w:r>
          </w:p>
        </w:tc>
        <w:tc>
          <w:tcPr>
            <w:tcW w:w="1162" w:type="dxa"/>
            <w:gridSpan w:val="2"/>
            <w:noWrap/>
            <w:vAlign w:val="center"/>
            <w:hideMark/>
          </w:tcPr>
          <w:p w14:paraId="2690B8F7" w14:textId="77777777" w:rsidR="009368EC" w:rsidRPr="000B1E7D" w:rsidRDefault="009368EC" w:rsidP="009368EC">
            <w:pPr>
              <w:widowControl w:val="0"/>
              <w:spacing w:after="0"/>
              <w:jc w:val="right"/>
              <w:rPr>
                <w:rFonts w:ascii="Calibri" w:hAnsi="Calibri" w:cs="Calibri"/>
                <w:color w:val="000000"/>
                <w:sz w:val="19"/>
                <w:szCs w:val="19"/>
              </w:rPr>
            </w:pPr>
            <w:r w:rsidRPr="000B1E7D">
              <w:rPr>
                <w:rFonts w:ascii="Calibri" w:hAnsi="Calibri" w:cs="Calibri"/>
                <w:color w:val="000000"/>
                <w:sz w:val="19"/>
                <w:szCs w:val="19"/>
              </w:rPr>
              <w:t>1 454 886</w:t>
            </w:r>
          </w:p>
        </w:tc>
      </w:tr>
      <w:tr w:rsidR="00E55D29" w:rsidRPr="000B1E7D" w14:paraId="284F4716" w14:textId="77777777" w:rsidTr="00270BD2">
        <w:trPr>
          <w:trHeight w:val="255"/>
        </w:trPr>
        <w:tc>
          <w:tcPr>
            <w:tcW w:w="1415" w:type="dxa"/>
            <w:vAlign w:val="center"/>
            <w:hideMark/>
          </w:tcPr>
          <w:p w14:paraId="48758B82"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117D081000240</w:t>
            </w:r>
          </w:p>
        </w:tc>
        <w:tc>
          <w:tcPr>
            <w:tcW w:w="3685" w:type="dxa"/>
            <w:vAlign w:val="center"/>
            <w:hideMark/>
          </w:tcPr>
          <w:p w14:paraId="6075CA9F" w14:textId="0BDE8C6D" w:rsidR="009368EC" w:rsidRPr="000B1E7D" w:rsidRDefault="009368EC" w:rsidP="00E55D29">
            <w:pPr>
              <w:widowControl w:val="0"/>
              <w:spacing w:after="0"/>
              <w:rPr>
                <w:rFonts w:ascii="Calibri" w:hAnsi="Calibri" w:cs="Calibri"/>
                <w:color w:val="000000"/>
                <w:sz w:val="19"/>
                <w:szCs w:val="19"/>
              </w:rPr>
            </w:pPr>
            <w:r w:rsidRPr="000B1E7D">
              <w:rPr>
                <w:rFonts w:ascii="Calibri" w:hAnsi="Calibri" w:cs="Calibri"/>
                <w:color w:val="000000"/>
                <w:sz w:val="19"/>
                <w:szCs w:val="19"/>
              </w:rPr>
              <w:t xml:space="preserve">Liblice </w:t>
            </w:r>
            <w:r w:rsidR="00E55D29">
              <w:rPr>
                <w:rFonts w:ascii="Calibri" w:hAnsi="Calibri" w:cs="Calibri"/>
                <w:color w:val="000000"/>
                <w:sz w:val="19"/>
                <w:szCs w:val="19"/>
              </w:rPr>
              <w:t>–</w:t>
            </w:r>
            <w:r w:rsidRPr="000B1E7D">
              <w:rPr>
                <w:rFonts w:ascii="Calibri" w:hAnsi="Calibri" w:cs="Calibri"/>
                <w:color w:val="000000"/>
                <w:sz w:val="19"/>
                <w:szCs w:val="19"/>
              </w:rPr>
              <w:t xml:space="preserve"> Demolice objektu č.</w:t>
            </w:r>
            <w:r w:rsidR="00E55D29">
              <w:rPr>
                <w:rFonts w:ascii="Calibri" w:hAnsi="Calibri" w:cs="Calibri"/>
                <w:color w:val="000000"/>
                <w:sz w:val="19"/>
                <w:szCs w:val="19"/>
              </w:rPr>
              <w:t> </w:t>
            </w:r>
            <w:r w:rsidRPr="000B1E7D">
              <w:rPr>
                <w:rFonts w:ascii="Calibri" w:hAnsi="Calibri" w:cs="Calibri"/>
                <w:color w:val="000000"/>
                <w:sz w:val="19"/>
                <w:szCs w:val="19"/>
              </w:rPr>
              <w:t>p. 24</w:t>
            </w:r>
          </w:p>
        </w:tc>
        <w:tc>
          <w:tcPr>
            <w:tcW w:w="1394" w:type="dxa"/>
            <w:vAlign w:val="center"/>
            <w:hideMark/>
          </w:tcPr>
          <w:p w14:paraId="21EB3225"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Obec Liblice</w:t>
            </w:r>
          </w:p>
        </w:tc>
        <w:tc>
          <w:tcPr>
            <w:tcW w:w="1441" w:type="dxa"/>
            <w:vAlign w:val="center"/>
            <w:hideMark/>
          </w:tcPr>
          <w:p w14:paraId="56EF7CFF"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Středočeský</w:t>
            </w:r>
          </w:p>
        </w:tc>
        <w:tc>
          <w:tcPr>
            <w:tcW w:w="1162" w:type="dxa"/>
            <w:gridSpan w:val="2"/>
            <w:noWrap/>
            <w:vAlign w:val="center"/>
            <w:hideMark/>
          </w:tcPr>
          <w:p w14:paraId="3C9B2E62" w14:textId="77777777" w:rsidR="009368EC" w:rsidRPr="000B1E7D" w:rsidRDefault="009368EC" w:rsidP="009368EC">
            <w:pPr>
              <w:widowControl w:val="0"/>
              <w:spacing w:after="0"/>
              <w:jc w:val="right"/>
              <w:rPr>
                <w:rFonts w:ascii="Calibri" w:hAnsi="Calibri" w:cs="Calibri"/>
                <w:color w:val="000000"/>
                <w:sz w:val="19"/>
                <w:szCs w:val="19"/>
              </w:rPr>
            </w:pPr>
            <w:r w:rsidRPr="000B1E7D">
              <w:rPr>
                <w:rFonts w:ascii="Calibri" w:hAnsi="Calibri" w:cs="Calibri"/>
                <w:color w:val="000000"/>
                <w:sz w:val="19"/>
                <w:szCs w:val="19"/>
              </w:rPr>
              <w:t>1 141 764</w:t>
            </w:r>
          </w:p>
        </w:tc>
      </w:tr>
      <w:tr w:rsidR="00E55D29" w:rsidRPr="000B1E7D" w14:paraId="67A54DAF" w14:textId="77777777" w:rsidTr="00270BD2">
        <w:trPr>
          <w:trHeight w:val="510"/>
        </w:trPr>
        <w:tc>
          <w:tcPr>
            <w:tcW w:w="1415" w:type="dxa"/>
            <w:vAlign w:val="center"/>
            <w:hideMark/>
          </w:tcPr>
          <w:p w14:paraId="0466D689"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117D081000108</w:t>
            </w:r>
          </w:p>
        </w:tc>
        <w:tc>
          <w:tcPr>
            <w:tcW w:w="3685" w:type="dxa"/>
            <w:vAlign w:val="center"/>
            <w:hideMark/>
          </w:tcPr>
          <w:p w14:paraId="7840FA71" w14:textId="77777777" w:rsidR="009368EC" w:rsidRPr="000B1E7D" w:rsidRDefault="009368EC" w:rsidP="009368EC">
            <w:pPr>
              <w:widowControl w:val="0"/>
              <w:spacing w:after="0"/>
              <w:rPr>
                <w:rFonts w:ascii="Calibri" w:hAnsi="Calibri" w:cs="Calibri"/>
                <w:color w:val="000000"/>
                <w:sz w:val="19"/>
                <w:szCs w:val="19"/>
              </w:rPr>
            </w:pPr>
            <w:r w:rsidRPr="000B1E7D">
              <w:rPr>
                <w:rFonts w:ascii="Calibri" w:hAnsi="Calibri" w:cs="Calibri"/>
                <w:color w:val="000000"/>
                <w:sz w:val="19"/>
                <w:szCs w:val="19"/>
              </w:rPr>
              <w:t>Demolice</w:t>
            </w:r>
            <w:r>
              <w:rPr>
                <w:rFonts w:ascii="Calibri" w:hAnsi="Calibri" w:cs="Calibri"/>
                <w:color w:val="000000"/>
                <w:sz w:val="19"/>
                <w:szCs w:val="19"/>
              </w:rPr>
              <w:t xml:space="preserve"> budovy č.</w:t>
            </w:r>
            <w:r w:rsidR="00E55D29">
              <w:rPr>
                <w:rFonts w:ascii="Calibri" w:hAnsi="Calibri" w:cs="Calibri"/>
                <w:color w:val="000000"/>
                <w:sz w:val="19"/>
                <w:szCs w:val="19"/>
              </w:rPr>
              <w:t> </w:t>
            </w:r>
            <w:r>
              <w:rPr>
                <w:rFonts w:ascii="Calibri" w:hAnsi="Calibri" w:cs="Calibri"/>
                <w:color w:val="000000"/>
                <w:sz w:val="19"/>
                <w:szCs w:val="19"/>
              </w:rPr>
              <w:t>p.</w:t>
            </w:r>
            <w:r w:rsidR="00E55D29">
              <w:rPr>
                <w:rFonts w:ascii="Calibri" w:hAnsi="Calibri" w:cs="Calibri"/>
                <w:color w:val="000000"/>
                <w:sz w:val="19"/>
                <w:szCs w:val="19"/>
              </w:rPr>
              <w:t> </w:t>
            </w:r>
            <w:r>
              <w:rPr>
                <w:rFonts w:ascii="Calibri" w:hAnsi="Calibri" w:cs="Calibri"/>
                <w:color w:val="000000"/>
                <w:sz w:val="19"/>
                <w:szCs w:val="19"/>
              </w:rPr>
              <w:t>6, na parcele č.</w:t>
            </w:r>
            <w:r w:rsidR="00E55D29">
              <w:rPr>
                <w:rFonts w:ascii="Calibri" w:hAnsi="Calibri" w:cs="Calibri"/>
                <w:color w:val="000000"/>
                <w:sz w:val="19"/>
                <w:szCs w:val="19"/>
              </w:rPr>
              <w:t> </w:t>
            </w:r>
            <w:r>
              <w:rPr>
                <w:rFonts w:ascii="Calibri" w:hAnsi="Calibri" w:cs="Calibri"/>
                <w:color w:val="000000"/>
                <w:sz w:val="19"/>
                <w:szCs w:val="19"/>
              </w:rPr>
              <w:t>st. </w:t>
            </w:r>
            <w:r w:rsidRPr="000B1E7D">
              <w:rPr>
                <w:rFonts w:ascii="Calibri" w:hAnsi="Calibri" w:cs="Calibri"/>
                <w:color w:val="000000"/>
                <w:sz w:val="19"/>
                <w:szCs w:val="19"/>
              </w:rPr>
              <w:t>7/5, k.</w:t>
            </w:r>
            <w:r w:rsidR="00E55D29">
              <w:rPr>
                <w:rFonts w:ascii="Calibri" w:hAnsi="Calibri" w:cs="Calibri"/>
                <w:color w:val="000000"/>
                <w:sz w:val="19"/>
                <w:szCs w:val="19"/>
              </w:rPr>
              <w:t> </w:t>
            </w:r>
            <w:r w:rsidRPr="000B1E7D">
              <w:rPr>
                <w:rFonts w:ascii="Calibri" w:hAnsi="Calibri" w:cs="Calibri"/>
                <w:color w:val="000000"/>
                <w:sz w:val="19"/>
                <w:szCs w:val="19"/>
              </w:rPr>
              <w:t>ú. Lípa u Havl. Brodu</w:t>
            </w:r>
          </w:p>
        </w:tc>
        <w:tc>
          <w:tcPr>
            <w:tcW w:w="1394" w:type="dxa"/>
            <w:vAlign w:val="center"/>
            <w:hideMark/>
          </w:tcPr>
          <w:p w14:paraId="6FD4B57D"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Obec Lípa</w:t>
            </w:r>
          </w:p>
        </w:tc>
        <w:tc>
          <w:tcPr>
            <w:tcW w:w="1441" w:type="dxa"/>
            <w:vAlign w:val="center"/>
            <w:hideMark/>
          </w:tcPr>
          <w:p w14:paraId="4E4360BD"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Vysočina</w:t>
            </w:r>
          </w:p>
        </w:tc>
        <w:tc>
          <w:tcPr>
            <w:tcW w:w="1162" w:type="dxa"/>
            <w:gridSpan w:val="2"/>
            <w:noWrap/>
            <w:vAlign w:val="center"/>
            <w:hideMark/>
          </w:tcPr>
          <w:p w14:paraId="09E314E5" w14:textId="77777777" w:rsidR="009368EC" w:rsidRPr="000B1E7D" w:rsidRDefault="009368EC" w:rsidP="009368EC">
            <w:pPr>
              <w:widowControl w:val="0"/>
              <w:spacing w:after="0"/>
              <w:jc w:val="right"/>
              <w:rPr>
                <w:rFonts w:ascii="Calibri" w:hAnsi="Calibri" w:cs="Calibri"/>
                <w:color w:val="000000"/>
                <w:sz w:val="19"/>
                <w:szCs w:val="19"/>
              </w:rPr>
            </w:pPr>
            <w:r w:rsidRPr="000B1E7D">
              <w:rPr>
                <w:rFonts w:ascii="Calibri" w:hAnsi="Calibri" w:cs="Calibri"/>
                <w:color w:val="000000"/>
                <w:sz w:val="19"/>
                <w:szCs w:val="19"/>
              </w:rPr>
              <w:t>1 001 775</w:t>
            </w:r>
          </w:p>
        </w:tc>
      </w:tr>
      <w:tr w:rsidR="00E55D29" w:rsidRPr="000B1E7D" w14:paraId="51475B5E" w14:textId="77777777" w:rsidTr="00270BD2">
        <w:trPr>
          <w:trHeight w:val="255"/>
        </w:trPr>
        <w:tc>
          <w:tcPr>
            <w:tcW w:w="1415" w:type="dxa"/>
            <w:vAlign w:val="center"/>
            <w:hideMark/>
          </w:tcPr>
          <w:p w14:paraId="4BA23121"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117D081000233</w:t>
            </w:r>
          </w:p>
        </w:tc>
        <w:tc>
          <w:tcPr>
            <w:tcW w:w="3685" w:type="dxa"/>
            <w:vAlign w:val="center"/>
            <w:hideMark/>
          </w:tcPr>
          <w:p w14:paraId="284390D0" w14:textId="77777777" w:rsidR="009368EC" w:rsidRPr="000B1E7D" w:rsidRDefault="009368EC" w:rsidP="009368EC">
            <w:pPr>
              <w:widowControl w:val="0"/>
              <w:spacing w:after="0"/>
              <w:rPr>
                <w:rFonts w:ascii="Calibri" w:hAnsi="Calibri" w:cs="Calibri"/>
                <w:color w:val="000000"/>
                <w:sz w:val="19"/>
                <w:szCs w:val="19"/>
              </w:rPr>
            </w:pPr>
            <w:r w:rsidRPr="000B1E7D">
              <w:rPr>
                <w:rFonts w:ascii="Calibri" w:hAnsi="Calibri" w:cs="Calibri"/>
                <w:color w:val="000000"/>
                <w:sz w:val="19"/>
                <w:szCs w:val="19"/>
              </w:rPr>
              <w:t>Beseda, Nám. Míru č.</w:t>
            </w:r>
            <w:r w:rsidR="00E55D29">
              <w:rPr>
                <w:rFonts w:ascii="Calibri" w:hAnsi="Calibri" w:cs="Calibri"/>
                <w:color w:val="000000"/>
                <w:sz w:val="19"/>
                <w:szCs w:val="19"/>
              </w:rPr>
              <w:t> </w:t>
            </w:r>
            <w:r w:rsidRPr="000B1E7D">
              <w:rPr>
                <w:rFonts w:ascii="Calibri" w:hAnsi="Calibri" w:cs="Calibri"/>
                <w:color w:val="000000"/>
                <w:sz w:val="19"/>
                <w:szCs w:val="19"/>
              </w:rPr>
              <w:t>p. 194, Nivnice</w:t>
            </w:r>
          </w:p>
        </w:tc>
        <w:tc>
          <w:tcPr>
            <w:tcW w:w="1394" w:type="dxa"/>
            <w:vAlign w:val="center"/>
            <w:hideMark/>
          </w:tcPr>
          <w:p w14:paraId="43173C87"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Obec Nivnice</w:t>
            </w:r>
          </w:p>
        </w:tc>
        <w:tc>
          <w:tcPr>
            <w:tcW w:w="1441" w:type="dxa"/>
            <w:vAlign w:val="center"/>
            <w:hideMark/>
          </w:tcPr>
          <w:p w14:paraId="6D79CD06"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Zlínský</w:t>
            </w:r>
          </w:p>
        </w:tc>
        <w:tc>
          <w:tcPr>
            <w:tcW w:w="1162" w:type="dxa"/>
            <w:gridSpan w:val="2"/>
            <w:noWrap/>
            <w:vAlign w:val="center"/>
            <w:hideMark/>
          </w:tcPr>
          <w:p w14:paraId="74BB520B" w14:textId="77777777" w:rsidR="009368EC" w:rsidRPr="000B1E7D" w:rsidRDefault="009368EC" w:rsidP="009368EC">
            <w:pPr>
              <w:widowControl w:val="0"/>
              <w:spacing w:after="0"/>
              <w:jc w:val="right"/>
              <w:rPr>
                <w:rFonts w:ascii="Calibri" w:hAnsi="Calibri" w:cs="Calibri"/>
                <w:color w:val="000000"/>
                <w:sz w:val="19"/>
                <w:szCs w:val="19"/>
              </w:rPr>
            </w:pPr>
            <w:r w:rsidRPr="000B1E7D">
              <w:rPr>
                <w:rFonts w:ascii="Calibri" w:hAnsi="Calibri" w:cs="Calibri"/>
                <w:color w:val="000000"/>
                <w:sz w:val="19"/>
                <w:szCs w:val="19"/>
              </w:rPr>
              <w:t>1 669 065</w:t>
            </w:r>
          </w:p>
        </w:tc>
      </w:tr>
      <w:tr w:rsidR="00E55D29" w:rsidRPr="000B1E7D" w14:paraId="3558C503" w14:textId="77777777" w:rsidTr="00270BD2">
        <w:trPr>
          <w:trHeight w:val="510"/>
        </w:trPr>
        <w:tc>
          <w:tcPr>
            <w:tcW w:w="1415" w:type="dxa"/>
            <w:vAlign w:val="center"/>
            <w:hideMark/>
          </w:tcPr>
          <w:p w14:paraId="39890A3A"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117D081000117</w:t>
            </w:r>
          </w:p>
        </w:tc>
        <w:tc>
          <w:tcPr>
            <w:tcW w:w="3685" w:type="dxa"/>
            <w:vAlign w:val="center"/>
            <w:hideMark/>
          </w:tcPr>
          <w:p w14:paraId="595A2E2F" w14:textId="77777777" w:rsidR="009368EC" w:rsidRPr="000B1E7D" w:rsidRDefault="009368EC" w:rsidP="009368EC">
            <w:pPr>
              <w:widowControl w:val="0"/>
              <w:spacing w:after="0"/>
              <w:rPr>
                <w:rFonts w:ascii="Calibri" w:hAnsi="Calibri" w:cs="Calibri"/>
                <w:color w:val="000000"/>
                <w:sz w:val="19"/>
                <w:szCs w:val="19"/>
              </w:rPr>
            </w:pPr>
            <w:r w:rsidRPr="000B1E7D">
              <w:rPr>
                <w:rFonts w:ascii="Calibri" w:hAnsi="Calibri" w:cs="Calibri"/>
                <w:color w:val="000000"/>
                <w:sz w:val="19"/>
                <w:szCs w:val="19"/>
              </w:rPr>
              <w:t>O</w:t>
            </w:r>
            <w:r>
              <w:rPr>
                <w:rFonts w:ascii="Calibri" w:hAnsi="Calibri" w:cs="Calibri"/>
                <w:color w:val="000000"/>
                <w:sz w:val="19"/>
                <w:szCs w:val="19"/>
              </w:rPr>
              <w:t>dstranění stavby budovy školy v </w:t>
            </w:r>
            <w:r w:rsidRPr="000B1E7D">
              <w:rPr>
                <w:rFonts w:ascii="Calibri" w:hAnsi="Calibri" w:cs="Calibri"/>
                <w:color w:val="000000"/>
                <w:sz w:val="19"/>
                <w:szCs w:val="19"/>
              </w:rPr>
              <w:t>přírodě</w:t>
            </w:r>
            <w:r w:rsidR="00E55D29">
              <w:rPr>
                <w:rFonts w:ascii="Calibri" w:hAnsi="Calibri" w:cs="Calibri"/>
                <w:color w:val="000000"/>
                <w:sz w:val="19"/>
                <w:szCs w:val="19"/>
              </w:rPr>
              <w:t>,</w:t>
            </w:r>
            <w:r w:rsidRPr="000B1E7D">
              <w:rPr>
                <w:rFonts w:ascii="Calibri" w:hAnsi="Calibri" w:cs="Calibri"/>
                <w:color w:val="000000"/>
                <w:sz w:val="19"/>
                <w:szCs w:val="19"/>
              </w:rPr>
              <w:t xml:space="preserve"> Horní prysk č.</w:t>
            </w:r>
            <w:r w:rsidR="00E55D29">
              <w:rPr>
                <w:rFonts w:ascii="Calibri" w:hAnsi="Calibri" w:cs="Calibri"/>
                <w:color w:val="000000"/>
                <w:sz w:val="19"/>
                <w:szCs w:val="19"/>
              </w:rPr>
              <w:t> </w:t>
            </w:r>
            <w:r w:rsidRPr="000B1E7D">
              <w:rPr>
                <w:rFonts w:ascii="Calibri" w:hAnsi="Calibri" w:cs="Calibri"/>
                <w:color w:val="000000"/>
                <w:sz w:val="19"/>
                <w:szCs w:val="19"/>
              </w:rPr>
              <w:t>p. 160, a část</w:t>
            </w:r>
            <w:r w:rsidR="00E55D29">
              <w:rPr>
                <w:rFonts w:ascii="Calibri" w:hAnsi="Calibri" w:cs="Calibri"/>
                <w:color w:val="000000"/>
                <w:sz w:val="19"/>
                <w:szCs w:val="19"/>
              </w:rPr>
              <w:t>i</w:t>
            </w:r>
            <w:r w:rsidRPr="000B1E7D">
              <w:rPr>
                <w:rFonts w:ascii="Calibri" w:hAnsi="Calibri" w:cs="Calibri"/>
                <w:color w:val="000000"/>
                <w:sz w:val="19"/>
                <w:szCs w:val="19"/>
              </w:rPr>
              <w:t xml:space="preserve"> stavby č.</w:t>
            </w:r>
            <w:r w:rsidR="00E55D29">
              <w:rPr>
                <w:rFonts w:ascii="Calibri" w:hAnsi="Calibri" w:cs="Calibri"/>
                <w:color w:val="000000"/>
                <w:sz w:val="19"/>
                <w:szCs w:val="19"/>
              </w:rPr>
              <w:t> </w:t>
            </w:r>
            <w:r w:rsidRPr="000B1E7D">
              <w:rPr>
                <w:rFonts w:ascii="Calibri" w:hAnsi="Calibri" w:cs="Calibri"/>
                <w:color w:val="000000"/>
                <w:sz w:val="19"/>
                <w:szCs w:val="19"/>
              </w:rPr>
              <w:t>p. 161</w:t>
            </w:r>
          </w:p>
        </w:tc>
        <w:tc>
          <w:tcPr>
            <w:tcW w:w="1394" w:type="dxa"/>
            <w:vAlign w:val="center"/>
            <w:hideMark/>
          </w:tcPr>
          <w:p w14:paraId="73AA961D"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Obec Prysk</w:t>
            </w:r>
          </w:p>
        </w:tc>
        <w:tc>
          <w:tcPr>
            <w:tcW w:w="1441" w:type="dxa"/>
            <w:vAlign w:val="center"/>
            <w:hideMark/>
          </w:tcPr>
          <w:p w14:paraId="724DDCF4"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Liberecký</w:t>
            </w:r>
          </w:p>
        </w:tc>
        <w:tc>
          <w:tcPr>
            <w:tcW w:w="1162" w:type="dxa"/>
            <w:gridSpan w:val="2"/>
            <w:noWrap/>
            <w:vAlign w:val="center"/>
            <w:hideMark/>
          </w:tcPr>
          <w:p w14:paraId="302277C0" w14:textId="77777777" w:rsidR="009368EC" w:rsidRPr="000B1E7D" w:rsidRDefault="009368EC" w:rsidP="009368EC">
            <w:pPr>
              <w:widowControl w:val="0"/>
              <w:spacing w:after="0"/>
              <w:jc w:val="right"/>
              <w:rPr>
                <w:rFonts w:ascii="Calibri" w:hAnsi="Calibri" w:cs="Calibri"/>
                <w:color w:val="000000"/>
                <w:sz w:val="19"/>
                <w:szCs w:val="19"/>
              </w:rPr>
            </w:pPr>
            <w:r w:rsidRPr="000B1E7D">
              <w:rPr>
                <w:rFonts w:ascii="Calibri" w:hAnsi="Calibri" w:cs="Calibri"/>
                <w:color w:val="000000"/>
                <w:sz w:val="19"/>
                <w:szCs w:val="19"/>
              </w:rPr>
              <w:t>2 301 785</w:t>
            </w:r>
          </w:p>
        </w:tc>
      </w:tr>
      <w:tr w:rsidR="00E55D29" w:rsidRPr="000B1E7D" w14:paraId="0035E483" w14:textId="77777777" w:rsidTr="00270BD2">
        <w:trPr>
          <w:trHeight w:val="510"/>
        </w:trPr>
        <w:tc>
          <w:tcPr>
            <w:tcW w:w="1415" w:type="dxa"/>
            <w:vAlign w:val="center"/>
            <w:hideMark/>
          </w:tcPr>
          <w:p w14:paraId="298AC9C6"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117D081000239</w:t>
            </w:r>
          </w:p>
        </w:tc>
        <w:tc>
          <w:tcPr>
            <w:tcW w:w="3685" w:type="dxa"/>
            <w:vAlign w:val="center"/>
            <w:hideMark/>
          </w:tcPr>
          <w:p w14:paraId="4C6B87EC" w14:textId="77777777" w:rsidR="009368EC" w:rsidRPr="000B1E7D" w:rsidRDefault="009368EC" w:rsidP="009368EC">
            <w:pPr>
              <w:widowControl w:val="0"/>
              <w:spacing w:after="0"/>
              <w:rPr>
                <w:rFonts w:ascii="Calibri" w:hAnsi="Calibri" w:cs="Calibri"/>
                <w:color w:val="000000"/>
                <w:sz w:val="19"/>
                <w:szCs w:val="19"/>
              </w:rPr>
            </w:pPr>
            <w:r w:rsidRPr="000B1E7D">
              <w:rPr>
                <w:rFonts w:ascii="Calibri" w:hAnsi="Calibri" w:cs="Calibri"/>
                <w:color w:val="000000"/>
                <w:sz w:val="19"/>
                <w:szCs w:val="19"/>
              </w:rPr>
              <w:t>Odstranění stávajícího objektu bývalé pekárny č.</w:t>
            </w:r>
            <w:r w:rsidR="00E55D29">
              <w:rPr>
                <w:rFonts w:ascii="Calibri" w:hAnsi="Calibri" w:cs="Calibri"/>
                <w:color w:val="000000"/>
                <w:sz w:val="19"/>
                <w:szCs w:val="19"/>
              </w:rPr>
              <w:t> </w:t>
            </w:r>
            <w:r w:rsidRPr="000B1E7D">
              <w:rPr>
                <w:rFonts w:ascii="Calibri" w:hAnsi="Calibri" w:cs="Calibri"/>
                <w:color w:val="000000"/>
                <w:sz w:val="19"/>
                <w:szCs w:val="19"/>
              </w:rPr>
              <w:t>p. 18, Zbraslav</w:t>
            </w:r>
          </w:p>
        </w:tc>
        <w:tc>
          <w:tcPr>
            <w:tcW w:w="1394" w:type="dxa"/>
            <w:vAlign w:val="center"/>
            <w:hideMark/>
          </w:tcPr>
          <w:p w14:paraId="544A3E27"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Obec Zbraslav</w:t>
            </w:r>
          </w:p>
        </w:tc>
        <w:tc>
          <w:tcPr>
            <w:tcW w:w="1441" w:type="dxa"/>
            <w:vAlign w:val="center"/>
            <w:hideMark/>
          </w:tcPr>
          <w:p w14:paraId="3F3F3AB4"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 xml:space="preserve">Jihomoravský </w:t>
            </w:r>
          </w:p>
        </w:tc>
        <w:tc>
          <w:tcPr>
            <w:tcW w:w="1162" w:type="dxa"/>
            <w:gridSpan w:val="2"/>
            <w:noWrap/>
            <w:vAlign w:val="center"/>
            <w:hideMark/>
          </w:tcPr>
          <w:p w14:paraId="77BBF1BD" w14:textId="77777777" w:rsidR="009368EC" w:rsidRPr="000B1E7D" w:rsidRDefault="009368EC" w:rsidP="009368EC">
            <w:pPr>
              <w:widowControl w:val="0"/>
              <w:spacing w:after="0"/>
              <w:jc w:val="right"/>
              <w:rPr>
                <w:rFonts w:ascii="Calibri" w:hAnsi="Calibri" w:cs="Calibri"/>
                <w:color w:val="000000"/>
                <w:sz w:val="19"/>
                <w:szCs w:val="19"/>
              </w:rPr>
            </w:pPr>
            <w:r w:rsidRPr="000B1E7D">
              <w:rPr>
                <w:rFonts w:ascii="Calibri" w:hAnsi="Calibri" w:cs="Calibri"/>
                <w:color w:val="000000"/>
                <w:sz w:val="19"/>
                <w:szCs w:val="19"/>
              </w:rPr>
              <w:t>2 096 986</w:t>
            </w:r>
          </w:p>
        </w:tc>
      </w:tr>
      <w:tr w:rsidR="00E55D29" w:rsidRPr="000B1E7D" w14:paraId="7173683D" w14:textId="77777777" w:rsidTr="00270BD2">
        <w:trPr>
          <w:trHeight w:val="510"/>
        </w:trPr>
        <w:tc>
          <w:tcPr>
            <w:tcW w:w="1415" w:type="dxa"/>
            <w:vAlign w:val="center"/>
            <w:hideMark/>
          </w:tcPr>
          <w:p w14:paraId="2E8C2B04"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117D081000005</w:t>
            </w:r>
          </w:p>
        </w:tc>
        <w:tc>
          <w:tcPr>
            <w:tcW w:w="3685" w:type="dxa"/>
            <w:vAlign w:val="center"/>
            <w:hideMark/>
          </w:tcPr>
          <w:p w14:paraId="525AFF7C" w14:textId="569CA07D" w:rsidR="009368EC" w:rsidRPr="000B1E7D" w:rsidRDefault="009368EC" w:rsidP="00E55D29">
            <w:pPr>
              <w:widowControl w:val="0"/>
              <w:spacing w:after="0"/>
              <w:rPr>
                <w:rFonts w:ascii="Calibri" w:hAnsi="Calibri" w:cs="Calibri"/>
                <w:color w:val="000000"/>
                <w:sz w:val="19"/>
                <w:szCs w:val="19"/>
              </w:rPr>
            </w:pPr>
            <w:r>
              <w:rPr>
                <w:rFonts w:ascii="Calibri" w:hAnsi="Calibri" w:cs="Calibri"/>
                <w:color w:val="000000"/>
                <w:sz w:val="19"/>
                <w:szCs w:val="19"/>
              </w:rPr>
              <w:t>Demolice obytných domů na ul. </w:t>
            </w:r>
            <w:r w:rsidRPr="000B1E7D">
              <w:rPr>
                <w:rFonts w:ascii="Calibri" w:hAnsi="Calibri" w:cs="Calibri"/>
                <w:color w:val="000000"/>
                <w:sz w:val="19"/>
                <w:szCs w:val="19"/>
              </w:rPr>
              <w:t>Obránců míru 9</w:t>
            </w:r>
            <w:r w:rsidR="00E55D29">
              <w:rPr>
                <w:rFonts w:ascii="Calibri" w:hAnsi="Calibri" w:cs="Calibri"/>
                <w:color w:val="000000"/>
                <w:sz w:val="19"/>
                <w:szCs w:val="19"/>
              </w:rPr>
              <w:t>–</w:t>
            </w:r>
            <w:r w:rsidRPr="000B1E7D">
              <w:rPr>
                <w:rFonts w:ascii="Calibri" w:hAnsi="Calibri" w:cs="Calibri"/>
                <w:color w:val="000000"/>
                <w:sz w:val="19"/>
                <w:szCs w:val="19"/>
              </w:rPr>
              <w:t xml:space="preserve">15, Havířov </w:t>
            </w:r>
            <w:r w:rsidR="00E55D29">
              <w:rPr>
                <w:rFonts w:ascii="Calibri" w:hAnsi="Calibri" w:cs="Calibri"/>
                <w:color w:val="000000"/>
                <w:sz w:val="19"/>
                <w:szCs w:val="19"/>
              </w:rPr>
              <w:t>–</w:t>
            </w:r>
            <w:r w:rsidRPr="000B1E7D">
              <w:rPr>
                <w:rFonts w:ascii="Calibri" w:hAnsi="Calibri" w:cs="Calibri"/>
                <w:color w:val="000000"/>
                <w:sz w:val="19"/>
                <w:szCs w:val="19"/>
              </w:rPr>
              <w:t xml:space="preserve"> Šumbark</w:t>
            </w:r>
          </w:p>
        </w:tc>
        <w:tc>
          <w:tcPr>
            <w:tcW w:w="1394" w:type="dxa"/>
            <w:vAlign w:val="center"/>
            <w:hideMark/>
          </w:tcPr>
          <w:p w14:paraId="080827C5"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Statutární město Havířov</w:t>
            </w:r>
          </w:p>
        </w:tc>
        <w:tc>
          <w:tcPr>
            <w:tcW w:w="1441" w:type="dxa"/>
            <w:vAlign w:val="center"/>
            <w:hideMark/>
          </w:tcPr>
          <w:p w14:paraId="3BEA5D60"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Moravskoslezský</w:t>
            </w:r>
          </w:p>
        </w:tc>
        <w:tc>
          <w:tcPr>
            <w:tcW w:w="1162" w:type="dxa"/>
            <w:gridSpan w:val="2"/>
            <w:noWrap/>
            <w:vAlign w:val="center"/>
            <w:hideMark/>
          </w:tcPr>
          <w:p w14:paraId="290CF72E" w14:textId="77777777" w:rsidR="009368EC" w:rsidRPr="000B1E7D" w:rsidRDefault="009368EC" w:rsidP="009368EC">
            <w:pPr>
              <w:widowControl w:val="0"/>
              <w:spacing w:after="0"/>
              <w:jc w:val="right"/>
              <w:rPr>
                <w:rFonts w:ascii="Calibri" w:hAnsi="Calibri" w:cs="Calibri"/>
                <w:color w:val="000000"/>
                <w:sz w:val="19"/>
                <w:szCs w:val="19"/>
              </w:rPr>
            </w:pPr>
            <w:r w:rsidRPr="000B1E7D">
              <w:rPr>
                <w:rFonts w:ascii="Calibri" w:hAnsi="Calibri" w:cs="Calibri"/>
                <w:color w:val="000000"/>
                <w:sz w:val="19"/>
                <w:szCs w:val="19"/>
              </w:rPr>
              <w:t>1 158 323</w:t>
            </w:r>
          </w:p>
        </w:tc>
      </w:tr>
      <w:tr w:rsidR="00E55D29" w:rsidRPr="000B1E7D" w14:paraId="0F513AE9" w14:textId="77777777" w:rsidTr="00270BD2">
        <w:trPr>
          <w:trHeight w:val="255"/>
        </w:trPr>
        <w:tc>
          <w:tcPr>
            <w:tcW w:w="1415" w:type="dxa"/>
            <w:vAlign w:val="center"/>
            <w:hideMark/>
          </w:tcPr>
          <w:p w14:paraId="7372E5C4"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117D081000113</w:t>
            </w:r>
          </w:p>
        </w:tc>
        <w:tc>
          <w:tcPr>
            <w:tcW w:w="3685" w:type="dxa"/>
            <w:vAlign w:val="center"/>
            <w:hideMark/>
          </w:tcPr>
          <w:p w14:paraId="19E588EA" w14:textId="77777777" w:rsidR="009368EC" w:rsidRPr="000B1E7D" w:rsidRDefault="009368EC" w:rsidP="009368EC">
            <w:pPr>
              <w:widowControl w:val="0"/>
              <w:spacing w:after="0"/>
              <w:rPr>
                <w:rFonts w:ascii="Calibri" w:hAnsi="Calibri" w:cs="Calibri"/>
                <w:color w:val="000000"/>
                <w:sz w:val="19"/>
                <w:szCs w:val="19"/>
              </w:rPr>
            </w:pPr>
            <w:r w:rsidRPr="000B1E7D">
              <w:rPr>
                <w:rFonts w:ascii="Calibri" w:hAnsi="Calibri" w:cs="Calibri"/>
                <w:color w:val="000000"/>
                <w:sz w:val="19"/>
                <w:szCs w:val="19"/>
              </w:rPr>
              <w:t>Demolice hotelu U Jezera</w:t>
            </w:r>
          </w:p>
        </w:tc>
        <w:tc>
          <w:tcPr>
            <w:tcW w:w="1394" w:type="dxa"/>
            <w:vAlign w:val="center"/>
            <w:hideMark/>
          </w:tcPr>
          <w:p w14:paraId="15C24477"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Statutární město Chomutov</w:t>
            </w:r>
          </w:p>
        </w:tc>
        <w:tc>
          <w:tcPr>
            <w:tcW w:w="1441" w:type="dxa"/>
            <w:vAlign w:val="center"/>
            <w:hideMark/>
          </w:tcPr>
          <w:p w14:paraId="58C93955"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Ústecký</w:t>
            </w:r>
          </w:p>
        </w:tc>
        <w:tc>
          <w:tcPr>
            <w:tcW w:w="1162" w:type="dxa"/>
            <w:gridSpan w:val="2"/>
            <w:noWrap/>
            <w:vAlign w:val="center"/>
            <w:hideMark/>
          </w:tcPr>
          <w:p w14:paraId="3AA9633F" w14:textId="77777777" w:rsidR="009368EC" w:rsidRPr="000B1E7D" w:rsidRDefault="009368EC" w:rsidP="009368EC">
            <w:pPr>
              <w:widowControl w:val="0"/>
              <w:spacing w:after="0"/>
              <w:jc w:val="right"/>
              <w:rPr>
                <w:rFonts w:ascii="Calibri" w:hAnsi="Calibri" w:cs="Calibri"/>
                <w:color w:val="000000"/>
                <w:sz w:val="19"/>
                <w:szCs w:val="19"/>
              </w:rPr>
            </w:pPr>
            <w:r w:rsidRPr="000B1E7D">
              <w:rPr>
                <w:rFonts w:ascii="Calibri" w:hAnsi="Calibri" w:cs="Calibri"/>
                <w:color w:val="000000"/>
                <w:sz w:val="19"/>
                <w:szCs w:val="19"/>
              </w:rPr>
              <w:t>2 121 174</w:t>
            </w:r>
          </w:p>
        </w:tc>
      </w:tr>
      <w:tr w:rsidR="00E55D29" w:rsidRPr="000B1E7D" w14:paraId="4D6B456E" w14:textId="77777777" w:rsidTr="00270BD2">
        <w:trPr>
          <w:trHeight w:val="510"/>
        </w:trPr>
        <w:tc>
          <w:tcPr>
            <w:tcW w:w="1415" w:type="dxa"/>
            <w:vAlign w:val="center"/>
            <w:hideMark/>
          </w:tcPr>
          <w:p w14:paraId="3A4DBA03"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117D081000111</w:t>
            </w:r>
          </w:p>
        </w:tc>
        <w:tc>
          <w:tcPr>
            <w:tcW w:w="3685" w:type="dxa"/>
            <w:vAlign w:val="center"/>
            <w:hideMark/>
          </w:tcPr>
          <w:p w14:paraId="52E5D5DD" w14:textId="51C5B7F2" w:rsidR="009368EC" w:rsidRPr="000B1E7D" w:rsidRDefault="009368EC" w:rsidP="00E55D29">
            <w:pPr>
              <w:widowControl w:val="0"/>
              <w:spacing w:after="0"/>
              <w:rPr>
                <w:rFonts w:ascii="Calibri" w:hAnsi="Calibri" w:cs="Calibri"/>
                <w:color w:val="000000"/>
                <w:sz w:val="19"/>
                <w:szCs w:val="19"/>
              </w:rPr>
            </w:pPr>
            <w:r>
              <w:rPr>
                <w:rFonts w:ascii="Calibri" w:hAnsi="Calibri" w:cs="Calibri"/>
                <w:color w:val="000000"/>
                <w:sz w:val="19"/>
                <w:szCs w:val="19"/>
              </w:rPr>
              <w:t>Demolice domu č.</w:t>
            </w:r>
            <w:r w:rsidR="00E55D29">
              <w:rPr>
                <w:rFonts w:ascii="Calibri" w:hAnsi="Calibri" w:cs="Calibri"/>
                <w:color w:val="000000"/>
                <w:sz w:val="19"/>
                <w:szCs w:val="19"/>
              </w:rPr>
              <w:t> </w:t>
            </w:r>
            <w:r>
              <w:rPr>
                <w:rFonts w:ascii="Calibri" w:hAnsi="Calibri" w:cs="Calibri"/>
                <w:color w:val="000000"/>
                <w:sz w:val="19"/>
                <w:szCs w:val="19"/>
              </w:rPr>
              <w:t>p. 1248</w:t>
            </w:r>
            <w:r w:rsidR="00E55D29">
              <w:rPr>
                <w:rFonts w:ascii="Calibri" w:hAnsi="Calibri" w:cs="Calibri"/>
                <w:color w:val="000000"/>
                <w:sz w:val="19"/>
                <w:szCs w:val="19"/>
              </w:rPr>
              <w:t>–</w:t>
            </w:r>
            <w:r>
              <w:rPr>
                <w:rFonts w:ascii="Calibri" w:hAnsi="Calibri" w:cs="Calibri"/>
                <w:color w:val="000000"/>
                <w:sz w:val="19"/>
                <w:szCs w:val="19"/>
              </w:rPr>
              <w:t xml:space="preserve">1251 </w:t>
            </w:r>
            <w:r w:rsidR="00E55D29">
              <w:rPr>
                <w:rFonts w:ascii="Calibri" w:hAnsi="Calibri" w:cs="Calibri"/>
                <w:color w:val="000000"/>
                <w:sz w:val="19"/>
                <w:szCs w:val="19"/>
              </w:rPr>
              <w:br/>
            </w:r>
            <w:r>
              <w:rPr>
                <w:rFonts w:ascii="Calibri" w:hAnsi="Calibri" w:cs="Calibri"/>
                <w:color w:val="000000"/>
                <w:sz w:val="19"/>
                <w:szCs w:val="19"/>
              </w:rPr>
              <w:t>v </w:t>
            </w:r>
            <w:r w:rsidRPr="000B1E7D">
              <w:rPr>
                <w:rFonts w:ascii="Calibri" w:hAnsi="Calibri" w:cs="Calibri"/>
                <w:color w:val="000000"/>
                <w:sz w:val="19"/>
                <w:szCs w:val="19"/>
              </w:rPr>
              <w:t>Karviné-Novém Městě</w:t>
            </w:r>
          </w:p>
        </w:tc>
        <w:tc>
          <w:tcPr>
            <w:tcW w:w="1394" w:type="dxa"/>
            <w:vAlign w:val="center"/>
            <w:hideMark/>
          </w:tcPr>
          <w:p w14:paraId="564A51C8"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Statutární město Karviná</w:t>
            </w:r>
          </w:p>
        </w:tc>
        <w:tc>
          <w:tcPr>
            <w:tcW w:w="1441" w:type="dxa"/>
            <w:vAlign w:val="center"/>
            <w:hideMark/>
          </w:tcPr>
          <w:p w14:paraId="7C303EF8"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Moravskoslezský</w:t>
            </w:r>
          </w:p>
        </w:tc>
        <w:tc>
          <w:tcPr>
            <w:tcW w:w="1162" w:type="dxa"/>
            <w:gridSpan w:val="2"/>
            <w:noWrap/>
            <w:vAlign w:val="center"/>
            <w:hideMark/>
          </w:tcPr>
          <w:p w14:paraId="61EC9DB6" w14:textId="77777777" w:rsidR="009368EC" w:rsidRPr="000B1E7D" w:rsidRDefault="009368EC" w:rsidP="009368EC">
            <w:pPr>
              <w:widowControl w:val="0"/>
              <w:spacing w:after="0"/>
              <w:jc w:val="right"/>
              <w:rPr>
                <w:rFonts w:ascii="Calibri" w:hAnsi="Calibri" w:cs="Calibri"/>
                <w:color w:val="000000"/>
                <w:sz w:val="19"/>
                <w:szCs w:val="19"/>
              </w:rPr>
            </w:pPr>
            <w:r w:rsidRPr="000B1E7D">
              <w:rPr>
                <w:rFonts w:ascii="Calibri" w:hAnsi="Calibri" w:cs="Calibri"/>
                <w:color w:val="000000"/>
                <w:sz w:val="19"/>
                <w:szCs w:val="19"/>
              </w:rPr>
              <w:t>1 720 731</w:t>
            </w:r>
          </w:p>
        </w:tc>
      </w:tr>
      <w:tr w:rsidR="00E55D29" w:rsidRPr="000B1E7D" w14:paraId="02A752DE" w14:textId="77777777" w:rsidTr="00270BD2">
        <w:trPr>
          <w:trHeight w:val="510"/>
        </w:trPr>
        <w:tc>
          <w:tcPr>
            <w:tcW w:w="1415" w:type="dxa"/>
            <w:vAlign w:val="center"/>
            <w:hideMark/>
          </w:tcPr>
          <w:p w14:paraId="27535F89"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117D081000204</w:t>
            </w:r>
          </w:p>
        </w:tc>
        <w:tc>
          <w:tcPr>
            <w:tcW w:w="3685" w:type="dxa"/>
            <w:vAlign w:val="center"/>
            <w:hideMark/>
          </w:tcPr>
          <w:p w14:paraId="4484C4B0" w14:textId="77777777" w:rsidR="009368EC" w:rsidRPr="000B1E7D" w:rsidRDefault="009368EC" w:rsidP="009368EC">
            <w:pPr>
              <w:widowControl w:val="0"/>
              <w:spacing w:after="0"/>
              <w:rPr>
                <w:rFonts w:ascii="Calibri" w:hAnsi="Calibri" w:cs="Calibri"/>
                <w:color w:val="000000"/>
                <w:sz w:val="19"/>
                <w:szCs w:val="19"/>
              </w:rPr>
            </w:pPr>
            <w:r>
              <w:rPr>
                <w:rFonts w:ascii="Calibri" w:hAnsi="Calibri" w:cs="Calibri"/>
                <w:color w:val="000000"/>
                <w:sz w:val="19"/>
                <w:szCs w:val="19"/>
              </w:rPr>
              <w:t>Demolice domu č.p. 1203-1206 v </w:t>
            </w:r>
            <w:r w:rsidRPr="000B1E7D">
              <w:rPr>
                <w:rFonts w:ascii="Calibri" w:hAnsi="Calibri" w:cs="Calibri"/>
                <w:color w:val="000000"/>
                <w:sz w:val="19"/>
                <w:szCs w:val="19"/>
              </w:rPr>
              <w:t>Karviné-Novém Městě</w:t>
            </w:r>
          </w:p>
        </w:tc>
        <w:tc>
          <w:tcPr>
            <w:tcW w:w="1394" w:type="dxa"/>
            <w:vAlign w:val="center"/>
            <w:hideMark/>
          </w:tcPr>
          <w:p w14:paraId="347A7D70"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Statutární město Karviná</w:t>
            </w:r>
          </w:p>
        </w:tc>
        <w:tc>
          <w:tcPr>
            <w:tcW w:w="1441" w:type="dxa"/>
            <w:vAlign w:val="center"/>
            <w:hideMark/>
          </w:tcPr>
          <w:p w14:paraId="5A2B01EF"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Moravskoslezský</w:t>
            </w:r>
          </w:p>
        </w:tc>
        <w:tc>
          <w:tcPr>
            <w:tcW w:w="1162" w:type="dxa"/>
            <w:gridSpan w:val="2"/>
            <w:noWrap/>
            <w:vAlign w:val="center"/>
            <w:hideMark/>
          </w:tcPr>
          <w:p w14:paraId="3EF61C45" w14:textId="77777777" w:rsidR="009368EC" w:rsidRPr="000B1E7D" w:rsidRDefault="009368EC" w:rsidP="009368EC">
            <w:pPr>
              <w:widowControl w:val="0"/>
              <w:spacing w:after="0"/>
              <w:jc w:val="right"/>
              <w:rPr>
                <w:rFonts w:ascii="Calibri" w:hAnsi="Calibri" w:cs="Calibri"/>
                <w:color w:val="000000"/>
                <w:sz w:val="19"/>
                <w:szCs w:val="19"/>
              </w:rPr>
            </w:pPr>
            <w:r w:rsidRPr="000B1E7D">
              <w:rPr>
                <w:rFonts w:ascii="Calibri" w:hAnsi="Calibri" w:cs="Calibri"/>
                <w:color w:val="000000"/>
                <w:sz w:val="19"/>
                <w:szCs w:val="19"/>
              </w:rPr>
              <w:t>1 600 000</w:t>
            </w:r>
          </w:p>
        </w:tc>
      </w:tr>
      <w:tr w:rsidR="00E55D29" w:rsidRPr="000B1E7D" w14:paraId="15D73488" w14:textId="77777777" w:rsidTr="00270BD2">
        <w:trPr>
          <w:trHeight w:val="510"/>
        </w:trPr>
        <w:tc>
          <w:tcPr>
            <w:tcW w:w="1415" w:type="dxa"/>
            <w:vAlign w:val="center"/>
            <w:hideMark/>
          </w:tcPr>
          <w:p w14:paraId="6822D348"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117D081000103</w:t>
            </w:r>
          </w:p>
        </w:tc>
        <w:tc>
          <w:tcPr>
            <w:tcW w:w="3685" w:type="dxa"/>
            <w:vAlign w:val="center"/>
            <w:hideMark/>
          </w:tcPr>
          <w:p w14:paraId="1B1059B0" w14:textId="77777777" w:rsidR="009368EC" w:rsidRPr="000B1E7D" w:rsidRDefault="009368EC" w:rsidP="009368EC">
            <w:pPr>
              <w:widowControl w:val="0"/>
              <w:spacing w:after="0"/>
              <w:rPr>
                <w:rFonts w:ascii="Calibri" w:hAnsi="Calibri" w:cs="Calibri"/>
                <w:color w:val="000000"/>
                <w:sz w:val="19"/>
                <w:szCs w:val="19"/>
              </w:rPr>
            </w:pPr>
            <w:r>
              <w:rPr>
                <w:rFonts w:ascii="Calibri" w:hAnsi="Calibri" w:cs="Calibri"/>
                <w:color w:val="000000"/>
                <w:sz w:val="19"/>
                <w:szCs w:val="19"/>
              </w:rPr>
              <w:t>Demolice bytových domů na ul. Škodova v </w:t>
            </w:r>
            <w:r w:rsidRPr="000B1E7D">
              <w:rPr>
                <w:rFonts w:ascii="Calibri" w:hAnsi="Calibri" w:cs="Calibri"/>
                <w:color w:val="000000"/>
                <w:sz w:val="19"/>
                <w:szCs w:val="19"/>
              </w:rPr>
              <w:t>Přerově</w:t>
            </w:r>
          </w:p>
        </w:tc>
        <w:tc>
          <w:tcPr>
            <w:tcW w:w="1394" w:type="dxa"/>
            <w:vAlign w:val="center"/>
            <w:hideMark/>
          </w:tcPr>
          <w:p w14:paraId="5D4D67F6"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Statutární město Přerov</w:t>
            </w:r>
          </w:p>
        </w:tc>
        <w:tc>
          <w:tcPr>
            <w:tcW w:w="1441" w:type="dxa"/>
            <w:vAlign w:val="center"/>
            <w:hideMark/>
          </w:tcPr>
          <w:p w14:paraId="7D9A3CF4"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Olomoucký</w:t>
            </w:r>
          </w:p>
        </w:tc>
        <w:tc>
          <w:tcPr>
            <w:tcW w:w="1162" w:type="dxa"/>
            <w:gridSpan w:val="2"/>
            <w:noWrap/>
            <w:vAlign w:val="center"/>
            <w:hideMark/>
          </w:tcPr>
          <w:p w14:paraId="21214EC2" w14:textId="77777777" w:rsidR="009368EC" w:rsidRPr="000B1E7D" w:rsidRDefault="009368EC" w:rsidP="009368EC">
            <w:pPr>
              <w:widowControl w:val="0"/>
              <w:spacing w:after="0"/>
              <w:jc w:val="right"/>
              <w:rPr>
                <w:rFonts w:ascii="Calibri" w:hAnsi="Calibri" w:cs="Calibri"/>
                <w:color w:val="000000"/>
                <w:sz w:val="19"/>
                <w:szCs w:val="19"/>
              </w:rPr>
            </w:pPr>
            <w:r w:rsidRPr="000B1E7D">
              <w:rPr>
                <w:rFonts w:ascii="Calibri" w:hAnsi="Calibri" w:cs="Calibri"/>
                <w:color w:val="000000"/>
                <w:sz w:val="19"/>
                <w:szCs w:val="19"/>
              </w:rPr>
              <w:t>2 610 906</w:t>
            </w:r>
          </w:p>
        </w:tc>
      </w:tr>
      <w:tr w:rsidR="00E55D29" w:rsidRPr="000B1E7D" w14:paraId="403185F0" w14:textId="77777777" w:rsidTr="00270BD2">
        <w:trPr>
          <w:trHeight w:val="510"/>
        </w:trPr>
        <w:tc>
          <w:tcPr>
            <w:tcW w:w="1415" w:type="dxa"/>
            <w:vAlign w:val="center"/>
            <w:hideMark/>
          </w:tcPr>
          <w:p w14:paraId="7C0706E4"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117D081000217</w:t>
            </w:r>
          </w:p>
        </w:tc>
        <w:tc>
          <w:tcPr>
            <w:tcW w:w="3685" w:type="dxa"/>
            <w:vAlign w:val="center"/>
            <w:hideMark/>
          </w:tcPr>
          <w:p w14:paraId="34A04F97" w14:textId="77777777" w:rsidR="009368EC" w:rsidRPr="000B1E7D" w:rsidRDefault="009368EC" w:rsidP="009368EC">
            <w:pPr>
              <w:widowControl w:val="0"/>
              <w:spacing w:after="0"/>
              <w:rPr>
                <w:rFonts w:ascii="Calibri" w:hAnsi="Calibri" w:cs="Calibri"/>
                <w:color w:val="000000"/>
                <w:sz w:val="19"/>
                <w:szCs w:val="19"/>
              </w:rPr>
            </w:pPr>
            <w:r w:rsidRPr="000B1E7D">
              <w:rPr>
                <w:rFonts w:ascii="Calibri" w:hAnsi="Calibri" w:cs="Calibri"/>
                <w:color w:val="000000"/>
                <w:sz w:val="19"/>
                <w:szCs w:val="19"/>
              </w:rPr>
              <w:t>Demolice bytového domu Kojetínská 1831</w:t>
            </w:r>
          </w:p>
        </w:tc>
        <w:tc>
          <w:tcPr>
            <w:tcW w:w="1394" w:type="dxa"/>
            <w:vAlign w:val="center"/>
            <w:hideMark/>
          </w:tcPr>
          <w:p w14:paraId="051A29F4"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Statutární město Přerov</w:t>
            </w:r>
          </w:p>
        </w:tc>
        <w:tc>
          <w:tcPr>
            <w:tcW w:w="1441" w:type="dxa"/>
            <w:vAlign w:val="center"/>
            <w:hideMark/>
          </w:tcPr>
          <w:p w14:paraId="57C81DCD" w14:textId="77777777" w:rsidR="009368EC" w:rsidRPr="000B1E7D" w:rsidRDefault="009368EC" w:rsidP="009368EC">
            <w:pPr>
              <w:widowControl w:val="0"/>
              <w:spacing w:after="0"/>
              <w:jc w:val="center"/>
              <w:rPr>
                <w:rFonts w:ascii="Calibri" w:hAnsi="Calibri" w:cs="Calibri"/>
                <w:color w:val="000000"/>
                <w:sz w:val="19"/>
                <w:szCs w:val="19"/>
              </w:rPr>
            </w:pPr>
            <w:r w:rsidRPr="000B1E7D">
              <w:rPr>
                <w:rFonts w:ascii="Calibri" w:hAnsi="Calibri" w:cs="Calibri"/>
                <w:color w:val="000000"/>
                <w:sz w:val="19"/>
                <w:szCs w:val="19"/>
              </w:rPr>
              <w:t>Olomoucký</w:t>
            </w:r>
          </w:p>
        </w:tc>
        <w:tc>
          <w:tcPr>
            <w:tcW w:w="1162" w:type="dxa"/>
            <w:gridSpan w:val="2"/>
            <w:noWrap/>
            <w:vAlign w:val="center"/>
            <w:hideMark/>
          </w:tcPr>
          <w:p w14:paraId="332C2919" w14:textId="77777777" w:rsidR="009368EC" w:rsidRPr="000B1E7D" w:rsidRDefault="009368EC" w:rsidP="009368EC">
            <w:pPr>
              <w:widowControl w:val="0"/>
              <w:spacing w:after="0"/>
              <w:jc w:val="right"/>
              <w:rPr>
                <w:rFonts w:ascii="Calibri" w:hAnsi="Calibri" w:cs="Calibri"/>
                <w:color w:val="000000"/>
                <w:sz w:val="19"/>
                <w:szCs w:val="19"/>
              </w:rPr>
            </w:pPr>
            <w:r w:rsidRPr="000B1E7D">
              <w:rPr>
                <w:rFonts w:ascii="Calibri" w:hAnsi="Calibri" w:cs="Calibri"/>
                <w:color w:val="000000"/>
                <w:sz w:val="19"/>
                <w:szCs w:val="19"/>
              </w:rPr>
              <w:t>5 444 288</w:t>
            </w:r>
          </w:p>
        </w:tc>
      </w:tr>
      <w:tr w:rsidR="009368EC" w:rsidRPr="000B1E7D" w14:paraId="7BEE96E7" w14:textId="77777777" w:rsidTr="00270BD2">
        <w:trPr>
          <w:gridAfter w:val="1"/>
          <w:wAfter w:w="22" w:type="dxa"/>
          <w:trHeight w:val="255"/>
        </w:trPr>
        <w:tc>
          <w:tcPr>
            <w:tcW w:w="7935" w:type="dxa"/>
            <w:gridSpan w:val="4"/>
            <w:shd w:val="clear" w:color="auto" w:fill="F2C6C9"/>
            <w:noWrap/>
            <w:vAlign w:val="center"/>
            <w:hideMark/>
          </w:tcPr>
          <w:p w14:paraId="46EC2A91" w14:textId="77777777" w:rsidR="009368EC" w:rsidRPr="000B1E7D" w:rsidRDefault="009368EC" w:rsidP="009368EC">
            <w:pPr>
              <w:widowControl w:val="0"/>
              <w:spacing w:after="0"/>
              <w:jc w:val="center"/>
              <w:rPr>
                <w:rFonts w:ascii="Calibri" w:hAnsi="Calibri" w:cs="Calibri"/>
                <w:b/>
                <w:bCs/>
                <w:color w:val="000000"/>
                <w:sz w:val="19"/>
                <w:szCs w:val="19"/>
              </w:rPr>
            </w:pPr>
            <w:r w:rsidRPr="000B1E7D">
              <w:rPr>
                <w:rFonts w:ascii="Calibri" w:hAnsi="Calibri" w:cs="Calibri"/>
                <w:b/>
                <w:bCs/>
                <w:color w:val="000000"/>
                <w:sz w:val="19"/>
                <w:szCs w:val="19"/>
              </w:rPr>
              <w:t>Celkem</w:t>
            </w:r>
          </w:p>
        </w:tc>
        <w:tc>
          <w:tcPr>
            <w:tcW w:w="1140" w:type="dxa"/>
            <w:shd w:val="clear" w:color="auto" w:fill="F2C6C9"/>
            <w:noWrap/>
            <w:vAlign w:val="center"/>
            <w:hideMark/>
          </w:tcPr>
          <w:p w14:paraId="6D29E978" w14:textId="77777777" w:rsidR="009368EC" w:rsidRPr="000B1E7D" w:rsidRDefault="009368EC" w:rsidP="009368EC">
            <w:pPr>
              <w:widowControl w:val="0"/>
              <w:spacing w:after="0"/>
              <w:jc w:val="right"/>
              <w:rPr>
                <w:rFonts w:ascii="Calibri" w:hAnsi="Calibri" w:cs="Calibri"/>
                <w:b/>
                <w:bCs/>
                <w:color w:val="000000"/>
                <w:sz w:val="19"/>
                <w:szCs w:val="19"/>
              </w:rPr>
            </w:pPr>
            <w:r w:rsidRPr="000B1E7D">
              <w:rPr>
                <w:rFonts w:ascii="Calibri" w:hAnsi="Calibri" w:cs="Calibri"/>
                <w:b/>
                <w:bCs/>
                <w:color w:val="000000"/>
                <w:sz w:val="19"/>
                <w:szCs w:val="19"/>
              </w:rPr>
              <w:t>46 641 005</w:t>
            </w:r>
          </w:p>
        </w:tc>
      </w:tr>
    </w:tbl>
    <w:p w14:paraId="0B2014EE" w14:textId="77777777" w:rsidR="000B1E7D" w:rsidRDefault="000B1E7D" w:rsidP="000B1E7D">
      <w:pPr>
        <w:widowControl w:val="0"/>
        <w:rPr>
          <w:sz w:val="20"/>
        </w:rPr>
      </w:pPr>
    </w:p>
    <w:p w14:paraId="68CFAF6C" w14:textId="77777777" w:rsidR="00FB2279" w:rsidRDefault="00FB2279" w:rsidP="008169BF">
      <w:pPr>
        <w:keepNext/>
        <w:keepLines/>
        <w:rPr>
          <w:iCs/>
          <w:lang w:eastAsia="en-US"/>
        </w:rPr>
        <w:sectPr w:rsidR="00FB2279" w:rsidSect="006258DB">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851" w:footer="567" w:gutter="0"/>
          <w:cols w:space="708"/>
          <w:titlePg/>
          <w:docGrid w:linePitch="360"/>
        </w:sectPr>
      </w:pPr>
    </w:p>
    <w:p w14:paraId="0289AE96" w14:textId="303664F7" w:rsidR="00E55D29" w:rsidRDefault="00EC4C55" w:rsidP="00BF6818">
      <w:pPr>
        <w:keepNext/>
        <w:keepLines/>
        <w:jc w:val="right"/>
        <w:rPr>
          <w:b/>
          <w:iCs/>
          <w:lang w:eastAsia="en-US"/>
        </w:rPr>
      </w:pPr>
      <w:r w:rsidRPr="00FB2279">
        <w:rPr>
          <w:b/>
          <w:iCs/>
          <w:lang w:eastAsia="en-US"/>
        </w:rPr>
        <w:t xml:space="preserve">Příloha č. </w:t>
      </w:r>
      <w:r w:rsidRPr="00FB2279">
        <w:rPr>
          <w:b/>
          <w:iCs/>
          <w:lang w:eastAsia="en-US"/>
        </w:rPr>
        <w:fldChar w:fldCharType="begin"/>
      </w:r>
      <w:r w:rsidRPr="00FB2279">
        <w:rPr>
          <w:b/>
          <w:iCs/>
          <w:lang w:eastAsia="en-US"/>
        </w:rPr>
        <w:instrText xml:space="preserve"> SEQ Příloha_č. \* ARABIC </w:instrText>
      </w:r>
      <w:r w:rsidRPr="00FB2279">
        <w:rPr>
          <w:b/>
          <w:iCs/>
          <w:lang w:eastAsia="en-US"/>
        </w:rPr>
        <w:fldChar w:fldCharType="separate"/>
      </w:r>
      <w:r w:rsidR="00D22FA5">
        <w:rPr>
          <w:b/>
          <w:iCs/>
          <w:noProof/>
          <w:lang w:eastAsia="en-US"/>
        </w:rPr>
        <w:t>2</w:t>
      </w:r>
      <w:r w:rsidRPr="00FB2279">
        <w:rPr>
          <w:b/>
          <w:iCs/>
          <w:lang w:eastAsia="en-US"/>
        </w:rPr>
        <w:fldChar w:fldCharType="end"/>
      </w:r>
    </w:p>
    <w:p w14:paraId="76FB56A1" w14:textId="77777777" w:rsidR="0078584C" w:rsidRPr="00FB2279" w:rsidRDefault="00EC4C55" w:rsidP="0078584C">
      <w:pPr>
        <w:keepNext/>
        <w:keepLines/>
        <w:rPr>
          <w:b/>
          <w:iCs/>
          <w:lang w:eastAsia="en-US"/>
        </w:rPr>
      </w:pPr>
      <w:r w:rsidRPr="00927DA0">
        <w:rPr>
          <w:b/>
          <w:iCs/>
          <w:lang w:eastAsia="en-US"/>
        </w:rPr>
        <w:t>Projekty demolic podpořené z podprogramu k 6. 11. 2019</w:t>
      </w:r>
    </w:p>
    <w:p w14:paraId="233749CA" w14:textId="77777777" w:rsidR="0078584C" w:rsidRDefault="00EC4C55" w:rsidP="00F32FFF">
      <w:pPr>
        <w:keepNext/>
        <w:keepLines/>
        <w:jc w:val="center"/>
        <w:rPr>
          <w:iCs/>
          <w:highlight w:val="yellow"/>
          <w:lang w:eastAsia="en-US"/>
        </w:rPr>
      </w:pPr>
      <w:r>
        <w:rPr>
          <w:noProof/>
        </w:rPr>
        <mc:AlternateContent>
          <mc:Choice Requires="wpg">
            <w:drawing>
              <wp:anchor distT="0" distB="0" distL="114300" distR="114300" simplePos="0" relativeHeight="251659264" behindDoc="0" locked="0" layoutInCell="1" allowOverlap="1" wp14:anchorId="06933B69" wp14:editId="595ACF09">
                <wp:simplePos x="0" y="0"/>
                <wp:positionH relativeFrom="column">
                  <wp:posOffset>6396355</wp:posOffset>
                </wp:positionH>
                <wp:positionV relativeFrom="paragraph">
                  <wp:posOffset>381000</wp:posOffset>
                </wp:positionV>
                <wp:extent cx="1790700" cy="493904"/>
                <wp:effectExtent l="0" t="0" r="0" b="1905"/>
                <wp:wrapNone/>
                <wp:docPr id="5" name="Skupina 5"/>
                <wp:cNvGraphicFramePr/>
                <a:graphic xmlns:a="http://schemas.openxmlformats.org/drawingml/2006/main">
                  <a:graphicData uri="http://schemas.microsoft.com/office/word/2010/wordprocessingGroup">
                    <wpg:wgp>
                      <wpg:cNvGrpSpPr/>
                      <wpg:grpSpPr>
                        <a:xfrm>
                          <a:off x="0" y="0"/>
                          <a:ext cx="1790700" cy="493904"/>
                          <a:chOff x="0" y="0"/>
                          <a:chExt cx="2322830" cy="499650"/>
                        </a:xfrm>
                      </wpg:grpSpPr>
                      <wpg:grpSp>
                        <wpg:cNvPr id="7" name="Skupina 7"/>
                        <wpg:cNvGrpSpPr/>
                        <wpg:grpSpPr>
                          <a:xfrm>
                            <a:off x="0" y="0"/>
                            <a:ext cx="2322830" cy="252000"/>
                            <a:chOff x="0" y="-19050"/>
                            <a:chExt cx="2322830" cy="252000"/>
                          </a:xfrm>
                        </wpg:grpSpPr>
                        <wps:wsp>
                          <wps:cNvPr id="8" name="Obdélník 8"/>
                          <wps:cNvSpPr/>
                          <wps:spPr>
                            <a:xfrm>
                              <a:off x="215993" y="-19050"/>
                              <a:ext cx="2106837" cy="252000"/>
                            </a:xfrm>
                            <a:prstGeom prst="rect">
                              <a:avLst/>
                            </a:prstGeom>
                            <a:solidFill>
                              <a:sysClr val="window" lastClr="FFFFFF"/>
                            </a:solidFill>
                            <a:ln w="25400">
                              <a:noFill/>
                            </a:ln>
                            <a:effectLst/>
                          </wps:spPr>
                          <wps:txbx>
                            <w:txbxContent>
                              <w:p w14:paraId="01A04932" w14:textId="77777777" w:rsidR="00CA7D59" w:rsidRPr="00131A73" w:rsidRDefault="00CA7D59" w:rsidP="0078584C">
                                <w:pPr>
                                  <w:rPr>
                                    <w:sz w:val="20"/>
                                    <w:szCs w:val="20"/>
                                  </w:rPr>
                                </w:pPr>
                                <w:r>
                                  <w:rPr>
                                    <w:sz w:val="20"/>
                                    <w:szCs w:val="20"/>
                                  </w:rPr>
                                  <w:t xml:space="preserve">Projekty v obcích </w:t>
                                </w:r>
                                <w:r w:rsidRPr="00131A73">
                                  <w:rPr>
                                    <w:sz w:val="20"/>
                                    <w:szCs w:val="20"/>
                                  </w:rPr>
                                  <w:t>se SVL</w:t>
                                </w:r>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9" name="Obdélník 9"/>
                          <wps:cNvSpPr/>
                          <wps:spPr>
                            <a:xfrm>
                              <a:off x="0" y="0"/>
                              <a:ext cx="180000" cy="180000"/>
                            </a:xfrm>
                            <a:prstGeom prst="rect">
                              <a:avLst/>
                            </a:prstGeom>
                            <a:solidFill>
                              <a:srgbClr val="C00000"/>
                            </a:solidFill>
                            <a:ln w="25400">
                              <a:noFill/>
                            </a:ln>
                            <a:effectLst/>
                          </wps:spPr>
                          <wps:bodyPr rot="0" spcFirstLastPara="0" vertOverflow="overflow" horzOverflow="overflow" vert="horz" wrap="square" numCol="1" spcCol="0" rtlCol="0" fromWordArt="0" anchor="ctr" anchorCtr="0" forceAA="0" compatLnSpc="1">
                            <a:prstTxWarp prst="textNoShape">
                              <a:avLst/>
                            </a:prstTxWarp>
                          </wps:bodyPr>
                        </wps:wsp>
                      </wpg:grpSp>
                      <wpg:grpSp>
                        <wpg:cNvPr id="10" name="Skupina 10"/>
                        <wpg:cNvGrpSpPr/>
                        <wpg:grpSpPr>
                          <a:xfrm>
                            <a:off x="0" y="247650"/>
                            <a:ext cx="2322830" cy="252000"/>
                            <a:chOff x="0" y="-19050"/>
                            <a:chExt cx="2322830" cy="252000"/>
                          </a:xfrm>
                        </wpg:grpSpPr>
                        <wps:wsp>
                          <wps:cNvPr id="11" name="Obdélník 11"/>
                          <wps:cNvSpPr/>
                          <wps:spPr>
                            <a:xfrm>
                              <a:off x="215993" y="-19050"/>
                              <a:ext cx="2106837" cy="252000"/>
                            </a:xfrm>
                            <a:prstGeom prst="rect">
                              <a:avLst/>
                            </a:prstGeom>
                            <a:solidFill>
                              <a:sysClr val="window" lastClr="FFFFFF"/>
                            </a:solidFill>
                            <a:ln w="25400">
                              <a:noFill/>
                            </a:ln>
                            <a:effectLst/>
                          </wps:spPr>
                          <wps:txbx>
                            <w:txbxContent>
                              <w:p w14:paraId="03C78B88" w14:textId="77777777" w:rsidR="00CA7D59" w:rsidRPr="00131A73" w:rsidRDefault="00CA7D59" w:rsidP="0078584C">
                                <w:pPr>
                                  <w:rPr>
                                    <w:sz w:val="20"/>
                                    <w:szCs w:val="20"/>
                                  </w:rPr>
                                </w:pPr>
                                <w:r>
                                  <w:rPr>
                                    <w:sz w:val="20"/>
                                    <w:szCs w:val="20"/>
                                  </w:rPr>
                                  <w:t>Projekty v obcích bez SVL</w:t>
                                </w:r>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12" name="Obdélník 12"/>
                          <wps:cNvSpPr/>
                          <wps:spPr>
                            <a:xfrm>
                              <a:off x="0" y="0"/>
                              <a:ext cx="180000" cy="180000"/>
                            </a:xfrm>
                            <a:prstGeom prst="rect">
                              <a:avLst/>
                            </a:prstGeom>
                            <a:solidFill>
                              <a:srgbClr val="FFFF00"/>
                            </a:solidFill>
                            <a:ln w="25400">
                              <a:noFill/>
                            </a:ln>
                            <a:effectLst/>
                          </wps:spPr>
                          <wps:bodyPr rot="0" spcFirstLastPara="0" vertOverflow="overflow" horzOverflow="overflow" vert="horz" wrap="square" numCol="1" spcCol="0" rtlCol="0" fromWordArt="0" anchor="ctr" anchorCtr="0" forceAA="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w14:anchorId="06933B69" id="Skupina 5" o:spid="_x0000_s1036" style="position:absolute;left:0;text-align:left;margin-left:503.65pt;margin-top:30pt;width:141pt;height:38.9pt;z-index:251659264;mso-position-horizontal-relative:text;mso-position-vertical-relative:text;mso-width-relative:margin;mso-height-relative:margin" coordsize="23228,4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">
                <v:group id="Skupina 7" o:spid="_x0000_s1037" style="position:absolute;width:23228;height:2520" coordorigin=",-190" coordsize="2322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Obdélník 8" o:spid="_x0000_s1038" style="position:absolute;left:2159;top:-190;width:21069;height:2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" fillcolor="window" stroked="f" strokeweight="2pt">
                    <v:textbox>
                      <w:txbxContent>
                        <w:p w14:paraId="01A04932" w14:textId="77777777" w:rsidR="00CA7D59" w:rsidRPr="00131A73" w:rsidRDefault="00CA7D59" w:rsidP="0078584C">
                          <w:pPr>
                            <w:rPr>
                              <w:sz w:val="20"/>
                              <w:szCs w:val="20"/>
                            </w:rPr>
                          </w:pPr>
                          <w:r>
                            <w:rPr>
                              <w:sz w:val="20"/>
                              <w:szCs w:val="20"/>
                            </w:rPr>
                            <w:t xml:space="preserve">Projekty v obcích </w:t>
                          </w:r>
                          <w:r w:rsidRPr="00131A73">
                            <w:rPr>
                              <w:sz w:val="20"/>
                              <w:szCs w:val="20"/>
                            </w:rPr>
                            <w:t>se SVL</w:t>
                          </w:r>
                        </w:p>
                      </w:txbxContent>
                    </v:textbox>
                  </v:rect>
                  <v:rect id="Obdélník 9" o:spid="_x0000_s1039" style="position:absolute;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" fillcolor="#c00000" stroked="f" strokeweight="2pt"/>
                </v:group>
                <v:group id="Skupina 10" o:spid="_x0000_s1040" style="position:absolute;top:2476;width:23228;height:2520" coordorigin=",-190" coordsize="2322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Obdélník 11" o:spid="_x0000_s1041" style="position:absolute;left:2159;top:-190;width:21069;height:2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" fillcolor="window" stroked="f" strokeweight="2pt">
                    <v:textbox>
                      <w:txbxContent>
                        <w:p w14:paraId="03C78B88" w14:textId="77777777" w:rsidR="00CA7D59" w:rsidRPr="00131A73" w:rsidRDefault="00CA7D59" w:rsidP="0078584C">
                          <w:pPr>
                            <w:rPr>
                              <w:sz w:val="20"/>
                              <w:szCs w:val="20"/>
                            </w:rPr>
                          </w:pPr>
                          <w:r>
                            <w:rPr>
                              <w:sz w:val="20"/>
                              <w:szCs w:val="20"/>
                            </w:rPr>
                            <w:t>Projekty v obcích bez SVL</w:t>
                          </w:r>
                        </w:p>
                      </w:txbxContent>
                    </v:textbox>
                  </v:rect>
                  <v:rect id="Obdélník 12" o:spid="_x0000_s1042" style="position:absolute;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" fillcolor="yellow" stroked="f" strokeweight="2pt"/>
                </v:group>
              </v:group>
            </w:pict>
          </mc:Fallback>
        </mc:AlternateContent>
      </w:r>
      <w:r>
        <w:rPr>
          <w:noProof/>
        </w:rPr>
        <w:drawing>
          <wp:inline distT="0" distB="0" distL="0" distR="0" wp14:anchorId="0BC56656" wp14:editId="2EF3B175">
            <wp:extent cx="8434839" cy="4680000"/>
            <wp:effectExtent l="0" t="0" r="4445" b="635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307455" name=""/>
                    <pic:cNvPicPr/>
                  </pic:nvPicPr>
                  <pic:blipFill>
                    <a:blip r:embed="rId21"/>
                    <a:srcRect b="2239"/>
                    <a:stretch>
                      <a:fillRect/>
                    </a:stretch>
                  </pic:blipFill>
                  <pic:spPr bwMode="auto">
                    <a:xfrm>
                      <a:off x="0" y="0"/>
                      <a:ext cx="8434839" cy="4680000"/>
                    </a:xfrm>
                    <a:prstGeom prst="rect">
                      <a:avLst/>
                    </a:prstGeom>
                    <a:ln>
                      <a:noFill/>
                    </a:ln>
                    <a:extLst>
                      <a:ext uri="{53640926-AAD7-44D8-BBD7-CCE9431645EC}">
                        <a14:shadowObscured xmlns:a14="http://schemas.microsoft.com/office/drawing/2010/main"/>
                      </a:ext>
                    </a:extLst>
                  </pic:spPr>
                </pic:pic>
              </a:graphicData>
            </a:graphic>
          </wp:inline>
        </w:drawing>
      </w:r>
    </w:p>
    <w:p w14:paraId="1B169923" w14:textId="77777777" w:rsidR="0078584C" w:rsidRPr="00177608" w:rsidRDefault="00EC4C55" w:rsidP="0078584C">
      <w:pPr>
        <w:spacing w:after="0"/>
        <w:jc w:val="both"/>
        <w:rPr>
          <w:sz w:val="20"/>
          <w:szCs w:val="20"/>
        </w:rPr>
      </w:pPr>
      <w:r w:rsidRPr="00177608">
        <w:rPr>
          <w:b/>
          <w:iCs/>
          <w:sz w:val="20"/>
          <w:szCs w:val="20"/>
          <w:lang w:eastAsia="en-US"/>
        </w:rPr>
        <w:t xml:space="preserve">Zdroj: </w:t>
      </w:r>
      <w:r w:rsidRPr="00177608">
        <w:rPr>
          <w:sz w:val="20"/>
          <w:szCs w:val="20"/>
        </w:rPr>
        <w:t>MMR.</w:t>
      </w:r>
    </w:p>
    <w:p w14:paraId="4CFD8385" w14:textId="611C015C" w:rsidR="0078584C" w:rsidRPr="00177608" w:rsidRDefault="00EC4C55" w:rsidP="0078584C">
      <w:pPr>
        <w:jc w:val="both"/>
        <w:rPr>
          <w:b/>
          <w:iCs/>
          <w:sz w:val="20"/>
          <w:szCs w:val="20"/>
          <w:lang w:eastAsia="en-US"/>
        </w:rPr>
      </w:pPr>
      <w:r w:rsidRPr="00177608">
        <w:rPr>
          <w:b/>
          <w:sz w:val="20"/>
          <w:szCs w:val="20"/>
        </w:rPr>
        <w:t>Pozn.</w:t>
      </w:r>
      <w:r w:rsidR="00E55D29">
        <w:rPr>
          <w:b/>
          <w:sz w:val="20"/>
          <w:szCs w:val="20"/>
        </w:rPr>
        <w:t>:</w:t>
      </w:r>
      <w:r w:rsidRPr="00177608">
        <w:rPr>
          <w:b/>
          <w:sz w:val="20"/>
          <w:szCs w:val="20"/>
        </w:rPr>
        <w:t xml:space="preserve"> </w:t>
      </w:r>
      <w:r w:rsidRPr="00177608">
        <w:rPr>
          <w:sz w:val="20"/>
          <w:szCs w:val="20"/>
        </w:rPr>
        <w:t xml:space="preserve">Projekty proplacené v období </w:t>
      </w:r>
      <w:r w:rsidR="00270BD2">
        <w:rPr>
          <w:sz w:val="20"/>
          <w:szCs w:val="20"/>
        </w:rPr>
        <w:t xml:space="preserve">od roku </w:t>
      </w:r>
      <w:r w:rsidRPr="00177608">
        <w:rPr>
          <w:sz w:val="20"/>
          <w:szCs w:val="20"/>
        </w:rPr>
        <w:t xml:space="preserve">2016 </w:t>
      </w:r>
      <w:r w:rsidR="00270BD2">
        <w:rPr>
          <w:sz w:val="20"/>
          <w:szCs w:val="20"/>
        </w:rPr>
        <w:t>do</w:t>
      </w:r>
      <w:r w:rsidRPr="00177608">
        <w:rPr>
          <w:sz w:val="20"/>
          <w:szCs w:val="20"/>
        </w:rPr>
        <w:t xml:space="preserve"> 6. 11. 2019.</w:t>
      </w:r>
      <w:r w:rsidRPr="00177608">
        <w:rPr>
          <w:b/>
          <w:iCs/>
          <w:sz w:val="20"/>
          <w:szCs w:val="20"/>
          <w:lang w:eastAsia="en-US"/>
        </w:rPr>
        <w:t xml:space="preserve"> </w:t>
      </w:r>
    </w:p>
    <w:sectPr w:rsidR="0078584C" w:rsidRPr="00177608" w:rsidSect="00FB2279">
      <w:footerReference w:type="first" r:id="rId22"/>
      <w:pgSz w:w="16839" w:h="11907" w:orient="landscape" w:code="9"/>
      <w:pgMar w:top="1417" w:right="1417" w:bottom="1417" w:left="1417"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B682D" w14:textId="77777777" w:rsidR="00CA7D59" w:rsidRDefault="00CA7D59">
      <w:pPr>
        <w:spacing w:after="0"/>
      </w:pPr>
      <w:r>
        <w:separator/>
      </w:r>
    </w:p>
  </w:endnote>
  <w:endnote w:type="continuationSeparator" w:id="0">
    <w:p w14:paraId="6B396FFC" w14:textId="77777777" w:rsidR="00CA7D59" w:rsidRDefault="00CA7D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D2374" w14:textId="77777777" w:rsidR="00CA7D59" w:rsidRDefault="00CA7D59">
    <w:pPr>
      <w:pStyle w:val="Zpat"/>
    </w:pPr>
  </w:p>
  <w:p w14:paraId="5B26033D" w14:textId="77777777" w:rsidR="00CA7D59" w:rsidRDefault="00CA7D5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070954"/>
      <w:docPartObj>
        <w:docPartGallery w:val="Page Numbers (Bottom of Page)"/>
        <w:docPartUnique/>
      </w:docPartObj>
    </w:sdtPr>
    <w:sdtEndPr/>
    <w:sdtContent>
      <w:p w14:paraId="14F8653A" w14:textId="662E528B" w:rsidR="00CA7D59" w:rsidRDefault="00CA7D59" w:rsidP="00063156">
        <w:pPr>
          <w:pStyle w:val="Zpat"/>
          <w:jc w:val="center"/>
        </w:pPr>
        <w:r>
          <w:fldChar w:fldCharType="begin"/>
        </w:r>
        <w:r>
          <w:instrText>PAGE   \* MERGEFORMAT</w:instrText>
        </w:r>
        <w:r>
          <w:fldChar w:fldCharType="separate"/>
        </w:r>
        <w:r w:rsidR="00D22FA5">
          <w:rPr>
            <w:noProof/>
          </w:rPr>
          <w:t>20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19445" w14:textId="77777777" w:rsidR="00CA7D59" w:rsidRDefault="00CA7D59" w:rsidP="00063156">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543236"/>
      <w:docPartObj>
        <w:docPartGallery w:val="Page Numbers (Bottom of Page)"/>
        <w:docPartUnique/>
      </w:docPartObj>
    </w:sdtPr>
    <w:sdtEndPr/>
    <w:sdtContent>
      <w:p w14:paraId="4AEE267C" w14:textId="6ECB93EE" w:rsidR="00CA7D59" w:rsidRDefault="00CA7D59" w:rsidP="00063156">
        <w:pPr>
          <w:pStyle w:val="Zpat"/>
          <w:jc w:val="center"/>
        </w:pPr>
        <w:r>
          <w:fldChar w:fldCharType="begin"/>
        </w:r>
        <w:r>
          <w:instrText>PAGE   \* MERGEFORMAT</w:instrText>
        </w:r>
        <w:r>
          <w:fldChar w:fldCharType="separate"/>
        </w:r>
        <w:r w:rsidR="00D22FA5">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2D5A6" w14:textId="77777777" w:rsidR="00CA7D59" w:rsidRDefault="00CA7D59" w:rsidP="002020FF">
      <w:pPr>
        <w:spacing w:after="0"/>
      </w:pPr>
      <w:r>
        <w:separator/>
      </w:r>
    </w:p>
  </w:footnote>
  <w:footnote w:type="continuationSeparator" w:id="0">
    <w:p w14:paraId="26D33879" w14:textId="77777777" w:rsidR="00CA7D59" w:rsidRDefault="00CA7D59">
      <w:r>
        <w:continuationSeparator/>
      </w:r>
    </w:p>
    <w:p w14:paraId="102A4D6F" w14:textId="77777777" w:rsidR="00CA7D59" w:rsidRDefault="00CA7D59"/>
  </w:footnote>
  <w:footnote w:type="continuationNotice" w:id="1">
    <w:p w14:paraId="2E3343A3" w14:textId="77777777" w:rsidR="00CA7D59" w:rsidRDefault="00CA7D59"/>
    <w:p w14:paraId="7FB699C8" w14:textId="77777777" w:rsidR="00CA7D59" w:rsidRDefault="00CA7D59"/>
  </w:footnote>
  <w:footnote w:id="2">
    <w:p w14:paraId="4D7260AD" w14:textId="7F2A127D" w:rsidR="00CA7D59" w:rsidRDefault="00CA7D59" w:rsidP="0020405C">
      <w:pPr>
        <w:pStyle w:val="Textpoznpodarou"/>
        <w:spacing w:after="0"/>
        <w:ind w:left="284" w:hanging="284"/>
      </w:pPr>
      <w:r>
        <w:rPr>
          <w:rStyle w:val="Znakapoznpodarou"/>
        </w:rPr>
        <w:footnoteRef/>
      </w:r>
      <w:r>
        <w:t xml:space="preserve"> </w:t>
      </w:r>
      <w:r>
        <w:tab/>
        <w:t xml:space="preserve">Kontrolní akce č. 17/02 – </w:t>
      </w:r>
      <w:r w:rsidRPr="00F6634B">
        <w:rPr>
          <w:i/>
        </w:rPr>
        <w:t>Podpora sociálního bydlení jako součást politiky sociálního začleňování</w:t>
      </w:r>
      <w:r>
        <w:rPr>
          <w:i/>
        </w:rPr>
        <w:t xml:space="preserve"> </w:t>
      </w:r>
      <w:r>
        <w:t xml:space="preserve">(kontrolní závěr byl zveřejněn v částce 3/2018 </w:t>
      </w:r>
      <w:r>
        <w:rPr>
          <w:i/>
        </w:rPr>
        <w:t>Věstníku NKÚ</w:t>
      </w:r>
      <w:r>
        <w:t xml:space="preserve">). </w:t>
      </w:r>
    </w:p>
  </w:footnote>
  <w:footnote w:id="3">
    <w:p w14:paraId="37F3BCB7" w14:textId="0C1453B4" w:rsidR="00CA7D59" w:rsidRDefault="00CA7D59" w:rsidP="0020405C">
      <w:pPr>
        <w:pStyle w:val="Textpoznpodarou"/>
        <w:spacing w:after="0"/>
        <w:ind w:left="284" w:hanging="284"/>
        <w:jc w:val="both"/>
      </w:pPr>
      <w:r>
        <w:rPr>
          <w:rStyle w:val="Znakapoznpodarou"/>
        </w:rPr>
        <w:footnoteRef/>
      </w:r>
      <w:r>
        <w:t xml:space="preserve"> </w:t>
      </w:r>
      <w:r>
        <w:tab/>
        <w:t>MMR stanovilo podmínky v z</w:t>
      </w:r>
      <w:r w:rsidRPr="00B2541B">
        <w:t>ásad</w:t>
      </w:r>
      <w:r>
        <w:t>ách</w:t>
      </w:r>
      <w:r w:rsidRPr="00B2541B">
        <w:t xml:space="preserve"> podprogramu pro poskytování dotací</w:t>
      </w:r>
      <w:r>
        <w:t>, které vyhlásilo spolu s výzvou na daný rok. Poskytnutí podpory nebylo v souladu se z</w:t>
      </w:r>
      <w:r w:rsidRPr="00B2541B">
        <w:t>ásad</w:t>
      </w:r>
      <w:r>
        <w:t>ami</w:t>
      </w:r>
      <w:r w:rsidRPr="00B2541B">
        <w:t xml:space="preserve"> podprogramu pro poskytování dotací v roce 2017 </w:t>
      </w:r>
      <w:r>
        <w:t>č</w:t>
      </w:r>
      <w:r w:rsidRPr="00B2541B">
        <w:t>.</w:t>
      </w:r>
      <w:r>
        <w:t> </w:t>
      </w:r>
      <w:r w:rsidRPr="00B2541B">
        <w:t>j.: MMR 39046/2016-52</w:t>
      </w:r>
      <w:r>
        <w:t>.</w:t>
      </w:r>
    </w:p>
  </w:footnote>
  <w:footnote w:id="4">
    <w:p w14:paraId="1C9B9997" w14:textId="77777777" w:rsidR="00CA7D59" w:rsidRDefault="00CA7D59" w:rsidP="0020405C">
      <w:pPr>
        <w:pStyle w:val="Textpoznpodarou"/>
        <w:ind w:left="284" w:hanging="284"/>
      </w:pPr>
      <w:r>
        <w:rPr>
          <w:rStyle w:val="Znakapoznpodarou"/>
        </w:rPr>
        <w:footnoteRef/>
      </w:r>
      <w:r>
        <w:t xml:space="preserve"> </w:t>
      </w:r>
      <w:r>
        <w:tab/>
        <w:t>Příjemci porušili podmínky stanovené v rozhodnutí o poskytnutí dotace.</w:t>
      </w:r>
    </w:p>
  </w:footnote>
  <w:footnote w:id="5">
    <w:p w14:paraId="185FF8EB" w14:textId="77777777" w:rsidR="00CA7D59" w:rsidRDefault="00CA7D59" w:rsidP="0020405C">
      <w:pPr>
        <w:pStyle w:val="Textpoznpodarou"/>
        <w:spacing w:after="0"/>
        <w:ind w:left="284" w:hanging="284"/>
        <w:jc w:val="both"/>
      </w:pPr>
      <w:r>
        <w:rPr>
          <w:rStyle w:val="Znakapoznpodarou"/>
        </w:rPr>
        <w:footnoteRef/>
      </w:r>
      <w:r>
        <w:t xml:space="preserve"> </w:t>
      </w:r>
      <w:r>
        <w:tab/>
        <w:t>Pro výzvu na rok 2019 objem podaných žádostí činil 99 461 048 Kč a v právních aktech je zazávazkováno cca 54,38 mil. Kč. Objem podaných žádostí na základě výzvy pro rok 2020 činí 77 692 645 Kč a je tak nejnižší v historii vůbec. Výše disponibilního čerpání bude snížena v závislosti na uskutečněných zadávacích řízeních.</w:t>
      </w:r>
    </w:p>
  </w:footnote>
  <w:footnote w:id="6">
    <w:p w14:paraId="34DD18A7" w14:textId="77777777" w:rsidR="00CA7D59" w:rsidRDefault="00CA7D59" w:rsidP="0020405C">
      <w:pPr>
        <w:pStyle w:val="Textpoznpodarou"/>
        <w:ind w:left="284" w:hanging="284"/>
        <w:jc w:val="both"/>
      </w:pPr>
      <w:r>
        <w:rPr>
          <w:rStyle w:val="Znakapoznpodarou"/>
        </w:rPr>
        <w:footnoteRef/>
      </w:r>
      <w:r>
        <w:t xml:space="preserve"> </w:t>
      </w:r>
      <w:r>
        <w:tab/>
        <w:t>Pro výzvu roku 2019 MMR ve vymezení uznatelných nákladů upřesnilo, že lze dotaci čerpat i na</w:t>
      </w:r>
      <w:r w:rsidRPr="00B30EFC">
        <w:t xml:space="preserve"> neodděliteln</w:t>
      </w:r>
      <w:r>
        <w:t>é</w:t>
      </w:r>
      <w:r w:rsidRPr="00B30EFC">
        <w:t xml:space="preserve"> část</w:t>
      </w:r>
      <w:r>
        <w:t>i objektu.</w:t>
      </w:r>
    </w:p>
  </w:footnote>
  <w:footnote w:id="7">
    <w:p w14:paraId="21078ADF" w14:textId="3D2CE225" w:rsidR="00CA7D59" w:rsidRDefault="00CA7D59" w:rsidP="002457BA">
      <w:pPr>
        <w:pStyle w:val="Textpoznpodarou"/>
        <w:spacing w:after="0"/>
        <w:ind w:left="284" w:hanging="284"/>
        <w:jc w:val="both"/>
      </w:pPr>
      <w:r>
        <w:rPr>
          <w:rStyle w:val="Znakapoznpodarou"/>
        </w:rPr>
        <w:footnoteRef/>
      </w:r>
      <w:r>
        <w:t xml:space="preserve"> </w:t>
      </w:r>
      <w:r>
        <w:tab/>
      </w:r>
      <w:r w:rsidRPr="002E3D91">
        <w:t>117D082</w:t>
      </w:r>
      <w:r>
        <w:t> –</w:t>
      </w:r>
      <w:r w:rsidRPr="002E3D91">
        <w:t xml:space="preserve"> </w:t>
      </w:r>
      <w:r w:rsidRPr="000E1669">
        <w:rPr>
          <w:i/>
        </w:rPr>
        <w:t>Podpora regenerace brownfieldů pro nepodnikatelské využití</w:t>
      </w:r>
      <w:r w:rsidRPr="002E3D91">
        <w:t xml:space="preserve"> a 117D083</w:t>
      </w:r>
      <w:r>
        <w:t> –</w:t>
      </w:r>
      <w:r w:rsidRPr="002E3D91">
        <w:t xml:space="preserve"> </w:t>
      </w:r>
      <w:r w:rsidRPr="000E1669">
        <w:rPr>
          <w:i/>
        </w:rPr>
        <w:t>Tvorba studií a analýz možností využití vybraných brownfieldů</w:t>
      </w:r>
      <w:r w:rsidRPr="002E3D91">
        <w:t>.</w:t>
      </w:r>
    </w:p>
  </w:footnote>
  <w:footnote w:id="8">
    <w:p w14:paraId="39675C70" w14:textId="3C6B0B96" w:rsidR="00CA7D59" w:rsidRDefault="00CA7D59" w:rsidP="002457BA">
      <w:pPr>
        <w:pStyle w:val="Textpoznpodarou"/>
        <w:spacing w:after="0"/>
        <w:ind w:left="284" w:hanging="284"/>
        <w:jc w:val="both"/>
      </w:pPr>
      <w:r>
        <w:rPr>
          <w:rStyle w:val="Znakapoznpodarou"/>
        </w:rPr>
        <w:footnoteRef/>
      </w:r>
      <w:r>
        <w:t xml:space="preserve"> </w:t>
      </w:r>
      <w:r>
        <w:tab/>
        <w:t>Součástí dokumentace programu byly i zásady podprogramu pro poskytování dotací, které obsahovaly užší vymezení účastníka podprogramu.</w:t>
      </w:r>
    </w:p>
  </w:footnote>
  <w:footnote w:id="9">
    <w:p w14:paraId="4D51FCD8" w14:textId="1FEFE48C" w:rsidR="00CA7D59" w:rsidRDefault="00CA7D59" w:rsidP="00254D43">
      <w:pPr>
        <w:pStyle w:val="Textpoznpodarou"/>
        <w:ind w:left="284" w:hanging="284"/>
      </w:pPr>
      <w:r>
        <w:rPr>
          <w:rStyle w:val="Znakapoznpodarou"/>
        </w:rPr>
        <w:footnoteRef/>
      </w:r>
      <w:r>
        <w:t xml:space="preserve"> </w:t>
      </w:r>
      <w:r>
        <w:tab/>
        <w:t>K 25. 2. 2020 proplatilo MMR celkem 143 740 481 Kč.</w:t>
      </w:r>
    </w:p>
  </w:footnote>
  <w:footnote w:id="10">
    <w:p w14:paraId="5D5DC13C" w14:textId="511EB0B8" w:rsidR="00CA7D59" w:rsidRPr="00254D43" w:rsidRDefault="00CA7D59" w:rsidP="00E773FD">
      <w:pPr>
        <w:pStyle w:val="Textpoznpodarou"/>
        <w:spacing w:after="0"/>
        <w:ind w:left="284" w:hanging="284"/>
        <w:jc w:val="both"/>
        <w:rPr>
          <w:rFonts w:ascii="Calibri" w:hAnsi="Calibri"/>
        </w:rPr>
      </w:pPr>
      <w:r w:rsidRPr="00254D43">
        <w:rPr>
          <w:rStyle w:val="Znakapoznpodarou"/>
          <w:rFonts w:ascii="Calibri" w:hAnsi="Calibri"/>
        </w:rPr>
        <w:footnoteRef/>
      </w:r>
      <w:r w:rsidRPr="00254D43">
        <w:rPr>
          <w:rFonts w:ascii="Calibri" w:hAnsi="Calibri"/>
          <w:vertAlign w:val="superscript"/>
        </w:rPr>
        <w:t> </w:t>
      </w:r>
      <w:r w:rsidRPr="00254D43">
        <w:rPr>
          <w:rFonts w:ascii="Calibri" w:hAnsi="Calibri"/>
        </w:rPr>
        <w:tab/>
        <w:t xml:space="preserve">Prodloužení a výše alokace byla stanovena v souhrnném akčním plánu </w:t>
      </w:r>
      <w:r>
        <w:rPr>
          <w:rFonts w:ascii="Calibri" w:hAnsi="Calibri"/>
        </w:rPr>
        <w:t>p</w:t>
      </w:r>
      <w:r w:rsidRPr="00254D43">
        <w:rPr>
          <w:rFonts w:ascii="Calibri" w:hAnsi="Calibri"/>
        </w:rPr>
        <w:t xml:space="preserve">rogramu RE:start 2017–2018 schváleném usnesením vlády ČR ze dne 10. 7. 2017 č. 503.  </w:t>
      </w:r>
    </w:p>
  </w:footnote>
  <w:footnote w:id="11">
    <w:p w14:paraId="70CB01AC" w14:textId="199DE8E9" w:rsidR="00CA7D59" w:rsidRDefault="00CA7D59" w:rsidP="002457BA">
      <w:pPr>
        <w:pStyle w:val="Textpoznpodarou"/>
        <w:spacing w:after="0"/>
        <w:ind w:left="284" w:hanging="284"/>
      </w:pPr>
      <w:r>
        <w:rPr>
          <w:rStyle w:val="Znakapoznpodarou"/>
        </w:rPr>
        <w:footnoteRef/>
      </w:r>
      <w:r>
        <w:t xml:space="preserve"> </w:t>
      </w:r>
      <w:r>
        <w:tab/>
        <w:t xml:space="preserve">Projekt č. </w:t>
      </w:r>
      <w:r w:rsidRPr="0010480D">
        <w:t>117D081000226</w:t>
      </w:r>
      <w:r>
        <w:t xml:space="preserve"> – viz příloha č. 1.</w:t>
      </w:r>
    </w:p>
  </w:footnote>
  <w:footnote w:id="12">
    <w:p w14:paraId="370C0C63" w14:textId="6010A9B5" w:rsidR="00CA7D59" w:rsidRDefault="00CA7D59" w:rsidP="002457BA">
      <w:pPr>
        <w:pStyle w:val="Textpoznpodarou"/>
        <w:spacing w:after="0"/>
        <w:ind w:left="284" w:hanging="284"/>
      </w:pPr>
      <w:r>
        <w:rPr>
          <w:rStyle w:val="Znakapoznpodarou"/>
        </w:rPr>
        <w:footnoteRef/>
      </w:r>
      <w:r>
        <w:t xml:space="preserve"> </w:t>
      </w:r>
      <w:r>
        <w:tab/>
        <w:t xml:space="preserve">Projekt č. </w:t>
      </w:r>
      <w:r w:rsidRPr="007B773E">
        <w:t>117D081000113</w:t>
      </w:r>
      <w:r>
        <w:t xml:space="preserve"> – viz příloha č. 1.</w:t>
      </w:r>
    </w:p>
  </w:footnote>
  <w:footnote w:id="13">
    <w:p w14:paraId="6443F0D4" w14:textId="77777777" w:rsidR="00CA7D59" w:rsidRDefault="00CA7D59" w:rsidP="002457BA">
      <w:pPr>
        <w:pStyle w:val="Textpoznpodarou"/>
        <w:spacing w:after="0"/>
        <w:ind w:left="284" w:hanging="284"/>
        <w:jc w:val="both"/>
      </w:pPr>
      <w:r>
        <w:rPr>
          <w:rStyle w:val="Znakapoznpodarou"/>
        </w:rPr>
        <w:footnoteRef/>
      </w:r>
      <w:r>
        <w:t xml:space="preserve"> </w:t>
      </w:r>
      <w:r>
        <w:tab/>
        <w:t xml:space="preserve">Ustanovení </w:t>
      </w:r>
      <w:r w:rsidRPr="00F02142">
        <w:t>§ 11 odst. 1 zákona č. 320/2001 Sb.,</w:t>
      </w:r>
      <w:r>
        <w:t xml:space="preserve"> o finanční kontrole ve veřejné správě a o změně některých zákonů (zákon o finanční kontrole), a</w:t>
      </w:r>
      <w:r w:rsidRPr="00F02142">
        <w:t xml:space="preserve"> </w:t>
      </w:r>
      <w:r>
        <w:t>ustanovení</w:t>
      </w:r>
      <w:r w:rsidRPr="00F02142">
        <w:t xml:space="preserve"> § 13 odst. 1 a 2 písm. b) bod</w:t>
      </w:r>
      <w:r>
        <w:t>y</w:t>
      </w:r>
      <w:r w:rsidRPr="00F02142">
        <w:t xml:space="preserve"> 2 a 3 a § 17 vyhlášky </w:t>
      </w:r>
      <w:r>
        <w:t>č. </w:t>
      </w:r>
      <w:r w:rsidRPr="00F02142">
        <w:t>416/2004 Sb.</w:t>
      </w:r>
      <w:r>
        <w:t>, k</w:t>
      </w:r>
      <w:r w:rsidRPr="00F02142">
        <w:t>terou se provádí zákon č. 320/2001 Sb., o finanční kontrole ve veřejné správě a o změně některých zákonů (zákon o finanční kontrole), ve znění zákona č. 309/200</w:t>
      </w:r>
      <w:r>
        <w:t>2 Sb., zákona č. 320/2002 Sb. a </w:t>
      </w:r>
      <w:r w:rsidRPr="00F02142">
        <w:t>zákona č. 123/2003 Sb.</w:t>
      </w:r>
    </w:p>
  </w:footnote>
  <w:footnote w:id="14">
    <w:p w14:paraId="1D7ADE11" w14:textId="77777777" w:rsidR="00CA7D59" w:rsidRPr="00176266" w:rsidRDefault="00CA7D59" w:rsidP="002457BA">
      <w:pPr>
        <w:pStyle w:val="Textpoznpodarou"/>
        <w:spacing w:after="0"/>
        <w:ind w:left="284" w:hanging="284"/>
        <w:jc w:val="both"/>
      </w:pPr>
      <w:r>
        <w:rPr>
          <w:rStyle w:val="Znakapoznpodarou"/>
        </w:rPr>
        <w:footnoteRef/>
      </w:r>
      <w:r>
        <w:t xml:space="preserve"> </w:t>
      </w:r>
      <w:r>
        <w:tab/>
        <w:t>NKÚ vycházel z údajů o odstraněném obestavěném prostoru v m</w:t>
      </w:r>
      <w:r>
        <w:rPr>
          <w:vertAlign w:val="superscript"/>
        </w:rPr>
        <w:t xml:space="preserve">3 </w:t>
      </w:r>
      <w:r>
        <w:t>uvedených v DIS a údajů uvedených ve smlouvách o dílo. NKÚ nemohl ověřit správnost všech údajů a vyloučit tak možnost chyb na úrovni zdrojových dat.</w:t>
      </w:r>
    </w:p>
  </w:footnote>
  <w:footnote w:id="15">
    <w:p w14:paraId="0DA5FEFB" w14:textId="4B7B678C" w:rsidR="00CA7D59" w:rsidRDefault="00CA7D59" w:rsidP="002457BA">
      <w:pPr>
        <w:pStyle w:val="Textpoznpodarou"/>
        <w:ind w:left="284" w:hanging="284"/>
      </w:pPr>
      <w:r>
        <w:rPr>
          <w:rStyle w:val="Znakapoznpodarou"/>
        </w:rPr>
        <w:footnoteRef/>
      </w:r>
      <w:r>
        <w:t xml:space="preserve"> </w:t>
      </w:r>
      <w:r>
        <w:tab/>
        <w:t xml:space="preserve">Projekt č. </w:t>
      </w:r>
      <w:r w:rsidRPr="007B773E">
        <w:t>117D081000131</w:t>
      </w:r>
      <w:r>
        <w:t xml:space="preserve"> – viz příloha č. 1.</w:t>
      </w:r>
    </w:p>
  </w:footnote>
  <w:footnote w:id="16">
    <w:p w14:paraId="34339DA1" w14:textId="77777777" w:rsidR="00CA7D59" w:rsidRDefault="00CA7D59" w:rsidP="008130F6">
      <w:pPr>
        <w:pStyle w:val="Textpoznpodarou"/>
        <w:spacing w:after="0"/>
        <w:ind w:left="284" w:hanging="284"/>
        <w:jc w:val="both"/>
      </w:pPr>
      <w:r>
        <w:rPr>
          <w:rStyle w:val="Znakapoznpodarou"/>
        </w:rPr>
        <w:footnoteRef/>
      </w:r>
      <w:r>
        <w:t xml:space="preserve"> </w:t>
      </w:r>
      <w:r>
        <w:tab/>
        <w:t>Jednalo se o náklady na výstavbu nové štítové stěny bytového domu včetně základů, úpravy stropů a části zastřešení.</w:t>
      </w:r>
    </w:p>
  </w:footnote>
  <w:footnote w:id="17">
    <w:p w14:paraId="3B32F70A" w14:textId="103EF9C1" w:rsidR="00CA7D59" w:rsidRDefault="00CA7D59" w:rsidP="008130F6">
      <w:pPr>
        <w:pStyle w:val="Textpoznpodarou"/>
        <w:spacing w:after="0"/>
        <w:ind w:left="284" w:hanging="284"/>
      </w:pPr>
      <w:r>
        <w:rPr>
          <w:rStyle w:val="Znakapoznpodarou"/>
        </w:rPr>
        <w:footnoteRef/>
      </w:r>
      <w:r>
        <w:t xml:space="preserve"> </w:t>
      </w:r>
      <w:r>
        <w:tab/>
        <w:t xml:space="preserve">Projekt č. </w:t>
      </w:r>
      <w:r w:rsidRPr="007B773E">
        <w:t>117D081000002</w:t>
      </w:r>
      <w:r>
        <w:t xml:space="preserve"> – viz příloha č. 1.</w:t>
      </w:r>
    </w:p>
  </w:footnote>
  <w:footnote w:id="18">
    <w:p w14:paraId="2D3C1466" w14:textId="77777777" w:rsidR="00CA7D59" w:rsidRDefault="00CA7D59" w:rsidP="008130F6">
      <w:pPr>
        <w:pStyle w:val="Textpoznpodarou"/>
        <w:spacing w:after="0"/>
        <w:ind w:left="284" w:hanging="284"/>
        <w:jc w:val="both"/>
      </w:pPr>
      <w:r>
        <w:rPr>
          <w:rStyle w:val="Znakapoznpodarou"/>
        </w:rPr>
        <w:footnoteRef/>
      </w:r>
      <w:r>
        <w:t xml:space="preserve"> </w:t>
      </w:r>
      <w:r>
        <w:tab/>
        <w:t xml:space="preserve">Příjemce dotace podmínil přijatelnost nabídek naceněním vedlejších rozpočtových nákladů podle předem stanoveného koeficientu. Vyřazený uchazeč toto nacenění neprovedl, avšak současně v návrhu smlouvy o dílo deklaroval, že související plnění poskytne a jeho cena je součástí hlavních rozpočtovaných nákladů. </w:t>
      </w:r>
    </w:p>
  </w:footnote>
  <w:footnote w:id="19">
    <w:p w14:paraId="74E757C1" w14:textId="77777777" w:rsidR="00CA7D59" w:rsidRDefault="00CA7D59" w:rsidP="008130F6">
      <w:pPr>
        <w:pStyle w:val="Textpoznpodarou"/>
        <w:spacing w:after="0"/>
        <w:ind w:left="284" w:hanging="284"/>
      </w:pPr>
      <w:r>
        <w:rPr>
          <w:rStyle w:val="Znakapoznpodarou"/>
        </w:rPr>
        <w:footnoteRef/>
      </w:r>
      <w:r>
        <w:t xml:space="preserve"> </w:t>
      </w:r>
      <w:r>
        <w:tab/>
        <w:t>Podle ustanovení § 131a zákona č. 183/2006 Sb., o územním plánování a stavebním řádu (stavební zákon).</w:t>
      </w:r>
    </w:p>
  </w:footnote>
  <w:footnote w:id="20">
    <w:p w14:paraId="6A1E8AFC" w14:textId="196B9B35" w:rsidR="00CA7D59" w:rsidRDefault="00CA7D59" w:rsidP="008130F6">
      <w:pPr>
        <w:pStyle w:val="Textpoznpodarou"/>
        <w:spacing w:after="0"/>
        <w:ind w:left="284" w:hanging="284"/>
      </w:pPr>
      <w:r>
        <w:rPr>
          <w:rStyle w:val="Znakapoznpodarou"/>
        </w:rPr>
        <w:footnoteRef/>
      </w:r>
      <w:r>
        <w:t xml:space="preserve"> </w:t>
      </w:r>
      <w:r>
        <w:tab/>
        <w:t xml:space="preserve">Projekt č. </w:t>
      </w:r>
      <w:r w:rsidRPr="007B773E">
        <w:t>117D081000131</w:t>
      </w:r>
      <w:r>
        <w:t>– viz příloha č. 1.</w:t>
      </w:r>
    </w:p>
  </w:footnote>
  <w:footnote w:id="21">
    <w:p w14:paraId="30C6D9C3" w14:textId="502E0C75" w:rsidR="00CA7D59" w:rsidRDefault="00CA7D59" w:rsidP="008130F6">
      <w:pPr>
        <w:pStyle w:val="Textpoznpodarou"/>
        <w:spacing w:after="0"/>
        <w:ind w:left="284" w:hanging="284"/>
      </w:pPr>
      <w:r>
        <w:rPr>
          <w:rStyle w:val="Znakapoznpodarou"/>
        </w:rPr>
        <w:footnoteRef/>
      </w:r>
      <w:r>
        <w:t xml:space="preserve"> </w:t>
      </w:r>
      <w:r>
        <w:tab/>
        <w:t xml:space="preserve">Projekt č. </w:t>
      </w:r>
      <w:r w:rsidRPr="007B773E">
        <w:t>117D081000214</w:t>
      </w:r>
      <w:r>
        <w:t xml:space="preserve"> – viz příloha č. 1.</w:t>
      </w:r>
    </w:p>
  </w:footnote>
  <w:footnote w:id="22">
    <w:p w14:paraId="579CDD1D" w14:textId="77777777" w:rsidR="00CA7D59" w:rsidRDefault="00CA7D59" w:rsidP="008130F6">
      <w:pPr>
        <w:pStyle w:val="Textpoznpodarou"/>
        <w:spacing w:after="0"/>
        <w:ind w:left="284" w:hanging="284"/>
        <w:jc w:val="both"/>
      </w:pPr>
      <w:r>
        <w:rPr>
          <w:rStyle w:val="Znakapoznpodarou"/>
        </w:rPr>
        <w:footnoteRef/>
      </w:r>
      <w:r>
        <w:t xml:space="preserve"> </w:t>
      </w:r>
      <w:r>
        <w:tab/>
        <w:t>Souhrnná částka zjištěných nedostatků ve výši 8 965 563 Kč z kontrolovaného objemu ve výši 46 641 005 Kč.</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BE653" w14:textId="77777777" w:rsidR="00CA7D59" w:rsidRDefault="00CA7D59">
    <w:pPr>
      <w:pStyle w:val="Zhlav"/>
    </w:pPr>
  </w:p>
  <w:p w14:paraId="059FF897" w14:textId="77777777" w:rsidR="00CA7D59" w:rsidRDefault="00CA7D5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397BE" w14:textId="77777777" w:rsidR="00CA7D59" w:rsidRPr="00063156" w:rsidRDefault="00CA7D59">
    <w:pPr>
      <w:pStyle w:val="Zhlav"/>
      <w:rPr>
        <w:color w:val="FFFFFF" w:themeColor="background1"/>
      </w:rPr>
    </w:pPr>
  </w:p>
  <w:p w14:paraId="5C112BC3" w14:textId="77777777" w:rsidR="00CA7D59" w:rsidRPr="00063156" w:rsidRDefault="00CA7D59">
    <w:pPr>
      <w:rPr>
        <w:color w:val="FFFFFF" w:themeColor="background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39B0" w14:textId="77777777" w:rsidR="00CA7D59" w:rsidRPr="00063156" w:rsidRDefault="00CA7D59" w:rsidP="00EB5FB7">
    <w:pPr>
      <w:pStyle w:val="Zhlav"/>
      <w:jc w:val="right"/>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C9C"/>
    <w:multiLevelType w:val="hybridMultilevel"/>
    <w:tmpl w:val="1144AFA4"/>
    <w:lvl w:ilvl="0" w:tplc="5F84A5AE">
      <w:start w:val="1"/>
      <w:numFmt w:val="bullet"/>
      <w:lvlText w:val=""/>
      <w:lvlJc w:val="left"/>
      <w:pPr>
        <w:ind w:left="671" w:hanging="360"/>
      </w:pPr>
      <w:rPr>
        <w:rFonts w:ascii="Symbol" w:hAnsi="Symbol" w:hint="default"/>
      </w:rPr>
    </w:lvl>
    <w:lvl w:ilvl="1" w:tplc="767E5910" w:tentative="1">
      <w:start w:val="1"/>
      <w:numFmt w:val="bullet"/>
      <w:lvlText w:val="o"/>
      <w:lvlJc w:val="left"/>
      <w:pPr>
        <w:ind w:left="1391" w:hanging="360"/>
      </w:pPr>
      <w:rPr>
        <w:rFonts w:ascii="Courier New" w:hAnsi="Courier New" w:cs="Courier New" w:hint="default"/>
      </w:rPr>
    </w:lvl>
    <w:lvl w:ilvl="2" w:tplc="4A422B5E" w:tentative="1">
      <w:start w:val="1"/>
      <w:numFmt w:val="bullet"/>
      <w:lvlText w:val=""/>
      <w:lvlJc w:val="left"/>
      <w:pPr>
        <w:ind w:left="2111" w:hanging="360"/>
      </w:pPr>
      <w:rPr>
        <w:rFonts w:ascii="Wingdings" w:hAnsi="Wingdings" w:hint="default"/>
      </w:rPr>
    </w:lvl>
    <w:lvl w:ilvl="3" w:tplc="337C7B70" w:tentative="1">
      <w:start w:val="1"/>
      <w:numFmt w:val="bullet"/>
      <w:lvlText w:val=""/>
      <w:lvlJc w:val="left"/>
      <w:pPr>
        <w:ind w:left="2831" w:hanging="360"/>
      </w:pPr>
      <w:rPr>
        <w:rFonts w:ascii="Symbol" w:hAnsi="Symbol" w:hint="default"/>
      </w:rPr>
    </w:lvl>
    <w:lvl w:ilvl="4" w:tplc="E7CE59E2" w:tentative="1">
      <w:start w:val="1"/>
      <w:numFmt w:val="bullet"/>
      <w:lvlText w:val="o"/>
      <w:lvlJc w:val="left"/>
      <w:pPr>
        <w:ind w:left="3551" w:hanging="360"/>
      </w:pPr>
      <w:rPr>
        <w:rFonts w:ascii="Courier New" w:hAnsi="Courier New" w:cs="Courier New" w:hint="default"/>
      </w:rPr>
    </w:lvl>
    <w:lvl w:ilvl="5" w:tplc="A0AEDAEC" w:tentative="1">
      <w:start w:val="1"/>
      <w:numFmt w:val="bullet"/>
      <w:lvlText w:val=""/>
      <w:lvlJc w:val="left"/>
      <w:pPr>
        <w:ind w:left="4271" w:hanging="360"/>
      </w:pPr>
      <w:rPr>
        <w:rFonts w:ascii="Wingdings" w:hAnsi="Wingdings" w:hint="default"/>
      </w:rPr>
    </w:lvl>
    <w:lvl w:ilvl="6" w:tplc="4D309B8A" w:tentative="1">
      <w:start w:val="1"/>
      <w:numFmt w:val="bullet"/>
      <w:lvlText w:val=""/>
      <w:lvlJc w:val="left"/>
      <w:pPr>
        <w:ind w:left="4991" w:hanging="360"/>
      </w:pPr>
      <w:rPr>
        <w:rFonts w:ascii="Symbol" w:hAnsi="Symbol" w:hint="default"/>
      </w:rPr>
    </w:lvl>
    <w:lvl w:ilvl="7" w:tplc="8CC27B70" w:tentative="1">
      <w:start w:val="1"/>
      <w:numFmt w:val="bullet"/>
      <w:lvlText w:val="o"/>
      <w:lvlJc w:val="left"/>
      <w:pPr>
        <w:ind w:left="5711" w:hanging="360"/>
      </w:pPr>
      <w:rPr>
        <w:rFonts w:ascii="Courier New" w:hAnsi="Courier New" w:cs="Courier New" w:hint="default"/>
      </w:rPr>
    </w:lvl>
    <w:lvl w:ilvl="8" w:tplc="15A003F0" w:tentative="1">
      <w:start w:val="1"/>
      <w:numFmt w:val="bullet"/>
      <w:lvlText w:val=""/>
      <w:lvlJc w:val="left"/>
      <w:pPr>
        <w:ind w:left="6431" w:hanging="360"/>
      </w:pPr>
      <w:rPr>
        <w:rFonts w:ascii="Wingdings" w:hAnsi="Wingdings" w:hint="default"/>
      </w:rPr>
    </w:lvl>
  </w:abstractNum>
  <w:abstractNum w:abstractNumId="1" w15:restartNumberingAfterBreak="0">
    <w:nsid w:val="05924F56"/>
    <w:multiLevelType w:val="multilevel"/>
    <w:tmpl w:val="D146211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43056E"/>
    <w:multiLevelType w:val="hybridMultilevel"/>
    <w:tmpl w:val="D65C2218"/>
    <w:lvl w:ilvl="0" w:tplc="19C88CEE">
      <w:start w:val="1"/>
      <w:numFmt w:val="bullet"/>
      <w:lvlText w:val=""/>
      <w:lvlJc w:val="left"/>
      <w:pPr>
        <w:ind w:left="360" w:hanging="360"/>
      </w:pPr>
      <w:rPr>
        <w:rFonts w:ascii="Symbol" w:hAnsi="Symbol" w:hint="default"/>
      </w:rPr>
    </w:lvl>
    <w:lvl w:ilvl="1" w:tplc="252EC274">
      <w:start w:val="1"/>
      <w:numFmt w:val="bullet"/>
      <w:lvlText w:val="o"/>
      <w:lvlJc w:val="left"/>
      <w:pPr>
        <w:ind w:left="1080" w:hanging="360"/>
      </w:pPr>
      <w:rPr>
        <w:rFonts w:ascii="Courier New" w:hAnsi="Courier New" w:cs="Courier New" w:hint="default"/>
      </w:rPr>
    </w:lvl>
    <w:lvl w:ilvl="2" w:tplc="51F2090C">
      <w:start w:val="4"/>
      <w:numFmt w:val="bullet"/>
      <w:lvlText w:val="-"/>
      <w:lvlJc w:val="left"/>
      <w:pPr>
        <w:ind w:left="1800" w:hanging="360"/>
      </w:pPr>
      <w:rPr>
        <w:rFonts w:ascii="Calibri" w:eastAsia="Times New Roman" w:hAnsi="Calibri" w:cs="Calibri" w:hint="default"/>
      </w:rPr>
    </w:lvl>
    <w:lvl w:ilvl="3" w:tplc="4DB6A7F8" w:tentative="1">
      <w:start w:val="1"/>
      <w:numFmt w:val="bullet"/>
      <w:lvlText w:val=""/>
      <w:lvlJc w:val="left"/>
      <w:pPr>
        <w:ind w:left="2520" w:hanging="360"/>
      </w:pPr>
      <w:rPr>
        <w:rFonts w:ascii="Symbol" w:hAnsi="Symbol" w:hint="default"/>
      </w:rPr>
    </w:lvl>
    <w:lvl w:ilvl="4" w:tplc="78806CDC" w:tentative="1">
      <w:start w:val="1"/>
      <w:numFmt w:val="bullet"/>
      <w:lvlText w:val="o"/>
      <w:lvlJc w:val="left"/>
      <w:pPr>
        <w:ind w:left="3240" w:hanging="360"/>
      </w:pPr>
      <w:rPr>
        <w:rFonts w:ascii="Courier New" w:hAnsi="Courier New" w:cs="Courier New" w:hint="default"/>
      </w:rPr>
    </w:lvl>
    <w:lvl w:ilvl="5" w:tplc="C5165544" w:tentative="1">
      <w:start w:val="1"/>
      <w:numFmt w:val="bullet"/>
      <w:lvlText w:val=""/>
      <w:lvlJc w:val="left"/>
      <w:pPr>
        <w:ind w:left="3960" w:hanging="360"/>
      </w:pPr>
      <w:rPr>
        <w:rFonts w:ascii="Wingdings" w:hAnsi="Wingdings" w:hint="default"/>
      </w:rPr>
    </w:lvl>
    <w:lvl w:ilvl="6" w:tplc="A1C6C180" w:tentative="1">
      <w:start w:val="1"/>
      <w:numFmt w:val="bullet"/>
      <w:lvlText w:val=""/>
      <w:lvlJc w:val="left"/>
      <w:pPr>
        <w:ind w:left="4680" w:hanging="360"/>
      </w:pPr>
      <w:rPr>
        <w:rFonts w:ascii="Symbol" w:hAnsi="Symbol" w:hint="default"/>
      </w:rPr>
    </w:lvl>
    <w:lvl w:ilvl="7" w:tplc="C1B4B41E" w:tentative="1">
      <w:start w:val="1"/>
      <w:numFmt w:val="bullet"/>
      <w:lvlText w:val="o"/>
      <w:lvlJc w:val="left"/>
      <w:pPr>
        <w:ind w:left="5400" w:hanging="360"/>
      </w:pPr>
      <w:rPr>
        <w:rFonts w:ascii="Courier New" w:hAnsi="Courier New" w:cs="Courier New" w:hint="default"/>
      </w:rPr>
    </w:lvl>
    <w:lvl w:ilvl="8" w:tplc="78224608" w:tentative="1">
      <w:start w:val="1"/>
      <w:numFmt w:val="bullet"/>
      <w:lvlText w:val=""/>
      <w:lvlJc w:val="left"/>
      <w:pPr>
        <w:ind w:left="6120" w:hanging="360"/>
      </w:pPr>
      <w:rPr>
        <w:rFonts w:ascii="Wingdings" w:hAnsi="Wingdings" w:hint="default"/>
      </w:rPr>
    </w:lvl>
  </w:abstractNum>
  <w:abstractNum w:abstractNumId="3" w15:restartNumberingAfterBreak="0">
    <w:nsid w:val="095705A6"/>
    <w:multiLevelType w:val="hybridMultilevel"/>
    <w:tmpl w:val="F1F615FA"/>
    <w:lvl w:ilvl="0" w:tplc="1F5C5E70">
      <w:start w:val="1"/>
      <w:numFmt w:val="upperRoman"/>
      <w:lvlText w:val="%1."/>
      <w:lvlJc w:val="left"/>
      <w:pPr>
        <w:ind w:left="1080" w:hanging="720"/>
      </w:pPr>
      <w:rPr>
        <w:rFonts w:hint="default"/>
      </w:rPr>
    </w:lvl>
    <w:lvl w:ilvl="1" w:tplc="71C86400" w:tentative="1">
      <w:start w:val="1"/>
      <w:numFmt w:val="lowerLetter"/>
      <w:lvlText w:val="%2."/>
      <w:lvlJc w:val="left"/>
      <w:pPr>
        <w:ind w:left="1440" w:hanging="360"/>
      </w:pPr>
    </w:lvl>
    <w:lvl w:ilvl="2" w:tplc="C57479DA" w:tentative="1">
      <w:start w:val="1"/>
      <w:numFmt w:val="lowerRoman"/>
      <w:lvlText w:val="%3."/>
      <w:lvlJc w:val="right"/>
      <w:pPr>
        <w:ind w:left="2160" w:hanging="180"/>
      </w:pPr>
    </w:lvl>
    <w:lvl w:ilvl="3" w:tplc="1C58AC56" w:tentative="1">
      <w:start w:val="1"/>
      <w:numFmt w:val="decimal"/>
      <w:lvlText w:val="%4."/>
      <w:lvlJc w:val="left"/>
      <w:pPr>
        <w:ind w:left="2880" w:hanging="360"/>
      </w:pPr>
    </w:lvl>
    <w:lvl w:ilvl="4" w:tplc="E1E6B506" w:tentative="1">
      <w:start w:val="1"/>
      <w:numFmt w:val="lowerLetter"/>
      <w:lvlText w:val="%5."/>
      <w:lvlJc w:val="left"/>
      <w:pPr>
        <w:ind w:left="3600" w:hanging="360"/>
      </w:pPr>
    </w:lvl>
    <w:lvl w:ilvl="5" w:tplc="233AE466" w:tentative="1">
      <w:start w:val="1"/>
      <w:numFmt w:val="lowerRoman"/>
      <w:lvlText w:val="%6."/>
      <w:lvlJc w:val="right"/>
      <w:pPr>
        <w:ind w:left="4320" w:hanging="180"/>
      </w:pPr>
    </w:lvl>
    <w:lvl w:ilvl="6" w:tplc="D556BA96" w:tentative="1">
      <w:start w:val="1"/>
      <w:numFmt w:val="decimal"/>
      <w:lvlText w:val="%7."/>
      <w:lvlJc w:val="left"/>
      <w:pPr>
        <w:ind w:left="5040" w:hanging="360"/>
      </w:pPr>
    </w:lvl>
    <w:lvl w:ilvl="7" w:tplc="9B6C27CC" w:tentative="1">
      <w:start w:val="1"/>
      <w:numFmt w:val="lowerLetter"/>
      <w:lvlText w:val="%8."/>
      <w:lvlJc w:val="left"/>
      <w:pPr>
        <w:ind w:left="5760" w:hanging="360"/>
      </w:pPr>
    </w:lvl>
    <w:lvl w:ilvl="8" w:tplc="326805B8" w:tentative="1">
      <w:start w:val="1"/>
      <w:numFmt w:val="lowerRoman"/>
      <w:lvlText w:val="%9."/>
      <w:lvlJc w:val="right"/>
      <w:pPr>
        <w:ind w:left="6480" w:hanging="180"/>
      </w:pPr>
    </w:lvl>
  </w:abstractNum>
  <w:abstractNum w:abstractNumId="4" w15:restartNumberingAfterBreak="0">
    <w:nsid w:val="0A464395"/>
    <w:multiLevelType w:val="hybridMultilevel"/>
    <w:tmpl w:val="67580E94"/>
    <w:lvl w:ilvl="0" w:tplc="F2C63394">
      <w:start w:val="1"/>
      <w:numFmt w:val="decimal"/>
      <w:lvlText w:val="%1."/>
      <w:lvlJc w:val="left"/>
      <w:pPr>
        <w:ind w:left="720" w:hanging="360"/>
      </w:pPr>
      <w:rPr>
        <w:rFonts w:hint="default"/>
      </w:rPr>
    </w:lvl>
    <w:lvl w:ilvl="1" w:tplc="2EBE949C" w:tentative="1">
      <w:start w:val="1"/>
      <w:numFmt w:val="lowerLetter"/>
      <w:lvlText w:val="%2."/>
      <w:lvlJc w:val="left"/>
      <w:pPr>
        <w:ind w:left="1440" w:hanging="360"/>
      </w:pPr>
    </w:lvl>
    <w:lvl w:ilvl="2" w:tplc="AEF435DE" w:tentative="1">
      <w:start w:val="1"/>
      <w:numFmt w:val="lowerRoman"/>
      <w:lvlText w:val="%3."/>
      <w:lvlJc w:val="right"/>
      <w:pPr>
        <w:ind w:left="2160" w:hanging="180"/>
      </w:pPr>
    </w:lvl>
    <w:lvl w:ilvl="3" w:tplc="E06E9352" w:tentative="1">
      <w:start w:val="1"/>
      <w:numFmt w:val="decimal"/>
      <w:lvlText w:val="%4."/>
      <w:lvlJc w:val="left"/>
      <w:pPr>
        <w:ind w:left="2880" w:hanging="360"/>
      </w:pPr>
    </w:lvl>
    <w:lvl w:ilvl="4" w:tplc="194CFC56" w:tentative="1">
      <w:start w:val="1"/>
      <w:numFmt w:val="lowerLetter"/>
      <w:lvlText w:val="%5."/>
      <w:lvlJc w:val="left"/>
      <w:pPr>
        <w:ind w:left="3600" w:hanging="360"/>
      </w:pPr>
    </w:lvl>
    <w:lvl w:ilvl="5" w:tplc="2B328BD4" w:tentative="1">
      <w:start w:val="1"/>
      <w:numFmt w:val="lowerRoman"/>
      <w:lvlText w:val="%6."/>
      <w:lvlJc w:val="right"/>
      <w:pPr>
        <w:ind w:left="4320" w:hanging="180"/>
      </w:pPr>
    </w:lvl>
    <w:lvl w:ilvl="6" w:tplc="A9222E20" w:tentative="1">
      <w:start w:val="1"/>
      <w:numFmt w:val="decimal"/>
      <w:lvlText w:val="%7."/>
      <w:lvlJc w:val="left"/>
      <w:pPr>
        <w:ind w:left="5040" w:hanging="360"/>
      </w:pPr>
    </w:lvl>
    <w:lvl w:ilvl="7" w:tplc="EC88E128" w:tentative="1">
      <w:start w:val="1"/>
      <w:numFmt w:val="lowerLetter"/>
      <w:lvlText w:val="%8."/>
      <w:lvlJc w:val="left"/>
      <w:pPr>
        <w:ind w:left="5760" w:hanging="360"/>
      </w:pPr>
    </w:lvl>
    <w:lvl w:ilvl="8" w:tplc="421C8B0E" w:tentative="1">
      <w:start w:val="1"/>
      <w:numFmt w:val="lowerRoman"/>
      <w:lvlText w:val="%9."/>
      <w:lvlJc w:val="right"/>
      <w:pPr>
        <w:ind w:left="6480" w:hanging="180"/>
      </w:pPr>
    </w:lvl>
  </w:abstractNum>
  <w:abstractNum w:abstractNumId="5" w15:restartNumberingAfterBreak="0">
    <w:nsid w:val="10E1463C"/>
    <w:multiLevelType w:val="hybridMultilevel"/>
    <w:tmpl w:val="81DC5CF6"/>
    <w:lvl w:ilvl="0" w:tplc="67B4C162">
      <w:start w:val="1"/>
      <w:numFmt w:val="bullet"/>
      <w:lvlText w:val=""/>
      <w:lvlJc w:val="left"/>
      <w:pPr>
        <w:ind w:left="720" w:hanging="360"/>
      </w:pPr>
      <w:rPr>
        <w:rFonts w:ascii="Wingdings" w:hAnsi="Wingdings" w:hint="default"/>
      </w:rPr>
    </w:lvl>
    <w:lvl w:ilvl="1" w:tplc="65C8100A" w:tentative="1">
      <w:start w:val="1"/>
      <w:numFmt w:val="bullet"/>
      <w:lvlText w:val="o"/>
      <w:lvlJc w:val="left"/>
      <w:pPr>
        <w:ind w:left="1440" w:hanging="360"/>
      </w:pPr>
      <w:rPr>
        <w:rFonts w:ascii="Courier New" w:hAnsi="Courier New" w:cs="Courier New" w:hint="default"/>
      </w:rPr>
    </w:lvl>
    <w:lvl w:ilvl="2" w:tplc="9EFA7DDA" w:tentative="1">
      <w:start w:val="1"/>
      <w:numFmt w:val="bullet"/>
      <w:lvlText w:val=""/>
      <w:lvlJc w:val="left"/>
      <w:pPr>
        <w:ind w:left="2160" w:hanging="360"/>
      </w:pPr>
      <w:rPr>
        <w:rFonts w:ascii="Wingdings" w:hAnsi="Wingdings" w:hint="default"/>
      </w:rPr>
    </w:lvl>
    <w:lvl w:ilvl="3" w:tplc="A1DE2D10" w:tentative="1">
      <w:start w:val="1"/>
      <w:numFmt w:val="bullet"/>
      <w:lvlText w:val=""/>
      <w:lvlJc w:val="left"/>
      <w:pPr>
        <w:ind w:left="2880" w:hanging="360"/>
      </w:pPr>
      <w:rPr>
        <w:rFonts w:ascii="Symbol" w:hAnsi="Symbol" w:hint="default"/>
      </w:rPr>
    </w:lvl>
    <w:lvl w:ilvl="4" w:tplc="49D61A5C" w:tentative="1">
      <w:start w:val="1"/>
      <w:numFmt w:val="bullet"/>
      <w:lvlText w:val="o"/>
      <w:lvlJc w:val="left"/>
      <w:pPr>
        <w:ind w:left="3600" w:hanging="360"/>
      </w:pPr>
      <w:rPr>
        <w:rFonts w:ascii="Courier New" w:hAnsi="Courier New" w:cs="Courier New" w:hint="default"/>
      </w:rPr>
    </w:lvl>
    <w:lvl w:ilvl="5" w:tplc="92204966" w:tentative="1">
      <w:start w:val="1"/>
      <w:numFmt w:val="bullet"/>
      <w:lvlText w:val=""/>
      <w:lvlJc w:val="left"/>
      <w:pPr>
        <w:ind w:left="4320" w:hanging="360"/>
      </w:pPr>
      <w:rPr>
        <w:rFonts w:ascii="Wingdings" w:hAnsi="Wingdings" w:hint="default"/>
      </w:rPr>
    </w:lvl>
    <w:lvl w:ilvl="6" w:tplc="2C343312" w:tentative="1">
      <w:start w:val="1"/>
      <w:numFmt w:val="bullet"/>
      <w:lvlText w:val=""/>
      <w:lvlJc w:val="left"/>
      <w:pPr>
        <w:ind w:left="5040" w:hanging="360"/>
      </w:pPr>
      <w:rPr>
        <w:rFonts w:ascii="Symbol" w:hAnsi="Symbol" w:hint="default"/>
      </w:rPr>
    </w:lvl>
    <w:lvl w:ilvl="7" w:tplc="9B50D202" w:tentative="1">
      <w:start w:val="1"/>
      <w:numFmt w:val="bullet"/>
      <w:lvlText w:val="o"/>
      <w:lvlJc w:val="left"/>
      <w:pPr>
        <w:ind w:left="5760" w:hanging="360"/>
      </w:pPr>
      <w:rPr>
        <w:rFonts w:ascii="Courier New" w:hAnsi="Courier New" w:cs="Courier New" w:hint="default"/>
      </w:rPr>
    </w:lvl>
    <w:lvl w:ilvl="8" w:tplc="102CE51A" w:tentative="1">
      <w:start w:val="1"/>
      <w:numFmt w:val="bullet"/>
      <w:lvlText w:val=""/>
      <w:lvlJc w:val="left"/>
      <w:pPr>
        <w:ind w:left="6480" w:hanging="360"/>
      </w:pPr>
      <w:rPr>
        <w:rFonts w:ascii="Wingdings" w:hAnsi="Wingdings" w:hint="default"/>
      </w:rPr>
    </w:lvl>
  </w:abstractNum>
  <w:abstractNum w:abstractNumId="6" w15:restartNumberingAfterBreak="0">
    <w:nsid w:val="12EA3CA7"/>
    <w:multiLevelType w:val="hybridMultilevel"/>
    <w:tmpl w:val="E260368C"/>
    <w:lvl w:ilvl="0" w:tplc="CAEA15C8">
      <w:start w:val="1"/>
      <w:numFmt w:val="decimal"/>
      <w:lvlText w:val="%1."/>
      <w:lvlJc w:val="left"/>
      <w:pPr>
        <w:ind w:left="720" w:hanging="360"/>
      </w:pPr>
    </w:lvl>
    <w:lvl w:ilvl="1" w:tplc="FE6895B8" w:tentative="1">
      <w:start w:val="1"/>
      <w:numFmt w:val="lowerLetter"/>
      <w:lvlText w:val="%2."/>
      <w:lvlJc w:val="left"/>
      <w:pPr>
        <w:ind w:left="1440" w:hanging="360"/>
      </w:pPr>
    </w:lvl>
    <w:lvl w:ilvl="2" w:tplc="3EA49F38" w:tentative="1">
      <w:start w:val="1"/>
      <w:numFmt w:val="lowerRoman"/>
      <w:lvlText w:val="%3."/>
      <w:lvlJc w:val="right"/>
      <w:pPr>
        <w:ind w:left="2160" w:hanging="180"/>
      </w:pPr>
    </w:lvl>
    <w:lvl w:ilvl="3" w:tplc="C1CEAE5A" w:tentative="1">
      <w:start w:val="1"/>
      <w:numFmt w:val="decimal"/>
      <w:lvlText w:val="%4."/>
      <w:lvlJc w:val="left"/>
      <w:pPr>
        <w:ind w:left="2880" w:hanging="360"/>
      </w:pPr>
    </w:lvl>
    <w:lvl w:ilvl="4" w:tplc="565C8DE6" w:tentative="1">
      <w:start w:val="1"/>
      <w:numFmt w:val="lowerLetter"/>
      <w:lvlText w:val="%5."/>
      <w:lvlJc w:val="left"/>
      <w:pPr>
        <w:ind w:left="3600" w:hanging="360"/>
      </w:pPr>
    </w:lvl>
    <w:lvl w:ilvl="5" w:tplc="2F427EC2" w:tentative="1">
      <w:start w:val="1"/>
      <w:numFmt w:val="lowerRoman"/>
      <w:lvlText w:val="%6."/>
      <w:lvlJc w:val="right"/>
      <w:pPr>
        <w:ind w:left="4320" w:hanging="180"/>
      </w:pPr>
    </w:lvl>
    <w:lvl w:ilvl="6" w:tplc="76366EE2" w:tentative="1">
      <w:start w:val="1"/>
      <w:numFmt w:val="decimal"/>
      <w:lvlText w:val="%7."/>
      <w:lvlJc w:val="left"/>
      <w:pPr>
        <w:ind w:left="5040" w:hanging="360"/>
      </w:pPr>
    </w:lvl>
    <w:lvl w:ilvl="7" w:tplc="4596E980" w:tentative="1">
      <w:start w:val="1"/>
      <w:numFmt w:val="lowerLetter"/>
      <w:lvlText w:val="%8."/>
      <w:lvlJc w:val="left"/>
      <w:pPr>
        <w:ind w:left="5760" w:hanging="360"/>
      </w:pPr>
    </w:lvl>
    <w:lvl w:ilvl="8" w:tplc="63B8EC2A" w:tentative="1">
      <w:start w:val="1"/>
      <w:numFmt w:val="lowerRoman"/>
      <w:lvlText w:val="%9."/>
      <w:lvlJc w:val="right"/>
      <w:pPr>
        <w:ind w:left="6480" w:hanging="180"/>
      </w:pPr>
    </w:lvl>
  </w:abstractNum>
  <w:abstractNum w:abstractNumId="7" w15:restartNumberingAfterBreak="0">
    <w:nsid w:val="15924705"/>
    <w:multiLevelType w:val="hybridMultilevel"/>
    <w:tmpl w:val="D478B8EC"/>
    <w:lvl w:ilvl="0" w:tplc="421C928C">
      <w:numFmt w:val="bullet"/>
      <w:lvlText w:val="-"/>
      <w:lvlJc w:val="left"/>
      <w:pPr>
        <w:ind w:left="720" w:hanging="360"/>
      </w:pPr>
      <w:rPr>
        <w:rFonts w:ascii="Calibri" w:eastAsia="Times New Roman" w:hAnsi="Calibri" w:cs="Calibri" w:hint="default"/>
      </w:rPr>
    </w:lvl>
    <w:lvl w:ilvl="1" w:tplc="75C69230" w:tentative="1">
      <w:start w:val="1"/>
      <w:numFmt w:val="bullet"/>
      <w:lvlText w:val="o"/>
      <w:lvlJc w:val="left"/>
      <w:pPr>
        <w:ind w:left="1440" w:hanging="360"/>
      </w:pPr>
      <w:rPr>
        <w:rFonts w:ascii="Courier New" w:hAnsi="Courier New" w:cs="Courier New" w:hint="default"/>
      </w:rPr>
    </w:lvl>
    <w:lvl w:ilvl="2" w:tplc="C88C4FB2" w:tentative="1">
      <w:start w:val="1"/>
      <w:numFmt w:val="bullet"/>
      <w:lvlText w:val=""/>
      <w:lvlJc w:val="left"/>
      <w:pPr>
        <w:ind w:left="2160" w:hanging="360"/>
      </w:pPr>
      <w:rPr>
        <w:rFonts w:ascii="Wingdings" w:hAnsi="Wingdings" w:hint="default"/>
      </w:rPr>
    </w:lvl>
    <w:lvl w:ilvl="3" w:tplc="EE84F5A8" w:tentative="1">
      <w:start w:val="1"/>
      <w:numFmt w:val="bullet"/>
      <w:lvlText w:val=""/>
      <w:lvlJc w:val="left"/>
      <w:pPr>
        <w:ind w:left="2880" w:hanging="360"/>
      </w:pPr>
      <w:rPr>
        <w:rFonts w:ascii="Symbol" w:hAnsi="Symbol" w:hint="default"/>
      </w:rPr>
    </w:lvl>
    <w:lvl w:ilvl="4" w:tplc="EB92EB84" w:tentative="1">
      <w:start w:val="1"/>
      <w:numFmt w:val="bullet"/>
      <w:lvlText w:val="o"/>
      <w:lvlJc w:val="left"/>
      <w:pPr>
        <w:ind w:left="3600" w:hanging="360"/>
      </w:pPr>
      <w:rPr>
        <w:rFonts w:ascii="Courier New" w:hAnsi="Courier New" w:cs="Courier New" w:hint="default"/>
      </w:rPr>
    </w:lvl>
    <w:lvl w:ilvl="5" w:tplc="B2D04B5C" w:tentative="1">
      <w:start w:val="1"/>
      <w:numFmt w:val="bullet"/>
      <w:lvlText w:val=""/>
      <w:lvlJc w:val="left"/>
      <w:pPr>
        <w:ind w:left="4320" w:hanging="360"/>
      </w:pPr>
      <w:rPr>
        <w:rFonts w:ascii="Wingdings" w:hAnsi="Wingdings" w:hint="default"/>
      </w:rPr>
    </w:lvl>
    <w:lvl w:ilvl="6" w:tplc="85D60986" w:tentative="1">
      <w:start w:val="1"/>
      <w:numFmt w:val="bullet"/>
      <w:lvlText w:val=""/>
      <w:lvlJc w:val="left"/>
      <w:pPr>
        <w:ind w:left="5040" w:hanging="360"/>
      </w:pPr>
      <w:rPr>
        <w:rFonts w:ascii="Symbol" w:hAnsi="Symbol" w:hint="default"/>
      </w:rPr>
    </w:lvl>
    <w:lvl w:ilvl="7" w:tplc="A8289F22" w:tentative="1">
      <w:start w:val="1"/>
      <w:numFmt w:val="bullet"/>
      <w:lvlText w:val="o"/>
      <w:lvlJc w:val="left"/>
      <w:pPr>
        <w:ind w:left="5760" w:hanging="360"/>
      </w:pPr>
      <w:rPr>
        <w:rFonts w:ascii="Courier New" w:hAnsi="Courier New" w:cs="Courier New" w:hint="default"/>
      </w:rPr>
    </w:lvl>
    <w:lvl w:ilvl="8" w:tplc="6AF25BF6" w:tentative="1">
      <w:start w:val="1"/>
      <w:numFmt w:val="bullet"/>
      <w:lvlText w:val=""/>
      <w:lvlJc w:val="left"/>
      <w:pPr>
        <w:ind w:left="6480" w:hanging="360"/>
      </w:pPr>
      <w:rPr>
        <w:rFonts w:ascii="Wingdings" w:hAnsi="Wingdings" w:hint="default"/>
      </w:rPr>
    </w:lvl>
  </w:abstractNum>
  <w:abstractNum w:abstractNumId="8" w15:restartNumberingAfterBreak="0">
    <w:nsid w:val="15C56195"/>
    <w:multiLevelType w:val="hybridMultilevel"/>
    <w:tmpl w:val="D26C3936"/>
    <w:lvl w:ilvl="0" w:tplc="BBDECA94">
      <w:start w:val="1"/>
      <w:numFmt w:val="bullet"/>
      <w:lvlText w:val=""/>
      <w:lvlJc w:val="left"/>
      <w:pPr>
        <w:ind w:left="720" w:hanging="360"/>
      </w:pPr>
      <w:rPr>
        <w:rFonts w:ascii="Symbol" w:hAnsi="Symbol" w:hint="default"/>
      </w:rPr>
    </w:lvl>
    <w:lvl w:ilvl="1" w:tplc="051A0F68" w:tentative="1">
      <w:start w:val="1"/>
      <w:numFmt w:val="bullet"/>
      <w:lvlText w:val="o"/>
      <w:lvlJc w:val="left"/>
      <w:pPr>
        <w:ind w:left="1440" w:hanging="360"/>
      </w:pPr>
      <w:rPr>
        <w:rFonts w:ascii="Courier New" w:hAnsi="Courier New" w:cs="Courier New" w:hint="default"/>
      </w:rPr>
    </w:lvl>
    <w:lvl w:ilvl="2" w:tplc="650C1C0A" w:tentative="1">
      <w:start w:val="1"/>
      <w:numFmt w:val="bullet"/>
      <w:lvlText w:val=""/>
      <w:lvlJc w:val="left"/>
      <w:pPr>
        <w:ind w:left="2160" w:hanging="360"/>
      </w:pPr>
      <w:rPr>
        <w:rFonts w:ascii="Wingdings" w:hAnsi="Wingdings" w:hint="default"/>
      </w:rPr>
    </w:lvl>
    <w:lvl w:ilvl="3" w:tplc="072C881C" w:tentative="1">
      <w:start w:val="1"/>
      <w:numFmt w:val="bullet"/>
      <w:lvlText w:val=""/>
      <w:lvlJc w:val="left"/>
      <w:pPr>
        <w:ind w:left="2880" w:hanging="360"/>
      </w:pPr>
      <w:rPr>
        <w:rFonts w:ascii="Symbol" w:hAnsi="Symbol" w:hint="default"/>
      </w:rPr>
    </w:lvl>
    <w:lvl w:ilvl="4" w:tplc="1EC00016" w:tentative="1">
      <w:start w:val="1"/>
      <w:numFmt w:val="bullet"/>
      <w:lvlText w:val="o"/>
      <w:lvlJc w:val="left"/>
      <w:pPr>
        <w:ind w:left="3600" w:hanging="360"/>
      </w:pPr>
      <w:rPr>
        <w:rFonts w:ascii="Courier New" w:hAnsi="Courier New" w:cs="Courier New" w:hint="default"/>
      </w:rPr>
    </w:lvl>
    <w:lvl w:ilvl="5" w:tplc="CE94A672" w:tentative="1">
      <w:start w:val="1"/>
      <w:numFmt w:val="bullet"/>
      <w:lvlText w:val=""/>
      <w:lvlJc w:val="left"/>
      <w:pPr>
        <w:ind w:left="4320" w:hanging="360"/>
      </w:pPr>
      <w:rPr>
        <w:rFonts w:ascii="Wingdings" w:hAnsi="Wingdings" w:hint="default"/>
      </w:rPr>
    </w:lvl>
    <w:lvl w:ilvl="6" w:tplc="E0907BBA" w:tentative="1">
      <w:start w:val="1"/>
      <w:numFmt w:val="bullet"/>
      <w:lvlText w:val=""/>
      <w:lvlJc w:val="left"/>
      <w:pPr>
        <w:ind w:left="5040" w:hanging="360"/>
      </w:pPr>
      <w:rPr>
        <w:rFonts w:ascii="Symbol" w:hAnsi="Symbol" w:hint="default"/>
      </w:rPr>
    </w:lvl>
    <w:lvl w:ilvl="7" w:tplc="0484B682" w:tentative="1">
      <w:start w:val="1"/>
      <w:numFmt w:val="bullet"/>
      <w:lvlText w:val="o"/>
      <w:lvlJc w:val="left"/>
      <w:pPr>
        <w:ind w:left="5760" w:hanging="360"/>
      </w:pPr>
      <w:rPr>
        <w:rFonts w:ascii="Courier New" w:hAnsi="Courier New" w:cs="Courier New" w:hint="default"/>
      </w:rPr>
    </w:lvl>
    <w:lvl w:ilvl="8" w:tplc="2E642FA6" w:tentative="1">
      <w:start w:val="1"/>
      <w:numFmt w:val="bullet"/>
      <w:lvlText w:val=""/>
      <w:lvlJc w:val="left"/>
      <w:pPr>
        <w:ind w:left="6480" w:hanging="360"/>
      </w:pPr>
      <w:rPr>
        <w:rFonts w:ascii="Wingdings" w:hAnsi="Wingdings" w:hint="default"/>
      </w:rPr>
    </w:lvl>
  </w:abstractNum>
  <w:abstractNum w:abstractNumId="9" w15:restartNumberingAfterBreak="0">
    <w:nsid w:val="1FB800C8"/>
    <w:multiLevelType w:val="hybridMultilevel"/>
    <w:tmpl w:val="4C8ADCF0"/>
    <w:lvl w:ilvl="0" w:tplc="353CC740">
      <w:start w:val="1"/>
      <w:numFmt w:val="decimal"/>
      <w:lvlText w:val="%1."/>
      <w:lvlJc w:val="left"/>
      <w:pPr>
        <w:ind w:left="720" w:hanging="360"/>
      </w:pPr>
      <w:rPr>
        <w:rFonts w:hint="default"/>
      </w:rPr>
    </w:lvl>
    <w:lvl w:ilvl="1" w:tplc="8082821E" w:tentative="1">
      <w:start w:val="1"/>
      <w:numFmt w:val="lowerLetter"/>
      <w:lvlText w:val="%2."/>
      <w:lvlJc w:val="left"/>
      <w:pPr>
        <w:ind w:left="1440" w:hanging="360"/>
      </w:pPr>
    </w:lvl>
    <w:lvl w:ilvl="2" w:tplc="37F2AB0A" w:tentative="1">
      <w:start w:val="1"/>
      <w:numFmt w:val="lowerRoman"/>
      <w:lvlText w:val="%3."/>
      <w:lvlJc w:val="right"/>
      <w:pPr>
        <w:ind w:left="2160" w:hanging="180"/>
      </w:pPr>
    </w:lvl>
    <w:lvl w:ilvl="3" w:tplc="53A41712" w:tentative="1">
      <w:start w:val="1"/>
      <w:numFmt w:val="decimal"/>
      <w:lvlText w:val="%4."/>
      <w:lvlJc w:val="left"/>
      <w:pPr>
        <w:ind w:left="2880" w:hanging="360"/>
      </w:pPr>
    </w:lvl>
    <w:lvl w:ilvl="4" w:tplc="5B22C0AA" w:tentative="1">
      <w:start w:val="1"/>
      <w:numFmt w:val="lowerLetter"/>
      <w:lvlText w:val="%5."/>
      <w:lvlJc w:val="left"/>
      <w:pPr>
        <w:ind w:left="3600" w:hanging="360"/>
      </w:pPr>
    </w:lvl>
    <w:lvl w:ilvl="5" w:tplc="F15AC8C0" w:tentative="1">
      <w:start w:val="1"/>
      <w:numFmt w:val="lowerRoman"/>
      <w:lvlText w:val="%6."/>
      <w:lvlJc w:val="right"/>
      <w:pPr>
        <w:ind w:left="4320" w:hanging="180"/>
      </w:pPr>
    </w:lvl>
    <w:lvl w:ilvl="6" w:tplc="0666F5E8" w:tentative="1">
      <w:start w:val="1"/>
      <w:numFmt w:val="decimal"/>
      <w:lvlText w:val="%7."/>
      <w:lvlJc w:val="left"/>
      <w:pPr>
        <w:ind w:left="5040" w:hanging="360"/>
      </w:pPr>
    </w:lvl>
    <w:lvl w:ilvl="7" w:tplc="49BC2176" w:tentative="1">
      <w:start w:val="1"/>
      <w:numFmt w:val="lowerLetter"/>
      <w:lvlText w:val="%8."/>
      <w:lvlJc w:val="left"/>
      <w:pPr>
        <w:ind w:left="5760" w:hanging="360"/>
      </w:pPr>
    </w:lvl>
    <w:lvl w:ilvl="8" w:tplc="26362D66" w:tentative="1">
      <w:start w:val="1"/>
      <w:numFmt w:val="lowerRoman"/>
      <w:lvlText w:val="%9."/>
      <w:lvlJc w:val="right"/>
      <w:pPr>
        <w:ind w:left="6480" w:hanging="180"/>
      </w:pPr>
    </w:lvl>
  </w:abstractNum>
  <w:abstractNum w:abstractNumId="10" w15:restartNumberingAfterBreak="0">
    <w:nsid w:val="210A4165"/>
    <w:multiLevelType w:val="hybridMultilevel"/>
    <w:tmpl w:val="EDFA4592"/>
    <w:lvl w:ilvl="0" w:tplc="BF9C3C4A">
      <w:start w:val="1"/>
      <w:numFmt w:val="bullet"/>
      <w:lvlText w:val=""/>
      <w:lvlJc w:val="left"/>
      <w:pPr>
        <w:ind w:left="720" w:hanging="360"/>
      </w:pPr>
      <w:rPr>
        <w:rFonts w:ascii="Symbol" w:hAnsi="Symbol" w:hint="default"/>
      </w:rPr>
    </w:lvl>
    <w:lvl w:ilvl="1" w:tplc="61FEC44C" w:tentative="1">
      <w:start w:val="1"/>
      <w:numFmt w:val="bullet"/>
      <w:lvlText w:val="o"/>
      <w:lvlJc w:val="left"/>
      <w:pPr>
        <w:ind w:left="1440" w:hanging="360"/>
      </w:pPr>
      <w:rPr>
        <w:rFonts w:ascii="Courier New" w:hAnsi="Courier New" w:cs="Courier New" w:hint="default"/>
      </w:rPr>
    </w:lvl>
    <w:lvl w:ilvl="2" w:tplc="355C8E02" w:tentative="1">
      <w:start w:val="1"/>
      <w:numFmt w:val="bullet"/>
      <w:lvlText w:val=""/>
      <w:lvlJc w:val="left"/>
      <w:pPr>
        <w:ind w:left="2160" w:hanging="360"/>
      </w:pPr>
      <w:rPr>
        <w:rFonts w:ascii="Wingdings" w:hAnsi="Wingdings" w:hint="default"/>
      </w:rPr>
    </w:lvl>
    <w:lvl w:ilvl="3" w:tplc="89341F3C" w:tentative="1">
      <w:start w:val="1"/>
      <w:numFmt w:val="bullet"/>
      <w:lvlText w:val=""/>
      <w:lvlJc w:val="left"/>
      <w:pPr>
        <w:ind w:left="2880" w:hanging="360"/>
      </w:pPr>
      <w:rPr>
        <w:rFonts w:ascii="Symbol" w:hAnsi="Symbol" w:hint="default"/>
      </w:rPr>
    </w:lvl>
    <w:lvl w:ilvl="4" w:tplc="C4A8E924" w:tentative="1">
      <w:start w:val="1"/>
      <w:numFmt w:val="bullet"/>
      <w:lvlText w:val="o"/>
      <w:lvlJc w:val="left"/>
      <w:pPr>
        <w:ind w:left="3600" w:hanging="360"/>
      </w:pPr>
      <w:rPr>
        <w:rFonts w:ascii="Courier New" w:hAnsi="Courier New" w:cs="Courier New" w:hint="default"/>
      </w:rPr>
    </w:lvl>
    <w:lvl w:ilvl="5" w:tplc="CB262A62" w:tentative="1">
      <w:start w:val="1"/>
      <w:numFmt w:val="bullet"/>
      <w:lvlText w:val=""/>
      <w:lvlJc w:val="left"/>
      <w:pPr>
        <w:ind w:left="4320" w:hanging="360"/>
      </w:pPr>
      <w:rPr>
        <w:rFonts w:ascii="Wingdings" w:hAnsi="Wingdings" w:hint="default"/>
      </w:rPr>
    </w:lvl>
    <w:lvl w:ilvl="6" w:tplc="3CE22244" w:tentative="1">
      <w:start w:val="1"/>
      <w:numFmt w:val="bullet"/>
      <w:lvlText w:val=""/>
      <w:lvlJc w:val="left"/>
      <w:pPr>
        <w:ind w:left="5040" w:hanging="360"/>
      </w:pPr>
      <w:rPr>
        <w:rFonts w:ascii="Symbol" w:hAnsi="Symbol" w:hint="default"/>
      </w:rPr>
    </w:lvl>
    <w:lvl w:ilvl="7" w:tplc="1388CA1A" w:tentative="1">
      <w:start w:val="1"/>
      <w:numFmt w:val="bullet"/>
      <w:lvlText w:val="o"/>
      <w:lvlJc w:val="left"/>
      <w:pPr>
        <w:ind w:left="5760" w:hanging="360"/>
      </w:pPr>
      <w:rPr>
        <w:rFonts w:ascii="Courier New" w:hAnsi="Courier New" w:cs="Courier New" w:hint="default"/>
      </w:rPr>
    </w:lvl>
    <w:lvl w:ilvl="8" w:tplc="DB5AC9BA" w:tentative="1">
      <w:start w:val="1"/>
      <w:numFmt w:val="bullet"/>
      <w:lvlText w:val=""/>
      <w:lvlJc w:val="left"/>
      <w:pPr>
        <w:ind w:left="6480" w:hanging="360"/>
      </w:pPr>
      <w:rPr>
        <w:rFonts w:ascii="Wingdings" w:hAnsi="Wingdings" w:hint="default"/>
      </w:rPr>
    </w:lvl>
  </w:abstractNum>
  <w:abstractNum w:abstractNumId="11" w15:restartNumberingAfterBreak="0">
    <w:nsid w:val="215156D0"/>
    <w:multiLevelType w:val="hybridMultilevel"/>
    <w:tmpl w:val="83365624"/>
    <w:lvl w:ilvl="0" w:tplc="774AB9D4">
      <w:start w:val="1"/>
      <w:numFmt w:val="bullet"/>
      <w:lvlText w:val="o"/>
      <w:lvlJc w:val="left"/>
      <w:pPr>
        <w:ind w:left="720" w:hanging="360"/>
      </w:pPr>
      <w:rPr>
        <w:rFonts w:ascii="Courier New" w:hAnsi="Courier New" w:cs="Courier New" w:hint="default"/>
      </w:rPr>
    </w:lvl>
    <w:lvl w:ilvl="1" w:tplc="8E98F428" w:tentative="1">
      <w:start w:val="1"/>
      <w:numFmt w:val="bullet"/>
      <w:lvlText w:val="o"/>
      <w:lvlJc w:val="left"/>
      <w:pPr>
        <w:ind w:left="1440" w:hanging="360"/>
      </w:pPr>
      <w:rPr>
        <w:rFonts w:ascii="Courier New" w:hAnsi="Courier New" w:cs="Courier New" w:hint="default"/>
      </w:rPr>
    </w:lvl>
    <w:lvl w:ilvl="2" w:tplc="5CD03194" w:tentative="1">
      <w:start w:val="1"/>
      <w:numFmt w:val="bullet"/>
      <w:lvlText w:val=""/>
      <w:lvlJc w:val="left"/>
      <w:pPr>
        <w:ind w:left="2160" w:hanging="360"/>
      </w:pPr>
      <w:rPr>
        <w:rFonts w:ascii="Wingdings" w:hAnsi="Wingdings" w:hint="default"/>
      </w:rPr>
    </w:lvl>
    <w:lvl w:ilvl="3" w:tplc="6A76922A" w:tentative="1">
      <w:start w:val="1"/>
      <w:numFmt w:val="bullet"/>
      <w:lvlText w:val=""/>
      <w:lvlJc w:val="left"/>
      <w:pPr>
        <w:ind w:left="2880" w:hanging="360"/>
      </w:pPr>
      <w:rPr>
        <w:rFonts w:ascii="Symbol" w:hAnsi="Symbol" w:hint="default"/>
      </w:rPr>
    </w:lvl>
    <w:lvl w:ilvl="4" w:tplc="E99C98F0" w:tentative="1">
      <w:start w:val="1"/>
      <w:numFmt w:val="bullet"/>
      <w:lvlText w:val="o"/>
      <w:lvlJc w:val="left"/>
      <w:pPr>
        <w:ind w:left="3600" w:hanging="360"/>
      </w:pPr>
      <w:rPr>
        <w:rFonts w:ascii="Courier New" w:hAnsi="Courier New" w:cs="Courier New" w:hint="default"/>
      </w:rPr>
    </w:lvl>
    <w:lvl w:ilvl="5" w:tplc="D72C3A2E" w:tentative="1">
      <w:start w:val="1"/>
      <w:numFmt w:val="bullet"/>
      <w:lvlText w:val=""/>
      <w:lvlJc w:val="left"/>
      <w:pPr>
        <w:ind w:left="4320" w:hanging="360"/>
      </w:pPr>
      <w:rPr>
        <w:rFonts w:ascii="Wingdings" w:hAnsi="Wingdings" w:hint="default"/>
      </w:rPr>
    </w:lvl>
    <w:lvl w:ilvl="6" w:tplc="7610B428" w:tentative="1">
      <w:start w:val="1"/>
      <w:numFmt w:val="bullet"/>
      <w:lvlText w:val=""/>
      <w:lvlJc w:val="left"/>
      <w:pPr>
        <w:ind w:left="5040" w:hanging="360"/>
      </w:pPr>
      <w:rPr>
        <w:rFonts w:ascii="Symbol" w:hAnsi="Symbol" w:hint="default"/>
      </w:rPr>
    </w:lvl>
    <w:lvl w:ilvl="7" w:tplc="DB6AEFC0" w:tentative="1">
      <w:start w:val="1"/>
      <w:numFmt w:val="bullet"/>
      <w:lvlText w:val="o"/>
      <w:lvlJc w:val="left"/>
      <w:pPr>
        <w:ind w:left="5760" w:hanging="360"/>
      </w:pPr>
      <w:rPr>
        <w:rFonts w:ascii="Courier New" w:hAnsi="Courier New" w:cs="Courier New" w:hint="default"/>
      </w:rPr>
    </w:lvl>
    <w:lvl w:ilvl="8" w:tplc="3CB455B4" w:tentative="1">
      <w:start w:val="1"/>
      <w:numFmt w:val="bullet"/>
      <w:lvlText w:val=""/>
      <w:lvlJc w:val="left"/>
      <w:pPr>
        <w:ind w:left="6480" w:hanging="360"/>
      </w:pPr>
      <w:rPr>
        <w:rFonts w:ascii="Wingdings" w:hAnsi="Wingdings" w:hint="default"/>
      </w:rPr>
    </w:lvl>
  </w:abstractNum>
  <w:abstractNum w:abstractNumId="12" w15:restartNumberingAfterBreak="0">
    <w:nsid w:val="31C21CBB"/>
    <w:multiLevelType w:val="hybridMultilevel"/>
    <w:tmpl w:val="CD6677E2"/>
    <w:lvl w:ilvl="0" w:tplc="C6FADF4A">
      <w:start w:val="1"/>
      <w:numFmt w:val="bullet"/>
      <w:lvlText w:val=""/>
      <w:lvlJc w:val="left"/>
      <w:pPr>
        <w:ind w:left="720" w:hanging="360"/>
      </w:pPr>
      <w:rPr>
        <w:rFonts w:ascii="Symbol" w:hAnsi="Symbol" w:hint="default"/>
      </w:rPr>
    </w:lvl>
    <w:lvl w:ilvl="1" w:tplc="DA3E17B4" w:tentative="1">
      <w:start w:val="1"/>
      <w:numFmt w:val="bullet"/>
      <w:lvlText w:val="o"/>
      <w:lvlJc w:val="left"/>
      <w:pPr>
        <w:ind w:left="1440" w:hanging="360"/>
      </w:pPr>
      <w:rPr>
        <w:rFonts w:ascii="Courier New" w:hAnsi="Courier New" w:cs="Courier New" w:hint="default"/>
      </w:rPr>
    </w:lvl>
    <w:lvl w:ilvl="2" w:tplc="D9287644" w:tentative="1">
      <w:start w:val="1"/>
      <w:numFmt w:val="bullet"/>
      <w:lvlText w:val=""/>
      <w:lvlJc w:val="left"/>
      <w:pPr>
        <w:ind w:left="2160" w:hanging="360"/>
      </w:pPr>
      <w:rPr>
        <w:rFonts w:ascii="Wingdings" w:hAnsi="Wingdings" w:hint="default"/>
      </w:rPr>
    </w:lvl>
    <w:lvl w:ilvl="3" w:tplc="9AE4B97E" w:tentative="1">
      <w:start w:val="1"/>
      <w:numFmt w:val="bullet"/>
      <w:lvlText w:val=""/>
      <w:lvlJc w:val="left"/>
      <w:pPr>
        <w:ind w:left="2880" w:hanging="360"/>
      </w:pPr>
      <w:rPr>
        <w:rFonts w:ascii="Symbol" w:hAnsi="Symbol" w:hint="default"/>
      </w:rPr>
    </w:lvl>
    <w:lvl w:ilvl="4" w:tplc="9E70B44C" w:tentative="1">
      <w:start w:val="1"/>
      <w:numFmt w:val="bullet"/>
      <w:lvlText w:val="o"/>
      <w:lvlJc w:val="left"/>
      <w:pPr>
        <w:ind w:left="3600" w:hanging="360"/>
      </w:pPr>
      <w:rPr>
        <w:rFonts w:ascii="Courier New" w:hAnsi="Courier New" w:cs="Courier New" w:hint="default"/>
      </w:rPr>
    </w:lvl>
    <w:lvl w:ilvl="5" w:tplc="7ED417BA" w:tentative="1">
      <w:start w:val="1"/>
      <w:numFmt w:val="bullet"/>
      <w:lvlText w:val=""/>
      <w:lvlJc w:val="left"/>
      <w:pPr>
        <w:ind w:left="4320" w:hanging="360"/>
      </w:pPr>
      <w:rPr>
        <w:rFonts w:ascii="Wingdings" w:hAnsi="Wingdings" w:hint="default"/>
      </w:rPr>
    </w:lvl>
    <w:lvl w:ilvl="6" w:tplc="7B68A9DA" w:tentative="1">
      <w:start w:val="1"/>
      <w:numFmt w:val="bullet"/>
      <w:lvlText w:val=""/>
      <w:lvlJc w:val="left"/>
      <w:pPr>
        <w:ind w:left="5040" w:hanging="360"/>
      </w:pPr>
      <w:rPr>
        <w:rFonts w:ascii="Symbol" w:hAnsi="Symbol" w:hint="default"/>
      </w:rPr>
    </w:lvl>
    <w:lvl w:ilvl="7" w:tplc="82CC4A8E" w:tentative="1">
      <w:start w:val="1"/>
      <w:numFmt w:val="bullet"/>
      <w:lvlText w:val="o"/>
      <w:lvlJc w:val="left"/>
      <w:pPr>
        <w:ind w:left="5760" w:hanging="360"/>
      </w:pPr>
      <w:rPr>
        <w:rFonts w:ascii="Courier New" w:hAnsi="Courier New" w:cs="Courier New" w:hint="default"/>
      </w:rPr>
    </w:lvl>
    <w:lvl w:ilvl="8" w:tplc="7CA8D830" w:tentative="1">
      <w:start w:val="1"/>
      <w:numFmt w:val="bullet"/>
      <w:lvlText w:val=""/>
      <w:lvlJc w:val="left"/>
      <w:pPr>
        <w:ind w:left="6480" w:hanging="360"/>
      </w:pPr>
      <w:rPr>
        <w:rFonts w:ascii="Wingdings" w:hAnsi="Wingdings" w:hint="default"/>
      </w:rPr>
    </w:lvl>
  </w:abstractNum>
  <w:abstractNum w:abstractNumId="13" w15:restartNumberingAfterBreak="0">
    <w:nsid w:val="31C810AA"/>
    <w:multiLevelType w:val="hybridMultilevel"/>
    <w:tmpl w:val="1B3ADB2E"/>
    <w:lvl w:ilvl="0" w:tplc="94A8549C">
      <w:start w:val="1"/>
      <w:numFmt w:val="decimal"/>
      <w:lvlText w:val="%1."/>
      <w:lvlJc w:val="left"/>
      <w:pPr>
        <w:ind w:left="720" w:hanging="360"/>
      </w:pPr>
    </w:lvl>
    <w:lvl w:ilvl="1" w:tplc="7E621386" w:tentative="1">
      <w:start w:val="1"/>
      <w:numFmt w:val="lowerLetter"/>
      <w:lvlText w:val="%2."/>
      <w:lvlJc w:val="left"/>
      <w:pPr>
        <w:ind w:left="1440" w:hanging="360"/>
      </w:pPr>
    </w:lvl>
    <w:lvl w:ilvl="2" w:tplc="553A0698" w:tentative="1">
      <w:start w:val="1"/>
      <w:numFmt w:val="lowerRoman"/>
      <w:lvlText w:val="%3."/>
      <w:lvlJc w:val="right"/>
      <w:pPr>
        <w:ind w:left="2160" w:hanging="180"/>
      </w:pPr>
    </w:lvl>
    <w:lvl w:ilvl="3" w:tplc="644E90FE" w:tentative="1">
      <w:start w:val="1"/>
      <w:numFmt w:val="decimal"/>
      <w:lvlText w:val="%4."/>
      <w:lvlJc w:val="left"/>
      <w:pPr>
        <w:ind w:left="2880" w:hanging="360"/>
      </w:pPr>
    </w:lvl>
    <w:lvl w:ilvl="4" w:tplc="005047AE" w:tentative="1">
      <w:start w:val="1"/>
      <w:numFmt w:val="lowerLetter"/>
      <w:lvlText w:val="%5."/>
      <w:lvlJc w:val="left"/>
      <w:pPr>
        <w:ind w:left="3600" w:hanging="360"/>
      </w:pPr>
    </w:lvl>
    <w:lvl w:ilvl="5" w:tplc="6CE64BF4" w:tentative="1">
      <w:start w:val="1"/>
      <w:numFmt w:val="lowerRoman"/>
      <w:lvlText w:val="%6."/>
      <w:lvlJc w:val="right"/>
      <w:pPr>
        <w:ind w:left="4320" w:hanging="180"/>
      </w:pPr>
    </w:lvl>
    <w:lvl w:ilvl="6" w:tplc="375E8C2A" w:tentative="1">
      <w:start w:val="1"/>
      <w:numFmt w:val="decimal"/>
      <w:lvlText w:val="%7."/>
      <w:lvlJc w:val="left"/>
      <w:pPr>
        <w:ind w:left="5040" w:hanging="360"/>
      </w:pPr>
    </w:lvl>
    <w:lvl w:ilvl="7" w:tplc="D3841DE4" w:tentative="1">
      <w:start w:val="1"/>
      <w:numFmt w:val="lowerLetter"/>
      <w:lvlText w:val="%8."/>
      <w:lvlJc w:val="left"/>
      <w:pPr>
        <w:ind w:left="5760" w:hanging="360"/>
      </w:pPr>
    </w:lvl>
    <w:lvl w:ilvl="8" w:tplc="1EF8857E" w:tentative="1">
      <w:start w:val="1"/>
      <w:numFmt w:val="lowerRoman"/>
      <w:lvlText w:val="%9."/>
      <w:lvlJc w:val="right"/>
      <w:pPr>
        <w:ind w:left="6480" w:hanging="180"/>
      </w:pPr>
    </w:lvl>
  </w:abstractNum>
  <w:abstractNum w:abstractNumId="14" w15:restartNumberingAfterBreak="0">
    <w:nsid w:val="32AB7E4D"/>
    <w:multiLevelType w:val="hybridMultilevel"/>
    <w:tmpl w:val="482E907A"/>
    <w:lvl w:ilvl="0" w:tplc="52ACF828">
      <w:start w:val="1"/>
      <w:numFmt w:val="bullet"/>
      <w:lvlText w:val=""/>
      <w:lvlJc w:val="left"/>
      <w:pPr>
        <w:ind w:left="720" w:hanging="360"/>
      </w:pPr>
      <w:rPr>
        <w:rFonts w:ascii="Symbol" w:hAnsi="Symbol" w:hint="default"/>
      </w:rPr>
    </w:lvl>
    <w:lvl w:ilvl="1" w:tplc="A3AEC0B4" w:tentative="1">
      <w:start w:val="1"/>
      <w:numFmt w:val="bullet"/>
      <w:lvlText w:val="o"/>
      <w:lvlJc w:val="left"/>
      <w:pPr>
        <w:ind w:left="1440" w:hanging="360"/>
      </w:pPr>
      <w:rPr>
        <w:rFonts w:ascii="Courier New" w:hAnsi="Courier New" w:cs="Courier New" w:hint="default"/>
      </w:rPr>
    </w:lvl>
    <w:lvl w:ilvl="2" w:tplc="329AA9BA" w:tentative="1">
      <w:start w:val="1"/>
      <w:numFmt w:val="bullet"/>
      <w:lvlText w:val=""/>
      <w:lvlJc w:val="left"/>
      <w:pPr>
        <w:ind w:left="2160" w:hanging="360"/>
      </w:pPr>
      <w:rPr>
        <w:rFonts w:ascii="Wingdings" w:hAnsi="Wingdings" w:hint="default"/>
      </w:rPr>
    </w:lvl>
    <w:lvl w:ilvl="3" w:tplc="C5E2207E" w:tentative="1">
      <w:start w:val="1"/>
      <w:numFmt w:val="bullet"/>
      <w:lvlText w:val=""/>
      <w:lvlJc w:val="left"/>
      <w:pPr>
        <w:ind w:left="2880" w:hanging="360"/>
      </w:pPr>
      <w:rPr>
        <w:rFonts w:ascii="Symbol" w:hAnsi="Symbol" w:hint="default"/>
      </w:rPr>
    </w:lvl>
    <w:lvl w:ilvl="4" w:tplc="CF765D06" w:tentative="1">
      <w:start w:val="1"/>
      <w:numFmt w:val="bullet"/>
      <w:lvlText w:val="o"/>
      <w:lvlJc w:val="left"/>
      <w:pPr>
        <w:ind w:left="3600" w:hanging="360"/>
      </w:pPr>
      <w:rPr>
        <w:rFonts w:ascii="Courier New" w:hAnsi="Courier New" w:cs="Courier New" w:hint="default"/>
      </w:rPr>
    </w:lvl>
    <w:lvl w:ilvl="5" w:tplc="177EB8BC" w:tentative="1">
      <w:start w:val="1"/>
      <w:numFmt w:val="bullet"/>
      <w:lvlText w:val=""/>
      <w:lvlJc w:val="left"/>
      <w:pPr>
        <w:ind w:left="4320" w:hanging="360"/>
      </w:pPr>
      <w:rPr>
        <w:rFonts w:ascii="Wingdings" w:hAnsi="Wingdings" w:hint="default"/>
      </w:rPr>
    </w:lvl>
    <w:lvl w:ilvl="6" w:tplc="9606E346" w:tentative="1">
      <w:start w:val="1"/>
      <w:numFmt w:val="bullet"/>
      <w:lvlText w:val=""/>
      <w:lvlJc w:val="left"/>
      <w:pPr>
        <w:ind w:left="5040" w:hanging="360"/>
      </w:pPr>
      <w:rPr>
        <w:rFonts w:ascii="Symbol" w:hAnsi="Symbol" w:hint="default"/>
      </w:rPr>
    </w:lvl>
    <w:lvl w:ilvl="7" w:tplc="93D61040" w:tentative="1">
      <w:start w:val="1"/>
      <w:numFmt w:val="bullet"/>
      <w:lvlText w:val="o"/>
      <w:lvlJc w:val="left"/>
      <w:pPr>
        <w:ind w:left="5760" w:hanging="360"/>
      </w:pPr>
      <w:rPr>
        <w:rFonts w:ascii="Courier New" w:hAnsi="Courier New" w:cs="Courier New" w:hint="default"/>
      </w:rPr>
    </w:lvl>
    <w:lvl w:ilvl="8" w:tplc="B8B0AA82" w:tentative="1">
      <w:start w:val="1"/>
      <w:numFmt w:val="bullet"/>
      <w:lvlText w:val=""/>
      <w:lvlJc w:val="left"/>
      <w:pPr>
        <w:ind w:left="6480" w:hanging="360"/>
      </w:pPr>
      <w:rPr>
        <w:rFonts w:ascii="Wingdings" w:hAnsi="Wingdings" w:hint="default"/>
      </w:rPr>
    </w:lvl>
  </w:abstractNum>
  <w:abstractNum w:abstractNumId="15" w15:restartNumberingAfterBreak="0">
    <w:nsid w:val="37033922"/>
    <w:multiLevelType w:val="hybridMultilevel"/>
    <w:tmpl w:val="D736B954"/>
    <w:lvl w:ilvl="0" w:tplc="7F5ED20E">
      <w:numFmt w:val="bullet"/>
      <w:lvlText w:val="-"/>
      <w:lvlJc w:val="left"/>
      <w:pPr>
        <w:ind w:left="720" w:hanging="360"/>
      </w:pPr>
      <w:rPr>
        <w:rFonts w:ascii="Calibri" w:eastAsia="Times New Roman" w:hAnsi="Calibri" w:cs="Calibri" w:hint="default"/>
      </w:rPr>
    </w:lvl>
    <w:lvl w:ilvl="1" w:tplc="10BECCA6" w:tentative="1">
      <w:start w:val="1"/>
      <w:numFmt w:val="bullet"/>
      <w:lvlText w:val="o"/>
      <w:lvlJc w:val="left"/>
      <w:pPr>
        <w:ind w:left="1440" w:hanging="360"/>
      </w:pPr>
      <w:rPr>
        <w:rFonts w:ascii="Courier New" w:hAnsi="Courier New" w:cs="Courier New" w:hint="default"/>
      </w:rPr>
    </w:lvl>
    <w:lvl w:ilvl="2" w:tplc="99049E52" w:tentative="1">
      <w:start w:val="1"/>
      <w:numFmt w:val="bullet"/>
      <w:lvlText w:val=""/>
      <w:lvlJc w:val="left"/>
      <w:pPr>
        <w:ind w:left="2160" w:hanging="360"/>
      </w:pPr>
      <w:rPr>
        <w:rFonts w:ascii="Wingdings" w:hAnsi="Wingdings" w:hint="default"/>
      </w:rPr>
    </w:lvl>
    <w:lvl w:ilvl="3" w:tplc="432A124C" w:tentative="1">
      <w:start w:val="1"/>
      <w:numFmt w:val="bullet"/>
      <w:lvlText w:val=""/>
      <w:lvlJc w:val="left"/>
      <w:pPr>
        <w:ind w:left="2880" w:hanging="360"/>
      </w:pPr>
      <w:rPr>
        <w:rFonts w:ascii="Symbol" w:hAnsi="Symbol" w:hint="default"/>
      </w:rPr>
    </w:lvl>
    <w:lvl w:ilvl="4" w:tplc="4C18A24A" w:tentative="1">
      <w:start w:val="1"/>
      <w:numFmt w:val="bullet"/>
      <w:lvlText w:val="o"/>
      <w:lvlJc w:val="left"/>
      <w:pPr>
        <w:ind w:left="3600" w:hanging="360"/>
      </w:pPr>
      <w:rPr>
        <w:rFonts w:ascii="Courier New" w:hAnsi="Courier New" w:cs="Courier New" w:hint="default"/>
      </w:rPr>
    </w:lvl>
    <w:lvl w:ilvl="5" w:tplc="8C426A84" w:tentative="1">
      <w:start w:val="1"/>
      <w:numFmt w:val="bullet"/>
      <w:lvlText w:val=""/>
      <w:lvlJc w:val="left"/>
      <w:pPr>
        <w:ind w:left="4320" w:hanging="360"/>
      </w:pPr>
      <w:rPr>
        <w:rFonts w:ascii="Wingdings" w:hAnsi="Wingdings" w:hint="default"/>
      </w:rPr>
    </w:lvl>
    <w:lvl w:ilvl="6" w:tplc="E31A112A" w:tentative="1">
      <w:start w:val="1"/>
      <w:numFmt w:val="bullet"/>
      <w:lvlText w:val=""/>
      <w:lvlJc w:val="left"/>
      <w:pPr>
        <w:ind w:left="5040" w:hanging="360"/>
      </w:pPr>
      <w:rPr>
        <w:rFonts w:ascii="Symbol" w:hAnsi="Symbol" w:hint="default"/>
      </w:rPr>
    </w:lvl>
    <w:lvl w:ilvl="7" w:tplc="E5A8008A" w:tentative="1">
      <w:start w:val="1"/>
      <w:numFmt w:val="bullet"/>
      <w:lvlText w:val="o"/>
      <w:lvlJc w:val="left"/>
      <w:pPr>
        <w:ind w:left="5760" w:hanging="360"/>
      </w:pPr>
      <w:rPr>
        <w:rFonts w:ascii="Courier New" w:hAnsi="Courier New" w:cs="Courier New" w:hint="default"/>
      </w:rPr>
    </w:lvl>
    <w:lvl w:ilvl="8" w:tplc="FD7E749A" w:tentative="1">
      <w:start w:val="1"/>
      <w:numFmt w:val="bullet"/>
      <w:lvlText w:val=""/>
      <w:lvlJc w:val="left"/>
      <w:pPr>
        <w:ind w:left="6480" w:hanging="360"/>
      </w:pPr>
      <w:rPr>
        <w:rFonts w:ascii="Wingdings" w:hAnsi="Wingdings" w:hint="default"/>
      </w:rPr>
    </w:lvl>
  </w:abstractNum>
  <w:abstractNum w:abstractNumId="16" w15:restartNumberingAfterBreak="0">
    <w:nsid w:val="37D23397"/>
    <w:multiLevelType w:val="hybridMultilevel"/>
    <w:tmpl w:val="16369D16"/>
    <w:lvl w:ilvl="0" w:tplc="7CB22580">
      <w:numFmt w:val="bullet"/>
      <w:lvlText w:val="-"/>
      <w:lvlJc w:val="left"/>
      <w:pPr>
        <w:ind w:left="720" w:hanging="360"/>
      </w:pPr>
      <w:rPr>
        <w:rFonts w:ascii="Calibri" w:eastAsia="Times New Roman" w:hAnsi="Calibri" w:cs="Calibri" w:hint="default"/>
      </w:rPr>
    </w:lvl>
    <w:lvl w:ilvl="1" w:tplc="172AFE18" w:tentative="1">
      <w:start w:val="1"/>
      <w:numFmt w:val="bullet"/>
      <w:lvlText w:val="o"/>
      <w:lvlJc w:val="left"/>
      <w:pPr>
        <w:ind w:left="1440" w:hanging="360"/>
      </w:pPr>
      <w:rPr>
        <w:rFonts w:ascii="Courier New" w:hAnsi="Courier New" w:cs="Courier New" w:hint="default"/>
      </w:rPr>
    </w:lvl>
    <w:lvl w:ilvl="2" w:tplc="6576FBB0" w:tentative="1">
      <w:start w:val="1"/>
      <w:numFmt w:val="bullet"/>
      <w:lvlText w:val=""/>
      <w:lvlJc w:val="left"/>
      <w:pPr>
        <w:ind w:left="2160" w:hanging="360"/>
      </w:pPr>
      <w:rPr>
        <w:rFonts w:ascii="Wingdings" w:hAnsi="Wingdings" w:hint="default"/>
      </w:rPr>
    </w:lvl>
    <w:lvl w:ilvl="3" w:tplc="19867336" w:tentative="1">
      <w:start w:val="1"/>
      <w:numFmt w:val="bullet"/>
      <w:lvlText w:val=""/>
      <w:lvlJc w:val="left"/>
      <w:pPr>
        <w:ind w:left="2880" w:hanging="360"/>
      </w:pPr>
      <w:rPr>
        <w:rFonts w:ascii="Symbol" w:hAnsi="Symbol" w:hint="default"/>
      </w:rPr>
    </w:lvl>
    <w:lvl w:ilvl="4" w:tplc="58D68EDE" w:tentative="1">
      <w:start w:val="1"/>
      <w:numFmt w:val="bullet"/>
      <w:lvlText w:val="o"/>
      <w:lvlJc w:val="left"/>
      <w:pPr>
        <w:ind w:left="3600" w:hanging="360"/>
      </w:pPr>
      <w:rPr>
        <w:rFonts w:ascii="Courier New" w:hAnsi="Courier New" w:cs="Courier New" w:hint="default"/>
      </w:rPr>
    </w:lvl>
    <w:lvl w:ilvl="5" w:tplc="5E009074" w:tentative="1">
      <w:start w:val="1"/>
      <w:numFmt w:val="bullet"/>
      <w:lvlText w:val=""/>
      <w:lvlJc w:val="left"/>
      <w:pPr>
        <w:ind w:left="4320" w:hanging="360"/>
      </w:pPr>
      <w:rPr>
        <w:rFonts w:ascii="Wingdings" w:hAnsi="Wingdings" w:hint="default"/>
      </w:rPr>
    </w:lvl>
    <w:lvl w:ilvl="6" w:tplc="1B864518" w:tentative="1">
      <w:start w:val="1"/>
      <w:numFmt w:val="bullet"/>
      <w:lvlText w:val=""/>
      <w:lvlJc w:val="left"/>
      <w:pPr>
        <w:ind w:left="5040" w:hanging="360"/>
      </w:pPr>
      <w:rPr>
        <w:rFonts w:ascii="Symbol" w:hAnsi="Symbol" w:hint="default"/>
      </w:rPr>
    </w:lvl>
    <w:lvl w:ilvl="7" w:tplc="1F8241F8" w:tentative="1">
      <w:start w:val="1"/>
      <w:numFmt w:val="bullet"/>
      <w:lvlText w:val="o"/>
      <w:lvlJc w:val="left"/>
      <w:pPr>
        <w:ind w:left="5760" w:hanging="360"/>
      </w:pPr>
      <w:rPr>
        <w:rFonts w:ascii="Courier New" w:hAnsi="Courier New" w:cs="Courier New" w:hint="default"/>
      </w:rPr>
    </w:lvl>
    <w:lvl w:ilvl="8" w:tplc="445845DC" w:tentative="1">
      <w:start w:val="1"/>
      <w:numFmt w:val="bullet"/>
      <w:lvlText w:val=""/>
      <w:lvlJc w:val="left"/>
      <w:pPr>
        <w:ind w:left="6480" w:hanging="360"/>
      </w:pPr>
      <w:rPr>
        <w:rFonts w:ascii="Wingdings" w:hAnsi="Wingdings" w:hint="default"/>
      </w:rPr>
    </w:lvl>
  </w:abstractNum>
  <w:abstractNum w:abstractNumId="17" w15:restartNumberingAfterBreak="0">
    <w:nsid w:val="37FB69C6"/>
    <w:multiLevelType w:val="hybridMultilevel"/>
    <w:tmpl w:val="6D1C6854"/>
    <w:lvl w:ilvl="0" w:tplc="0DA4B56E">
      <w:start w:val="2"/>
      <w:numFmt w:val="bullet"/>
      <w:lvlText w:val="-"/>
      <w:lvlJc w:val="left"/>
      <w:pPr>
        <w:ind w:left="720" w:hanging="360"/>
      </w:pPr>
      <w:rPr>
        <w:rFonts w:ascii="Calibri" w:eastAsia="Times New Roman" w:hAnsi="Calibri" w:cs="Times New Roman" w:hint="default"/>
      </w:rPr>
    </w:lvl>
    <w:lvl w:ilvl="1" w:tplc="DE308B26" w:tentative="1">
      <w:start w:val="1"/>
      <w:numFmt w:val="bullet"/>
      <w:lvlText w:val="o"/>
      <w:lvlJc w:val="left"/>
      <w:pPr>
        <w:ind w:left="1440" w:hanging="360"/>
      </w:pPr>
      <w:rPr>
        <w:rFonts w:ascii="Courier New" w:hAnsi="Courier New" w:cs="Courier New" w:hint="default"/>
      </w:rPr>
    </w:lvl>
    <w:lvl w:ilvl="2" w:tplc="B88EC6BC" w:tentative="1">
      <w:start w:val="1"/>
      <w:numFmt w:val="bullet"/>
      <w:lvlText w:val=""/>
      <w:lvlJc w:val="left"/>
      <w:pPr>
        <w:ind w:left="2160" w:hanging="360"/>
      </w:pPr>
      <w:rPr>
        <w:rFonts w:ascii="Wingdings" w:hAnsi="Wingdings" w:hint="default"/>
      </w:rPr>
    </w:lvl>
    <w:lvl w:ilvl="3" w:tplc="BF12B2E4" w:tentative="1">
      <w:start w:val="1"/>
      <w:numFmt w:val="bullet"/>
      <w:lvlText w:val=""/>
      <w:lvlJc w:val="left"/>
      <w:pPr>
        <w:ind w:left="2880" w:hanging="360"/>
      </w:pPr>
      <w:rPr>
        <w:rFonts w:ascii="Symbol" w:hAnsi="Symbol" w:hint="default"/>
      </w:rPr>
    </w:lvl>
    <w:lvl w:ilvl="4" w:tplc="71C4D5BA" w:tentative="1">
      <w:start w:val="1"/>
      <w:numFmt w:val="bullet"/>
      <w:lvlText w:val="o"/>
      <w:lvlJc w:val="left"/>
      <w:pPr>
        <w:ind w:left="3600" w:hanging="360"/>
      </w:pPr>
      <w:rPr>
        <w:rFonts w:ascii="Courier New" w:hAnsi="Courier New" w:cs="Courier New" w:hint="default"/>
      </w:rPr>
    </w:lvl>
    <w:lvl w:ilvl="5" w:tplc="E458AEA2" w:tentative="1">
      <w:start w:val="1"/>
      <w:numFmt w:val="bullet"/>
      <w:lvlText w:val=""/>
      <w:lvlJc w:val="left"/>
      <w:pPr>
        <w:ind w:left="4320" w:hanging="360"/>
      </w:pPr>
      <w:rPr>
        <w:rFonts w:ascii="Wingdings" w:hAnsi="Wingdings" w:hint="default"/>
      </w:rPr>
    </w:lvl>
    <w:lvl w:ilvl="6" w:tplc="23A01F1A" w:tentative="1">
      <w:start w:val="1"/>
      <w:numFmt w:val="bullet"/>
      <w:lvlText w:val=""/>
      <w:lvlJc w:val="left"/>
      <w:pPr>
        <w:ind w:left="5040" w:hanging="360"/>
      </w:pPr>
      <w:rPr>
        <w:rFonts w:ascii="Symbol" w:hAnsi="Symbol" w:hint="default"/>
      </w:rPr>
    </w:lvl>
    <w:lvl w:ilvl="7" w:tplc="AF34E8C0" w:tentative="1">
      <w:start w:val="1"/>
      <w:numFmt w:val="bullet"/>
      <w:lvlText w:val="o"/>
      <w:lvlJc w:val="left"/>
      <w:pPr>
        <w:ind w:left="5760" w:hanging="360"/>
      </w:pPr>
      <w:rPr>
        <w:rFonts w:ascii="Courier New" w:hAnsi="Courier New" w:cs="Courier New" w:hint="default"/>
      </w:rPr>
    </w:lvl>
    <w:lvl w:ilvl="8" w:tplc="A614F2FA" w:tentative="1">
      <w:start w:val="1"/>
      <w:numFmt w:val="bullet"/>
      <w:lvlText w:val=""/>
      <w:lvlJc w:val="left"/>
      <w:pPr>
        <w:ind w:left="6480" w:hanging="360"/>
      </w:pPr>
      <w:rPr>
        <w:rFonts w:ascii="Wingdings" w:hAnsi="Wingdings" w:hint="default"/>
      </w:rPr>
    </w:lvl>
  </w:abstractNum>
  <w:abstractNum w:abstractNumId="18" w15:restartNumberingAfterBreak="0">
    <w:nsid w:val="39DF6E9E"/>
    <w:multiLevelType w:val="hybridMultilevel"/>
    <w:tmpl w:val="DDD61262"/>
    <w:lvl w:ilvl="0" w:tplc="8724F4BA">
      <w:start w:val="1"/>
      <w:numFmt w:val="upperRoman"/>
      <w:lvlText w:val="%1."/>
      <w:lvlJc w:val="left"/>
      <w:pPr>
        <w:ind w:left="1080" w:hanging="720"/>
      </w:pPr>
      <w:rPr>
        <w:rFonts w:hint="default"/>
      </w:rPr>
    </w:lvl>
    <w:lvl w:ilvl="1" w:tplc="2AF4618C" w:tentative="1">
      <w:start w:val="1"/>
      <w:numFmt w:val="lowerLetter"/>
      <w:lvlText w:val="%2."/>
      <w:lvlJc w:val="left"/>
      <w:pPr>
        <w:ind w:left="1440" w:hanging="360"/>
      </w:pPr>
    </w:lvl>
    <w:lvl w:ilvl="2" w:tplc="98C42E0E" w:tentative="1">
      <w:start w:val="1"/>
      <w:numFmt w:val="lowerRoman"/>
      <w:lvlText w:val="%3."/>
      <w:lvlJc w:val="right"/>
      <w:pPr>
        <w:ind w:left="2160" w:hanging="180"/>
      </w:pPr>
    </w:lvl>
    <w:lvl w:ilvl="3" w:tplc="1EBC99E0" w:tentative="1">
      <w:start w:val="1"/>
      <w:numFmt w:val="decimal"/>
      <w:lvlText w:val="%4."/>
      <w:lvlJc w:val="left"/>
      <w:pPr>
        <w:ind w:left="2880" w:hanging="360"/>
      </w:pPr>
    </w:lvl>
    <w:lvl w:ilvl="4" w:tplc="B4B86460" w:tentative="1">
      <w:start w:val="1"/>
      <w:numFmt w:val="lowerLetter"/>
      <w:lvlText w:val="%5."/>
      <w:lvlJc w:val="left"/>
      <w:pPr>
        <w:ind w:left="3600" w:hanging="360"/>
      </w:pPr>
    </w:lvl>
    <w:lvl w:ilvl="5" w:tplc="565EB4D8" w:tentative="1">
      <w:start w:val="1"/>
      <w:numFmt w:val="lowerRoman"/>
      <w:lvlText w:val="%6."/>
      <w:lvlJc w:val="right"/>
      <w:pPr>
        <w:ind w:left="4320" w:hanging="180"/>
      </w:pPr>
    </w:lvl>
    <w:lvl w:ilvl="6" w:tplc="39FE4936" w:tentative="1">
      <w:start w:val="1"/>
      <w:numFmt w:val="decimal"/>
      <w:lvlText w:val="%7."/>
      <w:lvlJc w:val="left"/>
      <w:pPr>
        <w:ind w:left="5040" w:hanging="360"/>
      </w:pPr>
    </w:lvl>
    <w:lvl w:ilvl="7" w:tplc="1F9869E8" w:tentative="1">
      <w:start w:val="1"/>
      <w:numFmt w:val="lowerLetter"/>
      <w:lvlText w:val="%8."/>
      <w:lvlJc w:val="left"/>
      <w:pPr>
        <w:ind w:left="5760" w:hanging="360"/>
      </w:pPr>
    </w:lvl>
    <w:lvl w:ilvl="8" w:tplc="7FEADABC" w:tentative="1">
      <w:start w:val="1"/>
      <w:numFmt w:val="lowerRoman"/>
      <w:lvlText w:val="%9."/>
      <w:lvlJc w:val="right"/>
      <w:pPr>
        <w:ind w:left="6480" w:hanging="180"/>
      </w:pPr>
    </w:lvl>
  </w:abstractNum>
  <w:abstractNum w:abstractNumId="19" w15:restartNumberingAfterBreak="0">
    <w:nsid w:val="3A102E64"/>
    <w:multiLevelType w:val="hybridMultilevel"/>
    <w:tmpl w:val="0554AC56"/>
    <w:lvl w:ilvl="0" w:tplc="65AE60B4">
      <w:start w:val="1"/>
      <w:numFmt w:val="bullet"/>
      <w:lvlText w:val=""/>
      <w:lvlJc w:val="left"/>
      <w:pPr>
        <w:ind w:left="720" w:hanging="360"/>
      </w:pPr>
      <w:rPr>
        <w:rFonts w:ascii="Symbol" w:hAnsi="Symbol" w:hint="default"/>
      </w:rPr>
    </w:lvl>
    <w:lvl w:ilvl="1" w:tplc="46E08010" w:tentative="1">
      <w:start w:val="1"/>
      <w:numFmt w:val="bullet"/>
      <w:lvlText w:val="o"/>
      <w:lvlJc w:val="left"/>
      <w:pPr>
        <w:ind w:left="1440" w:hanging="360"/>
      </w:pPr>
      <w:rPr>
        <w:rFonts w:ascii="Courier New" w:hAnsi="Courier New" w:cs="Courier New" w:hint="default"/>
      </w:rPr>
    </w:lvl>
    <w:lvl w:ilvl="2" w:tplc="8D627D4A" w:tentative="1">
      <w:start w:val="1"/>
      <w:numFmt w:val="bullet"/>
      <w:lvlText w:val=""/>
      <w:lvlJc w:val="left"/>
      <w:pPr>
        <w:ind w:left="2160" w:hanging="360"/>
      </w:pPr>
      <w:rPr>
        <w:rFonts w:ascii="Wingdings" w:hAnsi="Wingdings" w:hint="default"/>
      </w:rPr>
    </w:lvl>
    <w:lvl w:ilvl="3" w:tplc="0304FA16" w:tentative="1">
      <w:start w:val="1"/>
      <w:numFmt w:val="bullet"/>
      <w:lvlText w:val=""/>
      <w:lvlJc w:val="left"/>
      <w:pPr>
        <w:ind w:left="2880" w:hanging="360"/>
      </w:pPr>
      <w:rPr>
        <w:rFonts w:ascii="Symbol" w:hAnsi="Symbol" w:hint="default"/>
      </w:rPr>
    </w:lvl>
    <w:lvl w:ilvl="4" w:tplc="C5FCC8FA" w:tentative="1">
      <w:start w:val="1"/>
      <w:numFmt w:val="bullet"/>
      <w:lvlText w:val="o"/>
      <w:lvlJc w:val="left"/>
      <w:pPr>
        <w:ind w:left="3600" w:hanging="360"/>
      </w:pPr>
      <w:rPr>
        <w:rFonts w:ascii="Courier New" w:hAnsi="Courier New" w:cs="Courier New" w:hint="default"/>
      </w:rPr>
    </w:lvl>
    <w:lvl w:ilvl="5" w:tplc="A7167BA2" w:tentative="1">
      <w:start w:val="1"/>
      <w:numFmt w:val="bullet"/>
      <w:lvlText w:val=""/>
      <w:lvlJc w:val="left"/>
      <w:pPr>
        <w:ind w:left="4320" w:hanging="360"/>
      </w:pPr>
      <w:rPr>
        <w:rFonts w:ascii="Wingdings" w:hAnsi="Wingdings" w:hint="default"/>
      </w:rPr>
    </w:lvl>
    <w:lvl w:ilvl="6" w:tplc="998616CA" w:tentative="1">
      <w:start w:val="1"/>
      <w:numFmt w:val="bullet"/>
      <w:lvlText w:val=""/>
      <w:lvlJc w:val="left"/>
      <w:pPr>
        <w:ind w:left="5040" w:hanging="360"/>
      </w:pPr>
      <w:rPr>
        <w:rFonts w:ascii="Symbol" w:hAnsi="Symbol" w:hint="default"/>
      </w:rPr>
    </w:lvl>
    <w:lvl w:ilvl="7" w:tplc="BFC2FC0A" w:tentative="1">
      <w:start w:val="1"/>
      <w:numFmt w:val="bullet"/>
      <w:lvlText w:val="o"/>
      <w:lvlJc w:val="left"/>
      <w:pPr>
        <w:ind w:left="5760" w:hanging="360"/>
      </w:pPr>
      <w:rPr>
        <w:rFonts w:ascii="Courier New" w:hAnsi="Courier New" w:cs="Courier New" w:hint="default"/>
      </w:rPr>
    </w:lvl>
    <w:lvl w:ilvl="8" w:tplc="CFA68E08" w:tentative="1">
      <w:start w:val="1"/>
      <w:numFmt w:val="bullet"/>
      <w:lvlText w:val=""/>
      <w:lvlJc w:val="left"/>
      <w:pPr>
        <w:ind w:left="6480" w:hanging="360"/>
      </w:pPr>
      <w:rPr>
        <w:rFonts w:ascii="Wingdings" w:hAnsi="Wingdings" w:hint="default"/>
      </w:rPr>
    </w:lvl>
  </w:abstractNum>
  <w:abstractNum w:abstractNumId="20" w15:restartNumberingAfterBreak="0">
    <w:nsid w:val="3C683265"/>
    <w:multiLevelType w:val="hybridMultilevel"/>
    <w:tmpl w:val="99EC6A2C"/>
    <w:lvl w:ilvl="0" w:tplc="B8E24266">
      <w:numFmt w:val="bullet"/>
      <w:lvlText w:val="-"/>
      <w:lvlJc w:val="left"/>
      <w:pPr>
        <w:ind w:left="720" w:hanging="360"/>
      </w:pPr>
      <w:rPr>
        <w:rFonts w:ascii="Calibri" w:eastAsia="Times New Roman" w:hAnsi="Calibri" w:cs="Calibri" w:hint="default"/>
      </w:rPr>
    </w:lvl>
    <w:lvl w:ilvl="1" w:tplc="D0FA9B5A" w:tentative="1">
      <w:start w:val="1"/>
      <w:numFmt w:val="bullet"/>
      <w:lvlText w:val="o"/>
      <w:lvlJc w:val="left"/>
      <w:pPr>
        <w:ind w:left="1440" w:hanging="360"/>
      </w:pPr>
      <w:rPr>
        <w:rFonts w:ascii="Courier New" w:hAnsi="Courier New" w:cs="Courier New" w:hint="default"/>
      </w:rPr>
    </w:lvl>
    <w:lvl w:ilvl="2" w:tplc="3784232C" w:tentative="1">
      <w:start w:val="1"/>
      <w:numFmt w:val="bullet"/>
      <w:lvlText w:val=""/>
      <w:lvlJc w:val="left"/>
      <w:pPr>
        <w:ind w:left="2160" w:hanging="360"/>
      </w:pPr>
      <w:rPr>
        <w:rFonts w:ascii="Wingdings" w:hAnsi="Wingdings" w:hint="default"/>
      </w:rPr>
    </w:lvl>
    <w:lvl w:ilvl="3" w:tplc="B2DAC442" w:tentative="1">
      <w:start w:val="1"/>
      <w:numFmt w:val="bullet"/>
      <w:lvlText w:val=""/>
      <w:lvlJc w:val="left"/>
      <w:pPr>
        <w:ind w:left="2880" w:hanging="360"/>
      </w:pPr>
      <w:rPr>
        <w:rFonts w:ascii="Symbol" w:hAnsi="Symbol" w:hint="default"/>
      </w:rPr>
    </w:lvl>
    <w:lvl w:ilvl="4" w:tplc="A09C188A" w:tentative="1">
      <w:start w:val="1"/>
      <w:numFmt w:val="bullet"/>
      <w:lvlText w:val="o"/>
      <w:lvlJc w:val="left"/>
      <w:pPr>
        <w:ind w:left="3600" w:hanging="360"/>
      </w:pPr>
      <w:rPr>
        <w:rFonts w:ascii="Courier New" w:hAnsi="Courier New" w:cs="Courier New" w:hint="default"/>
      </w:rPr>
    </w:lvl>
    <w:lvl w:ilvl="5" w:tplc="B8ECD452" w:tentative="1">
      <w:start w:val="1"/>
      <w:numFmt w:val="bullet"/>
      <w:lvlText w:val=""/>
      <w:lvlJc w:val="left"/>
      <w:pPr>
        <w:ind w:left="4320" w:hanging="360"/>
      </w:pPr>
      <w:rPr>
        <w:rFonts w:ascii="Wingdings" w:hAnsi="Wingdings" w:hint="default"/>
      </w:rPr>
    </w:lvl>
    <w:lvl w:ilvl="6" w:tplc="F9749404" w:tentative="1">
      <w:start w:val="1"/>
      <w:numFmt w:val="bullet"/>
      <w:lvlText w:val=""/>
      <w:lvlJc w:val="left"/>
      <w:pPr>
        <w:ind w:left="5040" w:hanging="360"/>
      </w:pPr>
      <w:rPr>
        <w:rFonts w:ascii="Symbol" w:hAnsi="Symbol" w:hint="default"/>
      </w:rPr>
    </w:lvl>
    <w:lvl w:ilvl="7" w:tplc="C79AF88C" w:tentative="1">
      <w:start w:val="1"/>
      <w:numFmt w:val="bullet"/>
      <w:lvlText w:val="o"/>
      <w:lvlJc w:val="left"/>
      <w:pPr>
        <w:ind w:left="5760" w:hanging="360"/>
      </w:pPr>
      <w:rPr>
        <w:rFonts w:ascii="Courier New" w:hAnsi="Courier New" w:cs="Courier New" w:hint="default"/>
      </w:rPr>
    </w:lvl>
    <w:lvl w:ilvl="8" w:tplc="AC34DB44" w:tentative="1">
      <w:start w:val="1"/>
      <w:numFmt w:val="bullet"/>
      <w:lvlText w:val=""/>
      <w:lvlJc w:val="left"/>
      <w:pPr>
        <w:ind w:left="6480" w:hanging="360"/>
      </w:pPr>
      <w:rPr>
        <w:rFonts w:ascii="Wingdings" w:hAnsi="Wingdings" w:hint="default"/>
      </w:rPr>
    </w:lvl>
  </w:abstractNum>
  <w:abstractNum w:abstractNumId="21" w15:restartNumberingAfterBreak="0">
    <w:nsid w:val="3DF7633A"/>
    <w:multiLevelType w:val="hybridMultilevel"/>
    <w:tmpl w:val="E3720954"/>
    <w:lvl w:ilvl="0" w:tplc="09A2DB16">
      <w:start w:val="1"/>
      <w:numFmt w:val="bullet"/>
      <w:lvlText w:val=""/>
      <w:lvlJc w:val="left"/>
      <w:pPr>
        <w:ind w:left="720" w:hanging="360"/>
      </w:pPr>
      <w:rPr>
        <w:rFonts w:ascii="Symbol" w:hAnsi="Symbol" w:hint="default"/>
      </w:rPr>
    </w:lvl>
    <w:lvl w:ilvl="1" w:tplc="609EED74" w:tentative="1">
      <w:start w:val="1"/>
      <w:numFmt w:val="bullet"/>
      <w:lvlText w:val="o"/>
      <w:lvlJc w:val="left"/>
      <w:pPr>
        <w:ind w:left="1440" w:hanging="360"/>
      </w:pPr>
      <w:rPr>
        <w:rFonts w:ascii="Courier New" w:hAnsi="Courier New" w:cs="Courier New" w:hint="default"/>
      </w:rPr>
    </w:lvl>
    <w:lvl w:ilvl="2" w:tplc="2EE2D8E6" w:tentative="1">
      <w:start w:val="1"/>
      <w:numFmt w:val="bullet"/>
      <w:lvlText w:val=""/>
      <w:lvlJc w:val="left"/>
      <w:pPr>
        <w:ind w:left="2160" w:hanging="360"/>
      </w:pPr>
      <w:rPr>
        <w:rFonts w:ascii="Wingdings" w:hAnsi="Wingdings" w:hint="default"/>
      </w:rPr>
    </w:lvl>
    <w:lvl w:ilvl="3" w:tplc="94FABE82" w:tentative="1">
      <w:start w:val="1"/>
      <w:numFmt w:val="bullet"/>
      <w:lvlText w:val=""/>
      <w:lvlJc w:val="left"/>
      <w:pPr>
        <w:ind w:left="2880" w:hanging="360"/>
      </w:pPr>
      <w:rPr>
        <w:rFonts w:ascii="Symbol" w:hAnsi="Symbol" w:hint="default"/>
      </w:rPr>
    </w:lvl>
    <w:lvl w:ilvl="4" w:tplc="19F89E30" w:tentative="1">
      <w:start w:val="1"/>
      <w:numFmt w:val="bullet"/>
      <w:lvlText w:val="o"/>
      <w:lvlJc w:val="left"/>
      <w:pPr>
        <w:ind w:left="3600" w:hanging="360"/>
      </w:pPr>
      <w:rPr>
        <w:rFonts w:ascii="Courier New" w:hAnsi="Courier New" w:cs="Courier New" w:hint="default"/>
      </w:rPr>
    </w:lvl>
    <w:lvl w:ilvl="5" w:tplc="127EC952" w:tentative="1">
      <w:start w:val="1"/>
      <w:numFmt w:val="bullet"/>
      <w:lvlText w:val=""/>
      <w:lvlJc w:val="left"/>
      <w:pPr>
        <w:ind w:left="4320" w:hanging="360"/>
      </w:pPr>
      <w:rPr>
        <w:rFonts w:ascii="Wingdings" w:hAnsi="Wingdings" w:hint="default"/>
      </w:rPr>
    </w:lvl>
    <w:lvl w:ilvl="6" w:tplc="F5566996" w:tentative="1">
      <w:start w:val="1"/>
      <w:numFmt w:val="bullet"/>
      <w:lvlText w:val=""/>
      <w:lvlJc w:val="left"/>
      <w:pPr>
        <w:ind w:left="5040" w:hanging="360"/>
      </w:pPr>
      <w:rPr>
        <w:rFonts w:ascii="Symbol" w:hAnsi="Symbol" w:hint="default"/>
      </w:rPr>
    </w:lvl>
    <w:lvl w:ilvl="7" w:tplc="0BA658A8" w:tentative="1">
      <w:start w:val="1"/>
      <w:numFmt w:val="bullet"/>
      <w:lvlText w:val="o"/>
      <w:lvlJc w:val="left"/>
      <w:pPr>
        <w:ind w:left="5760" w:hanging="360"/>
      </w:pPr>
      <w:rPr>
        <w:rFonts w:ascii="Courier New" w:hAnsi="Courier New" w:cs="Courier New" w:hint="default"/>
      </w:rPr>
    </w:lvl>
    <w:lvl w:ilvl="8" w:tplc="8FF08E2A" w:tentative="1">
      <w:start w:val="1"/>
      <w:numFmt w:val="bullet"/>
      <w:lvlText w:val=""/>
      <w:lvlJc w:val="left"/>
      <w:pPr>
        <w:ind w:left="6480" w:hanging="360"/>
      </w:pPr>
      <w:rPr>
        <w:rFonts w:ascii="Wingdings" w:hAnsi="Wingdings" w:hint="default"/>
      </w:rPr>
    </w:lvl>
  </w:abstractNum>
  <w:abstractNum w:abstractNumId="22" w15:restartNumberingAfterBreak="0">
    <w:nsid w:val="3F3F23FE"/>
    <w:multiLevelType w:val="hybridMultilevel"/>
    <w:tmpl w:val="0CF44942"/>
    <w:lvl w:ilvl="0" w:tplc="5C160EE0">
      <w:numFmt w:val="bullet"/>
      <w:lvlText w:val="-"/>
      <w:lvlJc w:val="left"/>
      <w:pPr>
        <w:ind w:left="720" w:hanging="360"/>
      </w:pPr>
      <w:rPr>
        <w:rFonts w:ascii="Calibri" w:eastAsia="Times New Roman" w:hAnsi="Calibri" w:cs="Calibri" w:hint="default"/>
      </w:rPr>
    </w:lvl>
    <w:lvl w:ilvl="1" w:tplc="299EDB92" w:tentative="1">
      <w:start w:val="1"/>
      <w:numFmt w:val="bullet"/>
      <w:lvlText w:val="o"/>
      <w:lvlJc w:val="left"/>
      <w:pPr>
        <w:ind w:left="1440" w:hanging="360"/>
      </w:pPr>
      <w:rPr>
        <w:rFonts w:ascii="Courier New" w:hAnsi="Courier New" w:cs="Courier New" w:hint="default"/>
      </w:rPr>
    </w:lvl>
    <w:lvl w:ilvl="2" w:tplc="1046A5BA" w:tentative="1">
      <w:start w:val="1"/>
      <w:numFmt w:val="bullet"/>
      <w:lvlText w:val=""/>
      <w:lvlJc w:val="left"/>
      <w:pPr>
        <w:ind w:left="2160" w:hanging="360"/>
      </w:pPr>
      <w:rPr>
        <w:rFonts w:ascii="Wingdings" w:hAnsi="Wingdings" w:hint="default"/>
      </w:rPr>
    </w:lvl>
    <w:lvl w:ilvl="3" w:tplc="3C2E1EA2" w:tentative="1">
      <w:start w:val="1"/>
      <w:numFmt w:val="bullet"/>
      <w:lvlText w:val=""/>
      <w:lvlJc w:val="left"/>
      <w:pPr>
        <w:ind w:left="2880" w:hanging="360"/>
      </w:pPr>
      <w:rPr>
        <w:rFonts w:ascii="Symbol" w:hAnsi="Symbol" w:hint="default"/>
      </w:rPr>
    </w:lvl>
    <w:lvl w:ilvl="4" w:tplc="9410AE46" w:tentative="1">
      <w:start w:val="1"/>
      <w:numFmt w:val="bullet"/>
      <w:lvlText w:val="o"/>
      <w:lvlJc w:val="left"/>
      <w:pPr>
        <w:ind w:left="3600" w:hanging="360"/>
      </w:pPr>
      <w:rPr>
        <w:rFonts w:ascii="Courier New" w:hAnsi="Courier New" w:cs="Courier New" w:hint="default"/>
      </w:rPr>
    </w:lvl>
    <w:lvl w:ilvl="5" w:tplc="65B2C0C4" w:tentative="1">
      <w:start w:val="1"/>
      <w:numFmt w:val="bullet"/>
      <w:lvlText w:val=""/>
      <w:lvlJc w:val="left"/>
      <w:pPr>
        <w:ind w:left="4320" w:hanging="360"/>
      </w:pPr>
      <w:rPr>
        <w:rFonts w:ascii="Wingdings" w:hAnsi="Wingdings" w:hint="default"/>
      </w:rPr>
    </w:lvl>
    <w:lvl w:ilvl="6" w:tplc="C6FC6048" w:tentative="1">
      <w:start w:val="1"/>
      <w:numFmt w:val="bullet"/>
      <w:lvlText w:val=""/>
      <w:lvlJc w:val="left"/>
      <w:pPr>
        <w:ind w:left="5040" w:hanging="360"/>
      </w:pPr>
      <w:rPr>
        <w:rFonts w:ascii="Symbol" w:hAnsi="Symbol" w:hint="default"/>
      </w:rPr>
    </w:lvl>
    <w:lvl w:ilvl="7" w:tplc="1EE002AC" w:tentative="1">
      <w:start w:val="1"/>
      <w:numFmt w:val="bullet"/>
      <w:lvlText w:val="o"/>
      <w:lvlJc w:val="left"/>
      <w:pPr>
        <w:ind w:left="5760" w:hanging="360"/>
      </w:pPr>
      <w:rPr>
        <w:rFonts w:ascii="Courier New" w:hAnsi="Courier New" w:cs="Courier New" w:hint="default"/>
      </w:rPr>
    </w:lvl>
    <w:lvl w:ilvl="8" w:tplc="DA8CDBC6" w:tentative="1">
      <w:start w:val="1"/>
      <w:numFmt w:val="bullet"/>
      <w:lvlText w:val=""/>
      <w:lvlJc w:val="left"/>
      <w:pPr>
        <w:ind w:left="6480" w:hanging="360"/>
      </w:pPr>
      <w:rPr>
        <w:rFonts w:ascii="Wingdings" w:hAnsi="Wingdings" w:hint="default"/>
      </w:rPr>
    </w:lvl>
  </w:abstractNum>
  <w:abstractNum w:abstractNumId="23" w15:restartNumberingAfterBreak="0">
    <w:nsid w:val="3FD75A98"/>
    <w:multiLevelType w:val="hybridMultilevel"/>
    <w:tmpl w:val="739E07AE"/>
    <w:lvl w:ilvl="0" w:tplc="72F22C36">
      <w:start w:val="1"/>
      <w:numFmt w:val="bullet"/>
      <w:lvlText w:val=""/>
      <w:lvlJc w:val="left"/>
      <w:pPr>
        <w:ind w:left="778" w:hanging="360"/>
      </w:pPr>
      <w:rPr>
        <w:rFonts w:ascii="Symbol" w:hAnsi="Symbol" w:hint="default"/>
      </w:rPr>
    </w:lvl>
    <w:lvl w:ilvl="1" w:tplc="A3A0B734" w:tentative="1">
      <w:start w:val="1"/>
      <w:numFmt w:val="bullet"/>
      <w:lvlText w:val="o"/>
      <w:lvlJc w:val="left"/>
      <w:pPr>
        <w:ind w:left="1498" w:hanging="360"/>
      </w:pPr>
      <w:rPr>
        <w:rFonts w:ascii="Courier New" w:hAnsi="Courier New" w:cs="Courier New" w:hint="default"/>
      </w:rPr>
    </w:lvl>
    <w:lvl w:ilvl="2" w:tplc="F3A21328" w:tentative="1">
      <w:start w:val="1"/>
      <w:numFmt w:val="bullet"/>
      <w:lvlText w:val=""/>
      <w:lvlJc w:val="left"/>
      <w:pPr>
        <w:ind w:left="2218" w:hanging="360"/>
      </w:pPr>
      <w:rPr>
        <w:rFonts w:ascii="Wingdings" w:hAnsi="Wingdings" w:hint="default"/>
      </w:rPr>
    </w:lvl>
    <w:lvl w:ilvl="3" w:tplc="2A1E455C" w:tentative="1">
      <w:start w:val="1"/>
      <w:numFmt w:val="bullet"/>
      <w:lvlText w:val=""/>
      <w:lvlJc w:val="left"/>
      <w:pPr>
        <w:ind w:left="2938" w:hanging="360"/>
      </w:pPr>
      <w:rPr>
        <w:rFonts w:ascii="Symbol" w:hAnsi="Symbol" w:hint="default"/>
      </w:rPr>
    </w:lvl>
    <w:lvl w:ilvl="4" w:tplc="5218E7D0" w:tentative="1">
      <w:start w:val="1"/>
      <w:numFmt w:val="bullet"/>
      <w:lvlText w:val="o"/>
      <w:lvlJc w:val="left"/>
      <w:pPr>
        <w:ind w:left="3658" w:hanging="360"/>
      </w:pPr>
      <w:rPr>
        <w:rFonts w:ascii="Courier New" w:hAnsi="Courier New" w:cs="Courier New" w:hint="default"/>
      </w:rPr>
    </w:lvl>
    <w:lvl w:ilvl="5" w:tplc="B0F078D8" w:tentative="1">
      <w:start w:val="1"/>
      <w:numFmt w:val="bullet"/>
      <w:lvlText w:val=""/>
      <w:lvlJc w:val="left"/>
      <w:pPr>
        <w:ind w:left="4378" w:hanging="360"/>
      </w:pPr>
      <w:rPr>
        <w:rFonts w:ascii="Wingdings" w:hAnsi="Wingdings" w:hint="default"/>
      </w:rPr>
    </w:lvl>
    <w:lvl w:ilvl="6" w:tplc="71E4C368" w:tentative="1">
      <w:start w:val="1"/>
      <w:numFmt w:val="bullet"/>
      <w:lvlText w:val=""/>
      <w:lvlJc w:val="left"/>
      <w:pPr>
        <w:ind w:left="5098" w:hanging="360"/>
      </w:pPr>
      <w:rPr>
        <w:rFonts w:ascii="Symbol" w:hAnsi="Symbol" w:hint="default"/>
      </w:rPr>
    </w:lvl>
    <w:lvl w:ilvl="7" w:tplc="1A72E85A" w:tentative="1">
      <w:start w:val="1"/>
      <w:numFmt w:val="bullet"/>
      <w:lvlText w:val="o"/>
      <w:lvlJc w:val="left"/>
      <w:pPr>
        <w:ind w:left="5818" w:hanging="360"/>
      </w:pPr>
      <w:rPr>
        <w:rFonts w:ascii="Courier New" w:hAnsi="Courier New" w:cs="Courier New" w:hint="default"/>
      </w:rPr>
    </w:lvl>
    <w:lvl w:ilvl="8" w:tplc="65921AE2" w:tentative="1">
      <w:start w:val="1"/>
      <w:numFmt w:val="bullet"/>
      <w:lvlText w:val=""/>
      <w:lvlJc w:val="left"/>
      <w:pPr>
        <w:ind w:left="6538" w:hanging="360"/>
      </w:pPr>
      <w:rPr>
        <w:rFonts w:ascii="Wingdings" w:hAnsi="Wingdings" w:hint="default"/>
      </w:rPr>
    </w:lvl>
  </w:abstractNum>
  <w:abstractNum w:abstractNumId="24" w15:restartNumberingAfterBreak="0">
    <w:nsid w:val="43CB07BA"/>
    <w:multiLevelType w:val="hybridMultilevel"/>
    <w:tmpl w:val="EDF68FEE"/>
    <w:lvl w:ilvl="0" w:tplc="FB243BAA">
      <w:start w:val="1"/>
      <w:numFmt w:val="decimal"/>
      <w:lvlText w:val="%1."/>
      <w:lvlJc w:val="left"/>
      <w:pPr>
        <w:ind w:left="720" w:hanging="360"/>
      </w:pPr>
    </w:lvl>
    <w:lvl w:ilvl="1" w:tplc="45703156" w:tentative="1">
      <w:start w:val="1"/>
      <w:numFmt w:val="lowerLetter"/>
      <w:lvlText w:val="%2."/>
      <w:lvlJc w:val="left"/>
      <w:pPr>
        <w:ind w:left="1440" w:hanging="360"/>
      </w:pPr>
    </w:lvl>
    <w:lvl w:ilvl="2" w:tplc="2AE01E5E" w:tentative="1">
      <w:start w:val="1"/>
      <w:numFmt w:val="lowerRoman"/>
      <w:lvlText w:val="%3."/>
      <w:lvlJc w:val="right"/>
      <w:pPr>
        <w:ind w:left="2160" w:hanging="180"/>
      </w:pPr>
    </w:lvl>
    <w:lvl w:ilvl="3" w:tplc="55B0BA7A" w:tentative="1">
      <w:start w:val="1"/>
      <w:numFmt w:val="decimal"/>
      <w:lvlText w:val="%4."/>
      <w:lvlJc w:val="left"/>
      <w:pPr>
        <w:ind w:left="2880" w:hanging="360"/>
      </w:pPr>
    </w:lvl>
    <w:lvl w:ilvl="4" w:tplc="82080DAE" w:tentative="1">
      <w:start w:val="1"/>
      <w:numFmt w:val="lowerLetter"/>
      <w:lvlText w:val="%5."/>
      <w:lvlJc w:val="left"/>
      <w:pPr>
        <w:ind w:left="3600" w:hanging="360"/>
      </w:pPr>
    </w:lvl>
    <w:lvl w:ilvl="5" w:tplc="520AC8F0" w:tentative="1">
      <w:start w:val="1"/>
      <w:numFmt w:val="lowerRoman"/>
      <w:lvlText w:val="%6."/>
      <w:lvlJc w:val="right"/>
      <w:pPr>
        <w:ind w:left="4320" w:hanging="180"/>
      </w:pPr>
    </w:lvl>
    <w:lvl w:ilvl="6" w:tplc="301C07BC" w:tentative="1">
      <w:start w:val="1"/>
      <w:numFmt w:val="decimal"/>
      <w:lvlText w:val="%7."/>
      <w:lvlJc w:val="left"/>
      <w:pPr>
        <w:ind w:left="5040" w:hanging="360"/>
      </w:pPr>
    </w:lvl>
    <w:lvl w:ilvl="7" w:tplc="1B6676EE" w:tentative="1">
      <w:start w:val="1"/>
      <w:numFmt w:val="lowerLetter"/>
      <w:lvlText w:val="%8."/>
      <w:lvlJc w:val="left"/>
      <w:pPr>
        <w:ind w:left="5760" w:hanging="360"/>
      </w:pPr>
    </w:lvl>
    <w:lvl w:ilvl="8" w:tplc="E79C0F4E" w:tentative="1">
      <w:start w:val="1"/>
      <w:numFmt w:val="lowerRoman"/>
      <w:lvlText w:val="%9."/>
      <w:lvlJc w:val="right"/>
      <w:pPr>
        <w:ind w:left="6480" w:hanging="180"/>
      </w:pPr>
    </w:lvl>
  </w:abstractNum>
  <w:abstractNum w:abstractNumId="25" w15:restartNumberingAfterBreak="0">
    <w:nsid w:val="447C7A61"/>
    <w:multiLevelType w:val="hybridMultilevel"/>
    <w:tmpl w:val="92DC9366"/>
    <w:lvl w:ilvl="0" w:tplc="F2C078AA">
      <w:start w:val="1"/>
      <w:numFmt w:val="decimal"/>
      <w:lvlText w:val="%1."/>
      <w:lvlJc w:val="left"/>
      <w:pPr>
        <w:ind w:left="720" w:hanging="360"/>
      </w:pPr>
      <w:rPr>
        <w:rFonts w:hint="default"/>
      </w:rPr>
    </w:lvl>
    <w:lvl w:ilvl="1" w:tplc="9BE2BEC6" w:tentative="1">
      <w:start w:val="1"/>
      <w:numFmt w:val="lowerLetter"/>
      <w:lvlText w:val="%2."/>
      <w:lvlJc w:val="left"/>
      <w:pPr>
        <w:ind w:left="1440" w:hanging="360"/>
      </w:pPr>
    </w:lvl>
    <w:lvl w:ilvl="2" w:tplc="32B23FF2" w:tentative="1">
      <w:start w:val="1"/>
      <w:numFmt w:val="lowerRoman"/>
      <w:lvlText w:val="%3."/>
      <w:lvlJc w:val="right"/>
      <w:pPr>
        <w:ind w:left="2160" w:hanging="180"/>
      </w:pPr>
    </w:lvl>
    <w:lvl w:ilvl="3" w:tplc="79BA4B9E" w:tentative="1">
      <w:start w:val="1"/>
      <w:numFmt w:val="decimal"/>
      <w:lvlText w:val="%4."/>
      <w:lvlJc w:val="left"/>
      <w:pPr>
        <w:ind w:left="2880" w:hanging="360"/>
      </w:pPr>
    </w:lvl>
    <w:lvl w:ilvl="4" w:tplc="7858530A" w:tentative="1">
      <w:start w:val="1"/>
      <w:numFmt w:val="lowerLetter"/>
      <w:lvlText w:val="%5."/>
      <w:lvlJc w:val="left"/>
      <w:pPr>
        <w:ind w:left="3600" w:hanging="360"/>
      </w:pPr>
    </w:lvl>
    <w:lvl w:ilvl="5" w:tplc="39EEDFB0" w:tentative="1">
      <w:start w:val="1"/>
      <w:numFmt w:val="lowerRoman"/>
      <w:lvlText w:val="%6."/>
      <w:lvlJc w:val="right"/>
      <w:pPr>
        <w:ind w:left="4320" w:hanging="180"/>
      </w:pPr>
    </w:lvl>
    <w:lvl w:ilvl="6" w:tplc="E95E72AE" w:tentative="1">
      <w:start w:val="1"/>
      <w:numFmt w:val="decimal"/>
      <w:lvlText w:val="%7."/>
      <w:lvlJc w:val="left"/>
      <w:pPr>
        <w:ind w:left="5040" w:hanging="360"/>
      </w:pPr>
    </w:lvl>
    <w:lvl w:ilvl="7" w:tplc="14903D4A" w:tentative="1">
      <w:start w:val="1"/>
      <w:numFmt w:val="lowerLetter"/>
      <w:lvlText w:val="%8."/>
      <w:lvlJc w:val="left"/>
      <w:pPr>
        <w:ind w:left="5760" w:hanging="360"/>
      </w:pPr>
    </w:lvl>
    <w:lvl w:ilvl="8" w:tplc="A5705EE8" w:tentative="1">
      <w:start w:val="1"/>
      <w:numFmt w:val="lowerRoman"/>
      <w:lvlText w:val="%9."/>
      <w:lvlJc w:val="right"/>
      <w:pPr>
        <w:ind w:left="6480" w:hanging="180"/>
      </w:pPr>
    </w:lvl>
  </w:abstractNum>
  <w:abstractNum w:abstractNumId="26" w15:restartNumberingAfterBreak="0">
    <w:nsid w:val="44BD53D9"/>
    <w:multiLevelType w:val="hybridMultilevel"/>
    <w:tmpl w:val="E478535E"/>
    <w:lvl w:ilvl="0" w:tplc="453EACE0">
      <w:start w:val="1"/>
      <w:numFmt w:val="bullet"/>
      <w:lvlText w:val=""/>
      <w:lvlJc w:val="left"/>
      <w:pPr>
        <w:ind w:left="720" w:hanging="360"/>
      </w:pPr>
      <w:rPr>
        <w:rFonts w:ascii="Wingdings" w:hAnsi="Wingdings" w:hint="default"/>
      </w:rPr>
    </w:lvl>
    <w:lvl w:ilvl="1" w:tplc="7ABABBEC">
      <w:start w:val="1"/>
      <w:numFmt w:val="bullet"/>
      <w:lvlText w:val="o"/>
      <w:lvlJc w:val="left"/>
      <w:pPr>
        <w:ind w:left="1440" w:hanging="360"/>
      </w:pPr>
      <w:rPr>
        <w:rFonts w:ascii="Courier New" w:hAnsi="Courier New" w:cs="Courier New" w:hint="default"/>
      </w:rPr>
    </w:lvl>
    <w:lvl w:ilvl="2" w:tplc="D780E53A">
      <w:start w:val="1"/>
      <w:numFmt w:val="bullet"/>
      <w:lvlText w:val=""/>
      <w:lvlJc w:val="left"/>
      <w:pPr>
        <w:ind w:left="2160" w:hanging="360"/>
      </w:pPr>
      <w:rPr>
        <w:rFonts w:ascii="Wingdings" w:hAnsi="Wingdings" w:hint="default"/>
      </w:rPr>
    </w:lvl>
    <w:lvl w:ilvl="3" w:tplc="6BD4FF40">
      <w:start w:val="1"/>
      <w:numFmt w:val="bullet"/>
      <w:lvlText w:val=""/>
      <w:lvlJc w:val="left"/>
      <w:pPr>
        <w:ind w:left="2880" w:hanging="360"/>
      </w:pPr>
      <w:rPr>
        <w:rFonts w:ascii="Symbol" w:hAnsi="Symbol" w:hint="default"/>
      </w:rPr>
    </w:lvl>
    <w:lvl w:ilvl="4" w:tplc="FBF6A776">
      <w:start w:val="1"/>
      <w:numFmt w:val="bullet"/>
      <w:lvlText w:val="o"/>
      <w:lvlJc w:val="left"/>
      <w:pPr>
        <w:ind w:left="3600" w:hanging="360"/>
      </w:pPr>
      <w:rPr>
        <w:rFonts w:ascii="Courier New" w:hAnsi="Courier New" w:cs="Courier New" w:hint="default"/>
      </w:rPr>
    </w:lvl>
    <w:lvl w:ilvl="5" w:tplc="D754396C">
      <w:start w:val="1"/>
      <w:numFmt w:val="bullet"/>
      <w:lvlText w:val=""/>
      <w:lvlJc w:val="left"/>
      <w:pPr>
        <w:ind w:left="4320" w:hanging="360"/>
      </w:pPr>
      <w:rPr>
        <w:rFonts w:ascii="Wingdings" w:hAnsi="Wingdings" w:hint="default"/>
      </w:rPr>
    </w:lvl>
    <w:lvl w:ilvl="6" w:tplc="69740EB0">
      <w:start w:val="1"/>
      <w:numFmt w:val="bullet"/>
      <w:lvlText w:val=""/>
      <w:lvlJc w:val="left"/>
      <w:pPr>
        <w:ind w:left="5040" w:hanging="360"/>
      </w:pPr>
      <w:rPr>
        <w:rFonts w:ascii="Symbol" w:hAnsi="Symbol" w:hint="default"/>
      </w:rPr>
    </w:lvl>
    <w:lvl w:ilvl="7" w:tplc="DC1006FA">
      <w:start w:val="1"/>
      <w:numFmt w:val="bullet"/>
      <w:lvlText w:val="o"/>
      <w:lvlJc w:val="left"/>
      <w:pPr>
        <w:ind w:left="5760" w:hanging="360"/>
      </w:pPr>
      <w:rPr>
        <w:rFonts w:ascii="Courier New" w:hAnsi="Courier New" w:cs="Courier New" w:hint="default"/>
      </w:rPr>
    </w:lvl>
    <w:lvl w:ilvl="8" w:tplc="19289658">
      <w:start w:val="1"/>
      <w:numFmt w:val="bullet"/>
      <w:lvlText w:val=""/>
      <w:lvlJc w:val="left"/>
      <w:pPr>
        <w:ind w:left="6480" w:hanging="360"/>
      </w:pPr>
      <w:rPr>
        <w:rFonts w:ascii="Wingdings" w:hAnsi="Wingdings" w:hint="default"/>
      </w:rPr>
    </w:lvl>
  </w:abstractNum>
  <w:abstractNum w:abstractNumId="27" w15:restartNumberingAfterBreak="0">
    <w:nsid w:val="458662FA"/>
    <w:multiLevelType w:val="hybridMultilevel"/>
    <w:tmpl w:val="A0E0329C"/>
    <w:lvl w:ilvl="0" w:tplc="226023A4">
      <w:start w:val="1"/>
      <w:numFmt w:val="bullet"/>
      <w:lvlText w:val=""/>
      <w:lvlJc w:val="left"/>
      <w:pPr>
        <w:ind w:left="420" w:hanging="360"/>
      </w:pPr>
      <w:rPr>
        <w:rFonts w:ascii="Symbol" w:hAnsi="Symbol" w:hint="default"/>
      </w:rPr>
    </w:lvl>
    <w:lvl w:ilvl="1" w:tplc="98F808B4" w:tentative="1">
      <w:start w:val="1"/>
      <w:numFmt w:val="bullet"/>
      <w:lvlText w:val="o"/>
      <w:lvlJc w:val="left"/>
      <w:pPr>
        <w:ind w:left="1140" w:hanging="360"/>
      </w:pPr>
      <w:rPr>
        <w:rFonts w:ascii="Courier New" w:hAnsi="Courier New" w:cs="Courier New" w:hint="default"/>
      </w:rPr>
    </w:lvl>
    <w:lvl w:ilvl="2" w:tplc="4E267396" w:tentative="1">
      <w:start w:val="1"/>
      <w:numFmt w:val="bullet"/>
      <w:lvlText w:val=""/>
      <w:lvlJc w:val="left"/>
      <w:pPr>
        <w:ind w:left="1860" w:hanging="360"/>
      </w:pPr>
      <w:rPr>
        <w:rFonts w:ascii="Wingdings" w:hAnsi="Wingdings" w:hint="default"/>
      </w:rPr>
    </w:lvl>
    <w:lvl w:ilvl="3" w:tplc="B8308A06" w:tentative="1">
      <w:start w:val="1"/>
      <w:numFmt w:val="bullet"/>
      <w:lvlText w:val=""/>
      <w:lvlJc w:val="left"/>
      <w:pPr>
        <w:ind w:left="2580" w:hanging="360"/>
      </w:pPr>
      <w:rPr>
        <w:rFonts w:ascii="Symbol" w:hAnsi="Symbol" w:hint="default"/>
      </w:rPr>
    </w:lvl>
    <w:lvl w:ilvl="4" w:tplc="70C22F46" w:tentative="1">
      <w:start w:val="1"/>
      <w:numFmt w:val="bullet"/>
      <w:lvlText w:val="o"/>
      <w:lvlJc w:val="left"/>
      <w:pPr>
        <w:ind w:left="3300" w:hanging="360"/>
      </w:pPr>
      <w:rPr>
        <w:rFonts w:ascii="Courier New" w:hAnsi="Courier New" w:cs="Courier New" w:hint="default"/>
      </w:rPr>
    </w:lvl>
    <w:lvl w:ilvl="5" w:tplc="FE465C8A" w:tentative="1">
      <w:start w:val="1"/>
      <w:numFmt w:val="bullet"/>
      <w:lvlText w:val=""/>
      <w:lvlJc w:val="left"/>
      <w:pPr>
        <w:ind w:left="4020" w:hanging="360"/>
      </w:pPr>
      <w:rPr>
        <w:rFonts w:ascii="Wingdings" w:hAnsi="Wingdings" w:hint="default"/>
      </w:rPr>
    </w:lvl>
    <w:lvl w:ilvl="6" w:tplc="A9246F5A" w:tentative="1">
      <w:start w:val="1"/>
      <w:numFmt w:val="bullet"/>
      <w:lvlText w:val=""/>
      <w:lvlJc w:val="left"/>
      <w:pPr>
        <w:ind w:left="4740" w:hanging="360"/>
      </w:pPr>
      <w:rPr>
        <w:rFonts w:ascii="Symbol" w:hAnsi="Symbol" w:hint="default"/>
      </w:rPr>
    </w:lvl>
    <w:lvl w:ilvl="7" w:tplc="420AD3BC" w:tentative="1">
      <w:start w:val="1"/>
      <w:numFmt w:val="bullet"/>
      <w:lvlText w:val="o"/>
      <w:lvlJc w:val="left"/>
      <w:pPr>
        <w:ind w:left="5460" w:hanging="360"/>
      </w:pPr>
      <w:rPr>
        <w:rFonts w:ascii="Courier New" w:hAnsi="Courier New" w:cs="Courier New" w:hint="default"/>
      </w:rPr>
    </w:lvl>
    <w:lvl w:ilvl="8" w:tplc="4EAEC8F4" w:tentative="1">
      <w:start w:val="1"/>
      <w:numFmt w:val="bullet"/>
      <w:lvlText w:val=""/>
      <w:lvlJc w:val="left"/>
      <w:pPr>
        <w:ind w:left="6180" w:hanging="360"/>
      </w:pPr>
      <w:rPr>
        <w:rFonts w:ascii="Wingdings" w:hAnsi="Wingdings" w:hint="default"/>
      </w:rPr>
    </w:lvl>
  </w:abstractNum>
  <w:abstractNum w:abstractNumId="28" w15:restartNumberingAfterBreak="0">
    <w:nsid w:val="484250A4"/>
    <w:multiLevelType w:val="hybridMultilevel"/>
    <w:tmpl w:val="E29C3D68"/>
    <w:lvl w:ilvl="0" w:tplc="47CAA3C4">
      <w:start w:val="4"/>
      <w:numFmt w:val="bullet"/>
      <w:lvlText w:val="-"/>
      <w:lvlJc w:val="left"/>
      <w:pPr>
        <w:ind w:left="720" w:hanging="360"/>
      </w:pPr>
      <w:rPr>
        <w:rFonts w:ascii="Calibri" w:eastAsia="Times New Roman" w:hAnsi="Calibri" w:cs="Times New Roman" w:hint="default"/>
      </w:rPr>
    </w:lvl>
    <w:lvl w:ilvl="1" w:tplc="0CA6B7EE" w:tentative="1">
      <w:start w:val="1"/>
      <w:numFmt w:val="bullet"/>
      <w:lvlText w:val="o"/>
      <w:lvlJc w:val="left"/>
      <w:pPr>
        <w:ind w:left="1440" w:hanging="360"/>
      </w:pPr>
      <w:rPr>
        <w:rFonts w:ascii="Courier New" w:hAnsi="Courier New" w:cs="Courier New" w:hint="default"/>
      </w:rPr>
    </w:lvl>
    <w:lvl w:ilvl="2" w:tplc="A8624430" w:tentative="1">
      <w:start w:val="1"/>
      <w:numFmt w:val="bullet"/>
      <w:lvlText w:val=""/>
      <w:lvlJc w:val="left"/>
      <w:pPr>
        <w:ind w:left="2160" w:hanging="360"/>
      </w:pPr>
      <w:rPr>
        <w:rFonts w:ascii="Wingdings" w:hAnsi="Wingdings" w:hint="default"/>
      </w:rPr>
    </w:lvl>
    <w:lvl w:ilvl="3" w:tplc="64D48E18" w:tentative="1">
      <w:start w:val="1"/>
      <w:numFmt w:val="bullet"/>
      <w:lvlText w:val=""/>
      <w:lvlJc w:val="left"/>
      <w:pPr>
        <w:ind w:left="2880" w:hanging="360"/>
      </w:pPr>
      <w:rPr>
        <w:rFonts w:ascii="Symbol" w:hAnsi="Symbol" w:hint="default"/>
      </w:rPr>
    </w:lvl>
    <w:lvl w:ilvl="4" w:tplc="CEFE8406" w:tentative="1">
      <w:start w:val="1"/>
      <w:numFmt w:val="bullet"/>
      <w:lvlText w:val="o"/>
      <w:lvlJc w:val="left"/>
      <w:pPr>
        <w:ind w:left="3600" w:hanging="360"/>
      </w:pPr>
      <w:rPr>
        <w:rFonts w:ascii="Courier New" w:hAnsi="Courier New" w:cs="Courier New" w:hint="default"/>
      </w:rPr>
    </w:lvl>
    <w:lvl w:ilvl="5" w:tplc="83B8C85C" w:tentative="1">
      <w:start w:val="1"/>
      <w:numFmt w:val="bullet"/>
      <w:lvlText w:val=""/>
      <w:lvlJc w:val="left"/>
      <w:pPr>
        <w:ind w:left="4320" w:hanging="360"/>
      </w:pPr>
      <w:rPr>
        <w:rFonts w:ascii="Wingdings" w:hAnsi="Wingdings" w:hint="default"/>
      </w:rPr>
    </w:lvl>
    <w:lvl w:ilvl="6" w:tplc="0422E70C" w:tentative="1">
      <w:start w:val="1"/>
      <w:numFmt w:val="bullet"/>
      <w:lvlText w:val=""/>
      <w:lvlJc w:val="left"/>
      <w:pPr>
        <w:ind w:left="5040" w:hanging="360"/>
      </w:pPr>
      <w:rPr>
        <w:rFonts w:ascii="Symbol" w:hAnsi="Symbol" w:hint="default"/>
      </w:rPr>
    </w:lvl>
    <w:lvl w:ilvl="7" w:tplc="7AB4A7BA" w:tentative="1">
      <w:start w:val="1"/>
      <w:numFmt w:val="bullet"/>
      <w:lvlText w:val="o"/>
      <w:lvlJc w:val="left"/>
      <w:pPr>
        <w:ind w:left="5760" w:hanging="360"/>
      </w:pPr>
      <w:rPr>
        <w:rFonts w:ascii="Courier New" w:hAnsi="Courier New" w:cs="Courier New" w:hint="default"/>
      </w:rPr>
    </w:lvl>
    <w:lvl w:ilvl="8" w:tplc="26304D2C" w:tentative="1">
      <w:start w:val="1"/>
      <w:numFmt w:val="bullet"/>
      <w:lvlText w:val=""/>
      <w:lvlJc w:val="left"/>
      <w:pPr>
        <w:ind w:left="6480" w:hanging="360"/>
      </w:pPr>
      <w:rPr>
        <w:rFonts w:ascii="Wingdings" w:hAnsi="Wingdings" w:hint="default"/>
      </w:rPr>
    </w:lvl>
  </w:abstractNum>
  <w:abstractNum w:abstractNumId="29" w15:restartNumberingAfterBreak="0">
    <w:nsid w:val="49A21DAC"/>
    <w:multiLevelType w:val="hybridMultilevel"/>
    <w:tmpl w:val="06DA5174"/>
    <w:lvl w:ilvl="0" w:tplc="CED08BCC">
      <w:start w:val="1"/>
      <w:numFmt w:val="decimal"/>
      <w:lvlText w:val="%1."/>
      <w:lvlJc w:val="left"/>
      <w:pPr>
        <w:ind w:left="720" w:hanging="360"/>
      </w:pPr>
      <w:rPr>
        <w:rFonts w:hint="default"/>
      </w:rPr>
    </w:lvl>
    <w:lvl w:ilvl="1" w:tplc="BB6EEE24" w:tentative="1">
      <w:start w:val="1"/>
      <w:numFmt w:val="lowerLetter"/>
      <w:lvlText w:val="%2."/>
      <w:lvlJc w:val="left"/>
      <w:pPr>
        <w:ind w:left="1440" w:hanging="360"/>
      </w:pPr>
    </w:lvl>
    <w:lvl w:ilvl="2" w:tplc="9EEAE700" w:tentative="1">
      <w:start w:val="1"/>
      <w:numFmt w:val="lowerRoman"/>
      <w:lvlText w:val="%3."/>
      <w:lvlJc w:val="right"/>
      <w:pPr>
        <w:ind w:left="2160" w:hanging="180"/>
      </w:pPr>
    </w:lvl>
    <w:lvl w:ilvl="3" w:tplc="6860A4CE" w:tentative="1">
      <w:start w:val="1"/>
      <w:numFmt w:val="decimal"/>
      <w:lvlText w:val="%4."/>
      <w:lvlJc w:val="left"/>
      <w:pPr>
        <w:ind w:left="2880" w:hanging="360"/>
      </w:pPr>
    </w:lvl>
    <w:lvl w:ilvl="4" w:tplc="F25EC5AC" w:tentative="1">
      <w:start w:val="1"/>
      <w:numFmt w:val="lowerLetter"/>
      <w:lvlText w:val="%5."/>
      <w:lvlJc w:val="left"/>
      <w:pPr>
        <w:ind w:left="3600" w:hanging="360"/>
      </w:pPr>
    </w:lvl>
    <w:lvl w:ilvl="5" w:tplc="F790DE2C" w:tentative="1">
      <w:start w:val="1"/>
      <w:numFmt w:val="lowerRoman"/>
      <w:lvlText w:val="%6."/>
      <w:lvlJc w:val="right"/>
      <w:pPr>
        <w:ind w:left="4320" w:hanging="180"/>
      </w:pPr>
    </w:lvl>
    <w:lvl w:ilvl="6" w:tplc="F98AC8B0" w:tentative="1">
      <w:start w:val="1"/>
      <w:numFmt w:val="decimal"/>
      <w:lvlText w:val="%7."/>
      <w:lvlJc w:val="left"/>
      <w:pPr>
        <w:ind w:left="5040" w:hanging="360"/>
      </w:pPr>
    </w:lvl>
    <w:lvl w:ilvl="7" w:tplc="BCEAEFEA" w:tentative="1">
      <w:start w:val="1"/>
      <w:numFmt w:val="lowerLetter"/>
      <w:lvlText w:val="%8."/>
      <w:lvlJc w:val="left"/>
      <w:pPr>
        <w:ind w:left="5760" w:hanging="360"/>
      </w:pPr>
    </w:lvl>
    <w:lvl w:ilvl="8" w:tplc="82880E26" w:tentative="1">
      <w:start w:val="1"/>
      <w:numFmt w:val="lowerRoman"/>
      <w:lvlText w:val="%9."/>
      <w:lvlJc w:val="right"/>
      <w:pPr>
        <w:ind w:left="6480" w:hanging="180"/>
      </w:pPr>
    </w:lvl>
  </w:abstractNum>
  <w:abstractNum w:abstractNumId="30" w15:restartNumberingAfterBreak="0">
    <w:nsid w:val="4E67097E"/>
    <w:multiLevelType w:val="hybridMultilevel"/>
    <w:tmpl w:val="C016A4B4"/>
    <w:lvl w:ilvl="0" w:tplc="C4F6A5AA">
      <w:start w:val="1"/>
      <w:numFmt w:val="upperRoman"/>
      <w:lvlText w:val="%1."/>
      <w:lvlJc w:val="left"/>
      <w:pPr>
        <w:ind w:left="1080" w:hanging="720"/>
      </w:pPr>
      <w:rPr>
        <w:rFonts w:hint="default"/>
      </w:rPr>
    </w:lvl>
    <w:lvl w:ilvl="1" w:tplc="184A1FE2" w:tentative="1">
      <w:start w:val="1"/>
      <w:numFmt w:val="lowerLetter"/>
      <w:lvlText w:val="%2."/>
      <w:lvlJc w:val="left"/>
      <w:pPr>
        <w:ind w:left="1440" w:hanging="360"/>
      </w:pPr>
    </w:lvl>
    <w:lvl w:ilvl="2" w:tplc="AAFE851E" w:tentative="1">
      <w:start w:val="1"/>
      <w:numFmt w:val="lowerRoman"/>
      <w:lvlText w:val="%3."/>
      <w:lvlJc w:val="right"/>
      <w:pPr>
        <w:ind w:left="2160" w:hanging="180"/>
      </w:pPr>
    </w:lvl>
    <w:lvl w:ilvl="3" w:tplc="367A5A2E" w:tentative="1">
      <w:start w:val="1"/>
      <w:numFmt w:val="decimal"/>
      <w:lvlText w:val="%4."/>
      <w:lvlJc w:val="left"/>
      <w:pPr>
        <w:ind w:left="2880" w:hanging="360"/>
      </w:pPr>
    </w:lvl>
    <w:lvl w:ilvl="4" w:tplc="305C8CB6" w:tentative="1">
      <w:start w:val="1"/>
      <w:numFmt w:val="lowerLetter"/>
      <w:lvlText w:val="%5."/>
      <w:lvlJc w:val="left"/>
      <w:pPr>
        <w:ind w:left="3600" w:hanging="360"/>
      </w:pPr>
    </w:lvl>
    <w:lvl w:ilvl="5" w:tplc="A1026BC2" w:tentative="1">
      <w:start w:val="1"/>
      <w:numFmt w:val="lowerRoman"/>
      <w:lvlText w:val="%6."/>
      <w:lvlJc w:val="right"/>
      <w:pPr>
        <w:ind w:left="4320" w:hanging="180"/>
      </w:pPr>
    </w:lvl>
    <w:lvl w:ilvl="6" w:tplc="4AFC10AA" w:tentative="1">
      <w:start w:val="1"/>
      <w:numFmt w:val="decimal"/>
      <w:lvlText w:val="%7."/>
      <w:lvlJc w:val="left"/>
      <w:pPr>
        <w:ind w:left="5040" w:hanging="360"/>
      </w:pPr>
    </w:lvl>
    <w:lvl w:ilvl="7" w:tplc="9984C754" w:tentative="1">
      <w:start w:val="1"/>
      <w:numFmt w:val="lowerLetter"/>
      <w:lvlText w:val="%8."/>
      <w:lvlJc w:val="left"/>
      <w:pPr>
        <w:ind w:left="5760" w:hanging="360"/>
      </w:pPr>
    </w:lvl>
    <w:lvl w:ilvl="8" w:tplc="6F522002" w:tentative="1">
      <w:start w:val="1"/>
      <w:numFmt w:val="lowerRoman"/>
      <w:lvlText w:val="%9."/>
      <w:lvlJc w:val="right"/>
      <w:pPr>
        <w:ind w:left="6480" w:hanging="180"/>
      </w:pPr>
    </w:lvl>
  </w:abstractNum>
  <w:abstractNum w:abstractNumId="31" w15:restartNumberingAfterBreak="0">
    <w:nsid w:val="4F04193A"/>
    <w:multiLevelType w:val="hybridMultilevel"/>
    <w:tmpl w:val="0DF6E68E"/>
    <w:lvl w:ilvl="0" w:tplc="C44887D8">
      <w:start w:val="1"/>
      <w:numFmt w:val="bullet"/>
      <w:lvlText w:val=""/>
      <w:lvlJc w:val="left"/>
      <w:pPr>
        <w:ind w:left="720" w:hanging="360"/>
      </w:pPr>
      <w:rPr>
        <w:rFonts w:ascii="Symbol" w:hAnsi="Symbol" w:hint="default"/>
      </w:rPr>
    </w:lvl>
    <w:lvl w:ilvl="1" w:tplc="10F6279A" w:tentative="1">
      <w:start w:val="1"/>
      <w:numFmt w:val="bullet"/>
      <w:lvlText w:val="o"/>
      <w:lvlJc w:val="left"/>
      <w:pPr>
        <w:ind w:left="1440" w:hanging="360"/>
      </w:pPr>
      <w:rPr>
        <w:rFonts w:ascii="Courier New" w:hAnsi="Courier New" w:cs="Courier New" w:hint="default"/>
      </w:rPr>
    </w:lvl>
    <w:lvl w:ilvl="2" w:tplc="B6F41C5E" w:tentative="1">
      <w:start w:val="1"/>
      <w:numFmt w:val="bullet"/>
      <w:lvlText w:val=""/>
      <w:lvlJc w:val="left"/>
      <w:pPr>
        <w:ind w:left="2160" w:hanging="360"/>
      </w:pPr>
      <w:rPr>
        <w:rFonts w:ascii="Wingdings" w:hAnsi="Wingdings" w:hint="default"/>
      </w:rPr>
    </w:lvl>
    <w:lvl w:ilvl="3" w:tplc="9DD6BE98" w:tentative="1">
      <w:start w:val="1"/>
      <w:numFmt w:val="bullet"/>
      <w:lvlText w:val=""/>
      <w:lvlJc w:val="left"/>
      <w:pPr>
        <w:ind w:left="2880" w:hanging="360"/>
      </w:pPr>
      <w:rPr>
        <w:rFonts w:ascii="Symbol" w:hAnsi="Symbol" w:hint="default"/>
      </w:rPr>
    </w:lvl>
    <w:lvl w:ilvl="4" w:tplc="3D462B50" w:tentative="1">
      <w:start w:val="1"/>
      <w:numFmt w:val="bullet"/>
      <w:lvlText w:val="o"/>
      <w:lvlJc w:val="left"/>
      <w:pPr>
        <w:ind w:left="3600" w:hanging="360"/>
      </w:pPr>
      <w:rPr>
        <w:rFonts w:ascii="Courier New" w:hAnsi="Courier New" w:cs="Courier New" w:hint="default"/>
      </w:rPr>
    </w:lvl>
    <w:lvl w:ilvl="5" w:tplc="FB00B262" w:tentative="1">
      <w:start w:val="1"/>
      <w:numFmt w:val="bullet"/>
      <w:lvlText w:val=""/>
      <w:lvlJc w:val="left"/>
      <w:pPr>
        <w:ind w:left="4320" w:hanging="360"/>
      </w:pPr>
      <w:rPr>
        <w:rFonts w:ascii="Wingdings" w:hAnsi="Wingdings" w:hint="default"/>
      </w:rPr>
    </w:lvl>
    <w:lvl w:ilvl="6" w:tplc="DA406A04" w:tentative="1">
      <w:start w:val="1"/>
      <w:numFmt w:val="bullet"/>
      <w:lvlText w:val=""/>
      <w:lvlJc w:val="left"/>
      <w:pPr>
        <w:ind w:left="5040" w:hanging="360"/>
      </w:pPr>
      <w:rPr>
        <w:rFonts w:ascii="Symbol" w:hAnsi="Symbol" w:hint="default"/>
      </w:rPr>
    </w:lvl>
    <w:lvl w:ilvl="7" w:tplc="B2AC1CB2" w:tentative="1">
      <w:start w:val="1"/>
      <w:numFmt w:val="bullet"/>
      <w:lvlText w:val="o"/>
      <w:lvlJc w:val="left"/>
      <w:pPr>
        <w:ind w:left="5760" w:hanging="360"/>
      </w:pPr>
      <w:rPr>
        <w:rFonts w:ascii="Courier New" w:hAnsi="Courier New" w:cs="Courier New" w:hint="default"/>
      </w:rPr>
    </w:lvl>
    <w:lvl w:ilvl="8" w:tplc="63C610E8" w:tentative="1">
      <w:start w:val="1"/>
      <w:numFmt w:val="bullet"/>
      <w:lvlText w:val=""/>
      <w:lvlJc w:val="left"/>
      <w:pPr>
        <w:ind w:left="6480" w:hanging="360"/>
      </w:pPr>
      <w:rPr>
        <w:rFonts w:ascii="Wingdings" w:hAnsi="Wingdings" w:hint="default"/>
      </w:rPr>
    </w:lvl>
  </w:abstractNum>
  <w:abstractNum w:abstractNumId="32" w15:restartNumberingAfterBreak="0">
    <w:nsid w:val="5099508B"/>
    <w:multiLevelType w:val="hybridMultilevel"/>
    <w:tmpl w:val="1706909E"/>
    <w:lvl w:ilvl="0" w:tplc="3F9CB178">
      <w:start w:val="1"/>
      <w:numFmt w:val="decimal"/>
      <w:lvlText w:val="%1."/>
      <w:lvlJc w:val="left"/>
      <w:pPr>
        <w:ind w:left="720" w:hanging="360"/>
      </w:pPr>
      <w:rPr>
        <w:rFonts w:hint="default"/>
        <w:b/>
      </w:rPr>
    </w:lvl>
    <w:lvl w:ilvl="1" w:tplc="BD283A9E" w:tentative="1">
      <w:start w:val="1"/>
      <w:numFmt w:val="lowerLetter"/>
      <w:lvlText w:val="%2."/>
      <w:lvlJc w:val="left"/>
      <w:pPr>
        <w:ind w:left="1440" w:hanging="360"/>
      </w:pPr>
    </w:lvl>
    <w:lvl w:ilvl="2" w:tplc="3D80B978" w:tentative="1">
      <w:start w:val="1"/>
      <w:numFmt w:val="lowerRoman"/>
      <w:lvlText w:val="%3."/>
      <w:lvlJc w:val="right"/>
      <w:pPr>
        <w:ind w:left="2160" w:hanging="180"/>
      </w:pPr>
    </w:lvl>
    <w:lvl w:ilvl="3" w:tplc="CE8082A2" w:tentative="1">
      <w:start w:val="1"/>
      <w:numFmt w:val="decimal"/>
      <w:lvlText w:val="%4."/>
      <w:lvlJc w:val="left"/>
      <w:pPr>
        <w:ind w:left="2880" w:hanging="360"/>
      </w:pPr>
    </w:lvl>
    <w:lvl w:ilvl="4" w:tplc="FF4464A8" w:tentative="1">
      <w:start w:val="1"/>
      <w:numFmt w:val="lowerLetter"/>
      <w:lvlText w:val="%5."/>
      <w:lvlJc w:val="left"/>
      <w:pPr>
        <w:ind w:left="3600" w:hanging="360"/>
      </w:pPr>
    </w:lvl>
    <w:lvl w:ilvl="5" w:tplc="F12827F0" w:tentative="1">
      <w:start w:val="1"/>
      <w:numFmt w:val="lowerRoman"/>
      <w:lvlText w:val="%6."/>
      <w:lvlJc w:val="right"/>
      <w:pPr>
        <w:ind w:left="4320" w:hanging="180"/>
      </w:pPr>
    </w:lvl>
    <w:lvl w:ilvl="6" w:tplc="990C00CA" w:tentative="1">
      <w:start w:val="1"/>
      <w:numFmt w:val="decimal"/>
      <w:lvlText w:val="%7."/>
      <w:lvlJc w:val="left"/>
      <w:pPr>
        <w:ind w:left="5040" w:hanging="360"/>
      </w:pPr>
    </w:lvl>
    <w:lvl w:ilvl="7" w:tplc="9F66B9E8" w:tentative="1">
      <w:start w:val="1"/>
      <w:numFmt w:val="lowerLetter"/>
      <w:lvlText w:val="%8."/>
      <w:lvlJc w:val="left"/>
      <w:pPr>
        <w:ind w:left="5760" w:hanging="360"/>
      </w:pPr>
    </w:lvl>
    <w:lvl w:ilvl="8" w:tplc="90B2700A" w:tentative="1">
      <w:start w:val="1"/>
      <w:numFmt w:val="lowerRoman"/>
      <w:lvlText w:val="%9."/>
      <w:lvlJc w:val="right"/>
      <w:pPr>
        <w:ind w:left="6480" w:hanging="180"/>
      </w:pPr>
    </w:lvl>
  </w:abstractNum>
  <w:abstractNum w:abstractNumId="33" w15:restartNumberingAfterBreak="0">
    <w:nsid w:val="512543C6"/>
    <w:multiLevelType w:val="hybridMultilevel"/>
    <w:tmpl w:val="0010C48A"/>
    <w:lvl w:ilvl="0" w:tplc="607A9B80">
      <w:start w:val="1"/>
      <w:numFmt w:val="upperLetter"/>
      <w:lvlText w:val="%1."/>
      <w:lvlJc w:val="left"/>
      <w:pPr>
        <w:ind w:left="720" w:hanging="360"/>
      </w:pPr>
    </w:lvl>
    <w:lvl w:ilvl="1" w:tplc="FDF8CE2C" w:tentative="1">
      <w:start w:val="1"/>
      <w:numFmt w:val="lowerLetter"/>
      <w:lvlText w:val="%2."/>
      <w:lvlJc w:val="left"/>
      <w:pPr>
        <w:ind w:left="1440" w:hanging="360"/>
      </w:pPr>
    </w:lvl>
    <w:lvl w:ilvl="2" w:tplc="2084EC7C" w:tentative="1">
      <w:start w:val="1"/>
      <w:numFmt w:val="lowerRoman"/>
      <w:lvlText w:val="%3."/>
      <w:lvlJc w:val="right"/>
      <w:pPr>
        <w:ind w:left="2160" w:hanging="180"/>
      </w:pPr>
    </w:lvl>
    <w:lvl w:ilvl="3" w:tplc="F42A737E" w:tentative="1">
      <w:start w:val="1"/>
      <w:numFmt w:val="decimal"/>
      <w:lvlText w:val="%4."/>
      <w:lvlJc w:val="left"/>
      <w:pPr>
        <w:ind w:left="2880" w:hanging="360"/>
      </w:pPr>
    </w:lvl>
    <w:lvl w:ilvl="4" w:tplc="0A5CD7A8" w:tentative="1">
      <w:start w:val="1"/>
      <w:numFmt w:val="lowerLetter"/>
      <w:lvlText w:val="%5."/>
      <w:lvlJc w:val="left"/>
      <w:pPr>
        <w:ind w:left="3600" w:hanging="360"/>
      </w:pPr>
    </w:lvl>
    <w:lvl w:ilvl="5" w:tplc="04C8A59E" w:tentative="1">
      <w:start w:val="1"/>
      <w:numFmt w:val="lowerRoman"/>
      <w:lvlText w:val="%6."/>
      <w:lvlJc w:val="right"/>
      <w:pPr>
        <w:ind w:left="4320" w:hanging="180"/>
      </w:pPr>
    </w:lvl>
    <w:lvl w:ilvl="6" w:tplc="22B60740" w:tentative="1">
      <w:start w:val="1"/>
      <w:numFmt w:val="decimal"/>
      <w:lvlText w:val="%7."/>
      <w:lvlJc w:val="left"/>
      <w:pPr>
        <w:ind w:left="5040" w:hanging="360"/>
      </w:pPr>
    </w:lvl>
    <w:lvl w:ilvl="7" w:tplc="949EE3C2" w:tentative="1">
      <w:start w:val="1"/>
      <w:numFmt w:val="lowerLetter"/>
      <w:lvlText w:val="%8."/>
      <w:lvlJc w:val="left"/>
      <w:pPr>
        <w:ind w:left="5760" w:hanging="360"/>
      </w:pPr>
    </w:lvl>
    <w:lvl w:ilvl="8" w:tplc="06E244A6" w:tentative="1">
      <w:start w:val="1"/>
      <w:numFmt w:val="lowerRoman"/>
      <w:lvlText w:val="%9."/>
      <w:lvlJc w:val="right"/>
      <w:pPr>
        <w:ind w:left="6480" w:hanging="180"/>
      </w:pPr>
    </w:lvl>
  </w:abstractNum>
  <w:abstractNum w:abstractNumId="34" w15:restartNumberingAfterBreak="0">
    <w:nsid w:val="51336148"/>
    <w:multiLevelType w:val="hybridMultilevel"/>
    <w:tmpl w:val="B3C4E76A"/>
    <w:lvl w:ilvl="0" w:tplc="57026032">
      <w:start w:val="1"/>
      <w:numFmt w:val="bullet"/>
      <w:lvlText w:val=""/>
      <w:lvlJc w:val="left"/>
      <w:pPr>
        <w:ind w:left="720" w:hanging="360"/>
      </w:pPr>
      <w:rPr>
        <w:rFonts w:ascii="Symbol" w:hAnsi="Symbol" w:hint="default"/>
      </w:rPr>
    </w:lvl>
    <w:lvl w:ilvl="1" w:tplc="D7A4590E" w:tentative="1">
      <w:start w:val="1"/>
      <w:numFmt w:val="bullet"/>
      <w:lvlText w:val="o"/>
      <w:lvlJc w:val="left"/>
      <w:pPr>
        <w:ind w:left="1440" w:hanging="360"/>
      </w:pPr>
      <w:rPr>
        <w:rFonts w:ascii="Courier New" w:hAnsi="Courier New" w:cs="Courier New" w:hint="default"/>
      </w:rPr>
    </w:lvl>
    <w:lvl w:ilvl="2" w:tplc="C1D219AA" w:tentative="1">
      <w:start w:val="1"/>
      <w:numFmt w:val="bullet"/>
      <w:lvlText w:val=""/>
      <w:lvlJc w:val="left"/>
      <w:pPr>
        <w:ind w:left="2160" w:hanging="360"/>
      </w:pPr>
      <w:rPr>
        <w:rFonts w:ascii="Wingdings" w:hAnsi="Wingdings" w:hint="default"/>
      </w:rPr>
    </w:lvl>
    <w:lvl w:ilvl="3" w:tplc="D08052E0" w:tentative="1">
      <w:start w:val="1"/>
      <w:numFmt w:val="bullet"/>
      <w:lvlText w:val=""/>
      <w:lvlJc w:val="left"/>
      <w:pPr>
        <w:ind w:left="2880" w:hanging="360"/>
      </w:pPr>
      <w:rPr>
        <w:rFonts w:ascii="Symbol" w:hAnsi="Symbol" w:hint="default"/>
      </w:rPr>
    </w:lvl>
    <w:lvl w:ilvl="4" w:tplc="B88697B0" w:tentative="1">
      <w:start w:val="1"/>
      <w:numFmt w:val="bullet"/>
      <w:lvlText w:val="o"/>
      <w:lvlJc w:val="left"/>
      <w:pPr>
        <w:ind w:left="3600" w:hanging="360"/>
      </w:pPr>
      <w:rPr>
        <w:rFonts w:ascii="Courier New" w:hAnsi="Courier New" w:cs="Courier New" w:hint="default"/>
      </w:rPr>
    </w:lvl>
    <w:lvl w:ilvl="5" w:tplc="BA8E72A8" w:tentative="1">
      <w:start w:val="1"/>
      <w:numFmt w:val="bullet"/>
      <w:lvlText w:val=""/>
      <w:lvlJc w:val="left"/>
      <w:pPr>
        <w:ind w:left="4320" w:hanging="360"/>
      </w:pPr>
      <w:rPr>
        <w:rFonts w:ascii="Wingdings" w:hAnsi="Wingdings" w:hint="default"/>
      </w:rPr>
    </w:lvl>
    <w:lvl w:ilvl="6" w:tplc="1B6C7316" w:tentative="1">
      <w:start w:val="1"/>
      <w:numFmt w:val="bullet"/>
      <w:lvlText w:val=""/>
      <w:lvlJc w:val="left"/>
      <w:pPr>
        <w:ind w:left="5040" w:hanging="360"/>
      </w:pPr>
      <w:rPr>
        <w:rFonts w:ascii="Symbol" w:hAnsi="Symbol" w:hint="default"/>
      </w:rPr>
    </w:lvl>
    <w:lvl w:ilvl="7" w:tplc="95F8E600" w:tentative="1">
      <w:start w:val="1"/>
      <w:numFmt w:val="bullet"/>
      <w:lvlText w:val="o"/>
      <w:lvlJc w:val="left"/>
      <w:pPr>
        <w:ind w:left="5760" w:hanging="360"/>
      </w:pPr>
      <w:rPr>
        <w:rFonts w:ascii="Courier New" w:hAnsi="Courier New" w:cs="Courier New" w:hint="default"/>
      </w:rPr>
    </w:lvl>
    <w:lvl w:ilvl="8" w:tplc="27EE1CCA" w:tentative="1">
      <w:start w:val="1"/>
      <w:numFmt w:val="bullet"/>
      <w:lvlText w:val=""/>
      <w:lvlJc w:val="left"/>
      <w:pPr>
        <w:ind w:left="6480" w:hanging="360"/>
      </w:pPr>
      <w:rPr>
        <w:rFonts w:ascii="Wingdings" w:hAnsi="Wingdings" w:hint="default"/>
      </w:rPr>
    </w:lvl>
  </w:abstractNum>
  <w:abstractNum w:abstractNumId="35" w15:restartNumberingAfterBreak="0">
    <w:nsid w:val="513C258C"/>
    <w:multiLevelType w:val="hybridMultilevel"/>
    <w:tmpl w:val="3DC29E42"/>
    <w:lvl w:ilvl="0" w:tplc="A52624CC">
      <w:start w:val="1"/>
      <w:numFmt w:val="bullet"/>
      <w:lvlText w:val=""/>
      <w:lvlJc w:val="left"/>
      <w:pPr>
        <w:ind w:left="720" w:hanging="360"/>
      </w:pPr>
      <w:rPr>
        <w:rFonts w:ascii="Symbol" w:hAnsi="Symbol" w:hint="default"/>
      </w:rPr>
    </w:lvl>
    <w:lvl w:ilvl="1" w:tplc="10644ECC" w:tentative="1">
      <w:start w:val="1"/>
      <w:numFmt w:val="bullet"/>
      <w:lvlText w:val="o"/>
      <w:lvlJc w:val="left"/>
      <w:pPr>
        <w:ind w:left="1440" w:hanging="360"/>
      </w:pPr>
      <w:rPr>
        <w:rFonts w:ascii="Courier New" w:hAnsi="Courier New" w:cs="Courier New" w:hint="default"/>
      </w:rPr>
    </w:lvl>
    <w:lvl w:ilvl="2" w:tplc="68CA8CD0" w:tentative="1">
      <w:start w:val="1"/>
      <w:numFmt w:val="bullet"/>
      <w:lvlText w:val=""/>
      <w:lvlJc w:val="left"/>
      <w:pPr>
        <w:ind w:left="2160" w:hanging="360"/>
      </w:pPr>
      <w:rPr>
        <w:rFonts w:ascii="Wingdings" w:hAnsi="Wingdings" w:hint="default"/>
      </w:rPr>
    </w:lvl>
    <w:lvl w:ilvl="3" w:tplc="A6245812" w:tentative="1">
      <w:start w:val="1"/>
      <w:numFmt w:val="bullet"/>
      <w:lvlText w:val=""/>
      <w:lvlJc w:val="left"/>
      <w:pPr>
        <w:ind w:left="2880" w:hanging="360"/>
      </w:pPr>
      <w:rPr>
        <w:rFonts w:ascii="Symbol" w:hAnsi="Symbol" w:hint="default"/>
      </w:rPr>
    </w:lvl>
    <w:lvl w:ilvl="4" w:tplc="2460CE76" w:tentative="1">
      <w:start w:val="1"/>
      <w:numFmt w:val="bullet"/>
      <w:lvlText w:val="o"/>
      <w:lvlJc w:val="left"/>
      <w:pPr>
        <w:ind w:left="3600" w:hanging="360"/>
      </w:pPr>
      <w:rPr>
        <w:rFonts w:ascii="Courier New" w:hAnsi="Courier New" w:cs="Courier New" w:hint="default"/>
      </w:rPr>
    </w:lvl>
    <w:lvl w:ilvl="5" w:tplc="3FB209C0" w:tentative="1">
      <w:start w:val="1"/>
      <w:numFmt w:val="bullet"/>
      <w:lvlText w:val=""/>
      <w:lvlJc w:val="left"/>
      <w:pPr>
        <w:ind w:left="4320" w:hanging="360"/>
      </w:pPr>
      <w:rPr>
        <w:rFonts w:ascii="Wingdings" w:hAnsi="Wingdings" w:hint="default"/>
      </w:rPr>
    </w:lvl>
    <w:lvl w:ilvl="6" w:tplc="4C4A0550" w:tentative="1">
      <w:start w:val="1"/>
      <w:numFmt w:val="bullet"/>
      <w:lvlText w:val=""/>
      <w:lvlJc w:val="left"/>
      <w:pPr>
        <w:ind w:left="5040" w:hanging="360"/>
      </w:pPr>
      <w:rPr>
        <w:rFonts w:ascii="Symbol" w:hAnsi="Symbol" w:hint="default"/>
      </w:rPr>
    </w:lvl>
    <w:lvl w:ilvl="7" w:tplc="46C8EBC8" w:tentative="1">
      <w:start w:val="1"/>
      <w:numFmt w:val="bullet"/>
      <w:lvlText w:val="o"/>
      <w:lvlJc w:val="left"/>
      <w:pPr>
        <w:ind w:left="5760" w:hanging="360"/>
      </w:pPr>
      <w:rPr>
        <w:rFonts w:ascii="Courier New" w:hAnsi="Courier New" w:cs="Courier New" w:hint="default"/>
      </w:rPr>
    </w:lvl>
    <w:lvl w:ilvl="8" w:tplc="15C8E8B2" w:tentative="1">
      <w:start w:val="1"/>
      <w:numFmt w:val="bullet"/>
      <w:lvlText w:val=""/>
      <w:lvlJc w:val="left"/>
      <w:pPr>
        <w:ind w:left="6480" w:hanging="360"/>
      </w:pPr>
      <w:rPr>
        <w:rFonts w:ascii="Wingdings" w:hAnsi="Wingdings" w:hint="default"/>
      </w:rPr>
    </w:lvl>
  </w:abstractNum>
  <w:abstractNum w:abstractNumId="36" w15:restartNumberingAfterBreak="0">
    <w:nsid w:val="541568F8"/>
    <w:multiLevelType w:val="hybridMultilevel"/>
    <w:tmpl w:val="D250EB7A"/>
    <w:lvl w:ilvl="0" w:tplc="1CB84172">
      <w:start w:val="8"/>
      <w:numFmt w:val="bullet"/>
      <w:lvlText w:val="-"/>
      <w:lvlJc w:val="left"/>
      <w:pPr>
        <w:ind w:left="720" w:hanging="360"/>
      </w:pPr>
      <w:rPr>
        <w:rFonts w:ascii="Calibri" w:eastAsia="Times New Roman" w:hAnsi="Calibri" w:cs="Calibri" w:hint="default"/>
      </w:rPr>
    </w:lvl>
    <w:lvl w:ilvl="1" w:tplc="00FE6274" w:tentative="1">
      <w:start w:val="1"/>
      <w:numFmt w:val="bullet"/>
      <w:lvlText w:val="o"/>
      <w:lvlJc w:val="left"/>
      <w:pPr>
        <w:ind w:left="1440" w:hanging="360"/>
      </w:pPr>
      <w:rPr>
        <w:rFonts w:ascii="Courier New" w:hAnsi="Courier New" w:cs="Courier New" w:hint="default"/>
      </w:rPr>
    </w:lvl>
    <w:lvl w:ilvl="2" w:tplc="96F49AAA" w:tentative="1">
      <w:start w:val="1"/>
      <w:numFmt w:val="bullet"/>
      <w:lvlText w:val=""/>
      <w:lvlJc w:val="left"/>
      <w:pPr>
        <w:ind w:left="2160" w:hanging="360"/>
      </w:pPr>
      <w:rPr>
        <w:rFonts w:ascii="Wingdings" w:hAnsi="Wingdings" w:hint="default"/>
      </w:rPr>
    </w:lvl>
    <w:lvl w:ilvl="3" w:tplc="1854AC0A" w:tentative="1">
      <w:start w:val="1"/>
      <w:numFmt w:val="bullet"/>
      <w:lvlText w:val=""/>
      <w:lvlJc w:val="left"/>
      <w:pPr>
        <w:ind w:left="2880" w:hanging="360"/>
      </w:pPr>
      <w:rPr>
        <w:rFonts w:ascii="Symbol" w:hAnsi="Symbol" w:hint="default"/>
      </w:rPr>
    </w:lvl>
    <w:lvl w:ilvl="4" w:tplc="AD16CB86" w:tentative="1">
      <w:start w:val="1"/>
      <w:numFmt w:val="bullet"/>
      <w:lvlText w:val="o"/>
      <w:lvlJc w:val="left"/>
      <w:pPr>
        <w:ind w:left="3600" w:hanging="360"/>
      </w:pPr>
      <w:rPr>
        <w:rFonts w:ascii="Courier New" w:hAnsi="Courier New" w:cs="Courier New" w:hint="default"/>
      </w:rPr>
    </w:lvl>
    <w:lvl w:ilvl="5" w:tplc="54164A94" w:tentative="1">
      <w:start w:val="1"/>
      <w:numFmt w:val="bullet"/>
      <w:lvlText w:val=""/>
      <w:lvlJc w:val="left"/>
      <w:pPr>
        <w:ind w:left="4320" w:hanging="360"/>
      </w:pPr>
      <w:rPr>
        <w:rFonts w:ascii="Wingdings" w:hAnsi="Wingdings" w:hint="default"/>
      </w:rPr>
    </w:lvl>
    <w:lvl w:ilvl="6" w:tplc="6CAA453E" w:tentative="1">
      <w:start w:val="1"/>
      <w:numFmt w:val="bullet"/>
      <w:lvlText w:val=""/>
      <w:lvlJc w:val="left"/>
      <w:pPr>
        <w:ind w:left="5040" w:hanging="360"/>
      </w:pPr>
      <w:rPr>
        <w:rFonts w:ascii="Symbol" w:hAnsi="Symbol" w:hint="default"/>
      </w:rPr>
    </w:lvl>
    <w:lvl w:ilvl="7" w:tplc="B2F270CA" w:tentative="1">
      <w:start w:val="1"/>
      <w:numFmt w:val="bullet"/>
      <w:lvlText w:val="o"/>
      <w:lvlJc w:val="left"/>
      <w:pPr>
        <w:ind w:left="5760" w:hanging="360"/>
      </w:pPr>
      <w:rPr>
        <w:rFonts w:ascii="Courier New" w:hAnsi="Courier New" w:cs="Courier New" w:hint="default"/>
      </w:rPr>
    </w:lvl>
    <w:lvl w:ilvl="8" w:tplc="962C8DD2" w:tentative="1">
      <w:start w:val="1"/>
      <w:numFmt w:val="bullet"/>
      <w:lvlText w:val=""/>
      <w:lvlJc w:val="left"/>
      <w:pPr>
        <w:ind w:left="6480" w:hanging="360"/>
      </w:pPr>
      <w:rPr>
        <w:rFonts w:ascii="Wingdings" w:hAnsi="Wingdings" w:hint="default"/>
      </w:rPr>
    </w:lvl>
  </w:abstractNum>
  <w:abstractNum w:abstractNumId="37" w15:restartNumberingAfterBreak="0">
    <w:nsid w:val="57145289"/>
    <w:multiLevelType w:val="hybridMultilevel"/>
    <w:tmpl w:val="4B1616B2"/>
    <w:lvl w:ilvl="0" w:tplc="1CA68D9C">
      <w:start w:val="1"/>
      <w:numFmt w:val="bullet"/>
      <w:lvlText w:val=""/>
      <w:lvlJc w:val="left"/>
      <w:pPr>
        <w:ind w:left="720" w:hanging="360"/>
      </w:pPr>
      <w:rPr>
        <w:rFonts w:ascii="Wingdings" w:hAnsi="Wingdings" w:hint="default"/>
      </w:rPr>
    </w:lvl>
    <w:lvl w:ilvl="1" w:tplc="45926422" w:tentative="1">
      <w:start w:val="1"/>
      <w:numFmt w:val="bullet"/>
      <w:lvlText w:val="o"/>
      <w:lvlJc w:val="left"/>
      <w:pPr>
        <w:ind w:left="1440" w:hanging="360"/>
      </w:pPr>
      <w:rPr>
        <w:rFonts w:ascii="Courier New" w:hAnsi="Courier New" w:cs="Courier New" w:hint="default"/>
      </w:rPr>
    </w:lvl>
    <w:lvl w:ilvl="2" w:tplc="CF0237AA" w:tentative="1">
      <w:start w:val="1"/>
      <w:numFmt w:val="bullet"/>
      <w:lvlText w:val=""/>
      <w:lvlJc w:val="left"/>
      <w:pPr>
        <w:ind w:left="2160" w:hanging="360"/>
      </w:pPr>
      <w:rPr>
        <w:rFonts w:ascii="Wingdings" w:hAnsi="Wingdings" w:hint="default"/>
      </w:rPr>
    </w:lvl>
    <w:lvl w:ilvl="3" w:tplc="F4F287E2" w:tentative="1">
      <w:start w:val="1"/>
      <w:numFmt w:val="bullet"/>
      <w:lvlText w:val=""/>
      <w:lvlJc w:val="left"/>
      <w:pPr>
        <w:ind w:left="2880" w:hanging="360"/>
      </w:pPr>
      <w:rPr>
        <w:rFonts w:ascii="Symbol" w:hAnsi="Symbol" w:hint="default"/>
      </w:rPr>
    </w:lvl>
    <w:lvl w:ilvl="4" w:tplc="6B5C0014" w:tentative="1">
      <w:start w:val="1"/>
      <w:numFmt w:val="bullet"/>
      <w:lvlText w:val="o"/>
      <w:lvlJc w:val="left"/>
      <w:pPr>
        <w:ind w:left="3600" w:hanging="360"/>
      </w:pPr>
      <w:rPr>
        <w:rFonts w:ascii="Courier New" w:hAnsi="Courier New" w:cs="Courier New" w:hint="default"/>
      </w:rPr>
    </w:lvl>
    <w:lvl w:ilvl="5" w:tplc="7702ECB8" w:tentative="1">
      <w:start w:val="1"/>
      <w:numFmt w:val="bullet"/>
      <w:lvlText w:val=""/>
      <w:lvlJc w:val="left"/>
      <w:pPr>
        <w:ind w:left="4320" w:hanging="360"/>
      </w:pPr>
      <w:rPr>
        <w:rFonts w:ascii="Wingdings" w:hAnsi="Wingdings" w:hint="default"/>
      </w:rPr>
    </w:lvl>
    <w:lvl w:ilvl="6" w:tplc="F7A86DAA" w:tentative="1">
      <w:start w:val="1"/>
      <w:numFmt w:val="bullet"/>
      <w:lvlText w:val=""/>
      <w:lvlJc w:val="left"/>
      <w:pPr>
        <w:ind w:left="5040" w:hanging="360"/>
      </w:pPr>
      <w:rPr>
        <w:rFonts w:ascii="Symbol" w:hAnsi="Symbol" w:hint="default"/>
      </w:rPr>
    </w:lvl>
    <w:lvl w:ilvl="7" w:tplc="85103028" w:tentative="1">
      <w:start w:val="1"/>
      <w:numFmt w:val="bullet"/>
      <w:lvlText w:val="o"/>
      <w:lvlJc w:val="left"/>
      <w:pPr>
        <w:ind w:left="5760" w:hanging="360"/>
      </w:pPr>
      <w:rPr>
        <w:rFonts w:ascii="Courier New" w:hAnsi="Courier New" w:cs="Courier New" w:hint="default"/>
      </w:rPr>
    </w:lvl>
    <w:lvl w:ilvl="8" w:tplc="BDF844BE" w:tentative="1">
      <w:start w:val="1"/>
      <w:numFmt w:val="bullet"/>
      <w:lvlText w:val=""/>
      <w:lvlJc w:val="left"/>
      <w:pPr>
        <w:ind w:left="6480" w:hanging="360"/>
      </w:pPr>
      <w:rPr>
        <w:rFonts w:ascii="Wingdings" w:hAnsi="Wingdings" w:hint="default"/>
      </w:rPr>
    </w:lvl>
  </w:abstractNum>
  <w:abstractNum w:abstractNumId="38" w15:restartNumberingAfterBreak="0">
    <w:nsid w:val="583E7944"/>
    <w:multiLevelType w:val="hybridMultilevel"/>
    <w:tmpl w:val="47A28CF2"/>
    <w:lvl w:ilvl="0" w:tplc="DC740A5E">
      <w:numFmt w:val="bullet"/>
      <w:lvlText w:val="-"/>
      <w:lvlJc w:val="left"/>
      <w:pPr>
        <w:ind w:left="720" w:hanging="360"/>
      </w:pPr>
      <w:rPr>
        <w:rFonts w:ascii="Calibri" w:eastAsia="Times New Roman" w:hAnsi="Calibri" w:cs="Calibri" w:hint="default"/>
      </w:rPr>
    </w:lvl>
    <w:lvl w:ilvl="1" w:tplc="FD0AECD6" w:tentative="1">
      <w:start w:val="1"/>
      <w:numFmt w:val="bullet"/>
      <w:lvlText w:val="o"/>
      <w:lvlJc w:val="left"/>
      <w:pPr>
        <w:ind w:left="1440" w:hanging="360"/>
      </w:pPr>
      <w:rPr>
        <w:rFonts w:ascii="Courier New" w:hAnsi="Courier New" w:cs="Courier New" w:hint="default"/>
      </w:rPr>
    </w:lvl>
    <w:lvl w:ilvl="2" w:tplc="542477EE" w:tentative="1">
      <w:start w:val="1"/>
      <w:numFmt w:val="bullet"/>
      <w:lvlText w:val=""/>
      <w:lvlJc w:val="left"/>
      <w:pPr>
        <w:ind w:left="2160" w:hanging="360"/>
      </w:pPr>
      <w:rPr>
        <w:rFonts w:ascii="Wingdings" w:hAnsi="Wingdings" w:hint="default"/>
      </w:rPr>
    </w:lvl>
    <w:lvl w:ilvl="3" w:tplc="5BC27358" w:tentative="1">
      <w:start w:val="1"/>
      <w:numFmt w:val="bullet"/>
      <w:lvlText w:val=""/>
      <w:lvlJc w:val="left"/>
      <w:pPr>
        <w:ind w:left="2880" w:hanging="360"/>
      </w:pPr>
      <w:rPr>
        <w:rFonts w:ascii="Symbol" w:hAnsi="Symbol" w:hint="default"/>
      </w:rPr>
    </w:lvl>
    <w:lvl w:ilvl="4" w:tplc="5BD8D362" w:tentative="1">
      <w:start w:val="1"/>
      <w:numFmt w:val="bullet"/>
      <w:lvlText w:val="o"/>
      <w:lvlJc w:val="left"/>
      <w:pPr>
        <w:ind w:left="3600" w:hanging="360"/>
      </w:pPr>
      <w:rPr>
        <w:rFonts w:ascii="Courier New" w:hAnsi="Courier New" w:cs="Courier New" w:hint="default"/>
      </w:rPr>
    </w:lvl>
    <w:lvl w:ilvl="5" w:tplc="D0141288" w:tentative="1">
      <w:start w:val="1"/>
      <w:numFmt w:val="bullet"/>
      <w:lvlText w:val=""/>
      <w:lvlJc w:val="left"/>
      <w:pPr>
        <w:ind w:left="4320" w:hanging="360"/>
      </w:pPr>
      <w:rPr>
        <w:rFonts w:ascii="Wingdings" w:hAnsi="Wingdings" w:hint="default"/>
      </w:rPr>
    </w:lvl>
    <w:lvl w:ilvl="6" w:tplc="494676DC" w:tentative="1">
      <w:start w:val="1"/>
      <w:numFmt w:val="bullet"/>
      <w:lvlText w:val=""/>
      <w:lvlJc w:val="left"/>
      <w:pPr>
        <w:ind w:left="5040" w:hanging="360"/>
      </w:pPr>
      <w:rPr>
        <w:rFonts w:ascii="Symbol" w:hAnsi="Symbol" w:hint="default"/>
      </w:rPr>
    </w:lvl>
    <w:lvl w:ilvl="7" w:tplc="6D6AF90C" w:tentative="1">
      <w:start w:val="1"/>
      <w:numFmt w:val="bullet"/>
      <w:lvlText w:val="o"/>
      <w:lvlJc w:val="left"/>
      <w:pPr>
        <w:ind w:left="5760" w:hanging="360"/>
      </w:pPr>
      <w:rPr>
        <w:rFonts w:ascii="Courier New" w:hAnsi="Courier New" w:cs="Courier New" w:hint="default"/>
      </w:rPr>
    </w:lvl>
    <w:lvl w:ilvl="8" w:tplc="072A1642" w:tentative="1">
      <w:start w:val="1"/>
      <w:numFmt w:val="bullet"/>
      <w:lvlText w:val=""/>
      <w:lvlJc w:val="left"/>
      <w:pPr>
        <w:ind w:left="6480" w:hanging="360"/>
      </w:pPr>
      <w:rPr>
        <w:rFonts w:ascii="Wingdings" w:hAnsi="Wingdings" w:hint="default"/>
      </w:rPr>
    </w:lvl>
  </w:abstractNum>
  <w:abstractNum w:abstractNumId="39" w15:restartNumberingAfterBreak="0">
    <w:nsid w:val="5A9A1B39"/>
    <w:multiLevelType w:val="hybridMultilevel"/>
    <w:tmpl w:val="7D9405EE"/>
    <w:lvl w:ilvl="0" w:tplc="6838A53C">
      <w:start w:val="1"/>
      <w:numFmt w:val="upperRoman"/>
      <w:lvlText w:val="%1."/>
      <w:lvlJc w:val="left"/>
      <w:pPr>
        <w:ind w:left="1080" w:hanging="720"/>
      </w:pPr>
      <w:rPr>
        <w:rFonts w:hint="default"/>
      </w:rPr>
    </w:lvl>
    <w:lvl w:ilvl="1" w:tplc="78D8618A" w:tentative="1">
      <w:start w:val="1"/>
      <w:numFmt w:val="lowerLetter"/>
      <w:lvlText w:val="%2."/>
      <w:lvlJc w:val="left"/>
      <w:pPr>
        <w:ind w:left="1440" w:hanging="360"/>
      </w:pPr>
    </w:lvl>
    <w:lvl w:ilvl="2" w:tplc="58FAC096" w:tentative="1">
      <w:start w:val="1"/>
      <w:numFmt w:val="lowerRoman"/>
      <w:lvlText w:val="%3."/>
      <w:lvlJc w:val="right"/>
      <w:pPr>
        <w:ind w:left="2160" w:hanging="180"/>
      </w:pPr>
    </w:lvl>
    <w:lvl w:ilvl="3" w:tplc="B4C8F8BE" w:tentative="1">
      <w:start w:val="1"/>
      <w:numFmt w:val="decimal"/>
      <w:lvlText w:val="%4."/>
      <w:lvlJc w:val="left"/>
      <w:pPr>
        <w:ind w:left="2880" w:hanging="360"/>
      </w:pPr>
    </w:lvl>
    <w:lvl w:ilvl="4" w:tplc="36DC0238" w:tentative="1">
      <w:start w:val="1"/>
      <w:numFmt w:val="lowerLetter"/>
      <w:lvlText w:val="%5."/>
      <w:lvlJc w:val="left"/>
      <w:pPr>
        <w:ind w:left="3600" w:hanging="360"/>
      </w:pPr>
    </w:lvl>
    <w:lvl w:ilvl="5" w:tplc="8138BAA6" w:tentative="1">
      <w:start w:val="1"/>
      <w:numFmt w:val="lowerRoman"/>
      <w:lvlText w:val="%6."/>
      <w:lvlJc w:val="right"/>
      <w:pPr>
        <w:ind w:left="4320" w:hanging="180"/>
      </w:pPr>
    </w:lvl>
    <w:lvl w:ilvl="6" w:tplc="1F1489BA" w:tentative="1">
      <w:start w:val="1"/>
      <w:numFmt w:val="decimal"/>
      <w:lvlText w:val="%7."/>
      <w:lvlJc w:val="left"/>
      <w:pPr>
        <w:ind w:left="5040" w:hanging="360"/>
      </w:pPr>
    </w:lvl>
    <w:lvl w:ilvl="7" w:tplc="2F52D99E" w:tentative="1">
      <w:start w:val="1"/>
      <w:numFmt w:val="lowerLetter"/>
      <w:lvlText w:val="%8."/>
      <w:lvlJc w:val="left"/>
      <w:pPr>
        <w:ind w:left="5760" w:hanging="360"/>
      </w:pPr>
    </w:lvl>
    <w:lvl w:ilvl="8" w:tplc="2106623A" w:tentative="1">
      <w:start w:val="1"/>
      <w:numFmt w:val="lowerRoman"/>
      <w:lvlText w:val="%9."/>
      <w:lvlJc w:val="right"/>
      <w:pPr>
        <w:ind w:left="6480" w:hanging="180"/>
      </w:pPr>
    </w:lvl>
  </w:abstractNum>
  <w:abstractNum w:abstractNumId="40" w15:restartNumberingAfterBreak="0">
    <w:nsid w:val="5B5A5D71"/>
    <w:multiLevelType w:val="hybridMultilevel"/>
    <w:tmpl w:val="FAEA7E6E"/>
    <w:lvl w:ilvl="0" w:tplc="B5224AC4">
      <w:start w:val="1"/>
      <w:numFmt w:val="bullet"/>
      <w:lvlText w:val=""/>
      <w:lvlJc w:val="left"/>
      <w:pPr>
        <w:ind w:left="360" w:hanging="360"/>
      </w:pPr>
      <w:rPr>
        <w:rFonts w:ascii="Symbol" w:hAnsi="Symbol" w:hint="default"/>
      </w:rPr>
    </w:lvl>
    <w:lvl w:ilvl="1" w:tplc="BDEC77BC">
      <w:start w:val="1"/>
      <w:numFmt w:val="lowerLetter"/>
      <w:lvlText w:val="%2."/>
      <w:lvlJc w:val="left"/>
      <w:pPr>
        <w:ind w:left="1080" w:hanging="360"/>
      </w:pPr>
    </w:lvl>
    <w:lvl w:ilvl="2" w:tplc="F4F04D2C" w:tentative="1">
      <w:start w:val="1"/>
      <w:numFmt w:val="lowerRoman"/>
      <w:lvlText w:val="%3."/>
      <w:lvlJc w:val="right"/>
      <w:pPr>
        <w:ind w:left="1800" w:hanging="180"/>
      </w:pPr>
    </w:lvl>
    <w:lvl w:ilvl="3" w:tplc="0DEEDF80" w:tentative="1">
      <w:start w:val="1"/>
      <w:numFmt w:val="decimal"/>
      <w:lvlText w:val="%4."/>
      <w:lvlJc w:val="left"/>
      <w:pPr>
        <w:ind w:left="2520" w:hanging="360"/>
      </w:pPr>
    </w:lvl>
    <w:lvl w:ilvl="4" w:tplc="C4BABF42" w:tentative="1">
      <w:start w:val="1"/>
      <w:numFmt w:val="lowerLetter"/>
      <w:lvlText w:val="%5."/>
      <w:lvlJc w:val="left"/>
      <w:pPr>
        <w:ind w:left="3240" w:hanging="360"/>
      </w:pPr>
    </w:lvl>
    <w:lvl w:ilvl="5" w:tplc="E4EE06BC" w:tentative="1">
      <w:start w:val="1"/>
      <w:numFmt w:val="lowerRoman"/>
      <w:lvlText w:val="%6."/>
      <w:lvlJc w:val="right"/>
      <w:pPr>
        <w:ind w:left="3960" w:hanging="180"/>
      </w:pPr>
    </w:lvl>
    <w:lvl w:ilvl="6" w:tplc="B57E3988" w:tentative="1">
      <w:start w:val="1"/>
      <w:numFmt w:val="decimal"/>
      <w:lvlText w:val="%7."/>
      <w:lvlJc w:val="left"/>
      <w:pPr>
        <w:ind w:left="4680" w:hanging="360"/>
      </w:pPr>
    </w:lvl>
    <w:lvl w:ilvl="7" w:tplc="6C2C3152" w:tentative="1">
      <w:start w:val="1"/>
      <w:numFmt w:val="lowerLetter"/>
      <w:lvlText w:val="%8."/>
      <w:lvlJc w:val="left"/>
      <w:pPr>
        <w:ind w:left="5400" w:hanging="360"/>
      </w:pPr>
    </w:lvl>
    <w:lvl w:ilvl="8" w:tplc="9B3A9824" w:tentative="1">
      <w:start w:val="1"/>
      <w:numFmt w:val="lowerRoman"/>
      <w:lvlText w:val="%9."/>
      <w:lvlJc w:val="right"/>
      <w:pPr>
        <w:ind w:left="6120" w:hanging="180"/>
      </w:pPr>
    </w:lvl>
  </w:abstractNum>
  <w:abstractNum w:abstractNumId="41" w15:restartNumberingAfterBreak="0">
    <w:nsid w:val="5CA04013"/>
    <w:multiLevelType w:val="hybridMultilevel"/>
    <w:tmpl w:val="BA6C631E"/>
    <w:lvl w:ilvl="0" w:tplc="455AF9E2">
      <w:start w:val="1"/>
      <w:numFmt w:val="bullet"/>
      <w:lvlText w:val=""/>
      <w:lvlJc w:val="left"/>
      <w:pPr>
        <w:ind w:left="720" w:hanging="360"/>
      </w:pPr>
      <w:rPr>
        <w:rFonts w:ascii="Symbol" w:hAnsi="Symbol" w:hint="default"/>
      </w:rPr>
    </w:lvl>
    <w:lvl w:ilvl="1" w:tplc="FC62EB00" w:tentative="1">
      <w:start w:val="1"/>
      <w:numFmt w:val="bullet"/>
      <w:lvlText w:val="o"/>
      <w:lvlJc w:val="left"/>
      <w:pPr>
        <w:ind w:left="1440" w:hanging="360"/>
      </w:pPr>
      <w:rPr>
        <w:rFonts w:ascii="Courier New" w:hAnsi="Courier New" w:cs="Courier New" w:hint="default"/>
      </w:rPr>
    </w:lvl>
    <w:lvl w:ilvl="2" w:tplc="F7B6C47C" w:tentative="1">
      <w:start w:val="1"/>
      <w:numFmt w:val="bullet"/>
      <w:lvlText w:val=""/>
      <w:lvlJc w:val="left"/>
      <w:pPr>
        <w:ind w:left="2160" w:hanging="360"/>
      </w:pPr>
      <w:rPr>
        <w:rFonts w:ascii="Wingdings" w:hAnsi="Wingdings" w:hint="default"/>
      </w:rPr>
    </w:lvl>
    <w:lvl w:ilvl="3" w:tplc="7F729726" w:tentative="1">
      <w:start w:val="1"/>
      <w:numFmt w:val="bullet"/>
      <w:lvlText w:val=""/>
      <w:lvlJc w:val="left"/>
      <w:pPr>
        <w:ind w:left="2880" w:hanging="360"/>
      </w:pPr>
      <w:rPr>
        <w:rFonts w:ascii="Symbol" w:hAnsi="Symbol" w:hint="default"/>
      </w:rPr>
    </w:lvl>
    <w:lvl w:ilvl="4" w:tplc="1B68EEE8" w:tentative="1">
      <w:start w:val="1"/>
      <w:numFmt w:val="bullet"/>
      <w:lvlText w:val="o"/>
      <w:lvlJc w:val="left"/>
      <w:pPr>
        <w:ind w:left="3600" w:hanging="360"/>
      </w:pPr>
      <w:rPr>
        <w:rFonts w:ascii="Courier New" w:hAnsi="Courier New" w:cs="Courier New" w:hint="default"/>
      </w:rPr>
    </w:lvl>
    <w:lvl w:ilvl="5" w:tplc="C86C8E0A" w:tentative="1">
      <w:start w:val="1"/>
      <w:numFmt w:val="bullet"/>
      <w:lvlText w:val=""/>
      <w:lvlJc w:val="left"/>
      <w:pPr>
        <w:ind w:left="4320" w:hanging="360"/>
      </w:pPr>
      <w:rPr>
        <w:rFonts w:ascii="Wingdings" w:hAnsi="Wingdings" w:hint="default"/>
      </w:rPr>
    </w:lvl>
    <w:lvl w:ilvl="6" w:tplc="837A66E4" w:tentative="1">
      <w:start w:val="1"/>
      <w:numFmt w:val="bullet"/>
      <w:lvlText w:val=""/>
      <w:lvlJc w:val="left"/>
      <w:pPr>
        <w:ind w:left="5040" w:hanging="360"/>
      </w:pPr>
      <w:rPr>
        <w:rFonts w:ascii="Symbol" w:hAnsi="Symbol" w:hint="default"/>
      </w:rPr>
    </w:lvl>
    <w:lvl w:ilvl="7" w:tplc="C95689BC" w:tentative="1">
      <w:start w:val="1"/>
      <w:numFmt w:val="bullet"/>
      <w:lvlText w:val="o"/>
      <w:lvlJc w:val="left"/>
      <w:pPr>
        <w:ind w:left="5760" w:hanging="360"/>
      </w:pPr>
      <w:rPr>
        <w:rFonts w:ascii="Courier New" w:hAnsi="Courier New" w:cs="Courier New" w:hint="default"/>
      </w:rPr>
    </w:lvl>
    <w:lvl w:ilvl="8" w:tplc="7C1A94EC" w:tentative="1">
      <w:start w:val="1"/>
      <w:numFmt w:val="bullet"/>
      <w:lvlText w:val=""/>
      <w:lvlJc w:val="left"/>
      <w:pPr>
        <w:ind w:left="6480" w:hanging="360"/>
      </w:pPr>
      <w:rPr>
        <w:rFonts w:ascii="Wingdings" w:hAnsi="Wingdings" w:hint="default"/>
      </w:rPr>
    </w:lvl>
  </w:abstractNum>
  <w:abstractNum w:abstractNumId="42" w15:restartNumberingAfterBreak="0">
    <w:nsid w:val="65442A67"/>
    <w:multiLevelType w:val="hybridMultilevel"/>
    <w:tmpl w:val="FBAED522"/>
    <w:lvl w:ilvl="0" w:tplc="E4808126">
      <w:start w:val="1"/>
      <w:numFmt w:val="decimal"/>
      <w:lvlText w:val="%1."/>
      <w:lvlJc w:val="left"/>
      <w:pPr>
        <w:ind w:left="360" w:hanging="360"/>
      </w:pPr>
    </w:lvl>
    <w:lvl w:ilvl="1" w:tplc="16D2E064">
      <w:start w:val="1"/>
      <w:numFmt w:val="bullet"/>
      <w:lvlText w:val=""/>
      <w:lvlJc w:val="left"/>
      <w:pPr>
        <w:ind w:left="1080" w:hanging="360"/>
      </w:pPr>
      <w:rPr>
        <w:rFonts w:ascii="Symbol" w:hAnsi="Symbol" w:hint="default"/>
      </w:rPr>
    </w:lvl>
    <w:lvl w:ilvl="2" w:tplc="FC74A120" w:tentative="1">
      <w:start w:val="1"/>
      <w:numFmt w:val="lowerRoman"/>
      <w:lvlText w:val="%3."/>
      <w:lvlJc w:val="right"/>
      <w:pPr>
        <w:ind w:left="1800" w:hanging="180"/>
      </w:pPr>
    </w:lvl>
    <w:lvl w:ilvl="3" w:tplc="D0EA223A" w:tentative="1">
      <w:start w:val="1"/>
      <w:numFmt w:val="decimal"/>
      <w:lvlText w:val="%4."/>
      <w:lvlJc w:val="left"/>
      <w:pPr>
        <w:ind w:left="2520" w:hanging="360"/>
      </w:pPr>
    </w:lvl>
    <w:lvl w:ilvl="4" w:tplc="50B001A0" w:tentative="1">
      <w:start w:val="1"/>
      <w:numFmt w:val="lowerLetter"/>
      <w:lvlText w:val="%5."/>
      <w:lvlJc w:val="left"/>
      <w:pPr>
        <w:ind w:left="3240" w:hanging="360"/>
      </w:pPr>
    </w:lvl>
    <w:lvl w:ilvl="5" w:tplc="9E8C0A6C" w:tentative="1">
      <w:start w:val="1"/>
      <w:numFmt w:val="lowerRoman"/>
      <w:lvlText w:val="%6."/>
      <w:lvlJc w:val="right"/>
      <w:pPr>
        <w:ind w:left="3960" w:hanging="180"/>
      </w:pPr>
    </w:lvl>
    <w:lvl w:ilvl="6" w:tplc="3FA29BE6" w:tentative="1">
      <w:start w:val="1"/>
      <w:numFmt w:val="decimal"/>
      <w:lvlText w:val="%7."/>
      <w:lvlJc w:val="left"/>
      <w:pPr>
        <w:ind w:left="4680" w:hanging="360"/>
      </w:pPr>
    </w:lvl>
    <w:lvl w:ilvl="7" w:tplc="2BFE3102" w:tentative="1">
      <w:start w:val="1"/>
      <w:numFmt w:val="lowerLetter"/>
      <w:lvlText w:val="%8."/>
      <w:lvlJc w:val="left"/>
      <w:pPr>
        <w:ind w:left="5400" w:hanging="360"/>
      </w:pPr>
    </w:lvl>
    <w:lvl w:ilvl="8" w:tplc="87E4A4C6" w:tentative="1">
      <w:start w:val="1"/>
      <w:numFmt w:val="lowerRoman"/>
      <w:lvlText w:val="%9."/>
      <w:lvlJc w:val="right"/>
      <w:pPr>
        <w:ind w:left="6120" w:hanging="180"/>
      </w:pPr>
    </w:lvl>
  </w:abstractNum>
  <w:abstractNum w:abstractNumId="43" w15:restartNumberingAfterBreak="0">
    <w:nsid w:val="65BC2473"/>
    <w:multiLevelType w:val="hybridMultilevel"/>
    <w:tmpl w:val="043481EA"/>
    <w:lvl w:ilvl="0" w:tplc="8F2E3BCC">
      <w:start w:val="1"/>
      <w:numFmt w:val="bullet"/>
      <w:lvlText w:val=""/>
      <w:lvlJc w:val="left"/>
      <w:pPr>
        <w:ind w:left="311" w:hanging="360"/>
      </w:pPr>
      <w:rPr>
        <w:rFonts w:ascii="Symbol" w:hAnsi="Symbol" w:hint="default"/>
      </w:rPr>
    </w:lvl>
    <w:lvl w:ilvl="1" w:tplc="6DC0EF2E" w:tentative="1">
      <w:start w:val="1"/>
      <w:numFmt w:val="bullet"/>
      <w:lvlText w:val="o"/>
      <w:lvlJc w:val="left"/>
      <w:pPr>
        <w:ind w:left="1031" w:hanging="360"/>
      </w:pPr>
      <w:rPr>
        <w:rFonts w:ascii="Courier New" w:hAnsi="Courier New" w:cs="Courier New" w:hint="default"/>
      </w:rPr>
    </w:lvl>
    <w:lvl w:ilvl="2" w:tplc="3D067514" w:tentative="1">
      <w:start w:val="1"/>
      <w:numFmt w:val="bullet"/>
      <w:lvlText w:val=""/>
      <w:lvlJc w:val="left"/>
      <w:pPr>
        <w:ind w:left="1751" w:hanging="360"/>
      </w:pPr>
      <w:rPr>
        <w:rFonts w:ascii="Wingdings" w:hAnsi="Wingdings" w:hint="default"/>
      </w:rPr>
    </w:lvl>
    <w:lvl w:ilvl="3" w:tplc="069E44C2" w:tentative="1">
      <w:start w:val="1"/>
      <w:numFmt w:val="bullet"/>
      <w:lvlText w:val=""/>
      <w:lvlJc w:val="left"/>
      <w:pPr>
        <w:ind w:left="2471" w:hanging="360"/>
      </w:pPr>
      <w:rPr>
        <w:rFonts w:ascii="Symbol" w:hAnsi="Symbol" w:hint="default"/>
      </w:rPr>
    </w:lvl>
    <w:lvl w:ilvl="4" w:tplc="55A28C4E" w:tentative="1">
      <w:start w:val="1"/>
      <w:numFmt w:val="bullet"/>
      <w:lvlText w:val="o"/>
      <w:lvlJc w:val="left"/>
      <w:pPr>
        <w:ind w:left="3191" w:hanging="360"/>
      </w:pPr>
      <w:rPr>
        <w:rFonts w:ascii="Courier New" w:hAnsi="Courier New" w:cs="Courier New" w:hint="default"/>
      </w:rPr>
    </w:lvl>
    <w:lvl w:ilvl="5" w:tplc="0896B1E0" w:tentative="1">
      <w:start w:val="1"/>
      <w:numFmt w:val="bullet"/>
      <w:lvlText w:val=""/>
      <w:lvlJc w:val="left"/>
      <w:pPr>
        <w:ind w:left="3911" w:hanging="360"/>
      </w:pPr>
      <w:rPr>
        <w:rFonts w:ascii="Wingdings" w:hAnsi="Wingdings" w:hint="default"/>
      </w:rPr>
    </w:lvl>
    <w:lvl w:ilvl="6" w:tplc="677EC034" w:tentative="1">
      <w:start w:val="1"/>
      <w:numFmt w:val="bullet"/>
      <w:lvlText w:val=""/>
      <w:lvlJc w:val="left"/>
      <w:pPr>
        <w:ind w:left="4631" w:hanging="360"/>
      </w:pPr>
      <w:rPr>
        <w:rFonts w:ascii="Symbol" w:hAnsi="Symbol" w:hint="default"/>
      </w:rPr>
    </w:lvl>
    <w:lvl w:ilvl="7" w:tplc="2542AB3A" w:tentative="1">
      <w:start w:val="1"/>
      <w:numFmt w:val="bullet"/>
      <w:lvlText w:val="o"/>
      <w:lvlJc w:val="left"/>
      <w:pPr>
        <w:ind w:left="5351" w:hanging="360"/>
      </w:pPr>
      <w:rPr>
        <w:rFonts w:ascii="Courier New" w:hAnsi="Courier New" w:cs="Courier New" w:hint="default"/>
      </w:rPr>
    </w:lvl>
    <w:lvl w:ilvl="8" w:tplc="3D149A5A" w:tentative="1">
      <w:start w:val="1"/>
      <w:numFmt w:val="bullet"/>
      <w:lvlText w:val=""/>
      <w:lvlJc w:val="left"/>
      <w:pPr>
        <w:ind w:left="6071" w:hanging="360"/>
      </w:pPr>
      <w:rPr>
        <w:rFonts w:ascii="Wingdings" w:hAnsi="Wingdings" w:hint="default"/>
      </w:rPr>
    </w:lvl>
  </w:abstractNum>
  <w:abstractNum w:abstractNumId="44" w15:restartNumberingAfterBreak="0">
    <w:nsid w:val="660A6AD1"/>
    <w:multiLevelType w:val="hybridMultilevel"/>
    <w:tmpl w:val="DD5A6C4C"/>
    <w:lvl w:ilvl="0" w:tplc="663EC13A">
      <w:numFmt w:val="bullet"/>
      <w:lvlText w:val="-"/>
      <w:lvlJc w:val="left"/>
      <w:pPr>
        <w:ind w:left="720" w:hanging="360"/>
      </w:pPr>
      <w:rPr>
        <w:rFonts w:ascii="Calibri" w:eastAsia="Times New Roman" w:hAnsi="Calibri" w:cs="Calibri" w:hint="default"/>
      </w:rPr>
    </w:lvl>
    <w:lvl w:ilvl="1" w:tplc="5EECDA6A" w:tentative="1">
      <w:start w:val="1"/>
      <w:numFmt w:val="bullet"/>
      <w:lvlText w:val="o"/>
      <w:lvlJc w:val="left"/>
      <w:pPr>
        <w:ind w:left="1440" w:hanging="360"/>
      </w:pPr>
      <w:rPr>
        <w:rFonts w:ascii="Courier New" w:hAnsi="Courier New" w:cs="Courier New" w:hint="default"/>
      </w:rPr>
    </w:lvl>
    <w:lvl w:ilvl="2" w:tplc="94E49194" w:tentative="1">
      <w:start w:val="1"/>
      <w:numFmt w:val="bullet"/>
      <w:lvlText w:val=""/>
      <w:lvlJc w:val="left"/>
      <w:pPr>
        <w:ind w:left="2160" w:hanging="360"/>
      </w:pPr>
      <w:rPr>
        <w:rFonts w:ascii="Wingdings" w:hAnsi="Wingdings" w:hint="default"/>
      </w:rPr>
    </w:lvl>
    <w:lvl w:ilvl="3" w:tplc="7CB00382" w:tentative="1">
      <w:start w:val="1"/>
      <w:numFmt w:val="bullet"/>
      <w:lvlText w:val=""/>
      <w:lvlJc w:val="left"/>
      <w:pPr>
        <w:ind w:left="2880" w:hanging="360"/>
      </w:pPr>
      <w:rPr>
        <w:rFonts w:ascii="Symbol" w:hAnsi="Symbol" w:hint="default"/>
      </w:rPr>
    </w:lvl>
    <w:lvl w:ilvl="4" w:tplc="CEC27AAE" w:tentative="1">
      <w:start w:val="1"/>
      <w:numFmt w:val="bullet"/>
      <w:lvlText w:val="o"/>
      <w:lvlJc w:val="left"/>
      <w:pPr>
        <w:ind w:left="3600" w:hanging="360"/>
      </w:pPr>
      <w:rPr>
        <w:rFonts w:ascii="Courier New" w:hAnsi="Courier New" w:cs="Courier New" w:hint="default"/>
      </w:rPr>
    </w:lvl>
    <w:lvl w:ilvl="5" w:tplc="E2069E16" w:tentative="1">
      <w:start w:val="1"/>
      <w:numFmt w:val="bullet"/>
      <w:lvlText w:val=""/>
      <w:lvlJc w:val="left"/>
      <w:pPr>
        <w:ind w:left="4320" w:hanging="360"/>
      </w:pPr>
      <w:rPr>
        <w:rFonts w:ascii="Wingdings" w:hAnsi="Wingdings" w:hint="default"/>
      </w:rPr>
    </w:lvl>
    <w:lvl w:ilvl="6" w:tplc="5E8C7F1C" w:tentative="1">
      <w:start w:val="1"/>
      <w:numFmt w:val="bullet"/>
      <w:lvlText w:val=""/>
      <w:lvlJc w:val="left"/>
      <w:pPr>
        <w:ind w:left="5040" w:hanging="360"/>
      </w:pPr>
      <w:rPr>
        <w:rFonts w:ascii="Symbol" w:hAnsi="Symbol" w:hint="default"/>
      </w:rPr>
    </w:lvl>
    <w:lvl w:ilvl="7" w:tplc="E4ECCDF4" w:tentative="1">
      <w:start w:val="1"/>
      <w:numFmt w:val="bullet"/>
      <w:lvlText w:val="o"/>
      <w:lvlJc w:val="left"/>
      <w:pPr>
        <w:ind w:left="5760" w:hanging="360"/>
      </w:pPr>
      <w:rPr>
        <w:rFonts w:ascii="Courier New" w:hAnsi="Courier New" w:cs="Courier New" w:hint="default"/>
      </w:rPr>
    </w:lvl>
    <w:lvl w:ilvl="8" w:tplc="A11E96B0" w:tentative="1">
      <w:start w:val="1"/>
      <w:numFmt w:val="bullet"/>
      <w:lvlText w:val=""/>
      <w:lvlJc w:val="left"/>
      <w:pPr>
        <w:ind w:left="6480" w:hanging="360"/>
      </w:pPr>
      <w:rPr>
        <w:rFonts w:ascii="Wingdings" w:hAnsi="Wingdings" w:hint="default"/>
      </w:rPr>
    </w:lvl>
  </w:abstractNum>
  <w:abstractNum w:abstractNumId="45" w15:restartNumberingAfterBreak="0">
    <w:nsid w:val="665A5A64"/>
    <w:multiLevelType w:val="hybridMultilevel"/>
    <w:tmpl w:val="06DA5174"/>
    <w:lvl w:ilvl="0" w:tplc="06C61792">
      <w:start w:val="1"/>
      <w:numFmt w:val="decimal"/>
      <w:lvlText w:val="%1."/>
      <w:lvlJc w:val="left"/>
      <w:pPr>
        <w:ind w:left="720" w:hanging="360"/>
      </w:pPr>
      <w:rPr>
        <w:rFonts w:hint="default"/>
      </w:rPr>
    </w:lvl>
    <w:lvl w:ilvl="1" w:tplc="828833FA" w:tentative="1">
      <w:start w:val="1"/>
      <w:numFmt w:val="lowerLetter"/>
      <w:lvlText w:val="%2."/>
      <w:lvlJc w:val="left"/>
      <w:pPr>
        <w:ind w:left="1440" w:hanging="360"/>
      </w:pPr>
    </w:lvl>
    <w:lvl w:ilvl="2" w:tplc="815E66AC" w:tentative="1">
      <w:start w:val="1"/>
      <w:numFmt w:val="lowerRoman"/>
      <w:lvlText w:val="%3."/>
      <w:lvlJc w:val="right"/>
      <w:pPr>
        <w:ind w:left="2160" w:hanging="180"/>
      </w:pPr>
    </w:lvl>
    <w:lvl w:ilvl="3" w:tplc="52AA9408" w:tentative="1">
      <w:start w:val="1"/>
      <w:numFmt w:val="decimal"/>
      <w:lvlText w:val="%4."/>
      <w:lvlJc w:val="left"/>
      <w:pPr>
        <w:ind w:left="2880" w:hanging="360"/>
      </w:pPr>
    </w:lvl>
    <w:lvl w:ilvl="4" w:tplc="8C3A23F2" w:tentative="1">
      <w:start w:val="1"/>
      <w:numFmt w:val="lowerLetter"/>
      <w:lvlText w:val="%5."/>
      <w:lvlJc w:val="left"/>
      <w:pPr>
        <w:ind w:left="3600" w:hanging="360"/>
      </w:pPr>
    </w:lvl>
    <w:lvl w:ilvl="5" w:tplc="7E1C5C44" w:tentative="1">
      <w:start w:val="1"/>
      <w:numFmt w:val="lowerRoman"/>
      <w:lvlText w:val="%6."/>
      <w:lvlJc w:val="right"/>
      <w:pPr>
        <w:ind w:left="4320" w:hanging="180"/>
      </w:pPr>
    </w:lvl>
    <w:lvl w:ilvl="6" w:tplc="2F5A1054" w:tentative="1">
      <w:start w:val="1"/>
      <w:numFmt w:val="decimal"/>
      <w:lvlText w:val="%7."/>
      <w:lvlJc w:val="left"/>
      <w:pPr>
        <w:ind w:left="5040" w:hanging="360"/>
      </w:pPr>
    </w:lvl>
    <w:lvl w:ilvl="7" w:tplc="B34CFF3E" w:tentative="1">
      <w:start w:val="1"/>
      <w:numFmt w:val="lowerLetter"/>
      <w:lvlText w:val="%8."/>
      <w:lvlJc w:val="left"/>
      <w:pPr>
        <w:ind w:left="5760" w:hanging="360"/>
      </w:pPr>
    </w:lvl>
    <w:lvl w:ilvl="8" w:tplc="7D86FA86" w:tentative="1">
      <w:start w:val="1"/>
      <w:numFmt w:val="lowerRoman"/>
      <w:lvlText w:val="%9."/>
      <w:lvlJc w:val="right"/>
      <w:pPr>
        <w:ind w:left="6480" w:hanging="180"/>
      </w:pPr>
    </w:lvl>
  </w:abstractNum>
  <w:abstractNum w:abstractNumId="46" w15:restartNumberingAfterBreak="0">
    <w:nsid w:val="66B578D2"/>
    <w:multiLevelType w:val="hybridMultilevel"/>
    <w:tmpl w:val="B5EA6AC4"/>
    <w:lvl w:ilvl="0" w:tplc="3502F53E">
      <w:start w:val="1"/>
      <w:numFmt w:val="decimal"/>
      <w:lvlText w:val="%1."/>
      <w:lvlJc w:val="left"/>
      <w:pPr>
        <w:ind w:left="720" w:hanging="360"/>
      </w:pPr>
    </w:lvl>
    <w:lvl w:ilvl="1" w:tplc="D32AA3BA" w:tentative="1">
      <w:start w:val="1"/>
      <w:numFmt w:val="lowerLetter"/>
      <w:lvlText w:val="%2."/>
      <w:lvlJc w:val="left"/>
      <w:pPr>
        <w:ind w:left="1440" w:hanging="360"/>
      </w:pPr>
    </w:lvl>
    <w:lvl w:ilvl="2" w:tplc="995856D2" w:tentative="1">
      <w:start w:val="1"/>
      <w:numFmt w:val="lowerRoman"/>
      <w:lvlText w:val="%3."/>
      <w:lvlJc w:val="right"/>
      <w:pPr>
        <w:ind w:left="2160" w:hanging="180"/>
      </w:pPr>
    </w:lvl>
    <w:lvl w:ilvl="3" w:tplc="26608AFC" w:tentative="1">
      <w:start w:val="1"/>
      <w:numFmt w:val="decimal"/>
      <w:lvlText w:val="%4."/>
      <w:lvlJc w:val="left"/>
      <w:pPr>
        <w:ind w:left="2880" w:hanging="360"/>
      </w:pPr>
    </w:lvl>
    <w:lvl w:ilvl="4" w:tplc="827C6036" w:tentative="1">
      <w:start w:val="1"/>
      <w:numFmt w:val="lowerLetter"/>
      <w:lvlText w:val="%5."/>
      <w:lvlJc w:val="left"/>
      <w:pPr>
        <w:ind w:left="3600" w:hanging="360"/>
      </w:pPr>
    </w:lvl>
    <w:lvl w:ilvl="5" w:tplc="73C23C86" w:tentative="1">
      <w:start w:val="1"/>
      <w:numFmt w:val="lowerRoman"/>
      <w:lvlText w:val="%6."/>
      <w:lvlJc w:val="right"/>
      <w:pPr>
        <w:ind w:left="4320" w:hanging="180"/>
      </w:pPr>
    </w:lvl>
    <w:lvl w:ilvl="6" w:tplc="37AC2EF6" w:tentative="1">
      <w:start w:val="1"/>
      <w:numFmt w:val="decimal"/>
      <w:lvlText w:val="%7."/>
      <w:lvlJc w:val="left"/>
      <w:pPr>
        <w:ind w:left="5040" w:hanging="360"/>
      </w:pPr>
    </w:lvl>
    <w:lvl w:ilvl="7" w:tplc="1A2A0226" w:tentative="1">
      <w:start w:val="1"/>
      <w:numFmt w:val="lowerLetter"/>
      <w:lvlText w:val="%8."/>
      <w:lvlJc w:val="left"/>
      <w:pPr>
        <w:ind w:left="5760" w:hanging="360"/>
      </w:pPr>
    </w:lvl>
    <w:lvl w:ilvl="8" w:tplc="BCB64AB0" w:tentative="1">
      <w:start w:val="1"/>
      <w:numFmt w:val="lowerRoman"/>
      <w:lvlText w:val="%9."/>
      <w:lvlJc w:val="right"/>
      <w:pPr>
        <w:ind w:left="6480" w:hanging="180"/>
      </w:pPr>
    </w:lvl>
  </w:abstractNum>
  <w:abstractNum w:abstractNumId="47" w15:restartNumberingAfterBreak="0">
    <w:nsid w:val="67770E46"/>
    <w:multiLevelType w:val="hybridMultilevel"/>
    <w:tmpl w:val="8B246B32"/>
    <w:lvl w:ilvl="0" w:tplc="C3F6316A">
      <w:start w:val="1"/>
      <w:numFmt w:val="bullet"/>
      <w:lvlText w:val=""/>
      <w:lvlJc w:val="left"/>
      <w:pPr>
        <w:ind w:left="671" w:hanging="360"/>
      </w:pPr>
      <w:rPr>
        <w:rFonts w:ascii="Symbol" w:hAnsi="Symbol" w:hint="default"/>
      </w:rPr>
    </w:lvl>
    <w:lvl w:ilvl="1" w:tplc="4060FA28" w:tentative="1">
      <w:start w:val="1"/>
      <w:numFmt w:val="bullet"/>
      <w:lvlText w:val="o"/>
      <w:lvlJc w:val="left"/>
      <w:pPr>
        <w:ind w:left="1391" w:hanging="360"/>
      </w:pPr>
      <w:rPr>
        <w:rFonts w:ascii="Courier New" w:hAnsi="Courier New" w:cs="Courier New" w:hint="default"/>
      </w:rPr>
    </w:lvl>
    <w:lvl w:ilvl="2" w:tplc="53903AB0" w:tentative="1">
      <w:start w:val="1"/>
      <w:numFmt w:val="bullet"/>
      <w:lvlText w:val=""/>
      <w:lvlJc w:val="left"/>
      <w:pPr>
        <w:ind w:left="2111" w:hanging="360"/>
      </w:pPr>
      <w:rPr>
        <w:rFonts w:ascii="Wingdings" w:hAnsi="Wingdings" w:hint="default"/>
      </w:rPr>
    </w:lvl>
    <w:lvl w:ilvl="3" w:tplc="D53620C2" w:tentative="1">
      <w:start w:val="1"/>
      <w:numFmt w:val="bullet"/>
      <w:lvlText w:val=""/>
      <w:lvlJc w:val="left"/>
      <w:pPr>
        <w:ind w:left="2831" w:hanging="360"/>
      </w:pPr>
      <w:rPr>
        <w:rFonts w:ascii="Symbol" w:hAnsi="Symbol" w:hint="default"/>
      </w:rPr>
    </w:lvl>
    <w:lvl w:ilvl="4" w:tplc="32CE58FA" w:tentative="1">
      <w:start w:val="1"/>
      <w:numFmt w:val="bullet"/>
      <w:lvlText w:val="o"/>
      <w:lvlJc w:val="left"/>
      <w:pPr>
        <w:ind w:left="3551" w:hanging="360"/>
      </w:pPr>
      <w:rPr>
        <w:rFonts w:ascii="Courier New" w:hAnsi="Courier New" w:cs="Courier New" w:hint="default"/>
      </w:rPr>
    </w:lvl>
    <w:lvl w:ilvl="5" w:tplc="DC32F6B8" w:tentative="1">
      <w:start w:val="1"/>
      <w:numFmt w:val="bullet"/>
      <w:lvlText w:val=""/>
      <w:lvlJc w:val="left"/>
      <w:pPr>
        <w:ind w:left="4271" w:hanging="360"/>
      </w:pPr>
      <w:rPr>
        <w:rFonts w:ascii="Wingdings" w:hAnsi="Wingdings" w:hint="default"/>
      </w:rPr>
    </w:lvl>
    <w:lvl w:ilvl="6" w:tplc="90847DEE" w:tentative="1">
      <w:start w:val="1"/>
      <w:numFmt w:val="bullet"/>
      <w:lvlText w:val=""/>
      <w:lvlJc w:val="left"/>
      <w:pPr>
        <w:ind w:left="4991" w:hanging="360"/>
      </w:pPr>
      <w:rPr>
        <w:rFonts w:ascii="Symbol" w:hAnsi="Symbol" w:hint="default"/>
      </w:rPr>
    </w:lvl>
    <w:lvl w:ilvl="7" w:tplc="8F7ADC1C" w:tentative="1">
      <w:start w:val="1"/>
      <w:numFmt w:val="bullet"/>
      <w:lvlText w:val="o"/>
      <w:lvlJc w:val="left"/>
      <w:pPr>
        <w:ind w:left="5711" w:hanging="360"/>
      </w:pPr>
      <w:rPr>
        <w:rFonts w:ascii="Courier New" w:hAnsi="Courier New" w:cs="Courier New" w:hint="default"/>
      </w:rPr>
    </w:lvl>
    <w:lvl w:ilvl="8" w:tplc="ACEEC9FC" w:tentative="1">
      <w:start w:val="1"/>
      <w:numFmt w:val="bullet"/>
      <w:lvlText w:val=""/>
      <w:lvlJc w:val="left"/>
      <w:pPr>
        <w:ind w:left="6431" w:hanging="360"/>
      </w:pPr>
      <w:rPr>
        <w:rFonts w:ascii="Wingdings" w:hAnsi="Wingdings" w:hint="default"/>
      </w:rPr>
    </w:lvl>
  </w:abstractNum>
  <w:abstractNum w:abstractNumId="48" w15:restartNumberingAfterBreak="0">
    <w:nsid w:val="67BF56AB"/>
    <w:multiLevelType w:val="hybridMultilevel"/>
    <w:tmpl w:val="55B21CAC"/>
    <w:lvl w:ilvl="0" w:tplc="19B0F808">
      <w:start w:val="1"/>
      <w:numFmt w:val="decimal"/>
      <w:lvlText w:val="%1."/>
      <w:lvlJc w:val="left"/>
      <w:pPr>
        <w:ind w:left="720" w:hanging="360"/>
      </w:pPr>
    </w:lvl>
    <w:lvl w:ilvl="1" w:tplc="0D748C48" w:tentative="1">
      <w:start w:val="1"/>
      <w:numFmt w:val="lowerLetter"/>
      <w:lvlText w:val="%2."/>
      <w:lvlJc w:val="left"/>
      <w:pPr>
        <w:ind w:left="1440" w:hanging="360"/>
      </w:pPr>
    </w:lvl>
    <w:lvl w:ilvl="2" w:tplc="11623E84" w:tentative="1">
      <w:start w:val="1"/>
      <w:numFmt w:val="lowerRoman"/>
      <w:lvlText w:val="%3."/>
      <w:lvlJc w:val="right"/>
      <w:pPr>
        <w:ind w:left="2160" w:hanging="180"/>
      </w:pPr>
    </w:lvl>
    <w:lvl w:ilvl="3" w:tplc="CF8AA004" w:tentative="1">
      <w:start w:val="1"/>
      <w:numFmt w:val="decimal"/>
      <w:lvlText w:val="%4."/>
      <w:lvlJc w:val="left"/>
      <w:pPr>
        <w:ind w:left="2880" w:hanging="360"/>
      </w:pPr>
    </w:lvl>
    <w:lvl w:ilvl="4" w:tplc="3050C426" w:tentative="1">
      <w:start w:val="1"/>
      <w:numFmt w:val="lowerLetter"/>
      <w:lvlText w:val="%5."/>
      <w:lvlJc w:val="left"/>
      <w:pPr>
        <w:ind w:left="3600" w:hanging="360"/>
      </w:pPr>
    </w:lvl>
    <w:lvl w:ilvl="5" w:tplc="9FE6CFE2" w:tentative="1">
      <w:start w:val="1"/>
      <w:numFmt w:val="lowerRoman"/>
      <w:lvlText w:val="%6."/>
      <w:lvlJc w:val="right"/>
      <w:pPr>
        <w:ind w:left="4320" w:hanging="180"/>
      </w:pPr>
    </w:lvl>
    <w:lvl w:ilvl="6" w:tplc="9FCA885E" w:tentative="1">
      <w:start w:val="1"/>
      <w:numFmt w:val="decimal"/>
      <w:lvlText w:val="%7."/>
      <w:lvlJc w:val="left"/>
      <w:pPr>
        <w:ind w:left="5040" w:hanging="360"/>
      </w:pPr>
    </w:lvl>
    <w:lvl w:ilvl="7" w:tplc="021C3EF0" w:tentative="1">
      <w:start w:val="1"/>
      <w:numFmt w:val="lowerLetter"/>
      <w:lvlText w:val="%8."/>
      <w:lvlJc w:val="left"/>
      <w:pPr>
        <w:ind w:left="5760" w:hanging="360"/>
      </w:pPr>
    </w:lvl>
    <w:lvl w:ilvl="8" w:tplc="DF4CE548" w:tentative="1">
      <w:start w:val="1"/>
      <w:numFmt w:val="lowerRoman"/>
      <w:lvlText w:val="%9."/>
      <w:lvlJc w:val="right"/>
      <w:pPr>
        <w:ind w:left="6480" w:hanging="180"/>
      </w:pPr>
    </w:lvl>
  </w:abstractNum>
  <w:abstractNum w:abstractNumId="49" w15:restartNumberingAfterBreak="0">
    <w:nsid w:val="6AC31916"/>
    <w:multiLevelType w:val="hybridMultilevel"/>
    <w:tmpl w:val="D25A5ED8"/>
    <w:lvl w:ilvl="0" w:tplc="52C4C3B8">
      <w:start w:val="1"/>
      <w:numFmt w:val="decimal"/>
      <w:lvlText w:val="%1."/>
      <w:lvlJc w:val="left"/>
      <w:pPr>
        <w:ind w:left="720" w:hanging="360"/>
      </w:pPr>
      <w:rPr>
        <w:rFonts w:hint="default"/>
      </w:rPr>
    </w:lvl>
    <w:lvl w:ilvl="1" w:tplc="DB8C10D6" w:tentative="1">
      <w:start w:val="1"/>
      <w:numFmt w:val="lowerLetter"/>
      <w:lvlText w:val="%2."/>
      <w:lvlJc w:val="left"/>
      <w:pPr>
        <w:ind w:left="1440" w:hanging="360"/>
      </w:pPr>
    </w:lvl>
    <w:lvl w:ilvl="2" w:tplc="553C399C" w:tentative="1">
      <w:start w:val="1"/>
      <w:numFmt w:val="lowerRoman"/>
      <w:lvlText w:val="%3."/>
      <w:lvlJc w:val="right"/>
      <w:pPr>
        <w:ind w:left="2160" w:hanging="180"/>
      </w:pPr>
    </w:lvl>
    <w:lvl w:ilvl="3" w:tplc="A534408E" w:tentative="1">
      <w:start w:val="1"/>
      <w:numFmt w:val="decimal"/>
      <w:lvlText w:val="%4."/>
      <w:lvlJc w:val="left"/>
      <w:pPr>
        <w:ind w:left="2880" w:hanging="360"/>
      </w:pPr>
    </w:lvl>
    <w:lvl w:ilvl="4" w:tplc="DA9E6088" w:tentative="1">
      <w:start w:val="1"/>
      <w:numFmt w:val="lowerLetter"/>
      <w:lvlText w:val="%5."/>
      <w:lvlJc w:val="left"/>
      <w:pPr>
        <w:ind w:left="3600" w:hanging="360"/>
      </w:pPr>
    </w:lvl>
    <w:lvl w:ilvl="5" w:tplc="DC541956" w:tentative="1">
      <w:start w:val="1"/>
      <w:numFmt w:val="lowerRoman"/>
      <w:lvlText w:val="%6."/>
      <w:lvlJc w:val="right"/>
      <w:pPr>
        <w:ind w:left="4320" w:hanging="180"/>
      </w:pPr>
    </w:lvl>
    <w:lvl w:ilvl="6" w:tplc="7890C20E" w:tentative="1">
      <w:start w:val="1"/>
      <w:numFmt w:val="decimal"/>
      <w:lvlText w:val="%7."/>
      <w:lvlJc w:val="left"/>
      <w:pPr>
        <w:ind w:left="5040" w:hanging="360"/>
      </w:pPr>
    </w:lvl>
    <w:lvl w:ilvl="7" w:tplc="3CB4488E" w:tentative="1">
      <w:start w:val="1"/>
      <w:numFmt w:val="lowerLetter"/>
      <w:lvlText w:val="%8."/>
      <w:lvlJc w:val="left"/>
      <w:pPr>
        <w:ind w:left="5760" w:hanging="360"/>
      </w:pPr>
    </w:lvl>
    <w:lvl w:ilvl="8" w:tplc="F730B71A" w:tentative="1">
      <w:start w:val="1"/>
      <w:numFmt w:val="lowerRoman"/>
      <w:lvlText w:val="%9."/>
      <w:lvlJc w:val="right"/>
      <w:pPr>
        <w:ind w:left="6480" w:hanging="180"/>
      </w:pPr>
    </w:lvl>
  </w:abstractNum>
  <w:abstractNum w:abstractNumId="50" w15:restartNumberingAfterBreak="0">
    <w:nsid w:val="6CB65198"/>
    <w:multiLevelType w:val="hybridMultilevel"/>
    <w:tmpl w:val="BE92809C"/>
    <w:lvl w:ilvl="0" w:tplc="3C62DB86">
      <w:numFmt w:val="bullet"/>
      <w:lvlText w:val="-"/>
      <w:lvlJc w:val="left"/>
      <w:pPr>
        <w:ind w:left="720" w:hanging="360"/>
      </w:pPr>
      <w:rPr>
        <w:rFonts w:ascii="Calibri" w:eastAsia="Times New Roman" w:hAnsi="Calibri" w:cs="Calibri" w:hint="default"/>
      </w:rPr>
    </w:lvl>
    <w:lvl w:ilvl="1" w:tplc="3A2AABA8" w:tentative="1">
      <w:start w:val="1"/>
      <w:numFmt w:val="bullet"/>
      <w:lvlText w:val="o"/>
      <w:lvlJc w:val="left"/>
      <w:pPr>
        <w:ind w:left="1440" w:hanging="360"/>
      </w:pPr>
      <w:rPr>
        <w:rFonts w:ascii="Courier New" w:hAnsi="Courier New" w:cs="Courier New" w:hint="default"/>
      </w:rPr>
    </w:lvl>
    <w:lvl w:ilvl="2" w:tplc="B8C61CDC" w:tentative="1">
      <w:start w:val="1"/>
      <w:numFmt w:val="bullet"/>
      <w:lvlText w:val=""/>
      <w:lvlJc w:val="left"/>
      <w:pPr>
        <w:ind w:left="2160" w:hanging="360"/>
      </w:pPr>
      <w:rPr>
        <w:rFonts w:ascii="Wingdings" w:hAnsi="Wingdings" w:hint="default"/>
      </w:rPr>
    </w:lvl>
    <w:lvl w:ilvl="3" w:tplc="65CA79C4" w:tentative="1">
      <w:start w:val="1"/>
      <w:numFmt w:val="bullet"/>
      <w:lvlText w:val=""/>
      <w:lvlJc w:val="left"/>
      <w:pPr>
        <w:ind w:left="2880" w:hanging="360"/>
      </w:pPr>
      <w:rPr>
        <w:rFonts w:ascii="Symbol" w:hAnsi="Symbol" w:hint="default"/>
      </w:rPr>
    </w:lvl>
    <w:lvl w:ilvl="4" w:tplc="BC325BEC" w:tentative="1">
      <w:start w:val="1"/>
      <w:numFmt w:val="bullet"/>
      <w:lvlText w:val="o"/>
      <w:lvlJc w:val="left"/>
      <w:pPr>
        <w:ind w:left="3600" w:hanging="360"/>
      </w:pPr>
      <w:rPr>
        <w:rFonts w:ascii="Courier New" w:hAnsi="Courier New" w:cs="Courier New" w:hint="default"/>
      </w:rPr>
    </w:lvl>
    <w:lvl w:ilvl="5" w:tplc="006C6F58" w:tentative="1">
      <w:start w:val="1"/>
      <w:numFmt w:val="bullet"/>
      <w:lvlText w:val=""/>
      <w:lvlJc w:val="left"/>
      <w:pPr>
        <w:ind w:left="4320" w:hanging="360"/>
      </w:pPr>
      <w:rPr>
        <w:rFonts w:ascii="Wingdings" w:hAnsi="Wingdings" w:hint="default"/>
      </w:rPr>
    </w:lvl>
    <w:lvl w:ilvl="6" w:tplc="1DEEBD7A" w:tentative="1">
      <w:start w:val="1"/>
      <w:numFmt w:val="bullet"/>
      <w:lvlText w:val=""/>
      <w:lvlJc w:val="left"/>
      <w:pPr>
        <w:ind w:left="5040" w:hanging="360"/>
      </w:pPr>
      <w:rPr>
        <w:rFonts w:ascii="Symbol" w:hAnsi="Symbol" w:hint="default"/>
      </w:rPr>
    </w:lvl>
    <w:lvl w:ilvl="7" w:tplc="9ED86E76" w:tentative="1">
      <w:start w:val="1"/>
      <w:numFmt w:val="bullet"/>
      <w:lvlText w:val="o"/>
      <w:lvlJc w:val="left"/>
      <w:pPr>
        <w:ind w:left="5760" w:hanging="360"/>
      </w:pPr>
      <w:rPr>
        <w:rFonts w:ascii="Courier New" w:hAnsi="Courier New" w:cs="Courier New" w:hint="default"/>
      </w:rPr>
    </w:lvl>
    <w:lvl w:ilvl="8" w:tplc="066CB772" w:tentative="1">
      <w:start w:val="1"/>
      <w:numFmt w:val="bullet"/>
      <w:lvlText w:val=""/>
      <w:lvlJc w:val="left"/>
      <w:pPr>
        <w:ind w:left="6480" w:hanging="360"/>
      </w:pPr>
      <w:rPr>
        <w:rFonts w:ascii="Wingdings" w:hAnsi="Wingdings" w:hint="default"/>
      </w:rPr>
    </w:lvl>
  </w:abstractNum>
  <w:abstractNum w:abstractNumId="51" w15:restartNumberingAfterBreak="0">
    <w:nsid w:val="71033EF1"/>
    <w:multiLevelType w:val="hybridMultilevel"/>
    <w:tmpl w:val="E1287754"/>
    <w:lvl w:ilvl="0" w:tplc="5FD4B246">
      <w:start w:val="1"/>
      <w:numFmt w:val="bullet"/>
      <w:lvlText w:val=""/>
      <w:lvlJc w:val="left"/>
      <w:pPr>
        <w:ind w:left="720" w:hanging="360"/>
      </w:pPr>
      <w:rPr>
        <w:rFonts w:ascii="Symbol" w:hAnsi="Symbol" w:hint="default"/>
      </w:rPr>
    </w:lvl>
    <w:lvl w:ilvl="1" w:tplc="96E07B6A" w:tentative="1">
      <w:start w:val="1"/>
      <w:numFmt w:val="bullet"/>
      <w:lvlText w:val="o"/>
      <w:lvlJc w:val="left"/>
      <w:pPr>
        <w:ind w:left="1440" w:hanging="360"/>
      </w:pPr>
      <w:rPr>
        <w:rFonts w:ascii="Courier New" w:hAnsi="Courier New" w:cs="Courier New" w:hint="default"/>
      </w:rPr>
    </w:lvl>
    <w:lvl w:ilvl="2" w:tplc="0858885E" w:tentative="1">
      <w:start w:val="1"/>
      <w:numFmt w:val="bullet"/>
      <w:lvlText w:val=""/>
      <w:lvlJc w:val="left"/>
      <w:pPr>
        <w:ind w:left="2160" w:hanging="360"/>
      </w:pPr>
      <w:rPr>
        <w:rFonts w:ascii="Wingdings" w:hAnsi="Wingdings" w:hint="default"/>
      </w:rPr>
    </w:lvl>
    <w:lvl w:ilvl="3" w:tplc="EA44E70C" w:tentative="1">
      <w:start w:val="1"/>
      <w:numFmt w:val="bullet"/>
      <w:lvlText w:val=""/>
      <w:lvlJc w:val="left"/>
      <w:pPr>
        <w:ind w:left="2880" w:hanging="360"/>
      </w:pPr>
      <w:rPr>
        <w:rFonts w:ascii="Symbol" w:hAnsi="Symbol" w:hint="default"/>
      </w:rPr>
    </w:lvl>
    <w:lvl w:ilvl="4" w:tplc="3982ACD0" w:tentative="1">
      <w:start w:val="1"/>
      <w:numFmt w:val="bullet"/>
      <w:lvlText w:val="o"/>
      <w:lvlJc w:val="left"/>
      <w:pPr>
        <w:ind w:left="3600" w:hanging="360"/>
      </w:pPr>
      <w:rPr>
        <w:rFonts w:ascii="Courier New" w:hAnsi="Courier New" w:cs="Courier New" w:hint="default"/>
      </w:rPr>
    </w:lvl>
    <w:lvl w:ilvl="5" w:tplc="12884764" w:tentative="1">
      <w:start w:val="1"/>
      <w:numFmt w:val="bullet"/>
      <w:lvlText w:val=""/>
      <w:lvlJc w:val="left"/>
      <w:pPr>
        <w:ind w:left="4320" w:hanging="360"/>
      </w:pPr>
      <w:rPr>
        <w:rFonts w:ascii="Wingdings" w:hAnsi="Wingdings" w:hint="default"/>
      </w:rPr>
    </w:lvl>
    <w:lvl w:ilvl="6" w:tplc="2990FD90" w:tentative="1">
      <w:start w:val="1"/>
      <w:numFmt w:val="bullet"/>
      <w:lvlText w:val=""/>
      <w:lvlJc w:val="left"/>
      <w:pPr>
        <w:ind w:left="5040" w:hanging="360"/>
      </w:pPr>
      <w:rPr>
        <w:rFonts w:ascii="Symbol" w:hAnsi="Symbol" w:hint="default"/>
      </w:rPr>
    </w:lvl>
    <w:lvl w:ilvl="7" w:tplc="06728240" w:tentative="1">
      <w:start w:val="1"/>
      <w:numFmt w:val="bullet"/>
      <w:lvlText w:val="o"/>
      <w:lvlJc w:val="left"/>
      <w:pPr>
        <w:ind w:left="5760" w:hanging="360"/>
      </w:pPr>
      <w:rPr>
        <w:rFonts w:ascii="Courier New" w:hAnsi="Courier New" w:cs="Courier New" w:hint="default"/>
      </w:rPr>
    </w:lvl>
    <w:lvl w:ilvl="8" w:tplc="3A44B688" w:tentative="1">
      <w:start w:val="1"/>
      <w:numFmt w:val="bullet"/>
      <w:lvlText w:val=""/>
      <w:lvlJc w:val="left"/>
      <w:pPr>
        <w:ind w:left="6480" w:hanging="360"/>
      </w:pPr>
      <w:rPr>
        <w:rFonts w:ascii="Wingdings" w:hAnsi="Wingdings" w:hint="default"/>
      </w:rPr>
    </w:lvl>
  </w:abstractNum>
  <w:abstractNum w:abstractNumId="52" w15:restartNumberingAfterBreak="0">
    <w:nsid w:val="722138D9"/>
    <w:multiLevelType w:val="hybridMultilevel"/>
    <w:tmpl w:val="A76EADFA"/>
    <w:lvl w:ilvl="0" w:tplc="E934F598">
      <w:start w:val="1"/>
      <w:numFmt w:val="bullet"/>
      <w:lvlText w:val=""/>
      <w:lvlJc w:val="left"/>
      <w:pPr>
        <w:ind w:left="720" w:hanging="360"/>
      </w:pPr>
      <w:rPr>
        <w:rFonts w:ascii="Symbol" w:hAnsi="Symbol" w:hint="default"/>
      </w:rPr>
    </w:lvl>
    <w:lvl w:ilvl="1" w:tplc="7818937A" w:tentative="1">
      <w:start w:val="1"/>
      <w:numFmt w:val="bullet"/>
      <w:lvlText w:val="o"/>
      <w:lvlJc w:val="left"/>
      <w:pPr>
        <w:ind w:left="1440" w:hanging="360"/>
      </w:pPr>
      <w:rPr>
        <w:rFonts w:ascii="Courier New" w:hAnsi="Courier New" w:cs="Courier New" w:hint="default"/>
      </w:rPr>
    </w:lvl>
    <w:lvl w:ilvl="2" w:tplc="59FED12C" w:tentative="1">
      <w:start w:val="1"/>
      <w:numFmt w:val="bullet"/>
      <w:lvlText w:val=""/>
      <w:lvlJc w:val="left"/>
      <w:pPr>
        <w:ind w:left="2160" w:hanging="360"/>
      </w:pPr>
      <w:rPr>
        <w:rFonts w:ascii="Wingdings" w:hAnsi="Wingdings" w:hint="default"/>
      </w:rPr>
    </w:lvl>
    <w:lvl w:ilvl="3" w:tplc="0416F762" w:tentative="1">
      <w:start w:val="1"/>
      <w:numFmt w:val="bullet"/>
      <w:lvlText w:val=""/>
      <w:lvlJc w:val="left"/>
      <w:pPr>
        <w:ind w:left="2880" w:hanging="360"/>
      </w:pPr>
      <w:rPr>
        <w:rFonts w:ascii="Symbol" w:hAnsi="Symbol" w:hint="default"/>
      </w:rPr>
    </w:lvl>
    <w:lvl w:ilvl="4" w:tplc="279CFE48" w:tentative="1">
      <w:start w:val="1"/>
      <w:numFmt w:val="bullet"/>
      <w:lvlText w:val="o"/>
      <w:lvlJc w:val="left"/>
      <w:pPr>
        <w:ind w:left="3600" w:hanging="360"/>
      </w:pPr>
      <w:rPr>
        <w:rFonts w:ascii="Courier New" w:hAnsi="Courier New" w:cs="Courier New" w:hint="default"/>
      </w:rPr>
    </w:lvl>
    <w:lvl w:ilvl="5" w:tplc="B7C48182" w:tentative="1">
      <w:start w:val="1"/>
      <w:numFmt w:val="bullet"/>
      <w:lvlText w:val=""/>
      <w:lvlJc w:val="left"/>
      <w:pPr>
        <w:ind w:left="4320" w:hanging="360"/>
      </w:pPr>
      <w:rPr>
        <w:rFonts w:ascii="Wingdings" w:hAnsi="Wingdings" w:hint="default"/>
      </w:rPr>
    </w:lvl>
    <w:lvl w:ilvl="6" w:tplc="D79C14E8" w:tentative="1">
      <w:start w:val="1"/>
      <w:numFmt w:val="bullet"/>
      <w:lvlText w:val=""/>
      <w:lvlJc w:val="left"/>
      <w:pPr>
        <w:ind w:left="5040" w:hanging="360"/>
      </w:pPr>
      <w:rPr>
        <w:rFonts w:ascii="Symbol" w:hAnsi="Symbol" w:hint="default"/>
      </w:rPr>
    </w:lvl>
    <w:lvl w:ilvl="7" w:tplc="4B8E02AC" w:tentative="1">
      <w:start w:val="1"/>
      <w:numFmt w:val="bullet"/>
      <w:lvlText w:val="o"/>
      <w:lvlJc w:val="left"/>
      <w:pPr>
        <w:ind w:left="5760" w:hanging="360"/>
      </w:pPr>
      <w:rPr>
        <w:rFonts w:ascii="Courier New" w:hAnsi="Courier New" w:cs="Courier New" w:hint="default"/>
      </w:rPr>
    </w:lvl>
    <w:lvl w:ilvl="8" w:tplc="CA8E5852" w:tentative="1">
      <w:start w:val="1"/>
      <w:numFmt w:val="bullet"/>
      <w:lvlText w:val=""/>
      <w:lvlJc w:val="left"/>
      <w:pPr>
        <w:ind w:left="6480" w:hanging="360"/>
      </w:pPr>
      <w:rPr>
        <w:rFonts w:ascii="Wingdings" w:hAnsi="Wingdings" w:hint="default"/>
      </w:rPr>
    </w:lvl>
  </w:abstractNum>
  <w:abstractNum w:abstractNumId="53" w15:restartNumberingAfterBreak="0">
    <w:nsid w:val="746C2FC5"/>
    <w:multiLevelType w:val="hybridMultilevel"/>
    <w:tmpl w:val="DF06A3A6"/>
    <w:lvl w:ilvl="0" w:tplc="F29CF2C8">
      <w:start w:val="1"/>
      <w:numFmt w:val="upperRoman"/>
      <w:lvlText w:val="%1."/>
      <w:lvlJc w:val="left"/>
      <w:pPr>
        <w:ind w:left="1080" w:hanging="720"/>
      </w:pPr>
      <w:rPr>
        <w:rFonts w:hint="default"/>
      </w:rPr>
    </w:lvl>
    <w:lvl w:ilvl="1" w:tplc="84CA9E1E" w:tentative="1">
      <w:start w:val="1"/>
      <w:numFmt w:val="lowerLetter"/>
      <w:lvlText w:val="%2."/>
      <w:lvlJc w:val="left"/>
      <w:pPr>
        <w:ind w:left="1440" w:hanging="360"/>
      </w:pPr>
    </w:lvl>
    <w:lvl w:ilvl="2" w:tplc="8E223586" w:tentative="1">
      <w:start w:val="1"/>
      <w:numFmt w:val="lowerRoman"/>
      <w:lvlText w:val="%3."/>
      <w:lvlJc w:val="right"/>
      <w:pPr>
        <w:ind w:left="2160" w:hanging="180"/>
      </w:pPr>
    </w:lvl>
    <w:lvl w:ilvl="3" w:tplc="D270C510" w:tentative="1">
      <w:start w:val="1"/>
      <w:numFmt w:val="decimal"/>
      <w:lvlText w:val="%4."/>
      <w:lvlJc w:val="left"/>
      <w:pPr>
        <w:ind w:left="2880" w:hanging="360"/>
      </w:pPr>
    </w:lvl>
    <w:lvl w:ilvl="4" w:tplc="69902FEE" w:tentative="1">
      <w:start w:val="1"/>
      <w:numFmt w:val="lowerLetter"/>
      <w:lvlText w:val="%5."/>
      <w:lvlJc w:val="left"/>
      <w:pPr>
        <w:ind w:left="3600" w:hanging="360"/>
      </w:pPr>
    </w:lvl>
    <w:lvl w:ilvl="5" w:tplc="377271F8" w:tentative="1">
      <w:start w:val="1"/>
      <w:numFmt w:val="lowerRoman"/>
      <w:lvlText w:val="%6."/>
      <w:lvlJc w:val="right"/>
      <w:pPr>
        <w:ind w:left="4320" w:hanging="180"/>
      </w:pPr>
    </w:lvl>
    <w:lvl w:ilvl="6" w:tplc="AD68D93A" w:tentative="1">
      <w:start w:val="1"/>
      <w:numFmt w:val="decimal"/>
      <w:lvlText w:val="%7."/>
      <w:lvlJc w:val="left"/>
      <w:pPr>
        <w:ind w:left="5040" w:hanging="360"/>
      </w:pPr>
    </w:lvl>
    <w:lvl w:ilvl="7" w:tplc="37484234" w:tentative="1">
      <w:start w:val="1"/>
      <w:numFmt w:val="lowerLetter"/>
      <w:lvlText w:val="%8."/>
      <w:lvlJc w:val="left"/>
      <w:pPr>
        <w:ind w:left="5760" w:hanging="360"/>
      </w:pPr>
    </w:lvl>
    <w:lvl w:ilvl="8" w:tplc="2D72DB50" w:tentative="1">
      <w:start w:val="1"/>
      <w:numFmt w:val="lowerRoman"/>
      <w:lvlText w:val="%9."/>
      <w:lvlJc w:val="right"/>
      <w:pPr>
        <w:ind w:left="6480" w:hanging="180"/>
      </w:pPr>
    </w:lvl>
  </w:abstractNum>
  <w:abstractNum w:abstractNumId="54" w15:restartNumberingAfterBreak="0">
    <w:nsid w:val="74D13B77"/>
    <w:multiLevelType w:val="hybridMultilevel"/>
    <w:tmpl w:val="A45E3298"/>
    <w:lvl w:ilvl="0" w:tplc="6E2602F2">
      <w:start w:val="1"/>
      <w:numFmt w:val="decimal"/>
      <w:lvlText w:val="%1."/>
      <w:lvlJc w:val="left"/>
      <w:pPr>
        <w:ind w:left="720" w:hanging="360"/>
      </w:pPr>
      <w:rPr>
        <w:rFonts w:hint="default"/>
      </w:rPr>
    </w:lvl>
    <w:lvl w:ilvl="1" w:tplc="44F4A402" w:tentative="1">
      <w:start w:val="1"/>
      <w:numFmt w:val="lowerLetter"/>
      <w:lvlText w:val="%2."/>
      <w:lvlJc w:val="left"/>
      <w:pPr>
        <w:ind w:left="1440" w:hanging="360"/>
      </w:pPr>
    </w:lvl>
    <w:lvl w:ilvl="2" w:tplc="91B2EAC8" w:tentative="1">
      <w:start w:val="1"/>
      <w:numFmt w:val="lowerRoman"/>
      <w:lvlText w:val="%3."/>
      <w:lvlJc w:val="right"/>
      <w:pPr>
        <w:ind w:left="2160" w:hanging="180"/>
      </w:pPr>
    </w:lvl>
    <w:lvl w:ilvl="3" w:tplc="B8E0F25A" w:tentative="1">
      <w:start w:val="1"/>
      <w:numFmt w:val="decimal"/>
      <w:lvlText w:val="%4."/>
      <w:lvlJc w:val="left"/>
      <w:pPr>
        <w:ind w:left="2880" w:hanging="360"/>
      </w:pPr>
    </w:lvl>
    <w:lvl w:ilvl="4" w:tplc="FB569EDC" w:tentative="1">
      <w:start w:val="1"/>
      <w:numFmt w:val="lowerLetter"/>
      <w:lvlText w:val="%5."/>
      <w:lvlJc w:val="left"/>
      <w:pPr>
        <w:ind w:left="3600" w:hanging="360"/>
      </w:pPr>
    </w:lvl>
    <w:lvl w:ilvl="5" w:tplc="E27C65B8" w:tentative="1">
      <w:start w:val="1"/>
      <w:numFmt w:val="lowerRoman"/>
      <w:lvlText w:val="%6."/>
      <w:lvlJc w:val="right"/>
      <w:pPr>
        <w:ind w:left="4320" w:hanging="180"/>
      </w:pPr>
    </w:lvl>
    <w:lvl w:ilvl="6" w:tplc="A41A2926" w:tentative="1">
      <w:start w:val="1"/>
      <w:numFmt w:val="decimal"/>
      <w:lvlText w:val="%7."/>
      <w:lvlJc w:val="left"/>
      <w:pPr>
        <w:ind w:left="5040" w:hanging="360"/>
      </w:pPr>
    </w:lvl>
    <w:lvl w:ilvl="7" w:tplc="12747344" w:tentative="1">
      <w:start w:val="1"/>
      <w:numFmt w:val="lowerLetter"/>
      <w:lvlText w:val="%8."/>
      <w:lvlJc w:val="left"/>
      <w:pPr>
        <w:ind w:left="5760" w:hanging="360"/>
      </w:pPr>
    </w:lvl>
    <w:lvl w:ilvl="8" w:tplc="8C2615D8" w:tentative="1">
      <w:start w:val="1"/>
      <w:numFmt w:val="lowerRoman"/>
      <w:lvlText w:val="%9."/>
      <w:lvlJc w:val="right"/>
      <w:pPr>
        <w:ind w:left="6480" w:hanging="180"/>
      </w:pPr>
    </w:lvl>
  </w:abstractNum>
  <w:abstractNum w:abstractNumId="55" w15:restartNumberingAfterBreak="0">
    <w:nsid w:val="764E5967"/>
    <w:multiLevelType w:val="hybridMultilevel"/>
    <w:tmpl w:val="CE2AD6DE"/>
    <w:lvl w:ilvl="0" w:tplc="4484DC62">
      <w:numFmt w:val="bullet"/>
      <w:lvlText w:val="-"/>
      <w:lvlJc w:val="left"/>
      <w:pPr>
        <w:ind w:left="420" w:hanging="360"/>
      </w:pPr>
      <w:rPr>
        <w:rFonts w:ascii="Calibri" w:eastAsia="Times New Roman" w:hAnsi="Calibri" w:cs="Calibri" w:hint="default"/>
      </w:rPr>
    </w:lvl>
    <w:lvl w:ilvl="1" w:tplc="39ACF15C" w:tentative="1">
      <w:start w:val="1"/>
      <w:numFmt w:val="bullet"/>
      <w:lvlText w:val="o"/>
      <w:lvlJc w:val="left"/>
      <w:pPr>
        <w:ind w:left="1140" w:hanging="360"/>
      </w:pPr>
      <w:rPr>
        <w:rFonts w:ascii="Courier New" w:hAnsi="Courier New" w:cs="Courier New" w:hint="default"/>
      </w:rPr>
    </w:lvl>
    <w:lvl w:ilvl="2" w:tplc="ED08FFF8" w:tentative="1">
      <w:start w:val="1"/>
      <w:numFmt w:val="bullet"/>
      <w:lvlText w:val=""/>
      <w:lvlJc w:val="left"/>
      <w:pPr>
        <w:ind w:left="1860" w:hanging="360"/>
      </w:pPr>
      <w:rPr>
        <w:rFonts w:ascii="Wingdings" w:hAnsi="Wingdings" w:hint="default"/>
      </w:rPr>
    </w:lvl>
    <w:lvl w:ilvl="3" w:tplc="846E17DE" w:tentative="1">
      <w:start w:val="1"/>
      <w:numFmt w:val="bullet"/>
      <w:lvlText w:val=""/>
      <w:lvlJc w:val="left"/>
      <w:pPr>
        <w:ind w:left="2580" w:hanging="360"/>
      </w:pPr>
      <w:rPr>
        <w:rFonts w:ascii="Symbol" w:hAnsi="Symbol" w:hint="default"/>
      </w:rPr>
    </w:lvl>
    <w:lvl w:ilvl="4" w:tplc="E05E365A" w:tentative="1">
      <w:start w:val="1"/>
      <w:numFmt w:val="bullet"/>
      <w:lvlText w:val="o"/>
      <w:lvlJc w:val="left"/>
      <w:pPr>
        <w:ind w:left="3300" w:hanging="360"/>
      </w:pPr>
      <w:rPr>
        <w:rFonts w:ascii="Courier New" w:hAnsi="Courier New" w:cs="Courier New" w:hint="default"/>
      </w:rPr>
    </w:lvl>
    <w:lvl w:ilvl="5" w:tplc="776CF2CC" w:tentative="1">
      <w:start w:val="1"/>
      <w:numFmt w:val="bullet"/>
      <w:lvlText w:val=""/>
      <w:lvlJc w:val="left"/>
      <w:pPr>
        <w:ind w:left="4020" w:hanging="360"/>
      </w:pPr>
      <w:rPr>
        <w:rFonts w:ascii="Wingdings" w:hAnsi="Wingdings" w:hint="default"/>
      </w:rPr>
    </w:lvl>
    <w:lvl w:ilvl="6" w:tplc="33A0EC9E" w:tentative="1">
      <w:start w:val="1"/>
      <w:numFmt w:val="bullet"/>
      <w:lvlText w:val=""/>
      <w:lvlJc w:val="left"/>
      <w:pPr>
        <w:ind w:left="4740" w:hanging="360"/>
      </w:pPr>
      <w:rPr>
        <w:rFonts w:ascii="Symbol" w:hAnsi="Symbol" w:hint="default"/>
      </w:rPr>
    </w:lvl>
    <w:lvl w:ilvl="7" w:tplc="0334380E" w:tentative="1">
      <w:start w:val="1"/>
      <w:numFmt w:val="bullet"/>
      <w:lvlText w:val="o"/>
      <w:lvlJc w:val="left"/>
      <w:pPr>
        <w:ind w:left="5460" w:hanging="360"/>
      </w:pPr>
      <w:rPr>
        <w:rFonts w:ascii="Courier New" w:hAnsi="Courier New" w:cs="Courier New" w:hint="default"/>
      </w:rPr>
    </w:lvl>
    <w:lvl w:ilvl="8" w:tplc="E988B9FA" w:tentative="1">
      <w:start w:val="1"/>
      <w:numFmt w:val="bullet"/>
      <w:lvlText w:val=""/>
      <w:lvlJc w:val="left"/>
      <w:pPr>
        <w:ind w:left="6180" w:hanging="360"/>
      </w:pPr>
      <w:rPr>
        <w:rFonts w:ascii="Wingdings" w:hAnsi="Wingdings" w:hint="default"/>
      </w:rPr>
    </w:lvl>
  </w:abstractNum>
  <w:abstractNum w:abstractNumId="56" w15:restartNumberingAfterBreak="0">
    <w:nsid w:val="77EB502D"/>
    <w:multiLevelType w:val="hybridMultilevel"/>
    <w:tmpl w:val="207481B2"/>
    <w:lvl w:ilvl="0" w:tplc="2FFAD0CC">
      <w:start w:val="1"/>
      <w:numFmt w:val="bullet"/>
      <w:lvlText w:val=""/>
      <w:lvlJc w:val="left"/>
      <w:pPr>
        <w:ind w:left="720" w:hanging="360"/>
      </w:pPr>
      <w:rPr>
        <w:rFonts w:ascii="Symbol" w:hAnsi="Symbol" w:hint="default"/>
      </w:rPr>
    </w:lvl>
    <w:lvl w:ilvl="1" w:tplc="D87E1276" w:tentative="1">
      <w:start w:val="1"/>
      <w:numFmt w:val="bullet"/>
      <w:lvlText w:val="o"/>
      <w:lvlJc w:val="left"/>
      <w:pPr>
        <w:ind w:left="1440" w:hanging="360"/>
      </w:pPr>
      <w:rPr>
        <w:rFonts w:ascii="Courier New" w:hAnsi="Courier New" w:cs="Courier New" w:hint="default"/>
      </w:rPr>
    </w:lvl>
    <w:lvl w:ilvl="2" w:tplc="75444E2C" w:tentative="1">
      <w:start w:val="1"/>
      <w:numFmt w:val="bullet"/>
      <w:lvlText w:val=""/>
      <w:lvlJc w:val="left"/>
      <w:pPr>
        <w:ind w:left="2160" w:hanging="360"/>
      </w:pPr>
      <w:rPr>
        <w:rFonts w:ascii="Wingdings" w:hAnsi="Wingdings" w:hint="default"/>
      </w:rPr>
    </w:lvl>
    <w:lvl w:ilvl="3" w:tplc="7CE82E84" w:tentative="1">
      <w:start w:val="1"/>
      <w:numFmt w:val="bullet"/>
      <w:lvlText w:val=""/>
      <w:lvlJc w:val="left"/>
      <w:pPr>
        <w:ind w:left="2880" w:hanging="360"/>
      </w:pPr>
      <w:rPr>
        <w:rFonts w:ascii="Symbol" w:hAnsi="Symbol" w:hint="default"/>
      </w:rPr>
    </w:lvl>
    <w:lvl w:ilvl="4" w:tplc="E38E6654" w:tentative="1">
      <w:start w:val="1"/>
      <w:numFmt w:val="bullet"/>
      <w:lvlText w:val="o"/>
      <w:lvlJc w:val="left"/>
      <w:pPr>
        <w:ind w:left="3600" w:hanging="360"/>
      </w:pPr>
      <w:rPr>
        <w:rFonts w:ascii="Courier New" w:hAnsi="Courier New" w:cs="Courier New" w:hint="default"/>
      </w:rPr>
    </w:lvl>
    <w:lvl w:ilvl="5" w:tplc="015A3928" w:tentative="1">
      <w:start w:val="1"/>
      <w:numFmt w:val="bullet"/>
      <w:lvlText w:val=""/>
      <w:lvlJc w:val="left"/>
      <w:pPr>
        <w:ind w:left="4320" w:hanging="360"/>
      </w:pPr>
      <w:rPr>
        <w:rFonts w:ascii="Wingdings" w:hAnsi="Wingdings" w:hint="default"/>
      </w:rPr>
    </w:lvl>
    <w:lvl w:ilvl="6" w:tplc="4582FC00" w:tentative="1">
      <w:start w:val="1"/>
      <w:numFmt w:val="bullet"/>
      <w:lvlText w:val=""/>
      <w:lvlJc w:val="left"/>
      <w:pPr>
        <w:ind w:left="5040" w:hanging="360"/>
      </w:pPr>
      <w:rPr>
        <w:rFonts w:ascii="Symbol" w:hAnsi="Symbol" w:hint="default"/>
      </w:rPr>
    </w:lvl>
    <w:lvl w:ilvl="7" w:tplc="2DEC1922" w:tentative="1">
      <w:start w:val="1"/>
      <w:numFmt w:val="bullet"/>
      <w:lvlText w:val="o"/>
      <w:lvlJc w:val="left"/>
      <w:pPr>
        <w:ind w:left="5760" w:hanging="360"/>
      </w:pPr>
      <w:rPr>
        <w:rFonts w:ascii="Courier New" w:hAnsi="Courier New" w:cs="Courier New" w:hint="default"/>
      </w:rPr>
    </w:lvl>
    <w:lvl w:ilvl="8" w:tplc="9A869B2E" w:tentative="1">
      <w:start w:val="1"/>
      <w:numFmt w:val="bullet"/>
      <w:lvlText w:val=""/>
      <w:lvlJc w:val="left"/>
      <w:pPr>
        <w:ind w:left="6480" w:hanging="360"/>
      </w:pPr>
      <w:rPr>
        <w:rFonts w:ascii="Wingdings" w:hAnsi="Wingdings" w:hint="default"/>
      </w:rPr>
    </w:lvl>
  </w:abstractNum>
  <w:abstractNum w:abstractNumId="57" w15:restartNumberingAfterBreak="0">
    <w:nsid w:val="7B4E3570"/>
    <w:multiLevelType w:val="hybridMultilevel"/>
    <w:tmpl w:val="8CDEA19E"/>
    <w:lvl w:ilvl="0" w:tplc="44EA3E50">
      <w:start w:val="1"/>
      <w:numFmt w:val="bullet"/>
      <w:lvlText w:val=""/>
      <w:lvlJc w:val="left"/>
      <w:pPr>
        <w:ind w:left="360" w:hanging="360"/>
      </w:pPr>
      <w:rPr>
        <w:rFonts w:ascii="Symbol" w:hAnsi="Symbol" w:hint="default"/>
      </w:rPr>
    </w:lvl>
    <w:lvl w:ilvl="1" w:tplc="D8D4DDA8" w:tentative="1">
      <w:start w:val="1"/>
      <w:numFmt w:val="bullet"/>
      <w:lvlText w:val="o"/>
      <w:lvlJc w:val="left"/>
      <w:pPr>
        <w:ind w:left="1080" w:hanging="360"/>
      </w:pPr>
      <w:rPr>
        <w:rFonts w:ascii="Courier New" w:hAnsi="Courier New" w:cs="Courier New" w:hint="default"/>
      </w:rPr>
    </w:lvl>
    <w:lvl w:ilvl="2" w:tplc="EFCE3040" w:tentative="1">
      <w:start w:val="1"/>
      <w:numFmt w:val="bullet"/>
      <w:lvlText w:val=""/>
      <w:lvlJc w:val="left"/>
      <w:pPr>
        <w:ind w:left="1800" w:hanging="360"/>
      </w:pPr>
      <w:rPr>
        <w:rFonts w:ascii="Wingdings" w:hAnsi="Wingdings" w:hint="default"/>
      </w:rPr>
    </w:lvl>
    <w:lvl w:ilvl="3" w:tplc="96B896BC" w:tentative="1">
      <w:start w:val="1"/>
      <w:numFmt w:val="bullet"/>
      <w:lvlText w:val=""/>
      <w:lvlJc w:val="left"/>
      <w:pPr>
        <w:ind w:left="2520" w:hanging="360"/>
      </w:pPr>
      <w:rPr>
        <w:rFonts w:ascii="Symbol" w:hAnsi="Symbol" w:hint="default"/>
      </w:rPr>
    </w:lvl>
    <w:lvl w:ilvl="4" w:tplc="2604DD58" w:tentative="1">
      <w:start w:val="1"/>
      <w:numFmt w:val="bullet"/>
      <w:lvlText w:val="o"/>
      <w:lvlJc w:val="left"/>
      <w:pPr>
        <w:ind w:left="3240" w:hanging="360"/>
      </w:pPr>
      <w:rPr>
        <w:rFonts w:ascii="Courier New" w:hAnsi="Courier New" w:cs="Courier New" w:hint="default"/>
      </w:rPr>
    </w:lvl>
    <w:lvl w:ilvl="5" w:tplc="15606E80" w:tentative="1">
      <w:start w:val="1"/>
      <w:numFmt w:val="bullet"/>
      <w:lvlText w:val=""/>
      <w:lvlJc w:val="left"/>
      <w:pPr>
        <w:ind w:left="3960" w:hanging="360"/>
      </w:pPr>
      <w:rPr>
        <w:rFonts w:ascii="Wingdings" w:hAnsi="Wingdings" w:hint="default"/>
      </w:rPr>
    </w:lvl>
    <w:lvl w:ilvl="6" w:tplc="95E4DB1C" w:tentative="1">
      <w:start w:val="1"/>
      <w:numFmt w:val="bullet"/>
      <w:lvlText w:val=""/>
      <w:lvlJc w:val="left"/>
      <w:pPr>
        <w:ind w:left="4680" w:hanging="360"/>
      </w:pPr>
      <w:rPr>
        <w:rFonts w:ascii="Symbol" w:hAnsi="Symbol" w:hint="default"/>
      </w:rPr>
    </w:lvl>
    <w:lvl w:ilvl="7" w:tplc="62EC50B8" w:tentative="1">
      <w:start w:val="1"/>
      <w:numFmt w:val="bullet"/>
      <w:lvlText w:val="o"/>
      <w:lvlJc w:val="left"/>
      <w:pPr>
        <w:ind w:left="5400" w:hanging="360"/>
      </w:pPr>
      <w:rPr>
        <w:rFonts w:ascii="Courier New" w:hAnsi="Courier New" w:cs="Courier New" w:hint="default"/>
      </w:rPr>
    </w:lvl>
    <w:lvl w:ilvl="8" w:tplc="FC8E6904" w:tentative="1">
      <w:start w:val="1"/>
      <w:numFmt w:val="bullet"/>
      <w:lvlText w:val=""/>
      <w:lvlJc w:val="left"/>
      <w:pPr>
        <w:ind w:left="6120" w:hanging="360"/>
      </w:pPr>
      <w:rPr>
        <w:rFonts w:ascii="Wingdings" w:hAnsi="Wingdings" w:hint="default"/>
      </w:rPr>
    </w:lvl>
  </w:abstractNum>
  <w:abstractNum w:abstractNumId="58" w15:restartNumberingAfterBreak="0">
    <w:nsid w:val="7C870986"/>
    <w:multiLevelType w:val="multilevel"/>
    <w:tmpl w:val="11A8A9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DAD2929"/>
    <w:multiLevelType w:val="hybridMultilevel"/>
    <w:tmpl w:val="8C7C0F10"/>
    <w:lvl w:ilvl="0" w:tplc="E1647A4A">
      <w:start w:val="1"/>
      <w:numFmt w:val="bullet"/>
      <w:lvlText w:val=""/>
      <w:lvlJc w:val="left"/>
      <w:pPr>
        <w:ind w:left="720" w:hanging="360"/>
      </w:pPr>
      <w:rPr>
        <w:rFonts w:ascii="Symbol" w:hAnsi="Symbol" w:hint="default"/>
      </w:rPr>
    </w:lvl>
    <w:lvl w:ilvl="1" w:tplc="04DE305A" w:tentative="1">
      <w:start w:val="1"/>
      <w:numFmt w:val="bullet"/>
      <w:lvlText w:val="o"/>
      <w:lvlJc w:val="left"/>
      <w:pPr>
        <w:ind w:left="1440" w:hanging="360"/>
      </w:pPr>
      <w:rPr>
        <w:rFonts w:ascii="Courier New" w:hAnsi="Courier New" w:cs="Courier New" w:hint="default"/>
      </w:rPr>
    </w:lvl>
    <w:lvl w:ilvl="2" w:tplc="6A4EB10C" w:tentative="1">
      <w:start w:val="1"/>
      <w:numFmt w:val="bullet"/>
      <w:lvlText w:val=""/>
      <w:lvlJc w:val="left"/>
      <w:pPr>
        <w:ind w:left="2160" w:hanging="360"/>
      </w:pPr>
      <w:rPr>
        <w:rFonts w:ascii="Wingdings" w:hAnsi="Wingdings" w:hint="default"/>
      </w:rPr>
    </w:lvl>
    <w:lvl w:ilvl="3" w:tplc="B1F81FFC" w:tentative="1">
      <w:start w:val="1"/>
      <w:numFmt w:val="bullet"/>
      <w:lvlText w:val=""/>
      <w:lvlJc w:val="left"/>
      <w:pPr>
        <w:ind w:left="2880" w:hanging="360"/>
      </w:pPr>
      <w:rPr>
        <w:rFonts w:ascii="Symbol" w:hAnsi="Symbol" w:hint="default"/>
      </w:rPr>
    </w:lvl>
    <w:lvl w:ilvl="4" w:tplc="8F8C6CBE" w:tentative="1">
      <w:start w:val="1"/>
      <w:numFmt w:val="bullet"/>
      <w:lvlText w:val="o"/>
      <w:lvlJc w:val="left"/>
      <w:pPr>
        <w:ind w:left="3600" w:hanging="360"/>
      </w:pPr>
      <w:rPr>
        <w:rFonts w:ascii="Courier New" w:hAnsi="Courier New" w:cs="Courier New" w:hint="default"/>
      </w:rPr>
    </w:lvl>
    <w:lvl w:ilvl="5" w:tplc="4FF2779E" w:tentative="1">
      <w:start w:val="1"/>
      <w:numFmt w:val="bullet"/>
      <w:lvlText w:val=""/>
      <w:lvlJc w:val="left"/>
      <w:pPr>
        <w:ind w:left="4320" w:hanging="360"/>
      </w:pPr>
      <w:rPr>
        <w:rFonts w:ascii="Wingdings" w:hAnsi="Wingdings" w:hint="default"/>
      </w:rPr>
    </w:lvl>
    <w:lvl w:ilvl="6" w:tplc="4BC412DA" w:tentative="1">
      <w:start w:val="1"/>
      <w:numFmt w:val="bullet"/>
      <w:lvlText w:val=""/>
      <w:lvlJc w:val="left"/>
      <w:pPr>
        <w:ind w:left="5040" w:hanging="360"/>
      </w:pPr>
      <w:rPr>
        <w:rFonts w:ascii="Symbol" w:hAnsi="Symbol" w:hint="default"/>
      </w:rPr>
    </w:lvl>
    <w:lvl w:ilvl="7" w:tplc="77E029B4" w:tentative="1">
      <w:start w:val="1"/>
      <w:numFmt w:val="bullet"/>
      <w:lvlText w:val="o"/>
      <w:lvlJc w:val="left"/>
      <w:pPr>
        <w:ind w:left="5760" w:hanging="360"/>
      </w:pPr>
      <w:rPr>
        <w:rFonts w:ascii="Courier New" w:hAnsi="Courier New" w:cs="Courier New" w:hint="default"/>
      </w:rPr>
    </w:lvl>
    <w:lvl w:ilvl="8" w:tplc="616E34D8" w:tentative="1">
      <w:start w:val="1"/>
      <w:numFmt w:val="bullet"/>
      <w:lvlText w:val=""/>
      <w:lvlJc w:val="left"/>
      <w:pPr>
        <w:ind w:left="6480" w:hanging="360"/>
      </w:pPr>
      <w:rPr>
        <w:rFonts w:ascii="Wingdings" w:hAnsi="Wingdings" w:hint="default"/>
      </w:rPr>
    </w:lvl>
  </w:abstractNum>
  <w:num w:numId="1">
    <w:abstractNumId w:val="42"/>
  </w:num>
  <w:num w:numId="2">
    <w:abstractNumId w:val="40"/>
  </w:num>
  <w:num w:numId="3">
    <w:abstractNumId w:val="58"/>
  </w:num>
  <w:num w:numId="4">
    <w:abstractNumId w:val="56"/>
  </w:num>
  <w:num w:numId="5">
    <w:abstractNumId w:val="33"/>
  </w:num>
  <w:num w:numId="6">
    <w:abstractNumId w:val="46"/>
  </w:num>
  <w:num w:numId="7">
    <w:abstractNumId w:val="9"/>
  </w:num>
  <w:num w:numId="8">
    <w:abstractNumId w:val="4"/>
  </w:num>
  <w:num w:numId="9">
    <w:abstractNumId w:val="48"/>
  </w:num>
  <w:num w:numId="10">
    <w:abstractNumId w:val="13"/>
  </w:num>
  <w:num w:numId="11">
    <w:abstractNumId w:val="24"/>
  </w:num>
  <w:num w:numId="12">
    <w:abstractNumId w:val="21"/>
  </w:num>
  <w:num w:numId="13">
    <w:abstractNumId w:val="28"/>
  </w:num>
  <w:num w:numId="14">
    <w:abstractNumId w:val="26"/>
  </w:num>
  <w:num w:numId="15">
    <w:abstractNumId w:val="31"/>
  </w:num>
  <w:num w:numId="16">
    <w:abstractNumId w:val="23"/>
  </w:num>
  <w:num w:numId="17">
    <w:abstractNumId w:val="17"/>
  </w:num>
  <w:num w:numId="18">
    <w:abstractNumId w:val="12"/>
  </w:num>
  <w:num w:numId="19">
    <w:abstractNumId w:val="7"/>
  </w:num>
  <w:num w:numId="20">
    <w:abstractNumId w:val="54"/>
  </w:num>
  <w:num w:numId="21">
    <w:abstractNumId w:val="47"/>
  </w:num>
  <w:num w:numId="22">
    <w:abstractNumId w:val="8"/>
  </w:num>
  <w:num w:numId="23">
    <w:abstractNumId w:val="37"/>
  </w:num>
  <w:num w:numId="24">
    <w:abstractNumId w:val="33"/>
  </w:num>
  <w:num w:numId="25">
    <w:abstractNumId w:val="33"/>
    <w:lvlOverride w:ilvl="0">
      <w:startOverride w:val="1"/>
    </w:lvlOverride>
  </w:num>
  <w:num w:numId="26">
    <w:abstractNumId w:val="49"/>
  </w:num>
  <w:num w:numId="27">
    <w:abstractNumId w:val="19"/>
  </w:num>
  <w:num w:numId="28">
    <w:abstractNumId w:val="36"/>
  </w:num>
  <w:num w:numId="29">
    <w:abstractNumId w:val="32"/>
  </w:num>
  <w:num w:numId="30">
    <w:abstractNumId w:val="6"/>
  </w:num>
  <w:num w:numId="31">
    <w:abstractNumId w:val="5"/>
  </w:num>
  <w:num w:numId="32">
    <w:abstractNumId w:val="0"/>
  </w:num>
  <w:num w:numId="33">
    <w:abstractNumId w:val="43"/>
  </w:num>
  <w:num w:numId="34">
    <w:abstractNumId w:val="14"/>
  </w:num>
  <w:num w:numId="35">
    <w:abstractNumId w:val="51"/>
  </w:num>
  <w:num w:numId="36">
    <w:abstractNumId w:val="1"/>
  </w:num>
  <w:num w:numId="37">
    <w:abstractNumId w:val="39"/>
  </w:num>
  <w:num w:numId="38">
    <w:abstractNumId w:val="30"/>
  </w:num>
  <w:num w:numId="39">
    <w:abstractNumId w:val="18"/>
  </w:num>
  <w:num w:numId="40">
    <w:abstractNumId w:val="3"/>
  </w:num>
  <w:num w:numId="41">
    <w:abstractNumId w:val="53"/>
  </w:num>
  <w:num w:numId="42">
    <w:abstractNumId w:val="25"/>
  </w:num>
  <w:num w:numId="43">
    <w:abstractNumId w:val="16"/>
  </w:num>
  <w:num w:numId="44">
    <w:abstractNumId w:val="59"/>
  </w:num>
  <w:num w:numId="45">
    <w:abstractNumId w:val="29"/>
  </w:num>
  <w:num w:numId="46">
    <w:abstractNumId w:val="34"/>
  </w:num>
  <w:num w:numId="47">
    <w:abstractNumId w:val="2"/>
  </w:num>
  <w:num w:numId="48">
    <w:abstractNumId w:val="57"/>
  </w:num>
  <w:num w:numId="49">
    <w:abstractNumId w:val="35"/>
  </w:num>
  <w:num w:numId="50">
    <w:abstractNumId w:val="45"/>
  </w:num>
  <w:num w:numId="51">
    <w:abstractNumId w:val="38"/>
  </w:num>
  <w:num w:numId="52">
    <w:abstractNumId w:val="11"/>
  </w:num>
  <w:num w:numId="53">
    <w:abstractNumId w:val="41"/>
  </w:num>
  <w:num w:numId="54">
    <w:abstractNumId w:val="50"/>
  </w:num>
  <w:num w:numId="55">
    <w:abstractNumId w:val="15"/>
  </w:num>
  <w:num w:numId="56">
    <w:abstractNumId w:val="55"/>
  </w:num>
  <w:num w:numId="57">
    <w:abstractNumId w:val="27"/>
  </w:num>
  <w:num w:numId="58">
    <w:abstractNumId w:val="10"/>
  </w:num>
  <w:num w:numId="59">
    <w:abstractNumId w:val="44"/>
  </w:num>
  <w:num w:numId="60">
    <w:abstractNumId w:val="20"/>
  </w:num>
  <w:num w:numId="61">
    <w:abstractNumId w:val="22"/>
  </w:num>
  <w:num w:numId="62">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hideSpellingErrors/>
  <w:hideGrammaticalErrors/>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263"/>
    <w:rsid w:val="00000192"/>
    <w:rsid w:val="00000484"/>
    <w:rsid w:val="00000932"/>
    <w:rsid w:val="000015A0"/>
    <w:rsid w:val="0000161E"/>
    <w:rsid w:val="000021B2"/>
    <w:rsid w:val="0000290E"/>
    <w:rsid w:val="00002A51"/>
    <w:rsid w:val="00004934"/>
    <w:rsid w:val="00004A85"/>
    <w:rsid w:val="00004DD2"/>
    <w:rsid w:val="00005898"/>
    <w:rsid w:val="00006515"/>
    <w:rsid w:val="00006A7F"/>
    <w:rsid w:val="00007080"/>
    <w:rsid w:val="000075CC"/>
    <w:rsid w:val="000075DC"/>
    <w:rsid w:val="00007694"/>
    <w:rsid w:val="000103D2"/>
    <w:rsid w:val="0001087A"/>
    <w:rsid w:val="00010B18"/>
    <w:rsid w:val="00010C87"/>
    <w:rsid w:val="00012C11"/>
    <w:rsid w:val="00012F52"/>
    <w:rsid w:val="000148FA"/>
    <w:rsid w:val="00014DBE"/>
    <w:rsid w:val="0001660A"/>
    <w:rsid w:val="00016AA8"/>
    <w:rsid w:val="00020301"/>
    <w:rsid w:val="00020A4B"/>
    <w:rsid w:val="00021601"/>
    <w:rsid w:val="00021B61"/>
    <w:rsid w:val="00022765"/>
    <w:rsid w:val="00022AB8"/>
    <w:rsid w:val="00023B19"/>
    <w:rsid w:val="000251F8"/>
    <w:rsid w:val="000255C9"/>
    <w:rsid w:val="00025EE4"/>
    <w:rsid w:val="00026221"/>
    <w:rsid w:val="00026617"/>
    <w:rsid w:val="000269C8"/>
    <w:rsid w:val="00026AF5"/>
    <w:rsid w:val="00026BED"/>
    <w:rsid w:val="000270B7"/>
    <w:rsid w:val="000300D4"/>
    <w:rsid w:val="000301A2"/>
    <w:rsid w:val="00030BA0"/>
    <w:rsid w:val="0003126F"/>
    <w:rsid w:val="000315CA"/>
    <w:rsid w:val="00031B16"/>
    <w:rsid w:val="00031BF5"/>
    <w:rsid w:val="00031D6A"/>
    <w:rsid w:val="00031DEF"/>
    <w:rsid w:val="00032116"/>
    <w:rsid w:val="000327AE"/>
    <w:rsid w:val="00032A2F"/>
    <w:rsid w:val="00033284"/>
    <w:rsid w:val="0003342C"/>
    <w:rsid w:val="00034209"/>
    <w:rsid w:val="00034298"/>
    <w:rsid w:val="000344D7"/>
    <w:rsid w:val="00034A6C"/>
    <w:rsid w:val="00034C59"/>
    <w:rsid w:val="00034E68"/>
    <w:rsid w:val="00035A5E"/>
    <w:rsid w:val="00035EAE"/>
    <w:rsid w:val="00036B44"/>
    <w:rsid w:val="00036BD7"/>
    <w:rsid w:val="00036E98"/>
    <w:rsid w:val="00037555"/>
    <w:rsid w:val="00037A77"/>
    <w:rsid w:val="00037C01"/>
    <w:rsid w:val="0004078C"/>
    <w:rsid w:val="00040808"/>
    <w:rsid w:val="00040FA1"/>
    <w:rsid w:val="00041156"/>
    <w:rsid w:val="00041569"/>
    <w:rsid w:val="00041A69"/>
    <w:rsid w:val="00041C66"/>
    <w:rsid w:val="00042B6C"/>
    <w:rsid w:val="00042E50"/>
    <w:rsid w:val="0004311F"/>
    <w:rsid w:val="000432D6"/>
    <w:rsid w:val="00044858"/>
    <w:rsid w:val="00045215"/>
    <w:rsid w:val="00045F57"/>
    <w:rsid w:val="0004651D"/>
    <w:rsid w:val="00046EFE"/>
    <w:rsid w:val="0004783C"/>
    <w:rsid w:val="0005054A"/>
    <w:rsid w:val="00050723"/>
    <w:rsid w:val="000513C3"/>
    <w:rsid w:val="00051F1E"/>
    <w:rsid w:val="000520E2"/>
    <w:rsid w:val="000535EF"/>
    <w:rsid w:val="0005371B"/>
    <w:rsid w:val="00053C58"/>
    <w:rsid w:val="000540FC"/>
    <w:rsid w:val="00054248"/>
    <w:rsid w:val="00054833"/>
    <w:rsid w:val="00055050"/>
    <w:rsid w:val="0005565A"/>
    <w:rsid w:val="00055935"/>
    <w:rsid w:val="00055D3A"/>
    <w:rsid w:val="00055D97"/>
    <w:rsid w:val="00056D82"/>
    <w:rsid w:val="000570BD"/>
    <w:rsid w:val="00057447"/>
    <w:rsid w:val="00057918"/>
    <w:rsid w:val="000579F3"/>
    <w:rsid w:val="00060429"/>
    <w:rsid w:val="00061C4B"/>
    <w:rsid w:val="00061E32"/>
    <w:rsid w:val="00063131"/>
    <w:rsid w:val="00063156"/>
    <w:rsid w:val="0006322D"/>
    <w:rsid w:val="0006438D"/>
    <w:rsid w:val="00064945"/>
    <w:rsid w:val="00064AC2"/>
    <w:rsid w:val="000658D1"/>
    <w:rsid w:val="00066240"/>
    <w:rsid w:val="000671FF"/>
    <w:rsid w:val="0006759A"/>
    <w:rsid w:val="00067D35"/>
    <w:rsid w:val="00067DDE"/>
    <w:rsid w:val="00070186"/>
    <w:rsid w:val="00070A17"/>
    <w:rsid w:val="00070B8A"/>
    <w:rsid w:val="00071543"/>
    <w:rsid w:val="000715AE"/>
    <w:rsid w:val="00071E24"/>
    <w:rsid w:val="0007227E"/>
    <w:rsid w:val="00072511"/>
    <w:rsid w:val="000729D3"/>
    <w:rsid w:val="00072EB7"/>
    <w:rsid w:val="000730B1"/>
    <w:rsid w:val="000739AF"/>
    <w:rsid w:val="00073DB3"/>
    <w:rsid w:val="00073EEB"/>
    <w:rsid w:val="00073F1E"/>
    <w:rsid w:val="00074D3B"/>
    <w:rsid w:val="00074E8B"/>
    <w:rsid w:val="00075209"/>
    <w:rsid w:val="000752E1"/>
    <w:rsid w:val="00076FE7"/>
    <w:rsid w:val="00077455"/>
    <w:rsid w:val="00077F95"/>
    <w:rsid w:val="000802AE"/>
    <w:rsid w:val="00080386"/>
    <w:rsid w:val="00081E26"/>
    <w:rsid w:val="00082AE1"/>
    <w:rsid w:val="00083C5B"/>
    <w:rsid w:val="00083DBA"/>
    <w:rsid w:val="00085D83"/>
    <w:rsid w:val="00085FE4"/>
    <w:rsid w:val="0008637C"/>
    <w:rsid w:val="00087E13"/>
    <w:rsid w:val="000904EC"/>
    <w:rsid w:val="00090BAF"/>
    <w:rsid w:val="000915EF"/>
    <w:rsid w:val="00091A90"/>
    <w:rsid w:val="00091E9C"/>
    <w:rsid w:val="00092CE3"/>
    <w:rsid w:val="00092E0F"/>
    <w:rsid w:val="0009333A"/>
    <w:rsid w:val="0009336C"/>
    <w:rsid w:val="0009337A"/>
    <w:rsid w:val="00093ACF"/>
    <w:rsid w:val="0009462F"/>
    <w:rsid w:val="00095594"/>
    <w:rsid w:val="0009635D"/>
    <w:rsid w:val="0009641B"/>
    <w:rsid w:val="00097F4E"/>
    <w:rsid w:val="000A02B5"/>
    <w:rsid w:val="000A0884"/>
    <w:rsid w:val="000A0B33"/>
    <w:rsid w:val="000A2103"/>
    <w:rsid w:val="000A21B8"/>
    <w:rsid w:val="000A35D1"/>
    <w:rsid w:val="000A4227"/>
    <w:rsid w:val="000A4471"/>
    <w:rsid w:val="000A4A85"/>
    <w:rsid w:val="000A5351"/>
    <w:rsid w:val="000A56F7"/>
    <w:rsid w:val="000A63ED"/>
    <w:rsid w:val="000A6CAC"/>
    <w:rsid w:val="000B0791"/>
    <w:rsid w:val="000B17E0"/>
    <w:rsid w:val="000B1E7D"/>
    <w:rsid w:val="000B1FD4"/>
    <w:rsid w:val="000B2090"/>
    <w:rsid w:val="000B3F77"/>
    <w:rsid w:val="000B4E5B"/>
    <w:rsid w:val="000B4F18"/>
    <w:rsid w:val="000B5E04"/>
    <w:rsid w:val="000B6A7D"/>
    <w:rsid w:val="000B7723"/>
    <w:rsid w:val="000C0147"/>
    <w:rsid w:val="000C06E0"/>
    <w:rsid w:val="000C07EF"/>
    <w:rsid w:val="000C1079"/>
    <w:rsid w:val="000C112B"/>
    <w:rsid w:val="000C1806"/>
    <w:rsid w:val="000C1BE2"/>
    <w:rsid w:val="000C1F15"/>
    <w:rsid w:val="000C222F"/>
    <w:rsid w:val="000C29B3"/>
    <w:rsid w:val="000C29D2"/>
    <w:rsid w:val="000C2F6B"/>
    <w:rsid w:val="000C31E0"/>
    <w:rsid w:val="000C4083"/>
    <w:rsid w:val="000C418C"/>
    <w:rsid w:val="000C484E"/>
    <w:rsid w:val="000C54B7"/>
    <w:rsid w:val="000C75A9"/>
    <w:rsid w:val="000C7CE0"/>
    <w:rsid w:val="000C7F82"/>
    <w:rsid w:val="000D00BB"/>
    <w:rsid w:val="000D0D6B"/>
    <w:rsid w:val="000D15B9"/>
    <w:rsid w:val="000D17C1"/>
    <w:rsid w:val="000D1D8F"/>
    <w:rsid w:val="000D20AF"/>
    <w:rsid w:val="000D2AC0"/>
    <w:rsid w:val="000D3528"/>
    <w:rsid w:val="000D577A"/>
    <w:rsid w:val="000D5819"/>
    <w:rsid w:val="000D6413"/>
    <w:rsid w:val="000D6A41"/>
    <w:rsid w:val="000D6EB6"/>
    <w:rsid w:val="000D7361"/>
    <w:rsid w:val="000D73E0"/>
    <w:rsid w:val="000D74EC"/>
    <w:rsid w:val="000E02D0"/>
    <w:rsid w:val="000E1282"/>
    <w:rsid w:val="000E1494"/>
    <w:rsid w:val="000E1498"/>
    <w:rsid w:val="000E14CD"/>
    <w:rsid w:val="000E1669"/>
    <w:rsid w:val="000E1F77"/>
    <w:rsid w:val="000E2A5C"/>
    <w:rsid w:val="000E2EBB"/>
    <w:rsid w:val="000E31AC"/>
    <w:rsid w:val="000E3A95"/>
    <w:rsid w:val="000E3BA0"/>
    <w:rsid w:val="000E3EC4"/>
    <w:rsid w:val="000E43EB"/>
    <w:rsid w:val="000E496B"/>
    <w:rsid w:val="000E5A4A"/>
    <w:rsid w:val="000E5BBA"/>
    <w:rsid w:val="000E5C65"/>
    <w:rsid w:val="000E73AE"/>
    <w:rsid w:val="000E76A9"/>
    <w:rsid w:val="000F02E3"/>
    <w:rsid w:val="000F0799"/>
    <w:rsid w:val="000F0D5B"/>
    <w:rsid w:val="000F138C"/>
    <w:rsid w:val="000F1551"/>
    <w:rsid w:val="000F1E6C"/>
    <w:rsid w:val="000F329C"/>
    <w:rsid w:val="000F3517"/>
    <w:rsid w:val="000F3D65"/>
    <w:rsid w:val="000F3E8A"/>
    <w:rsid w:val="000F43A5"/>
    <w:rsid w:val="000F5079"/>
    <w:rsid w:val="000F54EC"/>
    <w:rsid w:val="000F55CD"/>
    <w:rsid w:val="000F5BE8"/>
    <w:rsid w:val="000F6789"/>
    <w:rsid w:val="000F744A"/>
    <w:rsid w:val="000F7B9A"/>
    <w:rsid w:val="001008A6"/>
    <w:rsid w:val="00101030"/>
    <w:rsid w:val="001014A8"/>
    <w:rsid w:val="00101E07"/>
    <w:rsid w:val="00102030"/>
    <w:rsid w:val="00102820"/>
    <w:rsid w:val="00102E06"/>
    <w:rsid w:val="00103410"/>
    <w:rsid w:val="00103774"/>
    <w:rsid w:val="001038D3"/>
    <w:rsid w:val="0010397D"/>
    <w:rsid w:val="001039C6"/>
    <w:rsid w:val="00103B87"/>
    <w:rsid w:val="0010436C"/>
    <w:rsid w:val="001043C9"/>
    <w:rsid w:val="0010480D"/>
    <w:rsid w:val="00104EB1"/>
    <w:rsid w:val="001053B8"/>
    <w:rsid w:val="001067DC"/>
    <w:rsid w:val="00106CA4"/>
    <w:rsid w:val="00106D37"/>
    <w:rsid w:val="00106E63"/>
    <w:rsid w:val="00106F23"/>
    <w:rsid w:val="00107073"/>
    <w:rsid w:val="00107891"/>
    <w:rsid w:val="00110C06"/>
    <w:rsid w:val="00110C30"/>
    <w:rsid w:val="00110F0F"/>
    <w:rsid w:val="00111226"/>
    <w:rsid w:val="0011156B"/>
    <w:rsid w:val="001115B9"/>
    <w:rsid w:val="0011211E"/>
    <w:rsid w:val="00112BBB"/>
    <w:rsid w:val="00112DA8"/>
    <w:rsid w:val="00113D9D"/>
    <w:rsid w:val="00114542"/>
    <w:rsid w:val="00114B2F"/>
    <w:rsid w:val="00114C27"/>
    <w:rsid w:val="0011509C"/>
    <w:rsid w:val="00116086"/>
    <w:rsid w:val="001162DE"/>
    <w:rsid w:val="0011639B"/>
    <w:rsid w:val="0011658E"/>
    <w:rsid w:val="0011666E"/>
    <w:rsid w:val="001170D1"/>
    <w:rsid w:val="0011712B"/>
    <w:rsid w:val="00117453"/>
    <w:rsid w:val="00117543"/>
    <w:rsid w:val="00117CB3"/>
    <w:rsid w:val="00117D5D"/>
    <w:rsid w:val="00120567"/>
    <w:rsid w:val="0012073E"/>
    <w:rsid w:val="00120EAA"/>
    <w:rsid w:val="00121626"/>
    <w:rsid w:val="00121F69"/>
    <w:rsid w:val="00122BA2"/>
    <w:rsid w:val="0012409E"/>
    <w:rsid w:val="001241DA"/>
    <w:rsid w:val="0012492B"/>
    <w:rsid w:val="00125D95"/>
    <w:rsid w:val="00126ABC"/>
    <w:rsid w:val="001273D0"/>
    <w:rsid w:val="0013041E"/>
    <w:rsid w:val="001311BE"/>
    <w:rsid w:val="00131A73"/>
    <w:rsid w:val="00131DD4"/>
    <w:rsid w:val="001325A2"/>
    <w:rsid w:val="00132777"/>
    <w:rsid w:val="00132D38"/>
    <w:rsid w:val="00132EBC"/>
    <w:rsid w:val="0013353D"/>
    <w:rsid w:val="00135624"/>
    <w:rsid w:val="00135676"/>
    <w:rsid w:val="0013651C"/>
    <w:rsid w:val="00137069"/>
    <w:rsid w:val="001377B5"/>
    <w:rsid w:val="00137947"/>
    <w:rsid w:val="0014056F"/>
    <w:rsid w:val="00140AA1"/>
    <w:rsid w:val="00141293"/>
    <w:rsid w:val="00141496"/>
    <w:rsid w:val="00141E9B"/>
    <w:rsid w:val="00141F66"/>
    <w:rsid w:val="00142408"/>
    <w:rsid w:val="001425FD"/>
    <w:rsid w:val="0014270A"/>
    <w:rsid w:val="0014296D"/>
    <w:rsid w:val="001430EC"/>
    <w:rsid w:val="00143408"/>
    <w:rsid w:val="00143AB3"/>
    <w:rsid w:val="00143C0C"/>
    <w:rsid w:val="00144E33"/>
    <w:rsid w:val="00145400"/>
    <w:rsid w:val="0014577C"/>
    <w:rsid w:val="00145C9E"/>
    <w:rsid w:val="00146D43"/>
    <w:rsid w:val="001472DF"/>
    <w:rsid w:val="0014746E"/>
    <w:rsid w:val="00147C12"/>
    <w:rsid w:val="00150034"/>
    <w:rsid w:val="001500E6"/>
    <w:rsid w:val="00150B38"/>
    <w:rsid w:val="00150BE6"/>
    <w:rsid w:val="00150E08"/>
    <w:rsid w:val="00151689"/>
    <w:rsid w:val="0015174F"/>
    <w:rsid w:val="001518C4"/>
    <w:rsid w:val="00151F46"/>
    <w:rsid w:val="00152F09"/>
    <w:rsid w:val="0015305D"/>
    <w:rsid w:val="00153429"/>
    <w:rsid w:val="00153F11"/>
    <w:rsid w:val="001549EA"/>
    <w:rsid w:val="00154BD0"/>
    <w:rsid w:val="00155389"/>
    <w:rsid w:val="001554E2"/>
    <w:rsid w:val="00156830"/>
    <w:rsid w:val="00156C53"/>
    <w:rsid w:val="00157D5D"/>
    <w:rsid w:val="00160281"/>
    <w:rsid w:val="001602EC"/>
    <w:rsid w:val="001607AA"/>
    <w:rsid w:val="00160CDC"/>
    <w:rsid w:val="0016112D"/>
    <w:rsid w:val="0016202F"/>
    <w:rsid w:val="00162B77"/>
    <w:rsid w:val="001634BA"/>
    <w:rsid w:val="0016358E"/>
    <w:rsid w:val="0016385D"/>
    <w:rsid w:val="001638D7"/>
    <w:rsid w:val="001645FE"/>
    <w:rsid w:val="00164CD7"/>
    <w:rsid w:val="00164EA0"/>
    <w:rsid w:val="00166378"/>
    <w:rsid w:val="0016734E"/>
    <w:rsid w:val="0016777E"/>
    <w:rsid w:val="00167F55"/>
    <w:rsid w:val="00170C00"/>
    <w:rsid w:val="0017117A"/>
    <w:rsid w:val="001719E2"/>
    <w:rsid w:val="00171A8D"/>
    <w:rsid w:val="00171D0F"/>
    <w:rsid w:val="00171F47"/>
    <w:rsid w:val="00172113"/>
    <w:rsid w:val="001725BF"/>
    <w:rsid w:val="001741F7"/>
    <w:rsid w:val="00174675"/>
    <w:rsid w:val="00175C68"/>
    <w:rsid w:val="001760DD"/>
    <w:rsid w:val="00176266"/>
    <w:rsid w:val="00176C15"/>
    <w:rsid w:val="00176EF2"/>
    <w:rsid w:val="0017716B"/>
    <w:rsid w:val="00177608"/>
    <w:rsid w:val="001802DB"/>
    <w:rsid w:val="001808CC"/>
    <w:rsid w:val="00180E9D"/>
    <w:rsid w:val="001810F3"/>
    <w:rsid w:val="001813D2"/>
    <w:rsid w:val="00181484"/>
    <w:rsid w:val="0018148A"/>
    <w:rsid w:val="0018166B"/>
    <w:rsid w:val="00182270"/>
    <w:rsid w:val="00182710"/>
    <w:rsid w:val="0018445A"/>
    <w:rsid w:val="00184F99"/>
    <w:rsid w:val="00185B8B"/>
    <w:rsid w:val="00185D85"/>
    <w:rsid w:val="00186046"/>
    <w:rsid w:val="0018649B"/>
    <w:rsid w:val="00186D1F"/>
    <w:rsid w:val="00190614"/>
    <w:rsid w:val="0019081A"/>
    <w:rsid w:val="00190B17"/>
    <w:rsid w:val="001916DD"/>
    <w:rsid w:val="00191820"/>
    <w:rsid w:val="00192409"/>
    <w:rsid w:val="001937A5"/>
    <w:rsid w:val="00193B76"/>
    <w:rsid w:val="00195255"/>
    <w:rsid w:val="0019534F"/>
    <w:rsid w:val="001954AB"/>
    <w:rsid w:val="00195563"/>
    <w:rsid w:val="001955F2"/>
    <w:rsid w:val="001963D0"/>
    <w:rsid w:val="00196CB7"/>
    <w:rsid w:val="00197125"/>
    <w:rsid w:val="0019730C"/>
    <w:rsid w:val="001974EF"/>
    <w:rsid w:val="00197BBE"/>
    <w:rsid w:val="001A04E9"/>
    <w:rsid w:val="001A1844"/>
    <w:rsid w:val="001A3BBE"/>
    <w:rsid w:val="001A44AD"/>
    <w:rsid w:val="001A44E1"/>
    <w:rsid w:val="001A470F"/>
    <w:rsid w:val="001A4F52"/>
    <w:rsid w:val="001A523D"/>
    <w:rsid w:val="001A56EF"/>
    <w:rsid w:val="001A5715"/>
    <w:rsid w:val="001A622F"/>
    <w:rsid w:val="001A659D"/>
    <w:rsid w:val="001A69FF"/>
    <w:rsid w:val="001A6F98"/>
    <w:rsid w:val="001A6FD8"/>
    <w:rsid w:val="001A707E"/>
    <w:rsid w:val="001B0011"/>
    <w:rsid w:val="001B0745"/>
    <w:rsid w:val="001B1184"/>
    <w:rsid w:val="001B1B7C"/>
    <w:rsid w:val="001B1B93"/>
    <w:rsid w:val="001B1CCF"/>
    <w:rsid w:val="001B1D1F"/>
    <w:rsid w:val="001B1DEE"/>
    <w:rsid w:val="001B2E4F"/>
    <w:rsid w:val="001B339C"/>
    <w:rsid w:val="001B4609"/>
    <w:rsid w:val="001B4851"/>
    <w:rsid w:val="001B60C7"/>
    <w:rsid w:val="001B6436"/>
    <w:rsid w:val="001B66D7"/>
    <w:rsid w:val="001B6995"/>
    <w:rsid w:val="001B72F6"/>
    <w:rsid w:val="001C1318"/>
    <w:rsid w:val="001C1ED6"/>
    <w:rsid w:val="001C25B6"/>
    <w:rsid w:val="001C3BA3"/>
    <w:rsid w:val="001C4520"/>
    <w:rsid w:val="001C4A4C"/>
    <w:rsid w:val="001C4F93"/>
    <w:rsid w:val="001C50DD"/>
    <w:rsid w:val="001C6019"/>
    <w:rsid w:val="001C611A"/>
    <w:rsid w:val="001C6636"/>
    <w:rsid w:val="001C7285"/>
    <w:rsid w:val="001C7CA8"/>
    <w:rsid w:val="001C7CFA"/>
    <w:rsid w:val="001D07DB"/>
    <w:rsid w:val="001D096D"/>
    <w:rsid w:val="001D102F"/>
    <w:rsid w:val="001D1480"/>
    <w:rsid w:val="001D1EF1"/>
    <w:rsid w:val="001D3108"/>
    <w:rsid w:val="001D34B4"/>
    <w:rsid w:val="001D380D"/>
    <w:rsid w:val="001D38B1"/>
    <w:rsid w:val="001D3B37"/>
    <w:rsid w:val="001D3E51"/>
    <w:rsid w:val="001D4979"/>
    <w:rsid w:val="001D537C"/>
    <w:rsid w:val="001D5841"/>
    <w:rsid w:val="001D65E2"/>
    <w:rsid w:val="001D72B8"/>
    <w:rsid w:val="001D7F03"/>
    <w:rsid w:val="001E0687"/>
    <w:rsid w:val="001E0975"/>
    <w:rsid w:val="001E09C2"/>
    <w:rsid w:val="001E0DA3"/>
    <w:rsid w:val="001E0FB2"/>
    <w:rsid w:val="001E0FF6"/>
    <w:rsid w:val="001E1574"/>
    <w:rsid w:val="001E1A03"/>
    <w:rsid w:val="001E1AC2"/>
    <w:rsid w:val="001E1C66"/>
    <w:rsid w:val="001E1F9A"/>
    <w:rsid w:val="001E1FC5"/>
    <w:rsid w:val="001E250F"/>
    <w:rsid w:val="001E2774"/>
    <w:rsid w:val="001E28B7"/>
    <w:rsid w:val="001E2BB7"/>
    <w:rsid w:val="001E3C59"/>
    <w:rsid w:val="001E42CE"/>
    <w:rsid w:val="001E4D47"/>
    <w:rsid w:val="001E5C1D"/>
    <w:rsid w:val="001E6B5E"/>
    <w:rsid w:val="001E71C0"/>
    <w:rsid w:val="001E727C"/>
    <w:rsid w:val="001E7763"/>
    <w:rsid w:val="001E7928"/>
    <w:rsid w:val="001E7C12"/>
    <w:rsid w:val="001F0105"/>
    <w:rsid w:val="001F06B7"/>
    <w:rsid w:val="001F06FA"/>
    <w:rsid w:val="001F158F"/>
    <w:rsid w:val="001F2712"/>
    <w:rsid w:val="001F2716"/>
    <w:rsid w:val="001F27F0"/>
    <w:rsid w:val="001F3C35"/>
    <w:rsid w:val="001F4504"/>
    <w:rsid w:val="001F46DC"/>
    <w:rsid w:val="001F48ED"/>
    <w:rsid w:val="001F4A2E"/>
    <w:rsid w:val="001F4DE1"/>
    <w:rsid w:val="001F5B2A"/>
    <w:rsid w:val="001F60A7"/>
    <w:rsid w:val="001F6559"/>
    <w:rsid w:val="001F67AA"/>
    <w:rsid w:val="001F68EA"/>
    <w:rsid w:val="001F7210"/>
    <w:rsid w:val="002003AA"/>
    <w:rsid w:val="0020068C"/>
    <w:rsid w:val="00200F94"/>
    <w:rsid w:val="00200FCF"/>
    <w:rsid w:val="00201B10"/>
    <w:rsid w:val="00201BEB"/>
    <w:rsid w:val="002020FF"/>
    <w:rsid w:val="00202567"/>
    <w:rsid w:val="0020361D"/>
    <w:rsid w:val="00203E04"/>
    <w:rsid w:val="0020405C"/>
    <w:rsid w:val="00204398"/>
    <w:rsid w:val="0020490C"/>
    <w:rsid w:val="00205F7F"/>
    <w:rsid w:val="00206AAE"/>
    <w:rsid w:val="00206B14"/>
    <w:rsid w:val="0020708D"/>
    <w:rsid w:val="0020755C"/>
    <w:rsid w:val="00207919"/>
    <w:rsid w:val="00211AF8"/>
    <w:rsid w:val="00212015"/>
    <w:rsid w:val="002120C0"/>
    <w:rsid w:val="002131B1"/>
    <w:rsid w:val="00214E0B"/>
    <w:rsid w:val="0021516C"/>
    <w:rsid w:val="00216129"/>
    <w:rsid w:val="0021735E"/>
    <w:rsid w:val="002207CE"/>
    <w:rsid w:val="00220A59"/>
    <w:rsid w:val="00220D75"/>
    <w:rsid w:val="0022308C"/>
    <w:rsid w:val="002237B3"/>
    <w:rsid w:val="0022415F"/>
    <w:rsid w:val="00224EFC"/>
    <w:rsid w:val="002250BB"/>
    <w:rsid w:val="00226A4D"/>
    <w:rsid w:val="00226B51"/>
    <w:rsid w:val="00227A01"/>
    <w:rsid w:val="002300DE"/>
    <w:rsid w:val="00230895"/>
    <w:rsid w:val="0023099D"/>
    <w:rsid w:val="00230C0A"/>
    <w:rsid w:val="00230E83"/>
    <w:rsid w:val="00231CC1"/>
    <w:rsid w:val="00232234"/>
    <w:rsid w:val="00234375"/>
    <w:rsid w:val="00234414"/>
    <w:rsid w:val="00234623"/>
    <w:rsid w:val="00234F03"/>
    <w:rsid w:val="0023502E"/>
    <w:rsid w:val="0023533E"/>
    <w:rsid w:val="00237132"/>
    <w:rsid w:val="002377B7"/>
    <w:rsid w:val="00237F8E"/>
    <w:rsid w:val="00240DF8"/>
    <w:rsid w:val="00241100"/>
    <w:rsid w:val="002413F9"/>
    <w:rsid w:val="00242300"/>
    <w:rsid w:val="00243374"/>
    <w:rsid w:val="00243C07"/>
    <w:rsid w:val="00243FE4"/>
    <w:rsid w:val="00244D10"/>
    <w:rsid w:val="002451C5"/>
    <w:rsid w:val="002457BA"/>
    <w:rsid w:val="002457BB"/>
    <w:rsid w:val="00245856"/>
    <w:rsid w:val="0024600F"/>
    <w:rsid w:val="00246608"/>
    <w:rsid w:val="002468DA"/>
    <w:rsid w:val="00250A4D"/>
    <w:rsid w:val="00250B7B"/>
    <w:rsid w:val="00251111"/>
    <w:rsid w:val="00252B71"/>
    <w:rsid w:val="00252CA2"/>
    <w:rsid w:val="00252D6A"/>
    <w:rsid w:val="002533F8"/>
    <w:rsid w:val="002534A7"/>
    <w:rsid w:val="00253560"/>
    <w:rsid w:val="00253FBB"/>
    <w:rsid w:val="00254D43"/>
    <w:rsid w:val="002557FA"/>
    <w:rsid w:val="00255B1D"/>
    <w:rsid w:val="00256743"/>
    <w:rsid w:val="00256905"/>
    <w:rsid w:val="00257015"/>
    <w:rsid w:val="00257CA3"/>
    <w:rsid w:val="00260402"/>
    <w:rsid w:val="00260533"/>
    <w:rsid w:val="00260792"/>
    <w:rsid w:val="00260FE7"/>
    <w:rsid w:val="002616C5"/>
    <w:rsid w:val="00263465"/>
    <w:rsid w:val="002640E9"/>
    <w:rsid w:val="00264143"/>
    <w:rsid w:val="00264646"/>
    <w:rsid w:val="00264ED6"/>
    <w:rsid w:val="0026560A"/>
    <w:rsid w:val="00266941"/>
    <w:rsid w:val="00266D10"/>
    <w:rsid w:val="00267A85"/>
    <w:rsid w:val="00270BD2"/>
    <w:rsid w:val="00273754"/>
    <w:rsid w:val="002749F4"/>
    <w:rsid w:val="00274D36"/>
    <w:rsid w:val="00275B16"/>
    <w:rsid w:val="00275E07"/>
    <w:rsid w:val="00276D65"/>
    <w:rsid w:val="00277148"/>
    <w:rsid w:val="00277615"/>
    <w:rsid w:val="00277FA4"/>
    <w:rsid w:val="00280592"/>
    <w:rsid w:val="002806E6"/>
    <w:rsid w:val="00280782"/>
    <w:rsid w:val="00280863"/>
    <w:rsid w:val="00280CCE"/>
    <w:rsid w:val="002813AE"/>
    <w:rsid w:val="00281579"/>
    <w:rsid w:val="00281DE4"/>
    <w:rsid w:val="0028244A"/>
    <w:rsid w:val="00283146"/>
    <w:rsid w:val="002836FA"/>
    <w:rsid w:val="00284FEC"/>
    <w:rsid w:val="002862DE"/>
    <w:rsid w:val="0028690D"/>
    <w:rsid w:val="00287B4B"/>
    <w:rsid w:val="00287C5A"/>
    <w:rsid w:val="00287E52"/>
    <w:rsid w:val="00290BCD"/>
    <w:rsid w:val="00291757"/>
    <w:rsid w:val="00291C07"/>
    <w:rsid w:val="00292C76"/>
    <w:rsid w:val="002939DB"/>
    <w:rsid w:val="00293B21"/>
    <w:rsid w:val="00293F1E"/>
    <w:rsid w:val="00294412"/>
    <w:rsid w:val="00295CE1"/>
    <w:rsid w:val="00295E72"/>
    <w:rsid w:val="002960EB"/>
    <w:rsid w:val="002970D3"/>
    <w:rsid w:val="00297304"/>
    <w:rsid w:val="002978CB"/>
    <w:rsid w:val="00297A08"/>
    <w:rsid w:val="002A01F8"/>
    <w:rsid w:val="002A07D6"/>
    <w:rsid w:val="002A1785"/>
    <w:rsid w:val="002A233C"/>
    <w:rsid w:val="002A29F6"/>
    <w:rsid w:val="002A2F89"/>
    <w:rsid w:val="002A3161"/>
    <w:rsid w:val="002A318B"/>
    <w:rsid w:val="002A37B6"/>
    <w:rsid w:val="002A40E6"/>
    <w:rsid w:val="002A4E19"/>
    <w:rsid w:val="002A52B4"/>
    <w:rsid w:val="002A53A0"/>
    <w:rsid w:val="002A56CC"/>
    <w:rsid w:val="002A5983"/>
    <w:rsid w:val="002A59A3"/>
    <w:rsid w:val="002A5A47"/>
    <w:rsid w:val="002A5EF4"/>
    <w:rsid w:val="002A64B6"/>
    <w:rsid w:val="002A6714"/>
    <w:rsid w:val="002A68FA"/>
    <w:rsid w:val="002A690A"/>
    <w:rsid w:val="002A6D78"/>
    <w:rsid w:val="002A7AA5"/>
    <w:rsid w:val="002B09FB"/>
    <w:rsid w:val="002B22D9"/>
    <w:rsid w:val="002B2C66"/>
    <w:rsid w:val="002B2EE7"/>
    <w:rsid w:val="002B44FE"/>
    <w:rsid w:val="002B5840"/>
    <w:rsid w:val="002B5BB7"/>
    <w:rsid w:val="002B6449"/>
    <w:rsid w:val="002B7800"/>
    <w:rsid w:val="002B7942"/>
    <w:rsid w:val="002B7A89"/>
    <w:rsid w:val="002C0C75"/>
    <w:rsid w:val="002C0D33"/>
    <w:rsid w:val="002C0DCD"/>
    <w:rsid w:val="002C0EC8"/>
    <w:rsid w:val="002C1D07"/>
    <w:rsid w:val="002C1DB8"/>
    <w:rsid w:val="002C2012"/>
    <w:rsid w:val="002C20E7"/>
    <w:rsid w:val="002C25D9"/>
    <w:rsid w:val="002C292F"/>
    <w:rsid w:val="002C345C"/>
    <w:rsid w:val="002C345D"/>
    <w:rsid w:val="002C454D"/>
    <w:rsid w:val="002C4CE0"/>
    <w:rsid w:val="002C4DBC"/>
    <w:rsid w:val="002C4DDA"/>
    <w:rsid w:val="002C4E63"/>
    <w:rsid w:val="002C5447"/>
    <w:rsid w:val="002C5D69"/>
    <w:rsid w:val="002C5E38"/>
    <w:rsid w:val="002C6790"/>
    <w:rsid w:val="002C6FC2"/>
    <w:rsid w:val="002C70A7"/>
    <w:rsid w:val="002D0587"/>
    <w:rsid w:val="002D0F91"/>
    <w:rsid w:val="002D1457"/>
    <w:rsid w:val="002D19A6"/>
    <w:rsid w:val="002D1B32"/>
    <w:rsid w:val="002D1CA7"/>
    <w:rsid w:val="002D2B88"/>
    <w:rsid w:val="002D2BEF"/>
    <w:rsid w:val="002D2C4F"/>
    <w:rsid w:val="002D3136"/>
    <w:rsid w:val="002D40AC"/>
    <w:rsid w:val="002D41E9"/>
    <w:rsid w:val="002D4371"/>
    <w:rsid w:val="002D51B1"/>
    <w:rsid w:val="002D568D"/>
    <w:rsid w:val="002D578C"/>
    <w:rsid w:val="002D5DA9"/>
    <w:rsid w:val="002D7214"/>
    <w:rsid w:val="002D7D8B"/>
    <w:rsid w:val="002E046A"/>
    <w:rsid w:val="002E0F67"/>
    <w:rsid w:val="002E1D2E"/>
    <w:rsid w:val="002E1FBE"/>
    <w:rsid w:val="002E387B"/>
    <w:rsid w:val="002E3D91"/>
    <w:rsid w:val="002E454D"/>
    <w:rsid w:val="002E47BE"/>
    <w:rsid w:val="002E4D30"/>
    <w:rsid w:val="002E5CE3"/>
    <w:rsid w:val="002E5F80"/>
    <w:rsid w:val="002E6450"/>
    <w:rsid w:val="002E691C"/>
    <w:rsid w:val="002E6A06"/>
    <w:rsid w:val="002E70FD"/>
    <w:rsid w:val="002E720D"/>
    <w:rsid w:val="002E7467"/>
    <w:rsid w:val="002E79B7"/>
    <w:rsid w:val="002E7F3D"/>
    <w:rsid w:val="002F10F8"/>
    <w:rsid w:val="002F23A3"/>
    <w:rsid w:val="002F2D86"/>
    <w:rsid w:val="002F2DE1"/>
    <w:rsid w:val="002F3C93"/>
    <w:rsid w:val="002F3D38"/>
    <w:rsid w:val="002F47B8"/>
    <w:rsid w:val="002F573B"/>
    <w:rsid w:val="002F5905"/>
    <w:rsid w:val="002F696C"/>
    <w:rsid w:val="002F7495"/>
    <w:rsid w:val="002F77C7"/>
    <w:rsid w:val="002F781B"/>
    <w:rsid w:val="002F78FF"/>
    <w:rsid w:val="002F7C55"/>
    <w:rsid w:val="002F7EA5"/>
    <w:rsid w:val="00300066"/>
    <w:rsid w:val="003004E5"/>
    <w:rsid w:val="00301647"/>
    <w:rsid w:val="00302120"/>
    <w:rsid w:val="00302601"/>
    <w:rsid w:val="003028EA"/>
    <w:rsid w:val="00303E5F"/>
    <w:rsid w:val="00304A20"/>
    <w:rsid w:val="0030508B"/>
    <w:rsid w:val="00305622"/>
    <w:rsid w:val="0030627C"/>
    <w:rsid w:val="00306984"/>
    <w:rsid w:val="00306D30"/>
    <w:rsid w:val="003102CC"/>
    <w:rsid w:val="0031051C"/>
    <w:rsid w:val="003109C3"/>
    <w:rsid w:val="00310D05"/>
    <w:rsid w:val="00310EED"/>
    <w:rsid w:val="003110E1"/>
    <w:rsid w:val="003113AE"/>
    <w:rsid w:val="003116BA"/>
    <w:rsid w:val="00311705"/>
    <w:rsid w:val="00311B07"/>
    <w:rsid w:val="00312836"/>
    <w:rsid w:val="00312C9C"/>
    <w:rsid w:val="00313199"/>
    <w:rsid w:val="0031365B"/>
    <w:rsid w:val="003138BB"/>
    <w:rsid w:val="00314B4A"/>
    <w:rsid w:val="00315338"/>
    <w:rsid w:val="003153EB"/>
    <w:rsid w:val="003153F4"/>
    <w:rsid w:val="0031551F"/>
    <w:rsid w:val="00315B41"/>
    <w:rsid w:val="00316808"/>
    <w:rsid w:val="00316C7A"/>
    <w:rsid w:val="003171CC"/>
    <w:rsid w:val="003202FF"/>
    <w:rsid w:val="003206AD"/>
    <w:rsid w:val="003209D3"/>
    <w:rsid w:val="00320B90"/>
    <w:rsid w:val="00320EE0"/>
    <w:rsid w:val="00321846"/>
    <w:rsid w:val="00321C92"/>
    <w:rsid w:val="00321CA1"/>
    <w:rsid w:val="0032299E"/>
    <w:rsid w:val="00322E4C"/>
    <w:rsid w:val="00323160"/>
    <w:rsid w:val="00323B15"/>
    <w:rsid w:val="003241C2"/>
    <w:rsid w:val="0032424B"/>
    <w:rsid w:val="003243F9"/>
    <w:rsid w:val="0032501D"/>
    <w:rsid w:val="0032608B"/>
    <w:rsid w:val="003265B0"/>
    <w:rsid w:val="0033034D"/>
    <w:rsid w:val="00330F14"/>
    <w:rsid w:val="00331680"/>
    <w:rsid w:val="00331690"/>
    <w:rsid w:val="00332004"/>
    <w:rsid w:val="003330D5"/>
    <w:rsid w:val="003336AD"/>
    <w:rsid w:val="00333A8D"/>
    <w:rsid w:val="00333E99"/>
    <w:rsid w:val="00333EC0"/>
    <w:rsid w:val="00334532"/>
    <w:rsid w:val="0033626F"/>
    <w:rsid w:val="00336C3A"/>
    <w:rsid w:val="003378D0"/>
    <w:rsid w:val="00337A41"/>
    <w:rsid w:val="003400FC"/>
    <w:rsid w:val="003402BA"/>
    <w:rsid w:val="00340565"/>
    <w:rsid w:val="003408C1"/>
    <w:rsid w:val="00340EBC"/>
    <w:rsid w:val="00341096"/>
    <w:rsid w:val="003417B6"/>
    <w:rsid w:val="00343320"/>
    <w:rsid w:val="0034335B"/>
    <w:rsid w:val="0034345B"/>
    <w:rsid w:val="00343563"/>
    <w:rsid w:val="0034379D"/>
    <w:rsid w:val="00343CC5"/>
    <w:rsid w:val="0034414D"/>
    <w:rsid w:val="0034422E"/>
    <w:rsid w:val="003447CB"/>
    <w:rsid w:val="0034495D"/>
    <w:rsid w:val="00345BED"/>
    <w:rsid w:val="0034607C"/>
    <w:rsid w:val="0034627D"/>
    <w:rsid w:val="003465DC"/>
    <w:rsid w:val="00346B98"/>
    <w:rsid w:val="00346D15"/>
    <w:rsid w:val="00347F61"/>
    <w:rsid w:val="003507D2"/>
    <w:rsid w:val="003516CE"/>
    <w:rsid w:val="00352836"/>
    <w:rsid w:val="003528EA"/>
    <w:rsid w:val="00352BBB"/>
    <w:rsid w:val="00353783"/>
    <w:rsid w:val="00354107"/>
    <w:rsid w:val="0035455B"/>
    <w:rsid w:val="0035485C"/>
    <w:rsid w:val="00354DC9"/>
    <w:rsid w:val="00355767"/>
    <w:rsid w:val="00356638"/>
    <w:rsid w:val="003566D7"/>
    <w:rsid w:val="00356EFC"/>
    <w:rsid w:val="00357F49"/>
    <w:rsid w:val="00360120"/>
    <w:rsid w:val="003607FA"/>
    <w:rsid w:val="0036124A"/>
    <w:rsid w:val="00361B3E"/>
    <w:rsid w:val="0036276A"/>
    <w:rsid w:val="00362827"/>
    <w:rsid w:val="00362F1E"/>
    <w:rsid w:val="0036346F"/>
    <w:rsid w:val="00363477"/>
    <w:rsid w:val="00363ECA"/>
    <w:rsid w:val="003645AF"/>
    <w:rsid w:val="00364B62"/>
    <w:rsid w:val="00364D2B"/>
    <w:rsid w:val="00365118"/>
    <w:rsid w:val="00365168"/>
    <w:rsid w:val="0036544B"/>
    <w:rsid w:val="00365A2F"/>
    <w:rsid w:val="00365FFD"/>
    <w:rsid w:val="00366356"/>
    <w:rsid w:val="003669EF"/>
    <w:rsid w:val="00366CE9"/>
    <w:rsid w:val="00367C6D"/>
    <w:rsid w:val="00371A96"/>
    <w:rsid w:val="003723DB"/>
    <w:rsid w:val="003727C9"/>
    <w:rsid w:val="00372978"/>
    <w:rsid w:val="0037342C"/>
    <w:rsid w:val="00373766"/>
    <w:rsid w:val="00373938"/>
    <w:rsid w:val="00373B92"/>
    <w:rsid w:val="00373C24"/>
    <w:rsid w:val="00374690"/>
    <w:rsid w:val="003746B7"/>
    <w:rsid w:val="0037641D"/>
    <w:rsid w:val="00376514"/>
    <w:rsid w:val="003765AD"/>
    <w:rsid w:val="0037666A"/>
    <w:rsid w:val="003767AD"/>
    <w:rsid w:val="00376A1A"/>
    <w:rsid w:val="00376A68"/>
    <w:rsid w:val="00376C33"/>
    <w:rsid w:val="00377099"/>
    <w:rsid w:val="003800A0"/>
    <w:rsid w:val="00381266"/>
    <w:rsid w:val="0038198A"/>
    <w:rsid w:val="00381D1D"/>
    <w:rsid w:val="0038210D"/>
    <w:rsid w:val="00382352"/>
    <w:rsid w:val="0038275B"/>
    <w:rsid w:val="00382BCF"/>
    <w:rsid w:val="0038301D"/>
    <w:rsid w:val="003830FF"/>
    <w:rsid w:val="00383149"/>
    <w:rsid w:val="00383329"/>
    <w:rsid w:val="00383ED6"/>
    <w:rsid w:val="00384127"/>
    <w:rsid w:val="00384E85"/>
    <w:rsid w:val="00385630"/>
    <w:rsid w:val="00385E84"/>
    <w:rsid w:val="003861BA"/>
    <w:rsid w:val="0038662A"/>
    <w:rsid w:val="00386C95"/>
    <w:rsid w:val="00387471"/>
    <w:rsid w:val="003874F0"/>
    <w:rsid w:val="00387A93"/>
    <w:rsid w:val="00391B51"/>
    <w:rsid w:val="00393D50"/>
    <w:rsid w:val="00394932"/>
    <w:rsid w:val="00394AAC"/>
    <w:rsid w:val="003951FC"/>
    <w:rsid w:val="00395A65"/>
    <w:rsid w:val="003978AF"/>
    <w:rsid w:val="003A046A"/>
    <w:rsid w:val="003A1F00"/>
    <w:rsid w:val="003A1F4B"/>
    <w:rsid w:val="003A2709"/>
    <w:rsid w:val="003A2F3E"/>
    <w:rsid w:val="003A3CBD"/>
    <w:rsid w:val="003A462C"/>
    <w:rsid w:val="003A5076"/>
    <w:rsid w:val="003A55A5"/>
    <w:rsid w:val="003A614F"/>
    <w:rsid w:val="003A643A"/>
    <w:rsid w:val="003A7B37"/>
    <w:rsid w:val="003B0380"/>
    <w:rsid w:val="003B0455"/>
    <w:rsid w:val="003B1144"/>
    <w:rsid w:val="003B1C4E"/>
    <w:rsid w:val="003B1D70"/>
    <w:rsid w:val="003B1F1F"/>
    <w:rsid w:val="003B2435"/>
    <w:rsid w:val="003B260A"/>
    <w:rsid w:val="003B338F"/>
    <w:rsid w:val="003B3D6B"/>
    <w:rsid w:val="003B40E2"/>
    <w:rsid w:val="003B5119"/>
    <w:rsid w:val="003B53C5"/>
    <w:rsid w:val="003B5CFC"/>
    <w:rsid w:val="003B62C4"/>
    <w:rsid w:val="003B6B77"/>
    <w:rsid w:val="003C0503"/>
    <w:rsid w:val="003C09DE"/>
    <w:rsid w:val="003C198B"/>
    <w:rsid w:val="003C1D7F"/>
    <w:rsid w:val="003C2281"/>
    <w:rsid w:val="003C25C1"/>
    <w:rsid w:val="003C28D0"/>
    <w:rsid w:val="003C30B1"/>
    <w:rsid w:val="003C3B31"/>
    <w:rsid w:val="003C3CA9"/>
    <w:rsid w:val="003C3EC3"/>
    <w:rsid w:val="003C49FA"/>
    <w:rsid w:val="003C5AC9"/>
    <w:rsid w:val="003C5D83"/>
    <w:rsid w:val="003C6ACC"/>
    <w:rsid w:val="003C7224"/>
    <w:rsid w:val="003C7690"/>
    <w:rsid w:val="003D0B48"/>
    <w:rsid w:val="003D1368"/>
    <w:rsid w:val="003D1C56"/>
    <w:rsid w:val="003D2A24"/>
    <w:rsid w:val="003D382F"/>
    <w:rsid w:val="003D41C0"/>
    <w:rsid w:val="003D5D72"/>
    <w:rsid w:val="003D62A1"/>
    <w:rsid w:val="003D69F1"/>
    <w:rsid w:val="003D748A"/>
    <w:rsid w:val="003D79EB"/>
    <w:rsid w:val="003D7E7D"/>
    <w:rsid w:val="003E0448"/>
    <w:rsid w:val="003E0A7D"/>
    <w:rsid w:val="003E12CD"/>
    <w:rsid w:val="003E15F5"/>
    <w:rsid w:val="003E258B"/>
    <w:rsid w:val="003E2E16"/>
    <w:rsid w:val="003E310B"/>
    <w:rsid w:val="003E41A8"/>
    <w:rsid w:val="003E48E5"/>
    <w:rsid w:val="003E4B5E"/>
    <w:rsid w:val="003E548B"/>
    <w:rsid w:val="003E5C25"/>
    <w:rsid w:val="003E5EB2"/>
    <w:rsid w:val="003E5FA5"/>
    <w:rsid w:val="003E64B4"/>
    <w:rsid w:val="003E6754"/>
    <w:rsid w:val="003E6895"/>
    <w:rsid w:val="003E7871"/>
    <w:rsid w:val="003E7FFE"/>
    <w:rsid w:val="003F0D6A"/>
    <w:rsid w:val="003F2100"/>
    <w:rsid w:val="003F29D3"/>
    <w:rsid w:val="003F2B97"/>
    <w:rsid w:val="003F3299"/>
    <w:rsid w:val="003F3908"/>
    <w:rsid w:val="003F3E99"/>
    <w:rsid w:val="003F4704"/>
    <w:rsid w:val="003F5C4E"/>
    <w:rsid w:val="003F5C5C"/>
    <w:rsid w:val="003F5E0A"/>
    <w:rsid w:val="003F5E5E"/>
    <w:rsid w:val="003F758F"/>
    <w:rsid w:val="003F7ED4"/>
    <w:rsid w:val="00400024"/>
    <w:rsid w:val="004007DC"/>
    <w:rsid w:val="00400EBF"/>
    <w:rsid w:val="00401369"/>
    <w:rsid w:val="00401CFD"/>
    <w:rsid w:val="004024CF"/>
    <w:rsid w:val="0040272C"/>
    <w:rsid w:val="0040286D"/>
    <w:rsid w:val="00402B02"/>
    <w:rsid w:val="00403916"/>
    <w:rsid w:val="004043C2"/>
    <w:rsid w:val="0040494B"/>
    <w:rsid w:val="00404A8A"/>
    <w:rsid w:val="0040546F"/>
    <w:rsid w:val="00405755"/>
    <w:rsid w:val="00405F4F"/>
    <w:rsid w:val="00405F84"/>
    <w:rsid w:val="00405FF5"/>
    <w:rsid w:val="0040604E"/>
    <w:rsid w:val="0040623A"/>
    <w:rsid w:val="004065E1"/>
    <w:rsid w:val="004067CB"/>
    <w:rsid w:val="0040695C"/>
    <w:rsid w:val="004078F5"/>
    <w:rsid w:val="00410046"/>
    <w:rsid w:val="0041100F"/>
    <w:rsid w:val="004114D8"/>
    <w:rsid w:val="00413353"/>
    <w:rsid w:val="0041336E"/>
    <w:rsid w:val="004137A0"/>
    <w:rsid w:val="00413A0A"/>
    <w:rsid w:val="00414282"/>
    <w:rsid w:val="00414EF7"/>
    <w:rsid w:val="00415221"/>
    <w:rsid w:val="00415A34"/>
    <w:rsid w:val="00416C50"/>
    <w:rsid w:val="00416EC5"/>
    <w:rsid w:val="0041735C"/>
    <w:rsid w:val="004177C0"/>
    <w:rsid w:val="00417BC8"/>
    <w:rsid w:val="00420A2A"/>
    <w:rsid w:val="00420AC7"/>
    <w:rsid w:val="00421CE8"/>
    <w:rsid w:val="004236D4"/>
    <w:rsid w:val="00425712"/>
    <w:rsid w:val="00425A41"/>
    <w:rsid w:val="00425B2E"/>
    <w:rsid w:val="004263F1"/>
    <w:rsid w:val="004266BC"/>
    <w:rsid w:val="00426A01"/>
    <w:rsid w:val="00430354"/>
    <w:rsid w:val="00431F3B"/>
    <w:rsid w:val="00433C94"/>
    <w:rsid w:val="00433FD7"/>
    <w:rsid w:val="0043439D"/>
    <w:rsid w:val="00434AA9"/>
    <w:rsid w:val="00434C3E"/>
    <w:rsid w:val="00434F90"/>
    <w:rsid w:val="00434F9B"/>
    <w:rsid w:val="00436275"/>
    <w:rsid w:val="0043726A"/>
    <w:rsid w:val="00437AA7"/>
    <w:rsid w:val="004400B7"/>
    <w:rsid w:val="0044058C"/>
    <w:rsid w:val="004409B7"/>
    <w:rsid w:val="00440DCE"/>
    <w:rsid w:val="004416A9"/>
    <w:rsid w:val="00441D23"/>
    <w:rsid w:val="004423DA"/>
    <w:rsid w:val="00442772"/>
    <w:rsid w:val="00442A6D"/>
    <w:rsid w:val="00442C09"/>
    <w:rsid w:val="004436BA"/>
    <w:rsid w:val="00443B26"/>
    <w:rsid w:val="00443E20"/>
    <w:rsid w:val="00443E26"/>
    <w:rsid w:val="00444793"/>
    <w:rsid w:val="00445195"/>
    <w:rsid w:val="00445EFE"/>
    <w:rsid w:val="004460D0"/>
    <w:rsid w:val="00446D3D"/>
    <w:rsid w:val="00446E19"/>
    <w:rsid w:val="004503C8"/>
    <w:rsid w:val="00450483"/>
    <w:rsid w:val="00450D1D"/>
    <w:rsid w:val="00450DB1"/>
    <w:rsid w:val="00451157"/>
    <w:rsid w:val="00451248"/>
    <w:rsid w:val="004513A7"/>
    <w:rsid w:val="00451607"/>
    <w:rsid w:val="004516EC"/>
    <w:rsid w:val="00451C94"/>
    <w:rsid w:val="00451EBB"/>
    <w:rsid w:val="00452601"/>
    <w:rsid w:val="00452B90"/>
    <w:rsid w:val="00453001"/>
    <w:rsid w:val="00453078"/>
    <w:rsid w:val="004531D0"/>
    <w:rsid w:val="00453383"/>
    <w:rsid w:val="00453729"/>
    <w:rsid w:val="00453D48"/>
    <w:rsid w:val="004541D4"/>
    <w:rsid w:val="004548DC"/>
    <w:rsid w:val="0045685C"/>
    <w:rsid w:val="00456D25"/>
    <w:rsid w:val="00457E96"/>
    <w:rsid w:val="00460360"/>
    <w:rsid w:val="00460E90"/>
    <w:rsid w:val="00460F9C"/>
    <w:rsid w:val="00461C64"/>
    <w:rsid w:val="00461FD4"/>
    <w:rsid w:val="004628CF"/>
    <w:rsid w:val="00462F78"/>
    <w:rsid w:val="004632CD"/>
    <w:rsid w:val="0046339E"/>
    <w:rsid w:val="004638EA"/>
    <w:rsid w:val="00463ACF"/>
    <w:rsid w:val="00464892"/>
    <w:rsid w:val="00464FF3"/>
    <w:rsid w:val="004664C6"/>
    <w:rsid w:val="00466BC7"/>
    <w:rsid w:val="00467AAF"/>
    <w:rsid w:val="004705E5"/>
    <w:rsid w:val="00470F63"/>
    <w:rsid w:val="004711DC"/>
    <w:rsid w:val="004714EF"/>
    <w:rsid w:val="004716D6"/>
    <w:rsid w:val="00471BF6"/>
    <w:rsid w:val="0047255D"/>
    <w:rsid w:val="004727DB"/>
    <w:rsid w:val="00472E6D"/>
    <w:rsid w:val="00473835"/>
    <w:rsid w:val="00473AFE"/>
    <w:rsid w:val="00474851"/>
    <w:rsid w:val="0047496C"/>
    <w:rsid w:val="00475A7C"/>
    <w:rsid w:val="00475EB5"/>
    <w:rsid w:val="0047651E"/>
    <w:rsid w:val="00476527"/>
    <w:rsid w:val="00476AA0"/>
    <w:rsid w:val="0047789B"/>
    <w:rsid w:val="0047799D"/>
    <w:rsid w:val="00480032"/>
    <w:rsid w:val="00480723"/>
    <w:rsid w:val="00480922"/>
    <w:rsid w:val="004815F5"/>
    <w:rsid w:val="00481B83"/>
    <w:rsid w:val="00481E9C"/>
    <w:rsid w:val="0048277F"/>
    <w:rsid w:val="00482FC2"/>
    <w:rsid w:val="00483201"/>
    <w:rsid w:val="004846C0"/>
    <w:rsid w:val="0048548F"/>
    <w:rsid w:val="004859D7"/>
    <w:rsid w:val="004862A8"/>
    <w:rsid w:val="004863E8"/>
    <w:rsid w:val="00486DD9"/>
    <w:rsid w:val="00487474"/>
    <w:rsid w:val="004877B7"/>
    <w:rsid w:val="00487B6C"/>
    <w:rsid w:val="00487C55"/>
    <w:rsid w:val="00487D9C"/>
    <w:rsid w:val="00487E52"/>
    <w:rsid w:val="00490452"/>
    <w:rsid w:val="00490530"/>
    <w:rsid w:val="00491A1F"/>
    <w:rsid w:val="00491F1D"/>
    <w:rsid w:val="00492913"/>
    <w:rsid w:val="00492ACB"/>
    <w:rsid w:val="00492BE3"/>
    <w:rsid w:val="004930CB"/>
    <w:rsid w:val="00493109"/>
    <w:rsid w:val="0049352F"/>
    <w:rsid w:val="00495239"/>
    <w:rsid w:val="00495525"/>
    <w:rsid w:val="004958D0"/>
    <w:rsid w:val="004966B5"/>
    <w:rsid w:val="004A0589"/>
    <w:rsid w:val="004A05A2"/>
    <w:rsid w:val="004A0A6D"/>
    <w:rsid w:val="004A1013"/>
    <w:rsid w:val="004A16AE"/>
    <w:rsid w:val="004A26F0"/>
    <w:rsid w:val="004A27D5"/>
    <w:rsid w:val="004A358C"/>
    <w:rsid w:val="004A3BDF"/>
    <w:rsid w:val="004A3F76"/>
    <w:rsid w:val="004A51DB"/>
    <w:rsid w:val="004A5991"/>
    <w:rsid w:val="004A5C5A"/>
    <w:rsid w:val="004A64FA"/>
    <w:rsid w:val="004A6D4E"/>
    <w:rsid w:val="004A718D"/>
    <w:rsid w:val="004A7D0F"/>
    <w:rsid w:val="004B0B91"/>
    <w:rsid w:val="004B0F70"/>
    <w:rsid w:val="004B1773"/>
    <w:rsid w:val="004B1CAC"/>
    <w:rsid w:val="004B2BA6"/>
    <w:rsid w:val="004B3750"/>
    <w:rsid w:val="004B4ADB"/>
    <w:rsid w:val="004B4FC0"/>
    <w:rsid w:val="004B5069"/>
    <w:rsid w:val="004B50D7"/>
    <w:rsid w:val="004B56CD"/>
    <w:rsid w:val="004B576B"/>
    <w:rsid w:val="004B595F"/>
    <w:rsid w:val="004B5E7F"/>
    <w:rsid w:val="004C0454"/>
    <w:rsid w:val="004C0631"/>
    <w:rsid w:val="004C07DE"/>
    <w:rsid w:val="004C1394"/>
    <w:rsid w:val="004C147F"/>
    <w:rsid w:val="004C1592"/>
    <w:rsid w:val="004C1AD1"/>
    <w:rsid w:val="004C2378"/>
    <w:rsid w:val="004C276D"/>
    <w:rsid w:val="004C2BE7"/>
    <w:rsid w:val="004C2DFA"/>
    <w:rsid w:val="004C340E"/>
    <w:rsid w:val="004C34A0"/>
    <w:rsid w:val="004C377A"/>
    <w:rsid w:val="004C4F67"/>
    <w:rsid w:val="004C564B"/>
    <w:rsid w:val="004C5F90"/>
    <w:rsid w:val="004C61F6"/>
    <w:rsid w:val="004C7171"/>
    <w:rsid w:val="004C7624"/>
    <w:rsid w:val="004C778A"/>
    <w:rsid w:val="004C78E7"/>
    <w:rsid w:val="004C7DAE"/>
    <w:rsid w:val="004D1B46"/>
    <w:rsid w:val="004D23D5"/>
    <w:rsid w:val="004D2A5E"/>
    <w:rsid w:val="004D2C7D"/>
    <w:rsid w:val="004D2ED3"/>
    <w:rsid w:val="004D2EE3"/>
    <w:rsid w:val="004D325F"/>
    <w:rsid w:val="004D3266"/>
    <w:rsid w:val="004D34AD"/>
    <w:rsid w:val="004D3AFC"/>
    <w:rsid w:val="004D40CF"/>
    <w:rsid w:val="004D4B00"/>
    <w:rsid w:val="004D4D13"/>
    <w:rsid w:val="004D4ED7"/>
    <w:rsid w:val="004D537B"/>
    <w:rsid w:val="004D7680"/>
    <w:rsid w:val="004D7AB3"/>
    <w:rsid w:val="004E0129"/>
    <w:rsid w:val="004E0384"/>
    <w:rsid w:val="004E134C"/>
    <w:rsid w:val="004E16E3"/>
    <w:rsid w:val="004E1705"/>
    <w:rsid w:val="004E31D6"/>
    <w:rsid w:val="004E3AAB"/>
    <w:rsid w:val="004E3C1B"/>
    <w:rsid w:val="004E415C"/>
    <w:rsid w:val="004E426D"/>
    <w:rsid w:val="004E4CD1"/>
    <w:rsid w:val="004E70E2"/>
    <w:rsid w:val="004E790E"/>
    <w:rsid w:val="004E7931"/>
    <w:rsid w:val="004E7D1F"/>
    <w:rsid w:val="004F016A"/>
    <w:rsid w:val="004F0757"/>
    <w:rsid w:val="004F0CFB"/>
    <w:rsid w:val="004F2651"/>
    <w:rsid w:val="004F2748"/>
    <w:rsid w:val="004F2951"/>
    <w:rsid w:val="004F35E9"/>
    <w:rsid w:val="004F3805"/>
    <w:rsid w:val="004F3F2F"/>
    <w:rsid w:val="004F42D1"/>
    <w:rsid w:val="004F5235"/>
    <w:rsid w:val="004F562E"/>
    <w:rsid w:val="004F56CE"/>
    <w:rsid w:val="004F59B7"/>
    <w:rsid w:val="004F5A4E"/>
    <w:rsid w:val="004F6312"/>
    <w:rsid w:val="004F631B"/>
    <w:rsid w:val="004F7083"/>
    <w:rsid w:val="004F750B"/>
    <w:rsid w:val="004F7EEE"/>
    <w:rsid w:val="00500162"/>
    <w:rsid w:val="00501A53"/>
    <w:rsid w:val="005025BA"/>
    <w:rsid w:val="00502A41"/>
    <w:rsid w:val="00503673"/>
    <w:rsid w:val="0050388D"/>
    <w:rsid w:val="005038C4"/>
    <w:rsid w:val="005049BA"/>
    <w:rsid w:val="005051FA"/>
    <w:rsid w:val="00505371"/>
    <w:rsid w:val="00505A43"/>
    <w:rsid w:val="00506262"/>
    <w:rsid w:val="00506A85"/>
    <w:rsid w:val="005070E5"/>
    <w:rsid w:val="00507230"/>
    <w:rsid w:val="00507BE3"/>
    <w:rsid w:val="00507CEA"/>
    <w:rsid w:val="00507FA4"/>
    <w:rsid w:val="00510194"/>
    <w:rsid w:val="00512467"/>
    <w:rsid w:val="005128EB"/>
    <w:rsid w:val="00513470"/>
    <w:rsid w:val="00513AC5"/>
    <w:rsid w:val="00513D5E"/>
    <w:rsid w:val="00514108"/>
    <w:rsid w:val="005147EF"/>
    <w:rsid w:val="00514953"/>
    <w:rsid w:val="00514F48"/>
    <w:rsid w:val="0051524F"/>
    <w:rsid w:val="00515D75"/>
    <w:rsid w:val="00515E9A"/>
    <w:rsid w:val="0051606F"/>
    <w:rsid w:val="00517AF2"/>
    <w:rsid w:val="005216A9"/>
    <w:rsid w:val="00521767"/>
    <w:rsid w:val="0052177F"/>
    <w:rsid w:val="005219F8"/>
    <w:rsid w:val="00521A1B"/>
    <w:rsid w:val="00521E07"/>
    <w:rsid w:val="005220D8"/>
    <w:rsid w:val="0052234F"/>
    <w:rsid w:val="00522A49"/>
    <w:rsid w:val="00522CCD"/>
    <w:rsid w:val="0052371E"/>
    <w:rsid w:val="005245FB"/>
    <w:rsid w:val="00524A07"/>
    <w:rsid w:val="00524B53"/>
    <w:rsid w:val="00525585"/>
    <w:rsid w:val="00525B31"/>
    <w:rsid w:val="00525FA4"/>
    <w:rsid w:val="005264E5"/>
    <w:rsid w:val="0052675E"/>
    <w:rsid w:val="005274EB"/>
    <w:rsid w:val="00527521"/>
    <w:rsid w:val="005276F9"/>
    <w:rsid w:val="00527B55"/>
    <w:rsid w:val="00530275"/>
    <w:rsid w:val="00530B58"/>
    <w:rsid w:val="005334BE"/>
    <w:rsid w:val="00534087"/>
    <w:rsid w:val="00534420"/>
    <w:rsid w:val="00534AFE"/>
    <w:rsid w:val="00535027"/>
    <w:rsid w:val="00535629"/>
    <w:rsid w:val="005356B5"/>
    <w:rsid w:val="00535E30"/>
    <w:rsid w:val="005361AF"/>
    <w:rsid w:val="00536950"/>
    <w:rsid w:val="00536AD1"/>
    <w:rsid w:val="005370F4"/>
    <w:rsid w:val="0053750F"/>
    <w:rsid w:val="00537DC0"/>
    <w:rsid w:val="0054002E"/>
    <w:rsid w:val="005407F1"/>
    <w:rsid w:val="00540E66"/>
    <w:rsid w:val="00540F94"/>
    <w:rsid w:val="005419EC"/>
    <w:rsid w:val="00541EAF"/>
    <w:rsid w:val="00542143"/>
    <w:rsid w:val="00542313"/>
    <w:rsid w:val="00542B6C"/>
    <w:rsid w:val="00543057"/>
    <w:rsid w:val="0054319C"/>
    <w:rsid w:val="005431A4"/>
    <w:rsid w:val="00544925"/>
    <w:rsid w:val="005453FA"/>
    <w:rsid w:val="005466AB"/>
    <w:rsid w:val="00546D79"/>
    <w:rsid w:val="00547269"/>
    <w:rsid w:val="00547969"/>
    <w:rsid w:val="0055054C"/>
    <w:rsid w:val="00550FC6"/>
    <w:rsid w:val="00551EC8"/>
    <w:rsid w:val="0055243C"/>
    <w:rsid w:val="00552F52"/>
    <w:rsid w:val="00553191"/>
    <w:rsid w:val="005532C1"/>
    <w:rsid w:val="00553F30"/>
    <w:rsid w:val="005541D6"/>
    <w:rsid w:val="00554BA5"/>
    <w:rsid w:val="00554F6A"/>
    <w:rsid w:val="00555C1F"/>
    <w:rsid w:val="00555F7D"/>
    <w:rsid w:val="00556546"/>
    <w:rsid w:val="005567BC"/>
    <w:rsid w:val="00556B0E"/>
    <w:rsid w:val="005578B5"/>
    <w:rsid w:val="0056105B"/>
    <w:rsid w:val="00561288"/>
    <w:rsid w:val="005624A9"/>
    <w:rsid w:val="00562545"/>
    <w:rsid w:val="0056265E"/>
    <w:rsid w:val="00562D91"/>
    <w:rsid w:val="00562E97"/>
    <w:rsid w:val="0056332A"/>
    <w:rsid w:val="00563E94"/>
    <w:rsid w:val="00563EFA"/>
    <w:rsid w:val="005645D5"/>
    <w:rsid w:val="00564A2C"/>
    <w:rsid w:val="00565674"/>
    <w:rsid w:val="005673C1"/>
    <w:rsid w:val="00567DA9"/>
    <w:rsid w:val="00567DB8"/>
    <w:rsid w:val="005701A5"/>
    <w:rsid w:val="0057094E"/>
    <w:rsid w:val="0057129E"/>
    <w:rsid w:val="00571462"/>
    <w:rsid w:val="00571766"/>
    <w:rsid w:val="0057212D"/>
    <w:rsid w:val="00572FB0"/>
    <w:rsid w:val="00573682"/>
    <w:rsid w:val="00573948"/>
    <w:rsid w:val="005740C8"/>
    <w:rsid w:val="00574C1D"/>
    <w:rsid w:val="005753E5"/>
    <w:rsid w:val="005755A0"/>
    <w:rsid w:val="0057617A"/>
    <w:rsid w:val="00580956"/>
    <w:rsid w:val="005811CB"/>
    <w:rsid w:val="005814B3"/>
    <w:rsid w:val="00582158"/>
    <w:rsid w:val="005822C9"/>
    <w:rsid w:val="00582504"/>
    <w:rsid w:val="00582934"/>
    <w:rsid w:val="00582A7B"/>
    <w:rsid w:val="00582B89"/>
    <w:rsid w:val="00583015"/>
    <w:rsid w:val="005830ED"/>
    <w:rsid w:val="00583E07"/>
    <w:rsid w:val="005844B3"/>
    <w:rsid w:val="0058478B"/>
    <w:rsid w:val="00584A17"/>
    <w:rsid w:val="00585270"/>
    <w:rsid w:val="00585397"/>
    <w:rsid w:val="005856EF"/>
    <w:rsid w:val="00586DA1"/>
    <w:rsid w:val="005878B3"/>
    <w:rsid w:val="0059012E"/>
    <w:rsid w:val="005913B8"/>
    <w:rsid w:val="00591C87"/>
    <w:rsid w:val="005920F2"/>
    <w:rsid w:val="00592690"/>
    <w:rsid w:val="00592A4E"/>
    <w:rsid w:val="00592E4A"/>
    <w:rsid w:val="00593172"/>
    <w:rsid w:val="00593269"/>
    <w:rsid w:val="005955E6"/>
    <w:rsid w:val="00597260"/>
    <w:rsid w:val="005973F4"/>
    <w:rsid w:val="005A0540"/>
    <w:rsid w:val="005A0783"/>
    <w:rsid w:val="005A0C27"/>
    <w:rsid w:val="005A1003"/>
    <w:rsid w:val="005A1757"/>
    <w:rsid w:val="005A1904"/>
    <w:rsid w:val="005A19AB"/>
    <w:rsid w:val="005A1C34"/>
    <w:rsid w:val="005A1D42"/>
    <w:rsid w:val="005A1EFC"/>
    <w:rsid w:val="005A3600"/>
    <w:rsid w:val="005A3778"/>
    <w:rsid w:val="005A37D0"/>
    <w:rsid w:val="005A3D14"/>
    <w:rsid w:val="005A4171"/>
    <w:rsid w:val="005A47E9"/>
    <w:rsid w:val="005A4EE1"/>
    <w:rsid w:val="005A526F"/>
    <w:rsid w:val="005A580D"/>
    <w:rsid w:val="005A593A"/>
    <w:rsid w:val="005A6289"/>
    <w:rsid w:val="005A7271"/>
    <w:rsid w:val="005A7515"/>
    <w:rsid w:val="005A78E3"/>
    <w:rsid w:val="005A7C8E"/>
    <w:rsid w:val="005A7CC7"/>
    <w:rsid w:val="005B0E1D"/>
    <w:rsid w:val="005B1400"/>
    <w:rsid w:val="005B1A88"/>
    <w:rsid w:val="005B20E9"/>
    <w:rsid w:val="005B3B1D"/>
    <w:rsid w:val="005B3BC8"/>
    <w:rsid w:val="005B3C75"/>
    <w:rsid w:val="005B3DFE"/>
    <w:rsid w:val="005B5526"/>
    <w:rsid w:val="005B5E01"/>
    <w:rsid w:val="005B65A8"/>
    <w:rsid w:val="005C01CB"/>
    <w:rsid w:val="005C04E3"/>
    <w:rsid w:val="005C207E"/>
    <w:rsid w:val="005C2AD4"/>
    <w:rsid w:val="005C2B0B"/>
    <w:rsid w:val="005C352B"/>
    <w:rsid w:val="005C3725"/>
    <w:rsid w:val="005C383F"/>
    <w:rsid w:val="005C38F3"/>
    <w:rsid w:val="005C39FC"/>
    <w:rsid w:val="005C3F62"/>
    <w:rsid w:val="005C41BF"/>
    <w:rsid w:val="005C43CB"/>
    <w:rsid w:val="005C4598"/>
    <w:rsid w:val="005C48F9"/>
    <w:rsid w:val="005C4DD4"/>
    <w:rsid w:val="005C510C"/>
    <w:rsid w:val="005C5C8D"/>
    <w:rsid w:val="005C66A9"/>
    <w:rsid w:val="005C69D3"/>
    <w:rsid w:val="005C6DFF"/>
    <w:rsid w:val="005C791F"/>
    <w:rsid w:val="005C7A9E"/>
    <w:rsid w:val="005C7CF2"/>
    <w:rsid w:val="005D11D4"/>
    <w:rsid w:val="005D19AC"/>
    <w:rsid w:val="005D1B10"/>
    <w:rsid w:val="005D1E14"/>
    <w:rsid w:val="005D1FCA"/>
    <w:rsid w:val="005D2B04"/>
    <w:rsid w:val="005D314D"/>
    <w:rsid w:val="005D3193"/>
    <w:rsid w:val="005D3E50"/>
    <w:rsid w:val="005D3FC0"/>
    <w:rsid w:val="005D5060"/>
    <w:rsid w:val="005D541D"/>
    <w:rsid w:val="005D7015"/>
    <w:rsid w:val="005D7040"/>
    <w:rsid w:val="005D714E"/>
    <w:rsid w:val="005D7757"/>
    <w:rsid w:val="005D7BE7"/>
    <w:rsid w:val="005E033D"/>
    <w:rsid w:val="005E0865"/>
    <w:rsid w:val="005E0C6E"/>
    <w:rsid w:val="005E3AB3"/>
    <w:rsid w:val="005E3AB9"/>
    <w:rsid w:val="005E4256"/>
    <w:rsid w:val="005E5302"/>
    <w:rsid w:val="005E63E6"/>
    <w:rsid w:val="005E6A49"/>
    <w:rsid w:val="005E724C"/>
    <w:rsid w:val="005E784D"/>
    <w:rsid w:val="005F0154"/>
    <w:rsid w:val="005F03B0"/>
    <w:rsid w:val="005F09F0"/>
    <w:rsid w:val="005F0D0E"/>
    <w:rsid w:val="005F253B"/>
    <w:rsid w:val="005F2953"/>
    <w:rsid w:val="005F325C"/>
    <w:rsid w:val="005F46B4"/>
    <w:rsid w:val="005F475C"/>
    <w:rsid w:val="005F49B8"/>
    <w:rsid w:val="005F4D1B"/>
    <w:rsid w:val="005F4D7B"/>
    <w:rsid w:val="005F5932"/>
    <w:rsid w:val="005F5CC7"/>
    <w:rsid w:val="005F5CE2"/>
    <w:rsid w:val="005F6206"/>
    <w:rsid w:val="005F65BB"/>
    <w:rsid w:val="005F6938"/>
    <w:rsid w:val="005F6ADF"/>
    <w:rsid w:val="005F6BD3"/>
    <w:rsid w:val="005F7C8B"/>
    <w:rsid w:val="00600975"/>
    <w:rsid w:val="0060125A"/>
    <w:rsid w:val="00601570"/>
    <w:rsid w:val="00601D85"/>
    <w:rsid w:val="00602D5A"/>
    <w:rsid w:val="0060301E"/>
    <w:rsid w:val="00603F0B"/>
    <w:rsid w:val="00603F48"/>
    <w:rsid w:val="0060447A"/>
    <w:rsid w:val="00604F7A"/>
    <w:rsid w:val="00605155"/>
    <w:rsid w:val="00605290"/>
    <w:rsid w:val="00605CAD"/>
    <w:rsid w:val="00605E20"/>
    <w:rsid w:val="00606C20"/>
    <w:rsid w:val="0060790D"/>
    <w:rsid w:val="00607D2B"/>
    <w:rsid w:val="00610514"/>
    <w:rsid w:val="00610678"/>
    <w:rsid w:val="00611206"/>
    <w:rsid w:val="006115CD"/>
    <w:rsid w:val="006115E7"/>
    <w:rsid w:val="006117BB"/>
    <w:rsid w:val="00611B80"/>
    <w:rsid w:val="00612428"/>
    <w:rsid w:val="006126CB"/>
    <w:rsid w:val="00613335"/>
    <w:rsid w:val="0061366D"/>
    <w:rsid w:val="0061380B"/>
    <w:rsid w:val="00613C61"/>
    <w:rsid w:val="00613DD1"/>
    <w:rsid w:val="006144EF"/>
    <w:rsid w:val="00614B68"/>
    <w:rsid w:val="00614E88"/>
    <w:rsid w:val="00614FCD"/>
    <w:rsid w:val="0061503A"/>
    <w:rsid w:val="00615D13"/>
    <w:rsid w:val="00615F44"/>
    <w:rsid w:val="0061653C"/>
    <w:rsid w:val="00616CC9"/>
    <w:rsid w:val="00616FA1"/>
    <w:rsid w:val="0061705D"/>
    <w:rsid w:val="00617A30"/>
    <w:rsid w:val="00617F46"/>
    <w:rsid w:val="0062006C"/>
    <w:rsid w:val="006201EA"/>
    <w:rsid w:val="00620451"/>
    <w:rsid w:val="006204F8"/>
    <w:rsid w:val="0062057D"/>
    <w:rsid w:val="006206C4"/>
    <w:rsid w:val="00620983"/>
    <w:rsid w:val="0062167E"/>
    <w:rsid w:val="006224FB"/>
    <w:rsid w:val="0062256D"/>
    <w:rsid w:val="00623020"/>
    <w:rsid w:val="006236F3"/>
    <w:rsid w:val="00624994"/>
    <w:rsid w:val="00624D5A"/>
    <w:rsid w:val="006258DB"/>
    <w:rsid w:val="00625B48"/>
    <w:rsid w:val="00625C6D"/>
    <w:rsid w:val="00625C93"/>
    <w:rsid w:val="00625E63"/>
    <w:rsid w:val="0062657F"/>
    <w:rsid w:val="006266C2"/>
    <w:rsid w:val="00626D8A"/>
    <w:rsid w:val="00626E71"/>
    <w:rsid w:val="006270D5"/>
    <w:rsid w:val="006276D8"/>
    <w:rsid w:val="006278D2"/>
    <w:rsid w:val="00627960"/>
    <w:rsid w:val="00627CDB"/>
    <w:rsid w:val="00630730"/>
    <w:rsid w:val="00630841"/>
    <w:rsid w:val="0063095C"/>
    <w:rsid w:val="00631197"/>
    <w:rsid w:val="006316EF"/>
    <w:rsid w:val="00631ABE"/>
    <w:rsid w:val="006331F1"/>
    <w:rsid w:val="0063341B"/>
    <w:rsid w:val="006346FD"/>
    <w:rsid w:val="006348FD"/>
    <w:rsid w:val="00634CA6"/>
    <w:rsid w:val="00635221"/>
    <w:rsid w:val="006353FA"/>
    <w:rsid w:val="0063551D"/>
    <w:rsid w:val="00637BB4"/>
    <w:rsid w:val="00637E58"/>
    <w:rsid w:val="006400AB"/>
    <w:rsid w:val="00640439"/>
    <w:rsid w:val="00640C86"/>
    <w:rsid w:val="0064284D"/>
    <w:rsid w:val="00642AE8"/>
    <w:rsid w:val="00642B5A"/>
    <w:rsid w:val="00643176"/>
    <w:rsid w:val="0064321D"/>
    <w:rsid w:val="006432AD"/>
    <w:rsid w:val="006439DB"/>
    <w:rsid w:val="00643A53"/>
    <w:rsid w:val="00644826"/>
    <w:rsid w:val="00645BC3"/>
    <w:rsid w:val="0064655A"/>
    <w:rsid w:val="006474F4"/>
    <w:rsid w:val="00647D80"/>
    <w:rsid w:val="0065031E"/>
    <w:rsid w:val="00650A87"/>
    <w:rsid w:val="00651A28"/>
    <w:rsid w:val="00651EE9"/>
    <w:rsid w:val="00652337"/>
    <w:rsid w:val="006538B6"/>
    <w:rsid w:val="00653B6C"/>
    <w:rsid w:val="00654039"/>
    <w:rsid w:val="006543E2"/>
    <w:rsid w:val="0065498D"/>
    <w:rsid w:val="00654A64"/>
    <w:rsid w:val="00655A73"/>
    <w:rsid w:val="00655AC3"/>
    <w:rsid w:val="00655F63"/>
    <w:rsid w:val="00656333"/>
    <w:rsid w:val="0065724A"/>
    <w:rsid w:val="00657F56"/>
    <w:rsid w:val="00657FEE"/>
    <w:rsid w:val="0066042E"/>
    <w:rsid w:val="00660AAB"/>
    <w:rsid w:val="00661B01"/>
    <w:rsid w:val="00661E9A"/>
    <w:rsid w:val="00662429"/>
    <w:rsid w:val="00662D5F"/>
    <w:rsid w:val="006639CE"/>
    <w:rsid w:val="00663AFE"/>
    <w:rsid w:val="0066452A"/>
    <w:rsid w:val="006648F4"/>
    <w:rsid w:val="00664B92"/>
    <w:rsid w:val="00664BD9"/>
    <w:rsid w:val="00665459"/>
    <w:rsid w:val="006655A8"/>
    <w:rsid w:val="006661A4"/>
    <w:rsid w:val="0066753D"/>
    <w:rsid w:val="0066780B"/>
    <w:rsid w:val="00670444"/>
    <w:rsid w:val="00670891"/>
    <w:rsid w:val="00671193"/>
    <w:rsid w:val="00671D4B"/>
    <w:rsid w:val="00671DB6"/>
    <w:rsid w:val="006733FD"/>
    <w:rsid w:val="0067386D"/>
    <w:rsid w:val="006738AD"/>
    <w:rsid w:val="00673972"/>
    <w:rsid w:val="00673E65"/>
    <w:rsid w:val="00674083"/>
    <w:rsid w:val="00674B74"/>
    <w:rsid w:val="00675018"/>
    <w:rsid w:val="00675ABE"/>
    <w:rsid w:val="00675F7F"/>
    <w:rsid w:val="0067627C"/>
    <w:rsid w:val="006769E1"/>
    <w:rsid w:val="00676B6B"/>
    <w:rsid w:val="00676C2B"/>
    <w:rsid w:val="00676C6D"/>
    <w:rsid w:val="00676C7A"/>
    <w:rsid w:val="00677D8E"/>
    <w:rsid w:val="00680EEF"/>
    <w:rsid w:val="00680F96"/>
    <w:rsid w:val="00681AC9"/>
    <w:rsid w:val="006820E6"/>
    <w:rsid w:val="0068269E"/>
    <w:rsid w:val="00682759"/>
    <w:rsid w:val="00682DC1"/>
    <w:rsid w:val="00682F4C"/>
    <w:rsid w:val="006835F8"/>
    <w:rsid w:val="0068382E"/>
    <w:rsid w:val="00683897"/>
    <w:rsid w:val="0068392E"/>
    <w:rsid w:val="00683C0D"/>
    <w:rsid w:val="00683CDD"/>
    <w:rsid w:val="00683D10"/>
    <w:rsid w:val="00684831"/>
    <w:rsid w:val="00684FB0"/>
    <w:rsid w:val="00684FFC"/>
    <w:rsid w:val="0068548B"/>
    <w:rsid w:val="0068617D"/>
    <w:rsid w:val="006864D3"/>
    <w:rsid w:val="006868E0"/>
    <w:rsid w:val="006871DE"/>
    <w:rsid w:val="00687805"/>
    <w:rsid w:val="006914FF"/>
    <w:rsid w:val="00691814"/>
    <w:rsid w:val="00691B1F"/>
    <w:rsid w:val="00692E73"/>
    <w:rsid w:val="0069355F"/>
    <w:rsid w:val="006937DA"/>
    <w:rsid w:val="006937E3"/>
    <w:rsid w:val="006937E6"/>
    <w:rsid w:val="00693C90"/>
    <w:rsid w:val="00694460"/>
    <w:rsid w:val="006952E1"/>
    <w:rsid w:val="006964DF"/>
    <w:rsid w:val="0069666C"/>
    <w:rsid w:val="00696739"/>
    <w:rsid w:val="00697B1C"/>
    <w:rsid w:val="00697DEC"/>
    <w:rsid w:val="006A09CF"/>
    <w:rsid w:val="006A0EE5"/>
    <w:rsid w:val="006A0FA0"/>
    <w:rsid w:val="006A1625"/>
    <w:rsid w:val="006A1AFA"/>
    <w:rsid w:val="006A1B2B"/>
    <w:rsid w:val="006A1E7A"/>
    <w:rsid w:val="006A1F2F"/>
    <w:rsid w:val="006A1F5A"/>
    <w:rsid w:val="006A20C3"/>
    <w:rsid w:val="006A26DF"/>
    <w:rsid w:val="006A2A26"/>
    <w:rsid w:val="006A2E30"/>
    <w:rsid w:val="006A2E35"/>
    <w:rsid w:val="006A3393"/>
    <w:rsid w:val="006A33CD"/>
    <w:rsid w:val="006A35E3"/>
    <w:rsid w:val="006A374F"/>
    <w:rsid w:val="006A3CF3"/>
    <w:rsid w:val="006A4B44"/>
    <w:rsid w:val="006A4B50"/>
    <w:rsid w:val="006A4E0E"/>
    <w:rsid w:val="006A5383"/>
    <w:rsid w:val="006A6DD9"/>
    <w:rsid w:val="006A6EBE"/>
    <w:rsid w:val="006A77D9"/>
    <w:rsid w:val="006A7A52"/>
    <w:rsid w:val="006A7F10"/>
    <w:rsid w:val="006B0068"/>
    <w:rsid w:val="006B038C"/>
    <w:rsid w:val="006B0630"/>
    <w:rsid w:val="006B08A0"/>
    <w:rsid w:val="006B3210"/>
    <w:rsid w:val="006B3C24"/>
    <w:rsid w:val="006B4FAA"/>
    <w:rsid w:val="006B4FB1"/>
    <w:rsid w:val="006B50ED"/>
    <w:rsid w:val="006B5BA7"/>
    <w:rsid w:val="006B5E3B"/>
    <w:rsid w:val="006B621B"/>
    <w:rsid w:val="006B6D09"/>
    <w:rsid w:val="006B6F99"/>
    <w:rsid w:val="006B7215"/>
    <w:rsid w:val="006B7E66"/>
    <w:rsid w:val="006C0633"/>
    <w:rsid w:val="006C0CA5"/>
    <w:rsid w:val="006C159A"/>
    <w:rsid w:val="006C27C6"/>
    <w:rsid w:val="006C45E0"/>
    <w:rsid w:val="006C53E2"/>
    <w:rsid w:val="006C756C"/>
    <w:rsid w:val="006C76F1"/>
    <w:rsid w:val="006C7D22"/>
    <w:rsid w:val="006D0859"/>
    <w:rsid w:val="006D0D15"/>
    <w:rsid w:val="006D103F"/>
    <w:rsid w:val="006D131A"/>
    <w:rsid w:val="006D1A9A"/>
    <w:rsid w:val="006D1BE5"/>
    <w:rsid w:val="006D2902"/>
    <w:rsid w:val="006D2A2F"/>
    <w:rsid w:val="006D306A"/>
    <w:rsid w:val="006D403E"/>
    <w:rsid w:val="006D43C5"/>
    <w:rsid w:val="006D49A7"/>
    <w:rsid w:val="006D4EAD"/>
    <w:rsid w:val="006D5E46"/>
    <w:rsid w:val="006D609C"/>
    <w:rsid w:val="006D7D02"/>
    <w:rsid w:val="006E0AE5"/>
    <w:rsid w:val="006E1520"/>
    <w:rsid w:val="006E16FB"/>
    <w:rsid w:val="006E18AC"/>
    <w:rsid w:val="006E21B6"/>
    <w:rsid w:val="006E2E95"/>
    <w:rsid w:val="006E3DBB"/>
    <w:rsid w:val="006E4C5C"/>
    <w:rsid w:val="006E4FBF"/>
    <w:rsid w:val="006E4FEF"/>
    <w:rsid w:val="006E5316"/>
    <w:rsid w:val="006E55BA"/>
    <w:rsid w:val="006E5A34"/>
    <w:rsid w:val="006E6629"/>
    <w:rsid w:val="006E6893"/>
    <w:rsid w:val="006F1820"/>
    <w:rsid w:val="006F187F"/>
    <w:rsid w:val="006F1E4E"/>
    <w:rsid w:val="006F2817"/>
    <w:rsid w:val="006F2EF8"/>
    <w:rsid w:val="006F3075"/>
    <w:rsid w:val="006F30DF"/>
    <w:rsid w:val="006F3B5E"/>
    <w:rsid w:val="006F48B1"/>
    <w:rsid w:val="006F4F88"/>
    <w:rsid w:val="006F54B8"/>
    <w:rsid w:val="006F5CD2"/>
    <w:rsid w:val="006F6DC8"/>
    <w:rsid w:val="006F7267"/>
    <w:rsid w:val="006F7302"/>
    <w:rsid w:val="006F754D"/>
    <w:rsid w:val="006F761B"/>
    <w:rsid w:val="00701592"/>
    <w:rsid w:val="00701828"/>
    <w:rsid w:val="0070206F"/>
    <w:rsid w:val="00702C7A"/>
    <w:rsid w:val="007034EB"/>
    <w:rsid w:val="00703546"/>
    <w:rsid w:val="007035B5"/>
    <w:rsid w:val="00703FD9"/>
    <w:rsid w:val="007041B2"/>
    <w:rsid w:val="007046D5"/>
    <w:rsid w:val="0070495B"/>
    <w:rsid w:val="00704F24"/>
    <w:rsid w:val="00704FD5"/>
    <w:rsid w:val="0070511A"/>
    <w:rsid w:val="007055CD"/>
    <w:rsid w:val="00705EBA"/>
    <w:rsid w:val="00706247"/>
    <w:rsid w:val="00706E0A"/>
    <w:rsid w:val="00706E2A"/>
    <w:rsid w:val="0070732C"/>
    <w:rsid w:val="00710006"/>
    <w:rsid w:val="007102FC"/>
    <w:rsid w:val="00710644"/>
    <w:rsid w:val="00710AC4"/>
    <w:rsid w:val="00710D39"/>
    <w:rsid w:val="00712296"/>
    <w:rsid w:val="00712589"/>
    <w:rsid w:val="007126C6"/>
    <w:rsid w:val="007128AD"/>
    <w:rsid w:val="00712D8F"/>
    <w:rsid w:val="0071331E"/>
    <w:rsid w:val="00714340"/>
    <w:rsid w:val="007148B6"/>
    <w:rsid w:val="00714DC6"/>
    <w:rsid w:val="007158C4"/>
    <w:rsid w:val="00716011"/>
    <w:rsid w:val="007160C1"/>
    <w:rsid w:val="00716404"/>
    <w:rsid w:val="00716834"/>
    <w:rsid w:val="007177D5"/>
    <w:rsid w:val="00717DA2"/>
    <w:rsid w:val="00720246"/>
    <w:rsid w:val="00720580"/>
    <w:rsid w:val="007209EF"/>
    <w:rsid w:val="00720A29"/>
    <w:rsid w:val="00720B2F"/>
    <w:rsid w:val="007221F9"/>
    <w:rsid w:val="007222E6"/>
    <w:rsid w:val="00722F5C"/>
    <w:rsid w:val="00723A27"/>
    <w:rsid w:val="00723E7B"/>
    <w:rsid w:val="007241A1"/>
    <w:rsid w:val="00724260"/>
    <w:rsid w:val="007244D4"/>
    <w:rsid w:val="0072455B"/>
    <w:rsid w:val="007249DF"/>
    <w:rsid w:val="007250CC"/>
    <w:rsid w:val="0072574B"/>
    <w:rsid w:val="00725968"/>
    <w:rsid w:val="00725C4A"/>
    <w:rsid w:val="00725E76"/>
    <w:rsid w:val="0072623F"/>
    <w:rsid w:val="007263E3"/>
    <w:rsid w:val="00726C03"/>
    <w:rsid w:val="00726F41"/>
    <w:rsid w:val="0072727B"/>
    <w:rsid w:val="007304B8"/>
    <w:rsid w:val="007319AD"/>
    <w:rsid w:val="00732411"/>
    <w:rsid w:val="00732AD5"/>
    <w:rsid w:val="007339A2"/>
    <w:rsid w:val="00733C28"/>
    <w:rsid w:val="007344F9"/>
    <w:rsid w:val="007347A4"/>
    <w:rsid w:val="00734E5D"/>
    <w:rsid w:val="00734E6D"/>
    <w:rsid w:val="007358A4"/>
    <w:rsid w:val="00736191"/>
    <w:rsid w:val="007365DB"/>
    <w:rsid w:val="00737B50"/>
    <w:rsid w:val="0074013A"/>
    <w:rsid w:val="00740D4A"/>
    <w:rsid w:val="007410AC"/>
    <w:rsid w:val="0074151E"/>
    <w:rsid w:val="0074194E"/>
    <w:rsid w:val="00742D30"/>
    <w:rsid w:val="007432EB"/>
    <w:rsid w:val="007439BE"/>
    <w:rsid w:val="00743A82"/>
    <w:rsid w:val="007441D8"/>
    <w:rsid w:val="007447AA"/>
    <w:rsid w:val="007454C4"/>
    <w:rsid w:val="00745775"/>
    <w:rsid w:val="007457F7"/>
    <w:rsid w:val="00745A4B"/>
    <w:rsid w:val="00745CEC"/>
    <w:rsid w:val="0074625D"/>
    <w:rsid w:val="007466AF"/>
    <w:rsid w:val="00747150"/>
    <w:rsid w:val="0075008D"/>
    <w:rsid w:val="007519A8"/>
    <w:rsid w:val="0075217D"/>
    <w:rsid w:val="00752208"/>
    <w:rsid w:val="00752F6D"/>
    <w:rsid w:val="0075373E"/>
    <w:rsid w:val="0075469F"/>
    <w:rsid w:val="00755EF0"/>
    <w:rsid w:val="00755FBC"/>
    <w:rsid w:val="007563AF"/>
    <w:rsid w:val="007570DF"/>
    <w:rsid w:val="00760571"/>
    <w:rsid w:val="00761BFA"/>
    <w:rsid w:val="00762242"/>
    <w:rsid w:val="00762D1D"/>
    <w:rsid w:val="00764B1C"/>
    <w:rsid w:val="00764D99"/>
    <w:rsid w:val="007659C9"/>
    <w:rsid w:val="00765D4B"/>
    <w:rsid w:val="00766A08"/>
    <w:rsid w:val="00766ABF"/>
    <w:rsid w:val="00766C72"/>
    <w:rsid w:val="007673DF"/>
    <w:rsid w:val="007676C5"/>
    <w:rsid w:val="00770194"/>
    <w:rsid w:val="00770931"/>
    <w:rsid w:val="00770C87"/>
    <w:rsid w:val="00771079"/>
    <w:rsid w:val="00771376"/>
    <w:rsid w:val="00771494"/>
    <w:rsid w:val="00771805"/>
    <w:rsid w:val="00771E60"/>
    <w:rsid w:val="00773F63"/>
    <w:rsid w:val="007745CC"/>
    <w:rsid w:val="00775427"/>
    <w:rsid w:val="00776A9A"/>
    <w:rsid w:val="00776C7F"/>
    <w:rsid w:val="007772D9"/>
    <w:rsid w:val="00777F84"/>
    <w:rsid w:val="00780B4A"/>
    <w:rsid w:val="00780F3C"/>
    <w:rsid w:val="0078120F"/>
    <w:rsid w:val="007816CB"/>
    <w:rsid w:val="00782B5D"/>
    <w:rsid w:val="00782CDD"/>
    <w:rsid w:val="00784156"/>
    <w:rsid w:val="00785491"/>
    <w:rsid w:val="0078584C"/>
    <w:rsid w:val="0078595E"/>
    <w:rsid w:val="007860CE"/>
    <w:rsid w:val="00787808"/>
    <w:rsid w:val="0078784E"/>
    <w:rsid w:val="0079058B"/>
    <w:rsid w:val="007907B0"/>
    <w:rsid w:val="00790A30"/>
    <w:rsid w:val="00790F2A"/>
    <w:rsid w:val="00791EBF"/>
    <w:rsid w:val="00792675"/>
    <w:rsid w:val="00792BCD"/>
    <w:rsid w:val="00792E4A"/>
    <w:rsid w:val="007933A1"/>
    <w:rsid w:val="00793D52"/>
    <w:rsid w:val="0079463F"/>
    <w:rsid w:val="007954D7"/>
    <w:rsid w:val="00795F4B"/>
    <w:rsid w:val="00797B9D"/>
    <w:rsid w:val="007A00FF"/>
    <w:rsid w:val="007A0EEC"/>
    <w:rsid w:val="007A13B9"/>
    <w:rsid w:val="007A2BE0"/>
    <w:rsid w:val="007A2D79"/>
    <w:rsid w:val="007A38D5"/>
    <w:rsid w:val="007A3EA5"/>
    <w:rsid w:val="007A4218"/>
    <w:rsid w:val="007A45BE"/>
    <w:rsid w:val="007A4F43"/>
    <w:rsid w:val="007A55A5"/>
    <w:rsid w:val="007A5B6F"/>
    <w:rsid w:val="007A61EB"/>
    <w:rsid w:val="007A62BE"/>
    <w:rsid w:val="007A65CE"/>
    <w:rsid w:val="007B00D5"/>
    <w:rsid w:val="007B1946"/>
    <w:rsid w:val="007B1CC6"/>
    <w:rsid w:val="007B2074"/>
    <w:rsid w:val="007B2E9B"/>
    <w:rsid w:val="007B3C5D"/>
    <w:rsid w:val="007B4548"/>
    <w:rsid w:val="007B4F38"/>
    <w:rsid w:val="007B53F7"/>
    <w:rsid w:val="007B543E"/>
    <w:rsid w:val="007B544D"/>
    <w:rsid w:val="007B54BC"/>
    <w:rsid w:val="007B731D"/>
    <w:rsid w:val="007B76C2"/>
    <w:rsid w:val="007B773E"/>
    <w:rsid w:val="007B7C96"/>
    <w:rsid w:val="007C0DFD"/>
    <w:rsid w:val="007C0F54"/>
    <w:rsid w:val="007C19AA"/>
    <w:rsid w:val="007C1E06"/>
    <w:rsid w:val="007C259D"/>
    <w:rsid w:val="007C2EA8"/>
    <w:rsid w:val="007C2ECA"/>
    <w:rsid w:val="007C302C"/>
    <w:rsid w:val="007C42E3"/>
    <w:rsid w:val="007C4643"/>
    <w:rsid w:val="007C4BAD"/>
    <w:rsid w:val="007C62A8"/>
    <w:rsid w:val="007C78B2"/>
    <w:rsid w:val="007C7B07"/>
    <w:rsid w:val="007C7CB9"/>
    <w:rsid w:val="007D0D8E"/>
    <w:rsid w:val="007D1021"/>
    <w:rsid w:val="007D2D6E"/>
    <w:rsid w:val="007D2E00"/>
    <w:rsid w:val="007D3635"/>
    <w:rsid w:val="007D4DDB"/>
    <w:rsid w:val="007D4E14"/>
    <w:rsid w:val="007D5265"/>
    <w:rsid w:val="007D63A9"/>
    <w:rsid w:val="007D6460"/>
    <w:rsid w:val="007D65AD"/>
    <w:rsid w:val="007D7062"/>
    <w:rsid w:val="007D71FE"/>
    <w:rsid w:val="007D792B"/>
    <w:rsid w:val="007D7DE6"/>
    <w:rsid w:val="007E09E2"/>
    <w:rsid w:val="007E0EDF"/>
    <w:rsid w:val="007E106E"/>
    <w:rsid w:val="007E1531"/>
    <w:rsid w:val="007E170F"/>
    <w:rsid w:val="007E1D66"/>
    <w:rsid w:val="007E42BD"/>
    <w:rsid w:val="007E4333"/>
    <w:rsid w:val="007E442B"/>
    <w:rsid w:val="007E4568"/>
    <w:rsid w:val="007E49F9"/>
    <w:rsid w:val="007E4B23"/>
    <w:rsid w:val="007E4D80"/>
    <w:rsid w:val="007E4DC6"/>
    <w:rsid w:val="007E5C1D"/>
    <w:rsid w:val="007E6F17"/>
    <w:rsid w:val="007E6FF8"/>
    <w:rsid w:val="007E7084"/>
    <w:rsid w:val="007E7AAC"/>
    <w:rsid w:val="007E7BA6"/>
    <w:rsid w:val="007F0356"/>
    <w:rsid w:val="007F138F"/>
    <w:rsid w:val="007F16E7"/>
    <w:rsid w:val="007F1C23"/>
    <w:rsid w:val="007F3089"/>
    <w:rsid w:val="007F3E60"/>
    <w:rsid w:val="007F5B42"/>
    <w:rsid w:val="007F6370"/>
    <w:rsid w:val="007F67F6"/>
    <w:rsid w:val="007F7223"/>
    <w:rsid w:val="007F77A0"/>
    <w:rsid w:val="00800351"/>
    <w:rsid w:val="00801145"/>
    <w:rsid w:val="00801344"/>
    <w:rsid w:val="008019EC"/>
    <w:rsid w:val="00801A50"/>
    <w:rsid w:val="008021E8"/>
    <w:rsid w:val="00803103"/>
    <w:rsid w:val="008031BC"/>
    <w:rsid w:val="008031C5"/>
    <w:rsid w:val="00804838"/>
    <w:rsid w:val="008059C5"/>
    <w:rsid w:val="00805A71"/>
    <w:rsid w:val="00806135"/>
    <w:rsid w:val="008069A4"/>
    <w:rsid w:val="00807316"/>
    <w:rsid w:val="00807CC4"/>
    <w:rsid w:val="008105C3"/>
    <w:rsid w:val="00810CE2"/>
    <w:rsid w:val="0081174A"/>
    <w:rsid w:val="00811753"/>
    <w:rsid w:val="00811959"/>
    <w:rsid w:val="0081206C"/>
    <w:rsid w:val="008124D7"/>
    <w:rsid w:val="008127BD"/>
    <w:rsid w:val="008127D1"/>
    <w:rsid w:val="008130F6"/>
    <w:rsid w:val="00813107"/>
    <w:rsid w:val="0081354D"/>
    <w:rsid w:val="008136EB"/>
    <w:rsid w:val="00813E53"/>
    <w:rsid w:val="00813F5C"/>
    <w:rsid w:val="008143FD"/>
    <w:rsid w:val="008156DD"/>
    <w:rsid w:val="0081594B"/>
    <w:rsid w:val="00815B41"/>
    <w:rsid w:val="00816604"/>
    <w:rsid w:val="00816779"/>
    <w:rsid w:val="008169BF"/>
    <w:rsid w:val="00816C7C"/>
    <w:rsid w:val="008170F1"/>
    <w:rsid w:val="008170F3"/>
    <w:rsid w:val="008171B5"/>
    <w:rsid w:val="00820A4C"/>
    <w:rsid w:val="008216BC"/>
    <w:rsid w:val="00821D3B"/>
    <w:rsid w:val="00821F0E"/>
    <w:rsid w:val="00821F8F"/>
    <w:rsid w:val="00822BC5"/>
    <w:rsid w:val="00822DEF"/>
    <w:rsid w:val="008234F8"/>
    <w:rsid w:val="0082362D"/>
    <w:rsid w:val="008239F2"/>
    <w:rsid w:val="00823A23"/>
    <w:rsid w:val="00823A97"/>
    <w:rsid w:val="0082424C"/>
    <w:rsid w:val="00824B59"/>
    <w:rsid w:val="0082524A"/>
    <w:rsid w:val="00825E01"/>
    <w:rsid w:val="00825F2B"/>
    <w:rsid w:val="0082624C"/>
    <w:rsid w:val="008268A9"/>
    <w:rsid w:val="00826EBD"/>
    <w:rsid w:val="008275A4"/>
    <w:rsid w:val="00827C31"/>
    <w:rsid w:val="0083004F"/>
    <w:rsid w:val="008302F8"/>
    <w:rsid w:val="00831395"/>
    <w:rsid w:val="008316EF"/>
    <w:rsid w:val="00831CE1"/>
    <w:rsid w:val="00831EA3"/>
    <w:rsid w:val="00832A1C"/>
    <w:rsid w:val="00832AA7"/>
    <w:rsid w:val="008336F3"/>
    <w:rsid w:val="00833854"/>
    <w:rsid w:val="00833B63"/>
    <w:rsid w:val="008345AB"/>
    <w:rsid w:val="00834F2E"/>
    <w:rsid w:val="0083572D"/>
    <w:rsid w:val="0083641C"/>
    <w:rsid w:val="00837DA0"/>
    <w:rsid w:val="008406E2"/>
    <w:rsid w:val="00840C68"/>
    <w:rsid w:val="0084141C"/>
    <w:rsid w:val="00841D0E"/>
    <w:rsid w:val="008426A4"/>
    <w:rsid w:val="00842B83"/>
    <w:rsid w:val="0084335A"/>
    <w:rsid w:val="00843425"/>
    <w:rsid w:val="00843E1C"/>
    <w:rsid w:val="00844198"/>
    <w:rsid w:val="008456C2"/>
    <w:rsid w:val="008460F2"/>
    <w:rsid w:val="00846248"/>
    <w:rsid w:val="0084638D"/>
    <w:rsid w:val="00846B8A"/>
    <w:rsid w:val="00846EDF"/>
    <w:rsid w:val="00850018"/>
    <w:rsid w:val="008504CA"/>
    <w:rsid w:val="0085057E"/>
    <w:rsid w:val="00851242"/>
    <w:rsid w:val="008513ED"/>
    <w:rsid w:val="00851B0C"/>
    <w:rsid w:val="00851EB0"/>
    <w:rsid w:val="00851FD1"/>
    <w:rsid w:val="00852166"/>
    <w:rsid w:val="008528B3"/>
    <w:rsid w:val="00852AD1"/>
    <w:rsid w:val="00852B06"/>
    <w:rsid w:val="00852EE2"/>
    <w:rsid w:val="0085309A"/>
    <w:rsid w:val="008537AC"/>
    <w:rsid w:val="00854541"/>
    <w:rsid w:val="00854542"/>
    <w:rsid w:val="00854A15"/>
    <w:rsid w:val="00854CA9"/>
    <w:rsid w:val="00855216"/>
    <w:rsid w:val="008561C3"/>
    <w:rsid w:val="00856CC8"/>
    <w:rsid w:val="00856DC0"/>
    <w:rsid w:val="00857295"/>
    <w:rsid w:val="008576A0"/>
    <w:rsid w:val="0085780B"/>
    <w:rsid w:val="008603AA"/>
    <w:rsid w:val="00861FA4"/>
    <w:rsid w:val="008633AC"/>
    <w:rsid w:val="008633E1"/>
    <w:rsid w:val="008642A5"/>
    <w:rsid w:val="008645EC"/>
    <w:rsid w:val="00864BBA"/>
    <w:rsid w:val="00864EDD"/>
    <w:rsid w:val="008650A3"/>
    <w:rsid w:val="00866248"/>
    <w:rsid w:val="0086658D"/>
    <w:rsid w:val="00866BD4"/>
    <w:rsid w:val="008671B5"/>
    <w:rsid w:val="00867848"/>
    <w:rsid w:val="00867A4D"/>
    <w:rsid w:val="00870FCB"/>
    <w:rsid w:val="008710E9"/>
    <w:rsid w:val="00871DAF"/>
    <w:rsid w:val="00871E2D"/>
    <w:rsid w:val="00872227"/>
    <w:rsid w:val="00872A62"/>
    <w:rsid w:val="008730AE"/>
    <w:rsid w:val="0087316C"/>
    <w:rsid w:val="008732E1"/>
    <w:rsid w:val="00873627"/>
    <w:rsid w:val="00873A5D"/>
    <w:rsid w:val="008747B7"/>
    <w:rsid w:val="00874BE2"/>
    <w:rsid w:val="0087561E"/>
    <w:rsid w:val="00875733"/>
    <w:rsid w:val="008759D7"/>
    <w:rsid w:val="00875C75"/>
    <w:rsid w:val="008766E2"/>
    <w:rsid w:val="008769A2"/>
    <w:rsid w:val="00876E03"/>
    <w:rsid w:val="00877C38"/>
    <w:rsid w:val="00877D8B"/>
    <w:rsid w:val="00877D90"/>
    <w:rsid w:val="008803D0"/>
    <w:rsid w:val="00880B56"/>
    <w:rsid w:val="00880CC7"/>
    <w:rsid w:val="00880CDC"/>
    <w:rsid w:val="008813DC"/>
    <w:rsid w:val="0088157F"/>
    <w:rsid w:val="008818D2"/>
    <w:rsid w:val="00882177"/>
    <w:rsid w:val="008833C3"/>
    <w:rsid w:val="008835AE"/>
    <w:rsid w:val="00883672"/>
    <w:rsid w:val="008836BF"/>
    <w:rsid w:val="00883D9A"/>
    <w:rsid w:val="00884271"/>
    <w:rsid w:val="00884649"/>
    <w:rsid w:val="00884FE5"/>
    <w:rsid w:val="00885A5B"/>
    <w:rsid w:val="0088743D"/>
    <w:rsid w:val="0089183F"/>
    <w:rsid w:val="0089244E"/>
    <w:rsid w:val="008924CC"/>
    <w:rsid w:val="00892CF3"/>
    <w:rsid w:val="0089347E"/>
    <w:rsid w:val="008935E5"/>
    <w:rsid w:val="00893911"/>
    <w:rsid w:val="00893C37"/>
    <w:rsid w:val="00893C46"/>
    <w:rsid w:val="00893E0F"/>
    <w:rsid w:val="0089463E"/>
    <w:rsid w:val="008949B9"/>
    <w:rsid w:val="00894D9C"/>
    <w:rsid w:val="00895182"/>
    <w:rsid w:val="00896302"/>
    <w:rsid w:val="00896380"/>
    <w:rsid w:val="00896DF2"/>
    <w:rsid w:val="00897539"/>
    <w:rsid w:val="00897B7F"/>
    <w:rsid w:val="008A0118"/>
    <w:rsid w:val="008A0335"/>
    <w:rsid w:val="008A08E1"/>
    <w:rsid w:val="008A152B"/>
    <w:rsid w:val="008A2ABB"/>
    <w:rsid w:val="008A2D2F"/>
    <w:rsid w:val="008A2EBD"/>
    <w:rsid w:val="008A3A38"/>
    <w:rsid w:val="008A42EC"/>
    <w:rsid w:val="008A4D5B"/>
    <w:rsid w:val="008A5449"/>
    <w:rsid w:val="008A5609"/>
    <w:rsid w:val="008A5C94"/>
    <w:rsid w:val="008A7561"/>
    <w:rsid w:val="008A78C6"/>
    <w:rsid w:val="008A78F5"/>
    <w:rsid w:val="008A7946"/>
    <w:rsid w:val="008B0ADD"/>
    <w:rsid w:val="008B1D88"/>
    <w:rsid w:val="008B228E"/>
    <w:rsid w:val="008B3284"/>
    <w:rsid w:val="008B32E4"/>
    <w:rsid w:val="008B3860"/>
    <w:rsid w:val="008B42C9"/>
    <w:rsid w:val="008B47F9"/>
    <w:rsid w:val="008B4FD7"/>
    <w:rsid w:val="008B55B1"/>
    <w:rsid w:val="008B5738"/>
    <w:rsid w:val="008B5896"/>
    <w:rsid w:val="008B59F9"/>
    <w:rsid w:val="008B6373"/>
    <w:rsid w:val="008B64B6"/>
    <w:rsid w:val="008B69AA"/>
    <w:rsid w:val="008B6E2C"/>
    <w:rsid w:val="008B70CB"/>
    <w:rsid w:val="008C0742"/>
    <w:rsid w:val="008C0E21"/>
    <w:rsid w:val="008C0EFD"/>
    <w:rsid w:val="008C189F"/>
    <w:rsid w:val="008C1BC2"/>
    <w:rsid w:val="008C1EC6"/>
    <w:rsid w:val="008C2840"/>
    <w:rsid w:val="008C2861"/>
    <w:rsid w:val="008C4072"/>
    <w:rsid w:val="008C4725"/>
    <w:rsid w:val="008C4EDA"/>
    <w:rsid w:val="008C56B3"/>
    <w:rsid w:val="008C6178"/>
    <w:rsid w:val="008C7305"/>
    <w:rsid w:val="008C73F2"/>
    <w:rsid w:val="008C7CDE"/>
    <w:rsid w:val="008D1221"/>
    <w:rsid w:val="008D1327"/>
    <w:rsid w:val="008D1A21"/>
    <w:rsid w:val="008D1C73"/>
    <w:rsid w:val="008D1CC9"/>
    <w:rsid w:val="008D1EC5"/>
    <w:rsid w:val="008D3ADF"/>
    <w:rsid w:val="008D4156"/>
    <w:rsid w:val="008D44A0"/>
    <w:rsid w:val="008D50B2"/>
    <w:rsid w:val="008D542B"/>
    <w:rsid w:val="008D542E"/>
    <w:rsid w:val="008D60F1"/>
    <w:rsid w:val="008D68D1"/>
    <w:rsid w:val="008D6F08"/>
    <w:rsid w:val="008D70A1"/>
    <w:rsid w:val="008E0D4F"/>
    <w:rsid w:val="008E12BD"/>
    <w:rsid w:val="008E241B"/>
    <w:rsid w:val="008E2BBD"/>
    <w:rsid w:val="008E3A85"/>
    <w:rsid w:val="008E43C9"/>
    <w:rsid w:val="008E4A6D"/>
    <w:rsid w:val="008E4AE3"/>
    <w:rsid w:val="008E50C5"/>
    <w:rsid w:val="008E51D5"/>
    <w:rsid w:val="008E533A"/>
    <w:rsid w:val="008E5AB0"/>
    <w:rsid w:val="008E625D"/>
    <w:rsid w:val="008E62A9"/>
    <w:rsid w:val="008E6BF1"/>
    <w:rsid w:val="008E6E28"/>
    <w:rsid w:val="008E7F51"/>
    <w:rsid w:val="008F04AE"/>
    <w:rsid w:val="008F1996"/>
    <w:rsid w:val="008F1F5C"/>
    <w:rsid w:val="008F1F7B"/>
    <w:rsid w:val="008F2045"/>
    <w:rsid w:val="008F329D"/>
    <w:rsid w:val="008F44BF"/>
    <w:rsid w:val="008F4A4A"/>
    <w:rsid w:val="008F4A81"/>
    <w:rsid w:val="008F4E4D"/>
    <w:rsid w:val="008F567E"/>
    <w:rsid w:val="008F5E32"/>
    <w:rsid w:val="008F644C"/>
    <w:rsid w:val="008F68B6"/>
    <w:rsid w:val="008F6A57"/>
    <w:rsid w:val="008F6D33"/>
    <w:rsid w:val="00901CB5"/>
    <w:rsid w:val="00902F54"/>
    <w:rsid w:val="00903796"/>
    <w:rsid w:val="00903E6C"/>
    <w:rsid w:val="00904CB9"/>
    <w:rsid w:val="00904F1D"/>
    <w:rsid w:val="00905DBA"/>
    <w:rsid w:val="00905E25"/>
    <w:rsid w:val="00906BDE"/>
    <w:rsid w:val="00906E8A"/>
    <w:rsid w:val="00906F0F"/>
    <w:rsid w:val="00906F59"/>
    <w:rsid w:val="0090777B"/>
    <w:rsid w:val="00910916"/>
    <w:rsid w:val="009123CA"/>
    <w:rsid w:val="00912D58"/>
    <w:rsid w:val="00912EDA"/>
    <w:rsid w:val="0091340F"/>
    <w:rsid w:val="009134B9"/>
    <w:rsid w:val="00913744"/>
    <w:rsid w:val="00914142"/>
    <w:rsid w:val="00914377"/>
    <w:rsid w:val="00914957"/>
    <w:rsid w:val="00914A45"/>
    <w:rsid w:val="009159B7"/>
    <w:rsid w:val="0091665A"/>
    <w:rsid w:val="00916FEC"/>
    <w:rsid w:val="00917408"/>
    <w:rsid w:val="00917628"/>
    <w:rsid w:val="009179CB"/>
    <w:rsid w:val="00917BC4"/>
    <w:rsid w:val="00921592"/>
    <w:rsid w:val="00922197"/>
    <w:rsid w:val="0092249A"/>
    <w:rsid w:val="00923733"/>
    <w:rsid w:val="00923C3B"/>
    <w:rsid w:val="0092427D"/>
    <w:rsid w:val="00924D0F"/>
    <w:rsid w:val="00925A4B"/>
    <w:rsid w:val="00925D9E"/>
    <w:rsid w:val="00926589"/>
    <w:rsid w:val="00926D06"/>
    <w:rsid w:val="00927DA0"/>
    <w:rsid w:val="0093097B"/>
    <w:rsid w:val="00931691"/>
    <w:rsid w:val="0093185E"/>
    <w:rsid w:val="00931937"/>
    <w:rsid w:val="00931CB6"/>
    <w:rsid w:val="009330F6"/>
    <w:rsid w:val="00933DA8"/>
    <w:rsid w:val="00934B20"/>
    <w:rsid w:val="00935BEA"/>
    <w:rsid w:val="0093670C"/>
    <w:rsid w:val="009367F8"/>
    <w:rsid w:val="009368EC"/>
    <w:rsid w:val="00936D92"/>
    <w:rsid w:val="00936EA4"/>
    <w:rsid w:val="0093786A"/>
    <w:rsid w:val="00937A38"/>
    <w:rsid w:val="009409F3"/>
    <w:rsid w:val="00940FC2"/>
    <w:rsid w:val="009415E4"/>
    <w:rsid w:val="00941DCC"/>
    <w:rsid w:val="00942513"/>
    <w:rsid w:val="0094254D"/>
    <w:rsid w:val="009425DE"/>
    <w:rsid w:val="00942A9D"/>
    <w:rsid w:val="00944883"/>
    <w:rsid w:val="009449A4"/>
    <w:rsid w:val="00945F66"/>
    <w:rsid w:val="0094606A"/>
    <w:rsid w:val="009464D6"/>
    <w:rsid w:val="00946EDF"/>
    <w:rsid w:val="0095015C"/>
    <w:rsid w:val="009503C5"/>
    <w:rsid w:val="00950A00"/>
    <w:rsid w:val="00951017"/>
    <w:rsid w:val="00951236"/>
    <w:rsid w:val="00951354"/>
    <w:rsid w:val="00951E37"/>
    <w:rsid w:val="00952AE8"/>
    <w:rsid w:val="00952ED5"/>
    <w:rsid w:val="00953074"/>
    <w:rsid w:val="00953127"/>
    <w:rsid w:val="0095383A"/>
    <w:rsid w:val="00955F7F"/>
    <w:rsid w:val="00956610"/>
    <w:rsid w:val="00956616"/>
    <w:rsid w:val="00956806"/>
    <w:rsid w:val="009570A4"/>
    <w:rsid w:val="0095728F"/>
    <w:rsid w:val="00957373"/>
    <w:rsid w:val="00957BDD"/>
    <w:rsid w:val="00957DC4"/>
    <w:rsid w:val="009601CD"/>
    <w:rsid w:val="009602BA"/>
    <w:rsid w:val="00960539"/>
    <w:rsid w:val="00961282"/>
    <w:rsid w:val="0096225A"/>
    <w:rsid w:val="00962443"/>
    <w:rsid w:val="009624C5"/>
    <w:rsid w:val="009628AF"/>
    <w:rsid w:val="009638E5"/>
    <w:rsid w:val="00963D59"/>
    <w:rsid w:val="00963FF7"/>
    <w:rsid w:val="009641D0"/>
    <w:rsid w:val="00964890"/>
    <w:rsid w:val="00964C0B"/>
    <w:rsid w:val="00964CF0"/>
    <w:rsid w:val="00964F7C"/>
    <w:rsid w:val="0096554F"/>
    <w:rsid w:val="00965AF5"/>
    <w:rsid w:val="00965FC4"/>
    <w:rsid w:val="00967C46"/>
    <w:rsid w:val="00967E23"/>
    <w:rsid w:val="00967FCC"/>
    <w:rsid w:val="009704D9"/>
    <w:rsid w:val="00971344"/>
    <w:rsid w:val="00971B97"/>
    <w:rsid w:val="009726DB"/>
    <w:rsid w:val="00972A72"/>
    <w:rsid w:val="00972F2B"/>
    <w:rsid w:val="00973134"/>
    <w:rsid w:val="009742FF"/>
    <w:rsid w:val="009749D1"/>
    <w:rsid w:val="00975B71"/>
    <w:rsid w:val="00975FD3"/>
    <w:rsid w:val="00976507"/>
    <w:rsid w:val="0097753F"/>
    <w:rsid w:val="00982018"/>
    <w:rsid w:val="00982282"/>
    <w:rsid w:val="0098274E"/>
    <w:rsid w:val="00982A1E"/>
    <w:rsid w:val="00982D22"/>
    <w:rsid w:val="009833A5"/>
    <w:rsid w:val="00983862"/>
    <w:rsid w:val="00983BC4"/>
    <w:rsid w:val="00983E4F"/>
    <w:rsid w:val="00985817"/>
    <w:rsid w:val="00985DFC"/>
    <w:rsid w:val="00986078"/>
    <w:rsid w:val="00986408"/>
    <w:rsid w:val="00986A50"/>
    <w:rsid w:val="0098756F"/>
    <w:rsid w:val="00990C86"/>
    <w:rsid w:val="00990DB9"/>
    <w:rsid w:val="0099191B"/>
    <w:rsid w:val="00991AC7"/>
    <w:rsid w:val="00992464"/>
    <w:rsid w:val="00993635"/>
    <w:rsid w:val="00993884"/>
    <w:rsid w:val="00994BE6"/>
    <w:rsid w:val="0099529B"/>
    <w:rsid w:val="0099550C"/>
    <w:rsid w:val="00996C4C"/>
    <w:rsid w:val="00996DC5"/>
    <w:rsid w:val="00997937"/>
    <w:rsid w:val="00997BD0"/>
    <w:rsid w:val="009A0A87"/>
    <w:rsid w:val="009A13A2"/>
    <w:rsid w:val="009A1D51"/>
    <w:rsid w:val="009A2986"/>
    <w:rsid w:val="009A2B67"/>
    <w:rsid w:val="009A3BD0"/>
    <w:rsid w:val="009A3D81"/>
    <w:rsid w:val="009A3F32"/>
    <w:rsid w:val="009A5591"/>
    <w:rsid w:val="009A5690"/>
    <w:rsid w:val="009A65EB"/>
    <w:rsid w:val="009A68E0"/>
    <w:rsid w:val="009B00E4"/>
    <w:rsid w:val="009B03FA"/>
    <w:rsid w:val="009B0752"/>
    <w:rsid w:val="009B1266"/>
    <w:rsid w:val="009B1C0B"/>
    <w:rsid w:val="009B1C57"/>
    <w:rsid w:val="009B3BFD"/>
    <w:rsid w:val="009B3C01"/>
    <w:rsid w:val="009B407B"/>
    <w:rsid w:val="009B4A8A"/>
    <w:rsid w:val="009B5915"/>
    <w:rsid w:val="009B5C1B"/>
    <w:rsid w:val="009B626F"/>
    <w:rsid w:val="009B63E6"/>
    <w:rsid w:val="009B6AF2"/>
    <w:rsid w:val="009B6FD1"/>
    <w:rsid w:val="009B700A"/>
    <w:rsid w:val="009B72BE"/>
    <w:rsid w:val="009B7409"/>
    <w:rsid w:val="009B7911"/>
    <w:rsid w:val="009B79C5"/>
    <w:rsid w:val="009C07F5"/>
    <w:rsid w:val="009C10B3"/>
    <w:rsid w:val="009C10C0"/>
    <w:rsid w:val="009C17EC"/>
    <w:rsid w:val="009C1AFC"/>
    <w:rsid w:val="009C2CC3"/>
    <w:rsid w:val="009C33D0"/>
    <w:rsid w:val="009C3D82"/>
    <w:rsid w:val="009C3E27"/>
    <w:rsid w:val="009C404F"/>
    <w:rsid w:val="009C4FDD"/>
    <w:rsid w:val="009C567E"/>
    <w:rsid w:val="009C7DD4"/>
    <w:rsid w:val="009D0556"/>
    <w:rsid w:val="009D0B14"/>
    <w:rsid w:val="009D114E"/>
    <w:rsid w:val="009D1D9E"/>
    <w:rsid w:val="009D2401"/>
    <w:rsid w:val="009D24A7"/>
    <w:rsid w:val="009D257F"/>
    <w:rsid w:val="009D29FB"/>
    <w:rsid w:val="009D358B"/>
    <w:rsid w:val="009D4C92"/>
    <w:rsid w:val="009D5F9D"/>
    <w:rsid w:val="009D7A24"/>
    <w:rsid w:val="009E06BA"/>
    <w:rsid w:val="009E0780"/>
    <w:rsid w:val="009E0B20"/>
    <w:rsid w:val="009E0EEC"/>
    <w:rsid w:val="009E1070"/>
    <w:rsid w:val="009E130F"/>
    <w:rsid w:val="009E169D"/>
    <w:rsid w:val="009E19EF"/>
    <w:rsid w:val="009E1F67"/>
    <w:rsid w:val="009E229B"/>
    <w:rsid w:val="009E252E"/>
    <w:rsid w:val="009E29FD"/>
    <w:rsid w:val="009E2AFA"/>
    <w:rsid w:val="009E2E5C"/>
    <w:rsid w:val="009E3A7B"/>
    <w:rsid w:val="009E3DFC"/>
    <w:rsid w:val="009E4198"/>
    <w:rsid w:val="009E5183"/>
    <w:rsid w:val="009E528A"/>
    <w:rsid w:val="009E55E9"/>
    <w:rsid w:val="009E574C"/>
    <w:rsid w:val="009E582E"/>
    <w:rsid w:val="009E58A2"/>
    <w:rsid w:val="009E5960"/>
    <w:rsid w:val="009E60A9"/>
    <w:rsid w:val="009E6946"/>
    <w:rsid w:val="009E6EB0"/>
    <w:rsid w:val="009E7225"/>
    <w:rsid w:val="009E7F1D"/>
    <w:rsid w:val="009E7F28"/>
    <w:rsid w:val="009E7FEB"/>
    <w:rsid w:val="009F0172"/>
    <w:rsid w:val="009F1164"/>
    <w:rsid w:val="009F1AA7"/>
    <w:rsid w:val="009F2412"/>
    <w:rsid w:val="009F26B6"/>
    <w:rsid w:val="009F2A37"/>
    <w:rsid w:val="009F4400"/>
    <w:rsid w:val="009F4C4D"/>
    <w:rsid w:val="009F4CCC"/>
    <w:rsid w:val="009F6657"/>
    <w:rsid w:val="009F6860"/>
    <w:rsid w:val="009F68A3"/>
    <w:rsid w:val="009F6A17"/>
    <w:rsid w:val="00A00189"/>
    <w:rsid w:val="00A01EF5"/>
    <w:rsid w:val="00A02C70"/>
    <w:rsid w:val="00A03452"/>
    <w:rsid w:val="00A036EF"/>
    <w:rsid w:val="00A0375F"/>
    <w:rsid w:val="00A03870"/>
    <w:rsid w:val="00A03BE7"/>
    <w:rsid w:val="00A04D5A"/>
    <w:rsid w:val="00A068F4"/>
    <w:rsid w:val="00A06E4E"/>
    <w:rsid w:val="00A0736D"/>
    <w:rsid w:val="00A0748B"/>
    <w:rsid w:val="00A07FB8"/>
    <w:rsid w:val="00A07FC7"/>
    <w:rsid w:val="00A10040"/>
    <w:rsid w:val="00A10A4D"/>
    <w:rsid w:val="00A1192E"/>
    <w:rsid w:val="00A119FF"/>
    <w:rsid w:val="00A11F76"/>
    <w:rsid w:val="00A12465"/>
    <w:rsid w:val="00A12D7A"/>
    <w:rsid w:val="00A13694"/>
    <w:rsid w:val="00A13B7A"/>
    <w:rsid w:val="00A149FD"/>
    <w:rsid w:val="00A15280"/>
    <w:rsid w:val="00A158BF"/>
    <w:rsid w:val="00A15B43"/>
    <w:rsid w:val="00A15FFA"/>
    <w:rsid w:val="00A1608D"/>
    <w:rsid w:val="00A16D15"/>
    <w:rsid w:val="00A17247"/>
    <w:rsid w:val="00A176C9"/>
    <w:rsid w:val="00A17ACA"/>
    <w:rsid w:val="00A17EC9"/>
    <w:rsid w:val="00A20964"/>
    <w:rsid w:val="00A20989"/>
    <w:rsid w:val="00A212CE"/>
    <w:rsid w:val="00A216B2"/>
    <w:rsid w:val="00A22203"/>
    <w:rsid w:val="00A22C04"/>
    <w:rsid w:val="00A231B7"/>
    <w:rsid w:val="00A2355A"/>
    <w:rsid w:val="00A23AE7"/>
    <w:rsid w:val="00A240C2"/>
    <w:rsid w:val="00A24740"/>
    <w:rsid w:val="00A24BD7"/>
    <w:rsid w:val="00A24F25"/>
    <w:rsid w:val="00A24F6F"/>
    <w:rsid w:val="00A25293"/>
    <w:rsid w:val="00A25341"/>
    <w:rsid w:val="00A25493"/>
    <w:rsid w:val="00A25919"/>
    <w:rsid w:val="00A2646E"/>
    <w:rsid w:val="00A26643"/>
    <w:rsid w:val="00A274BB"/>
    <w:rsid w:val="00A30176"/>
    <w:rsid w:val="00A30770"/>
    <w:rsid w:val="00A308DC"/>
    <w:rsid w:val="00A30B1D"/>
    <w:rsid w:val="00A30D5B"/>
    <w:rsid w:val="00A3113A"/>
    <w:rsid w:val="00A31C41"/>
    <w:rsid w:val="00A31F41"/>
    <w:rsid w:val="00A3254F"/>
    <w:rsid w:val="00A32A24"/>
    <w:rsid w:val="00A332BA"/>
    <w:rsid w:val="00A3341F"/>
    <w:rsid w:val="00A33564"/>
    <w:rsid w:val="00A33AC1"/>
    <w:rsid w:val="00A33B89"/>
    <w:rsid w:val="00A33DF4"/>
    <w:rsid w:val="00A34E3B"/>
    <w:rsid w:val="00A3582C"/>
    <w:rsid w:val="00A36085"/>
    <w:rsid w:val="00A36946"/>
    <w:rsid w:val="00A3775A"/>
    <w:rsid w:val="00A37A95"/>
    <w:rsid w:val="00A37D12"/>
    <w:rsid w:val="00A40206"/>
    <w:rsid w:val="00A41582"/>
    <w:rsid w:val="00A41D86"/>
    <w:rsid w:val="00A42007"/>
    <w:rsid w:val="00A42009"/>
    <w:rsid w:val="00A422A3"/>
    <w:rsid w:val="00A43E3F"/>
    <w:rsid w:val="00A44380"/>
    <w:rsid w:val="00A45599"/>
    <w:rsid w:val="00A46174"/>
    <w:rsid w:val="00A46BCD"/>
    <w:rsid w:val="00A46E88"/>
    <w:rsid w:val="00A50008"/>
    <w:rsid w:val="00A5087D"/>
    <w:rsid w:val="00A50D14"/>
    <w:rsid w:val="00A5135E"/>
    <w:rsid w:val="00A515ED"/>
    <w:rsid w:val="00A51930"/>
    <w:rsid w:val="00A528F5"/>
    <w:rsid w:val="00A52B7A"/>
    <w:rsid w:val="00A52D16"/>
    <w:rsid w:val="00A53644"/>
    <w:rsid w:val="00A5398E"/>
    <w:rsid w:val="00A5432B"/>
    <w:rsid w:val="00A54B42"/>
    <w:rsid w:val="00A54C7B"/>
    <w:rsid w:val="00A54E64"/>
    <w:rsid w:val="00A557F8"/>
    <w:rsid w:val="00A5654E"/>
    <w:rsid w:val="00A575EB"/>
    <w:rsid w:val="00A60057"/>
    <w:rsid w:val="00A60580"/>
    <w:rsid w:val="00A6098A"/>
    <w:rsid w:val="00A60B3F"/>
    <w:rsid w:val="00A60E2E"/>
    <w:rsid w:val="00A61F4C"/>
    <w:rsid w:val="00A62196"/>
    <w:rsid w:val="00A62856"/>
    <w:rsid w:val="00A628F4"/>
    <w:rsid w:val="00A62D15"/>
    <w:rsid w:val="00A62E29"/>
    <w:rsid w:val="00A6355F"/>
    <w:rsid w:val="00A635F1"/>
    <w:rsid w:val="00A641AB"/>
    <w:rsid w:val="00A6435D"/>
    <w:rsid w:val="00A64FAD"/>
    <w:rsid w:val="00A6625D"/>
    <w:rsid w:val="00A6642C"/>
    <w:rsid w:val="00A66A6A"/>
    <w:rsid w:val="00A708B2"/>
    <w:rsid w:val="00A70F8C"/>
    <w:rsid w:val="00A711C7"/>
    <w:rsid w:val="00A72442"/>
    <w:rsid w:val="00A724E1"/>
    <w:rsid w:val="00A73166"/>
    <w:rsid w:val="00A731B9"/>
    <w:rsid w:val="00A737C2"/>
    <w:rsid w:val="00A73FC0"/>
    <w:rsid w:val="00A74205"/>
    <w:rsid w:val="00A75274"/>
    <w:rsid w:val="00A75A99"/>
    <w:rsid w:val="00A75F48"/>
    <w:rsid w:val="00A760D5"/>
    <w:rsid w:val="00A766EA"/>
    <w:rsid w:val="00A76BB1"/>
    <w:rsid w:val="00A77191"/>
    <w:rsid w:val="00A77894"/>
    <w:rsid w:val="00A8068D"/>
    <w:rsid w:val="00A80B2D"/>
    <w:rsid w:val="00A81A5F"/>
    <w:rsid w:val="00A81EF3"/>
    <w:rsid w:val="00A82B61"/>
    <w:rsid w:val="00A833FA"/>
    <w:rsid w:val="00A839C4"/>
    <w:rsid w:val="00A83E31"/>
    <w:rsid w:val="00A8475A"/>
    <w:rsid w:val="00A84BDE"/>
    <w:rsid w:val="00A84FE8"/>
    <w:rsid w:val="00A85021"/>
    <w:rsid w:val="00A857A6"/>
    <w:rsid w:val="00A86521"/>
    <w:rsid w:val="00A87589"/>
    <w:rsid w:val="00A87F9E"/>
    <w:rsid w:val="00A904F3"/>
    <w:rsid w:val="00A9209B"/>
    <w:rsid w:val="00A93548"/>
    <w:rsid w:val="00A93AE1"/>
    <w:rsid w:val="00A93C23"/>
    <w:rsid w:val="00A93F94"/>
    <w:rsid w:val="00A942E5"/>
    <w:rsid w:val="00A95A4D"/>
    <w:rsid w:val="00A95D15"/>
    <w:rsid w:val="00A9638B"/>
    <w:rsid w:val="00A964F4"/>
    <w:rsid w:val="00A9681C"/>
    <w:rsid w:val="00A9692C"/>
    <w:rsid w:val="00A96AC6"/>
    <w:rsid w:val="00A96B73"/>
    <w:rsid w:val="00A96BC4"/>
    <w:rsid w:val="00A96D3F"/>
    <w:rsid w:val="00A96FB9"/>
    <w:rsid w:val="00A974A3"/>
    <w:rsid w:val="00A97D53"/>
    <w:rsid w:val="00A97FCE"/>
    <w:rsid w:val="00AA19C3"/>
    <w:rsid w:val="00AA19FF"/>
    <w:rsid w:val="00AA2266"/>
    <w:rsid w:val="00AA2661"/>
    <w:rsid w:val="00AA26FE"/>
    <w:rsid w:val="00AA2B10"/>
    <w:rsid w:val="00AA3071"/>
    <w:rsid w:val="00AA3AC7"/>
    <w:rsid w:val="00AA3F3F"/>
    <w:rsid w:val="00AA4165"/>
    <w:rsid w:val="00AA4753"/>
    <w:rsid w:val="00AA4E07"/>
    <w:rsid w:val="00AA4F76"/>
    <w:rsid w:val="00AA4F8D"/>
    <w:rsid w:val="00AA5B09"/>
    <w:rsid w:val="00AA635B"/>
    <w:rsid w:val="00AA695E"/>
    <w:rsid w:val="00AA6CA2"/>
    <w:rsid w:val="00AA6D65"/>
    <w:rsid w:val="00AA70FE"/>
    <w:rsid w:val="00AA7843"/>
    <w:rsid w:val="00AA7C0C"/>
    <w:rsid w:val="00AB0106"/>
    <w:rsid w:val="00AB0DB4"/>
    <w:rsid w:val="00AB0E45"/>
    <w:rsid w:val="00AB1011"/>
    <w:rsid w:val="00AB18E1"/>
    <w:rsid w:val="00AB2034"/>
    <w:rsid w:val="00AB2770"/>
    <w:rsid w:val="00AB2BC0"/>
    <w:rsid w:val="00AB40C3"/>
    <w:rsid w:val="00AB41F1"/>
    <w:rsid w:val="00AB491B"/>
    <w:rsid w:val="00AB4A68"/>
    <w:rsid w:val="00AB4D12"/>
    <w:rsid w:val="00AB5807"/>
    <w:rsid w:val="00AB5D7A"/>
    <w:rsid w:val="00AB5DC8"/>
    <w:rsid w:val="00AB5ED0"/>
    <w:rsid w:val="00AB6BBB"/>
    <w:rsid w:val="00AB7C40"/>
    <w:rsid w:val="00AB7F93"/>
    <w:rsid w:val="00AC01A5"/>
    <w:rsid w:val="00AC0657"/>
    <w:rsid w:val="00AC18DF"/>
    <w:rsid w:val="00AC201A"/>
    <w:rsid w:val="00AC2270"/>
    <w:rsid w:val="00AC2829"/>
    <w:rsid w:val="00AC2EDA"/>
    <w:rsid w:val="00AC3A84"/>
    <w:rsid w:val="00AC440A"/>
    <w:rsid w:val="00AC449E"/>
    <w:rsid w:val="00AC4F8C"/>
    <w:rsid w:val="00AC51A9"/>
    <w:rsid w:val="00AC64F4"/>
    <w:rsid w:val="00AC6D59"/>
    <w:rsid w:val="00AC6F72"/>
    <w:rsid w:val="00AC7865"/>
    <w:rsid w:val="00AC7D22"/>
    <w:rsid w:val="00AC7F19"/>
    <w:rsid w:val="00AD0DB0"/>
    <w:rsid w:val="00AD10C0"/>
    <w:rsid w:val="00AD1AA9"/>
    <w:rsid w:val="00AD234F"/>
    <w:rsid w:val="00AD2B28"/>
    <w:rsid w:val="00AD34B4"/>
    <w:rsid w:val="00AD3D0C"/>
    <w:rsid w:val="00AD3E2B"/>
    <w:rsid w:val="00AD4E75"/>
    <w:rsid w:val="00AD5F23"/>
    <w:rsid w:val="00AD68DD"/>
    <w:rsid w:val="00AD7078"/>
    <w:rsid w:val="00AD72F1"/>
    <w:rsid w:val="00AD7502"/>
    <w:rsid w:val="00AD7730"/>
    <w:rsid w:val="00AD7BD8"/>
    <w:rsid w:val="00AE04BC"/>
    <w:rsid w:val="00AE05CE"/>
    <w:rsid w:val="00AE1686"/>
    <w:rsid w:val="00AE1A76"/>
    <w:rsid w:val="00AE2249"/>
    <w:rsid w:val="00AE25E5"/>
    <w:rsid w:val="00AE27E5"/>
    <w:rsid w:val="00AE30A9"/>
    <w:rsid w:val="00AE487F"/>
    <w:rsid w:val="00AE51C4"/>
    <w:rsid w:val="00AE57B9"/>
    <w:rsid w:val="00AE64BC"/>
    <w:rsid w:val="00AE6ADE"/>
    <w:rsid w:val="00AE7AD4"/>
    <w:rsid w:val="00AE7F7C"/>
    <w:rsid w:val="00AF1256"/>
    <w:rsid w:val="00AF1A73"/>
    <w:rsid w:val="00AF1C22"/>
    <w:rsid w:val="00AF3023"/>
    <w:rsid w:val="00AF326E"/>
    <w:rsid w:val="00AF32E4"/>
    <w:rsid w:val="00AF4059"/>
    <w:rsid w:val="00AF4BAE"/>
    <w:rsid w:val="00AF53F4"/>
    <w:rsid w:val="00AF588C"/>
    <w:rsid w:val="00AF5CA7"/>
    <w:rsid w:val="00AF61EE"/>
    <w:rsid w:val="00AF671A"/>
    <w:rsid w:val="00AF6AF6"/>
    <w:rsid w:val="00AF7692"/>
    <w:rsid w:val="00B00742"/>
    <w:rsid w:val="00B00CBE"/>
    <w:rsid w:val="00B00DA4"/>
    <w:rsid w:val="00B02581"/>
    <w:rsid w:val="00B029AD"/>
    <w:rsid w:val="00B02A88"/>
    <w:rsid w:val="00B03908"/>
    <w:rsid w:val="00B03D9B"/>
    <w:rsid w:val="00B051C5"/>
    <w:rsid w:val="00B051ED"/>
    <w:rsid w:val="00B05FD9"/>
    <w:rsid w:val="00B06444"/>
    <w:rsid w:val="00B10CB8"/>
    <w:rsid w:val="00B1113B"/>
    <w:rsid w:val="00B114B3"/>
    <w:rsid w:val="00B1187D"/>
    <w:rsid w:val="00B123D2"/>
    <w:rsid w:val="00B13ABC"/>
    <w:rsid w:val="00B14CAA"/>
    <w:rsid w:val="00B14F03"/>
    <w:rsid w:val="00B1572B"/>
    <w:rsid w:val="00B15BCE"/>
    <w:rsid w:val="00B16CA2"/>
    <w:rsid w:val="00B171D3"/>
    <w:rsid w:val="00B203F0"/>
    <w:rsid w:val="00B20900"/>
    <w:rsid w:val="00B21153"/>
    <w:rsid w:val="00B21D75"/>
    <w:rsid w:val="00B22450"/>
    <w:rsid w:val="00B22572"/>
    <w:rsid w:val="00B228B9"/>
    <w:rsid w:val="00B22915"/>
    <w:rsid w:val="00B22C92"/>
    <w:rsid w:val="00B23635"/>
    <w:rsid w:val="00B2425C"/>
    <w:rsid w:val="00B2541B"/>
    <w:rsid w:val="00B2552B"/>
    <w:rsid w:val="00B2653A"/>
    <w:rsid w:val="00B265F1"/>
    <w:rsid w:val="00B26754"/>
    <w:rsid w:val="00B26C47"/>
    <w:rsid w:val="00B270A8"/>
    <w:rsid w:val="00B2714F"/>
    <w:rsid w:val="00B27900"/>
    <w:rsid w:val="00B27C39"/>
    <w:rsid w:val="00B3041C"/>
    <w:rsid w:val="00B30DD1"/>
    <w:rsid w:val="00B30EFC"/>
    <w:rsid w:val="00B3216A"/>
    <w:rsid w:val="00B32903"/>
    <w:rsid w:val="00B33924"/>
    <w:rsid w:val="00B3437B"/>
    <w:rsid w:val="00B3541E"/>
    <w:rsid w:val="00B35605"/>
    <w:rsid w:val="00B36392"/>
    <w:rsid w:val="00B36394"/>
    <w:rsid w:val="00B372E2"/>
    <w:rsid w:val="00B374EB"/>
    <w:rsid w:val="00B37A4B"/>
    <w:rsid w:val="00B37CFC"/>
    <w:rsid w:val="00B37E0C"/>
    <w:rsid w:val="00B40443"/>
    <w:rsid w:val="00B40CC2"/>
    <w:rsid w:val="00B41EC0"/>
    <w:rsid w:val="00B4220F"/>
    <w:rsid w:val="00B4266C"/>
    <w:rsid w:val="00B42C0C"/>
    <w:rsid w:val="00B434F7"/>
    <w:rsid w:val="00B4355A"/>
    <w:rsid w:val="00B43832"/>
    <w:rsid w:val="00B43A0A"/>
    <w:rsid w:val="00B43DBE"/>
    <w:rsid w:val="00B44583"/>
    <w:rsid w:val="00B445C5"/>
    <w:rsid w:val="00B4470B"/>
    <w:rsid w:val="00B44D11"/>
    <w:rsid w:val="00B4501D"/>
    <w:rsid w:val="00B452B7"/>
    <w:rsid w:val="00B45390"/>
    <w:rsid w:val="00B45EEC"/>
    <w:rsid w:val="00B45EF2"/>
    <w:rsid w:val="00B46231"/>
    <w:rsid w:val="00B46385"/>
    <w:rsid w:val="00B46570"/>
    <w:rsid w:val="00B46D8C"/>
    <w:rsid w:val="00B46F00"/>
    <w:rsid w:val="00B47674"/>
    <w:rsid w:val="00B479C8"/>
    <w:rsid w:val="00B47D3C"/>
    <w:rsid w:val="00B50858"/>
    <w:rsid w:val="00B508AB"/>
    <w:rsid w:val="00B50CFF"/>
    <w:rsid w:val="00B5103F"/>
    <w:rsid w:val="00B51C43"/>
    <w:rsid w:val="00B5251D"/>
    <w:rsid w:val="00B529A9"/>
    <w:rsid w:val="00B5368F"/>
    <w:rsid w:val="00B53E01"/>
    <w:rsid w:val="00B53EB7"/>
    <w:rsid w:val="00B53F28"/>
    <w:rsid w:val="00B545D2"/>
    <w:rsid w:val="00B54B49"/>
    <w:rsid w:val="00B5547B"/>
    <w:rsid w:val="00B563AA"/>
    <w:rsid w:val="00B56829"/>
    <w:rsid w:val="00B5704D"/>
    <w:rsid w:val="00B578BB"/>
    <w:rsid w:val="00B57ECF"/>
    <w:rsid w:val="00B6010B"/>
    <w:rsid w:val="00B60819"/>
    <w:rsid w:val="00B60A0D"/>
    <w:rsid w:val="00B60EBA"/>
    <w:rsid w:val="00B60F5C"/>
    <w:rsid w:val="00B60FDA"/>
    <w:rsid w:val="00B61503"/>
    <w:rsid w:val="00B6226B"/>
    <w:rsid w:val="00B634D1"/>
    <w:rsid w:val="00B636FB"/>
    <w:rsid w:val="00B6405B"/>
    <w:rsid w:val="00B64FA2"/>
    <w:rsid w:val="00B65343"/>
    <w:rsid w:val="00B658DA"/>
    <w:rsid w:val="00B65B13"/>
    <w:rsid w:val="00B664A6"/>
    <w:rsid w:val="00B66BE3"/>
    <w:rsid w:val="00B66CAF"/>
    <w:rsid w:val="00B66E7B"/>
    <w:rsid w:val="00B6797A"/>
    <w:rsid w:val="00B67CCD"/>
    <w:rsid w:val="00B67EC8"/>
    <w:rsid w:val="00B70816"/>
    <w:rsid w:val="00B70859"/>
    <w:rsid w:val="00B70FAC"/>
    <w:rsid w:val="00B7172C"/>
    <w:rsid w:val="00B718D3"/>
    <w:rsid w:val="00B71B0C"/>
    <w:rsid w:val="00B71E82"/>
    <w:rsid w:val="00B72263"/>
    <w:rsid w:val="00B72421"/>
    <w:rsid w:val="00B743F2"/>
    <w:rsid w:val="00B74A63"/>
    <w:rsid w:val="00B74CF3"/>
    <w:rsid w:val="00B75781"/>
    <w:rsid w:val="00B769DE"/>
    <w:rsid w:val="00B77F72"/>
    <w:rsid w:val="00B77FBD"/>
    <w:rsid w:val="00B8065F"/>
    <w:rsid w:val="00B8079F"/>
    <w:rsid w:val="00B81410"/>
    <w:rsid w:val="00B8385C"/>
    <w:rsid w:val="00B83937"/>
    <w:rsid w:val="00B849B2"/>
    <w:rsid w:val="00B84D7E"/>
    <w:rsid w:val="00B84EB5"/>
    <w:rsid w:val="00B850A8"/>
    <w:rsid w:val="00B860CA"/>
    <w:rsid w:val="00B86AE5"/>
    <w:rsid w:val="00B86CE5"/>
    <w:rsid w:val="00B87A2F"/>
    <w:rsid w:val="00B87CAF"/>
    <w:rsid w:val="00B903C5"/>
    <w:rsid w:val="00B90F7A"/>
    <w:rsid w:val="00B91637"/>
    <w:rsid w:val="00B91811"/>
    <w:rsid w:val="00B9254B"/>
    <w:rsid w:val="00B927E1"/>
    <w:rsid w:val="00B92D15"/>
    <w:rsid w:val="00B9338A"/>
    <w:rsid w:val="00B9348A"/>
    <w:rsid w:val="00B93586"/>
    <w:rsid w:val="00B938E2"/>
    <w:rsid w:val="00B93C59"/>
    <w:rsid w:val="00B94358"/>
    <w:rsid w:val="00B94E9D"/>
    <w:rsid w:val="00B9564C"/>
    <w:rsid w:val="00B95E97"/>
    <w:rsid w:val="00B96429"/>
    <w:rsid w:val="00B966CE"/>
    <w:rsid w:val="00B96739"/>
    <w:rsid w:val="00B969A9"/>
    <w:rsid w:val="00B96A8A"/>
    <w:rsid w:val="00B96A97"/>
    <w:rsid w:val="00B96BAC"/>
    <w:rsid w:val="00B975F5"/>
    <w:rsid w:val="00BA09C6"/>
    <w:rsid w:val="00BA0ABE"/>
    <w:rsid w:val="00BA0E2D"/>
    <w:rsid w:val="00BA1A1D"/>
    <w:rsid w:val="00BA2AF6"/>
    <w:rsid w:val="00BA2F24"/>
    <w:rsid w:val="00BA323B"/>
    <w:rsid w:val="00BA33A2"/>
    <w:rsid w:val="00BA3560"/>
    <w:rsid w:val="00BA36B7"/>
    <w:rsid w:val="00BA5937"/>
    <w:rsid w:val="00BA5BD8"/>
    <w:rsid w:val="00BA5CF5"/>
    <w:rsid w:val="00BA6054"/>
    <w:rsid w:val="00BA60CF"/>
    <w:rsid w:val="00BA6700"/>
    <w:rsid w:val="00BA6F45"/>
    <w:rsid w:val="00BA6F86"/>
    <w:rsid w:val="00BA757C"/>
    <w:rsid w:val="00BB07B9"/>
    <w:rsid w:val="00BB08D0"/>
    <w:rsid w:val="00BB10D4"/>
    <w:rsid w:val="00BB1204"/>
    <w:rsid w:val="00BB1F71"/>
    <w:rsid w:val="00BB2F18"/>
    <w:rsid w:val="00BB3B62"/>
    <w:rsid w:val="00BB3E01"/>
    <w:rsid w:val="00BB411B"/>
    <w:rsid w:val="00BB4806"/>
    <w:rsid w:val="00BB4835"/>
    <w:rsid w:val="00BB4936"/>
    <w:rsid w:val="00BB4B88"/>
    <w:rsid w:val="00BB4B8F"/>
    <w:rsid w:val="00BB6061"/>
    <w:rsid w:val="00BB633D"/>
    <w:rsid w:val="00BB6D38"/>
    <w:rsid w:val="00BB6E22"/>
    <w:rsid w:val="00BB6FB3"/>
    <w:rsid w:val="00BB7510"/>
    <w:rsid w:val="00BB7853"/>
    <w:rsid w:val="00BB7E0D"/>
    <w:rsid w:val="00BC097E"/>
    <w:rsid w:val="00BC0DC1"/>
    <w:rsid w:val="00BC209F"/>
    <w:rsid w:val="00BC3605"/>
    <w:rsid w:val="00BC360C"/>
    <w:rsid w:val="00BC3984"/>
    <w:rsid w:val="00BC44EA"/>
    <w:rsid w:val="00BC4E9D"/>
    <w:rsid w:val="00BC5001"/>
    <w:rsid w:val="00BC5562"/>
    <w:rsid w:val="00BC67B3"/>
    <w:rsid w:val="00BC753A"/>
    <w:rsid w:val="00BC7CD5"/>
    <w:rsid w:val="00BC7DA1"/>
    <w:rsid w:val="00BD08DE"/>
    <w:rsid w:val="00BD0BE0"/>
    <w:rsid w:val="00BD1026"/>
    <w:rsid w:val="00BD11EF"/>
    <w:rsid w:val="00BD2079"/>
    <w:rsid w:val="00BD2D56"/>
    <w:rsid w:val="00BD2E93"/>
    <w:rsid w:val="00BD2EF8"/>
    <w:rsid w:val="00BD31E8"/>
    <w:rsid w:val="00BD3453"/>
    <w:rsid w:val="00BD3698"/>
    <w:rsid w:val="00BD381A"/>
    <w:rsid w:val="00BD4954"/>
    <w:rsid w:val="00BD4B5D"/>
    <w:rsid w:val="00BD5A82"/>
    <w:rsid w:val="00BD5E8F"/>
    <w:rsid w:val="00BD7C0A"/>
    <w:rsid w:val="00BD7E0E"/>
    <w:rsid w:val="00BE16FB"/>
    <w:rsid w:val="00BE1F02"/>
    <w:rsid w:val="00BE2FEF"/>
    <w:rsid w:val="00BE3246"/>
    <w:rsid w:val="00BE39F0"/>
    <w:rsid w:val="00BE3B5E"/>
    <w:rsid w:val="00BE4A04"/>
    <w:rsid w:val="00BE4BDE"/>
    <w:rsid w:val="00BE4D49"/>
    <w:rsid w:val="00BE5AAF"/>
    <w:rsid w:val="00BE5C83"/>
    <w:rsid w:val="00BE69B3"/>
    <w:rsid w:val="00BE73DD"/>
    <w:rsid w:val="00BE7429"/>
    <w:rsid w:val="00BE7995"/>
    <w:rsid w:val="00BF0507"/>
    <w:rsid w:val="00BF0B92"/>
    <w:rsid w:val="00BF1834"/>
    <w:rsid w:val="00BF196C"/>
    <w:rsid w:val="00BF1A98"/>
    <w:rsid w:val="00BF1E43"/>
    <w:rsid w:val="00BF20BE"/>
    <w:rsid w:val="00BF291C"/>
    <w:rsid w:val="00BF339B"/>
    <w:rsid w:val="00BF383B"/>
    <w:rsid w:val="00BF3CC2"/>
    <w:rsid w:val="00BF3DCE"/>
    <w:rsid w:val="00BF4721"/>
    <w:rsid w:val="00BF4D1B"/>
    <w:rsid w:val="00BF514E"/>
    <w:rsid w:val="00BF53DB"/>
    <w:rsid w:val="00BF549D"/>
    <w:rsid w:val="00BF6818"/>
    <w:rsid w:val="00BF77AA"/>
    <w:rsid w:val="00BF7969"/>
    <w:rsid w:val="00BF7B03"/>
    <w:rsid w:val="00C00392"/>
    <w:rsid w:val="00C00DB9"/>
    <w:rsid w:val="00C00E25"/>
    <w:rsid w:val="00C00FE3"/>
    <w:rsid w:val="00C0132E"/>
    <w:rsid w:val="00C01923"/>
    <w:rsid w:val="00C01C58"/>
    <w:rsid w:val="00C01E40"/>
    <w:rsid w:val="00C01EBC"/>
    <w:rsid w:val="00C01EF3"/>
    <w:rsid w:val="00C02C84"/>
    <w:rsid w:val="00C02D2F"/>
    <w:rsid w:val="00C035F3"/>
    <w:rsid w:val="00C03DB0"/>
    <w:rsid w:val="00C04291"/>
    <w:rsid w:val="00C052EC"/>
    <w:rsid w:val="00C05EA0"/>
    <w:rsid w:val="00C06256"/>
    <w:rsid w:val="00C069BF"/>
    <w:rsid w:val="00C06DC4"/>
    <w:rsid w:val="00C0784F"/>
    <w:rsid w:val="00C07942"/>
    <w:rsid w:val="00C07CAF"/>
    <w:rsid w:val="00C10035"/>
    <w:rsid w:val="00C10700"/>
    <w:rsid w:val="00C10B4C"/>
    <w:rsid w:val="00C11270"/>
    <w:rsid w:val="00C11E4B"/>
    <w:rsid w:val="00C1276C"/>
    <w:rsid w:val="00C12D2B"/>
    <w:rsid w:val="00C12ED9"/>
    <w:rsid w:val="00C13FD9"/>
    <w:rsid w:val="00C1498D"/>
    <w:rsid w:val="00C14E6D"/>
    <w:rsid w:val="00C15199"/>
    <w:rsid w:val="00C154A6"/>
    <w:rsid w:val="00C156B5"/>
    <w:rsid w:val="00C159DE"/>
    <w:rsid w:val="00C172B7"/>
    <w:rsid w:val="00C17C8F"/>
    <w:rsid w:val="00C208ED"/>
    <w:rsid w:val="00C20906"/>
    <w:rsid w:val="00C20F46"/>
    <w:rsid w:val="00C2167D"/>
    <w:rsid w:val="00C22B0A"/>
    <w:rsid w:val="00C22F3C"/>
    <w:rsid w:val="00C2308B"/>
    <w:rsid w:val="00C23B27"/>
    <w:rsid w:val="00C2425B"/>
    <w:rsid w:val="00C2441F"/>
    <w:rsid w:val="00C24543"/>
    <w:rsid w:val="00C25065"/>
    <w:rsid w:val="00C26084"/>
    <w:rsid w:val="00C27007"/>
    <w:rsid w:val="00C273CA"/>
    <w:rsid w:val="00C27A29"/>
    <w:rsid w:val="00C27F7D"/>
    <w:rsid w:val="00C27F83"/>
    <w:rsid w:val="00C3066F"/>
    <w:rsid w:val="00C30C09"/>
    <w:rsid w:val="00C315C2"/>
    <w:rsid w:val="00C322A9"/>
    <w:rsid w:val="00C329F2"/>
    <w:rsid w:val="00C32B01"/>
    <w:rsid w:val="00C33294"/>
    <w:rsid w:val="00C33C64"/>
    <w:rsid w:val="00C3430B"/>
    <w:rsid w:val="00C34B10"/>
    <w:rsid w:val="00C36041"/>
    <w:rsid w:val="00C36116"/>
    <w:rsid w:val="00C365AC"/>
    <w:rsid w:val="00C37977"/>
    <w:rsid w:val="00C37CB6"/>
    <w:rsid w:val="00C37FE9"/>
    <w:rsid w:val="00C402C8"/>
    <w:rsid w:val="00C40E00"/>
    <w:rsid w:val="00C40EE6"/>
    <w:rsid w:val="00C40F35"/>
    <w:rsid w:val="00C41BB5"/>
    <w:rsid w:val="00C423CF"/>
    <w:rsid w:val="00C4372B"/>
    <w:rsid w:val="00C447DF"/>
    <w:rsid w:val="00C44D98"/>
    <w:rsid w:val="00C45258"/>
    <w:rsid w:val="00C45B91"/>
    <w:rsid w:val="00C45CC8"/>
    <w:rsid w:val="00C47A5F"/>
    <w:rsid w:val="00C47FA7"/>
    <w:rsid w:val="00C50799"/>
    <w:rsid w:val="00C508DD"/>
    <w:rsid w:val="00C50F21"/>
    <w:rsid w:val="00C510D3"/>
    <w:rsid w:val="00C512F1"/>
    <w:rsid w:val="00C51A9F"/>
    <w:rsid w:val="00C52F45"/>
    <w:rsid w:val="00C5331A"/>
    <w:rsid w:val="00C5376B"/>
    <w:rsid w:val="00C53B22"/>
    <w:rsid w:val="00C53D4F"/>
    <w:rsid w:val="00C54C4A"/>
    <w:rsid w:val="00C54E32"/>
    <w:rsid w:val="00C550B2"/>
    <w:rsid w:val="00C55198"/>
    <w:rsid w:val="00C559DC"/>
    <w:rsid w:val="00C57FDA"/>
    <w:rsid w:val="00C602E1"/>
    <w:rsid w:val="00C6065B"/>
    <w:rsid w:val="00C60701"/>
    <w:rsid w:val="00C60B77"/>
    <w:rsid w:val="00C60D71"/>
    <w:rsid w:val="00C60FBE"/>
    <w:rsid w:val="00C619EB"/>
    <w:rsid w:val="00C61E09"/>
    <w:rsid w:val="00C62D66"/>
    <w:rsid w:val="00C634C2"/>
    <w:rsid w:val="00C635B5"/>
    <w:rsid w:val="00C6367E"/>
    <w:rsid w:val="00C63BF3"/>
    <w:rsid w:val="00C63F30"/>
    <w:rsid w:val="00C63FB1"/>
    <w:rsid w:val="00C6401A"/>
    <w:rsid w:val="00C64216"/>
    <w:rsid w:val="00C64988"/>
    <w:rsid w:val="00C64BEF"/>
    <w:rsid w:val="00C65050"/>
    <w:rsid w:val="00C65737"/>
    <w:rsid w:val="00C66908"/>
    <w:rsid w:val="00C67091"/>
    <w:rsid w:val="00C70660"/>
    <w:rsid w:val="00C70AB6"/>
    <w:rsid w:val="00C71487"/>
    <w:rsid w:val="00C7237C"/>
    <w:rsid w:val="00C750FB"/>
    <w:rsid w:val="00C76B1E"/>
    <w:rsid w:val="00C76F45"/>
    <w:rsid w:val="00C77118"/>
    <w:rsid w:val="00C77309"/>
    <w:rsid w:val="00C777D6"/>
    <w:rsid w:val="00C77A8F"/>
    <w:rsid w:val="00C811F4"/>
    <w:rsid w:val="00C81E78"/>
    <w:rsid w:val="00C81F42"/>
    <w:rsid w:val="00C82DF3"/>
    <w:rsid w:val="00C82E66"/>
    <w:rsid w:val="00C83763"/>
    <w:rsid w:val="00C84719"/>
    <w:rsid w:val="00C84867"/>
    <w:rsid w:val="00C851D6"/>
    <w:rsid w:val="00C862D1"/>
    <w:rsid w:val="00C86413"/>
    <w:rsid w:val="00C869EF"/>
    <w:rsid w:val="00C86FE3"/>
    <w:rsid w:val="00C87480"/>
    <w:rsid w:val="00C87EEB"/>
    <w:rsid w:val="00C87F38"/>
    <w:rsid w:val="00C90123"/>
    <w:rsid w:val="00C90B54"/>
    <w:rsid w:val="00C9185A"/>
    <w:rsid w:val="00C9228D"/>
    <w:rsid w:val="00C9269A"/>
    <w:rsid w:val="00C928E3"/>
    <w:rsid w:val="00C93144"/>
    <w:rsid w:val="00C93738"/>
    <w:rsid w:val="00C93787"/>
    <w:rsid w:val="00C93844"/>
    <w:rsid w:val="00C939EC"/>
    <w:rsid w:val="00C93AC2"/>
    <w:rsid w:val="00C93C40"/>
    <w:rsid w:val="00C93D48"/>
    <w:rsid w:val="00C94437"/>
    <w:rsid w:val="00C948DD"/>
    <w:rsid w:val="00C94ABF"/>
    <w:rsid w:val="00C954AD"/>
    <w:rsid w:val="00C958FA"/>
    <w:rsid w:val="00C95E9C"/>
    <w:rsid w:val="00C9645F"/>
    <w:rsid w:val="00C96D6E"/>
    <w:rsid w:val="00C97BBA"/>
    <w:rsid w:val="00CA01E5"/>
    <w:rsid w:val="00CA0799"/>
    <w:rsid w:val="00CA1915"/>
    <w:rsid w:val="00CA23BA"/>
    <w:rsid w:val="00CA386C"/>
    <w:rsid w:val="00CA3B6E"/>
    <w:rsid w:val="00CA47EA"/>
    <w:rsid w:val="00CA4A6E"/>
    <w:rsid w:val="00CA4AFA"/>
    <w:rsid w:val="00CA4F3F"/>
    <w:rsid w:val="00CA4F81"/>
    <w:rsid w:val="00CA5007"/>
    <w:rsid w:val="00CA6FC7"/>
    <w:rsid w:val="00CA7263"/>
    <w:rsid w:val="00CA7B4B"/>
    <w:rsid w:val="00CA7D59"/>
    <w:rsid w:val="00CB013A"/>
    <w:rsid w:val="00CB10FC"/>
    <w:rsid w:val="00CB1434"/>
    <w:rsid w:val="00CB29BF"/>
    <w:rsid w:val="00CB2F7D"/>
    <w:rsid w:val="00CB3BA8"/>
    <w:rsid w:val="00CB3D23"/>
    <w:rsid w:val="00CB49FF"/>
    <w:rsid w:val="00CB666B"/>
    <w:rsid w:val="00CB69F5"/>
    <w:rsid w:val="00CB788C"/>
    <w:rsid w:val="00CB7C0D"/>
    <w:rsid w:val="00CB7E27"/>
    <w:rsid w:val="00CC0724"/>
    <w:rsid w:val="00CC0751"/>
    <w:rsid w:val="00CC165A"/>
    <w:rsid w:val="00CC1697"/>
    <w:rsid w:val="00CC1A00"/>
    <w:rsid w:val="00CC1A31"/>
    <w:rsid w:val="00CC264F"/>
    <w:rsid w:val="00CC2990"/>
    <w:rsid w:val="00CC2A70"/>
    <w:rsid w:val="00CC2BDE"/>
    <w:rsid w:val="00CC3578"/>
    <w:rsid w:val="00CC41F9"/>
    <w:rsid w:val="00CC436B"/>
    <w:rsid w:val="00CC4E25"/>
    <w:rsid w:val="00CC58AE"/>
    <w:rsid w:val="00CC71E6"/>
    <w:rsid w:val="00CC7246"/>
    <w:rsid w:val="00CC76EB"/>
    <w:rsid w:val="00CC7D8D"/>
    <w:rsid w:val="00CD01F4"/>
    <w:rsid w:val="00CD0EFC"/>
    <w:rsid w:val="00CD1A90"/>
    <w:rsid w:val="00CD1CB3"/>
    <w:rsid w:val="00CD267F"/>
    <w:rsid w:val="00CD2800"/>
    <w:rsid w:val="00CD2D5A"/>
    <w:rsid w:val="00CD2D6C"/>
    <w:rsid w:val="00CD3254"/>
    <w:rsid w:val="00CD373D"/>
    <w:rsid w:val="00CD47FD"/>
    <w:rsid w:val="00CD56E7"/>
    <w:rsid w:val="00CD5C3F"/>
    <w:rsid w:val="00CD6F2B"/>
    <w:rsid w:val="00CD7598"/>
    <w:rsid w:val="00CD77A3"/>
    <w:rsid w:val="00CE0347"/>
    <w:rsid w:val="00CE2606"/>
    <w:rsid w:val="00CE2955"/>
    <w:rsid w:val="00CE2C94"/>
    <w:rsid w:val="00CE3F8B"/>
    <w:rsid w:val="00CE3FCE"/>
    <w:rsid w:val="00CE4133"/>
    <w:rsid w:val="00CE4F10"/>
    <w:rsid w:val="00CE4F61"/>
    <w:rsid w:val="00CE5285"/>
    <w:rsid w:val="00CE52AE"/>
    <w:rsid w:val="00CE52E3"/>
    <w:rsid w:val="00CE542D"/>
    <w:rsid w:val="00CE6E6B"/>
    <w:rsid w:val="00CE7F0A"/>
    <w:rsid w:val="00CF03DF"/>
    <w:rsid w:val="00CF0891"/>
    <w:rsid w:val="00CF1019"/>
    <w:rsid w:val="00CF289D"/>
    <w:rsid w:val="00CF38A8"/>
    <w:rsid w:val="00CF3AE3"/>
    <w:rsid w:val="00CF3F26"/>
    <w:rsid w:val="00CF44D0"/>
    <w:rsid w:val="00CF4D48"/>
    <w:rsid w:val="00CF60B7"/>
    <w:rsid w:val="00CF6166"/>
    <w:rsid w:val="00CF6F9A"/>
    <w:rsid w:val="00CF700C"/>
    <w:rsid w:val="00D002DC"/>
    <w:rsid w:val="00D00C91"/>
    <w:rsid w:val="00D01C4A"/>
    <w:rsid w:val="00D01F75"/>
    <w:rsid w:val="00D02C8F"/>
    <w:rsid w:val="00D0348A"/>
    <w:rsid w:val="00D03F79"/>
    <w:rsid w:val="00D04139"/>
    <w:rsid w:val="00D0420A"/>
    <w:rsid w:val="00D04F20"/>
    <w:rsid w:val="00D06227"/>
    <w:rsid w:val="00D07269"/>
    <w:rsid w:val="00D075FC"/>
    <w:rsid w:val="00D0798B"/>
    <w:rsid w:val="00D1081F"/>
    <w:rsid w:val="00D112D6"/>
    <w:rsid w:val="00D114A1"/>
    <w:rsid w:val="00D11ACC"/>
    <w:rsid w:val="00D11BE2"/>
    <w:rsid w:val="00D11CF1"/>
    <w:rsid w:val="00D13902"/>
    <w:rsid w:val="00D13BF9"/>
    <w:rsid w:val="00D13C45"/>
    <w:rsid w:val="00D1490D"/>
    <w:rsid w:val="00D151D7"/>
    <w:rsid w:val="00D15E9C"/>
    <w:rsid w:val="00D16541"/>
    <w:rsid w:val="00D1657B"/>
    <w:rsid w:val="00D16DAD"/>
    <w:rsid w:val="00D170F8"/>
    <w:rsid w:val="00D17BC0"/>
    <w:rsid w:val="00D202E2"/>
    <w:rsid w:val="00D20D2C"/>
    <w:rsid w:val="00D212BF"/>
    <w:rsid w:val="00D21C01"/>
    <w:rsid w:val="00D21D93"/>
    <w:rsid w:val="00D22700"/>
    <w:rsid w:val="00D22B77"/>
    <w:rsid w:val="00D22FA5"/>
    <w:rsid w:val="00D23119"/>
    <w:rsid w:val="00D23CB6"/>
    <w:rsid w:val="00D23CE0"/>
    <w:rsid w:val="00D25F36"/>
    <w:rsid w:val="00D2606B"/>
    <w:rsid w:val="00D26462"/>
    <w:rsid w:val="00D264F4"/>
    <w:rsid w:val="00D267F4"/>
    <w:rsid w:val="00D27C6C"/>
    <w:rsid w:val="00D30D17"/>
    <w:rsid w:val="00D312EC"/>
    <w:rsid w:val="00D31FDA"/>
    <w:rsid w:val="00D3245E"/>
    <w:rsid w:val="00D32831"/>
    <w:rsid w:val="00D34E97"/>
    <w:rsid w:val="00D35E45"/>
    <w:rsid w:val="00D36553"/>
    <w:rsid w:val="00D3691A"/>
    <w:rsid w:val="00D373AC"/>
    <w:rsid w:val="00D37485"/>
    <w:rsid w:val="00D37A83"/>
    <w:rsid w:val="00D37E2F"/>
    <w:rsid w:val="00D40D31"/>
    <w:rsid w:val="00D40E01"/>
    <w:rsid w:val="00D414BC"/>
    <w:rsid w:val="00D4157A"/>
    <w:rsid w:val="00D415BC"/>
    <w:rsid w:val="00D41F6D"/>
    <w:rsid w:val="00D43BF5"/>
    <w:rsid w:val="00D44BAB"/>
    <w:rsid w:val="00D44F5B"/>
    <w:rsid w:val="00D451FB"/>
    <w:rsid w:val="00D45A9C"/>
    <w:rsid w:val="00D466E0"/>
    <w:rsid w:val="00D46FA6"/>
    <w:rsid w:val="00D47A9F"/>
    <w:rsid w:val="00D47C14"/>
    <w:rsid w:val="00D50224"/>
    <w:rsid w:val="00D547DE"/>
    <w:rsid w:val="00D5501B"/>
    <w:rsid w:val="00D5548E"/>
    <w:rsid w:val="00D555B1"/>
    <w:rsid w:val="00D55949"/>
    <w:rsid w:val="00D55FBF"/>
    <w:rsid w:val="00D5667D"/>
    <w:rsid w:val="00D56857"/>
    <w:rsid w:val="00D5752B"/>
    <w:rsid w:val="00D57777"/>
    <w:rsid w:val="00D5795B"/>
    <w:rsid w:val="00D60999"/>
    <w:rsid w:val="00D60F7F"/>
    <w:rsid w:val="00D6230D"/>
    <w:rsid w:val="00D6258A"/>
    <w:rsid w:val="00D626B0"/>
    <w:rsid w:val="00D635D4"/>
    <w:rsid w:val="00D64912"/>
    <w:rsid w:val="00D64C89"/>
    <w:rsid w:val="00D64D13"/>
    <w:rsid w:val="00D663CC"/>
    <w:rsid w:val="00D66589"/>
    <w:rsid w:val="00D666C0"/>
    <w:rsid w:val="00D66B80"/>
    <w:rsid w:val="00D7102F"/>
    <w:rsid w:val="00D714BA"/>
    <w:rsid w:val="00D71F30"/>
    <w:rsid w:val="00D72269"/>
    <w:rsid w:val="00D72AB2"/>
    <w:rsid w:val="00D733FA"/>
    <w:rsid w:val="00D74519"/>
    <w:rsid w:val="00D7473B"/>
    <w:rsid w:val="00D74AD8"/>
    <w:rsid w:val="00D74EAA"/>
    <w:rsid w:val="00D755BA"/>
    <w:rsid w:val="00D755D5"/>
    <w:rsid w:val="00D76436"/>
    <w:rsid w:val="00D77028"/>
    <w:rsid w:val="00D77A91"/>
    <w:rsid w:val="00D804B7"/>
    <w:rsid w:val="00D80AD2"/>
    <w:rsid w:val="00D80FE9"/>
    <w:rsid w:val="00D8126C"/>
    <w:rsid w:val="00D812F3"/>
    <w:rsid w:val="00D82D91"/>
    <w:rsid w:val="00D83249"/>
    <w:rsid w:val="00D836E5"/>
    <w:rsid w:val="00D84661"/>
    <w:rsid w:val="00D851A9"/>
    <w:rsid w:val="00D854BE"/>
    <w:rsid w:val="00D856BC"/>
    <w:rsid w:val="00D85BCD"/>
    <w:rsid w:val="00D861F0"/>
    <w:rsid w:val="00D86709"/>
    <w:rsid w:val="00D86824"/>
    <w:rsid w:val="00D86DC7"/>
    <w:rsid w:val="00D871B8"/>
    <w:rsid w:val="00D875FE"/>
    <w:rsid w:val="00D877D6"/>
    <w:rsid w:val="00D87C95"/>
    <w:rsid w:val="00D901FA"/>
    <w:rsid w:val="00D91437"/>
    <w:rsid w:val="00D91924"/>
    <w:rsid w:val="00D919E9"/>
    <w:rsid w:val="00D91D14"/>
    <w:rsid w:val="00D91FCC"/>
    <w:rsid w:val="00D92574"/>
    <w:rsid w:val="00D932E3"/>
    <w:rsid w:val="00D948C8"/>
    <w:rsid w:val="00D94BF5"/>
    <w:rsid w:val="00D94CBB"/>
    <w:rsid w:val="00D9503D"/>
    <w:rsid w:val="00D958CC"/>
    <w:rsid w:val="00D95FB4"/>
    <w:rsid w:val="00D967EA"/>
    <w:rsid w:val="00D96AE6"/>
    <w:rsid w:val="00D96D76"/>
    <w:rsid w:val="00D97AC7"/>
    <w:rsid w:val="00DA02D8"/>
    <w:rsid w:val="00DA08D3"/>
    <w:rsid w:val="00DA137D"/>
    <w:rsid w:val="00DA17F1"/>
    <w:rsid w:val="00DA182F"/>
    <w:rsid w:val="00DA19D3"/>
    <w:rsid w:val="00DA1B4D"/>
    <w:rsid w:val="00DA3056"/>
    <w:rsid w:val="00DA3D61"/>
    <w:rsid w:val="00DA3F34"/>
    <w:rsid w:val="00DA40DC"/>
    <w:rsid w:val="00DA4EA4"/>
    <w:rsid w:val="00DA50A3"/>
    <w:rsid w:val="00DA589E"/>
    <w:rsid w:val="00DA5C8E"/>
    <w:rsid w:val="00DA622F"/>
    <w:rsid w:val="00DA6703"/>
    <w:rsid w:val="00DA7058"/>
    <w:rsid w:val="00DA7897"/>
    <w:rsid w:val="00DA7914"/>
    <w:rsid w:val="00DA7B29"/>
    <w:rsid w:val="00DB0B19"/>
    <w:rsid w:val="00DB1749"/>
    <w:rsid w:val="00DB1E30"/>
    <w:rsid w:val="00DB1FCE"/>
    <w:rsid w:val="00DB2023"/>
    <w:rsid w:val="00DB24E5"/>
    <w:rsid w:val="00DB28E7"/>
    <w:rsid w:val="00DB2944"/>
    <w:rsid w:val="00DB2981"/>
    <w:rsid w:val="00DB2E40"/>
    <w:rsid w:val="00DB2F4B"/>
    <w:rsid w:val="00DB32C7"/>
    <w:rsid w:val="00DB456D"/>
    <w:rsid w:val="00DB4BC6"/>
    <w:rsid w:val="00DB6380"/>
    <w:rsid w:val="00DB6DF8"/>
    <w:rsid w:val="00DB7331"/>
    <w:rsid w:val="00DB7683"/>
    <w:rsid w:val="00DC030A"/>
    <w:rsid w:val="00DC0F14"/>
    <w:rsid w:val="00DC17D3"/>
    <w:rsid w:val="00DC1A0A"/>
    <w:rsid w:val="00DC1C35"/>
    <w:rsid w:val="00DC3624"/>
    <w:rsid w:val="00DC4FC3"/>
    <w:rsid w:val="00DC5162"/>
    <w:rsid w:val="00DC5315"/>
    <w:rsid w:val="00DC55B3"/>
    <w:rsid w:val="00DC55FE"/>
    <w:rsid w:val="00DC6863"/>
    <w:rsid w:val="00DC730E"/>
    <w:rsid w:val="00DC79FD"/>
    <w:rsid w:val="00DD05B0"/>
    <w:rsid w:val="00DD1056"/>
    <w:rsid w:val="00DD208F"/>
    <w:rsid w:val="00DD2479"/>
    <w:rsid w:val="00DD35B5"/>
    <w:rsid w:val="00DD3A9B"/>
    <w:rsid w:val="00DD5424"/>
    <w:rsid w:val="00DD5495"/>
    <w:rsid w:val="00DD5777"/>
    <w:rsid w:val="00DD642A"/>
    <w:rsid w:val="00DD68EF"/>
    <w:rsid w:val="00DD730B"/>
    <w:rsid w:val="00DD7638"/>
    <w:rsid w:val="00DE023E"/>
    <w:rsid w:val="00DE02A0"/>
    <w:rsid w:val="00DE07E8"/>
    <w:rsid w:val="00DE18E1"/>
    <w:rsid w:val="00DE1ADF"/>
    <w:rsid w:val="00DE1F3D"/>
    <w:rsid w:val="00DE200C"/>
    <w:rsid w:val="00DE2070"/>
    <w:rsid w:val="00DE345F"/>
    <w:rsid w:val="00DE3821"/>
    <w:rsid w:val="00DE41CB"/>
    <w:rsid w:val="00DE425A"/>
    <w:rsid w:val="00DE4552"/>
    <w:rsid w:val="00DE46A4"/>
    <w:rsid w:val="00DE498F"/>
    <w:rsid w:val="00DE4A10"/>
    <w:rsid w:val="00DE4A20"/>
    <w:rsid w:val="00DE4B5F"/>
    <w:rsid w:val="00DE4EE6"/>
    <w:rsid w:val="00DE54AE"/>
    <w:rsid w:val="00DE6088"/>
    <w:rsid w:val="00DE67CE"/>
    <w:rsid w:val="00DE716E"/>
    <w:rsid w:val="00DE7621"/>
    <w:rsid w:val="00DF0720"/>
    <w:rsid w:val="00DF0C9E"/>
    <w:rsid w:val="00DF3007"/>
    <w:rsid w:val="00DF377D"/>
    <w:rsid w:val="00DF4DB0"/>
    <w:rsid w:val="00DF4F6D"/>
    <w:rsid w:val="00DF592B"/>
    <w:rsid w:val="00DF61F9"/>
    <w:rsid w:val="00DF71CC"/>
    <w:rsid w:val="00DF7B4F"/>
    <w:rsid w:val="00E005F8"/>
    <w:rsid w:val="00E02159"/>
    <w:rsid w:val="00E02483"/>
    <w:rsid w:val="00E0357F"/>
    <w:rsid w:val="00E04046"/>
    <w:rsid w:val="00E0472B"/>
    <w:rsid w:val="00E05265"/>
    <w:rsid w:val="00E05902"/>
    <w:rsid w:val="00E06154"/>
    <w:rsid w:val="00E061D6"/>
    <w:rsid w:val="00E0681B"/>
    <w:rsid w:val="00E06E81"/>
    <w:rsid w:val="00E0711B"/>
    <w:rsid w:val="00E10189"/>
    <w:rsid w:val="00E10BE7"/>
    <w:rsid w:val="00E10F2D"/>
    <w:rsid w:val="00E112B5"/>
    <w:rsid w:val="00E115A1"/>
    <w:rsid w:val="00E11DB8"/>
    <w:rsid w:val="00E1202E"/>
    <w:rsid w:val="00E12346"/>
    <w:rsid w:val="00E13023"/>
    <w:rsid w:val="00E137E7"/>
    <w:rsid w:val="00E15260"/>
    <w:rsid w:val="00E15FB0"/>
    <w:rsid w:val="00E161FF"/>
    <w:rsid w:val="00E16221"/>
    <w:rsid w:val="00E1634C"/>
    <w:rsid w:val="00E16909"/>
    <w:rsid w:val="00E170FF"/>
    <w:rsid w:val="00E173D1"/>
    <w:rsid w:val="00E17F26"/>
    <w:rsid w:val="00E20264"/>
    <w:rsid w:val="00E20342"/>
    <w:rsid w:val="00E20E84"/>
    <w:rsid w:val="00E21276"/>
    <w:rsid w:val="00E22268"/>
    <w:rsid w:val="00E22B0E"/>
    <w:rsid w:val="00E2444F"/>
    <w:rsid w:val="00E24B30"/>
    <w:rsid w:val="00E24D6C"/>
    <w:rsid w:val="00E25112"/>
    <w:rsid w:val="00E25C35"/>
    <w:rsid w:val="00E25E29"/>
    <w:rsid w:val="00E26517"/>
    <w:rsid w:val="00E265E5"/>
    <w:rsid w:val="00E26692"/>
    <w:rsid w:val="00E26B4B"/>
    <w:rsid w:val="00E26C00"/>
    <w:rsid w:val="00E26C09"/>
    <w:rsid w:val="00E26E14"/>
    <w:rsid w:val="00E271E6"/>
    <w:rsid w:val="00E2749C"/>
    <w:rsid w:val="00E308F1"/>
    <w:rsid w:val="00E31912"/>
    <w:rsid w:val="00E32031"/>
    <w:rsid w:val="00E322D7"/>
    <w:rsid w:val="00E3249C"/>
    <w:rsid w:val="00E33724"/>
    <w:rsid w:val="00E33BB6"/>
    <w:rsid w:val="00E346F3"/>
    <w:rsid w:val="00E34CCA"/>
    <w:rsid w:val="00E34EC0"/>
    <w:rsid w:val="00E35C57"/>
    <w:rsid w:val="00E35FEB"/>
    <w:rsid w:val="00E36417"/>
    <w:rsid w:val="00E36D52"/>
    <w:rsid w:val="00E3701F"/>
    <w:rsid w:val="00E3717A"/>
    <w:rsid w:val="00E40F35"/>
    <w:rsid w:val="00E41032"/>
    <w:rsid w:val="00E42E9C"/>
    <w:rsid w:val="00E4328E"/>
    <w:rsid w:val="00E43543"/>
    <w:rsid w:val="00E43F2A"/>
    <w:rsid w:val="00E45A03"/>
    <w:rsid w:val="00E45C7E"/>
    <w:rsid w:val="00E45CCE"/>
    <w:rsid w:val="00E462BA"/>
    <w:rsid w:val="00E467CD"/>
    <w:rsid w:val="00E4746F"/>
    <w:rsid w:val="00E47DE0"/>
    <w:rsid w:val="00E50ADB"/>
    <w:rsid w:val="00E51469"/>
    <w:rsid w:val="00E528DE"/>
    <w:rsid w:val="00E5321F"/>
    <w:rsid w:val="00E532DB"/>
    <w:rsid w:val="00E533F7"/>
    <w:rsid w:val="00E537D3"/>
    <w:rsid w:val="00E54288"/>
    <w:rsid w:val="00E55351"/>
    <w:rsid w:val="00E557C0"/>
    <w:rsid w:val="00E55819"/>
    <w:rsid w:val="00E55D29"/>
    <w:rsid w:val="00E55FBC"/>
    <w:rsid w:val="00E5611F"/>
    <w:rsid w:val="00E562B4"/>
    <w:rsid w:val="00E56774"/>
    <w:rsid w:val="00E56DE2"/>
    <w:rsid w:val="00E57BBF"/>
    <w:rsid w:val="00E60C93"/>
    <w:rsid w:val="00E61C54"/>
    <w:rsid w:val="00E631B0"/>
    <w:rsid w:val="00E6323C"/>
    <w:rsid w:val="00E63264"/>
    <w:rsid w:val="00E633FF"/>
    <w:rsid w:val="00E63494"/>
    <w:rsid w:val="00E634B0"/>
    <w:rsid w:val="00E6350E"/>
    <w:rsid w:val="00E63749"/>
    <w:rsid w:val="00E63D35"/>
    <w:rsid w:val="00E63D82"/>
    <w:rsid w:val="00E640AE"/>
    <w:rsid w:val="00E64E41"/>
    <w:rsid w:val="00E65C74"/>
    <w:rsid w:val="00E67119"/>
    <w:rsid w:val="00E700D4"/>
    <w:rsid w:val="00E70508"/>
    <w:rsid w:val="00E7090C"/>
    <w:rsid w:val="00E70CFB"/>
    <w:rsid w:val="00E70D43"/>
    <w:rsid w:val="00E72534"/>
    <w:rsid w:val="00E72A69"/>
    <w:rsid w:val="00E731CA"/>
    <w:rsid w:val="00E731E2"/>
    <w:rsid w:val="00E73558"/>
    <w:rsid w:val="00E73DF3"/>
    <w:rsid w:val="00E750AA"/>
    <w:rsid w:val="00E751BD"/>
    <w:rsid w:val="00E75878"/>
    <w:rsid w:val="00E75954"/>
    <w:rsid w:val="00E77357"/>
    <w:rsid w:val="00E773FD"/>
    <w:rsid w:val="00E80100"/>
    <w:rsid w:val="00E805F2"/>
    <w:rsid w:val="00E809D2"/>
    <w:rsid w:val="00E80A59"/>
    <w:rsid w:val="00E810FF"/>
    <w:rsid w:val="00E81294"/>
    <w:rsid w:val="00E81AE4"/>
    <w:rsid w:val="00E82ADB"/>
    <w:rsid w:val="00E82DB8"/>
    <w:rsid w:val="00E83061"/>
    <w:rsid w:val="00E84C77"/>
    <w:rsid w:val="00E84EDE"/>
    <w:rsid w:val="00E853B7"/>
    <w:rsid w:val="00E85578"/>
    <w:rsid w:val="00E85A35"/>
    <w:rsid w:val="00E86713"/>
    <w:rsid w:val="00E86FCE"/>
    <w:rsid w:val="00E87EAA"/>
    <w:rsid w:val="00E87EFD"/>
    <w:rsid w:val="00E909DD"/>
    <w:rsid w:val="00E90FC9"/>
    <w:rsid w:val="00E9148D"/>
    <w:rsid w:val="00E9151D"/>
    <w:rsid w:val="00E916D3"/>
    <w:rsid w:val="00E919BF"/>
    <w:rsid w:val="00E91DD1"/>
    <w:rsid w:val="00E92438"/>
    <w:rsid w:val="00E9440A"/>
    <w:rsid w:val="00E948C4"/>
    <w:rsid w:val="00E950DD"/>
    <w:rsid w:val="00E95D94"/>
    <w:rsid w:val="00E96531"/>
    <w:rsid w:val="00E96878"/>
    <w:rsid w:val="00E9724D"/>
    <w:rsid w:val="00EA02C4"/>
    <w:rsid w:val="00EA0FE5"/>
    <w:rsid w:val="00EA1B22"/>
    <w:rsid w:val="00EA1DF3"/>
    <w:rsid w:val="00EA24E1"/>
    <w:rsid w:val="00EA2DCF"/>
    <w:rsid w:val="00EA30F8"/>
    <w:rsid w:val="00EA3105"/>
    <w:rsid w:val="00EA34C0"/>
    <w:rsid w:val="00EA3E01"/>
    <w:rsid w:val="00EA3E84"/>
    <w:rsid w:val="00EA46E0"/>
    <w:rsid w:val="00EA4A37"/>
    <w:rsid w:val="00EA4AB6"/>
    <w:rsid w:val="00EA5155"/>
    <w:rsid w:val="00EA6A19"/>
    <w:rsid w:val="00EA6B1A"/>
    <w:rsid w:val="00EA6D77"/>
    <w:rsid w:val="00EA7164"/>
    <w:rsid w:val="00EB044B"/>
    <w:rsid w:val="00EB0E42"/>
    <w:rsid w:val="00EB144F"/>
    <w:rsid w:val="00EB1F14"/>
    <w:rsid w:val="00EB2805"/>
    <w:rsid w:val="00EB2C40"/>
    <w:rsid w:val="00EB352C"/>
    <w:rsid w:val="00EB3945"/>
    <w:rsid w:val="00EB3A1C"/>
    <w:rsid w:val="00EB3BCF"/>
    <w:rsid w:val="00EB3C22"/>
    <w:rsid w:val="00EB3F58"/>
    <w:rsid w:val="00EB44BD"/>
    <w:rsid w:val="00EB4637"/>
    <w:rsid w:val="00EB4BA8"/>
    <w:rsid w:val="00EB5FB7"/>
    <w:rsid w:val="00EB642B"/>
    <w:rsid w:val="00EB694F"/>
    <w:rsid w:val="00EB6B2F"/>
    <w:rsid w:val="00EB6D2E"/>
    <w:rsid w:val="00EB72FB"/>
    <w:rsid w:val="00EB7854"/>
    <w:rsid w:val="00EC0DB1"/>
    <w:rsid w:val="00EC1831"/>
    <w:rsid w:val="00EC27F3"/>
    <w:rsid w:val="00EC2B56"/>
    <w:rsid w:val="00EC2DC6"/>
    <w:rsid w:val="00EC3093"/>
    <w:rsid w:val="00EC341D"/>
    <w:rsid w:val="00EC4AA0"/>
    <w:rsid w:val="00EC4C55"/>
    <w:rsid w:val="00EC4E13"/>
    <w:rsid w:val="00EC4FBB"/>
    <w:rsid w:val="00EC5C21"/>
    <w:rsid w:val="00EC6A1A"/>
    <w:rsid w:val="00EC7968"/>
    <w:rsid w:val="00EC7DFE"/>
    <w:rsid w:val="00ED0125"/>
    <w:rsid w:val="00ED044C"/>
    <w:rsid w:val="00ED0A24"/>
    <w:rsid w:val="00ED0C0E"/>
    <w:rsid w:val="00ED0C32"/>
    <w:rsid w:val="00ED240A"/>
    <w:rsid w:val="00ED2BE5"/>
    <w:rsid w:val="00ED3347"/>
    <w:rsid w:val="00ED36BF"/>
    <w:rsid w:val="00ED457A"/>
    <w:rsid w:val="00ED4E02"/>
    <w:rsid w:val="00ED51E2"/>
    <w:rsid w:val="00ED5F5F"/>
    <w:rsid w:val="00ED6304"/>
    <w:rsid w:val="00ED6369"/>
    <w:rsid w:val="00ED6D68"/>
    <w:rsid w:val="00ED6DBA"/>
    <w:rsid w:val="00ED74ED"/>
    <w:rsid w:val="00ED7EB5"/>
    <w:rsid w:val="00EE00EE"/>
    <w:rsid w:val="00EE046C"/>
    <w:rsid w:val="00EE0683"/>
    <w:rsid w:val="00EE072C"/>
    <w:rsid w:val="00EE0911"/>
    <w:rsid w:val="00EE0A89"/>
    <w:rsid w:val="00EE1AC9"/>
    <w:rsid w:val="00EE2DF0"/>
    <w:rsid w:val="00EE3501"/>
    <w:rsid w:val="00EE35EF"/>
    <w:rsid w:val="00EE4DC3"/>
    <w:rsid w:val="00EE4F75"/>
    <w:rsid w:val="00EE5476"/>
    <w:rsid w:val="00EE574D"/>
    <w:rsid w:val="00EE5874"/>
    <w:rsid w:val="00EE5B98"/>
    <w:rsid w:val="00EE6A92"/>
    <w:rsid w:val="00EE6C5D"/>
    <w:rsid w:val="00EE70EC"/>
    <w:rsid w:val="00EE7164"/>
    <w:rsid w:val="00EE7BA3"/>
    <w:rsid w:val="00EF027A"/>
    <w:rsid w:val="00EF14A2"/>
    <w:rsid w:val="00EF16E4"/>
    <w:rsid w:val="00EF18F0"/>
    <w:rsid w:val="00EF24C1"/>
    <w:rsid w:val="00EF28B7"/>
    <w:rsid w:val="00EF29BC"/>
    <w:rsid w:val="00EF31EC"/>
    <w:rsid w:val="00EF328D"/>
    <w:rsid w:val="00EF362D"/>
    <w:rsid w:val="00EF4251"/>
    <w:rsid w:val="00EF45CE"/>
    <w:rsid w:val="00EF477E"/>
    <w:rsid w:val="00EF48F1"/>
    <w:rsid w:val="00EF4A55"/>
    <w:rsid w:val="00EF4C98"/>
    <w:rsid w:val="00EF5012"/>
    <w:rsid w:val="00EF5379"/>
    <w:rsid w:val="00EF553D"/>
    <w:rsid w:val="00EF5AC4"/>
    <w:rsid w:val="00EF5C05"/>
    <w:rsid w:val="00EF6661"/>
    <w:rsid w:val="00EF782F"/>
    <w:rsid w:val="00EF7931"/>
    <w:rsid w:val="00EF7C67"/>
    <w:rsid w:val="00F005D9"/>
    <w:rsid w:val="00F00D4F"/>
    <w:rsid w:val="00F011B3"/>
    <w:rsid w:val="00F01C62"/>
    <w:rsid w:val="00F02142"/>
    <w:rsid w:val="00F023CC"/>
    <w:rsid w:val="00F02FD1"/>
    <w:rsid w:val="00F02FE0"/>
    <w:rsid w:val="00F03523"/>
    <w:rsid w:val="00F03643"/>
    <w:rsid w:val="00F037DD"/>
    <w:rsid w:val="00F03C01"/>
    <w:rsid w:val="00F050EF"/>
    <w:rsid w:val="00F05BA5"/>
    <w:rsid w:val="00F05C7B"/>
    <w:rsid w:val="00F05E9C"/>
    <w:rsid w:val="00F05F63"/>
    <w:rsid w:val="00F07B4E"/>
    <w:rsid w:val="00F07BC1"/>
    <w:rsid w:val="00F10870"/>
    <w:rsid w:val="00F11CEA"/>
    <w:rsid w:val="00F12021"/>
    <w:rsid w:val="00F12155"/>
    <w:rsid w:val="00F1347B"/>
    <w:rsid w:val="00F134DC"/>
    <w:rsid w:val="00F13FFB"/>
    <w:rsid w:val="00F15CB9"/>
    <w:rsid w:val="00F15E7C"/>
    <w:rsid w:val="00F1607A"/>
    <w:rsid w:val="00F160E6"/>
    <w:rsid w:val="00F161FC"/>
    <w:rsid w:val="00F162B2"/>
    <w:rsid w:val="00F1677F"/>
    <w:rsid w:val="00F16D99"/>
    <w:rsid w:val="00F1740C"/>
    <w:rsid w:val="00F174B0"/>
    <w:rsid w:val="00F17A8F"/>
    <w:rsid w:val="00F204DC"/>
    <w:rsid w:val="00F21418"/>
    <w:rsid w:val="00F214DF"/>
    <w:rsid w:val="00F217A7"/>
    <w:rsid w:val="00F222D2"/>
    <w:rsid w:val="00F22C31"/>
    <w:rsid w:val="00F23384"/>
    <w:rsid w:val="00F2384F"/>
    <w:rsid w:val="00F245C4"/>
    <w:rsid w:val="00F25DD8"/>
    <w:rsid w:val="00F2612A"/>
    <w:rsid w:val="00F26751"/>
    <w:rsid w:val="00F2752C"/>
    <w:rsid w:val="00F2784F"/>
    <w:rsid w:val="00F27C52"/>
    <w:rsid w:val="00F27E69"/>
    <w:rsid w:val="00F316E8"/>
    <w:rsid w:val="00F32FFF"/>
    <w:rsid w:val="00F3323B"/>
    <w:rsid w:val="00F34984"/>
    <w:rsid w:val="00F34E0A"/>
    <w:rsid w:val="00F3551B"/>
    <w:rsid w:val="00F3694A"/>
    <w:rsid w:val="00F36FDF"/>
    <w:rsid w:val="00F37778"/>
    <w:rsid w:val="00F37A2B"/>
    <w:rsid w:val="00F37C4A"/>
    <w:rsid w:val="00F37EBC"/>
    <w:rsid w:val="00F400C6"/>
    <w:rsid w:val="00F40141"/>
    <w:rsid w:val="00F40788"/>
    <w:rsid w:val="00F41014"/>
    <w:rsid w:val="00F41264"/>
    <w:rsid w:val="00F41523"/>
    <w:rsid w:val="00F41618"/>
    <w:rsid w:val="00F416AB"/>
    <w:rsid w:val="00F42272"/>
    <w:rsid w:val="00F438C8"/>
    <w:rsid w:val="00F43955"/>
    <w:rsid w:val="00F43B93"/>
    <w:rsid w:val="00F442B4"/>
    <w:rsid w:val="00F4471D"/>
    <w:rsid w:val="00F448C6"/>
    <w:rsid w:val="00F44D66"/>
    <w:rsid w:val="00F46318"/>
    <w:rsid w:val="00F5079E"/>
    <w:rsid w:val="00F50A0D"/>
    <w:rsid w:val="00F50DCA"/>
    <w:rsid w:val="00F5103C"/>
    <w:rsid w:val="00F511BB"/>
    <w:rsid w:val="00F51539"/>
    <w:rsid w:val="00F51700"/>
    <w:rsid w:val="00F5172B"/>
    <w:rsid w:val="00F51949"/>
    <w:rsid w:val="00F51ADD"/>
    <w:rsid w:val="00F528BE"/>
    <w:rsid w:val="00F52965"/>
    <w:rsid w:val="00F541C3"/>
    <w:rsid w:val="00F5497E"/>
    <w:rsid w:val="00F54B9D"/>
    <w:rsid w:val="00F55492"/>
    <w:rsid w:val="00F55D46"/>
    <w:rsid w:val="00F55E8B"/>
    <w:rsid w:val="00F56143"/>
    <w:rsid w:val="00F5664F"/>
    <w:rsid w:val="00F572A1"/>
    <w:rsid w:val="00F5766E"/>
    <w:rsid w:val="00F57827"/>
    <w:rsid w:val="00F57CEF"/>
    <w:rsid w:val="00F57E1E"/>
    <w:rsid w:val="00F60018"/>
    <w:rsid w:val="00F60069"/>
    <w:rsid w:val="00F611AD"/>
    <w:rsid w:val="00F62599"/>
    <w:rsid w:val="00F62675"/>
    <w:rsid w:val="00F62FC3"/>
    <w:rsid w:val="00F6310E"/>
    <w:rsid w:val="00F63A3D"/>
    <w:rsid w:val="00F644E5"/>
    <w:rsid w:val="00F6481D"/>
    <w:rsid w:val="00F65D22"/>
    <w:rsid w:val="00F6634B"/>
    <w:rsid w:val="00F7023E"/>
    <w:rsid w:val="00F706D5"/>
    <w:rsid w:val="00F70D99"/>
    <w:rsid w:val="00F71132"/>
    <w:rsid w:val="00F71197"/>
    <w:rsid w:val="00F713CF"/>
    <w:rsid w:val="00F717BA"/>
    <w:rsid w:val="00F719DA"/>
    <w:rsid w:val="00F72740"/>
    <w:rsid w:val="00F72F9A"/>
    <w:rsid w:val="00F731B1"/>
    <w:rsid w:val="00F73686"/>
    <w:rsid w:val="00F73E22"/>
    <w:rsid w:val="00F740E9"/>
    <w:rsid w:val="00F7456A"/>
    <w:rsid w:val="00F757CA"/>
    <w:rsid w:val="00F76DAA"/>
    <w:rsid w:val="00F76DD7"/>
    <w:rsid w:val="00F76FC1"/>
    <w:rsid w:val="00F778DD"/>
    <w:rsid w:val="00F811BA"/>
    <w:rsid w:val="00F821B8"/>
    <w:rsid w:val="00F822D1"/>
    <w:rsid w:val="00F82FB5"/>
    <w:rsid w:val="00F83664"/>
    <w:rsid w:val="00F83AEE"/>
    <w:rsid w:val="00F855B9"/>
    <w:rsid w:val="00F85A3F"/>
    <w:rsid w:val="00F86A3B"/>
    <w:rsid w:val="00F86DE6"/>
    <w:rsid w:val="00F86E3B"/>
    <w:rsid w:val="00F87AB3"/>
    <w:rsid w:val="00F87E87"/>
    <w:rsid w:val="00F9055E"/>
    <w:rsid w:val="00F909FA"/>
    <w:rsid w:val="00F91430"/>
    <w:rsid w:val="00F914BB"/>
    <w:rsid w:val="00F916DF"/>
    <w:rsid w:val="00F91911"/>
    <w:rsid w:val="00F91B4A"/>
    <w:rsid w:val="00F922BA"/>
    <w:rsid w:val="00F9236F"/>
    <w:rsid w:val="00F9287B"/>
    <w:rsid w:val="00F92D14"/>
    <w:rsid w:val="00F92FB1"/>
    <w:rsid w:val="00F9416A"/>
    <w:rsid w:val="00F9431F"/>
    <w:rsid w:val="00F95592"/>
    <w:rsid w:val="00F95E5A"/>
    <w:rsid w:val="00F96225"/>
    <w:rsid w:val="00F96702"/>
    <w:rsid w:val="00F96FB3"/>
    <w:rsid w:val="00F97B44"/>
    <w:rsid w:val="00F97BE1"/>
    <w:rsid w:val="00F97C60"/>
    <w:rsid w:val="00FA0256"/>
    <w:rsid w:val="00FA0913"/>
    <w:rsid w:val="00FA161F"/>
    <w:rsid w:val="00FA190B"/>
    <w:rsid w:val="00FA1D9A"/>
    <w:rsid w:val="00FA20E6"/>
    <w:rsid w:val="00FA2C5F"/>
    <w:rsid w:val="00FA4075"/>
    <w:rsid w:val="00FA5FD9"/>
    <w:rsid w:val="00FA69BE"/>
    <w:rsid w:val="00FA74D9"/>
    <w:rsid w:val="00FB0C13"/>
    <w:rsid w:val="00FB15D4"/>
    <w:rsid w:val="00FB198E"/>
    <w:rsid w:val="00FB1A92"/>
    <w:rsid w:val="00FB1CD1"/>
    <w:rsid w:val="00FB2279"/>
    <w:rsid w:val="00FB256F"/>
    <w:rsid w:val="00FB2CBA"/>
    <w:rsid w:val="00FB2EF5"/>
    <w:rsid w:val="00FB3D68"/>
    <w:rsid w:val="00FB5CDE"/>
    <w:rsid w:val="00FB5DF0"/>
    <w:rsid w:val="00FB5E65"/>
    <w:rsid w:val="00FB6824"/>
    <w:rsid w:val="00FB7A5E"/>
    <w:rsid w:val="00FB7E70"/>
    <w:rsid w:val="00FC073B"/>
    <w:rsid w:val="00FC094F"/>
    <w:rsid w:val="00FC09A3"/>
    <w:rsid w:val="00FC0FA1"/>
    <w:rsid w:val="00FC134F"/>
    <w:rsid w:val="00FC196E"/>
    <w:rsid w:val="00FC2A92"/>
    <w:rsid w:val="00FC2C42"/>
    <w:rsid w:val="00FC329E"/>
    <w:rsid w:val="00FC37F6"/>
    <w:rsid w:val="00FC3C36"/>
    <w:rsid w:val="00FC4428"/>
    <w:rsid w:val="00FC4689"/>
    <w:rsid w:val="00FC4FDA"/>
    <w:rsid w:val="00FC65C0"/>
    <w:rsid w:val="00FC65E3"/>
    <w:rsid w:val="00FC6DA1"/>
    <w:rsid w:val="00FC6F2C"/>
    <w:rsid w:val="00FC719B"/>
    <w:rsid w:val="00FC7883"/>
    <w:rsid w:val="00FC789D"/>
    <w:rsid w:val="00FC7907"/>
    <w:rsid w:val="00FD0586"/>
    <w:rsid w:val="00FD2BDB"/>
    <w:rsid w:val="00FD2DEB"/>
    <w:rsid w:val="00FD40EC"/>
    <w:rsid w:val="00FD43E8"/>
    <w:rsid w:val="00FD4F9F"/>
    <w:rsid w:val="00FD542C"/>
    <w:rsid w:val="00FD6CA4"/>
    <w:rsid w:val="00FD705A"/>
    <w:rsid w:val="00FD7170"/>
    <w:rsid w:val="00FD7D7A"/>
    <w:rsid w:val="00FD7E7B"/>
    <w:rsid w:val="00FE042B"/>
    <w:rsid w:val="00FE1045"/>
    <w:rsid w:val="00FE1279"/>
    <w:rsid w:val="00FE2323"/>
    <w:rsid w:val="00FE2959"/>
    <w:rsid w:val="00FE2B4E"/>
    <w:rsid w:val="00FE2D8B"/>
    <w:rsid w:val="00FE2F23"/>
    <w:rsid w:val="00FE321F"/>
    <w:rsid w:val="00FE3A83"/>
    <w:rsid w:val="00FE3C6C"/>
    <w:rsid w:val="00FE3C9B"/>
    <w:rsid w:val="00FE3EC4"/>
    <w:rsid w:val="00FE3F6A"/>
    <w:rsid w:val="00FE4D64"/>
    <w:rsid w:val="00FE4EEC"/>
    <w:rsid w:val="00FE5AEA"/>
    <w:rsid w:val="00FE659D"/>
    <w:rsid w:val="00FE6ECD"/>
    <w:rsid w:val="00FE759F"/>
    <w:rsid w:val="00FE7A7E"/>
    <w:rsid w:val="00FF002D"/>
    <w:rsid w:val="00FF0106"/>
    <w:rsid w:val="00FF075B"/>
    <w:rsid w:val="00FF0E24"/>
    <w:rsid w:val="00FF0E4C"/>
    <w:rsid w:val="00FF0E58"/>
    <w:rsid w:val="00FF1994"/>
    <w:rsid w:val="00FF2DF2"/>
    <w:rsid w:val="00FF2ECA"/>
    <w:rsid w:val="00FF30D1"/>
    <w:rsid w:val="00FF3382"/>
    <w:rsid w:val="00FF42BB"/>
    <w:rsid w:val="00FF46AF"/>
    <w:rsid w:val="00FF53C3"/>
    <w:rsid w:val="00FF72D8"/>
    <w:rsid w:val="00FF7732"/>
    <w:rsid w:val="00FF7758"/>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3CA7D"/>
  <w15:docId w15:val="{B54958B5-8132-4143-90A7-3673429C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662A"/>
    <w:pPr>
      <w:spacing w:after="120"/>
    </w:pPr>
    <w:rPr>
      <w:rFonts w:asciiTheme="minorHAnsi" w:hAnsiTheme="minorHAnsi"/>
      <w:sz w:val="24"/>
      <w:szCs w:val="24"/>
    </w:rPr>
  </w:style>
  <w:style w:type="paragraph" w:styleId="Nadpis1">
    <w:name w:val="heading 1"/>
    <w:basedOn w:val="Normln"/>
    <w:next w:val="Normln"/>
    <w:qFormat/>
    <w:rsid w:val="008124D7"/>
    <w:pPr>
      <w:keepNext/>
      <w:keepLines/>
      <w:suppressAutoHyphens/>
      <w:overflowPunct w:val="0"/>
      <w:autoSpaceDE w:val="0"/>
      <w:autoSpaceDN w:val="0"/>
      <w:adjustRightInd w:val="0"/>
      <w:spacing w:before="240"/>
      <w:jc w:val="both"/>
      <w:textAlignment w:val="baseline"/>
      <w:outlineLvl w:val="0"/>
    </w:pPr>
    <w:rPr>
      <w:b/>
      <w:kern w:val="36"/>
      <w:sz w:val="28"/>
      <w:szCs w:val="20"/>
    </w:rPr>
  </w:style>
  <w:style w:type="paragraph" w:styleId="Nadpis2">
    <w:name w:val="heading 2"/>
    <w:basedOn w:val="Normln"/>
    <w:next w:val="Normln"/>
    <w:qFormat/>
    <w:rsid w:val="00DE425A"/>
    <w:pPr>
      <w:keepNext/>
      <w:spacing w:before="240" w:after="60"/>
      <w:outlineLvl w:val="1"/>
    </w:pPr>
    <w:rPr>
      <w:b/>
      <w:bCs/>
      <w:iCs/>
      <w:szCs w:val="28"/>
    </w:rPr>
  </w:style>
  <w:style w:type="paragraph" w:styleId="Nadpis3">
    <w:name w:val="heading 3"/>
    <w:basedOn w:val="Normln"/>
    <w:next w:val="Normln"/>
    <w:uiPriority w:val="9"/>
    <w:qFormat/>
    <w:rsid w:val="00306984"/>
    <w:pPr>
      <w:keepNext/>
      <w:keepLines/>
      <w:spacing w:before="240"/>
      <w:ind w:left="425" w:hanging="425"/>
      <w:outlineLvl w:val="2"/>
    </w:pPr>
    <w:rPr>
      <w:b/>
      <w:bCs/>
      <w:u w:val="single"/>
    </w:rPr>
  </w:style>
  <w:style w:type="paragraph" w:styleId="Nadpis4">
    <w:name w:val="heading 4"/>
    <w:basedOn w:val="Normln"/>
    <w:next w:val="Normln"/>
    <w:qFormat/>
    <w:rsid w:val="00306984"/>
    <w:pPr>
      <w:keepNext/>
      <w:spacing w:before="120" w:after="60"/>
      <w:outlineLvl w:val="3"/>
    </w:pPr>
    <w:rPr>
      <w:rFonts w:ascii="Calibri" w:hAnsi="Calibri"/>
      <w:b/>
      <w:bCs/>
      <w:szCs w:val="28"/>
    </w:rPr>
  </w:style>
  <w:style w:type="paragraph" w:styleId="Nadpis5">
    <w:name w:val="heading 5"/>
    <w:basedOn w:val="Normln"/>
    <w:next w:val="Normln"/>
    <w:qFormat/>
    <w:rsid w:val="00A03BE7"/>
    <w:pPr>
      <w:spacing w:before="120" w:after="60"/>
      <w:outlineLvl w:val="4"/>
    </w:pPr>
    <w:rPr>
      <w:rFonts w:ascii="Calibri" w:hAnsi="Calibri"/>
      <w:bCs/>
      <w:i/>
      <w:iCs/>
      <w:szCs w:val="26"/>
    </w:rPr>
  </w:style>
  <w:style w:type="paragraph" w:styleId="Nadpis9">
    <w:name w:val="heading 9"/>
    <w:basedOn w:val="Normln"/>
    <w:next w:val="Normln"/>
    <w:qFormat/>
    <w:rsid w:val="00074A01"/>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sid w:val="00074A01"/>
    <w:rPr>
      <w:rFonts w:ascii="Arial Narrow" w:hAnsi="Arial Narrow"/>
      <w:b/>
      <w:kern w:val="36"/>
      <w:sz w:val="36"/>
    </w:rPr>
  </w:style>
  <w:style w:type="character" w:customStyle="1" w:styleId="Nadpis2Char">
    <w:name w:val="Nadpis 2 Char"/>
    <w:basedOn w:val="Standardnpsmoodstavce"/>
    <w:rsid w:val="00074A01"/>
    <w:rPr>
      <w:rFonts w:ascii="Cambria" w:eastAsia="Times New Roman" w:hAnsi="Cambria" w:cs="Times New Roman"/>
      <w:b/>
      <w:bCs/>
      <w:i/>
      <w:iCs/>
      <w:sz w:val="28"/>
      <w:szCs w:val="28"/>
    </w:rPr>
  </w:style>
  <w:style w:type="paragraph" w:styleId="Vrazncitt">
    <w:name w:val="Intense Quote"/>
    <w:basedOn w:val="Normln"/>
    <w:next w:val="Normln"/>
    <w:qFormat/>
    <w:rsid w:val="00074A01"/>
    <w:pPr>
      <w:pBdr>
        <w:bottom w:val="single" w:sz="4" w:space="4" w:color="4F81BD"/>
      </w:pBdr>
      <w:spacing w:before="200" w:after="280"/>
      <w:ind w:left="936" w:right="936"/>
    </w:pPr>
    <w:rPr>
      <w:b/>
      <w:bCs/>
      <w:i/>
      <w:iCs/>
      <w:color w:val="4F81BD"/>
    </w:rPr>
  </w:style>
  <w:style w:type="character" w:customStyle="1" w:styleId="CitaceintenzivnChar">
    <w:name w:val="Citace – intenzivní Char"/>
    <w:basedOn w:val="Standardnpsmoodstavce"/>
    <w:rsid w:val="00074A01"/>
    <w:rPr>
      <w:b/>
      <w:bCs/>
      <w:i/>
      <w:iCs/>
      <w:color w:val="4F81BD"/>
      <w:sz w:val="24"/>
      <w:szCs w:val="24"/>
    </w:rPr>
  </w:style>
  <w:style w:type="character" w:styleId="Zdraznnintenzivn">
    <w:name w:val="Intense Emphasis"/>
    <w:basedOn w:val="Standardnpsmoodstavce"/>
    <w:qFormat/>
    <w:rsid w:val="00074A01"/>
    <w:rPr>
      <w:b/>
      <w:bCs/>
      <w:i/>
      <w:iCs/>
      <w:color w:val="4F81BD"/>
    </w:rPr>
  </w:style>
  <w:style w:type="paragraph" w:customStyle="1" w:styleId="Bn">
    <w:name w:val="Běžný"/>
    <w:basedOn w:val="Normln"/>
    <w:qFormat/>
    <w:rsid w:val="00074A01"/>
    <w:pPr>
      <w:spacing w:before="40" w:line="276" w:lineRule="auto"/>
      <w:ind w:firstLine="284"/>
      <w:jc w:val="both"/>
    </w:pPr>
    <w:rPr>
      <w:rFonts w:ascii="Palatino Linotype" w:eastAsia="Calibri" w:hAnsi="Palatino Linotype"/>
      <w:sz w:val="22"/>
      <w:szCs w:val="22"/>
    </w:rPr>
  </w:style>
  <w:style w:type="character" w:customStyle="1" w:styleId="Nadpis3Char">
    <w:name w:val="Nadpis 3 Char"/>
    <w:basedOn w:val="Standardnpsmoodstavce"/>
    <w:uiPriority w:val="9"/>
    <w:rsid w:val="00074A01"/>
    <w:rPr>
      <w:rFonts w:ascii="Cambria" w:eastAsia="Times New Roman" w:hAnsi="Cambria" w:cs="Times New Roman"/>
      <w:b/>
      <w:bCs/>
      <w:color w:val="4F81BD"/>
      <w:sz w:val="24"/>
      <w:szCs w:val="24"/>
    </w:rPr>
  </w:style>
  <w:style w:type="paragraph" w:styleId="Zkladntext3">
    <w:name w:val="Body Text 3"/>
    <w:basedOn w:val="Normln"/>
    <w:unhideWhenUsed/>
    <w:rsid w:val="00074A01"/>
    <w:rPr>
      <w:sz w:val="16"/>
      <w:szCs w:val="16"/>
      <w:lang w:eastAsia="en-US"/>
    </w:rPr>
  </w:style>
  <w:style w:type="character" w:customStyle="1" w:styleId="Zkladntext3Char">
    <w:name w:val="Základní text 3 Char"/>
    <w:basedOn w:val="Standardnpsmoodstavce"/>
    <w:rsid w:val="00074A01"/>
    <w:rPr>
      <w:sz w:val="16"/>
      <w:szCs w:val="16"/>
      <w:lang w:eastAsia="en-US"/>
    </w:rPr>
  </w:style>
  <w:style w:type="character" w:customStyle="1" w:styleId="Nadpis4Char">
    <w:name w:val="Nadpis 4 Char"/>
    <w:basedOn w:val="Standardnpsmoodstavce"/>
    <w:rsid w:val="00074A01"/>
    <w:rPr>
      <w:rFonts w:ascii="Calibri" w:eastAsia="Times New Roman" w:hAnsi="Calibri" w:cs="Times New Roman"/>
      <w:b/>
      <w:bCs/>
      <w:sz w:val="28"/>
      <w:szCs w:val="28"/>
    </w:rPr>
  </w:style>
  <w:style w:type="character" w:customStyle="1" w:styleId="Nadpis5Char">
    <w:name w:val="Nadpis 5 Char"/>
    <w:basedOn w:val="Standardnpsmoodstavce"/>
    <w:semiHidden/>
    <w:rsid w:val="00074A01"/>
    <w:rPr>
      <w:rFonts w:ascii="Calibri" w:eastAsia="Times New Roman" w:hAnsi="Calibri" w:cs="Times New Roman"/>
      <w:b/>
      <w:bCs/>
      <w:i/>
      <w:iCs/>
      <w:sz w:val="26"/>
      <w:szCs w:val="26"/>
    </w:rPr>
  </w:style>
  <w:style w:type="character" w:customStyle="1" w:styleId="Nadpis9Char">
    <w:name w:val="Nadpis 9 Char"/>
    <w:basedOn w:val="Standardnpsmoodstavce"/>
    <w:semiHidden/>
    <w:rsid w:val="00074A01"/>
    <w:rPr>
      <w:rFonts w:ascii="Cambria" w:eastAsia="Times New Roman" w:hAnsi="Cambria" w:cs="Times New Roman"/>
      <w:sz w:val="22"/>
      <w:szCs w:val="22"/>
    </w:rPr>
  </w:style>
  <w:style w:type="paragraph" w:styleId="Zkladntextodsazen">
    <w:name w:val="Body Text Indent"/>
    <w:basedOn w:val="Normln"/>
    <w:uiPriority w:val="99"/>
    <w:unhideWhenUsed/>
    <w:rsid w:val="00074A01"/>
    <w:pPr>
      <w:ind w:left="283"/>
    </w:pPr>
  </w:style>
  <w:style w:type="character" w:customStyle="1" w:styleId="ZkladntextodsazenChar">
    <w:name w:val="Základní text odsazený Char"/>
    <w:basedOn w:val="Standardnpsmoodstavce"/>
    <w:uiPriority w:val="99"/>
    <w:rsid w:val="00074A01"/>
    <w:rPr>
      <w:sz w:val="24"/>
      <w:szCs w:val="24"/>
    </w:rPr>
  </w:style>
  <w:style w:type="paragraph" w:customStyle="1" w:styleId="Zkladn">
    <w:name w:val="Základní"/>
    <w:basedOn w:val="Normln"/>
    <w:rsid w:val="00074A01"/>
    <w:pPr>
      <w:spacing w:before="120"/>
      <w:jc w:val="both"/>
    </w:pPr>
    <w:rPr>
      <w:lang w:eastAsia="en-US"/>
    </w:rPr>
  </w:style>
  <w:style w:type="paragraph" w:styleId="Textpoznpodarou">
    <w:name w:val="footnote text"/>
    <w:aliases w:val="Boston 10,Char,Char Char Char1,Char1,Font: Geneva 9,Fußnotentextf,Geneva 9,Podrozdzia3,Podrozdział,Schriftart: 10 pt,Schriftart: 8 pt,Schriftart: 9 pt,Text pozn. pod čarou1,Text poznámky pod čiarou 007,f,fn,o,pozn. pod čarou"/>
    <w:basedOn w:val="Normln"/>
    <w:uiPriority w:val="99"/>
    <w:unhideWhenUsed/>
    <w:qFormat/>
    <w:rsid w:val="00074A01"/>
    <w:rPr>
      <w:sz w:val="20"/>
      <w:szCs w:val="20"/>
    </w:rPr>
  </w:style>
  <w:style w:type="character" w:customStyle="1" w:styleId="TextpoznpodarouChar">
    <w:name w:val="Text pozn. pod čarou Char"/>
    <w:aliases w:val="Footnote Char,Fußnotentextf Char,Geneva 9 Char,Podrozdzia3 Char,Podrozdział Char,Schriftart: 10 pt Char,Schriftart: 8 pt Char,Schriftart: 9 pt Char,Text poznámky pod čiarou 007 Char,fn Char,fn Char1,pozn. pod čarou Char"/>
    <w:basedOn w:val="Standardnpsmoodstavce"/>
    <w:uiPriority w:val="99"/>
    <w:rsid w:val="00074A01"/>
  </w:style>
  <w:style w:type="character" w:styleId="Znakapoznpodarou">
    <w:name w:val="footnote reference"/>
    <w:aliases w:val="12 b.,Appel note de bas de p,Appel note de bas de page,BVI fnr,Char Car Car Car Car,Footnote,Footnote Reference Superscript,Footnote call,Footnote symbol,Légende,PGI Fußnote Ziffer,PGI Fußnote Ziffer + Times New Roman,Zúžené o ..."/>
    <w:basedOn w:val="Standardnpsmoodstavce"/>
    <w:uiPriority w:val="99"/>
    <w:unhideWhenUsed/>
    <w:rsid w:val="00074A01"/>
    <w:rPr>
      <w:vertAlign w:val="superscript"/>
    </w:rPr>
  </w:style>
  <w:style w:type="paragraph" w:styleId="Zhlav">
    <w:name w:val="header"/>
    <w:basedOn w:val="Normln"/>
    <w:uiPriority w:val="99"/>
    <w:unhideWhenUsed/>
    <w:rsid w:val="00074A01"/>
    <w:pPr>
      <w:tabs>
        <w:tab w:val="center" w:pos="4536"/>
        <w:tab w:val="right" w:pos="9072"/>
      </w:tabs>
    </w:pPr>
  </w:style>
  <w:style w:type="character" w:customStyle="1" w:styleId="ZhlavChar">
    <w:name w:val="Záhlaví Char"/>
    <w:basedOn w:val="Standardnpsmoodstavce"/>
    <w:uiPriority w:val="99"/>
    <w:rsid w:val="00074A01"/>
    <w:rPr>
      <w:sz w:val="24"/>
      <w:szCs w:val="24"/>
    </w:rPr>
  </w:style>
  <w:style w:type="paragraph" w:styleId="Zpat">
    <w:name w:val="footer"/>
    <w:basedOn w:val="Normln"/>
    <w:uiPriority w:val="99"/>
    <w:unhideWhenUsed/>
    <w:rsid w:val="00074A01"/>
    <w:pPr>
      <w:tabs>
        <w:tab w:val="center" w:pos="4536"/>
        <w:tab w:val="right" w:pos="9072"/>
      </w:tabs>
    </w:pPr>
  </w:style>
  <w:style w:type="character" w:customStyle="1" w:styleId="ZpatChar">
    <w:name w:val="Zápatí Char"/>
    <w:basedOn w:val="Standardnpsmoodstavce"/>
    <w:uiPriority w:val="99"/>
    <w:rsid w:val="00074A01"/>
    <w:rPr>
      <w:sz w:val="24"/>
      <w:szCs w:val="24"/>
    </w:rPr>
  </w:style>
  <w:style w:type="paragraph" w:styleId="Odstavecseseznamem">
    <w:name w:val="List Paragraph"/>
    <w:aliases w:val="List Paragraph_0,List Paragraph_0_0,List Paragraph_1,Nadpis pro KZ,Odstavec se seznamem1,Odstavec se seznamem2,Odstavec_muj,odrážky"/>
    <w:basedOn w:val="Normln"/>
    <w:link w:val="OdstavecseseznamemChar"/>
    <w:uiPriority w:val="34"/>
    <w:qFormat/>
    <w:rsid w:val="00BA709C"/>
    <w:pPr>
      <w:ind w:left="708"/>
    </w:pPr>
  </w:style>
  <w:style w:type="character" w:styleId="Odkaznakoment">
    <w:name w:val="annotation reference"/>
    <w:basedOn w:val="Standardnpsmoodstavce"/>
    <w:uiPriority w:val="99"/>
    <w:semiHidden/>
    <w:unhideWhenUsed/>
    <w:rsid w:val="00B667E8"/>
    <w:rPr>
      <w:sz w:val="16"/>
      <w:szCs w:val="16"/>
    </w:rPr>
  </w:style>
  <w:style w:type="paragraph" w:styleId="Textkomente">
    <w:name w:val="annotation text"/>
    <w:basedOn w:val="Normln"/>
    <w:link w:val="TextkomenteChar"/>
    <w:uiPriority w:val="99"/>
    <w:unhideWhenUsed/>
    <w:rsid w:val="00B667E8"/>
    <w:rPr>
      <w:sz w:val="20"/>
      <w:szCs w:val="20"/>
    </w:rPr>
  </w:style>
  <w:style w:type="character" w:customStyle="1" w:styleId="TextkomenteChar">
    <w:name w:val="Text komentáře Char"/>
    <w:basedOn w:val="Standardnpsmoodstavce"/>
    <w:link w:val="Textkomente"/>
    <w:uiPriority w:val="99"/>
    <w:rsid w:val="00B667E8"/>
  </w:style>
  <w:style w:type="paragraph" w:styleId="Pedmtkomente">
    <w:name w:val="annotation subject"/>
    <w:basedOn w:val="Textkomente"/>
    <w:next w:val="Textkomente"/>
    <w:link w:val="PedmtkomenteChar"/>
    <w:uiPriority w:val="99"/>
    <w:semiHidden/>
    <w:unhideWhenUsed/>
    <w:rsid w:val="00B667E8"/>
    <w:rPr>
      <w:b/>
      <w:bCs/>
    </w:rPr>
  </w:style>
  <w:style w:type="character" w:customStyle="1" w:styleId="PedmtkomenteChar">
    <w:name w:val="Předmět komentáře Char"/>
    <w:basedOn w:val="TextkomenteChar"/>
    <w:link w:val="Pedmtkomente"/>
    <w:uiPriority w:val="99"/>
    <w:semiHidden/>
    <w:rsid w:val="00B667E8"/>
    <w:rPr>
      <w:b/>
      <w:bCs/>
    </w:rPr>
  </w:style>
  <w:style w:type="paragraph" w:styleId="Revize">
    <w:name w:val="Revision"/>
    <w:hidden/>
    <w:uiPriority w:val="99"/>
    <w:semiHidden/>
    <w:rsid w:val="00B667E8"/>
    <w:rPr>
      <w:sz w:val="24"/>
      <w:szCs w:val="24"/>
    </w:rPr>
  </w:style>
  <w:style w:type="paragraph" w:styleId="Textbubliny">
    <w:name w:val="Balloon Text"/>
    <w:basedOn w:val="Normln"/>
    <w:link w:val="TextbublinyChar"/>
    <w:uiPriority w:val="99"/>
    <w:semiHidden/>
    <w:unhideWhenUsed/>
    <w:rsid w:val="00B667E8"/>
    <w:rPr>
      <w:rFonts w:ascii="Tahoma" w:hAnsi="Tahoma" w:cs="Tahoma"/>
      <w:sz w:val="16"/>
      <w:szCs w:val="16"/>
    </w:rPr>
  </w:style>
  <w:style w:type="character" w:customStyle="1" w:styleId="TextbublinyChar">
    <w:name w:val="Text bubliny Char"/>
    <w:basedOn w:val="Standardnpsmoodstavce"/>
    <w:link w:val="Textbubliny"/>
    <w:uiPriority w:val="99"/>
    <w:semiHidden/>
    <w:rsid w:val="00B667E8"/>
    <w:rPr>
      <w:rFonts w:ascii="Tahoma" w:hAnsi="Tahoma" w:cs="Tahoma"/>
      <w:sz w:val="16"/>
      <w:szCs w:val="16"/>
    </w:rPr>
  </w:style>
  <w:style w:type="table" w:styleId="Mkatabulky">
    <w:name w:val="Table Grid"/>
    <w:basedOn w:val="Normlntabulka"/>
    <w:uiPriority w:val="39"/>
    <w:rsid w:val="00803A70"/>
    <w:rPr>
      <w:rFonts w:ascii="Arial" w:eastAsia="Calibri"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kladntext">
    <w:name w:val="Body Text"/>
    <w:basedOn w:val="Normln"/>
    <w:link w:val="ZkladntextChar"/>
    <w:uiPriority w:val="99"/>
    <w:rsid w:val="00C41D2F"/>
    <w:pPr>
      <w:jc w:val="both"/>
    </w:pPr>
    <w:rPr>
      <w:rFonts w:cs="Arial"/>
      <w:i/>
      <w:sz w:val="22"/>
      <w:lang w:eastAsia="en-US"/>
    </w:rPr>
  </w:style>
  <w:style w:type="character" w:customStyle="1" w:styleId="ZkladntextChar">
    <w:name w:val="Základní text Char"/>
    <w:basedOn w:val="Standardnpsmoodstavce"/>
    <w:link w:val="Zkladntext"/>
    <w:uiPriority w:val="99"/>
    <w:rsid w:val="00C41D2F"/>
    <w:rPr>
      <w:rFonts w:ascii="Arial" w:hAnsi="Arial" w:cs="Arial"/>
      <w:i/>
      <w:sz w:val="22"/>
      <w:szCs w:val="24"/>
      <w:lang w:eastAsia="en-US"/>
    </w:rPr>
  </w:style>
  <w:style w:type="paragraph" w:styleId="Prosttext">
    <w:name w:val="Plain Text"/>
    <w:basedOn w:val="Normln"/>
    <w:link w:val="ProsttextChar"/>
    <w:uiPriority w:val="99"/>
    <w:unhideWhenUsed/>
    <w:rsid w:val="00430278"/>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430278"/>
    <w:rPr>
      <w:rFonts w:ascii="Consolas" w:eastAsiaTheme="minorHAnsi" w:hAnsi="Consolas" w:cstheme="minorBidi"/>
      <w:sz w:val="21"/>
      <w:szCs w:val="21"/>
      <w:lang w:eastAsia="en-US"/>
    </w:rPr>
  </w:style>
  <w:style w:type="paragraph" w:styleId="Zkladntextodsazen3">
    <w:name w:val="Body Text Indent 3"/>
    <w:basedOn w:val="Normln"/>
    <w:link w:val="Zkladntextodsazen3Char"/>
    <w:uiPriority w:val="99"/>
    <w:unhideWhenUsed/>
    <w:rsid w:val="00695DC0"/>
    <w:pPr>
      <w:ind w:left="283"/>
    </w:pPr>
    <w:rPr>
      <w:sz w:val="16"/>
      <w:szCs w:val="16"/>
    </w:rPr>
  </w:style>
  <w:style w:type="character" w:customStyle="1" w:styleId="Zkladntextodsazen3Char">
    <w:name w:val="Základní text odsazený 3 Char"/>
    <w:basedOn w:val="Standardnpsmoodstavce"/>
    <w:link w:val="Zkladntextodsazen3"/>
    <w:uiPriority w:val="99"/>
    <w:rsid w:val="00695DC0"/>
    <w:rPr>
      <w:rFonts w:ascii="Arial" w:hAnsi="Arial"/>
      <w:sz w:val="16"/>
      <w:szCs w:val="16"/>
    </w:rPr>
  </w:style>
  <w:style w:type="paragraph" w:customStyle="1" w:styleId="NadpisKZ">
    <w:name w:val="Nadpis KZ"/>
    <w:basedOn w:val="Zkladntext2"/>
    <w:rsid w:val="004827C3"/>
  </w:style>
  <w:style w:type="paragraph" w:styleId="Zkladntext2">
    <w:name w:val="Body Text 2"/>
    <w:basedOn w:val="Normln"/>
    <w:link w:val="Zkladntext2Char"/>
    <w:uiPriority w:val="99"/>
    <w:semiHidden/>
    <w:unhideWhenUsed/>
    <w:rsid w:val="004827C3"/>
    <w:pPr>
      <w:spacing w:line="480" w:lineRule="auto"/>
    </w:pPr>
  </w:style>
  <w:style w:type="character" w:customStyle="1" w:styleId="Zkladntext2Char">
    <w:name w:val="Základní text 2 Char"/>
    <w:basedOn w:val="Standardnpsmoodstavce"/>
    <w:link w:val="Zkladntext2"/>
    <w:uiPriority w:val="99"/>
    <w:semiHidden/>
    <w:rsid w:val="004827C3"/>
    <w:rPr>
      <w:rFonts w:ascii="Arial" w:hAnsi="Arial"/>
      <w:sz w:val="24"/>
      <w:szCs w:val="24"/>
    </w:rPr>
  </w:style>
  <w:style w:type="paragraph" w:customStyle="1" w:styleId="Char4CharCharCharCharCharCharCharCharCharChar">
    <w:name w:val="Char4 Char Char Char Char Char Char Char Char Char Char"/>
    <w:basedOn w:val="Normln"/>
    <w:rsid w:val="000F3776"/>
    <w:pPr>
      <w:spacing w:after="160" w:line="240" w:lineRule="exact"/>
    </w:pPr>
    <w:rPr>
      <w:rFonts w:ascii="Times New Roman Bold" w:hAnsi="Times New Roman Bold"/>
      <w:sz w:val="22"/>
      <w:szCs w:val="26"/>
      <w:lang w:val="sk-SK" w:eastAsia="en-US"/>
    </w:rPr>
  </w:style>
  <w:style w:type="character" w:styleId="Hypertextovodkaz">
    <w:name w:val="Hyperlink"/>
    <w:basedOn w:val="Standardnpsmoodstavce"/>
    <w:uiPriority w:val="99"/>
    <w:unhideWhenUsed/>
    <w:rsid w:val="00925EFE"/>
    <w:rPr>
      <w:color w:val="0000FF" w:themeColor="hyperlink"/>
      <w:u w:val="single"/>
    </w:rPr>
  </w:style>
  <w:style w:type="table" w:customStyle="1" w:styleId="Mkatabulky10">
    <w:name w:val="Mřížka tabulky10"/>
    <w:basedOn w:val="Normlntabulka"/>
    <w:next w:val="Mkatabulky"/>
    <w:uiPriority w:val="59"/>
    <w:rsid w:val="003A2E8D"/>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7A253E"/>
    <w:rPr>
      <w:rFonts w:ascii="Arial" w:eastAsia="Calibri"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0E67B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Standardnpsmoodstavce"/>
    <w:rsid w:val="003163D4"/>
  </w:style>
  <w:style w:type="paragraph" w:styleId="Normlnweb">
    <w:name w:val="Normal (Web)"/>
    <w:basedOn w:val="Normln"/>
    <w:uiPriority w:val="99"/>
    <w:semiHidden/>
    <w:unhideWhenUsed/>
    <w:rsid w:val="003163D4"/>
    <w:pPr>
      <w:spacing w:before="100" w:beforeAutospacing="1" w:after="100" w:afterAutospacing="1"/>
    </w:pPr>
    <w:rPr>
      <w:rFonts w:ascii="Times New Roman" w:hAnsi="Times New Roman"/>
    </w:rPr>
  </w:style>
  <w:style w:type="character" w:styleId="Siln">
    <w:name w:val="Strong"/>
    <w:basedOn w:val="Standardnpsmoodstavce"/>
    <w:uiPriority w:val="22"/>
    <w:qFormat/>
    <w:rsid w:val="003163D4"/>
    <w:rPr>
      <w:b/>
      <w:bCs/>
    </w:rPr>
  </w:style>
  <w:style w:type="paragraph" w:styleId="Textvysvtlivek">
    <w:name w:val="endnote text"/>
    <w:basedOn w:val="Normln"/>
    <w:link w:val="TextvysvtlivekChar"/>
    <w:uiPriority w:val="99"/>
    <w:semiHidden/>
    <w:unhideWhenUsed/>
    <w:rsid w:val="00667B99"/>
    <w:rPr>
      <w:sz w:val="20"/>
      <w:szCs w:val="20"/>
    </w:rPr>
  </w:style>
  <w:style w:type="character" w:customStyle="1" w:styleId="TextvysvtlivekChar">
    <w:name w:val="Text vysvětlivek Char"/>
    <w:basedOn w:val="Standardnpsmoodstavce"/>
    <w:link w:val="Textvysvtlivek"/>
    <w:uiPriority w:val="99"/>
    <w:semiHidden/>
    <w:rsid w:val="00667B99"/>
    <w:rPr>
      <w:rFonts w:ascii="Arial" w:hAnsi="Arial"/>
    </w:rPr>
  </w:style>
  <w:style w:type="character" w:styleId="Odkaznavysvtlivky">
    <w:name w:val="endnote reference"/>
    <w:basedOn w:val="Standardnpsmoodstavce"/>
    <w:uiPriority w:val="99"/>
    <w:semiHidden/>
    <w:unhideWhenUsed/>
    <w:rsid w:val="00667B99"/>
    <w:rPr>
      <w:vertAlign w:val="superscript"/>
    </w:rPr>
  </w:style>
  <w:style w:type="character" w:customStyle="1" w:styleId="A0">
    <w:name w:val="A0"/>
    <w:uiPriority w:val="99"/>
    <w:rsid w:val="00AD28AE"/>
    <w:rPr>
      <w:rFonts w:cs="Myriad Pro"/>
      <w:b/>
      <w:bCs/>
      <w:color w:val="000000"/>
      <w:sz w:val="26"/>
      <w:szCs w:val="26"/>
    </w:rPr>
  </w:style>
  <w:style w:type="character" w:customStyle="1" w:styleId="A2">
    <w:name w:val="A2"/>
    <w:uiPriority w:val="99"/>
    <w:rsid w:val="00AD28AE"/>
    <w:rPr>
      <w:rFonts w:cs="Myriad Pro"/>
      <w:b/>
      <w:bCs/>
      <w:color w:val="000000"/>
      <w:sz w:val="44"/>
      <w:szCs w:val="44"/>
    </w:rPr>
  </w:style>
  <w:style w:type="character" w:customStyle="1" w:styleId="st1">
    <w:name w:val="st1"/>
    <w:basedOn w:val="Standardnpsmoodstavce"/>
    <w:rsid w:val="009858DF"/>
  </w:style>
  <w:style w:type="character" w:customStyle="1" w:styleId="tgc">
    <w:name w:val="_tgc"/>
    <w:basedOn w:val="Standardnpsmoodstavce"/>
    <w:rsid w:val="00FC2078"/>
  </w:style>
  <w:style w:type="paragraph" w:styleId="Nzev">
    <w:name w:val="Title"/>
    <w:basedOn w:val="Normln"/>
    <w:link w:val="NzevChar"/>
    <w:qFormat/>
    <w:rsid w:val="008D4B89"/>
    <w:pPr>
      <w:jc w:val="center"/>
    </w:pPr>
    <w:rPr>
      <w:rFonts w:ascii="Times New Roman" w:hAnsi="Times New Roman"/>
      <w:sz w:val="28"/>
      <w:szCs w:val="28"/>
    </w:rPr>
  </w:style>
  <w:style w:type="character" w:customStyle="1" w:styleId="NzevChar">
    <w:name w:val="Název Char"/>
    <w:basedOn w:val="Standardnpsmoodstavce"/>
    <w:link w:val="Nzev"/>
    <w:rsid w:val="008D4B89"/>
    <w:rPr>
      <w:sz w:val="28"/>
      <w:szCs w:val="28"/>
    </w:rPr>
  </w:style>
  <w:style w:type="paragraph" w:customStyle="1" w:styleId="Pa18">
    <w:name w:val="Pa18"/>
    <w:basedOn w:val="Default"/>
    <w:next w:val="Default"/>
    <w:rsid w:val="009E75B5"/>
    <w:pPr>
      <w:spacing w:line="211" w:lineRule="atLeast"/>
    </w:pPr>
    <w:rPr>
      <w:rFonts w:cs="Times New Roman"/>
      <w:color w:val="auto"/>
    </w:rPr>
  </w:style>
  <w:style w:type="character" w:customStyle="1" w:styleId="A14">
    <w:name w:val="A14"/>
    <w:rsid w:val="009E75B5"/>
    <w:rPr>
      <w:rFonts w:cs="Calibri"/>
      <w:b/>
      <w:bCs/>
      <w:color w:val="000000"/>
      <w:sz w:val="54"/>
      <w:szCs w:val="54"/>
    </w:rPr>
  </w:style>
  <w:style w:type="character" w:customStyle="1" w:styleId="A15">
    <w:name w:val="A15"/>
    <w:rsid w:val="009E75B5"/>
    <w:rPr>
      <w:rFonts w:cs="Calibri"/>
      <w:color w:val="000000"/>
      <w:sz w:val="36"/>
      <w:szCs w:val="36"/>
    </w:rPr>
  </w:style>
  <w:style w:type="paragraph" w:customStyle="1" w:styleId="Pa19">
    <w:name w:val="Pa19"/>
    <w:basedOn w:val="Default"/>
    <w:next w:val="Default"/>
    <w:rsid w:val="009E75B5"/>
    <w:pPr>
      <w:spacing w:line="211" w:lineRule="atLeast"/>
    </w:pPr>
    <w:rPr>
      <w:rFonts w:cs="Times New Roman"/>
      <w:color w:val="auto"/>
    </w:rPr>
  </w:style>
  <w:style w:type="paragraph" w:customStyle="1" w:styleId="Pa6">
    <w:name w:val="Pa6"/>
    <w:basedOn w:val="Default"/>
    <w:next w:val="Default"/>
    <w:uiPriority w:val="99"/>
    <w:rsid w:val="007D792B"/>
    <w:pPr>
      <w:spacing w:line="211" w:lineRule="atLeast"/>
    </w:pPr>
    <w:rPr>
      <w:rFonts w:cs="Times New Roman"/>
      <w:color w:val="auto"/>
    </w:rPr>
  </w:style>
  <w:style w:type="character" w:customStyle="1" w:styleId="A12">
    <w:name w:val="A12"/>
    <w:uiPriority w:val="99"/>
    <w:rsid w:val="007D792B"/>
    <w:rPr>
      <w:rFonts w:cs="Calibri"/>
      <w:b/>
      <w:bCs/>
      <w:color w:val="000000"/>
      <w:sz w:val="34"/>
      <w:szCs w:val="34"/>
    </w:rPr>
  </w:style>
  <w:style w:type="paragraph" w:customStyle="1" w:styleId="Pa16">
    <w:name w:val="Pa16"/>
    <w:basedOn w:val="Default"/>
    <w:next w:val="Default"/>
    <w:uiPriority w:val="99"/>
    <w:rsid w:val="007D792B"/>
    <w:pPr>
      <w:spacing w:line="211" w:lineRule="atLeast"/>
    </w:pPr>
    <w:rPr>
      <w:rFonts w:cs="Times New Roman"/>
      <w:color w:val="auto"/>
    </w:rPr>
  </w:style>
  <w:style w:type="character" w:customStyle="1" w:styleId="A13">
    <w:name w:val="A13"/>
    <w:uiPriority w:val="99"/>
    <w:rsid w:val="007D792B"/>
    <w:rPr>
      <w:rFonts w:ascii="Arial" w:hAnsi="Arial" w:cs="Arial"/>
      <w:b/>
      <w:bCs/>
      <w:color w:val="000000"/>
      <w:sz w:val="19"/>
      <w:szCs w:val="19"/>
    </w:rPr>
  </w:style>
  <w:style w:type="character" w:customStyle="1" w:styleId="OdstavecseseznamemChar">
    <w:name w:val="Odstavec se seznamem Char"/>
    <w:aliases w:val="List Paragraph_0 Char,List Paragraph_0_0 Char,List Paragraph_1 Char,Nadpis pro KZ Char,Odstavec se seznamem1 Char,Odstavec se seznamem2 Char,Odstavec_muj Char,odrážky Char"/>
    <w:link w:val="Odstavecseseznamem"/>
    <w:uiPriority w:val="34"/>
    <w:rsid w:val="00F92FB1"/>
    <w:rPr>
      <w:rFonts w:ascii="Arial" w:hAnsi="Arial"/>
      <w:sz w:val="24"/>
      <w:szCs w:val="24"/>
    </w:rPr>
  </w:style>
  <w:style w:type="paragraph" w:styleId="Titulek">
    <w:name w:val="caption"/>
    <w:basedOn w:val="Normln"/>
    <w:next w:val="Normln"/>
    <w:uiPriority w:val="35"/>
    <w:unhideWhenUsed/>
    <w:qFormat/>
    <w:rsid w:val="00F92FB1"/>
    <w:pPr>
      <w:spacing w:after="200"/>
    </w:pPr>
    <w:rPr>
      <w:rFonts w:ascii="Times New Roman" w:hAnsi="Times New Roman"/>
      <w:i/>
      <w:iCs/>
      <w:color w:val="1F497D" w:themeColor="text2"/>
      <w:sz w:val="18"/>
      <w:szCs w:val="18"/>
      <w:lang w:eastAsia="en-US"/>
    </w:rPr>
  </w:style>
  <w:style w:type="paragraph" w:customStyle="1" w:styleId="Odstavec">
    <w:name w:val="Odstavec"/>
    <w:basedOn w:val="Normln"/>
    <w:rsid w:val="0033626F"/>
    <w:pPr>
      <w:spacing w:before="120"/>
      <w:ind w:firstLine="709"/>
      <w:jc w:val="both"/>
    </w:pPr>
    <w:rPr>
      <w:rFonts w:ascii="Times New Roman" w:hAnsi="Times New Roman"/>
      <w:szCs w:val="20"/>
    </w:rPr>
  </w:style>
  <w:style w:type="paragraph" w:customStyle="1" w:styleId="l3">
    <w:name w:val="l3"/>
    <w:basedOn w:val="Normln"/>
    <w:rsid w:val="00542313"/>
    <w:pPr>
      <w:spacing w:before="100" w:beforeAutospacing="1" w:after="100" w:afterAutospacing="1"/>
    </w:pPr>
    <w:rPr>
      <w:rFonts w:ascii="Times New Roman" w:hAnsi="Times New Roman"/>
    </w:rPr>
  </w:style>
  <w:style w:type="paragraph" w:customStyle="1" w:styleId="l2">
    <w:name w:val="l2"/>
    <w:basedOn w:val="Normln"/>
    <w:rsid w:val="00542313"/>
    <w:pPr>
      <w:spacing w:before="100" w:beforeAutospacing="1" w:after="100" w:afterAutospacing="1"/>
    </w:pPr>
    <w:rPr>
      <w:rFonts w:ascii="Times New Roman" w:hAnsi="Times New Roman"/>
    </w:rPr>
  </w:style>
  <w:style w:type="paragraph" w:customStyle="1" w:styleId="l4">
    <w:name w:val="l4"/>
    <w:basedOn w:val="Normln"/>
    <w:rsid w:val="00542313"/>
    <w:pPr>
      <w:spacing w:before="100" w:beforeAutospacing="1" w:after="100" w:afterAutospacing="1"/>
    </w:pPr>
    <w:rPr>
      <w:rFonts w:ascii="Times New Roman" w:hAnsi="Times New Roman"/>
    </w:rPr>
  </w:style>
  <w:style w:type="character" w:styleId="PromnnHTML">
    <w:name w:val="HTML Variable"/>
    <w:basedOn w:val="Standardnpsmoodstavce"/>
    <w:uiPriority w:val="99"/>
    <w:semiHidden/>
    <w:unhideWhenUsed/>
    <w:rsid w:val="00542313"/>
    <w:rPr>
      <w:i/>
      <w:iCs/>
    </w:rPr>
  </w:style>
  <w:style w:type="character" w:styleId="Zdraznn">
    <w:name w:val="Emphasis"/>
    <w:basedOn w:val="Standardnpsmoodstavce"/>
    <w:uiPriority w:val="20"/>
    <w:qFormat/>
    <w:rsid w:val="00512467"/>
    <w:rPr>
      <w:b/>
      <w:bCs/>
      <w:i w:val="0"/>
      <w:iCs w:val="0"/>
    </w:rPr>
  </w:style>
  <w:style w:type="paragraph" w:customStyle="1" w:styleId="l1">
    <w:name w:val="l1"/>
    <w:basedOn w:val="Normln"/>
    <w:rsid w:val="003D41C0"/>
    <w:pPr>
      <w:spacing w:before="100" w:beforeAutospacing="1" w:after="100" w:afterAutospacing="1"/>
    </w:pPr>
    <w:rPr>
      <w:rFonts w:ascii="Times New Roman" w:hAnsi="Times New Roman"/>
    </w:rPr>
  </w:style>
  <w:style w:type="character" w:customStyle="1" w:styleId="aural">
    <w:name w:val="aural"/>
    <w:basedOn w:val="Standardnpsmoodstavce"/>
    <w:rsid w:val="00E43543"/>
  </w:style>
  <w:style w:type="paragraph" w:customStyle="1" w:styleId="KPnormln">
    <w:name w:val="KP normální"/>
    <w:basedOn w:val="Normln"/>
    <w:link w:val="KPnormlnChar"/>
    <w:qFormat/>
    <w:rsid w:val="00C50799"/>
    <w:pPr>
      <w:spacing w:before="120"/>
      <w:ind w:firstLine="720"/>
      <w:jc w:val="both"/>
    </w:pPr>
    <w:rPr>
      <w:rFonts w:cstheme="minorHAnsi"/>
      <w:color w:val="000000"/>
      <w:szCs w:val="22"/>
      <w:lang w:eastAsia="en-US"/>
    </w:rPr>
  </w:style>
  <w:style w:type="character" w:customStyle="1" w:styleId="KPnormlnChar">
    <w:name w:val="KP normální Char"/>
    <w:basedOn w:val="Standardnpsmoodstavce"/>
    <w:link w:val="KPnormln"/>
    <w:rsid w:val="00C50799"/>
    <w:rPr>
      <w:rFonts w:asciiTheme="minorHAnsi" w:hAnsiTheme="minorHAnsi" w:cstheme="minorHAnsi"/>
      <w:color w:val="000000"/>
      <w:sz w:val="24"/>
      <w:szCs w:val="22"/>
      <w:lang w:eastAsia="en-US"/>
    </w:rPr>
  </w:style>
  <w:style w:type="table" w:customStyle="1" w:styleId="Mkatabulky2">
    <w:name w:val="Mřížka tabulky2"/>
    <w:basedOn w:val="Normlntabulka"/>
    <w:next w:val="Mkatabulky"/>
    <w:uiPriority w:val="39"/>
    <w:rsid w:val="00B636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AA5B09"/>
    <w:rPr>
      <w:color w:val="800080" w:themeColor="followedHyperlink"/>
      <w:u w:val="single"/>
    </w:rPr>
  </w:style>
  <w:style w:type="paragraph" w:customStyle="1" w:styleId="Pa25">
    <w:name w:val="Pa25"/>
    <w:basedOn w:val="Default"/>
    <w:next w:val="Default"/>
    <w:uiPriority w:val="99"/>
    <w:rsid w:val="0005565A"/>
    <w:pPr>
      <w:spacing w:line="261" w:lineRule="atLeast"/>
    </w:pPr>
    <w:rPr>
      <w:rFonts w:ascii="Myriad Pro" w:hAnsi="Myriad Pro" w:cs="Times New Roman"/>
      <w:color w:val="auto"/>
    </w:rPr>
  </w:style>
  <w:style w:type="character" w:customStyle="1" w:styleId="A1">
    <w:name w:val="A1"/>
    <w:uiPriority w:val="99"/>
    <w:rsid w:val="0067386D"/>
    <w:rPr>
      <w:color w:val="000000"/>
      <w:sz w:val="28"/>
      <w:szCs w:val="28"/>
    </w:rPr>
  </w:style>
  <w:style w:type="character" w:customStyle="1" w:styleId="A5">
    <w:name w:val="A5"/>
    <w:uiPriority w:val="99"/>
    <w:rsid w:val="0067386D"/>
    <w:rPr>
      <w:b/>
      <w:bCs/>
      <w:color w:val="000000"/>
      <w:sz w:val="40"/>
      <w:szCs w:val="40"/>
    </w:rPr>
  </w:style>
  <w:style w:type="paragraph" w:customStyle="1" w:styleId="Text">
    <w:name w:val="Text"/>
    <w:basedOn w:val="Normln"/>
    <w:link w:val="TextChar"/>
    <w:qFormat/>
    <w:rsid w:val="001E2774"/>
    <w:pPr>
      <w:spacing w:before="120" w:after="0"/>
      <w:jc w:val="both"/>
    </w:pPr>
    <w:rPr>
      <w:rFonts w:eastAsiaTheme="minorHAnsi" w:cstheme="minorHAnsi"/>
      <w:lang w:eastAsia="en-US"/>
    </w:rPr>
  </w:style>
  <w:style w:type="character" w:customStyle="1" w:styleId="TextChar">
    <w:name w:val="Text Char"/>
    <w:basedOn w:val="Standardnpsmoodstavce"/>
    <w:link w:val="Text"/>
    <w:rsid w:val="001E2774"/>
    <w:rPr>
      <w:rFonts w:asciiTheme="minorHAnsi" w:eastAsiaTheme="minorHAnsi" w:hAnsiTheme="minorHAnsi" w:cs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78026">
      <w:bodyDiv w:val="1"/>
      <w:marLeft w:val="0"/>
      <w:marRight w:val="0"/>
      <w:marTop w:val="0"/>
      <w:marBottom w:val="0"/>
      <w:divBdr>
        <w:top w:val="none" w:sz="0" w:space="0" w:color="auto"/>
        <w:left w:val="none" w:sz="0" w:space="0" w:color="auto"/>
        <w:bottom w:val="none" w:sz="0" w:space="0" w:color="auto"/>
        <w:right w:val="none" w:sz="0" w:space="0" w:color="auto"/>
      </w:divBdr>
    </w:div>
    <w:div w:id="617688375">
      <w:bodyDiv w:val="1"/>
      <w:marLeft w:val="0"/>
      <w:marRight w:val="0"/>
      <w:marTop w:val="0"/>
      <w:marBottom w:val="0"/>
      <w:divBdr>
        <w:top w:val="none" w:sz="0" w:space="0" w:color="auto"/>
        <w:left w:val="none" w:sz="0" w:space="0" w:color="auto"/>
        <w:bottom w:val="none" w:sz="0" w:space="0" w:color="auto"/>
        <w:right w:val="none" w:sz="0" w:space="0" w:color="auto"/>
      </w:divBdr>
    </w:div>
    <w:div w:id="953705350">
      <w:bodyDiv w:val="1"/>
      <w:marLeft w:val="0"/>
      <w:marRight w:val="0"/>
      <w:marTop w:val="0"/>
      <w:marBottom w:val="0"/>
      <w:divBdr>
        <w:top w:val="none" w:sz="0" w:space="0" w:color="auto"/>
        <w:left w:val="none" w:sz="0" w:space="0" w:color="auto"/>
        <w:bottom w:val="none" w:sz="0" w:space="0" w:color="auto"/>
        <w:right w:val="none" w:sz="0" w:space="0" w:color="auto"/>
      </w:divBdr>
    </w:div>
    <w:div w:id="1048342183">
      <w:bodyDiv w:val="1"/>
      <w:marLeft w:val="0"/>
      <w:marRight w:val="0"/>
      <w:marTop w:val="0"/>
      <w:marBottom w:val="0"/>
      <w:divBdr>
        <w:top w:val="none" w:sz="0" w:space="0" w:color="auto"/>
        <w:left w:val="none" w:sz="0" w:space="0" w:color="auto"/>
        <w:bottom w:val="none" w:sz="0" w:space="0" w:color="auto"/>
        <w:right w:val="none" w:sz="0" w:space="0" w:color="auto"/>
      </w:divBdr>
    </w:div>
    <w:div w:id="1049304999">
      <w:bodyDiv w:val="1"/>
      <w:marLeft w:val="0"/>
      <w:marRight w:val="0"/>
      <w:marTop w:val="0"/>
      <w:marBottom w:val="0"/>
      <w:divBdr>
        <w:top w:val="none" w:sz="0" w:space="0" w:color="auto"/>
        <w:left w:val="none" w:sz="0" w:space="0" w:color="auto"/>
        <w:bottom w:val="none" w:sz="0" w:space="0" w:color="auto"/>
        <w:right w:val="none" w:sz="0" w:space="0" w:color="auto"/>
      </w:divBdr>
    </w:div>
    <w:div w:id="1121918709">
      <w:bodyDiv w:val="1"/>
      <w:marLeft w:val="0"/>
      <w:marRight w:val="0"/>
      <w:marTop w:val="0"/>
      <w:marBottom w:val="0"/>
      <w:divBdr>
        <w:top w:val="none" w:sz="0" w:space="0" w:color="auto"/>
        <w:left w:val="none" w:sz="0" w:space="0" w:color="auto"/>
        <w:bottom w:val="none" w:sz="0" w:space="0" w:color="auto"/>
        <w:right w:val="none" w:sz="0" w:space="0" w:color="auto"/>
      </w:divBdr>
    </w:div>
    <w:div w:id="1256092405">
      <w:bodyDiv w:val="1"/>
      <w:marLeft w:val="0"/>
      <w:marRight w:val="0"/>
      <w:marTop w:val="0"/>
      <w:marBottom w:val="0"/>
      <w:divBdr>
        <w:top w:val="none" w:sz="0" w:space="0" w:color="auto"/>
        <w:left w:val="none" w:sz="0" w:space="0" w:color="auto"/>
        <w:bottom w:val="none" w:sz="0" w:space="0" w:color="auto"/>
        <w:right w:val="none" w:sz="0" w:space="0" w:color="auto"/>
      </w:divBdr>
    </w:div>
    <w:div w:id="1408726324">
      <w:bodyDiv w:val="1"/>
      <w:marLeft w:val="0"/>
      <w:marRight w:val="0"/>
      <w:marTop w:val="0"/>
      <w:marBottom w:val="0"/>
      <w:divBdr>
        <w:top w:val="none" w:sz="0" w:space="0" w:color="auto"/>
        <w:left w:val="none" w:sz="0" w:space="0" w:color="auto"/>
        <w:bottom w:val="none" w:sz="0" w:space="0" w:color="auto"/>
        <w:right w:val="none" w:sz="0" w:space="0" w:color="auto"/>
      </w:divBdr>
    </w:div>
    <w:div w:id="1509949751">
      <w:bodyDiv w:val="1"/>
      <w:marLeft w:val="0"/>
      <w:marRight w:val="0"/>
      <w:marTop w:val="0"/>
      <w:marBottom w:val="0"/>
      <w:divBdr>
        <w:top w:val="none" w:sz="0" w:space="0" w:color="auto"/>
        <w:left w:val="none" w:sz="0" w:space="0" w:color="auto"/>
        <w:bottom w:val="none" w:sz="0" w:space="0" w:color="auto"/>
        <w:right w:val="none" w:sz="0" w:space="0" w:color="auto"/>
      </w:divBdr>
    </w:div>
    <w:div w:id="1579514577">
      <w:bodyDiv w:val="1"/>
      <w:marLeft w:val="0"/>
      <w:marRight w:val="0"/>
      <w:marTop w:val="0"/>
      <w:marBottom w:val="0"/>
      <w:divBdr>
        <w:top w:val="none" w:sz="0" w:space="0" w:color="auto"/>
        <w:left w:val="none" w:sz="0" w:space="0" w:color="auto"/>
        <w:bottom w:val="none" w:sz="0" w:space="0" w:color="auto"/>
        <w:right w:val="none" w:sz="0" w:space="0" w:color="auto"/>
      </w:divBdr>
    </w:div>
    <w:div w:id="1695767166">
      <w:bodyDiv w:val="1"/>
      <w:marLeft w:val="0"/>
      <w:marRight w:val="0"/>
      <w:marTop w:val="0"/>
      <w:marBottom w:val="0"/>
      <w:divBdr>
        <w:top w:val="none" w:sz="0" w:space="0" w:color="auto"/>
        <w:left w:val="none" w:sz="0" w:space="0" w:color="auto"/>
        <w:bottom w:val="none" w:sz="0" w:space="0" w:color="auto"/>
        <w:right w:val="none" w:sz="0" w:space="0" w:color="auto"/>
      </w:divBdr>
    </w:div>
    <w:div w:id="1716733110">
      <w:bodyDiv w:val="1"/>
      <w:marLeft w:val="0"/>
      <w:marRight w:val="0"/>
      <w:marTop w:val="0"/>
      <w:marBottom w:val="0"/>
      <w:divBdr>
        <w:top w:val="none" w:sz="0" w:space="0" w:color="auto"/>
        <w:left w:val="none" w:sz="0" w:space="0" w:color="auto"/>
        <w:bottom w:val="none" w:sz="0" w:space="0" w:color="auto"/>
        <w:right w:val="none" w:sz="0" w:space="0" w:color="auto"/>
      </w:divBdr>
    </w:div>
    <w:div w:id="1937904704">
      <w:bodyDiv w:val="1"/>
      <w:marLeft w:val="0"/>
      <w:marRight w:val="0"/>
      <w:marTop w:val="0"/>
      <w:marBottom w:val="0"/>
      <w:divBdr>
        <w:top w:val="none" w:sz="0" w:space="0" w:color="auto"/>
        <w:left w:val="none" w:sz="0" w:space="0" w:color="auto"/>
        <w:bottom w:val="none" w:sz="0" w:space="0" w:color="auto"/>
        <w:right w:val="none" w:sz="0" w:space="0" w:color="auto"/>
      </w:divBdr>
    </w:div>
    <w:div w:id="1987009977">
      <w:bodyDiv w:val="1"/>
      <w:marLeft w:val="0"/>
      <w:marRight w:val="0"/>
      <w:marTop w:val="0"/>
      <w:marBottom w:val="0"/>
      <w:divBdr>
        <w:top w:val="none" w:sz="0" w:space="0" w:color="auto"/>
        <w:left w:val="none" w:sz="0" w:space="0" w:color="auto"/>
        <w:bottom w:val="none" w:sz="0" w:space="0" w:color="auto"/>
        <w:right w:val="none" w:sz="0" w:space="0" w:color="auto"/>
      </w:divBdr>
    </w:div>
    <w:div w:id="200010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package" Target="../embeddings/List_aplikac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1\LINHART\KA%2019-22%20DEMOLICE\KONTROLN&#205;%20Z&#193;V&#282;R\Kontroln&#237;%20protokol%2019-22%20-%20MMR%20-%20p&#345;&#237;loha%20&#269;.%2084%20-%20&#250;prava%20KZ.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28879838163071E-2"/>
          <c:y val="3.7389530931339225E-2"/>
          <c:w val="0.91895552348362497"/>
          <c:h val="0.72620880326736859"/>
        </c:manualLayout>
      </c:layout>
      <c:barChart>
        <c:barDir val="col"/>
        <c:grouping val="clustered"/>
        <c:varyColors val="0"/>
        <c:ser>
          <c:idx val="0"/>
          <c:order val="0"/>
          <c:tx>
            <c:strRef>
              <c:f>List1!$C$56</c:f>
              <c:strCache>
                <c:ptCount val="1"/>
                <c:pt idx="0">
                  <c:v>Projekty</c:v>
                </c:pt>
              </c:strCache>
            </c:strRef>
          </c:tx>
          <c:spPr>
            <a:solidFill>
              <a:srgbClr val="BD2A33"/>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layout/>
                <c15:showLeaderLines val="1"/>
                <c15:leaderLines>
                  <c:spPr>
                    <a:ln w="9525">
                      <a:solidFill>
                        <a:schemeClr val="tx1">
                          <a:lumMod val="35000"/>
                          <a:lumOff val="65000"/>
                        </a:schemeClr>
                      </a:solidFill>
                      <a:round/>
                    </a:ln>
                    <a:effectLst/>
                  </c:spPr>
                </c15:leaderLines>
              </c:ext>
            </c:extLst>
          </c:dLbls>
          <c:cat>
            <c:strRef>
              <c:f>List1!$A$57:$A$69</c:f>
              <c:strCache>
                <c:ptCount val="13"/>
                <c:pt idx="0">
                  <c:v>Ústecký</c:v>
                </c:pt>
                <c:pt idx="1">
                  <c:v>Moravskoslezský</c:v>
                </c:pt>
                <c:pt idx="2">
                  <c:v>Středočeský</c:v>
                </c:pt>
                <c:pt idx="3">
                  <c:v>Karlovarský</c:v>
                </c:pt>
                <c:pt idx="4">
                  <c:v>Olomoucký</c:v>
                </c:pt>
                <c:pt idx="5">
                  <c:v>Liberecký</c:v>
                </c:pt>
                <c:pt idx="6">
                  <c:v>Plzeňský</c:v>
                </c:pt>
                <c:pt idx="7">
                  <c:v>Jihočeský</c:v>
                </c:pt>
                <c:pt idx="8">
                  <c:v>Královéhradecký</c:v>
                </c:pt>
                <c:pt idx="9">
                  <c:v>Jihomoravský</c:v>
                </c:pt>
                <c:pt idx="10">
                  <c:v>Pardubický</c:v>
                </c:pt>
                <c:pt idx="11">
                  <c:v>Zlínský</c:v>
                </c:pt>
                <c:pt idx="12">
                  <c:v>Kraj Vysočina</c:v>
                </c:pt>
              </c:strCache>
            </c:strRef>
          </c:cat>
          <c:val>
            <c:numRef>
              <c:f>List1!$C$57:$C$69</c:f>
              <c:numCache>
                <c:formatCode>General</c:formatCode>
                <c:ptCount val="13"/>
                <c:pt idx="0">
                  <c:v>19</c:v>
                </c:pt>
                <c:pt idx="1">
                  <c:v>10</c:v>
                </c:pt>
                <c:pt idx="2">
                  <c:v>7</c:v>
                </c:pt>
                <c:pt idx="3">
                  <c:v>4</c:v>
                </c:pt>
                <c:pt idx="4">
                  <c:v>15</c:v>
                </c:pt>
                <c:pt idx="5">
                  <c:v>6</c:v>
                </c:pt>
                <c:pt idx="6">
                  <c:v>3</c:v>
                </c:pt>
                <c:pt idx="7">
                  <c:v>6</c:v>
                </c:pt>
                <c:pt idx="8">
                  <c:v>10</c:v>
                </c:pt>
                <c:pt idx="9">
                  <c:v>6</c:v>
                </c:pt>
                <c:pt idx="10">
                  <c:v>2</c:v>
                </c:pt>
                <c:pt idx="11">
                  <c:v>7</c:v>
                </c:pt>
                <c:pt idx="12">
                  <c:v>4</c:v>
                </c:pt>
              </c:numCache>
            </c:numRef>
          </c:val>
          <c:extLst>
            <c:ext xmlns:c16="http://schemas.microsoft.com/office/drawing/2014/chart" uri="{C3380CC4-5D6E-409C-BE32-E72D297353CC}">
              <c16:uniqueId val="{00000000-09F1-400D-977C-6176D5C887FB}"/>
            </c:ext>
          </c:extLst>
        </c:ser>
        <c:ser>
          <c:idx val="1"/>
          <c:order val="1"/>
          <c:tx>
            <c:strRef>
              <c:f>List1!$D$56</c:f>
              <c:strCache>
                <c:ptCount val="1"/>
                <c:pt idx="0">
                  <c:v>SVL</c:v>
                </c:pt>
              </c:strCache>
            </c:strRef>
          </c:tx>
          <c:spPr>
            <a:solidFill>
              <a:srgbClr val="004595"/>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layout/>
                <c15:showLeaderLines val="1"/>
                <c15:leaderLines>
                  <c:spPr>
                    <a:ln w="9525">
                      <a:solidFill>
                        <a:schemeClr val="tx1">
                          <a:lumMod val="35000"/>
                          <a:lumOff val="65000"/>
                        </a:schemeClr>
                      </a:solidFill>
                      <a:round/>
                    </a:ln>
                    <a:effectLst/>
                  </c:spPr>
                </c15:leaderLines>
              </c:ext>
            </c:extLst>
          </c:dLbls>
          <c:cat>
            <c:strRef>
              <c:f>List1!$A$57:$A$69</c:f>
              <c:strCache>
                <c:ptCount val="13"/>
                <c:pt idx="0">
                  <c:v>Ústecký</c:v>
                </c:pt>
                <c:pt idx="1">
                  <c:v>Moravskoslezský</c:v>
                </c:pt>
                <c:pt idx="2">
                  <c:v>Středočeský</c:v>
                </c:pt>
                <c:pt idx="3">
                  <c:v>Karlovarský</c:v>
                </c:pt>
                <c:pt idx="4">
                  <c:v>Olomoucký</c:v>
                </c:pt>
                <c:pt idx="5">
                  <c:v>Liberecký</c:v>
                </c:pt>
                <c:pt idx="6">
                  <c:v>Plzeňský</c:v>
                </c:pt>
                <c:pt idx="7">
                  <c:v>Jihočeský</c:v>
                </c:pt>
                <c:pt idx="8">
                  <c:v>Královéhradecký</c:v>
                </c:pt>
                <c:pt idx="9">
                  <c:v>Jihomoravský</c:v>
                </c:pt>
                <c:pt idx="10">
                  <c:v>Pardubický</c:v>
                </c:pt>
                <c:pt idx="11">
                  <c:v>Zlínský</c:v>
                </c:pt>
                <c:pt idx="12">
                  <c:v>Kraj Vysočina</c:v>
                </c:pt>
              </c:strCache>
            </c:strRef>
          </c:cat>
          <c:val>
            <c:numRef>
              <c:f>List1!$D$57:$D$69</c:f>
              <c:numCache>
                <c:formatCode>General</c:formatCode>
                <c:ptCount val="13"/>
                <c:pt idx="0">
                  <c:v>89</c:v>
                </c:pt>
                <c:pt idx="1">
                  <c:v>75</c:v>
                </c:pt>
                <c:pt idx="2">
                  <c:v>64</c:v>
                </c:pt>
                <c:pt idx="3">
                  <c:v>61</c:v>
                </c:pt>
                <c:pt idx="4">
                  <c:v>58</c:v>
                </c:pt>
                <c:pt idx="5">
                  <c:v>48</c:v>
                </c:pt>
                <c:pt idx="6">
                  <c:v>42</c:v>
                </c:pt>
                <c:pt idx="7">
                  <c:v>38</c:v>
                </c:pt>
                <c:pt idx="8">
                  <c:v>36</c:v>
                </c:pt>
                <c:pt idx="9">
                  <c:v>28</c:v>
                </c:pt>
                <c:pt idx="10">
                  <c:v>24</c:v>
                </c:pt>
                <c:pt idx="11">
                  <c:v>23</c:v>
                </c:pt>
                <c:pt idx="12">
                  <c:v>13</c:v>
                </c:pt>
              </c:numCache>
            </c:numRef>
          </c:val>
          <c:extLst>
            <c:ext xmlns:c16="http://schemas.microsoft.com/office/drawing/2014/chart" uri="{C3380CC4-5D6E-409C-BE32-E72D297353CC}">
              <c16:uniqueId val="{00000001-09F1-400D-977C-6176D5C887FB}"/>
            </c:ext>
          </c:extLst>
        </c:ser>
        <c:dLbls>
          <c:showLegendKey val="0"/>
          <c:showVal val="0"/>
          <c:showCatName val="0"/>
          <c:showSerName val="0"/>
          <c:showPercent val="0"/>
          <c:showBubbleSize val="0"/>
        </c:dLbls>
        <c:gapWidth val="109"/>
        <c:overlap val="-27"/>
        <c:axId val="1697685408"/>
        <c:axId val="1697684160"/>
      </c:barChart>
      <c:catAx>
        <c:axId val="169768540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97684160"/>
        <c:crosses val="autoZero"/>
        <c:auto val="1"/>
        <c:lblAlgn val="ctr"/>
        <c:lblOffset val="100"/>
        <c:noMultiLvlLbl val="0"/>
      </c:catAx>
      <c:valAx>
        <c:axId val="1697684160"/>
        <c:scaling>
          <c:orientation val="minMax"/>
        </c:scaling>
        <c:delete val="0"/>
        <c:axPos val="l"/>
        <c:numFmt formatCode="General" sourceLinked="1"/>
        <c:majorTickMark val="none"/>
        <c:minorTickMark val="none"/>
        <c:tickLblPos val="nextTo"/>
        <c:spPr>
          <a:noFill/>
          <a:ln w="9525">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97685408"/>
        <c:crosses val="autoZero"/>
        <c:crossBetween val="between"/>
      </c:valAx>
      <c:spPr>
        <a:noFill/>
        <a:ln>
          <a:noFill/>
        </a:ln>
        <a:effectLst/>
      </c:spPr>
    </c:plotArea>
    <c:legend>
      <c:legendPos val="r"/>
      <c:layout>
        <c:manualLayout>
          <c:xMode val="edge"/>
          <c:yMode val="edge"/>
          <c:x val="0.71665085730700495"/>
          <c:y val="6.4965179828388203E-2"/>
          <c:w val="0.20867538973036728"/>
          <c:h val="0.2886552080378124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a:no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31470721731259"/>
          <c:y val="8.2115398900609121E-2"/>
          <c:w val="0.82708685717162023"/>
          <c:h val="0.7889064279700887"/>
        </c:manualLayout>
      </c:layout>
      <c:scatterChart>
        <c:scatterStyle val="lineMarker"/>
        <c:varyColors val="0"/>
        <c:ser>
          <c:idx val="0"/>
          <c:order val="0"/>
          <c:spPr>
            <a:ln w="25400" cap="rnd">
              <a:noFill/>
              <a:round/>
            </a:ln>
            <a:effectLst/>
          </c:spPr>
          <c:marker>
            <c:symbol val="circle"/>
            <c:size val="5"/>
            <c:spPr>
              <a:solidFill>
                <a:srgbClr val="004595"/>
              </a:solidFill>
              <a:ln w="9525">
                <a:solidFill>
                  <a:schemeClr val="accent1"/>
                </a:solidFill>
              </a:ln>
              <a:effectLst/>
            </c:spPr>
          </c:marker>
          <c:xVal>
            <c:numRef>
              <c:f>'DIS 25.2.2020 doplněné ML a PB'!$K$30:$K$143</c:f>
              <c:numCache>
                <c:formatCode>General</c:formatCode>
                <c:ptCount val="114"/>
                <c:pt idx="0">
                  <c:v>6762</c:v>
                </c:pt>
                <c:pt idx="1">
                  <c:v>250</c:v>
                </c:pt>
                <c:pt idx="2">
                  <c:v>2750</c:v>
                </c:pt>
                <c:pt idx="3">
                  <c:v>2565</c:v>
                </c:pt>
                <c:pt idx="4">
                  <c:v>306</c:v>
                </c:pt>
                <c:pt idx="5">
                  <c:v>645</c:v>
                </c:pt>
                <c:pt idx="6">
                  <c:v>1694</c:v>
                </c:pt>
                <c:pt idx="7">
                  <c:v>5550</c:v>
                </c:pt>
                <c:pt idx="8">
                  <c:v>1488</c:v>
                </c:pt>
                <c:pt idx="9">
                  <c:v>2446</c:v>
                </c:pt>
                <c:pt idx="10">
                  <c:v>1460</c:v>
                </c:pt>
                <c:pt idx="11">
                  <c:v>431.08</c:v>
                </c:pt>
                <c:pt idx="12">
                  <c:v>805</c:v>
                </c:pt>
                <c:pt idx="13">
                  <c:v>3675</c:v>
                </c:pt>
                <c:pt idx="14">
                  <c:v>1365.28</c:v>
                </c:pt>
                <c:pt idx="15">
                  <c:v>1782.7</c:v>
                </c:pt>
                <c:pt idx="16">
                  <c:v>760</c:v>
                </c:pt>
                <c:pt idx="17">
                  <c:v>1817</c:v>
                </c:pt>
                <c:pt idx="18">
                  <c:v>713</c:v>
                </c:pt>
                <c:pt idx="19">
                  <c:v>1406</c:v>
                </c:pt>
                <c:pt idx="20">
                  <c:v>2185</c:v>
                </c:pt>
                <c:pt idx="21">
                  <c:v>2172</c:v>
                </c:pt>
                <c:pt idx="22">
                  <c:v>1203</c:v>
                </c:pt>
                <c:pt idx="23">
                  <c:v>1255</c:v>
                </c:pt>
                <c:pt idx="24">
                  <c:v>643</c:v>
                </c:pt>
                <c:pt idx="25">
                  <c:v>1850</c:v>
                </c:pt>
                <c:pt idx="26">
                  <c:v>883.63699999999994</c:v>
                </c:pt>
                <c:pt idx="27">
                  <c:v>1867.2</c:v>
                </c:pt>
                <c:pt idx="28">
                  <c:v>3538.98</c:v>
                </c:pt>
                <c:pt idx="29">
                  <c:v>1860</c:v>
                </c:pt>
                <c:pt idx="30">
                  <c:v>765</c:v>
                </c:pt>
                <c:pt idx="31">
                  <c:v>3260</c:v>
                </c:pt>
                <c:pt idx="32">
                  <c:v>3134</c:v>
                </c:pt>
                <c:pt idx="33">
                  <c:v>1200</c:v>
                </c:pt>
                <c:pt idx="34">
                  <c:v>1872</c:v>
                </c:pt>
                <c:pt idx="35">
                  <c:v>2037</c:v>
                </c:pt>
                <c:pt idx="36">
                  <c:v>3650</c:v>
                </c:pt>
                <c:pt idx="37">
                  <c:v>1904</c:v>
                </c:pt>
                <c:pt idx="38">
                  <c:v>3488</c:v>
                </c:pt>
                <c:pt idx="39">
                  <c:v>1821</c:v>
                </c:pt>
                <c:pt idx="40">
                  <c:v>2506</c:v>
                </c:pt>
                <c:pt idx="41">
                  <c:v>1913</c:v>
                </c:pt>
                <c:pt idx="42">
                  <c:v>1324.74</c:v>
                </c:pt>
                <c:pt idx="43">
                  <c:v>3488.9</c:v>
                </c:pt>
                <c:pt idx="44">
                  <c:v>1127</c:v>
                </c:pt>
                <c:pt idx="45">
                  <c:v>672</c:v>
                </c:pt>
                <c:pt idx="46">
                  <c:v>2744</c:v>
                </c:pt>
                <c:pt idx="47">
                  <c:v>1786</c:v>
                </c:pt>
                <c:pt idx="48">
                  <c:v>3418.58</c:v>
                </c:pt>
                <c:pt idx="49">
                  <c:v>2970</c:v>
                </c:pt>
                <c:pt idx="50">
                  <c:v>874</c:v>
                </c:pt>
                <c:pt idx="51">
                  <c:v>1157</c:v>
                </c:pt>
                <c:pt idx="52">
                  <c:v>2850</c:v>
                </c:pt>
                <c:pt idx="53">
                  <c:v>793</c:v>
                </c:pt>
                <c:pt idx="54">
                  <c:v>1663.25</c:v>
                </c:pt>
                <c:pt idx="55">
                  <c:v>2092</c:v>
                </c:pt>
                <c:pt idx="56">
                  <c:v>640</c:v>
                </c:pt>
                <c:pt idx="57">
                  <c:v>4416</c:v>
                </c:pt>
                <c:pt idx="58">
                  <c:v>4223.7</c:v>
                </c:pt>
                <c:pt idx="59">
                  <c:v>986.73900000000003</c:v>
                </c:pt>
                <c:pt idx="60">
                  <c:v>4553</c:v>
                </c:pt>
                <c:pt idx="61">
                  <c:v>760</c:v>
                </c:pt>
                <c:pt idx="62">
                  <c:v>1689</c:v>
                </c:pt>
                <c:pt idx="63">
                  <c:v>9072.7999999999993</c:v>
                </c:pt>
                <c:pt idx="64">
                  <c:v>1908.88</c:v>
                </c:pt>
                <c:pt idx="65">
                  <c:v>3790</c:v>
                </c:pt>
                <c:pt idx="66">
                  <c:v>5930</c:v>
                </c:pt>
                <c:pt idx="67">
                  <c:v>1398</c:v>
                </c:pt>
                <c:pt idx="68">
                  <c:v>1700</c:v>
                </c:pt>
                <c:pt idx="69">
                  <c:v>2811</c:v>
                </c:pt>
                <c:pt idx="70">
                  <c:v>2768</c:v>
                </c:pt>
                <c:pt idx="71">
                  <c:v>13676.1</c:v>
                </c:pt>
                <c:pt idx="72">
                  <c:v>1438</c:v>
                </c:pt>
                <c:pt idx="73">
                  <c:v>6400</c:v>
                </c:pt>
                <c:pt idx="74">
                  <c:v>5172</c:v>
                </c:pt>
                <c:pt idx="75">
                  <c:v>1732</c:v>
                </c:pt>
                <c:pt idx="76">
                  <c:v>5933</c:v>
                </c:pt>
                <c:pt idx="77">
                  <c:v>21560.400000000001</c:v>
                </c:pt>
                <c:pt idx="78">
                  <c:v>3900</c:v>
                </c:pt>
                <c:pt idx="79">
                  <c:v>21887</c:v>
                </c:pt>
                <c:pt idx="80">
                  <c:v>10120</c:v>
                </c:pt>
                <c:pt idx="81">
                  <c:v>1847</c:v>
                </c:pt>
                <c:pt idx="82">
                  <c:v>7555.89</c:v>
                </c:pt>
                <c:pt idx="83">
                  <c:v>15337</c:v>
                </c:pt>
                <c:pt idx="84">
                  <c:v>2491</c:v>
                </c:pt>
                <c:pt idx="85">
                  <c:v>4376</c:v>
                </c:pt>
                <c:pt idx="86">
                  <c:v>12500</c:v>
                </c:pt>
                <c:pt idx="87">
                  <c:v>4586</c:v>
                </c:pt>
                <c:pt idx="88">
                  <c:v>5475</c:v>
                </c:pt>
                <c:pt idx="89">
                  <c:v>2878.5</c:v>
                </c:pt>
                <c:pt idx="90">
                  <c:v>12697</c:v>
                </c:pt>
                <c:pt idx="91">
                  <c:v>5000</c:v>
                </c:pt>
                <c:pt idx="92">
                  <c:v>7746.12</c:v>
                </c:pt>
                <c:pt idx="93">
                  <c:v>2021</c:v>
                </c:pt>
                <c:pt idx="94">
                  <c:v>8679</c:v>
                </c:pt>
                <c:pt idx="95">
                  <c:v>8936</c:v>
                </c:pt>
                <c:pt idx="96">
                  <c:v>8679</c:v>
                </c:pt>
                <c:pt idx="97">
                  <c:v>6878.4</c:v>
                </c:pt>
                <c:pt idx="98">
                  <c:v>13530</c:v>
                </c:pt>
                <c:pt idx="99">
                  <c:v>33449</c:v>
                </c:pt>
                <c:pt idx="100">
                  <c:v>5700</c:v>
                </c:pt>
                <c:pt idx="101">
                  <c:v>7082</c:v>
                </c:pt>
                <c:pt idx="102">
                  <c:v>6843</c:v>
                </c:pt>
                <c:pt idx="103">
                  <c:v>7060</c:v>
                </c:pt>
                <c:pt idx="104">
                  <c:v>1496</c:v>
                </c:pt>
                <c:pt idx="105">
                  <c:v>8456.4</c:v>
                </c:pt>
                <c:pt idx="106">
                  <c:v>10106</c:v>
                </c:pt>
                <c:pt idx="107">
                  <c:v>12281</c:v>
                </c:pt>
                <c:pt idx="108">
                  <c:v>2220</c:v>
                </c:pt>
                <c:pt idx="109">
                  <c:v>6688</c:v>
                </c:pt>
                <c:pt idx="110">
                  <c:v>20875</c:v>
                </c:pt>
                <c:pt idx="111">
                  <c:v>7493.8</c:v>
                </c:pt>
                <c:pt idx="112">
                  <c:v>9420</c:v>
                </c:pt>
                <c:pt idx="113">
                  <c:v>4920</c:v>
                </c:pt>
              </c:numCache>
            </c:numRef>
          </c:xVal>
          <c:yVal>
            <c:numRef>
              <c:f>'DIS 25.2.2020 doplněné ML a PB'!$AE$30:$AE$143</c:f>
              <c:numCache>
                <c:formatCode>#,##0.00</c:formatCode>
                <c:ptCount val="114"/>
                <c:pt idx="0">
                  <c:v>3390.8935226264421</c:v>
                </c:pt>
                <c:pt idx="1">
                  <c:v>2894.944</c:v>
                </c:pt>
                <c:pt idx="2">
                  <c:v>2151.9953309090911</c:v>
                </c:pt>
                <c:pt idx="3">
                  <c:v>1991.7694424951267</c:v>
                </c:pt>
                <c:pt idx="4">
                  <c:v>1766.2438888888889</c:v>
                </c:pt>
                <c:pt idx="5">
                  <c:v>1481.5244341085272</c:v>
                </c:pt>
                <c:pt idx="6">
                  <c:v>1341.8937426210152</c:v>
                </c:pt>
                <c:pt idx="7">
                  <c:v>1275.829729243243</c:v>
                </c:pt>
                <c:pt idx="8">
                  <c:v>1218.0710577956988</c:v>
                </c:pt>
                <c:pt idx="9">
                  <c:v>1205.7956704824203</c:v>
                </c:pt>
                <c:pt idx="10">
                  <c:v>1145.6168835616438</c:v>
                </c:pt>
                <c:pt idx="11">
                  <c:v>1108.9590563236522</c:v>
                </c:pt>
                <c:pt idx="12">
                  <c:v>1090.5780372670806</c:v>
                </c:pt>
                <c:pt idx="13">
                  <c:v>1071.0538639455783</c:v>
                </c:pt>
                <c:pt idx="14">
                  <c:v>1055.592537794445</c:v>
                </c:pt>
                <c:pt idx="15">
                  <c:v>985.87030908172994</c:v>
                </c:pt>
                <c:pt idx="16">
                  <c:v>940.74952631578947</c:v>
                </c:pt>
                <c:pt idx="17">
                  <c:v>921.67028618602092</c:v>
                </c:pt>
                <c:pt idx="18">
                  <c:v>907.63607293127632</c:v>
                </c:pt>
                <c:pt idx="19">
                  <c:v>878.48969416785212</c:v>
                </c:pt>
                <c:pt idx="20">
                  <c:v>830.05138672768885</c:v>
                </c:pt>
                <c:pt idx="21">
                  <c:v>825.78711786372003</c:v>
                </c:pt>
                <c:pt idx="22">
                  <c:v>819.41313383208649</c:v>
                </c:pt>
                <c:pt idx="23">
                  <c:v>800.05894820717128</c:v>
                </c:pt>
                <c:pt idx="24">
                  <c:v>787.58339035769825</c:v>
                </c:pt>
                <c:pt idx="25">
                  <c:v>771.46216216216214</c:v>
                </c:pt>
                <c:pt idx="26">
                  <c:v>767.84924126083456</c:v>
                </c:pt>
                <c:pt idx="27">
                  <c:v>750.34617609254497</c:v>
                </c:pt>
                <c:pt idx="28">
                  <c:v>740.67486651521051</c:v>
                </c:pt>
                <c:pt idx="29">
                  <c:v>730.01848924731178</c:v>
                </c:pt>
                <c:pt idx="30">
                  <c:v>710.65751633986929</c:v>
                </c:pt>
                <c:pt idx="31">
                  <c:v>686.18865030674851</c:v>
                </c:pt>
                <c:pt idx="32">
                  <c:v>680.07497128270575</c:v>
                </c:pt>
                <c:pt idx="33">
                  <c:v>677.05333333333328</c:v>
                </c:pt>
                <c:pt idx="34">
                  <c:v>645.66239316239319</c:v>
                </c:pt>
                <c:pt idx="35">
                  <c:v>627.74963181148746</c:v>
                </c:pt>
                <c:pt idx="36">
                  <c:v>626.85397260273976</c:v>
                </c:pt>
                <c:pt idx="37">
                  <c:v>624.41410714285712</c:v>
                </c:pt>
                <c:pt idx="38">
                  <c:v>622.73368405963299</c:v>
                </c:pt>
                <c:pt idx="39">
                  <c:v>603.02416254805053</c:v>
                </c:pt>
                <c:pt idx="40">
                  <c:v>600.88715881883479</c:v>
                </c:pt>
                <c:pt idx="41">
                  <c:v>588.04443282801878</c:v>
                </c:pt>
                <c:pt idx="42">
                  <c:v>560.98543110346179</c:v>
                </c:pt>
                <c:pt idx="43">
                  <c:v>558.70532259451397</c:v>
                </c:pt>
                <c:pt idx="44">
                  <c:v>547.55989352262645</c:v>
                </c:pt>
                <c:pt idx="45">
                  <c:v>545.15232142857144</c:v>
                </c:pt>
                <c:pt idx="46">
                  <c:v>543.20273323615163</c:v>
                </c:pt>
                <c:pt idx="47">
                  <c:v>538.52725643896974</c:v>
                </c:pt>
                <c:pt idx="48">
                  <c:v>532.14688262377945</c:v>
                </c:pt>
                <c:pt idx="49">
                  <c:v>525.80134680134677</c:v>
                </c:pt>
                <c:pt idx="50">
                  <c:v>519.47025171624716</c:v>
                </c:pt>
                <c:pt idx="51">
                  <c:v>513.49783923941231</c:v>
                </c:pt>
                <c:pt idx="52">
                  <c:v>509.96105263157892</c:v>
                </c:pt>
                <c:pt idx="53">
                  <c:v>496.74581336696087</c:v>
                </c:pt>
                <c:pt idx="54">
                  <c:v>490.23898992935517</c:v>
                </c:pt>
                <c:pt idx="55">
                  <c:v>477.38766730401528</c:v>
                </c:pt>
                <c:pt idx="56">
                  <c:v>468.08906250000001</c:v>
                </c:pt>
                <c:pt idx="57">
                  <c:v>466.33016304347825</c:v>
                </c:pt>
                <c:pt idx="58">
                  <c:v>450.63096337334565</c:v>
                </c:pt>
                <c:pt idx="59">
                  <c:v>440.93216139222227</c:v>
                </c:pt>
                <c:pt idx="60">
                  <c:v>420.86712716889963</c:v>
                </c:pt>
                <c:pt idx="61">
                  <c:v>410.54822368421054</c:v>
                </c:pt>
                <c:pt idx="62">
                  <c:v>394.72027827116642</c:v>
                </c:pt>
                <c:pt idx="63">
                  <c:v>384.05442641742354</c:v>
                </c:pt>
                <c:pt idx="64">
                  <c:v>383.9329868823603</c:v>
                </c:pt>
                <c:pt idx="65">
                  <c:v>375.76939841688653</c:v>
                </c:pt>
                <c:pt idx="66">
                  <c:v>372.7872276559865</c:v>
                </c:pt>
                <c:pt idx="67">
                  <c:v>370.73032904148783</c:v>
                </c:pt>
                <c:pt idx="68">
                  <c:v>369.10221764705881</c:v>
                </c:pt>
                <c:pt idx="69">
                  <c:v>368.0384204909285</c:v>
                </c:pt>
                <c:pt idx="70">
                  <c:v>364.98636199421964</c:v>
                </c:pt>
                <c:pt idx="71">
                  <c:v>362.45376971505033</c:v>
                </c:pt>
                <c:pt idx="72">
                  <c:v>358.1252364394993</c:v>
                </c:pt>
                <c:pt idx="73">
                  <c:v>357.94625000000002</c:v>
                </c:pt>
                <c:pt idx="74">
                  <c:v>351.62579659706114</c:v>
                </c:pt>
                <c:pt idx="75">
                  <c:v>348.32588337182449</c:v>
                </c:pt>
                <c:pt idx="76">
                  <c:v>345.4695819989887</c:v>
                </c:pt>
                <c:pt idx="77">
                  <c:v>327.37050490714455</c:v>
                </c:pt>
                <c:pt idx="78">
                  <c:v>324.21794871794873</c:v>
                </c:pt>
                <c:pt idx="79">
                  <c:v>323.51229268515556</c:v>
                </c:pt>
                <c:pt idx="80">
                  <c:v>317.69224901185771</c:v>
                </c:pt>
                <c:pt idx="81">
                  <c:v>317.66367623172715</c:v>
                </c:pt>
                <c:pt idx="82">
                  <c:v>314.69195290032013</c:v>
                </c:pt>
                <c:pt idx="83">
                  <c:v>307.49114168351042</c:v>
                </c:pt>
                <c:pt idx="84">
                  <c:v>299.67294259333602</c:v>
                </c:pt>
                <c:pt idx="85">
                  <c:v>292.5457038391225</c:v>
                </c:pt>
                <c:pt idx="86">
                  <c:v>288.47280000000001</c:v>
                </c:pt>
                <c:pt idx="87">
                  <c:v>283.24931530745749</c:v>
                </c:pt>
                <c:pt idx="88">
                  <c:v>280.32973698630138</c:v>
                </c:pt>
                <c:pt idx="89">
                  <c:v>270.83606044815008</c:v>
                </c:pt>
                <c:pt idx="90">
                  <c:v>264.07104040324487</c:v>
                </c:pt>
                <c:pt idx="91">
                  <c:v>263.53795400000001</c:v>
                </c:pt>
                <c:pt idx="92">
                  <c:v>261.80828208186813</c:v>
                </c:pt>
                <c:pt idx="93">
                  <c:v>258.58095002474022</c:v>
                </c:pt>
                <c:pt idx="94">
                  <c:v>250.91892844797786</c:v>
                </c:pt>
                <c:pt idx="95">
                  <c:v>248.37378738809306</c:v>
                </c:pt>
                <c:pt idx="96">
                  <c:v>244.43530014978685</c:v>
                </c:pt>
                <c:pt idx="97">
                  <c:v>242.47444968306584</c:v>
                </c:pt>
                <c:pt idx="98">
                  <c:v>240.30081300813009</c:v>
                </c:pt>
                <c:pt idx="99">
                  <c:v>236.66802654787887</c:v>
                </c:pt>
                <c:pt idx="100">
                  <c:v>233.3431350877193</c:v>
                </c:pt>
                <c:pt idx="101">
                  <c:v>222.1122267720983</c:v>
                </c:pt>
                <c:pt idx="102">
                  <c:v>218.49720444249598</c:v>
                </c:pt>
                <c:pt idx="103">
                  <c:v>213.9220042492918</c:v>
                </c:pt>
                <c:pt idx="104">
                  <c:v>202.20521390374333</c:v>
                </c:pt>
                <c:pt idx="105">
                  <c:v>185.89429899247909</c:v>
                </c:pt>
                <c:pt idx="106">
                  <c:v>176.71864733821491</c:v>
                </c:pt>
                <c:pt idx="107">
                  <c:v>176.70577965963685</c:v>
                </c:pt>
                <c:pt idx="108">
                  <c:v>162.90687292792791</c:v>
                </c:pt>
                <c:pt idx="109">
                  <c:v>155.91934210526315</c:v>
                </c:pt>
                <c:pt idx="110">
                  <c:v>150.40905724550896</c:v>
                </c:pt>
                <c:pt idx="111">
                  <c:v>149.50942779364274</c:v>
                </c:pt>
                <c:pt idx="112">
                  <c:v>149.4547770700637</c:v>
                </c:pt>
                <c:pt idx="113">
                  <c:v>143.6260162601626</c:v>
                </c:pt>
              </c:numCache>
            </c:numRef>
          </c:yVal>
          <c:smooth val="0"/>
          <c:extLst>
            <c:ext xmlns:c16="http://schemas.microsoft.com/office/drawing/2014/chart" uri="{C3380CC4-5D6E-409C-BE32-E72D297353CC}">
              <c16:uniqueId val="{00000000-9E82-40EC-97B2-0FCE00AFAB03}"/>
            </c:ext>
          </c:extLst>
        </c:ser>
        <c:dLbls>
          <c:showLegendKey val="0"/>
          <c:showVal val="0"/>
          <c:showCatName val="0"/>
          <c:showSerName val="0"/>
          <c:showPercent val="0"/>
          <c:showBubbleSize val="0"/>
        </c:dLbls>
        <c:axId val="919268879"/>
        <c:axId val="919269711"/>
      </c:scatterChart>
      <c:valAx>
        <c:axId val="919268879"/>
        <c:scaling>
          <c:orientation val="minMax"/>
        </c:scaling>
        <c:delete val="0"/>
        <c:axPos val="b"/>
        <c:title>
          <c:tx>
            <c:rich>
              <a:bodyPr rot="0" spcFirstLastPara="1" vertOverflow="clip"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O</a:t>
                </a:r>
                <a:r>
                  <a:rPr lang="cs-CZ"/>
                  <a:t>bestavěný prostor v m</a:t>
                </a:r>
                <a:r>
                  <a:rPr lang="cs-CZ" baseline="30000"/>
                  <a:t>3</a:t>
                </a:r>
                <a:endParaRPr lang="en-US" baseline="30000"/>
              </a:p>
            </c:rich>
          </c:tx>
          <c:layout/>
          <c:overlay val="0"/>
          <c:spPr>
            <a:noFill/>
            <a:ln>
              <a:noFill/>
            </a:ln>
            <a:effectLst/>
          </c:spPr>
          <c:txPr>
            <a:bodyPr rot="0" spcFirstLastPara="1" vertOverflow="clip"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 sourceLinked="0"/>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19269711"/>
        <c:crosses val="autoZero"/>
        <c:crossBetween val="midCat"/>
      </c:valAx>
      <c:valAx>
        <c:axId val="919269711"/>
        <c:scaling>
          <c:orientation val="minMax"/>
        </c:scaling>
        <c:delete val="0"/>
        <c:axPos val="l"/>
        <c:title>
          <c:tx>
            <c:rich>
              <a:bodyPr rot="-5400000" spcFirstLastPara="1" vertOverflow="clip"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Smluvní cena za demolici 1 m</a:t>
                </a:r>
                <a:r>
                  <a:rPr lang="en-US" baseline="30000"/>
                  <a:t>3</a:t>
                </a:r>
                <a:r>
                  <a:rPr lang="cs-CZ" baseline="0"/>
                  <a:t> s DPH</a:t>
                </a:r>
                <a:endParaRPr lang="en-US" baseline="30000"/>
              </a:p>
            </c:rich>
          </c:tx>
          <c:layout/>
          <c:overlay val="0"/>
          <c:spPr>
            <a:noFill/>
            <a:ln>
              <a:noFill/>
            </a:ln>
            <a:effectLst/>
          </c:spPr>
          <c:txPr>
            <a:bodyPr rot="-5400000" spcFirstLastPara="1" vertOverflow="clip"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 sourceLinked="0"/>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919268879"/>
        <c:crosses val="autoZero"/>
        <c:crossBetween val="midCat"/>
      </c:valAx>
      <c:spPr>
        <a:noFill/>
        <a:ln>
          <a:noFill/>
        </a:ln>
        <a:effectLst/>
      </c:spPr>
    </c:plotArea>
    <c:plotVisOnly val="1"/>
    <c:dispBlanksAs val="gap"/>
    <c:showDLblsOverMax val="0"/>
  </c:chart>
  <c:spPr>
    <a:solidFill>
      <a:schemeClr val="bg1"/>
    </a:solidFill>
    <a:ln w="9525">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BE5815984CF3D4B910939206FA07E76" ma:contentTypeVersion="0" ma:contentTypeDescription="Vytvoří nový dokument" ma:contentTypeScope="" ma:versionID="afffc2b87c59031e25ca8c6a4ae76bb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1347A-F5E8-4EAA-9ACC-BF9749B23F79}">
  <ds:schemaRefs>
    <ds:schemaRef ds:uri="http://schemas.microsoft.com/sharepoint/v3/contenttype/forms"/>
  </ds:schemaRefs>
</ds:datastoreItem>
</file>

<file path=customXml/itemProps2.xml><?xml version="1.0" encoding="utf-8"?>
<ds:datastoreItem xmlns:ds="http://schemas.openxmlformats.org/officeDocument/2006/customXml" ds:itemID="{1C7228B4-BA39-49C6-B50E-51DA7CF18AF6}">
  <ds:schemaRefs>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235B7143-6481-465E-8AA8-70B18431F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C83B67-F61C-4D39-B83B-4C4312D3F68A}">
  <ds:schemaRefs>
    <ds:schemaRef ds:uri="http://schemas.openxmlformats.org/officeDocument/2006/bibliography"/>
  </ds:schemaRefs>
</ds:datastoreItem>
</file>

<file path=customXml/itemProps5.xml><?xml version="1.0" encoding="utf-8"?>
<ds:datastoreItem xmlns:ds="http://schemas.openxmlformats.org/officeDocument/2006/customXml" ds:itemID="{38002B93-0C86-4D96-B1E1-00095F722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AF563919.dotm</Template>
  <TotalTime>3</TotalTime>
  <Pages>21</Pages>
  <Words>6756</Words>
  <Characters>39863</Characters>
  <Application>Microsoft Office Word</Application>
  <DocSecurity>0</DocSecurity>
  <Lines>332</Lines>
  <Paragraphs>93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Kontrolní závěr z kontrolní akce NKÚ č. 19/22 - Peněžní prostředky státu určené na demolice budov v sociálně vyloučených lokalitách</vt:lpstr>
      <vt:lpstr/>
    </vt:vector>
  </TitlesOfParts>
  <Company>Nejvyšší kontrolní úřad</Company>
  <LinksUpToDate>false</LinksUpToDate>
  <CharactersWithSpaces>46526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19/22 - Peněžní prostředky státu určené na demolice budov v sociálně vyloučených lokalitách</dc:title>
  <dc:creator>Nejvyšší kontrolní úřad</dc:creator>
  <cp:keywords>kontrolní závěr; demolice budov; sociálně vyloučené lokality</cp:keywords>
  <cp:lastModifiedBy>KOKRDA Daniel</cp:lastModifiedBy>
  <cp:revision>5</cp:revision>
  <cp:lastPrinted>2020-08-03T12:23:00Z</cp:lastPrinted>
  <dcterms:created xsi:type="dcterms:W3CDTF">2020-08-03T12:21:00Z</dcterms:created>
  <dcterms:modified xsi:type="dcterms:W3CDTF">2020-08-03T12:24:00Z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144/20-NKU200/312/20</vt:lpwstr>
  </property>
  <property fmtid="{D5CDD505-2E9C-101B-9397-08002B2CF9AE}" pid="5" name="CJ_PostaDoruc_PisemnostOdpovedNa_Pisemnost">
    <vt:lpwstr>XXX-XXX-XXX</vt:lpwstr>
  </property>
  <property fmtid="{D5CDD505-2E9C-101B-9397-08002B2CF9AE}" pid="6" name="CJ_Spis_Pisemnost">
    <vt:lpwstr>200/4/20</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Id">
    <vt:lpwstr>0x0101005BE5815984CF3D4B910939206FA07E76</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18.6.2020</vt:lpwstr>
  </property>
  <property fmtid="{D5CDD505-2E9C-101B-9397-08002B2CF9AE}" pid="13" name="DisplayName_CisloObalky_PostaOdes">
    <vt:lpwstr>ČÍSLO OBÁLKY</vt:lpwstr>
  </property>
  <property fmtid="{D5CDD505-2E9C-101B-9397-08002B2CF9AE}" pid="14" name="DisplayName_CJCol">
    <vt:lpwstr>&lt;TABLE&gt;&lt;TR&gt;&lt;TD&gt;Č.j.:&lt;/TD&gt;&lt;TD&gt;144/20-NKU200/312/20&lt;/TD&gt;&lt;/TR&gt;&lt;TR&gt;&lt;TD&gt;&lt;/TD&gt;&lt;TD&gt;&lt;/TD&gt;&lt;/TR&gt;&lt;/TABLE&gt;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Sekce kontrolní</vt:lpwstr>
  </property>
  <property fmtid="{D5CDD505-2E9C-101B-9397-08002B2CF9AE}" pid="17" name="DisplayName_UserPoriz_Pisemnost">
    <vt:lpwstr>Jana Másílková</vt:lpwstr>
  </property>
  <property fmtid="{D5CDD505-2E9C-101B-9397-08002B2CF9AE}" pid="18" name="DuvodZmeny_SlozkaStupenUtajeniCollection_Slozka_Pisemnost">
    <vt:lpwstr/>
  </property>
  <property fmtid="{D5CDD505-2E9C-101B-9397-08002B2CF9AE}" pid="19" name="EC_Pisemnost">
    <vt:lpwstr>20-7455/NKU</vt:lpwstr>
  </property>
  <property fmtid="{D5CDD505-2E9C-101B-9397-08002B2CF9AE}" pid="20" name="Key_BarCode_Pisemnost">
    <vt:lpwstr>*B000364759*</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NameAddress_Contact_SpisovyUzel_PoziceZodpo_Pisemnost">
    <vt:lpwstr>ADRESÁT SU...</vt:lpwstr>
  </property>
  <property fmtid="{D5CDD505-2E9C-101B-9397-08002B2CF9AE}" pid="24" name="NamePostalAddress_Contact_PostaOdes">
    <vt:lpwstr>{NameAddress_Contact_PostaOdes}
{PostalAddress_Contact_PostaOdes}</vt:lpwstr>
  </property>
  <property fmtid="{D5CDD505-2E9C-101B-9397-08002B2CF9AE}" pid="25" name="Odkaz">
    <vt:lpwstr>ODKAZ</vt:lpwstr>
  </property>
  <property fmtid="{D5CDD505-2E9C-101B-9397-08002B2CF9AE}" pid="26" name="Password_PisemnostTypZpristupneniInformaciZOSZ_Pisemnost">
    <vt:lpwstr>ZOSZ_Password</vt:lpwstr>
  </property>
  <property fmtid="{D5CDD505-2E9C-101B-9397-08002B2CF9AE}" pid="27" name="PocetListuDokumentu_Pisemnost">
    <vt:lpwstr>2</vt:lpwstr>
  </property>
  <property fmtid="{D5CDD505-2E9C-101B-9397-08002B2CF9AE}" pid="28" name="PocetListu_Pisemnost">
    <vt:lpwstr>2/1</vt:lpwstr>
  </property>
  <property fmtid="{D5CDD505-2E9C-101B-9397-08002B2CF9AE}" pid="29" name="PocetPriloh_Pisemnost">
    <vt:lpwstr>1</vt:lpwstr>
  </property>
  <property fmtid="{D5CDD505-2E9C-101B-9397-08002B2CF9AE}" pid="30" name="Podpis">
    <vt:lpwstr/>
  </property>
  <property fmtid="{D5CDD505-2E9C-101B-9397-08002B2CF9AE}" pid="31" name="PoleVlastnost">
    <vt:lpwstr/>
  </property>
  <property fmtid="{D5CDD505-2E9C-101B-9397-08002B2CF9AE}" pid="32" name="PostalAddress_Contact_SpisovyUzel_PoziceZodpo_Pisemnost">
    <vt:lpwstr>ADRESA SU...</vt:lpwstr>
  </property>
  <property fmtid="{D5CDD505-2E9C-101B-9397-08002B2CF9AE}" pid="33" name="QREC_Pisemnost">
    <vt:lpwstr>20-7455/NKU</vt:lpwstr>
  </property>
  <property fmtid="{D5CDD505-2E9C-101B-9397-08002B2CF9AE}" pid="34" name="RC">
    <vt:lpwstr/>
  </property>
  <property fmtid="{D5CDD505-2E9C-101B-9397-08002B2CF9AE}" pid="35" name="SkartacniZnakLhuta_PisemnostZnak">
    <vt:lpwstr>?/?</vt:lpwstr>
  </property>
  <property fmtid="{D5CDD505-2E9C-101B-9397-08002B2CF9AE}" pid="36" name="SmlouvaCislo">
    <vt:lpwstr>ČÍSLO SMLOUVY</vt:lpwstr>
  </property>
  <property fmtid="{D5CDD505-2E9C-101B-9397-08002B2CF9AE}" pid="37" name="SZ_Spis_Pisemnost">
    <vt:lpwstr>144/20</vt:lpwstr>
  </property>
  <property fmtid="{D5CDD505-2E9C-101B-9397-08002B2CF9AE}" pid="38" name="TEST">
    <vt:lpwstr>testovací pole</vt:lpwstr>
  </property>
  <property fmtid="{D5CDD505-2E9C-101B-9397-08002B2CF9AE}" pid="39" name="TypPrilohy_Pisemnost">
    <vt:lpwstr>TYP PŘÍLOHY</vt:lpwstr>
  </property>
  <property fmtid="{D5CDD505-2E9C-101B-9397-08002B2CF9AE}" pid="40" name="UserName_PisemnostTypZpristupneniInformaciZOSZ_Pisemnost">
    <vt:lpwstr>ZOSZ_UserName</vt:lpwstr>
  </property>
  <property fmtid="{D5CDD505-2E9C-101B-9397-08002B2CF9AE}" pid="41" name="Vec_Pisemnost">
    <vt:lpwstr>KZ 19/22 - připomínkové řízení </vt:lpwstr>
  </property>
  <property fmtid="{D5CDD505-2E9C-101B-9397-08002B2CF9AE}" pid="42" name="Zkratka_SpisovyUzel_PoziceZodpo_Pisemnost">
    <vt:lpwstr>200</vt:lpwstr>
  </property>
</Properties>
</file>