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1558" w14:textId="77777777" w:rsidR="00395345" w:rsidRDefault="00395345" w:rsidP="006E3B89">
      <w:pPr>
        <w:jc w:val="center"/>
      </w:pPr>
      <w:bookmarkStart w:id="0" w:name="_GoBack"/>
      <w:bookmarkEnd w:id="0"/>
      <w:r w:rsidRPr="00C3396A">
        <w:rPr>
          <w:noProof/>
          <w:lang w:eastAsia="cs-CZ"/>
        </w:rPr>
        <w:drawing>
          <wp:anchor distT="0" distB="0" distL="114300" distR="114300" simplePos="0" relativeHeight="251659264" behindDoc="0" locked="0" layoutInCell="1" allowOverlap="1" wp14:anchorId="1A5BBAD5" wp14:editId="4C1B4D67">
            <wp:simplePos x="0" y="0"/>
            <wp:positionH relativeFrom="margin">
              <wp:posOffset>2522855</wp:posOffset>
            </wp:positionH>
            <wp:positionV relativeFrom="paragraph">
              <wp:posOffset>559</wp:posOffset>
            </wp:positionV>
            <wp:extent cx="713740" cy="50419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34F38485" w14:textId="77777777" w:rsidR="00395345" w:rsidRDefault="00395345" w:rsidP="006E3B89">
      <w:pPr>
        <w:jc w:val="center"/>
      </w:pPr>
    </w:p>
    <w:p w14:paraId="7D2FBAF4" w14:textId="77777777" w:rsidR="00395345" w:rsidRPr="00C3396A" w:rsidRDefault="00395345" w:rsidP="006E3B89">
      <w:pPr>
        <w:jc w:val="center"/>
      </w:pPr>
    </w:p>
    <w:p w14:paraId="2B241E46" w14:textId="77777777" w:rsidR="00395345" w:rsidRPr="00C3396A" w:rsidRDefault="00395345" w:rsidP="006E3B89">
      <w:pPr>
        <w:jc w:val="center"/>
        <w:rPr>
          <w:b/>
          <w:sz w:val="28"/>
          <w:szCs w:val="28"/>
        </w:rPr>
      </w:pPr>
      <w:r w:rsidRPr="00C3396A">
        <w:rPr>
          <w:b/>
          <w:sz w:val="28"/>
          <w:szCs w:val="28"/>
        </w:rPr>
        <w:t>Kontrolní závěr z kontrolní akce</w:t>
      </w:r>
    </w:p>
    <w:p w14:paraId="23AA322E" w14:textId="77777777" w:rsidR="00395345" w:rsidRPr="008F74E8" w:rsidRDefault="00395345" w:rsidP="006E3B89">
      <w:pPr>
        <w:jc w:val="center"/>
      </w:pPr>
    </w:p>
    <w:p w14:paraId="5353E4E1" w14:textId="77777777" w:rsidR="00395345" w:rsidRDefault="00395345" w:rsidP="006E3B89">
      <w:pPr>
        <w:jc w:val="center"/>
        <w:rPr>
          <w:b/>
          <w:sz w:val="28"/>
          <w:szCs w:val="28"/>
        </w:rPr>
      </w:pPr>
      <w:r w:rsidRPr="00C3396A">
        <w:rPr>
          <w:b/>
          <w:sz w:val="28"/>
          <w:szCs w:val="28"/>
        </w:rPr>
        <w:t>1</w:t>
      </w:r>
      <w:r>
        <w:rPr>
          <w:b/>
          <w:sz w:val="28"/>
          <w:szCs w:val="28"/>
        </w:rPr>
        <w:t>8</w:t>
      </w:r>
      <w:r w:rsidRPr="00C3396A">
        <w:rPr>
          <w:b/>
          <w:sz w:val="28"/>
          <w:szCs w:val="28"/>
        </w:rPr>
        <w:t>/</w:t>
      </w:r>
      <w:r>
        <w:rPr>
          <w:b/>
          <w:sz w:val="28"/>
          <w:szCs w:val="28"/>
        </w:rPr>
        <w:t>04</w:t>
      </w:r>
    </w:p>
    <w:p w14:paraId="5480613B" w14:textId="77777777" w:rsidR="00395345" w:rsidRDefault="00395345" w:rsidP="006E3B89">
      <w:pPr>
        <w:jc w:val="center"/>
      </w:pPr>
    </w:p>
    <w:p w14:paraId="5C1EF7F0" w14:textId="77777777" w:rsidR="006E3B89" w:rsidRDefault="00395345" w:rsidP="006E3B89">
      <w:pPr>
        <w:jc w:val="center"/>
      </w:pPr>
      <w:r w:rsidRPr="009C5669">
        <w:rPr>
          <w:b/>
          <w:sz w:val="28"/>
          <w:szCs w:val="28"/>
        </w:rPr>
        <w:t>Peněžní prostředky určené na podporu zlepšování kvality ovzduší</w:t>
      </w:r>
    </w:p>
    <w:p w14:paraId="2B1A946C" w14:textId="77777777" w:rsidR="00395345" w:rsidRDefault="00395345" w:rsidP="006E3B89">
      <w:pPr>
        <w:jc w:val="both"/>
      </w:pPr>
    </w:p>
    <w:p w14:paraId="35BCABBB" w14:textId="77777777" w:rsidR="00395345" w:rsidRPr="00321AB1" w:rsidRDefault="00395345" w:rsidP="006E3B89">
      <w:pPr>
        <w:pStyle w:val="Text"/>
        <w:spacing w:after="120" w:line="264" w:lineRule="auto"/>
      </w:pPr>
      <w:r w:rsidRPr="00321AB1">
        <w:t>Kontrolní akce byla zařazena do plánu kontrolní činnosti Nejvyš</w:t>
      </w:r>
      <w:r>
        <w:t>šího kontrolního úřadu (dále také</w:t>
      </w:r>
      <w:r w:rsidRPr="00321AB1">
        <w:t xml:space="preserve"> „NKÚ“) na rok 201</w:t>
      </w:r>
      <w:r>
        <w:t>8</w:t>
      </w:r>
      <w:r w:rsidRPr="00321AB1">
        <w:t xml:space="preserve"> pod číslem 1</w:t>
      </w:r>
      <w:r>
        <w:t>8</w:t>
      </w:r>
      <w:r w:rsidRPr="00321AB1">
        <w:t>/</w:t>
      </w:r>
      <w:r>
        <w:t>04</w:t>
      </w:r>
      <w:r w:rsidRPr="00321AB1">
        <w:t>. Kontrolní akci řídil a kontrolní závěr vypracoval člen NKÚ RNDr. Petr Neuvirt.</w:t>
      </w:r>
    </w:p>
    <w:p w14:paraId="2214FD20" w14:textId="7EDBB750" w:rsidR="00395345" w:rsidRDefault="00395345" w:rsidP="006E3B89">
      <w:pPr>
        <w:pStyle w:val="Text"/>
        <w:spacing w:after="120" w:line="264" w:lineRule="auto"/>
      </w:pPr>
      <w:r w:rsidRPr="00321AB1">
        <w:t>Cílem kontroly bylo</w:t>
      </w:r>
      <w:r w:rsidRPr="009C5669">
        <w:t xml:space="preserve"> </w:t>
      </w:r>
      <w:r>
        <w:t>p</w:t>
      </w:r>
      <w:r w:rsidRPr="009C5669">
        <w:t>rověřit poskytování a použití peněžn</w:t>
      </w:r>
      <w:r>
        <w:t>ích prostředků vynakládaných na</w:t>
      </w:r>
      <w:r w:rsidR="00E64827">
        <w:t xml:space="preserve"> </w:t>
      </w:r>
      <w:r w:rsidRPr="009C5669">
        <w:t>podporu zlepšování kvality ovzduší a prověřit, zda tyto peněžní prostředky přispívají ke</w:t>
      </w:r>
      <w:r w:rsidR="00E64827">
        <w:t xml:space="preserve"> </w:t>
      </w:r>
      <w:r w:rsidRPr="009C5669">
        <w:t>zlepšování kvality ovzduší v České republice.</w:t>
      </w:r>
    </w:p>
    <w:p w14:paraId="1A3F8673" w14:textId="77777777" w:rsidR="00395345" w:rsidRPr="00321AB1" w:rsidRDefault="00395345" w:rsidP="006E3B89">
      <w:pPr>
        <w:pStyle w:val="Text"/>
        <w:spacing w:after="120" w:line="264" w:lineRule="auto"/>
      </w:pPr>
      <w:r w:rsidRPr="00321AB1">
        <w:t xml:space="preserve">Kontrola byla prováděna u kontrolovaných osob v období od </w:t>
      </w:r>
      <w:r>
        <w:t>února</w:t>
      </w:r>
      <w:r w:rsidRPr="00321AB1">
        <w:t xml:space="preserve"> 201</w:t>
      </w:r>
      <w:r>
        <w:t>8</w:t>
      </w:r>
      <w:r w:rsidRPr="00321AB1">
        <w:t xml:space="preserve"> do </w:t>
      </w:r>
      <w:r>
        <w:t>září 2018.</w:t>
      </w:r>
    </w:p>
    <w:p w14:paraId="1215AABE" w14:textId="77777777" w:rsidR="00395345" w:rsidRDefault="00395345" w:rsidP="006E3B89">
      <w:pPr>
        <w:pStyle w:val="Text"/>
        <w:spacing w:after="120" w:line="264" w:lineRule="auto"/>
      </w:pPr>
      <w:r w:rsidRPr="00321AB1">
        <w:t>Kontrolovaným obdobím byly roky 201</w:t>
      </w:r>
      <w:r>
        <w:t>5</w:t>
      </w:r>
      <w:r w:rsidRPr="00321AB1">
        <w:t xml:space="preserve"> až 201</w:t>
      </w:r>
      <w:r>
        <w:t>7</w:t>
      </w:r>
      <w:r w:rsidRPr="00321AB1">
        <w:t>, v případě věcných souvislostí i období předcházející a následující.</w:t>
      </w:r>
    </w:p>
    <w:p w14:paraId="64440101" w14:textId="77777777" w:rsidR="00395345" w:rsidRPr="009C5669" w:rsidRDefault="00395345" w:rsidP="006E3B89">
      <w:pPr>
        <w:pStyle w:val="Text"/>
        <w:spacing w:after="120" w:line="264" w:lineRule="auto"/>
      </w:pPr>
      <w:r w:rsidRPr="00321AB1">
        <w:t>Kontrolované osoby:</w:t>
      </w:r>
      <w:r w:rsidRPr="00321AB1">
        <w:cr/>
      </w:r>
      <w:r w:rsidRPr="0014296D">
        <w:t xml:space="preserve">Ministerstvo životního prostředí (dále také „MŽP“); Státní fond životního prostředí České republiky, Praha (dále také „SFŽP“); Český hydrometeorologický ústav, Praha (dále také „ČHMÚ“); Jihočeský kraj, České Budějovice; Moravskoslezský kraj, Ostrava; Středočeský kraj, Praha; Ústecký kraj, Ústí nad Labem; ADM Olomouc s.r.o., Olomouc; BPS Pacov s.r.o., Pacov; </w:t>
      </w:r>
      <w:r w:rsidRPr="0014296D">
        <w:rPr>
          <w:rFonts w:cs="Arial"/>
          <w:noProof/>
          <w:color w:val="000000"/>
        </w:rPr>
        <w:t>Cement Hranice, akciová společnost, Hranice;</w:t>
      </w:r>
      <w:r w:rsidRPr="0014296D">
        <w:t xml:space="preserve"> Elektrárny Opatovice, a.s., Opatovice nad Labem-Pardubice; METAZ Týnec a.s., Praha; </w:t>
      </w:r>
      <w:r w:rsidRPr="0014296D">
        <w:rPr>
          <w:rFonts w:cs="Arial"/>
          <w:noProof/>
          <w:color w:val="000000"/>
        </w:rPr>
        <w:t>PRECIOSA</w:t>
      </w:r>
      <w:r>
        <w:rPr>
          <w:rFonts w:cs="Arial"/>
          <w:noProof/>
          <w:color w:val="000000"/>
        </w:rPr>
        <w:t xml:space="preserve"> ORNELA, a.s., Zásada; Severočeské doly</w:t>
      </w:r>
      <w:r w:rsidR="00BE7193">
        <w:rPr>
          <w:rFonts w:cs="Arial"/>
          <w:noProof/>
          <w:color w:val="000000"/>
        </w:rPr>
        <w:t> </w:t>
      </w:r>
      <w:r>
        <w:rPr>
          <w:rFonts w:cs="Arial"/>
          <w:noProof/>
          <w:color w:val="000000"/>
        </w:rPr>
        <w:t xml:space="preserve">a.s., Chomutov; </w:t>
      </w:r>
      <w:proofErr w:type="spellStart"/>
      <w:r>
        <w:t>Wotan</w:t>
      </w:r>
      <w:proofErr w:type="spellEnd"/>
      <w:r>
        <w:t xml:space="preserve"> </w:t>
      </w:r>
      <w:proofErr w:type="spellStart"/>
      <w:r>
        <w:t>Forest</w:t>
      </w:r>
      <w:proofErr w:type="spellEnd"/>
      <w:r>
        <w:t>, a.s., České Budějovice</w:t>
      </w:r>
      <w:r w:rsidRPr="009C5669">
        <w:t>.</w:t>
      </w:r>
    </w:p>
    <w:p w14:paraId="1FE7763B" w14:textId="77777777" w:rsidR="00395345" w:rsidRPr="00D8596E" w:rsidRDefault="00395345" w:rsidP="006E3B89">
      <w:pPr>
        <w:spacing w:before="120" w:after="120" w:line="264" w:lineRule="auto"/>
      </w:pPr>
    </w:p>
    <w:p w14:paraId="0DAF7A5F" w14:textId="77777777" w:rsidR="00395345" w:rsidRPr="006054F8" w:rsidRDefault="00395345" w:rsidP="00395345">
      <w:pPr>
        <w:spacing w:after="120"/>
      </w:pPr>
      <w:r w:rsidRPr="006054F8">
        <w:rPr>
          <w:b/>
          <w:i/>
          <w:spacing w:val="40"/>
        </w:rPr>
        <w:t>Kolegium</w:t>
      </w:r>
      <w:r w:rsidRPr="006054F8">
        <w:rPr>
          <w:b/>
          <w:i/>
        </w:rPr>
        <w:t xml:space="preserve">   </w:t>
      </w:r>
      <w:r w:rsidRPr="006054F8">
        <w:rPr>
          <w:b/>
          <w:i/>
          <w:spacing w:val="40"/>
        </w:rPr>
        <w:t>NKÚ</w:t>
      </w:r>
      <w:r w:rsidRPr="006054F8">
        <w:rPr>
          <w:b/>
          <w:i/>
        </w:rPr>
        <w:t xml:space="preserve">   </w:t>
      </w:r>
      <w:r w:rsidRPr="006054F8">
        <w:t xml:space="preserve">na svém </w:t>
      </w:r>
      <w:r w:rsidR="00C9248B">
        <w:t>XVI</w:t>
      </w:r>
      <w:r w:rsidRPr="006054F8">
        <w:t xml:space="preserve">. jednání, které se konalo dne </w:t>
      </w:r>
      <w:r w:rsidR="00C9248B">
        <w:t xml:space="preserve">10. </w:t>
      </w:r>
      <w:r w:rsidRPr="006054F8">
        <w:t>prosince 2018,</w:t>
      </w:r>
    </w:p>
    <w:p w14:paraId="1FF64630" w14:textId="77777777" w:rsidR="00395345" w:rsidRPr="00D8596E" w:rsidRDefault="00395345" w:rsidP="00395345">
      <w:pPr>
        <w:spacing w:after="120"/>
      </w:pPr>
      <w:r w:rsidRPr="006054F8">
        <w:rPr>
          <w:b/>
          <w:i/>
          <w:spacing w:val="40"/>
        </w:rPr>
        <w:t>schválilo</w:t>
      </w:r>
      <w:r w:rsidRPr="006054F8">
        <w:rPr>
          <w:b/>
          <w:i/>
        </w:rPr>
        <w:t xml:space="preserve">   </w:t>
      </w:r>
      <w:r w:rsidRPr="006054F8">
        <w:t>usnesením č.</w:t>
      </w:r>
      <w:r>
        <w:t xml:space="preserve"> </w:t>
      </w:r>
      <w:r w:rsidR="00C9248B">
        <w:t>6</w:t>
      </w:r>
      <w:r w:rsidRPr="006054F8">
        <w:t>/</w:t>
      </w:r>
      <w:r w:rsidR="00C9248B">
        <w:t>XVI</w:t>
      </w:r>
      <w:r w:rsidRPr="006054F8">
        <w:t>/2018</w:t>
      </w:r>
    </w:p>
    <w:p w14:paraId="45EF5157" w14:textId="77777777" w:rsidR="00395345" w:rsidRDefault="00395345" w:rsidP="00C84464">
      <w:pPr>
        <w:pStyle w:val="Text"/>
      </w:pPr>
      <w:r w:rsidRPr="00AD135B">
        <w:rPr>
          <w:b/>
          <w:spacing w:val="40"/>
        </w:rPr>
        <w:t>kontrolní</w:t>
      </w:r>
      <w:r w:rsidRPr="00AD135B">
        <w:rPr>
          <w:b/>
        </w:rPr>
        <w:t xml:space="preserve">   </w:t>
      </w:r>
      <w:r w:rsidRPr="00AD135B">
        <w:rPr>
          <w:b/>
          <w:spacing w:val="40"/>
        </w:rPr>
        <w:t>závěr</w:t>
      </w:r>
      <w:r w:rsidRPr="00D8596E">
        <w:t xml:space="preserve">   v to</w:t>
      </w:r>
      <w:r w:rsidR="00C84464">
        <w:t>mto znění</w:t>
      </w:r>
      <w:r w:rsidR="00E64827">
        <w:t>:</w:t>
      </w:r>
      <w:r>
        <w:br w:type="page"/>
      </w:r>
    </w:p>
    <w:p w14:paraId="09104F66" w14:textId="2A578298" w:rsidR="00EF1697" w:rsidRDefault="0009686B" w:rsidP="00BE3C95">
      <w:pPr>
        <w:pStyle w:val="Text"/>
        <w:jc w:val="center"/>
      </w:pPr>
      <w:r>
        <w:rPr>
          <w:noProof/>
          <w:lang w:eastAsia="cs-CZ"/>
        </w:rPr>
        <w:lastRenderedPageBreak/>
        <w:drawing>
          <wp:anchor distT="0" distB="0" distL="114300" distR="114300" simplePos="0" relativeHeight="251696128" behindDoc="0" locked="0" layoutInCell="1" allowOverlap="1" wp14:anchorId="0E1F4F50" wp14:editId="1AE6BB0B">
            <wp:simplePos x="0" y="0"/>
            <wp:positionH relativeFrom="margin">
              <wp:posOffset>-4445</wp:posOffset>
            </wp:positionH>
            <wp:positionV relativeFrom="paragraph">
              <wp:posOffset>270804</wp:posOffset>
            </wp:positionV>
            <wp:extent cx="5760000" cy="8146651"/>
            <wp:effectExtent l="0" t="0" r="0" b="6985"/>
            <wp:wrapTopAndBottom/>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KZ 18_04-01.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60000" cy="81466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C2B8E5" w14:textId="77777777" w:rsidR="00395345" w:rsidRDefault="0034463B" w:rsidP="00395345">
      <w:pPr>
        <w:pStyle w:val="Nadpis1"/>
        <w:numPr>
          <w:ilvl w:val="0"/>
          <w:numId w:val="0"/>
        </w:numPr>
        <w:ind w:left="432" w:hanging="432"/>
        <w:jc w:val="center"/>
      </w:pPr>
      <w:r>
        <w:lastRenderedPageBreak/>
        <w:t xml:space="preserve">I. </w:t>
      </w:r>
      <w:r w:rsidR="00395345">
        <w:t>Shrnutí a vyhodnocení</w:t>
      </w:r>
    </w:p>
    <w:p w14:paraId="363C15EA" w14:textId="0A01023A" w:rsidR="00466E6F" w:rsidRDefault="00466E6F" w:rsidP="006E3B89">
      <w:pPr>
        <w:pStyle w:val="Text"/>
        <w:spacing w:after="120" w:line="264" w:lineRule="auto"/>
      </w:pPr>
      <w:r w:rsidRPr="00D31844">
        <w:t xml:space="preserve">NKÚ provedl </w:t>
      </w:r>
      <w:r>
        <w:t xml:space="preserve">průběžnou </w:t>
      </w:r>
      <w:r w:rsidRPr="00D31844">
        <w:t>kontrolu</w:t>
      </w:r>
      <w:r>
        <w:t xml:space="preserve"> nastavení</w:t>
      </w:r>
      <w:r w:rsidRPr="00D31844">
        <w:t xml:space="preserve"> </w:t>
      </w:r>
      <w:r>
        <w:t>systému opatření na</w:t>
      </w:r>
      <w:r w:rsidR="00D53A42">
        <w:t xml:space="preserve"> </w:t>
      </w:r>
      <w:r>
        <w:t>podporu zlepšování kvality ovzduší v České republice. Opatření jsou mj. f</w:t>
      </w:r>
      <w:r w:rsidRPr="00D31844">
        <w:t xml:space="preserve">inancována </w:t>
      </w:r>
      <w:r>
        <w:t>z </w:t>
      </w:r>
      <w:r w:rsidR="00D53A42">
        <w:t>o</w:t>
      </w:r>
      <w:r>
        <w:t xml:space="preserve">peračního programu </w:t>
      </w:r>
      <w:r w:rsidR="00D53A42" w:rsidRPr="00B1650A">
        <w:rPr>
          <w:i/>
        </w:rPr>
        <w:t>Ž</w:t>
      </w:r>
      <w:r w:rsidRPr="00B1650A">
        <w:rPr>
          <w:i/>
        </w:rPr>
        <w:t>ivotní prostředí</w:t>
      </w:r>
      <w:r>
        <w:t xml:space="preserve"> (dále také „OPŽP“) z prioritní osy 2: </w:t>
      </w:r>
      <w:r w:rsidRPr="00F57315">
        <w:rPr>
          <w:i/>
        </w:rPr>
        <w:t>Zlepšení kvality ovzduší v lidských sídlech</w:t>
      </w:r>
      <w:r>
        <w:t xml:space="preserve"> (dále</w:t>
      </w:r>
      <w:r w:rsidR="00776704">
        <w:rPr>
          <w:i/>
        </w:rPr>
        <w:t xml:space="preserve"> </w:t>
      </w:r>
      <w:r>
        <w:t>také „PO2“)</w:t>
      </w:r>
      <w:r w:rsidRPr="00F57315">
        <w:t xml:space="preserve"> </w:t>
      </w:r>
      <w:r>
        <w:t>a z </w:t>
      </w:r>
      <w:r w:rsidRPr="00B1650A">
        <w:rPr>
          <w:i/>
        </w:rPr>
        <w:t>Národního programu Životní prostředí</w:t>
      </w:r>
      <w:r w:rsidRPr="00A36661">
        <w:t xml:space="preserve"> </w:t>
      </w:r>
      <w:r>
        <w:t>(dále také „NPŽP“). NKÚ ověřil, zda opatření stanovená v programových dokumentech a peněžní prostředky čerpané z PO2 OPŽP a z NPŽP přispívají ke</w:t>
      </w:r>
      <w:r w:rsidR="00776704">
        <w:t xml:space="preserve"> </w:t>
      </w:r>
      <w:r>
        <w:t>z</w:t>
      </w:r>
      <w:r w:rsidR="006475BE">
        <w:t>lepšování kvality ovzduší v ČR.</w:t>
      </w:r>
    </w:p>
    <w:p w14:paraId="3A217AFD" w14:textId="183C7779" w:rsidR="00466E6F" w:rsidRDefault="00F03840" w:rsidP="006E3B89">
      <w:pPr>
        <w:pStyle w:val="Text"/>
        <w:spacing w:after="120" w:line="264" w:lineRule="auto"/>
        <w:rPr>
          <w:b/>
          <w:lang w:eastAsia="cs-CZ"/>
        </w:rPr>
      </w:pPr>
      <w:r>
        <w:rPr>
          <w:b/>
          <w:lang w:eastAsia="cs-CZ"/>
        </w:rPr>
        <w:t>Na základě dat za roky 2015 až 2017 se ukazuje, že ú</w:t>
      </w:r>
      <w:r w:rsidR="00466E6F">
        <w:rPr>
          <w:b/>
          <w:lang w:eastAsia="cs-CZ"/>
        </w:rPr>
        <w:t>roveň kvality ovzduší se v České republice nezlepšuje. U některých prioritních znečišťujících látek</w:t>
      </w:r>
      <w:r w:rsidR="00466E6F">
        <w:rPr>
          <w:rStyle w:val="Znakapoznpodarou"/>
          <w:b/>
          <w:lang w:eastAsia="cs-CZ"/>
        </w:rPr>
        <w:footnoteReference w:id="2"/>
      </w:r>
      <w:r w:rsidR="00466E6F">
        <w:rPr>
          <w:b/>
          <w:lang w:eastAsia="cs-CZ"/>
        </w:rPr>
        <w:t xml:space="preserve"> dochází dlouhodobě k</w:t>
      </w:r>
      <w:r w:rsidR="001D5B02">
        <w:rPr>
          <w:b/>
          <w:lang w:eastAsia="cs-CZ"/>
        </w:rPr>
        <w:t> </w:t>
      </w:r>
      <w:r w:rsidR="00466E6F">
        <w:rPr>
          <w:b/>
          <w:lang w:eastAsia="cs-CZ"/>
        </w:rPr>
        <w:t>překračování zákonem</w:t>
      </w:r>
      <w:r w:rsidR="00466E6F">
        <w:rPr>
          <w:rStyle w:val="Znakapoznpodarou"/>
          <w:b/>
          <w:lang w:eastAsia="cs-CZ"/>
        </w:rPr>
        <w:footnoteReference w:id="3"/>
      </w:r>
      <w:r w:rsidR="00466E6F">
        <w:rPr>
          <w:b/>
          <w:lang w:eastAsia="cs-CZ"/>
        </w:rPr>
        <w:t xml:space="preserve"> stanovených imisních limitů</w:t>
      </w:r>
      <w:r w:rsidR="00466E6F">
        <w:rPr>
          <w:rStyle w:val="Znakapoznpodarou"/>
          <w:lang w:eastAsia="cs-CZ"/>
        </w:rPr>
        <w:footnoteReference w:id="4"/>
      </w:r>
      <w:r w:rsidR="00466E6F">
        <w:rPr>
          <w:b/>
          <w:lang w:eastAsia="cs-CZ"/>
        </w:rPr>
        <w:t>.</w:t>
      </w:r>
      <w:r w:rsidR="00466E6F" w:rsidRPr="006676A8">
        <w:t xml:space="preserve"> </w:t>
      </w:r>
      <w:r w:rsidR="00466E6F">
        <w:rPr>
          <w:b/>
          <w:lang w:eastAsia="cs-CZ"/>
        </w:rPr>
        <w:t>Na základě posouzení plnění jednotlivých opatření, průběžných hodnocení a na</w:t>
      </w:r>
      <w:r>
        <w:rPr>
          <w:b/>
          <w:lang w:eastAsia="cs-CZ"/>
        </w:rPr>
        <w:t xml:space="preserve"> </w:t>
      </w:r>
      <w:r w:rsidR="00466E6F">
        <w:rPr>
          <w:b/>
          <w:lang w:eastAsia="cs-CZ"/>
        </w:rPr>
        <w:t>základě vývoje emisí</w:t>
      </w:r>
      <w:r w:rsidR="00466E6F">
        <w:rPr>
          <w:rStyle w:val="Znakapoznpodarou"/>
          <w:lang w:eastAsia="cs-CZ"/>
        </w:rPr>
        <w:footnoteReference w:id="5"/>
      </w:r>
      <w:r w:rsidR="00466E6F">
        <w:rPr>
          <w:b/>
          <w:lang w:eastAsia="cs-CZ"/>
        </w:rPr>
        <w:t xml:space="preserve"> NKÚ došel k závěru, že</w:t>
      </w:r>
      <w:r w:rsidR="00776704">
        <w:rPr>
          <w:b/>
          <w:lang w:eastAsia="cs-CZ"/>
        </w:rPr>
        <w:t xml:space="preserve"> </w:t>
      </w:r>
      <w:r w:rsidR="00466E6F">
        <w:rPr>
          <w:b/>
          <w:lang w:eastAsia="cs-CZ"/>
        </w:rPr>
        <w:t>některá opatření stanovená ve</w:t>
      </w:r>
      <w:r w:rsidR="00776704">
        <w:rPr>
          <w:b/>
          <w:lang w:eastAsia="cs-CZ"/>
        </w:rPr>
        <w:t xml:space="preserve"> </w:t>
      </w:r>
      <w:r w:rsidR="00466E6F">
        <w:rPr>
          <w:b/>
          <w:lang w:eastAsia="cs-CZ"/>
        </w:rPr>
        <w:t>strategických dokumentech na podporu zlepšování kvality ovzduší nebyla plněna</w:t>
      </w:r>
      <w:r w:rsidR="00466E6F" w:rsidRPr="001E5F34">
        <w:rPr>
          <w:b/>
          <w:lang w:eastAsia="cs-CZ"/>
        </w:rPr>
        <w:t xml:space="preserve"> </w:t>
      </w:r>
      <w:r w:rsidR="00466E6F">
        <w:rPr>
          <w:b/>
          <w:lang w:eastAsia="cs-CZ"/>
        </w:rPr>
        <w:t xml:space="preserve">a u dalších opatření nebyly dodrženy stanovené termíny. </w:t>
      </w:r>
    </w:p>
    <w:p w14:paraId="3178129A" w14:textId="308E3432" w:rsidR="002E2343" w:rsidRDefault="00466E6F" w:rsidP="006E3B89">
      <w:pPr>
        <w:pStyle w:val="Text"/>
        <w:spacing w:after="120" w:line="264" w:lineRule="auto"/>
        <w:rPr>
          <w:b/>
          <w:lang w:eastAsia="cs-CZ"/>
        </w:rPr>
      </w:pPr>
      <w:r w:rsidRPr="00AA3212">
        <w:rPr>
          <w:b/>
          <w:lang w:eastAsia="cs-CZ"/>
        </w:rPr>
        <w:t>Systém financování prostřednictvím OPŽP na</w:t>
      </w:r>
      <w:r w:rsidR="00F03840">
        <w:rPr>
          <w:b/>
          <w:lang w:eastAsia="cs-CZ"/>
        </w:rPr>
        <w:t xml:space="preserve"> opatření z osy</w:t>
      </w:r>
      <w:r w:rsidRPr="00AA3212">
        <w:rPr>
          <w:b/>
          <w:lang w:eastAsia="cs-CZ"/>
        </w:rPr>
        <w:t xml:space="preserve"> „</w:t>
      </w:r>
      <w:r w:rsidRPr="00AA3212">
        <w:rPr>
          <w:b/>
          <w:i/>
          <w:lang w:eastAsia="cs-CZ"/>
        </w:rPr>
        <w:t>Zlepšení kvality ovzduší v</w:t>
      </w:r>
      <w:r w:rsidR="00F03840">
        <w:rPr>
          <w:b/>
          <w:i/>
          <w:lang w:eastAsia="cs-CZ"/>
        </w:rPr>
        <w:t> </w:t>
      </w:r>
      <w:r w:rsidRPr="00AA3212">
        <w:rPr>
          <w:b/>
          <w:i/>
          <w:lang w:eastAsia="cs-CZ"/>
        </w:rPr>
        <w:t>lidských sídlech</w:t>
      </w:r>
      <w:r>
        <w:rPr>
          <w:b/>
          <w:lang w:eastAsia="cs-CZ"/>
        </w:rPr>
        <w:t xml:space="preserve">“ </w:t>
      </w:r>
      <w:r w:rsidRPr="00BB5242">
        <w:rPr>
          <w:b/>
          <w:lang w:eastAsia="cs-CZ"/>
        </w:rPr>
        <w:t>je</w:t>
      </w:r>
      <w:r w:rsidR="00776704">
        <w:rPr>
          <w:b/>
          <w:lang w:eastAsia="cs-CZ"/>
        </w:rPr>
        <w:t xml:space="preserve"> </w:t>
      </w:r>
      <w:r w:rsidRPr="00BB5242">
        <w:rPr>
          <w:b/>
          <w:lang w:eastAsia="cs-CZ"/>
        </w:rPr>
        <w:t xml:space="preserve">nastaven </w:t>
      </w:r>
      <w:r w:rsidR="00C0018D" w:rsidRPr="00BB5242">
        <w:rPr>
          <w:b/>
          <w:lang w:eastAsia="cs-CZ"/>
        </w:rPr>
        <w:t>tak</w:t>
      </w:r>
      <w:r w:rsidRPr="00BB5242">
        <w:rPr>
          <w:b/>
          <w:lang w:eastAsia="cs-CZ"/>
        </w:rPr>
        <w:t xml:space="preserve">, </w:t>
      </w:r>
      <w:r w:rsidR="00C0018D" w:rsidRPr="00BB5242">
        <w:rPr>
          <w:b/>
          <w:lang w:eastAsia="cs-CZ"/>
        </w:rPr>
        <w:t xml:space="preserve">že </w:t>
      </w:r>
      <w:r w:rsidR="00823F7E">
        <w:rPr>
          <w:b/>
          <w:lang w:eastAsia="cs-CZ"/>
        </w:rPr>
        <w:t xml:space="preserve">primárně </w:t>
      </w:r>
      <w:r w:rsidR="00F03840">
        <w:rPr>
          <w:b/>
          <w:lang w:eastAsia="cs-CZ"/>
        </w:rPr>
        <w:t xml:space="preserve">je </w:t>
      </w:r>
      <w:r w:rsidR="00823F7E">
        <w:rPr>
          <w:b/>
          <w:lang w:eastAsia="cs-CZ"/>
        </w:rPr>
        <w:t>podporována výměna</w:t>
      </w:r>
      <w:r w:rsidRPr="00AA3212">
        <w:rPr>
          <w:b/>
          <w:lang w:eastAsia="cs-CZ"/>
        </w:rPr>
        <w:t xml:space="preserve"> zastaralých a</w:t>
      </w:r>
      <w:r w:rsidR="00F03840">
        <w:rPr>
          <w:b/>
          <w:lang w:eastAsia="cs-CZ"/>
        </w:rPr>
        <w:t> </w:t>
      </w:r>
      <w:r w:rsidRPr="00AA3212">
        <w:rPr>
          <w:b/>
          <w:lang w:eastAsia="cs-CZ"/>
        </w:rPr>
        <w:t>nevyhovujících zdrojů lokálního vytápění</w:t>
      </w:r>
      <w:r w:rsidR="00823F7E">
        <w:rPr>
          <w:b/>
          <w:lang w:eastAsia="cs-CZ"/>
        </w:rPr>
        <w:t xml:space="preserve"> domácností</w:t>
      </w:r>
      <w:r w:rsidR="005C11A9">
        <w:rPr>
          <w:b/>
          <w:lang w:eastAsia="cs-CZ"/>
        </w:rPr>
        <w:t>, které jsou významným zdrojem znečištění ovzduší v ČR.</w:t>
      </w:r>
      <w:r w:rsidR="00823F7E">
        <w:rPr>
          <w:b/>
          <w:lang w:eastAsia="cs-CZ"/>
        </w:rPr>
        <w:t xml:space="preserve"> </w:t>
      </w:r>
      <w:r w:rsidRPr="00AA3212">
        <w:rPr>
          <w:b/>
          <w:lang w:eastAsia="cs-CZ"/>
        </w:rPr>
        <w:t>Podporou výměny zastaralých kotlů</w:t>
      </w:r>
      <w:r>
        <w:rPr>
          <w:rStyle w:val="Znakapoznpodarou"/>
          <w:b/>
          <w:lang w:eastAsia="cs-CZ"/>
        </w:rPr>
        <w:footnoteReference w:id="6"/>
      </w:r>
      <w:r>
        <w:rPr>
          <w:b/>
          <w:lang w:eastAsia="cs-CZ"/>
        </w:rPr>
        <w:t xml:space="preserve"> za </w:t>
      </w:r>
      <w:proofErr w:type="spellStart"/>
      <w:r>
        <w:rPr>
          <w:b/>
          <w:lang w:eastAsia="cs-CZ"/>
        </w:rPr>
        <w:t>nízkoemisní</w:t>
      </w:r>
      <w:proofErr w:type="spellEnd"/>
      <w:r>
        <w:rPr>
          <w:b/>
          <w:lang w:eastAsia="cs-CZ"/>
        </w:rPr>
        <w:t xml:space="preserve"> zdroje vytápění</w:t>
      </w:r>
      <w:r w:rsidRPr="00AA3212">
        <w:rPr>
          <w:b/>
          <w:lang w:eastAsia="cs-CZ"/>
        </w:rPr>
        <w:t xml:space="preserve"> dochází </w:t>
      </w:r>
      <w:r>
        <w:rPr>
          <w:b/>
          <w:lang w:eastAsia="cs-CZ"/>
        </w:rPr>
        <w:t>k urychlení snižování emisí</w:t>
      </w:r>
      <w:r w:rsidR="0064563A">
        <w:rPr>
          <w:b/>
          <w:lang w:eastAsia="cs-CZ"/>
        </w:rPr>
        <w:t xml:space="preserve"> v tomto sektoru</w:t>
      </w:r>
      <w:r>
        <w:rPr>
          <w:b/>
          <w:lang w:eastAsia="cs-CZ"/>
        </w:rPr>
        <w:t>. F</w:t>
      </w:r>
      <w:r w:rsidRPr="00AA3212">
        <w:rPr>
          <w:b/>
          <w:lang w:eastAsia="cs-CZ"/>
        </w:rPr>
        <w:t>inanční alokace prvních dvou dosud vyhlášených výzev</w:t>
      </w:r>
      <w:r w:rsidR="0064563A">
        <w:rPr>
          <w:b/>
          <w:lang w:eastAsia="cs-CZ"/>
        </w:rPr>
        <w:t xml:space="preserve"> </w:t>
      </w:r>
      <w:r w:rsidRPr="00AA3212">
        <w:rPr>
          <w:b/>
          <w:lang w:eastAsia="cs-CZ"/>
        </w:rPr>
        <w:t>pokry</w:t>
      </w:r>
      <w:r>
        <w:rPr>
          <w:b/>
          <w:lang w:eastAsia="cs-CZ"/>
        </w:rPr>
        <w:t>je</w:t>
      </w:r>
      <w:r w:rsidR="0064563A">
        <w:rPr>
          <w:b/>
          <w:lang w:eastAsia="cs-CZ"/>
        </w:rPr>
        <w:t xml:space="preserve"> </w:t>
      </w:r>
      <w:r>
        <w:rPr>
          <w:b/>
          <w:lang w:eastAsia="cs-CZ"/>
        </w:rPr>
        <w:t>pouze výměnu cca</w:t>
      </w:r>
      <w:r w:rsidR="002A7A29">
        <w:rPr>
          <w:i/>
        </w:rPr>
        <w:t> </w:t>
      </w:r>
      <w:r>
        <w:rPr>
          <w:b/>
          <w:lang w:eastAsia="cs-CZ"/>
        </w:rPr>
        <w:t>10 %</w:t>
      </w:r>
      <w:r w:rsidRPr="00AA3212">
        <w:rPr>
          <w:b/>
          <w:lang w:eastAsia="cs-CZ"/>
        </w:rPr>
        <w:t xml:space="preserve"> zastar</w:t>
      </w:r>
      <w:r>
        <w:rPr>
          <w:b/>
          <w:lang w:eastAsia="cs-CZ"/>
        </w:rPr>
        <w:t xml:space="preserve">alých kotlů. Výrazné </w:t>
      </w:r>
      <w:r w:rsidRPr="00AA3212">
        <w:rPr>
          <w:b/>
          <w:lang w:eastAsia="cs-CZ"/>
        </w:rPr>
        <w:t>zlepšení v</w:t>
      </w:r>
      <w:r w:rsidR="00F03840">
        <w:rPr>
          <w:b/>
          <w:lang w:eastAsia="cs-CZ"/>
        </w:rPr>
        <w:t> </w:t>
      </w:r>
      <w:r w:rsidRPr="00AA3212">
        <w:rPr>
          <w:b/>
          <w:lang w:eastAsia="cs-CZ"/>
        </w:rPr>
        <w:t xml:space="preserve">sektoru lokálního </w:t>
      </w:r>
      <w:r>
        <w:rPr>
          <w:b/>
          <w:lang w:eastAsia="cs-CZ"/>
        </w:rPr>
        <w:t>vytápění domácností</w:t>
      </w:r>
      <w:r w:rsidR="0064563A">
        <w:rPr>
          <w:b/>
          <w:lang w:eastAsia="cs-CZ"/>
        </w:rPr>
        <w:t xml:space="preserve"> tak </w:t>
      </w:r>
      <w:r w:rsidRPr="00AA3212">
        <w:rPr>
          <w:b/>
          <w:lang w:eastAsia="cs-CZ"/>
        </w:rPr>
        <w:t>lze</w:t>
      </w:r>
      <w:r w:rsidR="00F03840">
        <w:rPr>
          <w:i/>
        </w:rPr>
        <w:t xml:space="preserve"> </w:t>
      </w:r>
      <w:r w:rsidRPr="00AA3212">
        <w:rPr>
          <w:b/>
          <w:lang w:eastAsia="cs-CZ"/>
        </w:rPr>
        <w:t>očekávat až po roce 2022</w:t>
      </w:r>
      <w:r w:rsidR="00CB0642" w:rsidRPr="00CB0642">
        <w:rPr>
          <w:b/>
          <w:vertAlign w:val="superscript"/>
          <w:lang w:eastAsia="cs-CZ"/>
        </w:rPr>
        <w:t>5</w:t>
      </w:r>
      <w:r>
        <w:rPr>
          <w:b/>
          <w:lang w:eastAsia="cs-CZ"/>
        </w:rPr>
        <w:t xml:space="preserve">, </w:t>
      </w:r>
      <w:r w:rsidR="00CC31F4">
        <w:rPr>
          <w:b/>
          <w:lang w:eastAsia="cs-CZ"/>
        </w:rPr>
        <w:t>kdy</w:t>
      </w:r>
      <w:r w:rsidR="00776704">
        <w:rPr>
          <w:b/>
          <w:lang w:eastAsia="cs-CZ"/>
        </w:rPr>
        <w:t xml:space="preserve"> </w:t>
      </w:r>
      <w:r>
        <w:rPr>
          <w:b/>
          <w:lang w:eastAsia="cs-CZ"/>
        </w:rPr>
        <w:t>bude provoz zastaralých kotlů plošně zakázán.</w:t>
      </w:r>
      <w:r w:rsidR="0064563A">
        <w:t xml:space="preserve"> </w:t>
      </w:r>
      <w:r w:rsidR="0064563A">
        <w:rPr>
          <w:b/>
          <w:lang w:eastAsia="cs-CZ"/>
        </w:rPr>
        <w:t>V</w:t>
      </w:r>
      <w:r w:rsidR="0064563A" w:rsidRPr="0064563A">
        <w:rPr>
          <w:b/>
          <w:lang w:eastAsia="cs-CZ"/>
        </w:rPr>
        <w:t>ýsledný efekt</w:t>
      </w:r>
      <w:r w:rsidR="0064563A">
        <w:rPr>
          <w:b/>
          <w:lang w:eastAsia="cs-CZ"/>
        </w:rPr>
        <w:t xml:space="preserve"> </w:t>
      </w:r>
      <w:r w:rsidR="005C11A9">
        <w:rPr>
          <w:b/>
          <w:lang w:eastAsia="cs-CZ"/>
        </w:rPr>
        <w:t>však</w:t>
      </w:r>
      <w:r w:rsidR="0064563A" w:rsidRPr="0064563A">
        <w:rPr>
          <w:b/>
          <w:lang w:eastAsia="cs-CZ"/>
        </w:rPr>
        <w:t xml:space="preserve"> bude závislý zejména na míře dodržování </w:t>
      </w:r>
      <w:r w:rsidR="0064563A">
        <w:rPr>
          <w:b/>
          <w:lang w:eastAsia="cs-CZ"/>
        </w:rPr>
        <w:t>zákazu</w:t>
      </w:r>
      <w:r w:rsidR="0064563A" w:rsidRPr="0064563A">
        <w:rPr>
          <w:b/>
          <w:lang w:eastAsia="cs-CZ"/>
        </w:rPr>
        <w:t xml:space="preserve"> </w:t>
      </w:r>
      <w:r w:rsidR="0064563A">
        <w:rPr>
          <w:b/>
          <w:lang w:eastAsia="cs-CZ"/>
        </w:rPr>
        <w:t xml:space="preserve">provozu těchto kotlů </w:t>
      </w:r>
      <w:r w:rsidR="0064563A" w:rsidRPr="0064563A">
        <w:rPr>
          <w:b/>
          <w:lang w:eastAsia="cs-CZ"/>
        </w:rPr>
        <w:t>a jeho vymahatelnosti.</w:t>
      </w:r>
    </w:p>
    <w:p w14:paraId="666E7DDA" w14:textId="5C66BCBC" w:rsidR="002E2343" w:rsidRDefault="00781C81" w:rsidP="006E3B89">
      <w:pPr>
        <w:pStyle w:val="Text"/>
        <w:spacing w:after="120" w:line="264" w:lineRule="auto"/>
        <w:rPr>
          <w:b/>
          <w:lang w:eastAsia="cs-CZ"/>
        </w:rPr>
      </w:pPr>
      <w:r>
        <w:rPr>
          <w:b/>
          <w:lang w:eastAsia="cs-CZ"/>
        </w:rPr>
        <w:t xml:space="preserve">V případě </w:t>
      </w:r>
      <w:r w:rsidR="00016605">
        <w:rPr>
          <w:b/>
          <w:lang w:eastAsia="cs-CZ"/>
        </w:rPr>
        <w:t xml:space="preserve">kontrolou prověřených </w:t>
      </w:r>
      <w:r>
        <w:rPr>
          <w:b/>
          <w:lang w:eastAsia="cs-CZ"/>
        </w:rPr>
        <w:t>věcně ukončených projektů</w:t>
      </w:r>
      <w:r w:rsidR="00573CE1">
        <w:rPr>
          <w:b/>
          <w:lang w:eastAsia="cs-CZ"/>
        </w:rPr>
        <w:t xml:space="preserve"> zaměřených na sn</w:t>
      </w:r>
      <w:r w:rsidR="00CE31E8">
        <w:rPr>
          <w:b/>
          <w:lang w:eastAsia="cs-CZ"/>
        </w:rPr>
        <w:t>í</w:t>
      </w:r>
      <w:r w:rsidR="00573CE1">
        <w:rPr>
          <w:b/>
          <w:lang w:eastAsia="cs-CZ"/>
        </w:rPr>
        <w:t>ž</w:t>
      </w:r>
      <w:r w:rsidR="00CE31E8">
        <w:rPr>
          <w:b/>
          <w:lang w:eastAsia="cs-CZ"/>
        </w:rPr>
        <w:t>ení</w:t>
      </w:r>
      <w:r w:rsidR="00573CE1">
        <w:rPr>
          <w:b/>
          <w:lang w:eastAsia="cs-CZ"/>
        </w:rPr>
        <w:t xml:space="preserve"> emisí z průmyslu </w:t>
      </w:r>
      <w:r w:rsidR="005C11A9">
        <w:rPr>
          <w:b/>
          <w:lang w:eastAsia="cs-CZ"/>
        </w:rPr>
        <w:t>jsou plněny</w:t>
      </w:r>
      <w:r w:rsidR="00311A2D">
        <w:rPr>
          <w:b/>
          <w:lang w:eastAsia="cs-CZ"/>
        </w:rPr>
        <w:t xml:space="preserve"> stanovené</w:t>
      </w:r>
      <w:r w:rsidR="005C11A9">
        <w:rPr>
          <w:b/>
          <w:lang w:eastAsia="cs-CZ"/>
        </w:rPr>
        <w:t xml:space="preserve"> </w:t>
      </w:r>
      <w:r>
        <w:rPr>
          <w:b/>
          <w:lang w:eastAsia="cs-CZ"/>
        </w:rPr>
        <w:t>indikátory.</w:t>
      </w:r>
      <w:r w:rsidR="00221508">
        <w:rPr>
          <w:b/>
          <w:lang w:eastAsia="cs-CZ"/>
        </w:rPr>
        <w:t xml:space="preserve"> Takto vynaložené peněžní prostředky přispívají</w:t>
      </w:r>
      <w:r w:rsidR="005C11A9">
        <w:rPr>
          <w:b/>
          <w:lang w:eastAsia="cs-CZ"/>
        </w:rPr>
        <w:t xml:space="preserve"> ke</w:t>
      </w:r>
      <w:r w:rsidR="00776704">
        <w:rPr>
          <w:b/>
          <w:lang w:eastAsia="cs-CZ"/>
        </w:rPr>
        <w:t xml:space="preserve"> </w:t>
      </w:r>
      <w:r w:rsidR="006475BE">
        <w:rPr>
          <w:b/>
          <w:lang w:eastAsia="cs-CZ"/>
        </w:rPr>
        <w:t xml:space="preserve">snižování </w:t>
      </w:r>
      <w:r w:rsidR="009E6D32">
        <w:rPr>
          <w:b/>
          <w:lang w:eastAsia="cs-CZ"/>
        </w:rPr>
        <w:t xml:space="preserve">emisí </w:t>
      </w:r>
      <w:r w:rsidR="006475BE">
        <w:rPr>
          <w:b/>
          <w:lang w:eastAsia="cs-CZ"/>
        </w:rPr>
        <w:t xml:space="preserve">znečišťujících látek </w:t>
      </w:r>
      <w:r w:rsidR="009E6D32">
        <w:rPr>
          <w:b/>
          <w:lang w:eastAsia="cs-CZ"/>
        </w:rPr>
        <w:t>do</w:t>
      </w:r>
      <w:r w:rsidR="00776704">
        <w:rPr>
          <w:b/>
          <w:lang w:eastAsia="cs-CZ"/>
        </w:rPr>
        <w:t xml:space="preserve"> </w:t>
      </w:r>
      <w:r w:rsidR="006475BE">
        <w:rPr>
          <w:b/>
          <w:lang w:eastAsia="cs-CZ"/>
        </w:rPr>
        <w:t>ovzduší</w:t>
      </w:r>
      <w:r w:rsidR="00573CE1">
        <w:rPr>
          <w:rStyle w:val="Znakapoznpodarou"/>
          <w:b/>
          <w:lang w:eastAsia="cs-CZ"/>
        </w:rPr>
        <w:footnoteReference w:id="7"/>
      </w:r>
      <w:r w:rsidR="00221508">
        <w:rPr>
          <w:b/>
          <w:lang w:eastAsia="cs-CZ"/>
        </w:rPr>
        <w:t>.</w:t>
      </w:r>
    </w:p>
    <w:p w14:paraId="37DF0138" w14:textId="6C63658A" w:rsidR="00466E6F" w:rsidRDefault="00466E6F" w:rsidP="006E3B89">
      <w:pPr>
        <w:pStyle w:val="Text"/>
        <w:spacing w:after="120" w:line="264" w:lineRule="auto"/>
        <w:rPr>
          <w:b/>
          <w:lang w:eastAsia="cs-CZ"/>
        </w:rPr>
      </w:pPr>
      <w:r w:rsidRPr="00396569">
        <w:rPr>
          <w:b/>
          <w:lang w:eastAsia="cs-CZ"/>
        </w:rPr>
        <w:t xml:space="preserve">NKÚ na základě provedené </w:t>
      </w:r>
      <w:r>
        <w:rPr>
          <w:b/>
          <w:lang w:eastAsia="cs-CZ"/>
        </w:rPr>
        <w:t>kontrolní akce</w:t>
      </w:r>
      <w:r w:rsidRPr="00396569">
        <w:rPr>
          <w:b/>
          <w:lang w:eastAsia="cs-CZ"/>
        </w:rPr>
        <w:t xml:space="preserve"> identifikoval</w:t>
      </w:r>
      <w:r>
        <w:rPr>
          <w:b/>
          <w:lang w:eastAsia="cs-CZ"/>
        </w:rPr>
        <w:t xml:space="preserve"> významná </w:t>
      </w:r>
      <w:r w:rsidRPr="00396569">
        <w:rPr>
          <w:b/>
          <w:lang w:eastAsia="cs-CZ"/>
        </w:rPr>
        <w:t>rizika nesplnění cílů stanovených v oblasti kvality ovzduší</w:t>
      </w:r>
      <w:r>
        <w:rPr>
          <w:b/>
          <w:lang w:eastAsia="cs-CZ"/>
        </w:rPr>
        <w:t xml:space="preserve"> ani </w:t>
      </w:r>
      <w:r w:rsidR="00B745B7">
        <w:rPr>
          <w:b/>
          <w:lang w:eastAsia="cs-CZ"/>
        </w:rPr>
        <w:t xml:space="preserve">do </w:t>
      </w:r>
      <w:r>
        <w:rPr>
          <w:b/>
          <w:lang w:eastAsia="cs-CZ"/>
        </w:rPr>
        <w:t>roku 2020</w:t>
      </w:r>
      <w:r w:rsidR="002A7A29">
        <w:rPr>
          <w:rStyle w:val="Znakapoznpodarou"/>
          <w:b/>
          <w:lang w:eastAsia="cs-CZ"/>
        </w:rPr>
        <w:footnoteReference w:id="8"/>
      </w:r>
      <w:r>
        <w:rPr>
          <w:b/>
          <w:lang w:eastAsia="cs-CZ"/>
        </w:rPr>
        <w:t>:</w:t>
      </w:r>
    </w:p>
    <w:p w14:paraId="013E7FD7" w14:textId="4A30ED44" w:rsidR="002A7A29" w:rsidRDefault="00466E6F" w:rsidP="006E3B89">
      <w:pPr>
        <w:pStyle w:val="Text"/>
        <w:numPr>
          <w:ilvl w:val="0"/>
          <w:numId w:val="45"/>
        </w:numPr>
        <w:spacing w:after="120" w:line="264" w:lineRule="auto"/>
        <w:ind w:left="284" w:hanging="284"/>
      </w:pPr>
      <w:r w:rsidRPr="008726BC">
        <w:rPr>
          <w:b/>
          <w:lang w:eastAsia="cs-CZ"/>
        </w:rPr>
        <w:lastRenderedPageBreak/>
        <w:t xml:space="preserve">Přísné národní nepřekročitelné hodnoty emisí k roku 2020 </w:t>
      </w:r>
      <w:r>
        <w:rPr>
          <w:b/>
          <w:lang w:eastAsia="cs-CZ"/>
        </w:rPr>
        <w:t>budou obtížně splnitelné.</w:t>
      </w:r>
      <w:r>
        <w:rPr>
          <w:lang w:eastAsia="cs-CZ"/>
        </w:rPr>
        <w:t xml:space="preserve"> </w:t>
      </w:r>
      <w:r w:rsidRPr="00164BC3">
        <w:t>Česká republ</w:t>
      </w:r>
      <w:r>
        <w:t>ika si stanovila v </w:t>
      </w:r>
      <w:r w:rsidRPr="00B1650A">
        <w:rPr>
          <w:i/>
        </w:rPr>
        <w:t>Národn</w:t>
      </w:r>
      <w:r w:rsidR="002A7A29" w:rsidRPr="00B1650A">
        <w:rPr>
          <w:i/>
        </w:rPr>
        <w:t>ím programu snižování emisí Č</w:t>
      </w:r>
      <w:r w:rsidR="007E7FF7">
        <w:rPr>
          <w:i/>
        </w:rPr>
        <w:t>eské republiky</w:t>
      </w:r>
      <w:r w:rsidR="002A7A29">
        <w:t xml:space="preserve"> </w:t>
      </w:r>
      <w:r>
        <w:t xml:space="preserve">své vlastní </w:t>
      </w:r>
      <w:r w:rsidR="002A7A29">
        <w:t>cíle v </w:t>
      </w:r>
      <w:r w:rsidRPr="00164BC3">
        <w:t xml:space="preserve">oblasti snižování emisí, tzv. </w:t>
      </w:r>
      <w:r w:rsidR="007E7FF7">
        <w:rPr>
          <w:i/>
        </w:rPr>
        <w:t>n</w:t>
      </w:r>
      <w:r w:rsidRPr="00164BC3">
        <w:rPr>
          <w:i/>
        </w:rPr>
        <w:t>epřekroči</w:t>
      </w:r>
      <w:r w:rsidR="002A7A29">
        <w:rPr>
          <w:i/>
        </w:rPr>
        <w:t>telné hodnoty národních emisí k </w:t>
      </w:r>
      <w:r w:rsidRPr="00164BC3">
        <w:rPr>
          <w:i/>
        </w:rPr>
        <w:t>roku 2020</w:t>
      </w:r>
      <w:r w:rsidRPr="00164BC3">
        <w:t>.</w:t>
      </w:r>
      <w:r w:rsidR="005852A3">
        <w:t xml:space="preserve"> V</w:t>
      </w:r>
      <w:r w:rsidR="00627966">
        <w:t> </w:t>
      </w:r>
      <w:r w:rsidR="005852A3" w:rsidRPr="005852A3">
        <w:t xml:space="preserve">případě snižování emisí </w:t>
      </w:r>
      <w:r w:rsidR="005852A3">
        <w:t>jemných částic</w:t>
      </w:r>
      <w:r w:rsidR="005852A3" w:rsidRPr="005852A3">
        <w:t xml:space="preserve"> došlo mezi roky 20</w:t>
      </w:r>
      <w:r w:rsidR="00627966">
        <w:t>05 a 2016 ke snížení o</w:t>
      </w:r>
      <w:r w:rsidR="007E7FF7">
        <w:t> </w:t>
      </w:r>
      <w:r w:rsidR="00627966">
        <w:t>12</w:t>
      </w:r>
      <w:r w:rsidR="007E7FF7">
        <w:t> </w:t>
      </w:r>
      <w:r w:rsidR="00627966">
        <w:t>%, ke</w:t>
      </w:r>
      <w:r w:rsidR="007E7FF7">
        <w:t xml:space="preserve"> </w:t>
      </w:r>
      <w:r w:rsidR="005852A3" w:rsidRPr="005852A3">
        <w:t xml:space="preserve">splnění národního závazku by muselo dojít mezi roky 2016 a 2020 k dalšímu snížení emisí </w:t>
      </w:r>
      <w:r w:rsidR="005852A3">
        <w:t xml:space="preserve">jemných </w:t>
      </w:r>
      <w:r w:rsidR="005852A3" w:rsidRPr="005852A3">
        <w:t xml:space="preserve">částic </w:t>
      </w:r>
      <w:r w:rsidR="005852A3">
        <w:t>o 42 </w:t>
      </w:r>
      <w:r w:rsidR="005852A3" w:rsidRPr="005852A3">
        <w:t>%</w:t>
      </w:r>
      <w:r w:rsidR="005852A3">
        <w:t>.</w:t>
      </w:r>
      <w:r w:rsidR="005852A3" w:rsidRPr="005852A3">
        <w:t xml:space="preserve"> </w:t>
      </w:r>
      <w:r>
        <w:t>Tempo a míra snižování emisí znečišťujících látek do ovzduší v posledních letech však postupně klesá či</w:t>
      </w:r>
      <w:r w:rsidR="007E7FF7">
        <w:rPr>
          <w:i/>
        </w:rPr>
        <w:t xml:space="preserve"> </w:t>
      </w:r>
      <w:r>
        <w:t>stagnuje.</w:t>
      </w:r>
    </w:p>
    <w:p w14:paraId="55BAFAF3" w14:textId="77777777" w:rsidR="00466E6F" w:rsidRPr="00EC7A50" w:rsidRDefault="00466E6F" w:rsidP="006E3B89">
      <w:pPr>
        <w:pStyle w:val="Text"/>
        <w:numPr>
          <w:ilvl w:val="0"/>
          <w:numId w:val="45"/>
        </w:numPr>
        <w:spacing w:after="120" w:line="264" w:lineRule="auto"/>
        <w:ind w:left="284" w:hanging="284"/>
        <w:rPr>
          <w:b/>
          <w:lang w:eastAsia="cs-CZ"/>
        </w:rPr>
      </w:pPr>
      <w:r w:rsidRPr="00EC7A50">
        <w:rPr>
          <w:b/>
          <w:lang w:eastAsia="cs-CZ"/>
        </w:rPr>
        <w:t xml:space="preserve">Nejsou dostatečně a včas plněna opatření stanovená ke zlepšení kvality ovzduší: </w:t>
      </w:r>
    </w:p>
    <w:p w14:paraId="013A1DB0" w14:textId="1292C3D3" w:rsidR="00466E6F" w:rsidRPr="007F6C3F" w:rsidRDefault="00466E6F" w:rsidP="006E3B89">
      <w:pPr>
        <w:pStyle w:val="Text"/>
        <w:numPr>
          <w:ilvl w:val="0"/>
          <w:numId w:val="44"/>
        </w:numPr>
        <w:spacing w:before="0" w:line="264" w:lineRule="auto"/>
        <w:ind w:left="568" w:hanging="284"/>
        <w:rPr>
          <w:lang w:eastAsia="cs-CZ"/>
        </w:rPr>
      </w:pPr>
      <w:r w:rsidRPr="007F6C3F">
        <w:rPr>
          <w:lang w:eastAsia="cs-CZ"/>
        </w:rPr>
        <w:t xml:space="preserve">Celkem 7 z 23 prioritních opatření </w:t>
      </w:r>
      <w:r w:rsidR="003742A5" w:rsidRPr="00B1650A">
        <w:rPr>
          <w:i/>
          <w:lang w:eastAsia="cs-CZ"/>
        </w:rPr>
        <w:t>Národního programu snižování emisí</w:t>
      </w:r>
      <w:r w:rsidR="007E7FF7" w:rsidRPr="00B1650A">
        <w:rPr>
          <w:i/>
          <w:lang w:eastAsia="cs-CZ"/>
        </w:rPr>
        <w:t xml:space="preserve"> Č</w:t>
      </w:r>
      <w:r w:rsidR="007E7FF7">
        <w:rPr>
          <w:i/>
          <w:lang w:eastAsia="cs-CZ"/>
        </w:rPr>
        <w:t>eské republiky</w:t>
      </w:r>
      <w:r w:rsidRPr="007F6C3F">
        <w:rPr>
          <w:lang w:eastAsia="cs-CZ"/>
        </w:rPr>
        <w:t xml:space="preserve"> </w:t>
      </w:r>
      <w:r w:rsidR="007E7FF7">
        <w:rPr>
          <w:lang w:eastAsia="cs-CZ"/>
        </w:rPr>
        <w:t>(dále také „NPSE“)</w:t>
      </w:r>
      <w:r w:rsidR="007E7FF7" w:rsidRPr="007F6C3F">
        <w:rPr>
          <w:lang w:eastAsia="cs-CZ"/>
        </w:rPr>
        <w:t xml:space="preserve"> </w:t>
      </w:r>
      <w:r w:rsidRPr="007F6C3F">
        <w:rPr>
          <w:lang w:eastAsia="cs-CZ"/>
        </w:rPr>
        <w:t>nebylo splně</w:t>
      </w:r>
      <w:r w:rsidR="002A7A29">
        <w:rPr>
          <w:lang w:eastAsia="cs-CZ"/>
        </w:rPr>
        <w:t>no v požadovaném termínu ani</w:t>
      </w:r>
      <w:r w:rsidR="007E7FF7">
        <w:rPr>
          <w:lang w:eastAsia="cs-CZ"/>
        </w:rPr>
        <w:t xml:space="preserve"> </w:t>
      </w:r>
      <w:r w:rsidR="002A7A29">
        <w:rPr>
          <w:lang w:eastAsia="cs-CZ"/>
        </w:rPr>
        <w:t>do</w:t>
      </w:r>
      <w:r w:rsidR="007E7FF7">
        <w:rPr>
          <w:lang w:eastAsia="cs-CZ"/>
        </w:rPr>
        <w:t xml:space="preserve"> </w:t>
      </w:r>
      <w:r w:rsidRPr="007F6C3F">
        <w:rPr>
          <w:lang w:eastAsia="cs-CZ"/>
        </w:rPr>
        <w:t xml:space="preserve">ukončení </w:t>
      </w:r>
      <w:r w:rsidR="007E7FF7">
        <w:rPr>
          <w:lang w:eastAsia="cs-CZ"/>
        </w:rPr>
        <w:t xml:space="preserve">této </w:t>
      </w:r>
      <w:r w:rsidRPr="007F6C3F">
        <w:rPr>
          <w:lang w:eastAsia="cs-CZ"/>
        </w:rPr>
        <w:t>kontrolní akce</w:t>
      </w:r>
      <w:r>
        <w:rPr>
          <w:rStyle w:val="Znakapoznpodarou"/>
          <w:lang w:eastAsia="cs-CZ"/>
        </w:rPr>
        <w:footnoteReference w:id="9"/>
      </w:r>
      <w:r w:rsidRPr="007F6C3F">
        <w:rPr>
          <w:lang w:eastAsia="cs-CZ"/>
        </w:rPr>
        <w:t xml:space="preserve">. </w:t>
      </w:r>
    </w:p>
    <w:p w14:paraId="2D91ACF9" w14:textId="77777777" w:rsidR="00466E6F" w:rsidRPr="007F6C3F" w:rsidRDefault="00466E6F" w:rsidP="006E3B89">
      <w:pPr>
        <w:pStyle w:val="Text"/>
        <w:numPr>
          <w:ilvl w:val="0"/>
          <w:numId w:val="44"/>
        </w:numPr>
        <w:spacing w:before="0" w:line="264" w:lineRule="auto"/>
        <w:ind w:left="568" w:hanging="284"/>
        <w:rPr>
          <w:lang w:eastAsia="cs-CZ"/>
        </w:rPr>
      </w:pPr>
      <w:r w:rsidRPr="007F6C3F">
        <w:rPr>
          <w:lang w:eastAsia="cs-CZ"/>
        </w:rPr>
        <w:t xml:space="preserve">Dalších 6 z 23 prioritních opatření </w:t>
      </w:r>
      <w:r w:rsidR="003742A5">
        <w:rPr>
          <w:lang w:eastAsia="cs-CZ"/>
        </w:rPr>
        <w:t xml:space="preserve">NPSE </w:t>
      </w:r>
      <w:r w:rsidRPr="007F6C3F">
        <w:rPr>
          <w:lang w:eastAsia="cs-CZ"/>
        </w:rPr>
        <w:t>je plněno průběžně, ale existují významná rizika nesplnění těchto opatření včas a v požadovaném rozsahu</w:t>
      </w:r>
      <w:r>
        <w:rPr>
          <w:rStyle w:val="Znakapoznpodarou"/>
          <w:lang w:eastAsia="cs-CZ"/>
        </w:rPr>
        <w:footnoteReference w:id="10"/>
      </w:r>
      <w:r w:rsidRPr="007F6C3F">
        <w:rPr>
          <w:lang w:eastAsia="cs-CZ"/>
        </w:rPr>
        <w:t xml:space="preserve">. </w:t>
      </w:r>
    </w:p>
    <w:p w14:paraId="48A5A399" w14:textId="7A27ED0E" w:rsidR="00466E6F" w:rsidRPr="007F6C3F" w:rsidRDefault="00466E6F" w:rsidP="006E3B89">
      <w:pPr>
        <w:pStyle w:val="Text"/>
        <w:numPr>
          <w:ilvl w:val="0"/>
          <w:numId w:val="44"/>
        </w:numPr>
        <w:spacing w:before="0" w:line="264" w:lineRule="auto"/>
        <w:ind w:left="568" w:hanging="284"/>
        <w:rPr>
          <w:lang w:eastAsia="cs-CZ"/>
        </w:rPr>
      </w:pPr>
      <w:r w:rsidRPr="007F6C3F">
        <w:rPr>
          <w:lang w:eastAsia="cs-CZ"/>
        </w:rPr>
        <w:t>Podle průběžných zhodnocení</w:t>
      </w:r>
      <w:r w:rsidR="00D6284E">
        <w:rPr>
          <w:rStyle w:val="Znakapoznpodarou"/>
          <w:lang w:eastAsia="cs-CZ"/>
        </w:rPr>
        <w:footnoteReference w:id="11"/>
      </w:r>
      <w:r w:rsidRPr="007F6C3F">
        <w:rPr>
          <w:lang w:eastAsia="cs-CZ"/>
        </w:rPr>
        <w:t xml:space="preserve"> plnění opatření </w:t>
      </w:r>
      <w:r w:rsidR="007E7FF7">
        <w:rPr>
          <w:lang w:eastAsia="cs-CZ"/>
        </w:rPr>
        <w:t>p</w:t>
      </w:r>
      <w:r>
        <w:rPr>
          <w:lang w:eastAsia="cs-CZ"/>
        </w:rPr>
        <w:t xml:space="preserve">rogramů zlepšování kvality ovzduší </w:t>
      </w:r>
      <w:r w:rsidRPr="007F6C3F">
        <w:rPr>
          <w:lang w:eastAsia="cs-CZ"/>
        </w:rPr>
        <w:t>jsou nedostatečně plněna</w:t>
      </w:r>
      <w:r>
        <w:rPr>
          <w:lang w:eastAsia="cs-CZ"/>
        </w:rPr>
        <w:t xml:space="preserve"> </w:t>
      </w:r>
      <w:r w:rsidR="00D6284E">
        <w:rPr>
          <w:lang w:eastAsia="cs-CZ"/>
        </w:rPr>
        <w:t xml:space="preserve">opatření zejména </w:t>
      </w:r>
      <w:r>
        <w:rPr>
          <w:lang w:eastAsia="cs-CZ"/>
        </w:rPr>
        <w:t>v</w:t>
      </w:r>
      <w:r w:rsidR="00D6284E">
        <w:rPr>
          <w:lang w:eastAsia="cs-CZ"/>
        </w:rPr>
        <w:t xml:space="preserve"> sektoru </w:t>
      </w:r>
      <w:r>
        <w:rPr>
          <w:lang w:eastAsia="cs-CZ"/>
        </w:rPr>
        <w:t>doprav</w:t>
      </w:r>
      <w:r w:rsidR="00D6284E">
        <w:rPr>
          <w:lang w:eastAsia="cs-CZ"/>
        </w:rPr>
        <w:t>y</w:t>
      </w:r>
      <w:r>
        <w:rPr>
          <w:lang w:eastAsia="cs-CZ"/>
        </w:rPr>
        <w:t>. K jejich</w:t>
      </w:r>
      <w:r w:rsidRPr="007F6C3F">
        <w:rPr>
          <w:lang w:eastAsia="cs-CZ"/>
        </w:rPr>
        <w:t xml:space="preserve"> realizaci bylo přistoupeno prozatím jen ve velmi omezené míře</w:t>
      </w:r>
      <w:r w:rsidR="007E7FF7">
        <w:rPr>
          <w:lang w:eastAsia="cs-CZ"/>
        </w:rPr>
        <w:t>,</w:t>
      </w:r>
      <w:r w:rsidRPr="007F6C3F">
        <w:rPr>
          <w:lang w:eastAsia="cs-CZ"/>
        </w:rPr>
        <w:t xml:space="preserve"> a to zejména v oblasti dopravní infrastruktury.</w:t>
      </w:r>
    </w:p>
    <w:p w14:paraId="15821371" w14:textId="77777777" w:rsidR="00466E6F" w:rsidRPr="007F6C3F" w:rsidRDefault="00466E6F" w:rsidP="006E3B89">
      <w:pPr>
        <w:pStyle w:val="Text"/>
        <w:numPr>
          <w:ilvl w:val="0"/>
          <w:numId w:val="44"/>
        </w:numPr>
        <w:spacing w:before="0" w:line="264" w:lineRule="auto"/>
        <w:ind w:left="568" w:hanging="284"/>
        <w:rPr>
          <w:lang w:eastAsia="cs-CZ"/>
        </w:rPr>
      </w:pPr>
      <w:r w:rsidRPr="007F6C3F">
        <w:rPr>
          <w:lang w:eastAsia="cs-CZ"/>
        </w:rPr>
        <w:t>MŽP není schopno dostatečně a průkazně provádět zhodnocení plnění opatření stanovených v PZKO, neboť nemá nastavený efektivní systém pro včas</w:t>
      </w:r>
      <w:r w:rsidR="003742A5">
        <w:rPr>
          <w:lang w:eastAsia="cs-CZ"/>
        </w:rPr>
        <w:t>ný sběr dat a </w:t>
      </w:r>
      <w:r>
        <w:rPr>
          <w:lang w:eastAsia="cs-CZ"/>
        </w:rPr>
        <w:t>informací</w:t>
      </w:r>
      <w:r w:rsidRPr="007F6C3F">
        <w:rPr>
          <w:lang w:eastAsia="cs-CZ"/>
        </w:rPr>
        <w:t xml:space="preserve">.  </w:t>
      </w:r>
    </w:p>
    <w:p w14:paraId="3A309298" w14:textId="77777777" w:rsidR="00110E8E" w:rsidRDefault="00466E6F" w:rsidP="00A36661">
      <w:pPr>
        <w:pStyle w:val="Text"/>
        <w:numPr>
          <w:ilvl w:val="0"/>
          <w:numId w:val="45"/>
        </w:numPr>
        <w:spacing w:after="120" w:line="264" w:lineRule="auto"/>
        <w:ind w:left="284" w:hanging="284"/>
        <w:rPr>
          <w:lang w:eastAsia="cs-CZ"/>
        </w:rPr>
      </w:pPr>
      <w:r w:rsidRPr="00110E8E">
        <w:rPr>
          <w:b/>
          <w:lang w:eastAsia="cs-CZ"/>
        </w:rPr>
        <w:t xml:space="preserve">K nápravě </w:t>
      </w:r>
      <w:r w:rsidR="00E86B33" w:rsidRPr="00110E8E">
        <w:rPr>
          <w:b/>
          <w:lang w:eastAsia="cs-CZ"/>
        </w:rPr>
        <w:t xml:space="preserve">soudy </w:t>
      </w:r>
      <w:r w:rsidRPr="00110E8E">
        <w:rPr>
          <w:b/>
          <w:lang w:eastAsia="cs-CZ"/>
        </w:rPr>
        <w:t xml:space="preserve">zjištěných nedostatků </w:t>
      </w:r>
      <w:r w:rsidR="00FC2AC8" w:rsidRPr="00110E8E">
        <w:rPr>
          <w:b/>
          <w:lang w:eastAsia="cs-CZ"/>
        </w:rPr>
        <w:t>v oblasti</w:t>
      </w:r>
      <w:r w:rsidR="003C0294" w:rsidRPr="00110E8E">
        <w:rPr>
          <w:b/>
          <w:lang w:eastAsia="cs-CZ"/>
        </w:rPr>
        <w:t xml:space="preserve"> </w:t>
      </w:r>
      <w:r w:rsidRPr="00110E8E">
        <w:rPr>
          <w:b/>
          <w:lang w:eastAsia="cs-CZ"/>
        </w:rPr>
        <w:t xml:space="preserve">PZKO dojde nejdříve </w:t>
      </w:r>
      <w:r w:rsidR="00971B66" w:rsidRPr="00110E8E">
        <w:rPr>
          <w:b/>
          <w:lang w:eastAsia="cs-CZ"/>
        </w:rPr>
        <w:t>po</w:t>
      </w:r>
      <w:r w:rsidRPr="00110E8E">
        <w:rPr>
          <w:b/>
          <w:lang w:eastAsia="cs-CZ"/>
        </w:rPr>
        <w:t xml:space="preserve"> roce 2020</w:t>
      </w:r>
      <w:r w:rsidR="002E2343">
        <w:rPr>
          <w:rStyle w:val="Znakapoznpodarou"/>
          <w:b/>
          <w:lang w:eastAsia="cs-CZ"/>
        </w:rPr>
        <w:footnoteReference w:id="12"/>
      </w:r>
      <w:r w:rsidRPr="00110E8E">
        <w:rPr>
          <w:b/>
          <w:lang w:eastAsia="cs-CZ"/>
        </w:rPr>
        <w:t xml:space="preserve">, </w:t>
      </w:r>
      <w:r w:rsidRPr="00AF2894">
        <w:rPr>
          <w:lang w:eastAsia="cs-CZ"/>
        </w:rPr>
        <w:t>neboť MŽP plánuje vyhlásit nové či aktualizované PZKO v průběhu roku 2019.</w:t>
      </w:r>
      <w:r w:rsidRPr="007F6C3F">
        <w:rPr>
          <w:lang w:eastAsia="cs-CZ"/>
        </w:rPr>
        <w:t xml:space="preserve"> Do 12 měsíců od jejich vyhlášení budou následně obce a kraje povinny vypracovat svůj časový plán provádění opatření. První podrobnější časové plány provádění opatření PZKO tak již nebudou mít vliv na splnění strategického milníku k roku 2020.</w:t>
      </w:r>
    </w:p>
    <w:p w14:paraId="7474A210" w14:textId="77777777" w:rsidR="00466E6F" w:rsidRDefault="00466E6F" w:rsidP="00A36661">
      <w:pPr>
        <w:pStyle w:val="Text"/>
        <w:numPr>
          <w:ilvl w:val="0"/>
          <w:numId w:val="45"/>
        </w:numPr>
        <w:spacing w:after="120" w:line="264" w:lineRule="auto"/>
        <w:ind w:left="284" w:hanging="284"/>
        <w:rPr>
          <w:lang w:eastAsia="cs-CZ"/>
        </w:rPr>
      </w:pPr>
      <w:r w:rsidRPr="00110E8E">
        <w:rPr>
          <w:b/>
          <w:lang w:eastAsia="cs-CZ"/>
        </w:rPr>
        <w:t>Existuje riziko, že ČR nesplnila cíl snížení expozice pro jemné částice</w:t>
      </w:r>
      <w:r>
        <w:rPr>
          <w:rStyle w:val="Znakapoznpodarou"/>
          <w:b/>
          <w:lang w:eastAsia="cs-CZ"/>
        </w:rPr>
        <w:footnoteReference w:id="13"/>
      </w:r>
      <w:r w:rsidRPr="00110E8E">
        <w:rPr>
          <w:b/>
          <w:lang w:eastAsia="cs-CZ"/>
        </w:rPr>
        <w:t xml:space="preserve">. </w:t>
      </w:r>
      <w:r w:rsidRPr="007F6C3F">
        <w:t xml:space="preserve">Text směrnice EU není zcela jednoznačný v tom, z jakých městských </w:t>
      </w:r>
      <w:proofErr w:type="spellStart"/>
      <w:r w:rsidRPr="007F6C3F">
        <w:t>pozaďových</w:t>
      </w:r>
      <w:proofErr w:type="spellEnd"/>
      <w:r w:rsidRPr="007F6C3F">
        <w:t xml:space="preserve"> stanic</w:t>
      </w:r>
      <w:r w:rsidR="00D6284E">
        <w:rPr>
          <w:rStyle w:val="Znakapoznpodarou"/>
        </w:rPr>
        <w:footnoteReference w:id="14"/>
      </w:r>
      <w:r w:rsidRPr="007F6C3F">
        <w:t xml:space="preserve"> by se měly </w:t>
      </w:r>
      <w:r w:rsidRPr="007F6C3F">
        <w:lastRenderedPageBreak/>
        <w:t xml:space="preserve">vyhodnocovat údaje. </w:t>
      </w:r>
      <w:r>
        <w:t>Z</w:t>
      </w:r>
      <w:r w:rsidRPr="007F6C3F">
        <w:t xml:space="preserve">volená metodika má vliv </w:t>
      </w:r>
      <w:r>
        <w:t>na výslednou hodnotu tohoto ukazatele</w:t>
      </w:r>
      <w:r w:rsidRPr="007F6C3F">
        <w:t xml:space="preserve"> pro ČR v jednotlivých letech včetně cílového roku 2015.</w:t>
      </w:r>
    </w:p>
    <w:p w14:paraId="397A3FA4" w14:textId="785AA065" w:rsidR="00466E6F" w:rsidRDefault="00466E6F" w:rsidP="006E3B89">
      <w:pPr>
        <w:pStyle w:val="Text"/>
        <w:numPr>
          <w:ilvl w:val="0"/>
          <w:numId w:val="45"/>
        </w:numPr>
        <w:spacing w:after="120" w:line="264" w:lineRule="auto"/>
        <w:ind w:left="284" w:hanging="284"/>
        <w:rPr>
          <w:lang w:eastAsia="cs-CZ"/>
        </w:rPr>
      </w:pPr>
      <w:r w:rsidRPr="006E3B89">
        <w:rPr>
          <w:b/>
          <w:lang w:eastAsia="cs-CZ"/>
        </w:rPr>
        <w:t>ČHMÚ nedisponuje aktuální koncepc</w:t>
      </w:r>
      <w:r w:rsidR="00AD3EEA" w:rsidRPr="006E3B89">
        <w:rPr>
          <w:b/>
          <w:lang w:eastAsia="cs-CZ"/>
        </w:rPr>
        <w:t>í</w:t>
      </w:r>
      <w:r w:rsidRPr="006E3B89">
        <w:rPr>
          <w:b/>
          <w:lang w:eastAsia="cs-CZ"/>
        </w:rPr>
        <w:t xml:space="preserve"> </w:t>
      </w:r>
      <w:r w:rsidR="003022AD">
        <w:rPr>
          <w:b/>
          <w:lang w:eastAsia="cs-CZ"/>
        </w:rPr>
        <w:t>s</w:t>
      </w:r>
      <w:r w:rsidRPr="006E3B89">
        <w:rPr>
          <w:b/>
          <w:lang w:eastAsia="cs-CZ"/>
        </w:rPr>
        <w:t>tátní sítě imisního monitoringu (dále také „SSIM“).</w:t>
      </w:r>
      <w:r>
        <w:rPr>
          <w:lang w:eastAsia="cs-CZ"/>
        </w:rPr>
        <w:t xml:space="preserve"> SSIM sice splňuje minimální požadavky na poče</w:t>
      </w:r>
      <w:r w:rsidR="00971B66">
        <w:rPr>
          <w:lang w:eastAsia="cs-CZ"/>
        </w:rPr>
        <w:t>t měř</w:t>
      </w:r>
      <w:r w:rsidR="003022AD">
        <w:rPr>
          <w:lang w:eastAsia="cs-CZ"/>
        </w:rPr>
        <w:t>i</w:t>
      </w:r>
      <w:r w:rsidR="00971B66">
        <w:rPr>
          <w:lang w:eastAsia="cs-CZ"/>
        </w:rPr>
        <w:t>cích stanic vyplývající z </w:t>
      </w:r>
      <w:r>
        <w:rPr>
          <w:lang w:eastAsia="cs-CZ"/>
        </w:rPr>
        <w:t>evropských i</w:t>
      </w:r>
      <w:r w:rsidR="001D5B02">
        <w:rPr>
          <w:lang w:eastAsia="cs-CZ"/>
        </w:rPr>
        <w:t> </w:t>
      </w:r>
      <w:r>
        <w:rPr>
          <w:lang w:eastAsia="cs-CZ"/>
        </w:rPr>
        <w:t>národních předpisů, nicméně nekoncepč</w:t>
      </w:r>
      <w:r w:rsidR="00BF7A45">
        <w:rPr>
          <w:lang w:eastAsia="cs-CZ"/>
        </w:rPr>
        <w:t>ní přístup k rozvoji SSIM sebou</w:t>
      </w:r>
      <w:r w:rsidR="001F16E9">
        <w:rPr>
          <w:lang w:eastAsia="cs-CZ"/>
        </w:rPr>
        <w:t xml:space="preserve"> </w:t>
      </w:r>
      <w:r>
        <w:rPr>
          <w:lang w:eastAsia="cs-CZ"/>
        </w:rPr>
        <w:t>nese</w:t>
      </w:r>
      <w:r w:rsidR="006E3B89">
        <w:rPr>
          <w:lang w:eastAsia="cs-CZ"/>
        </w:rPr>
        <w:t xml:space="preserve"> </w:t>
      </w:r>
      <w:r>
        <w:rPr>
          <w:lang w:eastAsia="cs-CZ"/>
        </w:rPr>
        <w:t>riziko nesplnění specifického programového ukazatele OPŽP 2014</w:t>
      </w:r>
      <w:r w:rsidR="003022AD">
        <w:rPr>
          <w:lang w:eastAsia="cs-CZ"/>
        </w:rPr>
        <w:t>–</w:t>
      </w:r>
      <w:r>
        <w:rPr>
          <w:lang w:eastAsia="cs-CZ"/>
        </w:rPr>
        <w:t>2020, tj. snížení „</w:t>
      </w:r>
      <w:r w:rsidR="003022AD">
        <w:rPr>
          <w:lang w:eastAsia="cs-CZ"/>
        </w:rPr>
        <w:t>m</w:t>
      </w:r>
      <w:r>
        <w:rPr>
          <w:lang w:eastAsia="cs-CZ"/>
        </w:rPr>
        <w:t>íry nejistoty prostorové interpretace imisních dat“ z 35 % v roce 2011 na 30 % v roce 2023.</w:t>
      </w:r>
    </w:p>
    <w:p w14:paraId="21E84BEC" w14:textId="593037F5" w:rsidR="00466E6F" w:rsidRPr="00627F84" w:rsidRDefault="00466E6F" w:rsidP="006E3B89">
      <w:pPr>
        <w:pStyle w:val="Text"/>
        <w:numPr>
          <w:ilvl w:val="0"/>
          <w:numId w:val="45"/>
        </w:numPr>
        <w:spacing w:after="120" w:line="264" w:lineRule="auto"/>
        <w:ind w:left="284" w:hanging="284"/>
        <w:rPr>
          <w:lang w:eastAsia="cs-CZ"/>
        </w:rPr>
      </w:pPr>
      <w:r w:rsidRPr="00627F84">
        <w:rPr>
          <w:b/>
          <w:lang w:eastAsia="cs-CZ"/>
        </w:rPr>
        <w:t>SFŽP nesleduje a nevyhodnocuje hospodárnost, účelnost a efektivnost peněžních prostředků, které jsou čerpány na podporu zlepšování kvality ovzduší z</w:t>
      </w:r>
      <w:r>
        <w:rPr>
          <w:b/>
          <w:lang w:eastAsia="cs-CZ"/>
        </w:rPr>
        <w:t> </w:t>
      </w:r>
      <w:r w:rsidRPr="00627F84">
        <w:rPr>
          <w:b/>
          <w:lang w:eastAsia="cs-CZ"/>
        </w:rPr>
        <w:t>NPŽP</w:t>
      </w:r>
      <w:r>
        <w:rPr>
          <w:b/>
          <w:lang w:eastAsia="cs-CZ"/>
        </w:rPr>
        <w:t xml:space="preserve">. </w:t>
      </w:r>
      <w:r>
        <w:rPr>
          <w:lang w:eastAsia="cs-CZ"/>
        </w:rPr>
        <w:t xml:space="preserve">SFŽP </w:t>
      </w:r>
      <w:r w:rsidR="00971B66">
        <w:rPr>
          <w:lang w:eastAsia="cs-CZ"/>
        </w:rPr>
        <w:t>ani</w:t>
      </w:r>
      <w:r w:rsidR="003022AD">
        <w:rPr>
          <w:lang w:eastAsia="cs-CZ"/>
        </w:rPr>
        <w:t xml:space="preserve"> </w:t>
      </w:r>
      <w:r w:rsidRPr="00627F84">
        <w:rPr>
          <w:lang w:eastAsia="cs-CZ"/>
        </w:rPr>
        <w:t>nestanovilo v základních dokumentech kvantifikovatelné a měřitelné cíle, které by byly základním předpokladem pro vyhodnocení realizovaných projektů a celého programu.</w:t>
      </w:r>
      <w:r w:rsidRPr="00634B99">
        <w:rPr>
          <w:lang w:eastAsia="cs-CZ"/>
        </w:rPr>
        <w:t xml:space="preserve"> </w:t>
      </w:r>
      <w:r w:rsidR="00971B66">
        <w:rPr>
          <w:lang w:eastAsia="cs-CZ"/>
        </w:rPr>
        <w:t>SFŽP</w:t>
      </w:r>
      <w:r w:rsidR="003022AD">
        <w:rPr>
          <w:lang w:eastAsia="cs-CZ"/>
        </w:rPr>
        <w:t xml:space="preserve"> </w:t>
      </w:r>
      <w:r>
        <w:rPr>
          <w:lang w:eastAsia="cs-CZ"/>
        </w:rPr>
        <w:t xml:space="preserve">tak </w:t>
      </w:r>
      <w:r w:rsidRPr="00627F84">
        <w:rPr>
          <w:lang w:eastAsia="cs-CZ"/>
        </w:rPr>
        <w:t>nevyhodnocuje skutečné přínosy, dopady a výsledky jednotlivých prioritních oblastí ani jednotlivých vyhlášených výzev na zlepšení kvality ovzduší v ČR.</w:t>
      </w:r>
      <w:r w:rsidR="0045237C">
        <w:rPr>
          <w:lang w:eastAsia="cs-CZ"/>
        </w:rPr>
        <w:t xml:space="preserve"> </w:t>
      </w:r>
      <w:r w:rsidR="0045237C" w:rsidRPr="0045237C">
        <w:rPr>
          <w:lang w:eastAsia="cs-CZ"/>
        </w:rPr>
        <w:t xml:space="preserve">V rámci kontroly realizace vybraných projektů financovaných z </w:t>
      </w:r>
      <w:r w:rsidR="0045237C">
        <w:rPr>
          <w:lang w:eastAsia="cs-CZ"/>
        </w:rPr>
        <w:t>NPŽP</w:t>
      </w:r>
      <w:r w:rsidR="0045237C" w:rsidRPr="0045237C">
        <w:rPr>
          <w:lang w:eastAsia="cs-CZ"/>
        </w:rPr>
        <w:t xml:space="preserve"> byly zjištěny</w:t>
      </w:r>
      <w:r w:rsidR="00A52326">
        <w:rPr>
          <w:lang w:eastAsia="cs-CZ"/>
        </w:rPr>
        <w:t xml:space="preserve"> nedostatky související se</w:t>
      </w:r>
      <w:r w:rsidR="003022AD">
        <w:rPr>
          <w:lang w:eastAsia="cs-CZ"/>
        </w:rPr>
        <w:t xml:space="preserve"> </w:t>
      </w:r>
      <w:r w:rsidR="0045237C" w:rsidRPr="0045237C">
        <w:rPr>
          <w:lang w:eastAsia="cs-CZ"/>
        </w:rPr>
        <w:t>zadáváním veřejných zakázek.</w:t>
      </w:r>
    </w:p>
    <w:p w14:paraId="67B5724D" w14:textId="29DF99EE" w:rsidR="0087199C" w:rsidRPr="0087199C" w:rsidRDefault="0087199C" w:rsidP="006E3B89">
      <w:pPr>
        <w:pStyle w:val="Text"/>
        <w:numPr>
          <w:ilvl w:val="0"/>
          <w:numId w:val="45"/>
        </w:numPr>
        <w:spacing w:after="120" w:line="264" w:lineRule="auto"/>
        <w:ind w:left="284" w:hanging="284"/>
        <w:rPr>
          <w:b/>
          <w:lang w:eastAsia="cs-CZ"/>
        </w:rPr>
      </w:pPr>
      <w:r w:rsidRPr="0087199C">
        <w:rPr>
          <w:b/>
          <w:lang w:eastAsia="cs-CZ"/>
        </w:rPr>
        <w:t xml:space="preserve">V letech 2014 až 2016 žádný subjekt z ČR nepředložil projekt </w:t>
      </w:r>
      <w:r w:rsidR="003022AD">
        <w:rPr>
          <w:b/>
          <w:lang w:eastAsia="cs-CZ"/>
        </w:rPr>
        <w:t xml:space="preserve">se žádostí </w:t>
      </w:r>
      <w:r w:rsidRPr="0087199C">
        <w:rPr>
          <w:b/>
          <w:lang w:eastAsia="cs-CZ"/>
        </w:rPr>
        <w:t>o podporu v rámci programu LIFE koordinovaného Evropskou komisí</w:t>
      </w:r>
      <w:r w:rsidR="003022AD">
        <w:rPr>
          <w:b/>
          <w:lang w:eastAsia="cs-CZ"/>
        </w:rPr>
        <w:t>, který by byl</w:t>
      </w:r>
      <w:r w:rsidRPr="0087199C">
        <w:rPr>
          <w:b/>
          <w:lang w:eastAsia="cs-CZ"/>
        </w:rPr>
        <w:t xml:space="preserve"> tematicky zaměřen na kvalitu ovzduší a emise.</w:t>
      </w:r>
    </w:p>
    <w:p w14:paraId="36EEDE72" w14:textId="7ED2FF8A" w:rsidR="006E3B89" w:rsidRDefault="00BB7916" w:rsidP="006E3B89">
      <w:pPr>
        <w:jc w:val="both"/>
      </w:pPr>
      <w:r w:rsidRPr="00BB7916">
        <w:rPr>
          <w:b/>
        </w:rPr>
        <w:t xml:space="preserve">Vzhledem k významnému vlivu přeshraničního přenosu na úroveň znečištění ovzduší </w:t>
      </w:r>
      <w:r w:rsidR="003022AD">
        <w:rPr>
          <w:b/>
        </w:rPr>
        <w:t>mezi</w:t>
      </w:r>
      <w:r w:rsidRPr="00BB7916">
        <w:rPr>
          <w:b/>
        </w:rPr>
        <w:t xml:space="preserve"> Česk</w:t>
      </w:r>
      <w:r w:rsidR="003022AD">
        <w:rPr>
          <w:b/>
        </w:rPr>
        <w:t>ou</w:t>
      </w:r>
      <w:r w:rsidRPr="00BB7916">
        <w:rPr>
          <w:b/>
        </w:rPr>
        <w:t xml:space="preserve"> republi</w:t>
      </w:r>
      <w:r w:rsidR="003022AD">
        <w:rPr>
          <w:b/>
        </w:rPr>
        <w:t>kou</w:t>
      </w:r>
      <w:r w:rsidRPr="00BB7916">
        <w:rPr>
          <w:b/>
        </w:rPr>
        <w:t xml:space="preserve"> a Polsk</w:t>
      </w:r>
      <w:r w:rsidR="003022AD">
        <w:rPr>
          <w:b/>
        </w:rPr>
        <w:t>em</w:t>
      </w:r>
      <w:r>
        <w:rPr>
          <w:rStyle w:val="Znakapoznpodarou"/>
          <w:b/>
        </w:rPr>
        <w:footnoteReference w:id="15"/>
      </w:r>
      <w:r w:rsidRPr="00BB7916">
        <w:rPr>
          <w:b/>
        </w:rPr>
        <w:t xml:space="preserve"> by při</w:t>
      </w:r>
      <w:r w:rsidR="003022AD">
        <w:t xml:space="preserve"> </w:t>
      </w:r>
      <w:r w:rsidRPr="00BB7916">
        <w:rPr>
          <w:b/>
        </w:rPr>
        <w:t>přípravě národního programu omezování znečištění ovzduší</w:t>
      </w:r>
      <w:r>
        <w:rPr>
          <w:rStyle w:val="Znakapoznpodarou"/>
          <w:b/>
        </w:rPr>
        <w:footnoteReference w:id="16"/>
      </w:r>
      <w:r w:rsidR="003022AD" w:rsidRPr="003022AD">
        <w:rPr>
          <w:b/>
        </w:rPr>
        <w:t xml:space="preserve"> </w:t>
      </w:r>
      <w:r w:rsidR="003022AD" w:rsidRPr="00BB7916">
        <w:rPr>
          <w:b/>
        </w:rPr>
        <w:t>mělo</w:t>
      </w:r>
      <w:r w:rsidR="003022AD" w:rsidRPr="003022AD">
        <w:rPr>
          <w:b/>
        </w:rPr>
        <w:t xml:space="preserve"> </w:t>
      </w:r>
      <w:r w:rsidR="003022AD" w:rsidRPr="00BB7916">
        <w:rPr>
          <w:b/>
        </w:rPr>
        <w:t>MŽP provádět přeshraniční konzultace s</w:t>
      </w:r>
      <w:r w:rsidR="003022AD">
        <w:rPr>
          <w:b/>
        </w:rPr>
        <w:t> </w:t>
      </w:r>
      <w:r w:rsidR="003022AD" w:rsidRPr="00BB7916">
        <w:rPr>
          <w:b/>
        </w:rPr>
        <w:t>Polskem</w:t>
      </w:r>
      <w:r w:rsidR="0074038D">
        <w:rPr>
          <w:b/>
        </w:rPr>
        <w:t>.</w:t>
      </w:r>
    </w:p>
    <w:p w14:paraId="04D89987" w14:textId="77777777" w:rsidR="00BB7916" w:rsidRDefault="00BB7916" w:rsidP="006E3B89">
      <w:pPr>
        <w:spacing w:before="120" w:after="120" w:line="264" w:lineRule="auto"/>
        <w:jc w:val="both"/>
      </w:pPr>
    </w:p>
    <w:p w14:paraId="048688EB" w14:textId="77777777" w:rsidR="00395345" w:rsidRDefault="00395345" w:rsidP="006E3B89">
      <w:pPr>
        <w:pStyle w:val="Nadpis1"/>
        <w:numPr>
          <w:ilvl w:val="0"/>
          <w:numId w:val="0"/>
        </w:numPr>
        <w:spacing w:before="120" w:after="120" w:line="264" w:lineRule="auto"/>
        <w:ind w:left="432"/>
        <w:jc w:val="center"/>
      </w:pPr>
      <w:r>
        <w:t>II. Informace o kontrolované oblasti</w:t>
      </w:r>
    </w:p>
    <w:p w14:paraId="383F4DAD" w14:textId="7FA242CC" w:rsidR="00395345" w:rsidRDefault="00395345" w:rsidP="006E3B89">
      <w:pPr>
        <w:pStyle w:val="Text"/>
        <w:spacing w:after="120" w:line="264" w:lineRule="auto"/>
      </w:pPr>
      <w:r>
        <w:t>Ochrana ovzduší je na národní úrovni upravena zákonem o ochraně ovzduší</w:t>
      </w:r>
      <w:r w:rsidR="005414EB" w:rsidRPr="005414EB">
        <w:rPr>
          <w:vertAlign w:val="superscript"/>
        </w:rPr>
        <w:t>2</w:t>
      </w:r>
      <w:r>
        <w:t xml:space="preserve"> a jeho prováděcími právními předpisy. Zákon upravuje mj. přípustné úrovně znečištění a znečišťování ovzduší, způsob posuzování úrovně znečištění a znečišťování ovzduší a jejich vyhodnocení, nástroje ke snižování znečištění a znečišťování ovzduší, práva a povinnosti osob a působnost orgánů veřejné správy při ochraně ovzduší.</w:t>
      </w:r>
      <w:r w:rsidRPr="005161DC">
        <w:t xml:space="preserve"> </w:t>
      </w:r>
      <w:r w:rsidRPr="00331324">
        <w:t>Zákonem jsou vyjmenovány orgány, které státní správu na úseku ochrany</w:t>
      </w:r>
      <w:r>
        <w:t xml:space="preserve"> ovzduší vykonávají. Jedná se</w:t>
      </w:r>
      <w:r w:rsidR="003022AD">
        <w:t xml:space="preserve"> </w:t>
      </w:r>
      <w:r>
        <w:t>o </w:t>
      </w:r>
      <w:r w:rsidRPr="00331324">
        <w:t>Ministerstvo životního prostředí, Českou inspekci životního prostředí, krajské úřady, obecní úřady obcí s rozšířenou působností, obecní úřady, celní úřady, Českou obchodní inspekci, Ministe</w:t>
      </w:r>
      <w:r>
        <w:t>rstvo zemědělství a </w:t>
      </w:r>
      <w:r w:rsidRPr="00331324">
        <w:t>Ministerstvo zdravotnictví.</w:t>
      </w:r>
    </w:p>
    <w:p w14:paraId="6F93C96D" w14:textId="2E23888E" w:rsidR="00395345" w:rsidRDefault="00395345" w:rsidP="006E3B89">
      <w:pPr>
        <w:pStyle w:val="Text"/>
        <w:spacing w:after="120" w:line="264" w:lineRule="auto"/>
        <w:rPr>
          <w:rFonts w:eastAsia="Calibri"/>
        </w:rPr>
      </w:pPr>
      <w:r>
        <w:lastRenderedPageBreak/>
        <w:t>Vrcholným zastřešujícím strategickým dokumentem v oblasti ochrany životního prostředí je</w:t>
      </w:r>
      <w:r w:rsidR="00145E4E">
        <w:t xml:space="preserve"> </w:t>
      </w:r>
      <w:r w:rsidRPr="00B1650A">
        <w:rPr>
          <w:i/>
        </w:rPr>
        <w:t>Státní politika životního prostředí ČR 2012–2020</w:t>
      </w:r>
      <w:r>
        <w:t xml:space="preserve"> (dále t</w:t>
      </w:r>
      <w:r w:rsidR="00E61862">
        <w:t>aké „SPŽP“). SPŽP byla schválena</w:t>
      </w:r>
      <w:r>
        <w:t xml:space="preserve"> </w:t>
      </w:r>
      <w:r w:rsidR="003110DE">
        <w:t xml:space="preserve">usnesením vlády České republiky ze </w:t>
      </w:r>
      <w:r w:rsidRPr="0072629D">
        <w:rPr>
          <w:lang w:eastAsia="cs-CZ"/>
        </w:rPr>
        <w:t xml:space="preserve">dne 9. </w:t>
      </w:r>
      <w:r w:rsidR="000D779D">
        <w:rPr>
          <w:lang w:eastAsia="cs-CZ"/>
        </w:rPr>
        <w:t>ledna</w:t>
      </w:r>
      <w:r w:rsidRPr="0072629D">
        <w:rPr>
          <w:lang w:eastAsia="cs-CZ"/>
        </w:rPr>
        <w:t xml:space="preserve"> 2013 </w:t>
      </w:r>
      <w:r w:rsidRPr="0072629D">
        <w:rPr>
          <w:rFonts w:eastAsia="Calibri"/>
        </w:rPr>
        <w:t>č. 6</w:t>
      </w:r>
      <w:r>
        <w:rPr>
          <w:rFonts w:eastAsia="Calibri"/>
        </w:rPr>
        <w:t xml:space="preserve"> a její aktualizovaná podoba byla schválena</w:t>
      </w:r>
      <w:r w:rsidR="000D779D">
        <w:rPr>
          <w:rFonts w:eastAsia="Calibri"/>
        </w:rPr>
        <w:t xml:space="preserve"> usnesením vlády České republiky ze</w:t>
      </w:r>
      <w:r>
        <w:rPr>
          <w:rFonts w:eastAsia="Calibri"/>
        </w:rPr>
        <w:t xml:space="preserve"> dne</w:t>
      </w:r>
      <w:r>
        <w:t xml:space="preserve"> 23. </w:t>
      </w:r>
      <w:r w:rsidR="000D779D">
        <w:t>listopadu</w:t>
      </w:r>
      <w:r>
        <w:t xml:space="preserve"> 2016 č. 1026. </w:t>
      </w:r>
      <w:r>
        <w:rPr>
          <w:rFonts w:eastAsia="Calibri"/>
        </w:rPr>
        <w:t xml:space="preserve">Pro oblast zlepšení kvality ovzduší stanovuje SPŽP hlavní strategický cíl v podobě snížení úrovně znečištění, který se dále rozpadá na tři specifické cíle: </w:t>
      </w:r>
    </w:p>
    <w:p w14:paraId="13A343CD" w14:textId="243A84B5" w:rsidR="00395345" w:rsidRDefault="00145E4E" w:rsidP="006E3B89">
      <w:pPr>
        <w:pStyle w:val="Text"/>
        <w:numPr>
          <w:ilvl w:val="0"/>
          <w:numId w:val="18"/>
        </w:numPr>
        <w:spacing w:before="0" w:line="264" w:lineRule="auto"/>
        <w:ind w:left="284" w:hanging="284"/>
        <w:rPr>
          <w:rFonts w:eastAsia="Calibri"/>
        </w:rPr>
      </w:pPr>
      <w:r>
        <w:rPr>
          <w:rFonts w:eastAsia="Calibri"/>
        </w:rPr>
        <w:t>z</w:t>
      </w:r>
      <w:r w:rsidR="00395345">
        <w:rPr>
          <w:rFonts w:eastAsia="Calibri"/>
        </w:rPr>
        <w:t>lepšení kvality ovzduší v místech, kde jsou překračovány imisní limity;</w:t>
      </w:r>
    </w:p>
    <w:p w14:paraId="796CC3D8" w14:textId="7401D46A" w:rsidR="00395345" w:rsidRDefault="00145E4E" w:rsidP="006E3B89">
      <w:pPr>
        <w:pStyle w:val="Text"/>
        <w:numPr>
          <w:ilvl w:val="0"/>
          <w:numId w:val="18"/>
        </w:numPr>
        <w:spacing w:before="0" w:line="264" w:lineRule="auto"/>
        <w:ind w:left="284" w:hanging="284"/>
        <w:rPr>
          <w:rFonts w:eastAsia="Calibri"/>
        </w:rPr>
      </w:pPr>
      <w:r>
        <w:rPr>
          <w:rFonts w:eastAsia="Calibri"/>
        </w:rPr>
        <w:t>p</w:t>
      </w:r>
      <w:r w:rsidR="00395345">
        <w:rPr>
          <w:rFonts w:eastAsia="Calibri"/>
        </w:rPr>
        <w:t>lnění národních emisních stropů pro oxid siřičitý (SO</w:t>
      </w:r>
      <w:r w:rsidR="00395345" w:rsidRPr="007504EC">
        <w:rPr>
          <w:rFonts w:eastAsia="Calibri"/>
          <w:vertAlign w:val="subscript"/>
        </w:rPr>
        <w:t>2</w:t>
      </w:r>
      <w:r w:rsidR="00395345">
        <w:rPr>
          <w:rFonts w:eastAsia="Calibri"/>
        </w:rPr>
        <w:t>), oxidy dusíku (NO</w:t>
      </w:r>
      <w:r w:rsidR="00395345" w:rsidRPr="007504EC">
        <w:rPr>
          <w:rFonts w:eastAsia="Calibri"/>
          <w:vertAlign w:val="subscript"/>
        </w:rPr>
        <w:t>X</w:t>
      </w:r>
      <w:r w:rsidR="00395345">
        <w:rPr>
          <w:rFonts w:eastAsia="Calibri"/>
        </w:rPr>
        <w:t>), těkavé organické látky (NMVOC), amoniak (NH</w:t>
      </w:r>
      <w:r w:rsidR="00395345" w:rsidRPr="007504EC">
        <w:rPr>
          <w:rFonts w:eastAsia="Calibri"/>
          <w:vertAlign w:val="subscript"/>
        </w:rPr>
        <w:t>3</w:t>
      </w:r>
      <w:r w:rsidR="00395345">
        <w:rPr>
          <w:rFonts w:eastAsia="Calibri"/>
        </w:rPr>
        <w:t>) a jem</w:t>
      </w:r>
      <w:r w:rsidR="00E61862">
        <w:rPr>
          <w:rFonts w:eastAsia="Calibri"/>
        </w:rPr>
        <w:t>né</w:t>
      </w:r>
      <w:r w:rsidR="00395345">
        <w:rPr>
          <w:rFonts w:eastAsia="Calibri"/>
        </w:rPr>
        <w:t xml:space="preserve"> částic</w:t>
      </w:r>
      <w:r w:rsidR="00E61862">
        <w:rPr>
          <w:rFonts w:eastAsia="Calibri"/>
        </w:rPr>
        <w:t>e</w:t>
      </w:r>
      <w:r w:rsidR="00395345">
        <w:rPr>
          <w:rFonts w:eastAsia="Calibri"/>
        </w:rPr>
        <w:t xml:space="preserve"> (PM</w:t>
      </w:r>
      <w:r w:rsidR="00395345" w:rsidRPr="007504EC">
        <w:rPr>
          <w:rFonts w:eastAsia="Calibri"/>
          <w:vertAlign w:val="subscript"/>
        </w:rPr>
        <w:t>2,5</w:t>
      </w:r>
      <w:r w:rsidR="00395345">
        <w:rPr>
          <w:rFonts w:eastAsia="Calibri"/>
        </w:rPr>
        <w:t>);</w:t>
      </w:r>
    </w:p>
    <w:p w14:paraId="5CA23465" w14:textId="3BFA1B2E" w:rsidR="00395345" w:rsidRDefault="00145E4E" w:rsidP="006E3B89">
      <w:pPr>
        <w:pStyle w:val="Text"/>
        <w:numPr>
          <w:ilvl w:val="0"/>
          <w:numId w:val="18"/>
        </w:numPr>
        <w:spacing w:before="0" w:line="264" w:lineRule="auto"/>
        <w:ind w:left="284" w:hanging="284"/>
        <w:rPr>
          <w:rFonts w:eastAsia="Calibri"/>
        </w:rPr>
      </w:pPr>
      <w:r>
        <w:rPr>
          <w:rFonts w:eastAsia="Calibri"/>
        </w:rPr>
        <w:t>s</w:t>
      </w:r>
      <w:r w:rsidR="00395345">
        <w:rPr>
          <w:rFonts w:eastAsia="Calibri"/>
        </w:rPr>
        <w:t xml:space="preserve">nížení emisí těžkých kovů a persistentních organických látek </w:t>
      </w:r>
      <w:r w:rsidR="00395345" w:rsidRPr="00B1650A">
        <w:rPr>
          <w:rFonts w:eastAsia="Calibri"/>
        </w:rPr>
        <w:t xml:space="preserve">(např. </w:t>
      </w:r>
      <w:proofErr w:type="spellStart"/>
      <w:r w:rsidR="00395345" w:rsidRPr="00B1650A">
        <w:rPr>
          <w:rFonts w:eastAsia="Calibri"/>
        </w:rPr>
        <w:t>benzo</w:t>
      </w:r>
      <w:proofErr w:type="spellEnd"/>
      <w:r w:rsidR="00565F57" w:rsidRPr="00250286">
        <w:t>[</w:t>
      </w:r>
      <w:r w:rsidR="00395345" w:rsidRPr="00B1650A">
        <w:rPr>
          <w:rFonts w:eastAsia="Calibri"/>
        </w:rPr>
        <w:t>a</w:t>
      </w:r>
      <w:r w:rsidR="00565F57" w:rsidRPr="00250286">
        <w:t>]</w:t>
      </w:r>
      <w:r w:rsidR="00395345" w:rsidRPr="00B1650A">
        <w:rPr>
          <w:rFonts w:eastAsia="Calibri"/>
        </w:rPr>
        <w:t>pyren)</w:t>
      </w:r>
      <w:r w:rsidR="00395345" w:rsidRPr="00F118A1">
        <w:rPr>
          <w:rFonts w:eastAsia="Calibri"/>
          <w:i/>
        </w:rPr>
        <w:t>.</w:t>
      </w:r>
    </w:p>
    <w:p w14:paraId="55C0FB81" w14:textId="77777777" w:rsidR="00395345" w:rsidRDefault="00395345" w:rsidP="006E3B89">
      <w:pPr>
        <w:pStyle w:val="Text"/>
        <w:spacing w:after="120" w:line="264" w:lineRule="auto"/>
      </w:pPr>
      <w:r>
        <w:t>SPŽP určuje také podrobný strategický rámec OPŽP</w:t>
      </w:r>
      <w:r w:rsidRPr="0072629D">
        <w:rPr>
          <w:rFonts w:eastAsia="Calibri"/>
        </w:rPr>
        <w:t xml:space="preserve"> 2014–2020</w:t>
      </w:r>
      <w:r>
        <w:rPr>
          <w:rFonts w:eastAsia="Calibri"/>
        </w:rPr>
        <w:t xml:space="preserve">. </w:t>
      </w:r>
      <w:r w:rsidRPr="00AF17CD">
        <w:t xml:space="preserve">Oblast ochrany ovzduší je </w:t>
      </w:r>
      <w:r>
        <w:t xml:space="preserve">dále </w:t>
      </w:r>
      <w:r w:rsidRPr="00AF17CD">
        <w:t xml:space="preserve">koncepčně ukotvena ve </w:t>
      </w:r>
      <w:r w:rsidR="005414EB" w:rsidRPr="00B1650A">
        <w:rPr>
          <w:i/>
        </w:rPr>
        <w:t>Střednědobé strategii (do roku 2020) zlepšování kvality ovzduší v ČR</w:t>
      </w:r>
      <w:r w:rsidR="005414EB">
        <w:t xml:space="preserve"> (dále také „Strategie“)</w:t>
      </w:r>
      <w:r>
        <w:t>, v NPSE a v PZKO.</w:t>
      </w:r>
      <w:r w:rsidRPr="007504EC">
        <w:t xml:space="preserve"> </w:t>
      </w:r>
    </w:p>
    <w:p w14:paraId="677D6485" w14:textId="77777777" w:rsidR="00395345" w:rsidRPr="0096760C" w:rsidRDefault="00395345" w:rsidP="006E3B89">
      <w:pPr>
        <w:pStyle w:val="Text"/>
        <w:spacing w:after="120" w:line="264" w:lineRule="auto"/>
        <w:rPr>
          <w:i/>
        </w:rPr>
      </w:pPr>
      <w:r w:rsidRPr="0096760C">
        <w:rPr>
          <w:i/>
        </w:rPr>
        <w:t>Střednědobá strategie (do roku 2020) z</w:t>
      </w:r>
      <w:r>
        <w:rPr>
          <w:i/>
        </w:rPr>
        <w:t>lepšování kvality ovzduší v ČR</w:t>
      </w:r>
    </w:p>
    <w:p w14:paraId="5086284B" w14:textId="04F19798" w:rsidR="00395345" w:rsidRDefault="00395345" w:rsidP="006E3B89">
      <w:pPr>
        <w:pStyle w:val="TextKP"/>
        <w:spacing w:after="120" w:line="264" w:lineRule="auto"/>
        <w:rPr>
          <w:lang w:eastAsia="cs-CZ"/>
        </w:rPr>
      </w:pPr>
      <w:r w:rsidRPr="0072629D">
        <w:rPr>
          <w:rFonts w:eastAsia="Calibri"/>
        </w:rPr>
        <w:t xml:space="preserve">Ve vztahu k požadavku Evropské komise </w:t>
      </w:r>
      <w:r w:rsidR="00E43BA3">
        <w:rPr>
          <w:rFonts w:eastAsia="Calibri"/>
        </w:rPr>
        <w:t xml:space="preserve">(dále také „EK“) </w:t>
      </w:r>
      <w:r w:rsidRPr="0072629D">
        <w:rPr>
          <w:rFonts w:eastAsia="Calibri"/>
        </w:rPr>
        <w:t xml:space="preserve">připravit ucelenou koncepci řízení kvality ovzduší pro Českou republiku byla zpracována </w:t>
      </w:r>
      <w:r w:rsidRPr="00B1650A">
        <w:rPr>
          <w:i/>
          <w:lang w:eastAsia="cs-CZ"/>
        </w:rPr>
        <w:t>Střednědobá strategie (do roku 2020) zlepšování kvality ovzduší v ČR</w:t>
      </w:r>
      <w:r w:rsidRPr="0072629D">
        <w:rPr>
          <w:lang w:eastAsia="cs-CZ"/>
        </w:rPr>
        <w:t xml:space="preserve">. </w:t>
      </w:r>
      <w:r w:rsidRPr="0072629D">
        <w:rPr>
          <w:rFonts w:eastAsia="Calibri"/>
        </w:rPr>
        <w:t>Tento požadavek byl rovněž formulován jako zásadní pro schválení nastavení</w:t>
      </w:r>
      <w:r>
        <w:rPr>
          <w:rFonts w:eastAsia="Calibri"/>
        </w:rPr>
        <w:t xml:space="preserve"> </w:t>
      </w:r>
      <w:r w:rsidRPr="0072629D">
        <w:rPr>
          <w:rFonts w:eastAsia="Calibri"/>
        </w:rPr>
        <w:t>prioritní osy 2</w:t>
      </w:r>
      <w:r>
        <w:rPr>
          <w:rFonts w:eastAsia="Calibri"/>
        </w:rPr>
        <w:t>:</w:t>
      </w:r>
      <w:r w:rsidRPr="0072629D">
        <w:rPr>
          <w:rFonts w:eastAsia="Calibri"/>
        </w:rPr>
        <w:t xml:space="preserve"> </w:t>
      </w:r>
      <w:r w:rsidRPr="00B1650A">
        <w:rPr>
          <w:rFonts w:eastAsia="Calibri"/>
          <w:i/>
        </w:rPr>
        <w:t>Zlepšení kvality ovzduší v lidských sídlech OPŽP 2014–2020</w:t>
      </w:r>
      <w:r w:rsidRPr="0072629D">
        <w:rPr>
          <w:rFonts w:eastAsia="Calibri"/>
        </w:rPr>
        <w:t xml:space="preserve">. </w:t>
      </w:r>
      <w:r w:rsidRPr="0072629D">
        <w:rPr>
          <w:lang w:eastAsia="cs-CZ"/>
        </w:rPr>
        <w:t>Strategie byla schválena</w:t>
      </w:r>
      <w:r w:rsidR="000D779D">
        <w:rPr>
          <w:lang w:eastAsia="cs-CZ"/>
        </w:rPr>
        <w:t xml:space="preserve"> usnesením vlády České republiky ze</w:t>
      </w:r>
      <w:r w:rsidRPr="0072629D">
        <w:rPr>
          <w:lang w:eastAsia="cs-CZ"/>
        </w:rPr>
        <w:t xml:space="preserve"> dne 2. </w:t>
      </w:r>
      <w:r w:rsidR="000D779D">
        <w:rPr>
          <w:lang w:eastAsia="cs-CZ"/>
        </w:rPr>
        <w:t>prosince</w:t>
      </w:r>
      <w:r w:rsidRPr="0072629D">
        <w:rPr>
          <w:lang w:eastAsia="cs-CZ"/>
        </w:rPr>
        <w:t xml:space="preserve"> 2015</w:t>
      </w:r>
      <w:r w:rsidR="000D779D">
        <w:rPr>
          <w:lang w:eastAsia="cs-CZ"/>
        </w:rPr>
        <w:t xml:space="preserve"> </w:t>
      </w:r>
      <w:r>
        <w:rPr>
          <w:lang w:eastAsia="cs-CZ"/>
        </w:rPr>
        <w:t>č. 979.</w:t>
      </w:r>
    </w:p>
    <w:p w14:paraId="45C4A741" w14:textId="230C36EF" w:rsidR="005F4547" w:rsidRDefault="00395345" w:rsidP="006E3B89">
      <w:pPr>
        <w:pStyle w:val="TextKP"/>
        <w:spacing w:after="120" w:line="264" w:lineRule="auto"/>
        <w:rPr>
          <w:lang w:eastAsia="cs-CZ"/>
        </w:rPr>
      </w:pPr>
      <w:r w:rsidRPr="0072629D">
        <w:rPr>
          <w:lang w:eastAsia="cs-CZ"/>
        </w:rPr>
        <w:t xml:space="preserve">Strategie tvoří strategický rámec pro </w:t>
      </w:r>
      <w:r w:rsidRPr="00B1650A">
        <w:rPr>
          <w:i/>
          <w:lang w:eastAsia="cs-CZ"/>
        </w:rPr>
        <w:t>Národní program snížení emisí Č</w:t>
      </w:r>
      <w:r w:rsidR="00145E4E" w:rsidRPr="00B1650A">
        <w:rPr>
          <w:i/>
          <w:lang w:eastAsia="cs-CZ"/>
        </w:rPr>
        <w:t>eské republiky</w:t>
      </w:r>
      <w:r w:rsidRPr="0072629D">
        <w:rPr>
          <w:lang w:eastAsia="cs-CZ"/>
        </w:rPr>
        <w:t xml:space="preserve"> a pro </w:t>
      </w:r>
      <w:r w:rsidR="00145E4E">
        <w:rPr>
          <w:lang w:eastAsia="cs-CZ"/>
        </w:rPr>
        <w:t>p</w:t>
      </w:r>
      <w:r w:rsidRPr="0072629D">
        <w:rPr>
          <w:lang w:eastAsia="cs-CZ"/>
        </w:rPr>
        <w:t>rogramy zlepšování kvality ovzduší pro zóny a aglomerace</w:t>
      </w:r>
      <w:r w:rsidRPr="0072629D">
        <w:rPr>
          <w:rFonts w:eastAsia="Calibri"/>
          <w:sz w:val="18"/>
          <w:szCs w:val="18"/>
        </w:rPr>
        <w:t xml:space="preserve"> </w:t>
      </w:r>
      <w:r w:rsidRPr="0072629D">
        <w:rPr>
          <w:lang w:eastAsia="cs-CZ"/>
        </w:rPr>
        <w:t>v</w:t>
      </w:r>
      <w:r>
        <w:rPr>
          <w:lang w:eastAsia="cs-CZ"/>
        </w:rPr>
        <w:t> ČR,</w:t>
      </w:r>
      <w:r w:rsidRPr="0072629D">
        <w:rPr>
          <w:lang w:eastAsia="cs-CZ"/>
        </w:rPr>
        <w:t xml:space="preserve"> jej</w:t>
      </w:r>
      <w:r>
        <w:rPr>
          <w:lang w:eastAsia="cs-CZ"/>
        </w:rPr>
        <w:t>i</w:t>
      </w:r>
      <w:r w:rsidRPr="0072629D">
        <w:rPr>
          <w:lang w:eastAsia="cs-CZ"/>
        </w:rPr>
        <w:t>chž příprava je uložena na základě zákona</w:t>
      </w:r>
      <w:r>
        <w:rPr>
          <w:lang w:eastAsia="cs-CZ"/>
        </w:rPr>
        <w:t xml:space="preserve"> </w:t>
      </w:r>
      <w:r w:rsidRPr="0072629D">
        <w:rPr>
          <w:lang w:eastAsia="cs-CZ"/>
        </w:rPr>
        <w:t>a </w:t>
      </w:r>
      <w:r w:rsidR="000D779D">
        <w:rPr>
          <w:lang w:eastAsia="cs-CZ"/>
        </w:rPr>
        <w:t xml:space="preserve">právních </w:t>
      </w:r>
      <w:r>
        <w:rPr>
          <w:lang w:eastAsia="cs-CZ"/>
        </w:rPr>
        <w:t>předpisů</w:t>
      </w:r>
      <w:r w:rsidRPr="0072629D">
        <w:rPr>
          <w:lang w:eastAsia="cs-CZ"/>
        </w:rPr>
        <w:t xml:space="preserve"> </w:t>
      </w:r>
      <w:r>
        <w:rPr>
          <w:lang w:eastAsia="cs-CZ"/>
        </w:rPr>
        <w:t>EU</w:t>
      </w:r>
      <w:r w:rsidRPr="0072629D">
        <w:rPr>
          <w:lang w:eastAsia="cs-CZ"/>
        </w:rPr>
        <w:t>.</w:t>
      </w:r>
    </w:p>
    <w:p w14:paraId="24513292" w14:textId="77777777" w:rsidR="00395345" w:rsidRPr="0096760C" w:rsidRDefault="00395345" w:rsidP="006E3B89">
      <w:pPr>
        <w:pStyle w:val="Text"/>
        <w:spacing w:after="120" w:line="264" w:lineRule="auto"/>
        <w:rPr>
          <w:i/>
        </w:rPr>
      </w:pPr>
      <w:r w:rsidRPr="0096760C">
        <w:rPr>
          <w:i/>
        </w:rPr>
        <w:t>Národní program snižování emisí České republiky</w:t>
      </w:r>
    </w:p>
    <w:p w14:paraId="5A0DC93A" w14:textId="3D4C9201" w:rsidR="005414EB" w:rsidRDefault="00395345" w:rsidP="006E3B89">
      <w:pPr>
        <w:pStyle w:val="Text"/>
        <w:spacing w:after="120" w:line="264" w:lineRule="auto"/>
        <w:rPr>
          <w:i/>
        </w:rPr>
      </w:pPr>
      <w:r>
        <w:t>NPSE</w:t>
      </w:r>
      <w:r w:rsidRPr="007F0704">
        <w:t xml:space="preserve"> </w:t>
      </w:r>
      <w:r>
        <w:t xml:space="preserve">pro období do roku 2020 s výhledem do roku 2030 </w:t>
      </w:r>
      <w:r w:rsidRPr="007F0704">
        <w:t>byl přip</w:t>
      </w:r>
      <w:r>
        <w:t>raven na základě ustanovení § 8 </w:t>
      </w:r>
      <w:r w:rsidRPr="007F0704">
        <w:t xml:space="preserve">zákona </w:t>
      </w:r>
      <w:r>
        <w:t>s přihlédnutím k mezinárodním záv</w:t>
      </w:r>
      <w:r w:rsidR="000B6929">
        <w:t>azkům České republiky, očekávaným změnám</w:t>
      </w:r>
      <w:r>
        <w:t xml:space="preserve"> právního rámce EU a s ohledem na neplnění imisních limitů pro některé znečišťující látky. Strategickým cílem NPSE je co nejrychlejší snížení rizik plynoucích ze znečištění ovzduší pro</w:t>
      </w:r>
      <w:r w:rsidR="00145E4E">
        <w:t xml:space="preserve"> </w:t>
      </w:r>
      <w:r>
        <w:t>lidské zdraví a snížení negativního vlivu na ekosystémy a vegetaci a na materiály cestou dodržení národních závazků snížení emisí a dodržení platných imisních limitů. Za tímto účelem je v NPSE formulován nový scénář s dodatečnými opatřeními (NPSE-</w:t>
      </w:r>
      <w:proofErr w:type="spellStart"/>
      <w:r>
        <w:t>W</w:t>
      </w:r>
      <w:r w:rsidR="00BB299F">
        <w:t>a</w:t>
      </w:r>
      <w:r>
        <w:t>M</w:t>
      </w:r>
      <w:proofErr w:type="spellEnd"/>
      <w:r>
        <w:t>) včetně harmonogramu implementace a orgánů odpovědných za</w:t>
      </w:r>
      <w:r w:rsidR="00145E4E">
        <w:t xml:space="preserve"> </w:t>
      </w:r>
      <w:r>
        <w:t>implementaci. NPSE</w:t>
      </w:r>
      <w:r w:rsidR="00145E4E">
        <w:t xml:space="preserve"> </w:t>
      </w:r>
      <w:r w:rsidRPr="007F0704">
        <w:t xml:space="preserve">byl schválen </w:t>
      </w:r>
      <w:r w:rsidR="000D779D">
        <w:t xml:space="preserve">usnesením vlády České republiky ze </w:t>
      </w:r>
      <w:r>
        <w:t>dne 2. </w:t>
      </w:r>
      <w:r w:rsidR="000D779D">
        <w:t>prosince</w:t>
      </w:r>
      <w:r>
        <w:t> 2015</w:t>
      </w:r>
      <w:r w:rsidRPr="00415C6C">
        <w:t xml:space="preserve"> </w:t>
      </w:r>
      <w:r>
        <w:t>č. 978.</w:t>
      </w:r>
    </w:p>
    <w:p w14:paraId="5DEDAD21" w14:textId="77777777" w:rsidR="00395345" w:rsidRPr="003D0070" w:rsidRDefault="00395345" w:rsidP="00145E4E">
      <w:pPr>
        <w:pStyle w:val="Text"/>
        <w:keepNext/>
        <w:spacing w:after="120" w:line="264" w:lineRule="auto"/>
        <w:rPr>
          <w:i/>
        </w:rPr>
      </w:pPr>
      <w:r w:rsidRPr="003D0070">
        <w:rPr>
          <w:i/>
        </w:rPr>
        <w:t>Hodnocení kvality ovzduší</w:t>
      </w:r>
    </w:p>
    <w:p w14:paraId="0217BCE2" w14:textId="16E56E0E" w:rsidR="00395345" w:rsidRDefault="00395345" w:rsidP="006E3B89">
      <w:pPr>
        <w:pStyle w:val="Text"/>
        <w:spacing w:after="120" w:line="264" w:lineRule="auto"/>
      </w:pPr>
      <w:r>
        <w:t>Posuzování a vyhodnocení</w:t>
      </w:r>
      <w:r w:rsidRPr="007504EC">
        <w:t xml:space="preserve"> úrovně </w:t>
      </w:r>
      <w:r>
        <w:t xml:space="preserve">znečištění a </w:t>
      </w:r>
      <w:r w:rsidRPr="007504EC">
        <w:t>znečišťování</w:t>
      </w:r>
      <w:r>
        <w:t xml:space="preserve"> ovzduší provádí ČHMÚ z pověření MŽP a provádí jej pro území k tomu vymezené (zóna) nebo pro zónu, která je městskou aglomerací s počtem obyvatel vyšším než 250 000 (aglomerace). Pro ČR je zákonem vymezeno </w:t>
      </w:r>
      <w:r w:rsidRPr="003D0070">
        <w:t>sedm zón</w:t>
      </w:r>
      <w:r>
        <w:t xml:space="preserve"> (</w:t>
      </w:r>
      <w:r w:rsidR="00145E4E">
        <w:t>s</w:t>
      </w:r>
      <w:r>
        <w:t xml:space="preserve">třední Čechy; </w:t>
      </w:r>
      <w:r w:rsidR="00145E4E">
        <w:t>j</w:t>
      </w:r>
      <w:r>
        <w:t xml:space="preserve">ihozápad; </w:t>
      </w:r>
      <w:r w:rsidR="00145E4E">
        <w:t>s</w:t>
      </w:r>
      <w:r>
        <w:t xml:space="preserve">everozápad; </w:t>
      </w:r>
      <w:r w:rsidR="00145E4E">
        <w:t>s</w:t>
      </w:r>
      <w:r>
        <w:t xml:space="preserve">everovýchod; </w:t>
      </w:r>
      <w:r w:rsidR="00145E4E">
        <w:t>j</w:t>
      </w:r>
      <w:r>
        <w:t xml:space="preserve">ihovýchod; </w:t>
      </w:r>
      <w:r w:rsidR="00145E4E">
        <w:t>s</w:t>
      </w:r>
      <w:r>
        <w:t xml:space="preserve">třední Morava a </w:t>
      </w:r>
      <w:proofErr w:type="spellStart"/>
      <w:r>
        <w:t>Moravskoslezsko</w:t>
      </w:r>
      <w:proofErr w:type="spellEnd"/>
      <w:r>
        <w:t xml:space="preserve">) a </w:t>
      </w:r>
      <w:r w:rsidRPr="003D0070">
        <w:t>tři aglomerace</w:t>
      </w:r>
      <w:r>
        <w:t xml:space="preserve"> (Praha</w:t>
      </w:r>
      <w:r w:rsidR="00145E4E">
        <w:t>,</w:t>
      </w:r>
      <w:r>
        <w:t xml:space="preserve"> Brno a Ostrava/Karviná/Frýdek-Místek).</w:t>
      </w:r>
      <w:r w:rsidRPr="00554118">
        <w:t xml:space="preserve"> </w:t>
      </w:r>
    </w:p>
    <w:p w14:paraId="63B5E12C" w14:textId="33E82D01" w:rsidR="00395345" w:rsidRPr="00B1650A" w:rsidRDefault="00395345" w:rsidP="00145E4E">
      <w:pPr>
        <w:pStyle w:val="Titulek"/>
        <w:spacing w:after="40"/>
        <w:ind w:left="1418" w:hanging="1418"/>
        <w:jc w:val="left"/>
        <w:rPr>
          <w:b/>
        </w:rPr>
      </w:pPr>
      <w:r w:rsidRPr="00B1650A">
        <w:rPr>
          <w:b/>
          <w:noProof/>
          <w:lang w:eastAsia="cs-CZ"/>
        </w:rPr>
        <w:lastRenderedPageBreak/>
        <w:drawing>
          <wp:anchor distT="0" distB="0" distL="114300" distR="114300" simplePos="0" relativeHeight="251688960" behindDoc="0" locked="0" layoutInCell="1" allowOverlap="1" wp14:anchorId="60EC178B" wp14:editId="5C5023A2">
            <wp:simplePos x="0" y="0"/>
            <wp:positionH relativeFrom="margin">
              <wp:posOffset>-15240</wp:posOffset>
            </wp:positionH>
            <wp:positionV relativeFrom="paragraph">
              <wp:posOffset>437210</wp:posOffset>
            </wp:positionV>
            <wp:extent cx="4233545" cy="2406650"/>
            <wp:effectExtent l="0" t="0" r="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7033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233545" cy="240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50A">
        <w:rPr>
          <w:b/>
        </w:rPr>
        <w:t xml:space="preserve">Obrázek č. </w:t>
      </w:r>
      <w:r w:rsidR="006E3B89" w:rsidRPr="00B1650A">
        <w:rPr>
          <w:b/>
        </w:rPr>
        <w:fldChar w:fldCharType="begin"/>
      </w:r>
      <w:r w:rsidR="006E3B89" w:rsidRPr="00B1650A">
        <w:rPr>
          <w:b/>
        </w:rPr>
        <w:instrText xml:space="preserve"> SEQ Obrázek_č. \* ARABIC </w:instrText>
      </w:r>
      <w:r w:rsidR="006E3B89" w:rsidRPr="00B1650A">
        <w:rPr>
          <w:b/>
        </w:rPr>
        <w:fldChar w:fldCharType="separate"/>
      </w:r>
      <w:r w:rsidR="00E80779">
        <w:rPr>
          <w:b/>
          <w:noProof/>
        </w:rPr>
        <w:t>1</w:t>
      </w:r>
      <w:r w:rsidR="006E3B89" w:rsidRPr="00B1650A">
        <w:rPr>
          <w:b/>
          <w:noProof/>
        </w:rPr>
        <w:fldChar w:fldCharType="end"/>
      </w:r>
      <w:r w:rsidRPr="00B1650A">
        <w:rPr>
          <w:b/>
        </w:rPr>
        <w:t>: Zóny a aglomerace pro posuzování a vyhodnocování úrovně znečištění ovzduší</w:t>
      </w:r>
    </w:p>
    <w:p w14:paraId="538C423B" w14:textId="77777777" w:rsidR="00395345" w:rsidRPr="000E2EF3" w:rsidRDefault="00395345" w:rsidP="00395345">
      <w:pPr>
        <w:pStyle w:val="Zdrojapozn"/>
      </w:pPr>
      <w:r w:rsidRPr="0008370A">
        <w:rPr>
          <w:b/>
        </w:rPr>
        <w:t>Zdroj:</w:t>
      </w:r>
      <w:r w:rsidRPr="000E2EF3">
        <w:t xml:space="preserve"> </w:t>
      </w:r>
      <w:r w:rsidRPr="00B1650A">
        <w:rPr>
          <w:rFonts w:eastAsiaTheme="minorHAnsi"/>
        </w:rPr>
        <w:t>Strategie.</w:t>
      </w:r>
    </w:p>
    <w:p w14:paraId="46D5BBD5" w14:textId="7A5041B8" w:rsidR="00395345" w:rsidRDefault="00395345" w:rsidP="006E3B89">
      <w:pPr>
        <w:pStyle w:val="Text"/>
        <w:spacing w:after="120" w:line="264" w:lineRule="auto"/>
        <w:rPr>
          <w:lang w:eastAsia="cs-CZ"/>
        </w:rPr>
      </w:pPr>
      <w:r>
        <w:rPr>
          <w:lang w:eastAsia="cs-CZ"/>
        </w:rPr>
        <w:t>Pro zajištění minimální úrovně kvality ovzduší jsou zákonem stanoveny pro vybrané znečišťující látky imisní limity pro ochranu zdraví. Imisní limity jsou stanoven</w:t>
      </w:r>
      <w:r w:rsidR="006F68A3">
        <w:rPr>
          <w:lang w:eastAsia="cs-CZ"/>
        </w:rPr>
        <w:t>y</w:t>
      </w:r>
      <w:r>
        <w:rPr>
          <w:lang w:eastAsia="cs-CZ"/>
        </w:rPr>
        <w:t xml:space="preserve"> v zákoně také v souladu s požadavky </w:t>
      </w:r>
      <w:r w:rsidR="000D779D">
        <w:rPr>
          <w:lang w:eastAsia="cs-CZ"/>
        </w:rPr>
        <w:t>právních předpisů</w:t>
      </w:r>
      <w:r>
        <w:rPr>
          <w:lang w:eastAsia="cs-CZ"/>
        </w:rPr>
        <w:t xml:space="preserve"> EU pro zajištění kvality ovzduší v Evropě. </w:t>
      </w:r>
      <w:r w:rsidRPr="003D0070">
        <w:rPr>
          <w:lang w:eastAsia="cs-CZ"/>
        </w:rPr>
        <w:t>Za účelem stacionárního měření ČHMÚ spravuje a provozuje</w:t>
      </w:r>
      <w:r>
        <w:rPr>
          <w:lang w:eastAsia="cs-CZ"/>
        </w:rPr>
        <w:t xml:space="preserve"> </w:t>
      </w:r>
      <w:r w:rsidR="00145E4E">
        <w:rPr>
          <w:lang w:eastAsia="cs-CZ"/>
        </w:rPr>
        <w:t>s</w:t>
      </w:r>
      <w:r>
        <w:rPr>
          <w:lang w:eastAsia="cs-CZ"/>
        </w:rPr>
        <w:t>tátní síť imisního monitoringu.</w:t>
      </w:r>
    </w:p>
    <w:p w14:paraId="1093B186" w14:textId="77777777" w:rsidR="00395345" w:rsidRDefault="00395345" w:rsidP="006E3B89">
      <w:pPr>
        <w:pStyle w:val="Text"/>
        <w:spacing w:after="120" w:line="264" w:lineRule="auto"/>
        <w:rPr>
          <w:i/>
        </w:rPr>
      </w:pPr>
      <w:r>
        <w:rPr>
          <w:i/>
        </w:rPr>
        <w:t>Programy zlepšování kvality ovzduší</w:t>
      </w:r>
    </w:p>
    <w:p w14:paraId="0D0E1EAD" w14:textId="0AA43ED5" w:rsidR="00395345" w:rsidRDefault="00395345" w:rsidP="006F68A3">
      <w:pPr>
        <w:spacing w:before="120" w:after="120" w:line="264" w:lineRule="auto"/>
        <w:jc w:val="both"/>
      </w:pPr>
      <w:r>
        <w:t xml:space="preserve">PZKO byly </w:t>
      </w:r>
      <w:r w:rsidRPr="0084089A">
        <w:t>připrav</w:t>
      </w:r>
      <w:r>
        <w:t>ovány</w:t>
      </w:r>
      <w:r w:rsidRPr="0084089A">
        <w:t xml:space="preserve"> na základě ustanovení </w:t>
      </w:r>
      <w:r>
        <w:t xml:space="preserve">§ 9 zákona v případě, </w:t>
      </w:r>
      <w:r w:rsidR="006F68A3">
        <w:t>kdy byl</w:t>
      </w:r>
      <w:r>
        <w:t xml:space="preserve"> v zóně nebo aglomeraci překročen imisní limit stanovený zákonem, nebo v případě, </w:t>
      </w:r>
      <w:r w:rsidR="006F68A3">
        <w:t>kdy byl</w:t>
      </w:r>
      <w:r>
        <w:t xml:space="preserve"> v zóně nebo aglomeraci imisní limit stanovený v zákoně překročen vícekrát, než je zde stanovený maximální počet překročení. Vzhledem k úrovni znečištění ovzduší ČR bylo zpracování PZKO dle výše uvedených podmínek relevantní pro</w:t>
      </w:r>
      <w:r w:rsidR="00800ED3">
        <w:t xml:space="preserve"> </w:t>
      </w:r>
      <w:r>
        <w:t>všechny zóny a aglomerace v ČR. PZKO zpracovalo MŽP ve</w:t>
      </w:r>
      <w:r w:rsidR="00A06377">
        <w:t xml:space="preserve"> </w:t>
      </w:r>
      <w:r>
        <w:t>spolupráci s příslušnými krajskými úřady nebo obecními úřady. PZKO jakožto regionální strategie řízení kvality ovzduší obsahují emisně imisní analýzy, příčiny znečištění a vyhodnocení předcházejících PZKO, opatření v podobě stanovení emisních stropů a nové kompetence k významným vyjmenovaným zdrojů znečištění. Referenčním rokem pro</w:t>
      </w:r>
      <w:r w:rsidR="006F68A3">
        <w:t xml:space="preserve"> </w:t>
      </w:r>
      <w:r>
        <w:t xml:space="preserve">analytické části PZKO byl rok 2011. V návrhové části jsou pro řešené znečišťující látky (cíle) stanovena opatření, vycházející mj. z rozptylových studií, </w:t>
      </w:r>
      <w:r w:rsidR="006F68A3">
        <w:t xml:space="preserve">jejichž </w:t>
      </w:r>
      <w:r>
        <w:t>pomocí má v dané zóně či</w:t>
      </w:r>
      <w:r w:rsidR="006F68A3">
        <w:t xml:space="preserve"> </w:t>
      </w:r>
      <w:r>
        <w:t>aglomeraci dojít k dosažení imisních limitů stanovených zákonem</w:t>
      </w:r>
      <w:r w:rsidR="006F68A3">
        <w:t>,</w:t>
      </w:r>
      <w:r>
        <w:t xml:space="preserve"> a to do roku 2020, který</w:t>
      </w:r>
      <w:r w:rsidR="006F68A3">
        <w:t xml:space="preserve"> </w:t>
      </w:r>
      <w:r>
        <w:t>představuje strategický milník. PZKO byly schváleny pro jednotlivé zóny a aglomerace v průběhu roku 2016 a byly vydány MŽP formou nařízení obecné povahy.</w:t>
      </w:r>
      <w:r w:rsidR="006E3B89" w:rsidRPr="006E3B89">
        <w:t xml:space="preserve"> </w:t>
      </w:r>
    </w:p>
    <w:p w14:paraId="0781E9CA" w14:textId="77777777" w:rsidR="00A92C84" w:rsidRDefault="00A92C84">
      <w:pPr>
        <w:rPr>
          <w:rFonts w:cstheme="minorHAnsi"/>
          <w:b/>
          <w:sz w:val="28"/>
        </w:rPr>
      </w:pPr>
      <w:r>
        <w:br w:type="page"/>
      </w:r>
    </w:p>
    <w:p w14:paraId="71BB80C7" w14:textId="77A81D88" w:rsidR="00395345" w:rsidRDefault="00395345" w:rsidP="006E3B89">
      <w:pPr>
        <w:pStyle w:val="Nadpis1"/>
        <w:numPr>
          <w:ilvl w:val="0"/>
          <w:numId w:val="0"/>
        </w:numPr>
        <w:spacing w:before="120" w:after="120" w:line="264" w:lineRule="auto"/>
        <w:ind w:left="432" w:hanging="432"/>
        <w:jc w:val="center"/>
      </w:pPr>
      <w:r>
        <w:t>III. Rozsah kontroly</w:t>
      </w:r>
    </w:p>
    <w:p w14:paraId="41483965" w14:textId="1417D676" w:rsidR="00F53FAC" w:rsidRDefault="00395345" w:rsidP="006E3B89">
      <w:pPr>
        <w:pStyle w:val="Text"/>
        <w:spacing w:after="120" w:line="264" w:lineRule="auto"/>
      </w:pPr>
      <w:r>
        <w:t>Kontrola byla zaměřena na financování</w:t>
      </w:r>
      <w:r w:rsidR="00AD3EEA">
        <w:t xml:space="preserve"> opatření</w:t>
      </w:r>
      <w:r>
        <w:t xml:space="preserve"> </w:t>
      </w:r>
      <w:r w:rsidR="00AD3EEA">
        <w:t xml:space="preserve">na podporu zlepšování kvality ovzduší v České republice </w:t>
      </w:r>
      <w:r w:rsidR="00AB2F3E">
        <w:t>z OPŽP PO</w:t>
      </w:r>
      <w:r>
        <w:t xml:space="preserve">2: </w:t>
      </w:r>
      <w:r w:rsidRPr="00BB331F">
        <w:rPr>
          <w:i/>
        </w:rPr>
        <w:t>Zlepšení kvality ovzduší v lidských sídlech</w:t>
      </w:r>
      <w:r>
        <w:t xml:space="preserve"> a z</w:t>
      </w:r>
      <w:r w:rsidR="00AD3EEA">
        <w:t> </w:t>
      </w:r>
      <w:r>
        <w:t>doplňkového</w:t>
      </w:r>
      <w:r w:rsidR="00AD3EEA">
        <w:t xml:space="preserve"> zdroje</w:t>
      </w:r>
      <w:r w:rsidR="00922075">
        <w:t>,</w:t>
      </w:r>
      <w:r>
        <w:t xml:space="preserve"> kterým je NPŽP. Kontrola byla provedena s cílem ověřit</w:t>
      </w:r>
      <w:r w:rsidRPr="009071B6">
        <w:t>, zda opatření stanove</w:t>
      </w:r>
      <w:r w:rsidR="00221B3C">
        <w:t>ná v </w:t>
      </w:r>
      <w:r>
        <w:t>programových dokumentech a peněžní prostředky čerpané z </w:t>
      </w:r>
      <w:r w:rsidRPr="009071B6">
        <w:t>OPŽP a NPŽP přispívají ke</w:t>
      </w:r>
      <w:r w:rsidR="006F68A3">
        <w:t xml:space="preserve"> </w:t>
      </w:r>
      <w:r w:rsidRPr="009071B6">
        <w:t>zlepšování kvality ovzduší v</w:t>
      </w:r>
      <w:r>
        <w:t> </w:t>
      </w:r>
      <w:r w:rsidRPr="009071B6">
        <w:t>ČR</w:t>
      </w:r>
      <w:r>
        <w:t>, tj. zda jsou účinná</w:t>
      </w:r>
      <w:r w:rsidR="00046A13">
        <w:t>.</w:t>
      </w:r>
      <w:r w:rsidR="00A2786B" w:rsidRPr="00A2786B">
        <w:t xml:space="preserve"> </w:t>
      </w:r>
      <w:r w:rsidR="00A2786B">
        <w:t>Prověřeny byly také možnosti financování opatření z </w:t>
      </w:r>
      <w:r w:rsidR="006F68A3">
        <w:t>p</w:t>
      </w:r>
      <w:r w:rsidR="00A2786B" w:rsidRPr="00B1650A">
        <w:t>rogramu</w:t>
      </w:r>
      <w:r w:rsidR="00A2786B" w:rsidRPr="00D673A5">
        <w:rPr>
          <w:i/>
        </w:rPr>
        <w:t xml:space="preserve"> </w:t>
      </w:r>
      <w:r w:rsidR="00A2786B">
        <w:rPr>
          <w:i/>
        </w:rPr>
        <w:t>LIFE</w:t>
      </w:r>
      <w:r w:rsidR="00A2786B" w:rsidRPr="00D673A5">
        <w:t xml:space="preserve"> </w:t>
      </w:r>
      <w:r w:rsidR="006F68A3">
        <w:t>–</w:t>
      </w:r>
      <w:r w:rsidR="00A2786B">
        <w:t> komunitárního programu pro životní prostředí a</w:t>
      </w:r>
      <w:r w:rsidR="006F68A3">
        <w:t> </w:t>
      </w:r>
      <w:r w:rsidR="00A2786B">
        <w:t>oblast klimatu, který je koordinován Evropskou komisí.</w:t>
      </w:r>
    </w:p>
    <w:p w14:paraId="0ACEAF23" w14:textId="77777777" w:rsidR="00395345" w:rsidRDefault="00395345" w:rsidP="006E3B89">
      <w:pPr>
        <w:pStyle w:val="Text"/>
        <w:spacing w:after="120" w:line="264" w:lineRule="auto"/>
      </w:pPr>
      <w:r>
        <w:t>Za účelem naplnění cíle probíhala kontrola ve dvou rovinách:</w:t>
      </w:r>
    </w:p>
    <w:p w14:paraId="36218438" w14:textId="3B57518A" w:rsidR="00395345" w:rsidRPr="00CB584B" w:rsidRDefault="00395345" w:rsidP="006E3B89">
      <w:pPr>
        <w:pStyle w:val="Text"/>
        <w:numPr>
          <w:ilvl w:val="0"/>
          <w:numId w:val="12"/>
        </w:numPr>
        <w:spacing w:after="120" w:line="264" w:lineRule="auto"/>
        <w:ind w:left="284" w:hanging="284"/>
      </w:pPr>
      <w:r>
        <w:t>kontrola nastavení systému opatření na podporu zlepšování kvality ovzduší</w:t>
      </w:r>
      <w:r w:rsidRPr="00F95283">
        <w:t xml:space="preserve"> </w:t>
      </w:r>
      <w:r>
        <w:t>v programových dokumentech, jejich implementace a vyhodnocování. Tato kontrola byla realizována u MŽP. Prověřována byla zejména strategická a koncepční činnost MŽP, jakožto</w:t>
      </w:r>
      <w:r w:rsidR="004429BE">
        <w:rPr>
          <w:b/>
        </w:rPr>
        <w:t xml:space="preserve"> </w:t>
      </w:r>
      <w:r>
        <w:t xml:space="preserve">hlavního </w:t>
      </w:r>
      <w:r w:rsidRPr="00CB584B">
        <w:t>orgánu zodpovědného za oblast ochrany ovzduší v ČR; míra plnění stanovených opatření a cílů na národní úrovni zejména v NPSE a způsob průběžného vyhodnocování implementace a realizace plnění opatření na</w:t>
      </w:r>
      <w:r w:rsidR="004429BE">
        <w:t xml:space="preserve"> </w:t>
      </w:r>
      <w:r w:rsidRPr="00CB584B">
        <w:t>regionální úrovni stanovených v PZKO</w:t>
      </w:r>
      <w:r w:rsidR="004429BE">
        <w:t>;</w:t>
      </w:r>
    </w:p>
    <w:p w14:paraId="3EDA1C27" w14:textId="6B7E4061" w:rsidR="00607712" w:rsidRPr="00CB584B" w:rsidRDefault="00395345" w:rsidP="006E3B89">
      <w:pPr>
        <w:pStyle w:val="Text"/>
        <w:numPr>
          <w:ilvl w:val="0"/>
          <w:numId w:val="12"/>
        </w:numPr>
        <w:spacing w:after="120" w:line="264" w:lineRule="auto"/>
        <w:ind w:left="284" w:hanging="284"/>
      </w:pPr>
      <w:r w:rsidRPr="00CB584B">
        <w:t>kontrola poskytování peněžní</w:t>
      </w:r>
      <w:r w:rsidR="00D24707">
        <w:t>ch</w:t>
      </w:r>
      <w:r w:rsidRPr="00CB584B">
        <w:t xml:space="preserve"> prostředků na zlepšování kvality ovzduší z evropských či</w:t>
      </w:r>
      <w:r w:rsidR="004429BE">
        <w:t xml:space="preserve"> </w:t>
      </w:r>
      <w:r w:rsidRPr="00CB584B">
        <w:t>národních zdrojů. Tato kontrola probíhala u MŽP jakožto říd</w:t>
      </w:r>
      <w:r w:rsidR="004429BE">
        <w:t>i</w:t>
      </w:r>
      <w:r w:rsidRPr="00CB584B">
        <w:t xml:space="preserve">cího orgánu OPŽP, </w:t>
      </w:r>
      <w:r w:rsidR="004429BE">
        <w:t>u </w:t>
      </w:r>
      <w:r w:rsidRPr="00CB584B">
        <w:t>SFŽP jakožto zprostředkujícího subjektu OPŽP a poskytovatele prostředků z NPŽP a </w:t>
      </w:r>
      <w:r w:rsidR="004429BE">
        <w:t>u </w:t>
      </w:r>
      <w:r w:rsidRPr="00CB584B">
        <w:t xml:space="preserve">vybraných příjemců peněžních prostředků (ČHMÚ, </w:t>
      </w:r>
      <w:r w:rsidR="000848F6" w:rsidRPr="00CB584B">
        <w:t>kraje</w:t>
      </w:r>
      <w:r w:rsidRPr="00CB584B">
        <w:t>, ostatní příjemci).</w:t>
      </w:r>
      <w:r w:rsidR="00607712" w:rsidRPr="00CB584B">
        <w:t xml:space="preserve"> Účinnost vynaložených peněžních prostředků na podporu zlepšování kvality ovzduší byla ověřována na základě stanovených indikátorů a cílů jednotlivých projektů a stavu jejich plnění k datu ukončení kontrolní akce.</w:t>
      </w:r>
      <w:r w:rsidR="00E54C0D" w:rsidRPr="00CB584B">
        <w:t xml:space="preserve"> Přehled kontrolovaných projektů je uveden včetně hodnocení indikátorů projektů v příloze č. 5 </w:t>
      </w:r>
      <w:r w:rsidR="004429BE">
        <w:t xml:space="preserve">tohoto </w:t>
      </w:r>
      <w:r w:rsidR="00E54C0D" w:rsidRPr="00CB584B">
        <w:t>kontrolního závěru.</w:t>
      </w:r>
    </w:p>
    <w:p w14:paraId="5076ECC4" w14:textId="054C614D" w:rsidR="00395345" w:rsidRDefault="00395345" w:rsidP="006E3B89">
      <w:pPr>
        <w:pStyle w:val="Text"/>
        <w:spacing w:after="120" w:line="264" w:lineRule="auto"/>
      </w:pPr>
      <w:r w:rsidRPr="00BB331F">
        <w:t>Na</w:t>
      </w:r>
      <w:r w:rsidR="004429BE">
        <w:t xml:space="preserve"> </w:t>
      </w:r>
      <w:r w:rsidRPr="00BB331F">
        <w:t>úrovni systému byly zkontrolovány peněžní prostředky v celkové výši 10,6 mld. Kč</w:t>
      </w:r>
      <w:r>
        <w:t>,</w:t>
      </w:r>
      <w:r w:rsidRPr="00BB331F">
        <w:t xml:space="preserve"> z toho 9,9 mld. </w:t>
      </w:r>
      <w:r>
        <w:t xml:space="preserve">Kč </w:t>
      </w:r>
      <w:r w:rsidR="004429BE">
        <w:t>financovaných z </w:t>
      </w:r>
      <w:r>
        <w:t xml:space="preserve">PO2 </w:t>
      </w:r>
      <w:r w:rsidRPr="00BB331F">
        <w:t>OPŽP.</w:t>
      </w:r>
      <w:r>
        <w:t xml:space="preserve"> Kontrolovaný objem na úrovni systému vycházel z alokace peněžních prostředků ve výzvách vyhlášených v letech 2015 až 2018 se</w:t>
      </w:r>
      <w:r w:rsidR="004429BE">
        <w:t xml:space="preserve"> </w:t>
      </w:r>
      <w:r>
        <w:t>zaměřením na podporu zlepšování kvality ovzduší</w:t>
      </w:r>
      <w:r w:rsidRPr="007C5A37">
        <w:t xml:space="preserve"> </w:t>
      </w:r>
      <w:r>
        <w:t>v rámci PO2 OPŽP, NPŽP a </w:t>
      </w:r>
      <w:r w:rsidR="004429BE">
        <w:t>p</w:t>
      </w:r>
      <w:r>
        <w:t xml:space="preserve">rogramu </w:t>
      </w:r>
      <w:r w:rsidR="002A7A29" w:rsidRPr="00B1650A">
        <w:rPr>
          <w:i/>
        </w:rPr>
        <w:t>LIFE</w:t>
      </w:r>
      <w:r>
        <w:t>.</w:t>
      </w:r>
      <w:r w:rsidRPr="003952B7">
        <w:t xml:space="preserve"> </w:t>
      </w:r>
      <w:r>
        <w:t>Kontrola byla zaměřena zejména na přípravu a </w:t>
      </w:r>
      <w:r w:rsidRPr="006320ED">
        <w:t xml:space="preserve">vyhodnocení jednotlivých </w:t>
      </w:r>
      <w:r>
        <w:t>výzev.</w:t>
      </w:r>
    </w:p>
    <w:p w14:paraId="7D660AEB" w14:textId="5E3D85B0" w:rsidR="00395345" w:rsidRDefault="00395345" w:rsidP="006E3B89">
      <w:pPr>
        <w:pStyle w:val="Text"/>
        <w:spacing w:after="120" w:line="264" w:lineRule="auto"/>
      </w:pPr>
      <w:r>
        <w:t>Na</w:t>
      </w:r>
      <w:r w:rsidR="004429BE">
        <w:t xml:space="preserve"> </w:t>
      </w:r>
      <w:r>
        <w:t> </w:t>
      </w:r>
      <w:r w:rsidRPr="00BB331F">
        <w:t>úrovni</w:t>
      </w:r>
      <w:r w:rsidR="000D779D">
        <w:t xml:space="preserve"> SFŽ</w:t>
      </w:r>
      <w:r>
        <w:t>P prověřil</w:t>
      </w:r>
      <w:r w:rsidRPr="00BB331F">
        <w:t xml:space="preserve"> </w:t>
      </w:r>
      <w:r>
        <w:t>NKÚ hodnot</w:t>
      </w:r>
      <w:r w:rsidR="004429BE">
        <w:t>i</w:t>
      </w:r>
      <w:r>
        <w:t>cí systém a </w:t>
      </w:r>
      <w:r w:rsidRPr="00097BE8">
        <w:t>způso</w:t>
      </w:r>
      <w:r>
        <w:t>b výběru podpořených projektů zaměřených na zlepšování kvality ovzduší</w:t>
      </w:r>
      <w:r w:rsidRPr="005A31D2">
        <w:t>.</w:t>
      </w:r>
      <w:r w:rsidRPr="003952B7">
        <w:t xml:space="preserve"> </w:t>
      </w:r>
      <w:r>
        <w:t xml:space="preserve">Kontrolou byla prověřena administrace </w:t>
      </w:r>
      <w:r w:rsidRPr="00BB331F">
        <w:t>14 projektů s přidělenou dotací ve výši 496,6 mil. Kč</w:t>
      </w:r>
      <w:r>
        <w:t xml:space="preserve">, z toho 487 mil. Kč </w:t>
      </w:r>
      <w:r w:rsidR="004429BE">
        <w:t xml:space="preserve">v rámci </w:t>
      </w:r>
      <w:r>
        <w:t>PO2 OPŽP, tj. cca 5 % alokovaných prostředků ve vyhlášených výzvách prostřednictvím PO2 OPŽP.</w:t>
      </w:r>
    </w:p>
    <w:p w14:paraId="4EBDD2E7" w14:textId="49D1D5EE" w:rsidR="00395345" w:rsidRDefault="00395345" w:rsidP="00155568">
      <w:pPr>
        <w:pStyle w:val="Text"/>
        <w:spacing w:after="120" w:line="264" w:lineRule="auto"/>
      </w:pPr>
      <w:r>
        <w:t>Kontrolováni byli rovněž příjemci finanční podpory, u kterých bylo prověřeno zejména dodržení podmínek čerpání podpory a její využití. Kontrole byly podrobeny čtyři kraj</w:t>
      </w:r>
      <w:r w:rsidR="000848F6">
        <w:t>e</w:t>
      </w:r>
      <w:r w:rsidR="00656270">
        <w:t>, jakožto</w:t>
      </w:r>
      <w:r w:rsidR="004429BE">
        <w:t xml:space="preserve"> </w:t>
      </w:r>
      <w:r>
        <w:t>příjemci dotací z PO2 OPŽP, kte</w:t>
      </w:r>
      <w:r w:rsidR="004429BE">
        <w:t>ří</w:t>
      </w:r>
      <w:r>
        <w:t xml:space="preserve"> následně přerozdělují peněžní prostředky fyzickým osobám na výměnu zastaralých kotlů. Dále byla kontrola provedena u ČHMÚ, jakožto</w:t>
      </w:r>
      <w:r w:rsidR="004429BE">
        <w:t xml:space="preserve"> </w:t>
      </w:r>
      <w:r>
        <w:t>významného příjemce podpory z PO2 OPŽP zaměřené na</w:t>
      </w:r>
      <w:r w:rsidR="004429BE">
        <w:t xml:space="preserve"> </w:t>
      </w:r>
      <w:r>
        <w:t>z</w:t>
      </w:r>
      <w:r w:rsidRPr="006B58D3">
        <w:t>lepš</w:t>
      </w:r>
      <w:r>
        <w:t>ení</w:t>
      </w:r>
      <w:r w:rsidRPr="006B58D3">
        <w:t xml:space="preserve"> systém</w:t>
      </w:r>
      <w:r>
        <w:t>u</w:t>
      </w:r>
      <w:r w:rsidR="00221B3C">
        <w:t xml:space="preserve"> sledování, hodnocení a </w:t>
      </w:r>
      <w:r w:rsidRPr="006B58D3">
        <w:t>předpovídání vývoje kvality ovzduší a souvisejících meteorologických aspektů</w:t>
      </w:r>
      <w:r>
        <w:t>. Kontrola byla realizována také u čtyř příjemců podpory z PO2 OPŽP zaměřené na</w:t>
      </w:r>
      <w:r w:rsidR="004429BE">
        <w:t xml:space="preserve"> </w:t>
      </w:r>
      <w:r>
        <w:t>s</w:t>
      </w:r>
      <w:r w:rsidRPr="006B58D3">
        <w:t>níž</w:t>
      </w:r>
      <w:r>
        <w:t>ení</w:t>
      </w:r>
      <w:r w:rsidRPr="006B58D3">
        <w:t xml:space="preserve"> emis</w:t>
      </w:r>
      <w:r>
        <w:t>í ze</w:t>
      </w:r>
      <w:r w:rsidR="004429BE">
        <w:t xml:space="preserve"> </w:t>
      </w:r>
      <w:r w:rsidRPr="006B58D3">
        <w:t>staci</w:t>
      </w:r>
      <w:r>
        <w:t xml:space="preserve">onárních zdrojů a </w:t>
      </w:r>
      <w:r w:rsidR="00221B3C">
        <w:t xml:space="preserve">u </w:t>
      </w:r>
      <w:r>
        <w:t>čtyř příjemců podpory z NPŽP. Celkem byla kontrolována realizace</w:t>
      </w:r>
      <w:r w:rsidRPr="00BB331F">
        <w:t xml:space="preserve"> 21</w:t>
      </w:r>
      <w:r w:rsidR="001D5B02">
        <w:t> </w:t>
      </w:r>
      <w:r w:rsidRPr="00BB331F">
        <w:t xml:space="preserve">projektů s celkovou přidělenou </w:t>
      </w:r>
      <w:r>
        <w:t xml:space="preserve">dotací ve </w:t>
      </w:r>
      <w:r w:rsidRPr="00BB331F">
        <w:t>výši 3,8</w:t>
      </w:r>
      <w:r w:rsidR="00895EE7">
        <w:t>2</w:t>
      </w:r>
      <w:r w:rsidRPr="00BB331F">
        <w:t xml:space="preserve"> mld. Kč</w:t>
      </w:r>
      <w:r>
        <w:t>, z toho 3,</w:t>
      </w:r>
      <w:r w:rsidR="00895EE7">
        <w:t>8</w:t>
      </w:r>
      <w:r>
        <w:t> mld. Kč z PO2 OPŽP, což představuje 3</w:t>
      </w:r>
      <w:r w:rsidR="00895EE7">
        <w:t>8</w:t>
      </w:r>
      <w:r>
        <w:t xml:space="preserve"> % z dosud alokovaných prostředků v PO2 OPŽP. Kontrola prověřila </w:t>
      </w:r>
      <w:r w:rsidRPr="00BB331F">
        <w:t>veřejné zakázky</w:t>
      </w:r>
      <w:r w:rsidR="00137B4A">
        <w:t xml:space="preserve"> </w:t>
      </w:r>
      <w:r w:rsidRPr="00BB331F">
        <w:t>v</w:t>
      </w:r>
      <w:r>
        <w:t xml:space="preserve"> celkové </w:t>
      </w:r>
      <w:r w:rsidRPr="00BB331F">
        <w:t>hodnotě 541,9 mil. Kč</w:t>
      </w:r>
      <w:r>
        <w:t xml:space="preserve"> bez DPH</w:t>
      </w:r>
      <w:r w:rsidRPr="00BB331F">
        <w:t>.</w:t>
      </w:r>
    </w:p>
    <w:p w14:paraId="6350D9BB" w14:textId="180948CB" w:rsidR="006E3B89" w:rsidRDefault="00395345" w:rsidP="00155568">
      <w:pPr>
        <w:spacing w:before="120" w:after="120" w:line="264" w:lineRule="auto"/>
        <w:jc w:val="both"/>
      </w:pPr>
      <w:r w:rsidRPr="00331324">
        <w:t xml:space="preserve">Kontrolou byl tedy prověřen systém podpory na zlepšování kvality ovzduší </w:t>
      </w:r>
      <w:r>
        <w:t>jako celek: nastavení a řízení</w:t>
      </w:r>
      <w:r w:rsidRPr="00331324">
        <w:t xml:space="preserve"> </w:t>
      </w:r>
      <w:r>
        <w:t xml:space="preserve">systému </w:t>
      </w:r>
      <w:r w:rsidRPr="00331324">
        <w:t xml:space="preserve">Ministerstvem životního prostředí jakožto </w:t>
      </w:r>
      <w:r>
        <w:t>gestorem oblasti ochrany ovzduší</w:t>
      </w:r>
      <w:r w:rsidRPr="00331324">
        <w:t xml:space="preserve"> a řídícího orgánu OPŽP</w:t>
      </w:r>
      <w:r>
        <w:t>; činnost SFŽP</w:t>
      </w:r>
      <w:r w:rsidRPr="00331324">
        <w:t xml:space="preserve"> jakožto zprostředkujícího subjektu podpory</w:t>
      </w:r>
      <w:r>
        <w:t>; v</w:t>
      </w:r>
      <w:r w:rsidRPr="00331324">
        <w:t>yužití finanční</w:t>
      </w:r>
      <w:r>
        <w:t xml:space="preserve"> podpory hlavními příjemci. </w:t>
      </w:r>
      <w:r w:rsidRPr="00331324">
        <w:t>Výstupem této kontrolní akce</w:t>
      </w:r>
      <w:r>
        <w:t xml:space="preserve"> je</w:t>
      </w:r>
      <w:r w:rsidR="004429BE">
        <w:t xml:space="preserve"> </w:t>
      </w:r>
      <w:r>
        <w:t xml:space="preserve">vyhodnocení nastavení a fungování </w:t>
      </w:r>
      <w:r w:rsidRPr="00331324">
        <w:t>systému podpory na zlepšování kvality ovzduší v ČR a identifikace slabých míst.</w:t>
      </w:r>
      <w:r w:rsidR="006E3B89" w:rsidRPr="006E3B89">
        <w:t xml:space="preserve"> </w:t>
      </w:r>
    </w:p>
    <w:p w14:paraId="2FBDD7C4" w14:textId="77777777" w:rsidR="00395345" w:rsidRDefault="00395345" w:rsidP="006E3B89">
      <w:pPr>
        <w:pStyle w:val="Text"/>
        <w:spacing w:after="120" w:line="264" w:lineRule="auto"/>
      </w:pPr>
    </w:p>
    <w:p w14:paraId="210B4535" w14:textId="77777777" w:rsidR="00395345" w:rsidRDefault="00395345" w:rsidP="006E3B89">
      <w:pPr>
        <w:pStyle w:val="Nadpis1"/>
        <w:numPr>
          <w:ilvl w:val="0"/>
          <w:numId w:val="0"/>
        </w:numPr>
        <w:spacing w:before="120" w:after="120" w:line="264" w:lineRule="auto"/>
        <w:ind w:left="432" w:hanging="432"/>
        <w:jc w:val="center"/>
      </w:pPr>
      <w:r>
        <w:t>IV. Podrobné skutečnosti zjištěné kontrolou</w:t>
      </w:r>
    </w:p>
    <w:p w14:paraId="486AD546" w14:textId="77777777" w:rsidR="00395345" w:rsidRPr="00427DCB" w:rsidRDefault="00395345" w:rsidP="006E3B89">
      <w:pPr>
        <w:pStyle w:val="Nadpis2"/>
        <w:numPr>
          <w:ilvl w:val="0"/>
          <w:numId w:val="0"/>
        </w:numPr>
        <w:spacing w:line="264" w:lineRule="auto"/>
        <w:ind w:left="576" w:hanging="576"/>
      </w:pPr>
      <w:r>
        <w:t>A. F</w:t>
      </w:r>
      <w:r w:rsidRPr="00427DCB">
        <w:t>inancování opatření na zlepšování kvality ovzduší</w:t>
      </w:r>
    </w:p>
    <w:p w14:paraId="4584C229" w14:textId="559F5B47" w:rsidR="00395345" w:rsidRDefault="00395345" w:rsidP="006E3B89">
      <w:pPr>
        <w:pStyle w:val="Text"/>
        <w:spacing w:after="120" w:line="264" w:lineRule="auto"/>
      </w:pPr>
      <w:r>
        <w:t>Hlavním zdrojem financování opatření na podporu zlepšování kvality ovzduší jsou ESIF</w:t>
      </w:r>
      <w:r>
        <w:rPr>
          <w:rStyle w:val="Znakapoznpodarou"/>
        </w:rPr>
        <w:footnoteReference w:id="17"/>
      </w:r>
      <w:r>
        <w:t xml:space="preserve">. Komplementárním (doplňkovým) zdrojem financování je </w:t>
      </w:r>
      <w:r w:rsidRPr="00681FDC">
        <w:t>NPŽP.</w:t>
      </w:r>
      <w:r>
        <w:t xml:space="preserve"> Dalším identifikovaným zdrojem financování je program </w:t>
      </w:r>
      <w:r w:rsidR="002A7A29">
        <w:t>LIFE</w:t>
      </w:r>
      <w:r>
        <w:t>, finanční nástroj EU pro živo</w:t>
      </w:r>
      <w:r w:rsidR="00F12620">
        <w:t>tní prostředí a klima, který</w:t>
      </w:r>
      <w:r w:rsidR="00AC1044">
        <w:t xml:space="preserve"> </w:t>
      </w:r>
      <w:r w:rsidR="00F12620">
        <w:t>je</w:t>
      </w:r>
      <w:r w:rsidR="00AC1044">
        <w:t xml:space="preserve"> </w:t>
      </w:r>
      <w:r>
        <w:t xml:space="preserve">administrován Evropskou komisí. </w:t>
      </w:r>
    </w:p>
    <w:p w14:paraId="11196FAC" w14:textId="77777777" w:rsidR="00395345" w:rsidRPr="00B35A0A" w:rsidRDefault="00395345" w:rsidP="006E3B89">
      <w:pPr>
        <w:pStyle w:val="Text"/>
        <w:numPr>
          <w:ilvl w:val="0"/>
          <w:numId w:val="36"/>
        </w:numPr>
        <w:spacing w:after="120" w:line="264" w:lineRule="auto"/>
        <w:ind w:left="284" w:hanging="284"/>
        <w:rPr>
          <w:b/>
        </w:rPr>
      </w:pPr>
      <w:r w:rsidRPr="00B35A0A">
        <w:rPr>
          <w:b/>
        </w:rPr>
        <w:t xml:space="preserve">Operační program Životní prostředí </w:t>
      </w:r>
      <w:r>
        <w:rPr>
          <w:b/>
        </w:rPr>
        <w:t>2014–</w:t>
      </w:r>
      <w:r w:rsidRPr="00B35A0A">
        <w:rPr>
          <w:b/>
        </w:rPr>
        <w:t>2020</w:t>
      </w:r>
    </w:p>
    <w:p w14:paraId="17DDC59F" w14:textId="3696FCDC" w:rsidR="00395345" w:rsidRDefault="00395345" w:rsidP="006E3B89">
      <w:pPr>
        <w:pStyle w:val="Text"/>
        <w:spacing w:after="120" w:line="264" w:lineRule="auto"/>
      </w:pPr>
      <w:r>
        <w:rPr>
          <w:rFonts w:ascii="Calibri" w:hAnsi="Calibri" w:cs="Calibri"/>
        </w:rPr>
        <w:t>Problematika zlepšování kvality ovzduší je</w:t>
      </w:r>
      <w:r w:rsidR="00AC1044">
        <w:rPr>
          <w:rFonts w:ascii="Calibri" w:hAnsi="Calibri" w:cs="Calibri"/>
        </w:rPr>
        <w:t xml:space="preserve"> </w:t>
      </w:r>
      <w:r>
        <w:rPr>
          <w:rFonts w:ascii="Calibri" w:hAnsi="Calibri" w:cs="Calibri"/>
        </w:rPr>
        <w:t xml:space="preserve">realizována v </w:t>
      </w:r>
      <w:r w:rsidR="00AC1044">
        <w:rPr>
          <w:rFonts w:ascii="Calibri" w:hAnsi="Calibri" w:cs="Calibri"/>
        </w:rPr>
        <w:t>p</w:t>
      </w:r>
      <w:r>
        <w:t>rioritní ose</w:t>
      </w:r>
      <w:r w:rsidRPr="00A205DC">
        <w:t xml:space="preserve"> 2</w:t>
      </w:r>
      <w:r>
        <w:t>:</w:t>
      </w:r>
      <w:r w:rsidRPr="00A205DC">
        <w:t xml:space="preserve"> </w:t>
      </w:r>
      <w:r w:rsidRPr="00C90243">
        <w:rPr>
          <w:i/>
        </w:rPr>
        <w:t>Z</w:t>
      </w:r>
      <w:r w:rsidRPr="00C90243">
        <w:rPr>
          <w:bCs/>
          <w:i/>
        </w:rPr>
        <w:t>lepšování kvality ovzduší v lidských sídlech</w:t>
      </w:r>
      <w:r>
        <w:rPr>
          <w:bCs/>
        </w:rPr>
        <w:t xml:space="preserve">. </w:t>
      </w:r>
      <w:r>
        <w:t>Řídicím orgánem</w:t>
      </w:r>
      <w:r w:rsidRPr="00A205DC">
        <w:t xml:space="preserve"> </w:t>
      </w:r>
      <w:r>
        <w:t xml:space="preserve">OPŽP </w:t>
      </w:r>
      <w:r w:rsidRPr="00A205DC">
        <w:t xml:space="preserve">je </w:t>
      </w:r>
      <w:r>
        <w:t>MŽP a z</w:t>
      </w:r>
      <w:r w:rsidRPr="00A205DC">
        <w:t>prostředku</w:t>
      </w:r>
      <w:r>
        <w:t xml:space="preserve">jícím subjektem pro PO2 je SFŽP. </w:t>
      </w:r>
      <w:r w:rsidRPr="00616FC7">
        <w:t>PO2 je plně spolufinancovaná z</w:t>
      </w:r>
      <w:r>
        <w:t> </w:t>
      </w:r>
      <w:r w:rsidRPr="00616FC7">
        <w:t>Fondu soudržnosti.</w:t>
      </w:r>
      <w:r>
        <w:t xml:space="preserve"> Aktuální výše alokace peněžních prostředků pro PO2</w:t>
      </w:r>
      <w:r w:rsidR="008005CC">
        <w:t xml:space="preserve"> pro programové období 2014 až 2020</w:t>
      </w:r>
      <w:r w:rsidR="00F317B6">
        <w:t xml:space="preserve"> je 490 700 tis. </w:t>
      </w:r>
      <w:r w:rsidR="00AC1044">
        <w:t>eur</w:t>
      </w:r>
      <w:r w:rsidR="00F317B6">
        <w:t>, tj. </w:t>
      </w:r>
      <w:r w:rsidR="00656270">
        <w:t>cca </w:t>
      </w:r>
      <w:r>
        <w:t>13 mld. Kč.</w:t>
      </w:r>
    </w:p>
    <w:p w14:paraId="31F317B7" w14:textId="1C92DFDF" w:rsidR="00A2786B" w:rsidRDefault="00A2786B" w:rsidP="006E3B89">
      <w:pPr>
        <w:pStyle w:val="TextKP"/>
        <w:spacing w:after="120" w:line="264" w:lineRule="auto"/>
      </w:pPr>
      <w:r>
        <w:t>PO2 OPŽP 2014</w:t>
      </w:r>
      <w:r w:rsidR="00AC1044">
        <w:t>–</w:t>
      </w:r>
      <w:r>
        <w:t xml:space="preserve">2020 má tři specifické cíle (dále také „SC“): 2.1: </w:t>
      </w:r>
      <w:r w:rsidRPr="00B1650A">
        <w:rPr>
          <w:i/>
        </w:rPr>
        <w:t>Snížit emise z lokálního vytápění domácností</w:t>
      </w:r>
      <w:r>
        <w:t xml:space="preserve">; 2.2: </w:t>
      </w:r>
      <w:r w:rsidRPr="00B1650A">
        <w:rPr>
          <w:i/>
        </w:rPr>
        <w:t>Snížit emise stacionárních zdrojů a zlepši</w:t>
      </w:r>
      <w:r w:rsidR="00635EBF" w:rsidRPr="00B1650A">
        <w:rPr>
          <w:i/>
        </w:rPr>
        <w:t>t systém sledování</w:t>
      </w:r>
      <w:r w:rsidR="00D508AC">
        <w:t>;</w:t>
      </w:r>
      <w:r w:rsidR="00635EBF">
        <w:t xml:space="preserve"> 2.3: </w:t>
      </w:r>
      <w:r w:rsidRPr="00B1650A">
        <w:rPr>
          <w:i/>
        </w:rPr>
        <w:t>Zlepšit systém sledování, hodnocení a předpovídání vývoje kvality ovzduší a souvisejících meteorologických aspektů</w:t>
      </w:r>
      <w:r>
        <w:t>.</w:t>
      </w:r>
    </w:p>
    <w:p w14:paraId="55E18EBC" w14:textId="77777777" w:rsidR="00395345" w:rsidRDefault="00395345" w:rsidP="006E3B89">
      <w:pPr>
        <w:spacing w:before="120" w:after="120" w:line="264" w:lineRule="auto"/>
        <w:jc w:val="both"/>
      </w:pPr>
      <w:r w:rsidRPr="006071D8">
        <w:t>V</w:t>
      </w:r>
      <w:r>
        <w:t> následující tabulce</w:t>
      </w:r>
      <w:r w:rsidRPr="006071D8">
        <w:t xml:space="preserve"> </w:t>
      </w:r>
      <w:r w:rsidRPr="0072629D">
        <w:t>je uveden přehled všech dosud vyhlášených výzev v rámci PO2 OPŽP</w:t>
      </w:r>
      <w:r>
        <w:t xml:space="preserve"> včetně výše dosud proplacené podpory příjemcům</w:t>
      </w:r>
      <w:r w:rsidRPr="0072629D">
        <w:t xml:space="preserve">. </w:t>
      </w:r>
      <w:r>
        <w:t>Informace o </w:t>
      </w:r>
      <w:r w:rsidRPr="0072629D">
        <w:t>probíhajících a</w:t>
      </w:r>
      <w:r>
        <w:t> </w:t>
      </w:r>
      <w:r w:rsidRPr="0072629D">
        <w:t>uza</w:t>
      </w:r>
      <w:r>
        <w:t xml:space="preserve">vřených výzvách </w:t>
      </w:r>
      <w:r w:rsidR="00F317B6">
        <w:t xml:space="preserve">v rámci </w:t>
      </w:r>
      <w:r>
        <w:t xml:space="preserve">PO2 </w:t>
      </w:r>
      <w:r w:rsidRPr="0072629D">
        <w:t>jsou uvedeny k</w:t>
      </w:r>
      <w:r w:rsidR="00F317B6">
        <w:t>e dni</w:t>
      </w:r>
      <w:r w:rsidRPr="0072629D">
        <w:t> 7. 8. 2018</w:t>
      </w:r>
      <w:r>
        <w:t>.</w:t>
      </w:r>
    </w:p>
    <w:p w14:paraId="492DB889" w14:textId="319F155B" w:rsidR="00395345" w:rsidRPr="00B1650A" w:rsidRDefault="00395345" w:rsidP="00D508AC">
      <w:pPr>
        <w:pStyle w:val="Titulek"/>
        <w:keepNext/>
        <w:tabs>
          <w:tab w:val="clear" w:pos="7938"/>
          <w:tab w:val="left" w:pos="7513"/>
        </w:tabs>
        <w:spacing w:after="40"/>
        <w:rPr>
          <w:rFonts w:eastAsia="Calibri"/>
          <w:b/>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1</w:t>
      </w:r>
      <w:r w:rsidR="00A36661" w:rsidRPr="00B1650A">
        <w:rPr>
          <w:b/>
          <w:noProof/>
        </w:rPr>
        <w:fldChar w:fldCharType="end"/>
      </w:r>
      <w:r w:rsidRPr="00B1650A">
        <w:rPr>
          <w:b/>
          <w:lang w:eastAsia="cs-CZ"/>
        </w:rPr>
        <w:t xml:space="preserve">: Přehled probíhajících a </w:t>
      </w:r>
      <w:r w:rsidRPr="00B1650A">
        <w:rPr>
          <w:b/>
        </w:rPr>
        <w:t>uzavřených</w:t>
      </w:r>
      <w:r w:rsidRPr="00B1650A">
        <w:rPr>
          <w:b/>
          <w:lang w:eastAsia="cs-CZ"/>
        </w:rPr>
        <w:t xml:space="preserve"> výzev PO2 v OPŽP 2014</w:t>
      </w:r>
      <w:r w:rsidR="00D508AC">
        <w:rPr>
          <w:b/>
          <w:lang w:eastAsia="cs-CZ"/>
        </w:rPr>
        <w:t>–</w:t>
      </w:r>
      <w:r w:rsidRPr="00B1650A">
        <w:rPr>
          <w:b/>
          <w:lang w:eastAsia="cs-CZ"/>
        </w:rPr>
        <w:t>2020</w:t>
      </w:r>
      <w:r w:rsidR="00635EBF" w:rsidRPr="00B1650A">
        <w:rPr>
          <w:b/>
          <w:lang w:eastAsia="cs-CZ"/>
        </w:rPr>
        <w:t xml:space="preserve"> </w:t>
      </w:r>
      <w:r w:rsidRPr="00B1650A">
        <w:rPr>
          <w:b/>
          <w:lang w:eastAsia="cs-CZ"/>
        </w:rPr>
        <w:t>(k 7. 8.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
        <w:gridCol w:w="1798"/>
        <w:gridCol w:w="972"/>
        <w:gridCol w:w="1122"/>
        <w:gridCol w:w="515"/>
        <w:gridCol w:w="1141"/>
        <w:gridCol w:w="515"/>
        <w:gridCol w:w="1141"/>
        <w:gridCol w:w="1060"/>
      </w:tblGrid>
      <w:tr w:rsidR="00B9337F" w:rsidRPr="00FB356D" w14:paraId="062AB3D1" w14:textId="77777777" w:rsidTr="00395345">
        <w:trPr>
          <w:trHeight w:val="238"/>
        </w:trPr>
        <w:tc>
          <w:tcPr>
            <w:tcW w:w="404" w:type="pct"/>
            <w:vMerge w:val="restart"/>
            <w:shd w:val="clear" w:color="auto" w:fill="E5F1FF"/>
            <w:tcMar>
              <w:top w:w="0" w:type="dxa"/>
              <w:left w:w="70" w:type="dxa"/>
              <w:bottom w:w="0" w:type="dxa"/>
              <w:right w:w="70" w:type="dxa"/>
            </w:tcMar>
            <w:vAlign w:val="center"/>
            <w:hideMark/>
          </w:tcPr>
          <w:p w14:paraId="7A0D2B5E" w14:textId="77777777" w:rsidR="00395345" w:rsidRPr="00FB356D" w:rsidRDefault="00395345" w:rsidP="00D508AC">
            <w:pPr>
              <w:keepNext/>
              <w:jc w:val="center"/>
              <w:rPr>
                <w:rFonts w:ascii="Calibri" w:eastAsia="Calibri" w:hAnsi="Calibri" w:cs="Calibri"/>
                <w:b/>
                <w:bCs/>
                <w:sz w:val="16"/>
                <w:szCs w:val="16"/>
              </w:rPr>
            </w:pPr>
            <w:r w:rsidRPr="00FB356D">
              <w:rPr>
                <w:rFonts w:ascii="Calibri" w:eastAsia="Calibri" w:hAnsi="Calibri" w:cs="Calibri"/>
                <w:b/>
                <w:bCs/>
                <w:sz w:val="16"/>
                <w:szCs w:val="16"/>
              </w:rPr>
              <w:t>Specifický cíl</w:t>
            </w:r>
          </w:p>
        </w:tc>
        <w:tc>
          <w:tcPr>
            <w:tcW w:w="958" w:type="pct"/>
            <w:vMerge w:val="restart"/>
            <w:shd w:val="clear" w:color="auto" w:fill="E5F1FF"/>
            <w:tcMar>
              <w:top w:w="0" w:type="dxa"/>
              <w:left w:w="70" w:type="dxa"/>
              <w:bottom w:w="0" w:type="dxa"/>
              <w:right w:w="70" w:type="dxa"/>
            </w:tcMar>
            <w:vAlign w:val="center"/>
            <w:hideMark/>
          </w:tcPr>
          <w:p w14:paraId="6645BFEA" w14:textId="77777777" w:rsidR="00395345" w:rsidRPr="00FB356D" w:rsidRDefault="00395345" w:rsidP="00D508AC">
            <w:pPr>
              <w:keepNext/>
              <w:ind w:left="-3"/>
              <w:jc w:val="center"/>
              <w:rPr>
                <w:rFonts w:ascii="Calibri" w:eastAsia="Calibri" w:hAnsi="Calibri" w:cs="Calibri"/>
                <w:b/>
                <w:bCs/>
                <w:sz w:val="16"/>
                <w:szCs w:val="16"/>
              </w:rPr>
            </w:pPr>
            <w:r w:rsidRPr="00FB356D">
              <w:rPr>
                <w:rFonts w:ascii="Calibri" w:eastAsia="Calibri" w:hAnsi="Calibri" w:cs="Calibri"/>
                <w:b/>
                <w:bCs/>
                <w:sz w:val="16"/>
                <w:szCs w:val="16"/>
              </w:rPr>
              <w:t>Název výzvy</w:t>
            </w:r>
          </w:p>
        </w:tc>
        <w:tc>
          <w:tcPr>
            <w:tcW w:w="575" w:type="pct"/>
            <w:vMerge w:val="restart"/>
            <w:shd w:val="clear" w:color="auto" w:fill="E5F1FF"/>
            <w:tcMar>
              <w:top w:w="0" w:type="dxa"/>
              <w:left w:w="70" w:type="dxa"/>
              <w:bottom w:w="0" w:type="dxa"/>
              <w:right w:w="70" w:type="dxa"/>
            </w:tcMar>
            <w:vAlign w:val="center"/>
            <w:hideMark/>
          </w:tcPr>
          <w:p w14:paraId="1CE05D22" w14:textId="77FE9AC4" w:rsidR="00395345" w:rsidRPr="00FB356D" w:rsidRDefault="00395345" w:rsidP="00D508AC">
            <w:pPr>
              <w:keepNext/>
              <w:jc w:val="center"/>
              <w:rPr>
                <w:rFonts w:ascii="Calibri" w:eastAsia="Calibri" w:hAnsi="Calibri" w:cs="Calibri"/>
                <w:b/>
                <w:bCs/>
                <w:sz w:val="16"/>
                <w:szCs w:val="16"/>
              </w:rPr>
            </w:pPr>
            <w:r w:rsidRPr="00FB356D">
              <w:rPr>
                <w:rFonts w:ascii="Calibri" w:eastAsia="Calibri" w:hAnsi="Calibri" w:cs="Calibri"/>
                <w:b/>
                <w:bCs/>
                <w:sz w:val="16"/>
                <w:szCs w:val="16"/>
              </w:rPr>
              <w:t>Datum ukončení příjmu žádosti o</w:t>
            </w:r>
            <w:r w:rsidR="00AC1044">
              <w:rPr>
                <w:rFonts w:ascii="Calibri" w:eastAsia="Calibri" w:hAnsi="Calibri" w:cs="Calibri"/>
                <w:b/>
                <w:bCs/>
                <w:sz w:val="16"/>
                <w:szCs w:val="16"/>
              </w:rPr>
              <w:t> </w:t>
            </w:r>
            <w:r w:rsidRPr="00FB356D">
              <w:rPr>
                <w:rFonts w:ascii="Calibri" w:eastAsia="Calibri" w:hAnsi="Calibri" w:cs="Calibri"/>
                <w:b/>
                <w:bCs/>
                <w:sz w:val="16"/>
                <w:szCs w:val="16"/>
              </w:rPr>
              <w:t>podporu</w:t>
            </w:r>
          </w:p>
        </w:tc>
        <w:tc>
          <w:tcPr>
            <w:tcW w:w="657" w:type="pct"/>
            <w:vMerge w:val="restart"/>
            <w:shd w:val="clear" w:color="auto" w:fill="E5F1FF"/>
            <w:tcMar>
              <w:top w:w="0" w:type="dxa"/>
              <w:left w:w="70" w:type="dxa"/>
              <w:bottom w:w="0" w:type="dxa"/>
              <w:right w:w="70" w:type="dxa"/>
            </w:tcMar>
            <w:vAlign w:val="center"/>
            <w:hideMark/>
          </w:tcPr>
          <w:p w14:paraId="6661B51F" w14:textId="7358C054" w:rsidR="00395345" w:rsidRPr="00FB356D" w:rsidRDefault="00395345" w:rsidP="00D508AC">
            <w:pPr>
              <w:keepNext/>
              <w:jc w:val="center"/>
              <w:rPr>
                <w:rFonts w:ascii="Calibri" w:eastAsia="Calibri" w:hAnsi="Calibri" w:cs="Calibri"/>
                <w:b/>
                <w:bCs/>
                <w:sz w:val="16"/>
                <w:szCs w:val="16"/>
              </w:rPr>
            </w:pPr>
            <w:r w:rsidRPr="00FB356D">
              <w:rPr>
                <w:rFonts w:ascii="Calibri" w:eastAsia="Calibri" w:hAnsi="Calibri" w:cs="Calibri"/>
                <w:b/>
                <w:bCs/>
                <w:sz w:val="16"/>
                <w:szCs w:val="16"/>
              </w:rPr>
              <w:t xml:space="preserve">Fin. </w:t>
            </w:r>
            <w:proofErr w:type="gramStart"/>
            <w:r w:rsidRPr="00FB356D">
              <w:rPr>
                <w:rFonts w:ascii="Calibri" w:eastAsia="Calibri" w:hAnsi="Calibri" w:cs="Calibri"/>
                <w:b/>
                <w:bCs/>
                <w:sz w:val="16"/>
                <w:szCs w:val="16"/>
              </w:rPr>
              <w:t>alokace</w:t>
            </w:r>
            <w:proofErr w:type="gramEnd"/>
            <w:r w:rsidRPr="00FB356D">
              <w:rPr>
                <w:rFonts w:ascii="Calibri" w:eastAsia="Calibri" w:hAnsi="Calibri" w:cs="Calibri"/>
                <w:b/>
                <w:bCs/>
                <w:sz w:val="16"/>
                <w:szCs w:val="16"/>
              </w:rPr>
              <w:t xml:space="preserve"> výzvy připadající na příspěvek EU </w:t>
            </w:r>
            <w:r w:rsidR="00AC1044">
              <w:rPr>
                <w:rFonts w:ascii="Calibri" w:eastAsia="Calibri" w:hAnsi="Calibri" w:cs="Calibri"/>
                <w:b/>
                <w:bCs/>
                <w:sz w:val="16"/>
                <w:szCs w:val="16"/>
              </w:rPr>
              <w:t>(v </w:t>
            </w:r>
            <w:r w:rsidRPr="00FB356D">
              <w:rPr>
                <w:rFonts w:ascii="Calibri" w:eastAsia="Calibri" w:hAnsi="Calibri" w:cs="Calibri"/>
                <w:b/>
                <w:bCs/>
                <w:sz w:val="16"/>
                <w:szCs w:val="16"/>
              </w:rPr>
              <w:t>Kč</w:t>
            </w:r>
            <w:r w:rsidR="00AC1044">
              <w:rPr>
                <w:rFonts w:ascii="Calibri" w:eastAsia="Calibri" w:hAnsi="Calibri" w:cs="Calibri"/>
                <w:b/>
                <w:bCs/>
                <w:sz w:val="16"/>
                <w:szCs w:val="16"/>
              </w:rPr>
              <w:t>)</w:t>
            </w:r>
          </w:p>
        </w:tc>
        <w:tc>
          <w:tcPr>
            <w:tcW w:w="897" w:type="pct"/>
            <w:gridSpan w:val="2"/>
            <w:shd w:val="clear" w:color="auto" w:fill="E5F1FF"/>
            <w:tcMar>
              <w:top w:w="0" w:type="dxa"/>
              <w:left w:w="70" w:type="dxa"/>
              <w:bottom w:w="0" w:type="dxa"/>
              <w:right w:w="70" w:type="dxa"/>
            </w:tcMar>
            <w:vAlign w:val="center"/>
            <w:hideMark/>
          </w:tcPr>
          <w:p w14:paraId="4D6E42F3" w14:textId="6DEEE6E9" w:rsidR="00395345" w:rsidRPr="00FB356D" w:rsidRDefault="00395345" w:rsidP="00D508AC">
            <w:pPr>
              <w:keepNext/>
              <w:jc w:val="center"/>
              <w:rPr>
                <w:rFonts w:ascii="Calibri" w:eastAsia="Calibri" w:hAnsi="Calibri" w:cs="Calibri"/>
                <w:b/>
                <w:bCs/>
                <w:sz w:val="16"/>
                <w:szCs w:val="16"/>
              </w:rPr>
            </w:pPr>
            <w:r w:rsidRPr="00FB356D">
              <w:rPr>
                <w:rFonts w:ascii="Calibri" w:eastAsia="Calibri" w:hAnsi="Calibri" w:cs="Calibri"/>
                <w:b/>
                <w:bCs/>
                <w:sz w:val="16"/>
                <w:szCs w:val="16"/>
              </w:rPr>
              <w:t>Žádosti podané v</w:t>
            </w:r>
            <w:r w:rsidR="00AC1044">
              <w:rPr>
                <w:rFonts w:ascii="Calibri" w:eastAsia="Calibri" w:hAnsi="Calibri" w:cs="Calibri"/>
                <w:b/>
                <w:bCs/>
                <w:sz w:val="16"/>
                <w:szCs w:val="16"/>
              </w:rPr>
              <w:t> </w:t>
            </w:r>
            <w:r w:rsidRPr="00FB356D">
              <w:rPr>
                <w:rFonts w:ascii="Calibri" w:eastAsia="Calibri" w:hAnsi="Calibri" w:cs="Calibri"/>
                <w:b/>
                <w:bCs/>
                <w:sz w:val="16"/>
                <w:szCs w:val="16"/>
              </w:rPr>
              <w:t>jednotlivých výzvách</w:t>
            </w:r>
          </w:p>
        </w:tc>
        <w:tc>
          <w:tcPr>
            <w:tcW w:w="927" w:type="pct"/>
            <w:gridSpan w:val="2"/>
            <w:shd w:val="clear" w:color="auto" w:fill="E5F1FF"/>
            <w:tcMar>
              <w:top w:w="0" w:type="dxa"/>
              <w:left w:w="70" w:type="dxa"/>
              <w:bottom w:w="0" w:type="dxa"/>
              <w:right w:w="70" w:type="dxa"/>
            </w:tcMar>
            <w:vAlign w:val="center"/>
            <w:hideMark/>
          </w:tcPr>
          <w:p w14:paraId="1A0B3235" w14:textId="2ED751A0" w:rsidR="00395345" w:rsidRPr="00FB356D" w:rsidRDefault="00395345" w:rsidP="00D508AC">
            <w:pPr>
              <w:keepNext/>
              <w:jc w:val="center"/>
              <w:rPr>
                <w:rFonts w:ascii="Calibri" w:eastAsia="Calibri" w:hAnsi="Calibri" w:cs="Calibri"/>
                <w:b/>
                <w:bCs/>
                <w:sz w:val="16"/>
                <w:szCs w:val="16"/>
              </w:rPr>
            </w:pPr>
            <w:r w:rsidRPr="00FB356D">
              <w:rPr>
                <w:rFonts w:ascii="Calibri" w:eastAsia="Calibri" w:hAnsi="Calibri" w:cs="Calibri"/>
                <w:b/>
                <w:bCs/>
                <w:sz w:val="16"/>
                <w:szCs w:val="16"/>
              </w:rPr>
              <w:t xml:space="preserve">Žádosti schválené </w:t>
            </w:r>
            <w:r w:rsidR="00AC1044">
              <w:rPr>
                <w:rFonts w:ascii="Calibri" w:eastAsia="Calibri" w:hAnsi="Calibri" w:cs="Calibri"/>
                <w:b/>
                <w:bCs/>
                <w:sz w:val="16"/>
                <w:szCs w:val="16"/>
              </w:rPr>
              <w:t>ř</w:t>
            </w:r>
            <w:r w:rsidRPr="00FB356D">
              <w:rPr>
                <w:rFonts w:ascii="Calibri" w:eastAsia="Calibri" w:hAnsi="Calibri" w:cs="Calibri"/>
                <w:b/>
                <w:bCs/>
                <w:sz w:val="16"/>
                <w:szCs w:val="16"/>
              </w:rPr>
              <w:t>ídicím orgánem</w:t>
            </w:r>
          </w:p>
        </w:tc>
        <w:tc>
          <w:tcPr>
            <w:tcW w:w="582" w:type="pct"/>
            <w:vMerge w:val="restart"/>
            <w:shd w:val="clear" w:color="auto" w:fill="E5F1FF"/>
            <w:tcMar>
              <w:top w:w="0" w:type="dxa"/>
              <w:left w:w="70" w:type="dxa"/>
              <w:bottom w:w="0" w:type="dxa"/>
              <w:right w:w="70" w:type="dxa"/>
            </w:tcMar>
            <w:vAlign w:val="center"/>
            <w:hideMark/>
          </w:tcPr>
          <w:p w14:paraId="3A91CB22" w14:textId="18843AA7" w:rsidR="00395345" w:rsidRPr="00FB356D" w:rsidRDefault="00395345" w:rsidP="00D508AC">
            <w:pPr>
              <w:keepNext/>
              <w:jc w:val="center"/>
              <w:rPr>
                <w:rFonts w:ascii="Calibri" w:eastAsia="Calibri" w:hAnsi="Calibri" w:cs="Calibri"/>
                <w:b/>
                <w:bCs/>
                <w:sz w:val="16"/>
                <w:szCs w:val="16"/>
              </w:rPr>
            </w:pPr>
            <w:r w:rsidRPr="00FB356D">
              <w:rPr>
                <w:rFonts w:ascii="Calibri" w:eastAsia="Calibri" w:hAnsi="Calibri" w:cs="Calibri"/>
                <w:b/>
                <w:bCs/>
                <w:sz w:val="16"/>
                <w:szCs w:val="16"/>
              </w:rPr>
              <w:t xml:space="preserve">Částky proplacené příjemcům podpory </w:t>
            </w:r>
            <w:r w:rsidR="00AC1044">
              <w:rPr>
                <w:rFonts w:ascii="Calibri" w:eastAsia="Calibri" w:hAnsi="Calibri" w:cs="Calibri"/>
                <w:b/>
                <w:bCs/>
                <w:sz w:val="16"/>
                <w:szCs w:val="16"/>
              </w:rPr>
              <w:t>(v </w:t>
            </w:r>
            <w:r w:rsidRPr="00FB356D">
              <w:rPr>
                <w:rFonts w:ascii="Calibri" w:eastAsia="Calibri" w:hAnsi="Calibri" w:cs="Calibri"/>
                <w:b/>
                <w:bCs/>
                <w:sz w:val="16"/>
                <w:szCs w:val="16"/>
              </w:rPr>
              <w:t>Kč</w:t>
            </w:r>
            <w:r w:rsidR="00AC1044">
              <w:rPr>
                <w:rFonts w:ascii="Calibri" w:eastAsia="Calibri" w:hAnsi="Calibri" w:cs="Calibri"/>
                <w:b/>
                <w:bCs/>
                <w:sz w:val="16"/>
                <w:szCs w:val="16"/>
              </w:rPr>
              <w:t>)</w:t>
            </w:r>
          </w:p>
        </w:tc>
      </w:tr>
      <w:tr w:rsidR="00B9337F" w:rsidRPr="00FB356D" w14:paraId="7D89664D" w14:textId="77777777" w:rsidTr="00395345">
        <w:trPr>
          <w:trHeight w:val="348"/>
        </w:trPr>
        <w:tc>
          <w:tcPr>
            <w:tcW w:w="404" w:type="pct"/>
            <w:vMerge/>
            <w:vAlign w:val="center"/>
            <w:hideMark/>
          </w:tcPr>
          <w:p w14:paraId="2F4111F3" w14:textId="77777777" w:rsidR="00395345" w:rsidRPr="00FB356D" w:rsidRDefault="00395345" w:rsidP="00D508AC">
            <w:pPr>
              <w:keepNext/>
              <w:spacing w:line="259" w:lineRule="auto"/>
              <w:rPr>
                <w:rFonts w:ascii="Calibri" w:eastAsia="Calibri" w:hAnsi="Calibri" w:cs="Calibri"/>
                <w:b/>
                <w:bCs/>
                <w:sz w:val="16"/>
                <w:szCs w:val="16"/>
              </w:rPr>
            </w:pPr>
          </w:p>
        </w:tc>
        <w:tc>
          <w:tcPr>
            <w:tcW w:w="958" w:type="pct"/>
            <w:vMerge/>
            <w:vAlign w:val="center"/>
            <w:hideMark/>
          </w:tcPr>
          <w:p w14:paraId="6E5A5384" w14:textId="77777777" w:rsidR="00395345" w:rsidRPr="00FB356D" w:rsidRDefault="00395345" w:rsidP="00D508AC">
            <w:pPr>
              <w:keepNext/>
              <w:spacing w:line="259" w:lineRule="auto"/>
              <w:rPr>
                <w:rFonts w:ascii="Calibri" w:eastAsia="Calibri" w:hAnsi="Calibri" w:cs="Calibri"/>
                <w:b/>
                <w:bCs/>
                <w:sz w:val="16"/>
                <w:szCs w:val="16"/>
              </w:rPr>
            </w:pPr>
          </w:p>
        </w:tc>
        <w:tc>
          <w:tcPr>
            <w:tcW w:w="575" w:type="pct"/>
            <w:vMerge/>
            <w:vAlign w:val="center"/>
            <w:hideMark/>
          </w:tcPr>
          <w:p w14:paraId="1A42F0A8" w14:textId="77777777" w:rsidR="00395345" w:rsidRPr="00FB356D" w:rsidRDefault="00395345" w:rsidP="00D508AC">
            <w:pPr>
              <w:keepNext/>
              <w:spacing w:line="259" w:lineRule="auto"/>
              <w:rPr>
                <w:rFonts w:ascii="Calibri" w:eastAsia="Calibri" w:hAnsi="Calibri" w:cs="Calibri"/>
                <w:b/>
                <w:bCs/>
                <w:sz w:val="16"/>
                <w:szCs w:val="16"/>
              </w:rPr>
            </w:pPr>
          </w:p>
        </w:tc>
        <w:tc>
          <w:tcPr>
            <w:tcW w:w="657" w:type="pct"/>
            <w:vMerge/>
            <w:vAlign w:val="center"/>
            <w:hideMark/>
          </w:tcPr>
          <w:p w14:paraId="151720B2" w14:textId="77777777" w:rsidR="00395345" w:rsidRPr="00FB356D" w:rsidRDefault="00395345" w:rsidP="00D508AC">
            <w:pPr>
              <w:keepNext/>
              <w:spacing w:line="259" w:lineRule="auto"/>
              <w:rPr>
                <w:rFonts w:ascii="Calibri" w:eastAsia="Calibri" w:hAnsi="Calibri" w:cs="Calibri"/>
                <w:b/>
                <w:bCs/>
                <w:sz w:val="16"/>
                <w:szCs w:val="16"/>
              </w:rPr>
            </w:pPr>
          </w:p>
        </w:tc>
        <w:tc>
          <w:tcPr>
            <w:tcW w:w="268" w:type="pct"/>
            <w:shd w:val="clear" w:color="auto" w:fill="E5F1FF"/>
            <w:tcMar>
              <w:top w:w="0" w:type="dxa"/>
              <w:left w:w="70" w:type="dxa"/>
              <w:bottom w:w="0" w:type="dxa"/>
              <w:right w:w="70" w:type="dxa"/>
            </w:tcMar>
            <w:vAlign w:val="center"/>
            <w:hideMark/>
          </w:tcPr>
          <w:p w14:paraId="334E00F7" w14:textId="77777777" w:rsidR="00395345" w:rsidRPr="00FB356D" w:rsidRDefault="00395345" w:rsidP="00D508AC">
            <w:pPr>
              <w:keepNext/>
              <w:spacing w:line="259" w:lineRule="auto"/>
              <w:jc w:val="center"/>
              <w:rPr>
                <w:rFonts w:ascii="Calibri" w:eastAsia="Calibri" w:hAnsi="Calibri" w:cs="Calibri"/>
                <w:b/>
                <w:bCs/>
                <w:sz w:val="16"/>
                <w:szCs w:val="16"/>
              </w:rPr>
            </w:pPr>
            <w:r w:rsidRPr="00FB356D">
              <w:rPr>
                <w:rFonts w:ascii="Calibri" w:eastAsia="Calibri" w:hAnsi="Calibri" w:cs="Calibri"/>
                <w:b/>
                <w:bCs/>
                <w:sz w:val="16"/>
                <w:szCs w:val="16"/>
              </w:rPr>
              <w:t>Počet</w:t>
            </w:r>
          </w:p>
        </w:tc>
        <w:tc>
          <w:tcPr>
            <w:tcW w:w="629" w:type="pct"/>
            <w:shd w:val="clear" w:color="auto" w:fill="E5F1FF"/>
            <w:tcMar>
              <w:top w:w="0" w:type="dxa"/>
              <w:left w:w="70" w:type="dxa"/>
              <w:bottom w:w="0" w:type="dxa"/>
              <w:right w:w="70" w:type="dxa"/>
            </w:tcMar>
            <w:vAlign w:val="center"/>
            <w:hideMark/>
          </w:tcPr>
          <w:p w14:paraId="5287D554" w14:textId="35993E07" w:rsidR="00395345" w:rsidRPr="00FB356D" w:rsidRDefault="00395345" w:rsidP="00D508AC">
            <w:pPr>
              <w:keepNext/>
              <w:spacing w:line="259" w:lineRule="auto"/>
              <w:jc w:val="center"/>
              <w:rPr>
                <w:rFonts w:ascii="Calibri" w:eastAsia="Calibri" w:hAnsi="Calibri" w:cs="Calibri"/>
                <w:b/>
                <w:bCs/>
                <w:sz w:val="16"/>
                <w:szCs w:val="16"/>
              </w:rPr>
            </w:pPr>
            <w:r w:rsidRPr="00FB356D">
              <w:rPr>
                <w:rFonts w:ascii="Calibri" w:eastAsia="Calibri" w:hAnsi="Calibri" w:cs="Calibri"/>
                <w:b/>
                <w:bCs/>
                <w:sz w:val="16"/>
                <w:szCs w:val="16"/>
              </w:rPr>
              <w:t xml:space="preserve">Příspěvek EU </w:t>
            </w:r>
            <w:r w:rsidR="00AC1044">
              <w:rPr>
                <w:rFonts w:ascii="Calibri" w:eastAsia="Calibri" w:hAnsi="Calibri" w:cs="Calibri"/>
                <w:b/>
                <w:bCs/>
                <w:sz w:val="16"/>
                <w:szCs w:val="16"/>
              </w:rPr>
              <w:t>(v </w:t>
            </w:r>
            <w:r w:rsidRPr="00FB356D">
              <w:rPr>
                <w:rFonts w:ascii="Calibri" w:eastAsia="Calibri" w:hAnsi="Calibri" w:cs="Calibri"/>
                <w:b/>
                <w:bCs/>
                <w:sz w:val="16"/>
                <w:szCs w:val="16"/>
              </w:rPr>
              <w:t>Kč</w:t>
            </w:r>
            <w:r w:rsidR="00AC1044">
              <w:rPr>
                <w:rFonts w:ascii="Calibri" w:eastAsia="Calibri" w:hAnsi="Calibri" w:cs="Calibri"/>
                <w:b/>
                <w:bCs/>
                <w:sz w:val="16"/>
                <w:szCs w:val="16"/>
              </w:rPr>
              <w:t>)</w:t>
            </w:r>
          </w:p>
        </w:tc>
        <w:tc>
          <w:tcPr>
            <w:tcW w:w="261" w:type="pct"/>
            <w:shd w:val="clear" w:color="auto" w:fill="E5F1FF"/>
            <w:tcMar>
              <w:top w:w="0" w:type="dxa"/>
              <w:left w:w="70" w:type="dxa"/>
              <w:bottom w:w="0" w:type="dxa"/>
              <w:right w:w="70" w:type="dxa"/>
            </w:tcMar>
            <w:vAlign w:val="center"/>
            <w:hideMark/>
          </w:tcPr>
          <w:p w14:paraId="400FC9F0" w14:textId="77777777" w:rsidR="00395345" w:rsidRPr="00FB356D" w:rsidRDefault="00395345" w:rsidP="00D508AC">
            <w:pPr>
              <w:keepNext/>
              <w:spacing w:line="259" w:lineRule="auto"/>
              <w:jc w:val="center"/>
              <w:rPr>
                <w:rFonts w:ascii="Calibri" w:eastAsia="Calibri" w:hAnsi="Calibri" w:cs="Calibri"/>
                <w:b/>
                <w:bCs/>
                <w:sz w:val="16"/>
                <w:szCs w:val="16"/>
              </w:rPr>
            </w:pPr>
            <w:r w:rsidRPr="00FB356D">
              <w:rPr>
                <w:rFonts w:ascii="Calibri" w:eastAsia="Calibri" w:hAnsi="Calibri" w:cs="Calibri"/>
                <w:b/>
                <w:bCs/>
                <w:sz w:val="16"/>
                <w:szCs w:val="16"/>
              </w:rPr>
              <w:t>Počet</w:t>
            </w:r>
          </w:p>
        </w:tc>
        <w:tc>
          <w:tcPr>
            <w:tcW w:w="666" w:type="pct"/>
            <w:shd w:val="clear" w:color="auto" w:fill="E5F1FF"/>
            <w:tcMar>
              <w:top w:w="0" w:type="dxa"/>
              <w:left w:w="70" w:type="dxa"/>
              <w:bottom w:w="0" w:type="dxa"/>
              <w:right w:w="70" w:type="dxa"/>
            </w:tcMar>
            <w:vAlign w:val="center"/>
            <w:hideMark/>
          </w:tcPr>
          <w:p w14:paraId="38C2CE89" w14:textId="79CB389D" w:rsidR="00395345" w:rsidRPr="00FB356D" w:rsidRDefault="00395345" w:rsidP="00D508AC">
            <w:pPr>
              <w:keepNext/>
              <w:spacing w:line="259" w:lineRule="auto"/>
              <w:jc w:val="center"/>
              <w:rPr>
                <w:rFonts w:ascii="Calibri" w:eastAsia="Calibri" w:hAnsi="Calibri" w:cs="Calibri"/>
                <w:b/>
                <w:bCs/>
                <w:sz w:val="16"/>
                <w:szCs w:val="16"/>
              </w:rPr>
            </w:pPr>
            <w:r w:rsidRPr="00FB356D">
              <w:rPr>
                <w:rFonts w:ascii="Calibri" w:eastAsia="Calibri" w:hAnsi="Calibri" w:cs="Calibri"/>
                <w:b/>
                <w:bCs/>
                <w:sz w:val="16"/>
                <w:szCs w:val="16"/>
              </w:rPr>
              <w:t xml:space="preserve">Příspěvek EU </w:t>
            </w:r>
            <w:r w:rsidR="00AC1044">
              <w:rPr>
                <w:rFonts w:ascii="Calibri" w:eastAsia="Calibri" w:hAnsi="Calibri" w:cs="Calibri"/>
                <w:b/>
                <w:bCs/>
                <w:sz w:val="16"/>
                <w:szCs w:val="16"/>
              </w:rPr>
              <w:t>(v </w:t>
            </w:r>
            <w:r w:rsidRPr="00FB356D">
              <w:rPr>
                <w:rFonts w:ascii="Calibri" w:eastAsia="Calibri" w:hAnsi="Calibri" w:cs="Calibri"/>
                <w:b/>
                <w:bCs/>
                <w:sz w:val="16"/>
                <w:szCs w:val="16"/>
              </w:rPr>
              <w:t>Kč</w:t>
            </w:r>
            <w:r w:rsidR="00AC1044">
              <w:rPr>
                <w:rFonts w:ascii="Calibri" w:eastAsia="Calibri" w:hAnsi="Calibri" w:cs="Calibri"/>
                <w:b/>
                <w:bCs/>
                <w:sz w:val="16"/>
                <w:szCs w:val="16"/>
              </w:rPr>
              <w:t>)</w:t>
            </w:r>
          </w:p>
        </w:tc>
        <w:tc>
          <w:tcPr>
            <w:tcW w:w="582" w:type="pct"/>
            <w:vMerge/>
            <w:vAlign w:val="center"/>
            <w:hideMark/>
          </w:tcPr>
          <w:p w14:paraId="247A2926" w14:textId="77777777" w:rsidR="00395345" w:rsidRPr="00FB356D" w:rsidRDefault="00395345" w:rsidP="00D508AC">
            <w:pPr>
              <w:keepNext/>
              <w:spacing w:line="259" w:lineRule="auto"/>
              <w:rPr>
                <w:rFonts w:ascii="Calibri" w:eastAsia="Calibri" w:hAnsi="Calibri" w:cs="Calibri"/>
                <w:b/>
                <w:bCs/>
                <w:sz w:val="16"/>
                <w:szCs w:val="16"/>
              </w:rPr>
            </w:pPr>
          </w:p>
        </w:tc>
      </w:tr>
      <w:tr w:rsidR="00B9337F" w:rsidRPr="00FB356D" w14:paraId="5717EB01" w14:textId="77777777" w:rsidTr="00395345">
        <w:trPr>
          <w:trHeight w:val="121"/>
        </w:trPr>
        <w:tc>
          <w:tcPr>
            <w:tcW w:w="404" w:type="pct"/>
            <w:noWrap/>
            <w:tcMar>
              <w:top w:w="0" w:type="dxa"/>
              <w:left w:w="70" w:type="dxa"/>
              <w:bottom w:w="0" w:type="dxa"/>
              <w:right w:w="70" w:type="dxa"/>
            </w:tcMar>
            <w:vAlign w:val="center"/>
            <w:hideMark/>
          </w:tcPr>
          <w:p w14:paraId="1B268D76" w14:textId="77777777" w:rsidR="00395345" w:rsidRPr="00FB356D" w:rsidRDefault="00395345" w:rsidP="00D508AC">
            <w:pPr>
              <w:keepNext/>
              <w:spacing w:line="259" w:lineRule="auto"/>
              <w:rPr>
                <w:rFonts w:ascii="Calibri" w:eastAsia="Calibri" w:hAnsi="Calibri" w:cs="Calibri"/>
                <w:b/>
                <w:bCs/>
                <w:sz w:val="16"/>
                <w:szCs w:val="16"/>
              </w:rPr>
            </w:pPr>
            <w:r w:rsidRPr="00FB356D">
              <w:rPr>
                <w:rFonts w:ascii="Calibri" w:eastAsia="Calibri" w:hAnsi="Calibri" w:cs="Calibri"/>
                <w:b/>
                <w:bCs/>
                <w:sz w:val="16"/>
                <w:szCs w:val="16"/>
              </w:rPr>
              <w:t>Celkem</w:t>
            </w:r>
          </w:p>
        </w:tc>
        <w:tc>
          <w:tcPr>
            <w:tcW w:w="1533" w:type="pct"/>
            <w:gridSpan w:val="2"/>
            <w:noWrap/>
            <w:tcMar>
              <w:top w:w="0" w:type="dxa"/>
              <w:left w:w="70" w:type="dxa"/>
              <w:bottom w:w="0" w:type="dxa"/>
              <w:right w:w="70" w:type="dxa"/>
            </w:tcMar>
            <w:vAlign w:val="center"/>
            <w:hideMark/>
          </w:tcPr>
          <w:p w14:paraId="310DBA84" w14:textId="77777777" w:rsidR="00395345" w:rsidRPr="00FB356D" w:rsidRDefault="00395345" w:rsidP="00D508AC">
            <w:pPr>
              <w:keepNext/>
              <w:spacing w:line="259" w:lineRule="auto"/>
              <w:rPr>
                <w:rFonts w:ascii="Calibri" w:eastAsia="Calibri" w:hAnsi="Calibri" w:cs="Calibri"/>
                <w:b/>
                <w:bCs/>
                <w:sz w:val="16"/>
                <w:szCs w:val="16"/>
              </w:rPr>
            </w:pPr>
            <w:r w:rsidRPr="00FB356D">
              <w:rPr>
                <w:rFonts w:ascii="Calibri" w:eastAsia="Calibri" w:hAnsi="Calibri" w:cs="Calibri"/>
                <w:b/>
                <w:bCs/>
                <w:sz w:val="16"/>
                <w:szCs w:val="16"/>
              </w:rPr>
              <w:t>Prioritní osa 2</w:t>
            </w:r>
          </w:p>
        </w:tc>
        <w:tc>
          <w:tcPr>
            <w:tcW w:w="657" w:type="pct"/>
            <w:noWrap/>
            <w:tcMar>
              <w:top w:w="0" w:type="dxa"/>
              <w:left w:w="70" w:type="dxa"/>
              <w:bottom w:w="0" w:type="dxa"/>
              <w:right w:w="70" w:type="dxa"/>
            </w:tcMar>
            <w:vAlign w:val="center"/>
            <w:hideMark/>
          </w:tcPr>
          <w:p w14:paraId="76B91AD7"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9 921 980 000</w:t>
            </w:r>
          </w:p>
        </w:tc>
        <w:tc>
          <w:tcPr>
            <w:tcW w:w="268" w:type="pct"/>
            <w:noWrap/>
            <w:tcMar>
              <w:top w:w="0" w:type="dxa"/>
              <w:left w:w="70" w:type="dxa"/>
              <w:bottom w:w="0" w:type="dxa"/>
              <w:right w:w="70" w:type="dxa"/>
            </w:tcMar>
            <w:vAlign w:val="center"/>
            <w:hideMark/>
          </w:tcPr>
          <w:p w14:paraId="36478F7C"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525</w:t>
            </w:r>
          </w:p>
        </w:tc>
        <w:tc>
          <w:tcPr>
            <w:tcW w:w="629" w:type="pct"/>
            <w:noWrap/>
            <w:tcMar>
              <w:top w:w="0" w:type="dxa"/>
              <w:left w:w="70" w:type="dxa"/>
              <w:bottom w:w="0" w:type="dxa"/>
              <w:right w:w="70" w:type="dxa"/>
            </w:tcMar>
            <w:vAlign w:val="center"/>
            <w:hideMark/>
          </w:tcPr>
          <w:p w14:paraId="725858BE"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17 264 291 670</w:t>
            </w:r>
          </w:p>
        </w:tc>
        <w:tc>
          <w:tcPr>
            <w:tcW w:w="261" w:type="pct"/>
            <w:noWrap/>
            <w:tcMar>
              <w:top w:w="0" w:type="dxa"/>
              <w:left w:w="70" w:type="dxa"/>
              <w:bottom w:w="0" w:type="dxa"/>
              <w:right w:w="70" w:type="dxa"/>
            </w:tcMar>
            <w:vAlign w:val="center"/>
            <w:hideMark/>
          </w:tcPr>
          <w:p w14:paraId="425162EA"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190</w:t>
            </w:r>
          </w:p>
        </w:tc>
        <w:tc>
          <w:tcPr>
            <w:tcW w:w="666" w:type="pct"/>
            <w:noWrap/>
            <w:tcMar>
              <w:top w:w="0" w:type="dxa"/>
              <w:left w:w="70" w:type="dxa"/>
              <w:bottom w:w="0" w:type="dxa"/>
              <w:right w:w="70" w:type="dxa"/>
            </w:tcMar>
            <w:vAlign w:val="center"/>
            <w:hideMark/>
          </w:tcPr>
          <w:p w14:paraId="474C8871"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10 760 864 500</w:t>
            </w:r>
          </w:p>
        </w:tc>
        <w:tc>
          <w:tcPr>
            <w:tcW w:w="582" w:type="pct"/>
            <w:noWrap/>
            <w:tcMar>
              <w:top w:w="0" w:type="dxa"/>
              <w:left w:w="70" w:type="dxa"/>
              <w:bottom w:w="0" w:type="dxa"/>
              <w:right w:w="70" w:type="dxa"/>
            </w:tcMar>
            <w:vAlign w:val="center"/>
            <w:hideMark/>
          </w:tcPr>
          <w:p w14:paraId="5E1B444B"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5 836 802 952</w:t>
            </w:r>
          </w:p>
        </w:tc>
      </w:tr>
      <w:tr w:rsidR="00B9337F" w:rsidRPr="00FB356D" w14:paraId="35AD957A" w14:textId="77777777" w:rsidTr="00395345">
        <w:trPr>
          <w:trHeight w:val="121"/>
        </w:trPr>
        <w:tc>
          <w:tcPr>
            <w:tcW w:w="404" w:type="pct"/>
            <w:vMerge w:val="restart"/>
            <w:noWrap/>
            <w:tcMar>
              <w:top w:w="0" w:type="dxa"/>
              <w:left w:w="70" w:type="dxa"/>
              <w:bottom w:w="0" w:type="dxa"/>
              <w:right w:w="70" w:type="dxa"/>
            </w:tcMar>
            <w:vAlign w:val="center"/>
            <w:hideMark/>
          </w:tcPr>
          <w:p w14:paraId="4B9F6592" w14:textId="77777777" w:rsidR="00395345" w:rsidRPr="00FB356D" w:rsidRDefault="00395345" w:rsidP="00D508AC">
            <w:pPr>
              <w:keepNext/>
              <w:spacing w:line="259" w:lineRule="auto"/>
              <w:jc w:val="center"/>
              <w:rPr>
                <w:rFonts w:ascii="Calibri" w:eastAsia="Calibri" w:hAnsi="Calibri" w:cs="Calibri"/>
                <w:sz w:val="16"/>
                <w:szCs w:val="16"/>
              </w:rPr>
            </w:pPr>
            <w:r w:rsidRPr="00FB356D">
              <w:rPr>
                <w:rFonts w:ascii="Calibri" w:eastAsia="Calibri" w:hAnsi="Calibri" w:cs="Calibri"/>
                <w:sz w:val="16"/>
                <w:szCs w:val="16"/>
              </w:rPr>
              <w:t>SC 2.1</w:t>
            </w:r>
          </w:p>
        </w:tc>
        <w:tc>
          <w:tcPr>
            <w:tcW w:w="958" w:type="pct"/>
            <w:noWrap/>
            <w:tcMar>
              <w:top w:w="0" w:type="dxa"/>
              <w:left w:w="70" w:type="dxa"/>
              <w:bottom w:w="0" w:type="dxa"/>
              <w:right w:w="70" w:type="dxa"/>
            </w:tcMar>
            <w:vAlign w:val="center"/>
            <w:hideMark/>
          </w:tcPr>
          <w:p w14:paraId="3D087492" w14:textId="77777777" w:rsidR="00395345" w:rsidRPr="00FB356D" w:rsidRDefault="00395345" w:rsidP="00D508AC">
            <w:pPr>
              <w:keepNext/>
              <w:spacing w:line="259" w:lineRule="auto"/>
              <w:rPr>
                <w:rFonts w:ascii="Calibri" w:eastAsia="Calibri" w:hAnsi="Calibri" w:cs="Calibri"/>
                <w:sz w:val="16"/>
                <w:szCs w:val="16"/>
              </w:rPr>
            </w:pPr>
            <w:r w:rsidRPr="00FB356D">
              <w:rPr>
                <w:rFonts w:ascii="Calibri" w:eastAsia="Calibri" w:hAnsi="Calibri" w:cs="Calibri"/>
                <w:sz w:val="16"/>
                <w:szCs w:val="16"/>
              </w:rPr>
              <w:t>MŽP_16. výzva, průběžná</w:t>
            </w:r>
          </w:p>
        </w:tc>
        <w:tc>
          <w:tcPr>
            <w:tcW w:w="575" w:type="pct"/>
            <w:noWrap/>
            <w:tcMar>
              <w:top w:w="0" w:type="dxa"/>
              <w:left w:w="70" w:type="dxa"/>
              <w:bottom w:w="0" w:type="dxa"/>
              <w:right w:w="70" w:type="dxa"/>
            </w:tcMar>
            <w:vAlign w:val="center"/>
            <w:hideMark/>
          </w:tcPr>
          <w:p w14:paraId="086CD969" w14:textId="5F531229"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24.</w:t>
            </w:r>
            <w:r w:rsidR="00AC1044">
              <w:rPr>
                <w:rFonts w:ascii="Calibri" w:eastAsia="Calibri" w:hAnsi="Calibri" w:cs="Calibri"/>
                <w:sz w:val="16"/>
                <w:szCs w:val="16"/>
              </w:rPr>
              <w:t> </w:t>
            </w:r>
            <w:r w:rsidRPr="00FB356D">
              <w:rPr>
                <w:rFonts w:ascii="Calibri" w:eastAsia="Calibri" w:hAnsi="Calibri" w:cs="Calibri"/>
                <w:sz w:val="16"/>
                <w:szCs w:val="16"/>
              </w:rPr>
              <w:t>10.</w:t>
            </w:r>
            <w:r w:rsidR="00AC1044">
              <w:rPr>
                <w:rFonts w:ascii="Calibri" w:eastAsia="Calibri" w:hAnsi="Calibri" w:cs="Calibri"/>
                <w:sz w:val="16"/>
                <w:szCs w:val="16"/>
              </w:rPr>
              <w:t> </w:t>
            </w:r>
            <w:r w:rsidRPr="00FB356D">
              <w:rPr>
                <w:rFonts w:ascii="Calibri" w:eastAsia="Calibri" w:hAnsi="Calibri" w:cs="Calibri"/>
                <w:sz w:val="16"/>
                <w:szCs w:val="16"/>
              </w:rPr>
              <w:t>2015</w:t>
            </w:r>
          </w:p>
        </w:tc>
        <w:tc>
          <w:tcPr>
            <w:tcW w:w="657" w:type="pct"/>
            <w:noWrap/>
            <w:tcMar>
              <w:top w:w="0" w:type="dxa"/>
              <w:left w:w="70" w:type="dxa"/>
              <w:bottom w:w="0" w:type="dxa"/>
              <w:right w:w="70" w:type="dxa"/>
            </w:tcMar>
            <w:vAlign w:val="center"/>
            <w:hideMark/>
          </w:tcPr>
          <w:p w14:paraId="52DD58DA"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3 000 000 000</w:t>
            </w:r>
          </w:p>
        </w:tc>
        <w:tc>
          <w:tcPr>
            <w:tcW w:w="268" w:type="pct"/>
            <w:noWrap/>
            <w:tcMar>
              <w:top w:w="0" w:type="dxa"/>
              <w:left w:w="70" w:type="dxa"/>
              <w:bottom w:w="0" w:type="dxa"/>
              <w:right w:w="70" w:type="dxa"/>
            </w:tcMar>
            <w:vAlign w:val="center"/>
            <w:hideMark/>
          </w:tcPr>
          <w:p w14:paraId="10A67685"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14</w:t>
            </w:r>
          </w:p>
        </w:tc>
        <w:tc>
          <w:tcPr>
            <w:tcW w:w="629" w:type="pct"/>
            <w:noWrap/>
            <w:tcMar>
              <w:top w:w="0" w:type="dxa"/>
              <w:left w:w="70" w:type="dxa"/>
              <w:bottom w:w="0" w:type="dxa"/>
              <w:right w:w="70" w:type="dxa"/>
            </w:tcMar>
            <w:vAlign w:val="center"/>
            <w:hideMark/>
          </w:tcPr>
          <w:p w14:paraId="5D1D7F31"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3 283 670 000</w:t>
            </w:r>
          </w:p>
        </w:tc>
        <w:tc>
          <w:tcPr>
            <w:tcW w:w="261" w:type="pct"/>
            <w:noWrap/>
            <w:tcMar>
              <w:top w:w="0" w:type="dxa"/>
              <w:left w:w="70" w:type="dxa"/>
              <w:bottom w:w="0" w:type="dxa"/>
              <w:right w:w="70" w:type="dxa"/>
            </w:tcMar>
            <w:vAlign w:val="center"/>
            <w:hideMark/>
          </w:tcPr>
          <w:p w14:paraId="4FA56174"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14</w:t>
            </w:r>
          </w:p>
        </w:tc>
        <w:tc>
          <w:tcPr>
            <w:tcW w:w="666" w:type="pct"/>
            <w:noWrap/>
            <w:tcMar>
              <w:top w:w="0" w:type="dxa"/>
              <w:left w:w="70" w:type="dxa"/>
              <w:bottom w:w="0" w:type="dxa"/>
              <w:right w:w="70" w:type="dxa"/>
            </w:tcMar>
            <w:vAlign w:val="center"/>
            <w:hideMark/>
          </w:tcPr>
          <w:p w14:paraId="16987323"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3 283 670 000</w:t>
            </w:r>
          </w:p>
        </w:tc>
        <w:tc>
          <w:tcPr>
            <w:tcW w:w="582" w:type="pct"/>
            <w:noWrap/>
            <w:tcMar>
              <w:top w:w="0" w:type="dxa"/>
              <w:left w:w="70" w:type="dxa"/>
              <w:bottom w:w="0" w:type="dxa"/>
              <w:right w:w="70" w:type="dxa"/>
            </w:tcMar>
            <w:vAlign w:val="center"/>
            <w:hideMark/>
          </w:tcPr>
          <w:p w14:paraId="7185D0F1"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3 260 530 114</w:t>
            </w:r>
          </w:p>
        </w:tc>
      </w:tr>
      <w:tr w:rsidR="00B9337F" w:rsidRPr="00FB356D" w14:paraId="6544E88E" w14:textId="77777777" w:rsidTr="00395345">
        <w:trPr>
          <w:trHeight w:val="121"/>
        </w:trPr>
        <w:tc>
          <w:tcPr>
            <w:tcW w:w="404" w:type="pct"/>
            <w:vMerge/>
            <w:vAlign w:val="center"/>
            <w:hideMark/>
          </w:tcPr>
          <w:p w14:paraId="5F4C40C3" w14:textId="77777777" w:rsidR="00395345" w:rsidRPr="00FB356D" w:rsidRDefault="00395345" w:rsidP="00D508AC">
            <w:pPr>
              <w:keepNext/>
              <w:spacing w:line="259" w:lineRule="auto"/>
              <w:rPr>
                <w:rFonts w:ascii="Calibri" w:eastAsia="Calibri" w:hAnsi="Calibri" w:cs="Calibri"/>
                <w:sz w:val="16"/>
                <w:szCs w:val="16"/>
              </w:rPr>
            </w:pPr>
          </w:p>
        </w:tc>
        <w:tc>
          <w:tcPr>
            <w:tcW w:w="958" w:type="pct"/>
            <w:noWrap/>
            <w:tcMar>
              <w:top w:w="0" w:type="dxa"/>
              <w:left w:w="70" w:type="dxa"/>
              <w:bottom w:w="0" w:type="dxa"/>
              <w:right w:w="70" w:type="dxa"/>
            </w:tcMar>
            <w:vAlign w:val="center"/>
            <w:hideMark/>
          </w:tcPr>
          <w:p w14:paraId="0B5D51B5" w14:textId="77777777" w:rsidR="00395345" w:rsidRPr="00FB356D" w:rsidRDefault="00395345" w:rsidP="00D508AC">
            <w:pPr>
              <w:keepNext/>
              <w:spacing w:line="259" w:lineRule="auto"/>
              <w:rPr>
                <w:rFonts w:ascii="Calibri" w:eastAsia="Calibri" w:hAnsi="Calibri" w:cs="Calibri"/>
                <w:sz w:val="16"/>
                <w:szCs w:val="16"/>
              </w:rPr>
            </w:pPr>
            <w:r w:rsidRPr="00FB356D">
              <w:rPr>
                <w:rFonts w:ascii="Calibri" w:eastAsia="Calibri" w:hAnsi="Calibri" w:cs="Calibri"/>
                <w:sz w:val="16"/>
                <w:szCs w:val="16"/>
              </w:rPr>
              <w:t>MŽP_67. výzva, průběžná</w:t>
            </w:r>
          </w:p>
        </w:tc>
        <w:tc>
          <w:tcPr>
            <w:tcW w:w="575" w:type="pct"/>
            <w:noWrap/>
            <w:tcMar>
              <w:top w:w="0" w:type="dxa"/>
              <w:left w:w="70" w:type="dxa"/>
              <w:bottom w:w="0" w:type="dxa"/>
              <w:right w:w="70" w:type="dxa"/>
            </w:tcMar>
            <w:vAlign w:val="center"/>
            <w:hideMark/>
          </w:tcPr>
          <w:p w14:paraId="16145091" w14:textId="484F7083"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28.</w:t>
            </w:r>
            <w:r w:rsidR="00AC1044">
              <w:rPr>
                <w:rFonts w:ascii="Calibri" w:eastAsia="Calibri" w:hAnsi="Calibri" w:cs="Calibri"/>
                <w:sz w:val="16"/>
                <w:szCs w:val="16"/>
              </w:rPr>
              <w:t> </w:t>
            </w:r>
            <w:r w:rsidRPr="00FB356D">
              <w:rPr>
                <w:rFonts w:ascii="Calibri" w:eastAsia="Calibri" w:hAnsi="Calibri" w:cs="Calibri"/>
                <w:sz w:val="16"/>
                <w:szCs w:val="16"/>
              </w:rPr>
              <w:t>04.</w:t>
            </w:r>
            <w:r w:rsidR="00AC1044">
              <w:rPr>
                <w:rFonts w:ascii="Calibri" w:eastAsia="Calibri" w:hAnsi="Calibri" w:cs="Calibri"/>
                <w:sz w:val="16"/>
                <w:szCs w:val="16"/>
              </w:rPr>
              <w:t> </w:t>
            </w:r>
            <w:r w:rsidRPr="00FB356D">
              <w:rPr>
                <w:rFonts w:ascii="Calibri" w:eastAsia="Calibri" w:hAnsi="Calibri" w:cs="Calibri"/>
                <w:sz w:val="16"/>
                <w:szCs w:val="16"/>
              </w:rPr>
              <w:t>2017</w:t>
            </w:r>
          </w:p>
        </w:tc>
        <w:tc>
          <w:tcPr>
            <w:tcW w:w="657" w:type="pct"/>
            <w:noWrap/>
            <w:tcMar>
              <w:top w:w="0" w:type="dxa"/>
              <w:left w:w="70" w:type="dxa"/>
              <w:bottom w:w="0" w:type="dxa"/>
              <w:right w:w="70" w:type="dxa"/>
            </w:tcMar>
            <w:vAlign w:val="center"/>
            <w:hideMark/>
          </w:tcPr>
          <w:p w14:paraId="24638CEA"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3 421 980 000</w:t>
            </w:r>
          </w:p>
        </w:tc>
        <w:tc>
          <w:tcPr>
            <w:tcW w:w="268" w:type="pct"/>
            <w:noWrap/>
            <w:tcMar>
              <w:top w:w="0" w:type="dxa"/>
              <w:left w:w="70" w:type="dxa"/>
              <w:bottom w:w="0" w:type="dxa"/>
              <w:right w:w="70" w:type="dxa"/>
            </w:tcMar>
            <w:vAlign w:val="center"/>
            <w:hideMark/>
          </w:tcPr>
          <w:p w14:paraId="1A21B65E"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14</w:t>
            </w:r>
          </w:p>
        </w:tc>
        <w:tc>
          <w:tcPr>
            <w:tcW w:w="629" w:type="pct"/>
            <w:noWrap/>
            <w:tcMar>
              <w:top w:w="0" w:type="dxa"/>
              <w:left w:w="70" w:type="dxa"/>
              <w:bottom w:w="0" w:type="dxa"/>
              <w:right w:w="70" w:type="dxa"/>
            </w:tcMar>
            <w:vAlign w:val="center"/>
            <w:hideMark/>
          </w:tcPr>
          <w:p w14:paraId="1A5DE0F5"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3 421 980 000</w:t>
            </w:r>
          </w:p>
        </w:tc>
        <w:tc>
          <w:tcPr>
            <w:tcW w:w="261" w:type="pct"/>
            <w:noWrap/>
            <w:tcMar>
              <w:top w:w="0" w:type="dxa"/>
              <w:left w:w="70" w:type="dxa"/>
              <w:bottom w:w="0" w:type="dxa"/>
              <w:right w:w="70" w:type="dxa"/>
            </w:tcMar>
            <w:vAlign w:val="center"/>
            <w:hideMark/>
          </w:tcPr>
          <w:p w14:paraId="1E8BE24F"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14</w:t>
            </w:r>
          </w:p>
        </w:tc>
        <w:tc>
          <w:tcPr>
            <w:tcW w:w="666" w:type="pct"/>
            <w:noWrap/>
            <w:tcMar>
              <w:top w:w="0" w:type="dxa"/>
              <w:left w:w="70" w:type="dxa"/>
              <w:bottom w:w="0" w:type="dxa"/>
              <w:right w:w="70" w:type="dxa"/>
            </w:tcMar>
            <w:vAlign w:val="center"/>
            <w:hideMark/>
          </w:tcPr>
          <w:p w14:paraId="7775B93A"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3 421 980 000</w:t>
            </w:r>
          </w:p>
        </w:tc>
        <w:tc>
          <w:tcPr>
            <w:tcW w:w="582" w:type="pct"/>
            <w:noWrap/>
            <w:tcMar>
              <w:top w:w="0" w:type="dxa"/>
              <w:left w:w="70" w:type="dxa"/>
              <w:bottom w:w="0" w:type="dxa"/>
              <w:right w:w="70" w:type="dxa"/>
            </w:tcMar>
            <w:vAlign w:val="center"/>
            <w:hideMark/>
          </w:tcPr>
          <w:p w14:paraId="7A4FDFAD"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1 877 820 613</w:t>
            </w:r>
          </w:p>
        </w:tc>
      </w:tr>
      <w:tr w:rsidR="00B9337F" w:rsidRPr="00FB356D" w14:paraId="02E3BF70" w14:textId="77777777" w:rsidTr="00395345">
        <w:trPr>
          <w:trHeight w:val="121"/>
        </w:trPr>
        <w:tc>
          <w:tcPr>
            <w:tcW w:w="404" w:type="pct"/>
            <w:noWrap/>
            <w:tcMar>
              <w:top w:w="0" w:type="dxa"/>
              <w:left w:w="70" w:type="dxa"/>
              <w:bottom w:w="0" w:type="dxa"/>
              <w:right w:w="70" w:type="dxa"/>
            </w:tcMar>
            <w:vAlign w:val="center"/>
            <w:hideMark/>
          </w:tcPr>
          <w:p w14:paraId="1F9A8168" w14:textId="77777777" w:rsidR="00395345" w:rsidRPr="00FB356D" w:rsidRDefault="00395345" w:rsidP="00D508AC">
            <w:pPr>
              <w:keepNext/>
              <w:spacing w:line="259" w:lineRule="auto"/>
              <w:rPr>
                <w:rFonts w:ascii="Calibri" w:eastAsia="Calibri" w:hAnsi="Calibri" w:cs="Calibri"/>
                <w:b/>
                <w:bCs/>
                <w:sz w:val="16"/>
                <w:szCs w:val="16"/>
              </w:rPr>
            </w:pPr>
            <w:r w:rsidRPr="00FB356D">
              <w:rPr>
                <w:rFonts w:ascii="Calibri" w:eastAsia="Calibri" w:hAnsi="Calibri" w:cs="Calibri"/>
                <w:b/>
                <w:bCs/>
                <w:sz w:val="16"/>
                <w:szCs w:val="16"/>
              </w:rPr>
              <w:t>Celkem</w:t>
            </w:r>
          </w:p>
        </w:tc>
        <w:tc>
          <w:tcPr>
            <w:tcW w:w="958" w:type="pct"/>
            <w:noWrap/>
            <w:tcMar>
              <w:top w:w="0" w:type="dxa"/>
              <w:left w:w="70" w:type="dxa"/>
              <w:bottom w:w="0" w:type="dxa"/>
              <w:right w:w="70" w:type="dxa"/>
            </w:tcMar>
            <w:vAlign w:val="center"/>
            <w:hideMark/>
          </w:tcPr>
          <w:p w14:paraId="056322E4" w14:textId="77777777" w:rsidR="00395345" w:rsidRPr="00FB356D" w:rsidRDefault="00395345" w:rsidP="00D508AC">
            <w:pPr>
              <w:keepNext/>
              <w:spacing w:line="259" w:lineRule="auto"/>
              <w:rPr>
                <w:rFonts w:ascii="Calibri" w:eastAsia="Calibri" w:hAnsi="Calibri" w:cs="Calibri"/>
                <w:b/>
                <w:bCs/>
                <w:sz w:val="16"/>
                <w:szCs w:val="16"/>
              </w:rPr>
            </w:pPr>
            <w:r w:rsidRPr="00FB356D">
              <w:rPr>
                <w:rFonts w:ascii="Calibri" w:eastAsia="Calibri" w:hAnsi="Calibri" w:cs="Calibri"/>
                <w:b/>
                <w:bCs/>
                <w:sz w:val="16"/>
                <w:szCs w:val="16"/>
              </w:rPr>
              <w:t>SC 2.1</w:t>
            </w:r>
          </w:p>
        </w:tc>
        <w:tc>
          <w:tcPr>
            <w:tcW w:w="575" w:type="pct"/>
            <w:noWrap/>
            <w:tcMar>
              <w:top w:w="0" w:type="dxa"/>
              <w:left w:w="70" w:type="dxa"/>
              <w:bottom w:w="0" w:type="dxa"/>
              <w:right w:w="70" w:type="dxa"/>
            </w:tcMar>
            <w:vAlign w:val="center"/>
            <w:hideMark/>
          </w:tcPr>
          <w:p w14:paraId="473E2978"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 </w:t>
            </w:r>
          </w:p>
        </w:tc>
        <w:tc>
          <w:tcPr>
            <w:tcW w:w="657" w:type="pct"/>
            <w:noWrap/>
            <w:tcMar>
              <w:top w:w="0" w:type="dxa"/>
              <w:left w:w="70" w:type="dxa"/>
              <w:bottom w:w="0" w:type="dxa"/>
              <w:right w:w="70" w:type="dxa"/>
            </w:tcMar>
            <w:vAlign w:val="center"/>
            <w:hideMark/>
          </w:tcPr>
          <w:p w14:paraId="36C9B39D"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6 421 980 000</w:t>
            </w:r>
          </w:p>
        </w:tc>
        <w:tc>
          <w:tcPr>
            <w:tcW w:w="268" w:type="pct"/>
            <w:noWrap/>
            <w:tcMar>
              <w:top w:w="0" w:type="dxa"/>
              <w:left w:w="70" w:type="dxa"/>
              <w:bottom w:w="0" w:type="dxa"/>
              <w:right w:w="70" w:type="dxa"/>
            </w:tcMar>
            <w:vAlign w:val="center"/>
            <w:hideMark/>
          </w:tcPr>
          <w:p w14:paraId="72FC71C3"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28</w:t>
            </w:r>
          </w:p>
        </w:tc>
        <w:tc>
          <w:tcPr>
            <w:tcW w:w="629" w:type="pct"/>
            <w:noWrap/>
            <w:tcMar>
              <w:top w:w="0" w:type="dxa"/>
              <w:left w:w="70" w:type="dxa"/>
              <w:bottom w:w="0" w:type="dxa"/>
              <w:right w:w="70" w:type="dxa"/>
            </w:tcMar>
            <w:vAlign w:val="center"/>
            <w:hideMark/>
          </w:tcPr>
          <w:p w14:paraId="59A53CF9"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6 705 650 000</w:t>
            </w:r>
          </w:p>
        </w:tc>
        <w:tc>
          <w:tcPr>
            <w:tcW w:w="261" w:type="pct"/>
            <w:noWrap/>
            <w:tcMar>
              <w:top w:w="0" w:type="dxa"/>
              <w:left w:w="70" w:type="dxa"/>
              <w:bottom w:w="0" w:type="dxa"/>
              <w:right w:w="70" w:type="dxa"/>
            </w:tcMar>
            <w:vAlign w:val="center"/>
            <w:hideMark/>
          </w:tcPr>
          <w:p w14:paraId="33211578"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28</w:t>
            </w:r>
          </w:p>
        </w:tc>
        <w:tc>
          <w:tcPr>
            <w:tcW w:w="666" w:type="pct"/>
            <w:noWrap/>
            <w:tcMar>
              <w:top w:w="0" w:type="dxa"/>
              <w:left w:w="70" w:type="dxa"/>
              <w:bottom w:w="0" w:type="dxa"/>
              <w:right w:w="70" w:type="dxa"/>
            </w:tcMar>
            <w:vAlign w:val="center"/>
            <w:hideMark/>
          </w:tcPr>
          <w:p w14:paraId="17415D7C"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6 705 650 000</w:t>
            </w:r>
          </w:p>
        </w:tc>
        <w:tc>
          <w:tcPr>
            <w:tcW w:w="582" w:type="pct"/>
            <w:noWrap/>
            <w:tcMar>
              <w:top w:w="0" w:type="dxa"/>
              <w:left w:w="70" w:type="dxa"/>
              <w:bottom w:w="0" w:type="dxa"/>
              <w:right w:w="70" w:type="dxa"/>
            </w:tcMar>
            <w:vAlign w:val="center"/>
            <w:hideMark/>
          </w:tcPr>
          <w:p w14:paraId="41AC1D10"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5 138 350 726</w:t>
            </w:r>
          </w:p>
        </w:tc>
      </w:tr>
      <w:tr w:rsidR="00B9337F" w:rsidRPr="00FB356D" w14:paraId="4778054C" w14:textId="77777777" w:rsidTr="00395345">
        <w:trPr>
          <w:trHeight w:val="121"/>
        </w:trPr>
        <w:tc>
          <w:tcPr>
            <w:tcW w:w="404" w:type="pct"/>
            <w:vMerge w:val="restart"/>
            <w:noWrap/>
            <w:tcMar>
              <w:top w:w="0" w:type="dxa"/>
              <w:left w:w="70" w:type="dxa"/>
              <w:bottom w:w="0" w:type="dxa"/>
              <w:right w:w="70" w:type="dxa"/>
            </w:tcMar>
            <w:vAlign w:val="center"/>
            <w:hideMark/>
          </w:tcPr>
          <w:p w14:paraId="7633F03E" w14:textId="77777777" w:rsidR="00395345" w:rsidRPr="00FB356D" w:rsidRDefault="00395345" w:rsidP="00D508AC">
            <w:pPr>
              <w:keepNext/>
              <w:spacing w:line="259" w:lineRule="auto"/>
              <w:jc w:val="center"/>
              <w:rPr>
                <w:rFonts w:ascii="Calibri" w:eastAsia="Calibri" w:hAnsi="Calibri" w:cs="Calibri"/>
                <w:sz w:val="16"/>
                <w:szCs w:val="16"/>
              </w:rPr>
            </w:pPr>
            <w:r w:rsidRPr="00FB356D">
              <w:rPr>
                <w:rFonts w:ascii="Calibri" w:eastAsia="Calibri" w:hAnsi="Calibri" w:cs="Calibri"/>
                <w:sz w:val="16"/>
                <w:szCs w:val="16"/>
              </w:rPr>
              <w:t>SC 2.2</w:t>
            </w:r>
          </w:p>
        </w:tc>
        <w:tc>
          <w:tcPr>
            <w:tcW w:w="958" w:type="pct"/>
            <w:noWrap/>
            <w:tcMar>
              <w:top w:w="0" w:type="dxa"/>
              <w:left w:w="70" w:type="dxa"/>
              <w:bottom w:w="0" w:type="dxa"/>
              <w:right w:w="70" w:type="dxa"/>
            </w:tcMar>
            <w:vAlign w:val="center"/>
            <w:hideMark/>
          </w:tcPr>
          <w:p w14:paraId="41948272" w14:textId="77777777" w:rsidR="00395345" w:rsidRPr="00FB356D" w:rsidRDefault="00395345" w:rsidP="00D508AC">
            <w:pPr>
              <w:keepNext/>
              <w:spacing w:line="259" w:lineRule="auto"/>
              <w:rPr>
                <w:rFonts w:ascii="Calibri" w:eastAsia="Calibri" w:hAnsi="Calibri" w:cs="Calibri"/>
                <w:sz w:val="16"/>
                <w:szCs w:val="16"/>
              </w:rPr>
            </w:pPr>
            <w:r w:rsidRPr="00FB356D">
              <w:rPr>
                <w:rFonts w:ascii="Calibri" w:eastAsia="Calibri" w:hAnsi="Calibri" w:cs="Calibri"/>
                <w:sz w:val="16"/>
                <w:szCs w:val="16"/>
              </w:rPr>
              <w:t>MŽP_8. výzva, kolová</w:t>
            </w:r>
          </w:p>
        </w:tc>
        <w:tc>
          <w:tcPr>
            <w:tcW w:w="575" w:type="pct"/>
            <w:noWrap/>
            <w:tcMar>
              <w:top w:w="0" w:type="dxa"/>
              <w:left w:w="70" w:type="dxa"/>
              <w:bottom w:w="0" w:type="dxa"/>
              <w:right w:w="70" w:type="dxa"/>
            </w:tcMar>
            <w:vAlign w:val="center"/>
            <w:hideMark/>
          </w:tcPr>
          <w:p w14:paraId="795D2CFF" w14:textId="5FD379D3"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16.</w:t>
            </w:r>
            <w:r w:rsidR="00AC1044">
              <w:rPr>
                <w:rFonts w:ascii="Calibri" w:eastAsia="Calibri" w:hAnsi="Calibri" w:cs="Calibri"/>
                <w:sz w:val="16"/>
                <w:szCs w:val="16"/>
              </w:rPr>
              <w:t> </w:t>
            </w:r>
            <w:r w:rsidRPr="00FB356D">
              <w:rPr>
                <w:rFonts w:ascii="Calibri" w:eastAsia="Calibri" w:hAnsi="Calibri" w:cs="Calibri"/>
                <w:sz w:val="16"/>
                <w:szCs w:val="16"/>
              </w:rPr>
              <w:t>12.</w:t>
            </w:r>
            <w:r w:rsidR="00AC1044">
              <w:rPr>
                <w:rFonts w:ascii="Calibri" w:eastAsia="Calibri" w:hAnsi="Calibri" w:cs="Calibri"/>
                <w:sz w:val="16"/>
                <w:szCs w:val="16"/>
              </w:rPr>
              <w:t> </w:t>
            </w:r>
            <w:r w:rsidRPr="00FB356D">
              <w:rPr>
                <w:rFonts w:ascii="Calibri" w:eastAsia="Calibri" w:hAnsi="Calibri" w:cs="Calibri"/>
                <w:sz w:val="16"/>
                <w:szCs w:val="16"/>
              </w:rPr>
              <w:t>2015</w:t>
            </w:r>
          </w:p>
        </w:tc>
        <w:tc>
          <w:tcPr>
            <w:tcW w:w="657" w:type="pct"/>
            <w:noWrap/>
            <w:tcMar>
              <w:top w:w="0" w:type="dxa"/>
              <w:left w:w="70" w:type="dxa"/>
              <w:bottom w:w="0" w:type="dxa"/>
              <w:right w:w="70" w:type="dxa"/>
            </w:tcMar>
            <w:vAlign w:val="center"/>
            <w:hideMark/>
          </w:tcPr>
          <w:p w14:paraId="06942DD3"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2 500 000 000</w:t>
            </w:r>
          </w:p>
        </w:tc>
        <w:tc>
          <w:tcPr>
            <w:tcW w:w="268" w:type="pct"/>
            <w:noWrap/>
            <w:tcMar>
              <w:top w:w="0" w:type="dxa"/>
              <w:left w:w="70" w:type="dxa"/>
              <w:bottom w:w="0" w:type="dxa"/>
              <w:right w:w="70" w:type="dxa"/>
            </w:tcMar>
            <w:vAlign w:val="center"/>
            <w:hideMark/>
          </w:tcPr>
          <w:p w14:paraId="7DAE9C70"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240</w:t>
            </w:r>
          </w:p>
        </w:tc>
        <w:tc>
          <w:tcPr>
            <w:tcW w:w="629" w:type="pct"/>
            <w:noWrap/>
            <w:tcMar>
              <w:top w:w="0" w:type="dxa"/>
              <w:left w:w="70" w:type="dxa"/>
              <w:bottom w:w="0" w:type="dxa"/>
              <w:right w:w="70" w:type="dxa"/>
            </w:tcMar>
            <w:vAlign w:val="center"/>
            <w:hideMark/>
          </w:tcPr>
          <w:p w14:paraId="2EB47C02"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5 195 394 267</w:t>
            </w:r>
          </w:p>
        </w:tc>
        <w:tc>
          <w:tcPr>
            <w:tcW w:w="261" w:type="pct"/>
            <w:noWrap/>
            <w:tcMar>
              <w:top w:w="0" w:type="dxa"/>
              <w:left w:w="70" w:type="dxa"/>
              <w:bottom w:w="0" w:type="dxa"/>
              <w:right w:w="70" w:type="dxa"/>
            </w:tcMar>
            <w:vAlign w:val="center"/>
            <w:hideMark/>
          </w:tcPr>
          <w:p w14:paraId="5D06345D"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126</w:t>
            </w:r>
          </w:p>
        </w:tc>
        <w:tc>
          <w:tcPr>
            <w:tcW w:w="666" w:type="pct"/>
            <w:noWrap/>
            <w:tcMar>
              <w:top w:w="0" w:type="dxa"/>
              <w:left w:w="70" w:type="dxa"/>
              <w:bottom w:w="0" w:type="dxa"/>
              <w:right w:w="70" w:type="dxa"/>
            </w:tcMar>
            <w:vAlign w:val="center"/>
            <w:hideMark/>
          </w:tcPr>
          <w:p w14:paraId="5213B33E"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2 620 902 085</w:t>
            </w:r>
          </w:p>
        </w:tc>
        <w:tc>
          <w:tcPr>
            <w:tcW w:w="582" w:type="pct"/>
            <w:noWrap/>
            <w:tcMar>
              <w:top w:w="0" w:type="dxa"/>
              <w:left w:w="70" w:type="dxa"/>
              <w:bottom w:w="0" w:type="dxa"/>
              <w:right w:w="70" w:type="dxa"/>
            </w:tcMar>
            <w:vAlign w:val="center"/>
            <w:hideMark/>
          </w:tcPr>
          <w:p w14:paraId="58D03B19"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580 876 412</w:t>
            </w:r>
          </w:p>
        </w:tc>
      </w:tr>
      <w:tr w:rsidR="00B9337F" w:rsidRPr="00FB356D" w14:paraId="08652E62" w14:textId="77777777" w:rsidTr="00395345">
        <w:trPr>
          <w:trHeight w:val="121"/>
        </w:trPr>
        <w:tc>
          <w:tcPr>
            <w:tcW w:w="404" w:type="pct"/>
            <w:vMerge/>
            <w:vAlign w:val="center"/>
            <w:hideMark/>
          </w:tcPr>
          <w:p w14:paraId="62701EEE" w14:textId="77777777" w:rsidR="00395345" w:rsidRPr="00FB356D" w:rsidRDefault="00395345" w:rsidP="00D508AC">
            <w:pPr>
              <w:keepNext/>
              <w:spacing w:line="259" w:lineRule="auto"/>
              <w:rPr>
                <w:rFonts w:ascii="Calibri" w:eastAsia="Calibri" w:hAnsi="Calibri" w:cs="Calibri"/>
                <w:sz w:val="16"/>
                <w:szCs w:val="16"/>
              </w:rPr>
            </w:pPr>
          </w:p>
        </w:tc>
        <w:tc>
          <w:tcPr>
            <w:tcW w:w="958" w:type="pct"/>
            <w:noWrap/>
            <w:tcMar>
              <w:top w:w="0" w:type="dxa"/>
              <w:left w:w="70" w:type="dxa"/>
              <w:bottom w:w="0" w:type="dxa"/>
              <w:right w:w="70" w:type="dxa"/>
            </w:tcMar>
            <w:vAlign w:val="center"/>
            <w:hideMark/>
          </w:tcPr>
          <w:p w14:paraId="025F8700" w14:textId="77777777" w:rsidR="00395345" w:rsidRPr="00FB356D" w:rsidRDefault="00395345" w:rsidP="00D508AC">
            <w:pPr>
              <w:keepNext/>
              <w:spacing w:line="259" w:lineRule="auto"/>
              <w:rPr>
                <w:rFonts w:ascii="Calibri" w:eastAsia="Calibri" w:hAnsi="Calibri" w:cs="Calibri"/>
                <w:sz w:val="16"/>
                <w:szCs w:val="16"/>
                <w:highlight w:val="yellow"/>
              </w:rPr>
            </w:pPr>
            <w:r w:rsidRPr="00FB356D">
              <w:rPr>
                <w:rFonts w:ascii="Calibri" w:eastAsia="Calibri" w:hAnsi="Calibri" w:cs="Calibri"/>
                <w:sz w:val="16"/>
                <w:szCs w:val="16"/>
              </w:rPr>
              <w:t>MŽP_89. výzva, kolová</w:t>
            </w:r>
          </w:p>
        </w:tc>
        <w:tc>
          <w:tcPr>
            <w:tcW w:w="575" w:type="pct"/>
            <w:noWrap/>
            <w:tcMar>
              <w:top w:w="0" w:type="dxa"/>
              <w:left w:w="70" w:type="dxa"/>
              <w:bottom w:w="0" w:type="dxa"/>
              <w:right w:w="70" w:type="dxa"/>
            </w:tcMar>
            <w:vAlign w:val="center"/>
            <w:hideMark/>
          </w:tcPr>
          <w:p w14:paraId="25CACC1D" w14:textId="191FCE2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31.</w:t>
            </w:r>
            <w:r w:rsidR="00AC1044">
              <w:rPr>
                <w:rFonts w:ascii="Calibri" w:eastAsia="Calibri" w:hAnsi="Calibri" w:cs="Calibri"/>
                <w:sz w:val="16"/>
                <w:szCs w:val="16"/>
              </w:rPr>
              <w:t> </w:t>
            </w:r>
            <w:r w:rsidRPr="00FB356D">
              <w:rPr>
                <w:rFonts w:ascii="Calibri" w:eastAsia="Calibri" w:hAnsi="Calibri" w:cs="Calibri"/>
                <w:sz w:val="16"/>
                <w:szCs w:val="16"/>
              </w:rPr>
              <w:t>01.</w:t>
            </w:r>
            <w:r w:rsidR="00AC1044">
              <w:rPr>
                <w:rFonts w:ascii="Calibri" w:eastAsia="Calibri" w:hAnsi="Calibri" w:cs="Calibri"/>
                <w:sz w:val="16"/>
                <w:szCs w:val="16"/>
              </w:rPr>
              <w:t> </w:t>
            </w:r>
            <w:r w:rsidRPr="00FB356D">
              <w:rPr>
                <w:rFonts w:ascii="Calibri" w:eastAsia="Calibri" w:hAnsi="Calibri" w:cs="Calibri"/>
                <w:sz w:val="16"/>
                <w:szCs w:val="16"/>
              </w:rPr>
              <w:t>2018</w:t>
            </w:r>
          </w:p>
        </w:tc>
        <w:tc>
          <w:tcPr>
            <w:tcW w:w="657" w:type="pct"/>
            <w:noWrap/>
            <w:tcMar>
              <w:top w:w="0" w:type="dxa"/>
              <w:left w:w="70" w:type="dxa"/>
              <w:bottom w:w="0" w:type="dxa"/>
              <w:right w:w="70" w:type="dxa"/>
            </w:tcMar>
            <w:vAlign w:val="center"/>
            <w:hideMark/>
          </w:tcPr>
          <w:p w14:paraId="70054874"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500 000 000</w:t>
            </w:r>
          </w:p>
        </w:tc>
        <w:tc>
          <w:tcPr>
            <w:tcW w:w="268" w:type="pct"/>
            <w:noWrap/>
            <w:tcMar>
              <w:top w:w="0" w:type="dxa"/>
              <w:left w:w="70" w:type="dxa"/>
              <w:bottom w:w="0" w:type="dxa"/>
              <w:right w:w="70" w:type="dxa"/>
            </w:tcMar>
            <w:vAlign w:val="center"/>
            <w:hideMark/>
          </w:tcPr>
          <w:p w14:paraId="15B98BC5"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220</w:t>
            </w:r>
          </w:p>
        </w:tc>
        <w:tc>
          <w:tcPr>
            <w:tcW w:w="629" w:type="pct"/>
            <w:noWrap/>
            <w:tcMar>
              <w:top w:w="0" w:type="dxa"/>
              <w:left w:w="70" w:type="dxa"/>
              <w:bottom w:w="0" w:type="dxa"/>
              <w:right w:w="70" w:type="dxa"/>
            </w:tcMar>
            <w:vAlign w:val="center"/>
            <w:hideMark/>
          </w:tcPr>
          <w:p w14:paraId="0A33C156"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4 845 795 315</w:t>
            </w:r>
          </w:p>
        </w:tc>
        <w:tc>
          <w:tcPr>
            <w:tcW w:w="261" w:type="pct"/>
            <w:noWrap/>
            <w:tcMar>
              <w:top w:w="0" w:type="dxa"/>
              <w:left w:w="70" w:type="dxa"/>
              <w:bottom w:w="0" w:type="dxa"/>
              <w:right w:w="70" w:type="dxa"/>
            </w:tcMar>
            <w:vAlign w:val="center"/>
            <w:hideMark/>
          </w:tcPr>
          <w:p w14:paraId="7E8CBFA1"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10</w:t>
            </w:r>
          </w:p>
        </w:tc>
        <w:tc>
          <w:tcPr>
            <w:tcW w:w="666" w:type="pct"/>
            <w:noWrap/>
            <w:tcMar>
              <w:top w:w="0" w:type="dxa"/>
              <w:left w:w="70" w:type="dxa"/>
              <w:bottom w:w="0" w:type="dxa"/>
              <w:right w:w="70" w:type="dxa"/>
            </w:tcMar>
            <w:vAlign w:val="center"/>
            <w:hideMark/>
          </w:tcPr>
          <w:p w14:paraId="78A076F3"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1 037 353 159</w:t>
            </w:r>
          </w:p>
        </w:tc>
        <w:tc>
          <w:tcPr>
            <w:tcW w:w="582" w:type="pct"/>
            <w:noWrap/>
            <w:tcMar>
              <w:top w:w="0" w:type="dxa"/>
              <w:left w:w="70" w:type="dxa"/>
              <w:bottom w:w="0" w:type="dxa"/>
              <w:right w:w="70" w:type="dxa"/>
            </w:tcMar>
            <w:vAlign w:val="center"/>
            <w:hideMark/>
          </w:tcPr>
          <w:p w14:paraId="3F004509" w14:textId="77777777" w:rsidR="00395345" w:rsidRPr="00FB356D" w:rsidRDefault="00395345" w:rsidP="00D508AC">
            <w:pPr>
              <w:keepNext/>
              <w:spacing w:line="259" w:lineRule="auto"/>
              <w:jc w:val="right"/>
              <w:rPr>
                <w:rFonts w:ascii="Calibri" w:eastAsia="Calibri" w:hAnsi="Calibri" w:cs="Calibri"/>
                <w:sz w:val="16"/>
                <w:szCs w:val="16"/>
                <w:highlight w:val="yellow"/>
              </w:rPr>
            </w:pPr>
            <w:r w:rsidRPr="00FB356D">
              <w:rPr>
                <w:rFonts w:ascii="Calibri" w:eastAsia="Calibri" w:hAnsi="Calibri" w:cs="Calibri"/>
                <w:sz w:val="16"/>
                <w:szCs w:val="16"/>
              </w:rPr>
              <w:t>0</w:t>
            </w:r>
          </w:p>
        </w:tc>
      </w:tr>
      <w:tr w:rsidR="00B9337F" w:rsidRPr="00FB356D" w14:paraId="7A47FA89" w14:textId="77777777" w:rsidTr="00395345">
        <w:trPr>
          <w:trHeight w:val="121"/>
        </w:trPr>
        <w:tc>
          <w:tcPr>
            <w:tcW w:w="404" w:type="pct"/>
            <w:noWrap/>
            <w:tcMar>
              <w:top w:w="0" w:type="dxa"/>
              <w:left w:w="70" w:type="dxa"/>
              <w:bottom w:w="0" w:type="dxa"/>
              <w:right w:w="70" w:type="dxa"/>
            </w:tcMar>
            <w:vAlign w:val="center"/>
            <w:hideMark/>
          </w:tcPr>
          <w:p w14:paraId="2CB11D5A" w14:textId="77777777" w:rsidR="00395345" w:rsidRPr="00FB356D" w:rsidRDefault="00395345" w:rsidP="00D508AC">
            <w:pPr>
              <w:keepNext/>
              <w:spacing w:line="259" w:lineRule="auto"/>
              <w:rPr>
                <w:rFonts w:ascii="Calibri" w:eastAsia="Calibri" w:hAnsi="Calibri" w:cs="Calibri"/>
                <w:b/>
                <w:bCs/>
                <w:sz w:val="16"/>
                <w:szCs w:val="16"/>
              </w:rPr>
            </w:pPr>
            <w:r w:rsidRPr="00FB356D">
              <w:rPr>
                <w:rFonts w:ascii="Calibri" w:eastAsia="Calibri" w:hAnsi="Calibri" w:cs="Calibri"/>
                <w:b/>
                <w:bCs/>
                <w:sz w:val="16"/>
                <w:szCs w:val="16"/>
              </w:rPr>
              <w:t>Celkem</w:t>
            </w:r>
          </w:p>
        </w:tc>
        <w:tc>
          <w:tcPr>
            <w:tcW w:w="958" w:type="pct"/>
            <w:noWrap/>
            <w:tcMar>
              <w:top w:w="0" w:type="dxa"/>
              <w:left w:w="70" w:type="dxa"/>
              <w:bottom w:w="0" w:type="dxa"/>
              <w:right w:w="70" w:type="dxa"/>
            </w:tcMar>
            <w:vAlign w:val="center"/>
            <w:hideMark/>
          </w:tcPr>
          <w:p w14:paraId="21BFBE91" w14:textId="77777777" w:rsidR="00395345" w:rsidRPr="00FB356D" w:rsidRDefault="00395345" w:rsidP="00D508AC">
            <w:pPr>
              <w:keepNext/>
              <w:spacing w:line="259" w:lineRule="auto"/>
              <w:rPr>
                <w:rFonts w:ascii="Calibri" w:eastAsia="Calibri" w:hAnsi="Calibri" w:cs="Calibri"/>
                <w:b/>
                <w:bCs/>
                <w:sz w:val="16"/>
                <w:szCs w:val="16"/>
              </w:rPr>
            </w:pPr>
            <w:r w:rsidRPr="00FB356D">
              <w:rPr>
                <w:rFonts w:ascii="Calibri" w:eastAsia="Calibri" w:hAnsi="Calibri" w:cs="Calibri"/>
                <w:b/>
                <w:bCs/>
                <w:sz w:val="16"/>
                <w:szCs w:val="16"/>
              </w:rPr>
              <w:t>SC 2.2</w:t>
            </w:r>
          </w:p>
        </w:tc>
        <w:tc>
          <w:tcPr>
            <w:tcW w:w="575" w:type="pct"/>
            <w:noWrap/>
            <w:tcMar>
              <w:top w:w="0" w:type="dxa"/>
              <w:left w:w="70" w:type="dxa"/>
              <w:bottom w:w="0" w:type="dxa"/>
              <w:right w:w="70" w:type="dxa"/>
            </w:tcMar>
            <w:vAlign w:val="center"/>
            <w:hideMark/>
          </w:tcPr>
          <w:p w14:paraId="53FE9558"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 </w:t>
            </w:r>
          </w:p>
        </w:tc>
        <w:tc>
          <w:tcPr>
            <w:tcW w:w="657" w:type="pct"/>
            <w:noWrap/>
            <w:tcMar>
              <w:top w:w="0" w:type="dxa"/>
              <w:left w:w="70" w:type="dxa"/>
              <w:bottom w:w="0" w:type="dxa"/>
              <w:right w:w="70" w:type="dxa"/>
            </w:tcMar>
            <w:vAlign w:val="center"/>
            <w:hideMark/>
          </w:tcPr>
          <w:p w14:paraId="68B4348C"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3 000 000 000</w:t>
            </w:r>
          </w:p>
        </w:tc>
        <w:tc>
          <w:tcPr>
            <w:tcW w:w="268" w:type="pct"/>
            <w:noWrap/>
            <w:tcMar>
              <w:top w:w="0" w:type="dxa"/>
              <w:left w:w="70" w:type="dxa"/>
              <w:bottom w:w="0" w:type="dxa"/>
              <w:right w:w="70" w:type="dxa"/>
            </w:tcMar>
            <w:vAlign w:val="center"/>
            <w:hideMark/>
          </w:tcPr>
          <w:p w14:paraId="6450C80F"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460</w:t>
            </w:r>
          </w:p>
        </w:tc>
        <w:tc>
          <w:tcPr>
            <w:tcW w:w="629" w:type="pct"/>
            <w:noWrap/>
            <w:tcMar>
              <w:top w:w="0" w:type="dxa"/>
              <w:left w:w="70" w:type="dxa"/>
              <w:bottom w:w="0" w:type="dxa"/>
              <w:right w:w="70" w:type="dxa"/>
            </w:tcMar>
            <w:vAlign w:val="center"/>
            <w:hideMark/>
          </w:tcPr>
          <w:p w14:paraId="0A17C231"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10 041 189 582</w:t>
            </w:r>
          </w:p>
        </w:tc>
        <w:tc>
          <w:tcPr>
            <w:tcW w:w="261" w:type="pct"/>
            <w:noWrap/>
            <w:tcMar>
              <w:top w:w="0" w:type="dxa"/>
              <w:left w:w="70" w:type="dxa"/>
              <w:bottom w:w="0" w:type="dxa"/>
              <w:right w:w="70" w:type="dxa"/>
            </w:tcMar>
            <w:vAlign w:val="center"/>
            <w:hideMark/>
          </w:tcPr>
          <w:p w14:paraId="4C818401"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136</w:t>
            </w:r>
          </w:p>
        </w:tc>
        <w:tc>
          <w:tcPr>
            <w:tcW w:w="666" w:type="pct"/>
            <w:noWrap/>
            <w:tcMar>
              <w:top w:w="0" w:type="dxa"/>
              <w:left w:w="70" w:type="dxa"/>
              <w:bottom w:w="0" w:type="dxa"/>
              <w:right w:w="70" w:type="dxa"/>
            </w:tcMar>
            <w:vAlign w:val="center"/>
            <w:hideMark/>
          </w:tcPr>
          <w:p w14:paraId="1FB1E8AA"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3 658 255 244</w:t>
            </w:r>
          </w:p>
        </w:tc>
        <w:tc>
          <w:tcPr>
            <w:tcW w:w="582" w:type="pct"/>
            <w:noWrap/>
            <w:tcMar>
              <w:top w:w="0" w:type="dxa"/>
              <w:left w:w="70" w:type="dxa"/>
              <w:bottom w:w="0" w:type="dxa"/>
              <w:right w:w="70" w:type="dxa"/>
            </w:tcMar>
            <w:vAlign w:val="center"/>
            <w:hideMark/>
          </w:tcPr>
          <w:p w14:paraId="0737947C"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580 876 412</w:t>
            </w:r>
          </w:p>
        </w:tc>
      </w:tr>
      <w:tr w:rsidR="00B9337F" w:rsidRPr="00FB356D" w14:paraId="1239F9EC" w14:textId="77777777" w:rsidTr="00395345">
        <w:trPr>
          <w:trHeight w:val="127"/>
        </w:trPr>
        <w:tc>
          <w:tcPr>
            <w:tcW w:w="404" w:type="pct"/>
            <w:vMerge w:val="restart"/>
            <w:noWrap/>
            <w:tcMar>
              <w:top w:w="0" w:type="dxa"/>
              <w:left w:w="70" w:type="dxa"/>
              <w:bottom w:w="0" w:type="dxa"/>
              <w:right w:w="70" w:type="dxa"/>
            </w:tcMar>
            <w:vAlign w:val="center"/>
            <w:hideMark/>
          </w:tcPr>
          <w:p w14:paraId="36636164" w14:textId="77777777" w:rsidR="00395345" w:rsidRPr="00FB356D" w:rsidRDefault="00395345" w:rsidP="00D508AC">
            <w:pPr>
              <w:keepNext/>
              <w:spacing w:line="259" w:lineRule="auto"/>
              <w:jc w:val="center"/>
              <w:rPr>
                <w:rFonts w:ascii="Calibri" w:eastAsia="Calibri" w:hAnsi="Calibri" w:cs="Calibri"/>
                <w:sz w:val="16"/>
                <w:szCs w:val="16"/>
              </w:rPr>
            </w:pPr>
            <w:r w:rsidRPr="00FB356D">
              <w:rPr>
                <w:rFonts w:ascii="Calibri" w:eastAsia="Calibri" w:hAnsi="Calibri" w:cs="Calibri"/>
                <w:sz w:val="16"/>
                <w:szCs w:val="16"/>
              </w:rPr>
              <w:t>SC 2.3</w:t>
            </w:r>
          </w:p>
        </w:tc>
        <w:tc>
          <w:tcPr>
            <w:tcW w:w="958" w:type="pct"/>
            <w:noWrap/>
            <w:tcMar>
              <w:top w:w="0" w:type="dxa"/>
              <w:left w:w="70" w:type="dxa"/>
              <w:bottom w:w="0" w:type="dxa"/>
              <w:right w:w="70" w:type="dxa"/>
            </w:tcMar>
            <w:vAlign w:val="center"/>
            <w:hideMark/>
          </w:tcPr>
          <w:p w14:paraId="1D9C0A7A" w14:textId="77777777" w:rsidR="00395345" w:rsidRPr="00FB356D" w:rsidRDefault="00395345" w:rsidP="00D508AC">
            <w:pPr>
              <w:keepNext/>
              <w:spacing w:line="259" w:lineRule="auto"/>
              <w:rPr>
                <w:rFonts w:ascii="Calibri" w:eastAsia="Calibri" w:hAnsi="Calibri" w:cs="Calibri"/>
                <w:sz w:val="16"/>
                <w:szCs w:val="16"/>
              </w:rPr>
            </w:pPr>
            <w:r w:rsidRPr="00FB356D">
              <w:rPr>
                <w:rFonts w:ascii="Calibri" w:eastAsia="Calibri" w:hAnsi="Calibri" w:cs="Calibri"/>
                <w:sz w:val="16"/>
                <w:szCs w:val="16"/>
              </w:rPr>
              <w:t>MŽP_17. výzva, průběžná</w:t>
            </w:r>
          </w:p>
        </w:tc>
        <w:tc>
          <w:tcPr>
            <w:tcW w:w="575" w:type="pct"/>
            <w:noWrap/>
            <w:tcMar>
              <w:top w:w="0" w:type="dxa"/>
              <w:left w:w="70" w:type="dxa"/>
              <w:bottom w:w="0" w:type="dxa"/>
              <w:right w:w="70" w:type="dxa"/>
            </w:tcMar>
            <w:vAlign w:val="center"/>
            <w:hideMark/>
          </w:tcPr>
          <w:p w14:paraId="064AB94C" w14:textId="4D276784"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15.</w:t>
            </w:r>
            <w:r w:rsidR="00AC1044">
              <w:rPr>
                <w:rFonts w:ascii="Calibri" w:eastAsia="Calibri" w:hAnsi="Calibri" w:cs="Calibri"/>
                <w:sz w:val="16"/>
                <w:szCs w:val="16"/>
              </w:rPr>
              <w:t> </w:t>
            </w:r>
            <w:r w:rsidRPr="00FB356D">
              <w:rPr>
                <w:rFonts w:ascii="Calibri" w:eastAsia="Calibri" w:hAnsi="Calibri" w:cs="Calibri"/>
                <w:sz w:val="16"/>
                <w:szCs w:val="16"/>
              </w:rPr>
              <w:t>10.</w:t>
            </w:r>
            <w:r w:rsidR="00AC1044">
              <w:rPr>
                <w:rFonts w:ascii="Calibri" w:eastAsia="Calibri" w:hAnsi="Calibri" w:cs="Calibri"/>
                <w:sz w:val="16"/>
                <w:szCs w:val="16"/>
              </w:rPr>
              <w:t> </w:t>
            </w:r>
            <w:r w:rsidRPr="00FB356D">
              <w:rPr>
                <w:rFonts w:ascii="Calibri" w:eastAsia="Calibri" w:hAnsi="Calibri" w:cs="Calibri"/>
                <w:sz w:val="16"/>
                <w:szCs w:val="16"/>
              </w:rPr>
              <w:t>2016</w:t>
            </w:r>
          </w:p>
        </w:tc>
        <w:tc>
          <w:tcPr>
            <w:tcW w:w="657" w:type="pct"/>
            <w:noWrap/>
            <w:tcMar>
              <w:top w:w="0" w:type="dxa"/>
              <w:left w:w="70" w:type="dxa"/>
              <w:bottom w:w="0" w:type="dxa"/>
              <w:right w:w="70" w:type="dxa"/>
            </w:tcMar>
            <w:vAlign w:val="center"/>
            <w:hideMark/>
          </w:tcPr>
          <w:p w14:paraId="7BB35D51"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200 000 000</w:t>
            </w:r>
          </w:p>
        </w:tc>
        <w:tc>
          <w:tcPr>
            <w:tcW w:w="268" w:type="pct"/>
            <w:noWrap/>
            <w:tcMar>
              <w:top w:w="0" w:type="dxa"/>
              <w:left w:w="70" w:type="dxa"/>
              <w:bottom w:w="0" w:type="dxa"/>
              <w:right w:w="70" w:type="dxa"/>
            </w:tcMar>
            <w:vAlign w:val="center"/>
            <w:hideMark/>
          </w:tcPr>
          <w:p w14:paraId="2B0FDBEC" w14:textId="77777777" w:rsidR="00395345" w:rsidRPr="00FB356D" w:rsidRDefault="00395345" w:rsidP="00D508AC">
            <w:pPr>
              <w:keepNext/>
              <w:spacing w:line="259" w:lineRule="auto"/>
              <w:jc w:val="right"/>
              <w:rPr>
                <w:rFonts w:ascii="Calibri" w:eastAsia="Calibri" w:hAnsi="Calibri" w:cs="Calibri"/>
                <w:sz w:val="16"/>
                <w:szCs w:val="16"/>
                <w:highlight w:val="yellow"/>
              </w:rPr>
            </w:pPr>
            <w:r w:rsidRPr="00FB356D">
              <w:rPr>
                <w:rFonts w:ascii="Calibri" w:eastAsia="Calibri" w:hAnsi="Calibri" w:cs="Calibri"/>
                <w:sz w:val="16"/>
                <w:szCs w:val="16"/>
              </w:rPr>
              <w:t>18</w:t>
            </w:r>
          </w:p>
        </w:tc>
        <w:tc>
          <w:tcPr>
            <w:tcW w:w="629" w:type="pct"/>
            <w:noWrap/>
            <w:tcMar>
              <w:top w:w="0" w:type="dxa"/>
              <w:left w:w="70" w:type="dxa"/>
              <w:bottom w:w="0" w:type="dxa"/>
              <w:right w:w="70" w:type="dxa"/>
            </w:tcMar>
            <w:vAlign w:val="center"/>
            <w:hideMark/>
          </w:tcPr>
          <w:p w14:paraId="1A74AB01"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264 181 173</w:t>
            </w:r>
          </w:p>
        </w:tc>
        <w:tc>
          <w:tcPr>
            <w:tcW w:w="261" w:type="pct"/>
            <w:noWrap/>
            <w:tcMar>
              <w:top w:w="0" w:type="dxa"/>
              <w:left w:w="70" w:type="dxa"/>
              <w:bottom w:w="0" w:type="dxa"/>
              <w:right w:w="70" w:type="dxa"/>
            </w:tcMar>
            <w:vAlign w:val="center"/>
            <w:hideMark/>
          </w:tcPr>
          <w:p w14:paraId="08D0F6AB"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14</w:t>
            </w:r>
          </w:p>
        </w:tc>
        <w:tc>
          <w:tcPr>
            <w:tcW w:w="666" w:type="pct"/>
            <w:noWrap/>
            <w:tcMar>
              <w:top w:w="0" w:type="dxa"/>
              <w:left w:w="70" w:type="dxa"/>
              <w:bottom w:w="0" w:type="dxa"/>
              <w:right w:w="70" w:type="dxa"/>
            </w:tcMar>
            <w:vAlign w:val="center"/>
            <w:hideMark/>
          </w:tcPr>
          <w:p w14:paraId="5393C587"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208 173 769</w:t>
            </w:r>
          </w:p>
        </w:tc>
        <w:tc>
          <w:tcPr>
            <w:tcW w:w="582" w:type="pct"/>
            <w:noWrap/>
            <w:tcMar>
              <w:top w:w="0" w:type="dxa"/>
              <w:left w:w="70" w:type="dxa"/>
              <w:bottom w:w="0" w:type="dxa"/>
              <w:right w:w="70" w:type="dxa"/>
            </w:tcMar>
            <w:vAlign w:val="center"/>
            <w:hideMark/>
          </w:tcPr>
          <w:p w14:paraId="670DA9DA" w14:textId="77777777" w:rsidR="00395345" w:rsidRPr="00FB356D" w:rsidRDefault="00395345" w:rsidP="00D508AC">
            <w:pPr>
              <w:keepNext/>
              <w:spacing w:line="259" w:lineRule="auto"/>
              <w:jc w:val="right"/>
              <w:rPr>
                <w:rFonts w:ascii="Calibri" w:eastAsia="Calibri" w:hAnsi="Calibri" w:cs="Calibri"/>
                <w:sz w:val="16"/>
                <w:szCs w:val="16"/>
                <w:highlight w:val="yellow"/>
              </w:rPr>
            </w:pPr>
            <w:r w:rsidRPr="00FB356D">
              <w:rPr>
                <w:rFonts w:ascii="Calibri" w:eastAsia="Calibri" w:hAnsi="Calibri" w:cs="Calibri"/>
                <w:sz w:val="16"/>
                <w:szCs w:val="16"/>
              </w:rPr>
              <w:t>116 695 418</w:t>
            </w:r>
          </w:p>
        </w:tc>
      </w:tr>
      <w:tr w:rsidR="00B9337F" w:rsidRPr="00FB356D" w14:paraId="7D0AC51B" w14:textId="77777777" w:rsidTr="00395345">
        <w:trPr>
          <w:trHeight w:val="121"/>
        </w:trPr>
        <w:tc>
          <w:tcPr>
            <w:tcW w:w="404" w:type="pct"/>
            <w:vMerge/>
            <w:vAlign w:val="center"/>
            <w:hideMark/>
          </w:tcPr>
          <w:p w14:paraId="55359186" w14:textId="77777777" w:rsidR="00395345" w:rsidRPr="00FB356D" w:rsidRDefault="00395345" w:rsidP="00D508AC">
            <w:pPr>
              <w:keepNext/>
              <w:spacing w:line="259" w:lineRule="auto"/>
              <w:rPr>
                <w:rFonts w:ascii="Calibri" w:eastAsia="Calibri" w:hAnsi="Calibri" w:cs="Calibri"/>
                <w:sz w:val="16"/>
                <w:szCs w:val="16"/>
              </w:rPr>
            </w:pPr>
          </w:p>
        </w:tc>
        <w:tc>
          <w:tcPr>
            <w:tcW w:w="958" w:type="pct"/>
            <w:noWrap/>
            <w:tcMar>
              <w:top w:w="0" w:type="dxa"/>
              <w:left w:w="70" w:type="dxa"/>
              <w:bottom w:w="0" w:type="dxa"/>
              <w:right w:w="70" w:type="dxa"/>
            </w:tcMar>
            <w:vAlign w:val="center"/>
            <w:hideMark/>
          </w:tcPr>
          <w:p w14:paraId="031CA3C4" w14:textId="77777777" w:rsidR="00395345" w:rsidRPr="00FB356D" w:rsidRDefault="00395345" w:rsidP="00D508AC">
            <w:pPr>
              <w:keepNext/>
              <w:spacing w:line="259" w:lineRule="auto"/>
              <w:rPr>
                <w:rFonts w:ascii="Calibri" w:eastAsia="Calibri" w:hAnsi="Calibri" w:cs="Calibri"/>
                <w:sz w:val="16"/>
                <w:szCs w:val="16"/>
              </w:rPr>
            </w:pPr>
            <w:r w:rsidRPr="00FB356D">
              <w:rPr>
                <w:rFonts w:ascii="Calibri" w:eastAsia="Calibri" w:hAnsi="Calibri" w:cs="Calibri"/>
                <w:sz w:val="16"/>
                <w:szCs w:val="16"/>
              </w:rPr>
              <w:t>MŽP_79. výzva, průběžná</w:t>
            </w:r>
          </w:p>
        </w:tc>
        <w:tc>
          <w:tcPr>
            <w:tcW w:w="575" w:type="pct"/>
            <w:noWrap/>
            <w:tcMar>
              <w:top w:w="0" w:type="dxa"/>
              <w:left w:w="70" w:type="dxa"/>
              <w:bottom w:w="0" w:type="dxa"/>
              <w:right w:w="70" w:type="dxa"/>
            </w:tcMar>
            <w:vAlign w:val="center"/>
            <w:hideMark/>
          </w:tcPr>
          <w:p w14:paraId="7CC340C2" w14:textId="5BC554D0"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20.</w:t>
            </w:r>
            <w:r w:rsidR="00AC1044">
              <w:rPr>
                <w:rFonts w:ascii="Calibri" w:eastAsia="Calibri" w:hAnsi="Calibri" w:cs="Calibri"/>
                <w:sz w:val="16"/>
                <w:szCs w:val="16"/>
              </w:rPr>
              <w:t> </w:t>
            </w:r>
            <w:r w:rsidRPr="00FB356D">
              <w:rPr>
                <w:rFonts w:ascii="Calibri" w:eastAsia="Calibri" w:hAnsi="Calibri" w:cs="Calibri"/>
                <w:sz w:val="16"/>
                <w:szCs w:val="16"/>
              </w:rPr>
              <w:t>12.</w:t>
            </w:r>
            <w:r w:rsidR="00AC1044">
              <w:rPr>
                <w:rFonts w:ascii="Calibri" w:eastAsia="Calibri" w:hAnsi="Calibri" w:cs="Calibri"/>
                <w:sz w:val="16"/>
                <w:szCs w:val="16"/>
              </w:rPr>
              <w:t> </w:t>
            </w:r>
            <w:r w:rsidRPr="00FB356D">
              <w:rPr>
                <w:rFonts w:ascii="Calibri" w:eastAsia="Calibri" w:hAnsi="Calibri" w:cs="Calibri"/>
                <w:sz w:val="16"/>
                <w:szCs w:val="16"/>
              </w:rPr>
              <w:t>2017</w:t>
            </w:r>
          </w:p>
        </w:tc>
        <w:tc>
          <w:tcPr>
            <w:tcW w:w="657" w:type="pct"/>
            <w:noWrap/>
            <w:tcMar>
              <w:top w:w="0" w:type="dxa"/>
              <w:left w:w="70" w:type="dxa"/>
              <w:bottom w:w="0" w:type="dxa"/>
              <w:right w:w="70" w:type="dxa"/>
            </w:tcMar>
            <w:vAlign w:val="center"/>
            <w:hideMark/>
          </w:tcPr>
          <w:p w14:paraId="69985946"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200 000 000</w:t>
            </w:r>
          </w:p>
        </w:tc>
        <w:tc>
          <w:tcPr>
            <w:tcW w:w="268" w:type="pct"/>
            <w:noWrap/>
            <w:tcMar>
              <w:top w:w="0" w:type="dxa"/>
              <w:left w:w="70" w:type="dxa"/>
              <w:bottom w:w="0" w:type="dxa"/>
              <w:right w:w="70" w:type="dxa"/>
            </w:tcMar>
            <w:vAlign w:val="center"/>
            <w:hideMark/>
          </w:tcPr>
          <w:p w14:paraId="14A5BA82"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11</w:t>
            </w:r>
          </w:p>
        </w:tc>
        <w:tc>
          <w:tcPr>
            <w:tcW w:w="629" w:type="pct"/>
            <w:noWrap/>
            <w:tcMar>
              <w:top w:w="0" w:type="dxa"/>
              <w:left w:w="70" w:type="dxa"/>
              <w:bottom w:w="0" w:type="dxa"/>
              <w:right w:w="70" w:type="dxa"/>
            </w:tcMar>
            <w:vAlign w:val="center"/>
            <w:hideMark/>
          </w:tcPr>
          <w:p w14:paraId="34F0CC2B"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139 507 371</w:t>
            </w:r>
          </w:p>
        </w:tc>
        <w:tc>
          <w:tcPr>
            <w:tcW w:w="261" w:type="pct"/>
            <w:noWrap/>
            <w:tcMar>
              <w:top w:w="0" w:type="dxa"/>
              <w:left w:w="70" w:type="dxa"/>
              <w:bottom w:w="0" w:type="dxa"/>
              <w:right w:w="70" w:type="dxa"/>
            </w:tcMar>
            <w:vAlign w:val="center"/>
            <w:hideMark/>
          </w:tcPr>
          <w:p w14:paraId="14D55747"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9</w:t>
            </w:r>
          </w:p>
        </w:tc>
        <w:tc>
          <w:tcPr>
            <w:tcW w:w="666" w:type="pct"/>
            <w:noWrap/>
            <w:tcMar>
              <w:top w:w="0" w:type="dxa"/>
              <w:left w:w="70" w:type="dxa"/>
              <w:bottom w:w="0" w:type="dxa"/>
              <w:right w:w="70" w:type="dxa"/>
            </w:tcMar>
            <w:vAlign w:val="center"/>
            <w:hideMark/>
          </w:tcPr>
          <w:p w14:paraId="57820779"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138 173 311</w:t>
            </w:r>
          </w:p>
        </w:tc>
        <w:tc>
          <w:tcPr>
            <w:tcW w:w="582" w:type="pct"/>
            <w:noWrap/>
            <w:tcMar>
              <w:top w:w="0" w:type="dxa"/>
              <w:left w:w="70" w:type="dxa"/>
              <w:bottom w:w="0" w:type="dxa"/>
              <w:right w:w="70" w:type="dxa"/>
            </w:tcMar>
            <w:vAlign w:val="center"/>
            <w:hideMark/>
          </w:tcPr>
          <w:p w14:paraId="32658E24" w14:textId="77777777" w:rsidR="00395345" w:rsidRPr="00FB356D" w:rsidRDefault="00395345" w:rsidP="00D508AC">
            <w:pPr>
              <w:keepNext/>
              <w:spacing w:line="259" w:lineRule="auto"/>
              <w:jc w:val="right"/>
              <w:rPr>
                <w:rFonts w:ascii="Calibri" w:eastAsia="Calibri" w:hAnsi="Calibri" w:cs="Calibri"/>
                <w:sz w:val="16"/>
                <w:szCs w:val="16"/>
                <w:highlight w:val="yellow"/>
              </w:rPr>
            </w:pPr>
            <w:r w:rsidRPr="00FB356D">
              <w:rPr>
                <w:rFonts w:ascii="Calibri" w:eastAsia="Calibri" w:hAnsi="Calibri" w:cs="Calibri"/>
                <w:sz w:val="16"/>
                <w:szCs w:val="16"/>
              </w:rPr>
              <w:t>880 396</w:t>
            </w:r>
          </w:p>
        </w:tc>
      </w:tr>
      <w:tr w:rsidR="00B9337F" w:rsidRPr="00FB356D" w14:paraId="1FC51999" w14:textId="77777777" w:rsidTr="00395345">
        <w:trPr>
          <w:trHeight w:val="121"/>
        </w:trPr>
        <w:tc>
          <w:tcPr>
            <w:tcW w:w="404" w:type="pct"/>
            <w:vMerge/>
            <w:vAlign w:val="center"/>
            <w:hideMark/>
          </w:tcPr>
          <w:p w14:paraId="21388855" w14:textId="77777777" w:rsidR="00395345" w:rsidRPr="00FB356D" w:rsidRDefault="00395345" w:rsidP="00D508AC">
            <w:pPr>
              <w:keepNext/>
              <w:spacing w:line="259" w:lineRule="auto"/>
              <w:rPr>
                <w:rFonts w:ascii="Calibri" w:eastAsia="Calibri" w:hAnsi="Calibri" w:cs="Calibri"/>
                <w:sz w:val="16"/>
                <w:szCs w:val="16"/>
              </w:rPr>
            </w:pPr>
          </w:p>
        </w:tc>
        <w:tc>
          <w:tcPr>
            <w:tcW w:w="958" w:type="pct"/>
            <w:noWrap/>
            <w:tcMar>
              <w:top w:w="0" w:type="dxa"/>
              <w:left w:w="70" w:type="dxa"/>
              <w:bottom w:w="0" w:type="dxa"/>
              <w:right w:w="70" w:type="dxa"/>
            </w:tcMar>
            <w:vAlign w:val="center"/>
            <w:hideMark/>
          </w:tcPr>
          <w:p w14:paraId="10D2F189" w14:textId="77777777" w:rsidR="00395345" w:rsidRPr="00FB356D" w:rsidRDefault="00395345" w:rsidP="00D508AC">
            <w:pPr>
              <w:keepNext/>
              <w:spacing w:line="259" w:lineRule="auto"/>
              <w:rPr>
                <w:rFonts w:ascii="Calibri" w:eastAsia="Calibri" w:hAnsi="Calibri" w:cs="Calibri"/>
                <w:sz w:val="16"/>
                <w:szCs w:val="16"/>
              </w:rPr>
            </w:pPr>
            <w:r w:rsidRPr="00FB356D">
              <w:rPr>
                <w:rFonts w:ascii="Calibri" w:eastAsia="Calibri" w:hAnsi="Calibri" w:cs="Calibri"/>
                <w:sz w:val="16"/>
                <w:szCs w:val="16"/>
              </w:rPr>
              <w:t>MŽP_98. výzva, průběžná</w:t>
            </w:r>
          </w:p>
        </w:tc>
        <w:tc>
          <w:tcPr>
            <w:tcW w:w="575" w:type="pct"/>
            <w:noWrap/>
            <w:tcMar>
              <w:top w:w="0" w:type="dxa"/>
              <w:left w:w="70" w:type="dxa"/>
              <w:bottom w:w="0" w:type="dxa"/>
              <w:right w:w="70" w:type="dxa"/>
            </w:tcMar>
            <w:vAlign w:val="center"/>
            <w:hideMark/>
          </w:tcPr>
          <w:p w14:paraId="0788C148" w14:textId="230F84C1" w:rsidR="00395345" w:rsidRPr="00FB356D" w:rsidRDefault="00395345" w:rsidP="00D508AC">
            <w:pPr>
              <w:keepNext/>
              <w:spacing w:line="259" w:lineRule="auto"/>
              <w:jc w:val="right"/>
              <w:rPr>
                <w:rFonts w:ascii="Calibri" w:eastAsia="Calibri" w:hAnsi="Calibri" w:cs="Calibri"/>
                <w:sz w:val="16"/>
                <w:szCs w:val="16"/>
                <w:highlight w:val="yellow"/>
              </w:rPr>
            </w:pPr>
            <w:r w:rsidRPr="00FB356D">
              <w:rPr>
                <w:rFonts w:ascii="Calibri" w:eastAsia="Calibri" w:hAnsi="Calibri" w:cs="Calibri"/>
                <w:sz w:val="16"/>
                <w:szCs w:val="16"/>
              </w:rPr>
              <w:t>20.</w:t>
            </w:r>
            <w:r w:rsidR="00AC1044">
              <w:rPr>
                <w:rFonts w:ascii="Calibri" w:eastAsia="Calibri" w:hAnsi="Calibri" w:cs="Calibri"/>
                <w:sz w:val="16"/>
                <w:szCs w:val="16"/>
              </w:rPr>
              <w:t> </w:t>
            </w:r>
            <w:r w:rsidRPr="00FB356D">
              <w:rPr>
                <w:rFonts w:ascii="Calibri" w:eastAsia="Calibri" w:hAnsi="Calibri" w:cs="Calibri"/>
                <w:sz w:val="16"/>
                <w:szCs w:val="16"/>
              </w:rPr>
              <w:t>12.</w:t>
            </w:r>
            <w:r w:rsidR="00AC1044">
              <w:rPr>
                <w:rFonts w:ascii="Calibri" w:eastAsia="Calibri" w:hAnsi="Calibri" w:cs="Calibri"/>
                <w:sz w:val="16"/>
                <w:szCs w:val="16"/>
              </w:rPr>
              <w:t> </w:t>
            </w:r>
            <w:r w:rsidRPr="00FB356D">
              <w:rPr>
                <w:rFonts w:ascii="Calibri" w:eastAsia="Calibri" w:hAnsi="Calibri" w:cs="Calibri"/>
                <w:sz w:val="16"/>
                <w:szCs w:val="16"/>
              </w:rPr>
              <w:t>2018</w:t>
            </w:r>
          </w:p>
        </w:tc>
        <w:tc>
          <w:tcPr>
            <w:tcW w:w="657" w:type="pct"/>
            <w:noWrap/>
            <w:tcMar>
              <w:top w:w="0" w:type="dxa"/>
              <w:left w:w="70" w:type="dxa"/>
              <w:bottom w:w="0" w:type="dxa"/>
              <w:right w:w="70" w:type="dxa"/>
            </w:tcMar>
            <w:vAlign w:val="center"/>
            <w:hideMark/>
          </w:tcPr>
          <w:p w14:paraId="246B9696"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100 000 000</w:t>
            </w:r>
          </w:p>
        </w:tc>
        <w:tc>
          <w:tcPr>
            <w:tcW w:w="268" w:type="pct"/>
            <w:noWrap/>
            <w:tcMar>
              <w:top w:w="0" w:type="dxa"/>
              <w:left w:w="70" w:type="dxa"/>
              <w:bottom w:w="0" w:type="dxa"/>
              <w:right w:w="70" w:type="dxa"/>
            </w:tcMar>
            <w:vAlign w:val="center"/>
            <w:hideMark/>
          </w:tcPr>
          <w:p w14:paraId="4E7CD182"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8</w:t>
            </w:r>
          </w:p>
        </w:tc>
        <w:tc>
          <w:tcPr>
            <w:tcW w:w="629" w:type="pct"/>
            <w:noWrap/>
            <w:tcMar>
              <w:top w:w="0" w:type="dxa"/>
              <w:left w:w="70" w:type="dxa"/>
              <w:bottom w:w="0" w:type="dxa"/>
              <w:right w:w="70" w:type="dxa"/>
            </w:tcMar>
            <w:vAlign w:val="center"/>
            <w:hideMark/>
          </w:tcPr>
          <w:p w14:paraId="257E39FA"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113 763 544</w:t>
            </w:r>
          </w:p>
        </w:tc>
        <w:tc>
          <w:tcPr>
            <w:tcW w:w="261" w:type="pct"/>
            <w:noWrap/>
            <w:tcMar>
              <w:top w:w="0" w:type="dxa"/>
              <w:left w:w="70" w:type="dxa"/>
              <w:bottom w:w="0" w:type="dxa"/>
              <w:right w:w="70" w:type="dxa"/>
            </w:tcMar>
            <w:vAlign w:val="center"/>
            <w:hideMark/>
          </w:tcPr>
          <w:p w14:paraId="7682E5D0" w14:textId="77777777" w:rsidR="00395345" w:rsidRPr="00FB356D" w:rsidRDefault="00395345" w:rsidP="00D508AC">
            <w:pPr>
              <w:keepNext/>
              <w:spacing w:line="259" w:lineRule="auto"/>
              <w:jc w:val="right"/>
              <w:rPr>
                <w:rFonts w:ascii="Calibri" w:eastAsia="Calibri" w:hAnsi="Calibri" w:cs="Calibri"/>
                <w:sz w:val="16"/>
                <w:szCs w:val="16"/>
                <w:highlight w:val="yellow"/>
              </w:rPr>
            </w:pPr>
            <w:r w:rsidRPr="00FB356D">
              <w:rPr>
                <w:rFonts w:ascii="Calibri" w:eastAsia="Calibri" w:hAnsi="Calibri" w:cs="Calibri"/>
                <w:sz w:val="16"/>
                <w:szCs w:val="16"/>
              </w:rPr>
              <w:t>3</w:t>
            </w:r>
          </w:p>
        </w:tc>
        <w:tc>
          <w:tcPr>
            <w:tcW w:w="666" w:type="pct"/>
            <w:vAlign w:val="center"/>
          </w:tcPr>
          <w:p w14:paraId="16B74D08" w14:textId="77777777" w:rsidR="00395345" w:rsidRPr="00FB356D" w:rsidRDefault="00395345" w:rsidP="00D508AC">
            <w:pPr>
              <w:keepNext/>
              <w:spacing w:line="259" w:lineRule="auto"/>
              <w:jc w:val="right"/>
              <w:rPr>
                <w:rFonts w:ascii="Calibri" w:eastAsia="Calibri" w:hAnsi="Calibri" w:cs="Calibri"/>
                <w:sz w:val="16"/>
                <w:szCs w:val="16"/>
              </w:rPr>
            </w:pPr>
            <w:r w:rsidRPr="00FB356D">
              <w:rPr>
                <w:rFonts w:ascii="Calibri" w:eastAsia="Calibri" w:hAnsi="Calibri" w:cs="Calibri"/>
                <w:sz w:val="16"/>
                <w:szCs w:val="16"/>
              </w:rPr>
              <w:t xml:space="preserve">50 612 176  </w:t>
            </w:r>
          </w:p>
        </w:tc>
        <w:tc>
          <w:tcPr>
            <w:tcW w:w="582" w:type="pct"/>
            <w:vAlign w:val="center"/>
          </w:tcPr>
          <w:p w14:paraId="1112F81D" w14:textId="77777777" w:rsidR="00395345" w:rsidRPr="00FB356D" w:rsidRDefault="00395345" w:rsidP="00D508AC">
            <w:pPr>
              <w:keepNext/>
              <w:spacing w:line="259" w:lineRule="auto"/>
              <w:jc w:val="right"/>
              <w:rPr>
                <w:rFonts w:ascii="Calibri" w:eastAsia="Calibri" w:hAnsi="Calibri" w:cs="Calibri"/>
                <w:sz w:val="16"/>
                <w:szCs w:val="16"/>
                <w:highlight w:val="yellow"/>
              </w:rPr>
            </w:pPr>
            <w:r w:rsidRPr="00FB356D">
              <w:rPr>
                <w:rFonts w:ascii="Calibri" w:eastAsia="Calibri" w:hAnsi="Calibri" w:cs="Calibri"/>
                <w:sz w:val="16"/>
                <w:szCs w:val="16"/>
              </w:rPr>
              <w:t>0</w:t>
            </w:r>
          </w:p>
        </w:tc>
      </w:tr>
      <w:tr w:rsidR="00B9337F" w:rsidRPr="00FB356D" w14:paraId="7EABE074" w14:textId="77777777" w:rsidTr="00395345">
        <w:trPr>
          <w:trHeight w:val="121"/>
        </w:trPr>
        <w:tc>
          <w:tcPr>
            <w:tcW w:w="404" w:type="pct"/>
            <w:noWrap/>
            <w:tcMar>
              <w:top w:w="0" w:type="dxa"/>
              <w:left w:w="70" w:type="dxa"/>
              <w:bottom w:w="0" w:type="dxa"/>
              <w:right w:w="70" w:type="dxa"/>
            </w:tcMar>
            <w:vAlign w:val="center"/>
            <w:hideMark/>
          </w:tcPr>
          <w:p w14:paraId="6773CABC" w14:textId="77777777" w:rsidR="00395345" w:rsidRPr="00FB356D" w:rsidRDefault="00395345" w:rsidP="00D508AC">
            <w:pPr>
              <w:keepNext/>
              <w:spacing w:line="259" w:lineRule="auto"/>
              <w:rPr>
                <w:rFonts w:ascii="Calibri" w:eastAsia="Calibri" w:hAnsi="Calibri" w:cs="Calibri"/>
                <w:b/>
                <w:bCs/>
                <w:sz w:val="16"/>
                <w:szCs w:val="16"/>
              </w:rPr>
            </w:pPr>
            <w:r w:rsidRPr="00FB356D">
              <w:rPr>
                <w:rFonts w:ascii="Calibri" w:eastAsia="Calibri" w:hAnsi="Calibri" w:cs="Calibri"/>
                <w:b/>
                <w:bCs/>
                <w:sz w:val="16"/>
                <w:szCs w:val="16"/>
              </w:rPr>
              <w:t>Celkem</w:t>
            </w:r>
          </w:p>
        </w:tc>
        <w:tc>
          <w:tcPr>
            <w:tcW w:w="958" w:type="pct"/>
            <w:noWrap/>
            <w:tcMar>
              <w:top w:w="0" w:type="dxa"/>
              <w:left w:w="70" w:type="dxa"/>
              <w:bottom w:w="0" w:type="dxa"/>
              <w:right w:w="70" w:type="dxa"/>
            </w:tcMar>
            <w:vAlign w:val="center"/>
            <w:hideMark/>
          </w:tcPr>
          <w:p w14:paraId="60358B6D" w14:textId="77777777" w:rsidR="00395345" w:rsidRPr="00FB356D" w:rsidRDefault="00395345" w:rsidP="00D508AC">
            <w:pPr>
              <w:keepNext/>
              <w:spacing w:line="259" w:lineRule="auto"/>
              <w:rPr>
                <w:rFonts w:ascii="Calibri" w:eastAsia="Calibri" w:hAnsi="Calibri" w:cs="Calibri"/>
                <w:b/>
                <w:bCs/>
                <w:sz w:val="16"/>
                <w:szCs w:val="16"/>
              </w:rPr>
            </w:pPr>
            <w:r w:rsidRPr="00FB356D">
              <w:rPr>
                <w:rFonts w:ascii="Calibri" w:eastAsia="Calibri" w:hAnsi="Calibri" w:cs="Calibri"/>
                <w:b/>
                <w:bCs/>
                <w:sz w:val="16"/>
                <w:szCs w:val="16"/>
              </w:rPr>
              <w:t>SC 2.3</w:t>
            </w:r>
          </w:p>
        </w:tc>
        <w:tc>
          <w:tcPr>
            <w:tcW w:w="575" w:type="pct"/>
            <w:noWrap/>
            <w:tcMar>
              <w:top w:w="0" w:type="dxa"/>
              <w:left w:w="70" w:type="dxa"/>
              <w:bottom w:w="0" w:type="dxa"/>
              <w:right w:w="70" w:type="dxa"/>
            </w:tcMar>
            <w:vAlign w:val="center"/>
            <w:hideMark/>
          </w:tcPr>
          <w:p w14:paraId="0132BB7A" w14:textId="77777777" w:rsidR="00395345" w:rsidRPr="00FB356D" w:rsidRDefault="00395345" w:rsidP="00D508AC">
            <w:pPr>
              <w:keepNext/>
              <w:spacing w:line="259" w:lineRule="auto"/>
              <w:rPr>
                <w:rFonts w:ascii="Calibri" w:eastAsia="Calibri" w:hAnsi="Calibri" w:cs="Calibri"/>
                <w:sz w:val="16"/>
                <w:szCs w:val="16"/>
              </w:rPr>
            </w:pPr>
            <w:r w:rsidRPr="00FB356D">
              <w:rPr>
                <w:rFonts w:ascii="Calibri" w:eastAsia="Calibri" w:hAnsi="Calibri" w:cs="Calibri"/>
                <w:sz w:val="16"/>
                <w:szCs w:val="16"/>
              </w:rPr>
              <w:t> </w:t>
            </w:r>
          </w:p>
        </w:tc>
        <w:tc>
          <w:tcPr>
            <w:tcW w:w="657" w:type="pct"/>
            <w:noWrap/>
            <w:tcMar>
              <w:top w:w="0" w:type="dxa"/>
              <w:left w:w="70" w:type="dxa"/>
              <w:bottom w:w="0" w:type="dxa"/>
              <w:right w:w="70" w:type="dxa"/>
            </w:tcMar>
            <w:vAlign w:val="center"/>
            <w:hideMark/>
          </w:tcPr>
          <w:p w14:paraId="124EF9DC"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500 000 000</w:t>
            </w:r>
          </w:p>
        </w:tc>
        <w:tc>
          <w:tcPr>
            <w:tcW w:w="268" w:type="pct"/>
            <w:noWrap/>
            <w:tcMar>
              <w:top w:w="0" w:type="dxa"/>
              <w:left w:w="70" w:type="dxa"/>
              <w:bottom w:w="0" w:type="dxa"/>
              <w:right w:w="70" w:type="dxa"/>
            </w:tcMar>
            <w:vAlign w:val="center"/>
            <w:hideMark/>
          </w:tcPr>
          <w:p w14:paraId="7AD42BC9" w14:textId="77777777" w:rsidR="00395345" w:rsidRPr="00FB356D" w:rsidRDefault="00395345" w:rsidP="00D508AC">
            <w:pPr>
              <w:keepNext/>
              <w:spacing w:line="259" w:lineRule="auto"/>
              <w:jc w:val="right"/>
              <w:rPr>
                <w:rFonts w:ascii="Calibri" w:eastAsia="Calibri" w:hAnsi="Calibri" w:cs="Calibri"/>
                <w:b/>
                <w:bCs/>
                <w:sz w:val="16"/>
                <w:szCs w:val="16"/>
              </w:rPr>
            </w:pPr>
            <w:r w:rsidRPr="00FB356D">
              <w:rPr>
                <w:rFonts w:ascii="Calibri" w:eastAsia="Calibri" w:hAnsi="Calibri" w:cs="Calibri"/>
                <w:b/>
                <w:bCs/>
                <w:sz w:val="16"/>
                <w:szCs w:val="16"/>
              </w:rPr>
              <w:t>37</w:t>
            </w:r>
          </w:p>
        </w:tc>
        <w:tc>
          <w:tcPr>
            <w:tcW w:w="629" w:type="pct"/>
            <w:noWrap/>
            <w:tcMar>
              <w:top w:w="0" w:type="dxa"/>
              <w:left w:w="70" w:type="dxa"/>
              <w:bottom w:w="0" w:type="dxa"/>
              <w:right w:w="70" w:type="dxa"/>
            </w:tcMar>
            <w:vAlign w:val="center"/>
            <w:hideMark/>
          </w:tcPr>
          <w:p w14:paraId="38A0B292"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517 452 088</w:t>
            </w:r>
          </w:p>
        </w:tc>
        <w:tc>
          <w:tcPr>
            <w:tcW w:w="261" w:type="pct"/>
            <w:noWrap/>
            <w:tcMar>
              <w:top w:w="0" w:type="dxa"/>
              <w:left w:w="70" w:type="dxa"/>
              <w:bottom w:w="0" w:type="dxa"/>
              <w:right w:w="70" w:type="dxa"/>
            </w:tcMar>
            <w:vAlign w:val="center"/>
            <w:hideMark/>
          </w:tcPr>
          <w:p w14:paraId="07EF6688"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26</w:t>
            </w:r>
          </w:p>
        </w:tc>
        <w:tc>
          <w:tcPr>
            <w:tcW w:w="666" w:type="pct"/>
            <w:noWrap/>
            <w:tcMar>
              <w:top w:w="0" w:type="dxa"/>
              <w:left w:w="70" w:type="dxa"/>
              <w:bottom w:w="0" w:type="dxa"/>
              <w:right w:w="70" w:type="dxa"/>
            </w:tcMar>
            <w:vAlign w:val="center"/>
            <w:hideMark/>
          </w:tcPr>
          <w:p w14:paraId="063D1A92"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396 959 256</w:t>
            </w:r>
          </w:p>
        </w:tc>
        <w:tc>
          <w:tcPr>
            <w:tcW w:w="582" w:type="pct"/>
            <w:noWrap/>
            <w:tcMar>
              <w:top w:w="0" w:type="dxa"/>
              <w:left w:w="70" w:type="dxa"/>
              <w:bottom w:w="0" w:type="dxa"/>
              <w:right w:w="70" w:type="dxa"/>
            </w:tcMar>
            <w:vAlign w:val="center"/>
            <w:hideMark/>
          </w:tcPr>
          <w:p w14:paraId="7130F820" w14:textId="77777777" w:rsidR="00395345" w:rsidRPr="00FB356D" w:rsidRDefault="00395345" w:rsidP="00D508AC">
            <w:pPr>
              <w:keepNext/>
              <w:spacing w:line="259" w:lineRule="auto"/>
              <w:jc w:val="right"/>
              <w:rPr>
                <w:rFonts w:ascii="Calibri" w:eastAsia="Calibri" w:hAnsi="Calibri" w:cs="Calibri"/>
                <w:b/>
                <w:bCs/>
                <w:sz w:val="16"/>
                <w:szCs w:val="16"/>
                <w:highlight w:val="yellow"/>
              </w:rPr>
            </w:pPr>
            <w:r w:rsidRPr="00FB356D">
              <w:rPr>
                <w:rFonts w:ascii="Calibri" w:eastAsia="Calibri" w:hAnsi="Calibri" w:cs="Calibri"/>
                <w:b/>
                <w:bCs/>
                <w:sz w:val="16"/>
                <w:szCs w:val="16"/>
              </w:rPr>
              <w:t>117 575 814</w:t>
            </w:r>
          </w:p>
        </w:tc>
      </w:tr>
    </w:tbl>
    <w:p w14:paraId="22CEB3A9" w14:textId="36A661DC" w:rsidR="00395345" w:rsidRDefault="00395345" w:rsidP="00FB356D">
      <w:pPr>
        <w:pStyle w:val="Zdrojapozn"/>
        <w:spacing w:before="40"/>
        <w:rPr>
          <w:rFonts w:eastAsia="Calibri"/>
        </w:rPr>
      </w:pPr>
      <w:r w:rsidRPr="00D24707">
        <w:rPr>
          <w:rFonts w:eastAsia="Calibri"/>
          <w:b/>
        </w:rPr>
        <w:t>Zdroj:</w:t>
      </w:r>
      <w:r w:rsidRPr="000D779D">
        <w:rPr>
          <w:rFonts w:eastAsia="Calibri"/>
        </w:rPr>
        <w:t xml:space="preserve"> </w:t>
      </w:r>
      <w:r w:rsidR="00AC1044">
        <w:rPr>
          <w:rFonts w:eastAsia="Calibri"/>
        </w:rPr>
        <w:t>zpracoval NKÚ na základě i</w:t>
      </w:r>
      <w:r w:rsidRPr="000D779D">
        <w:rPr>
          <w:rFonts w:eastAsia="Calibri"/>
        </w:rPr>
        <w:t>nformac</w:t>
      </w:r>
      <w:r w:rsidR="00AC1044">
        <w:rPr>
          <w:rFonts w:eastAsia="Calibri"/>
        </w:rPr>
        <w:t>í</w:t>
      </w:r>
      <w:r>
        <w:rPr>
          <w:rFonts w:eastAsia="Calibri"/>
        </w:rPr>
        <w:t xml:space="preserve"> z MŽP</w:t>
      </w:r>
      <w:r w:rsidR="00AC1044">
        <w:rPr>
          <w:rFonts w:eastAsia="Calibri"/>
        </w:rPr>
        <w:t>.</w:t>
      </w:r>
    </w:p>
    <w:p w14:paraId="6ECF1510" w14:textId="77777777" w:rsidR="00395345" w:rsidRPr="00B35A0A" w:rsidRDefault="00395345" w:rsidP="00FB356D">
      <w:pPr>
        <w:pStyle w:val="Text"/>
        <w:keepNext/>
        <w:spacing w:after="120" w:line="264" w:lineRule="auto"/>
        <w:rPr>
          <w:i/>
        </w:rPr>
      </w:pPr>
      <w:r w:rsidRPr="00B35A0A">
        <w:rPr>
          <w:i/>
        </w:rPr>
        <w:t>Specifický cíl 2.1 Snížit emise z lokálního vytápění domácností</w:t>
      </w:r>
    </w:p>
    <w:p w14:paraId="1967E945" w14:textId="28051641" w:rsidR="00395345" w:rsidRDefault="00395345" w:rsidP="00FB356D">
      <w:pPr>
        <w:pStyle w:val="Text"/>
        <w:spacing w:after="120" w:line="264" w:lineRule="auto"/>
      </w:pPr>
      <w:r w:rsidRPr="003F7BCB">
        <w:t>V rámci OPŽP je prioritní důraz</w:t>
      </w:r>
      <w:r>
        <w:t xml:space="preserve"> </w:t>
      </w:r>
      <w:r w:rsidRPr="003F7BCB">
        <w:t>kladen na snižování emisí z lokálních topenišť</w:t>
      </w:r>
      <w:r>
        <w:t xml:space="preserve">, </w:t>
      </w:r>
      <w:r w:rsidRPr="003F7BCB">
        <w:t>které byly v době nastavování OPŽP</w:t>
      </w:r>
      <w:r>
        <w:rPr>
          <w:rStyle w:val="Znakapoznpodarou"/>
        </w:rPr>
        <w:footnoteReference w:id="18"/>
      </w:r>
      <w:r w:rsidRPr="003F7BCB">
        <w:t xml:space="preserve"> zdrojem</w:t>
      </w:r>
      <w:r>
        <w:t xml:space="preserve"> </w:t>
      </w:r>
      <w:r w:rsidRPr="003F7BCB">
        <w:t>přibližně 41 % veškerých emisí PM</w:t>
      </w:r>
      <w:r w:rsidRPr="00E302F5">
        <w:rPr>
          <w:vertAlign w:val="subscript"/>
        </w:rPr>
        <w:t>10</w:t>
      </w:r>
      <w:r w:rsidRPr="003F7BCB">
        <w:t>, více než 59 % emisí PM</w:t>
      </w:r>
      <w:r w:rsidRPr="00E302F5">
        <w:rPr>
          <w:vertAlign w:val="subscript"/>
        </w:rPr>
        <w:t>2,5</w:t>
      </w:r>
      <w:r w:rsidRPr="003F7BCB">
        <w:t xml:space="preserve"> </w:t>
      </w:r>
      <w:r>
        <w:t>a </w:t>
      </w:r>
      <w:r w:rsidRPr="003F7BCB">
        <w:t>téměř 90 %</w:t>
      </w:r>
      <w:r>
        <w:t xml:space="preserve"> </w:t>
      </w:r>
      <w:r w:rsidRPr="003F7BCB">
        <w:t xml:space="preserve">emisí </w:t>
      </w:r>
      <w:proofErr w:type="spellStart"/>
      <w:r w:rsidR="00AE2306">
        <w:t>BaP</w:t>
      </w:r>
      <w:proofErr w:type="spellEnd"/>
      <w:r w:rsidRPr="003F7BCB">
        <w:t>, a to v tzv. respirační zóně, která je z pohledu účinků znečištění ovzduší</w:t>
      </w:r>
      <w:r>
        <w:t xml:space="preserve"> </w:t>
      </w:r>
      <w:r w:rsidRPr="003F7BCB">
        <w:t xml:space="preserve">na lidské zdraví </w:t>
      </w:r>
      <w:r w:rsidR="00922F44">
        <w:t>nejvýznamnější</w:t>
      </w:r>
      <w:r w:rsidRPr="003F7BCB">
        <w:t>. Pro SC 2.1, který se zabývá snižováním em</w:t>
      </w:r>
      <w:r>
        <w:t>isí z </w:t>
      </w:r>
      <w:r w:rsidRPr="003F7BCB">
        <w:t>domácností,</w:t>
      </w:r>
      <w:r>
        <w:t xml:space="preserve"> </w:t>
      </w:r>
      <w:r w:rsidRPr="003F7BCB">
        <w:t>bylo tedy určeno 75 % finančních prostředků z alokace na PO2.</w:t>
      </w:r>
      <w:r w:rsidRPr="00732AE2">
        <w:t xml:space="preserve"> </w:t>
      </w:r>
      <w:r w:rsidRPr="00EF647C">
        <w:t xml:space="preserve">Přidělování peněžních prostředků </w:t>
      </w:r>
      <w:r w:rsidRPr="00732AE2">
        <w:t>krajům</w:t>
      </w:r>
      <w:r w:rsidRPr="00EF647C">
        <w:t xml:space="preserve"> v jednotlivých výzvách bylo provedeno na základě</w:t>
      </w:r>
      <w:r>
        <w:t xml:space="preserve"> </w:t>
      </w:r>
      <w:r w:rsidRPr="00EF647C">
        <w:t>předpokladu počtu nevyhovujících kotlů se zohledněním kvality ovzduší v jednotlivém kraji.</w:t>
      </w:r>
    </w:p>
    <w:p w14:paraId="426CC99E" w14:textId="482A4220" w:rsidR="00395345" w:rsidRDefault="00395345" w:rsidP="00FB356D">
      <w:pPr>
        <w:pStyle w:val="Text"/>
        <w:spacing w:after="120" w:line="264" w:lineRule="auto"/>
      </w:pPr>
      <w:r w:rsidRPr="00903557">
        <w:t>Cílem MŽP je výměna 80 tisíc starých kotlů s ručním přikládáním, které výrazným způsobem</w:t>
      </w:r>
      <w:r>
        <w:t xml:space="preserve"> </w:t>
      </w:r>
      <w:r w:rsidRPr="00903557">
        <w:t xml:space="preserve">znečišťují ovzduší v ČR, za nové </w:t>
      </w:r>
      <w:proofErr w:type="spellStart"/>
      <w:r w:rsidRPr="00903557">
        <w:t>nízkoemisní</w:t>
      </w:r>
      <w:proofErr w:type="spellEnd"/>
      <w:r w:rsidRPr="00903557">
        <w:t xml:space="preserve"> zdroje vytápění.</w:t>
      </w:r>
      <w:r>
        <w:t xml:space="preserve"> </w:t>
      </w:r>
      <w:r w:rsidRPr="00903557">
        <w:t>Dotace jsou určeny na</w:t>
      </w:r>
      <w:r w:rsidR="00922F44">
        <w:t xml:space="preserve"> </w:t>
      </w:r>
      <w:r w:rsidRPr="00903557">
        <w:t xml:space="preserve">výměnu starých neekologických kotlů </w:t>
      </w:r>
      <w:r>
        <w:t xml:space="preserve">1. a 2 emisní třídy </w:t>
      </w:r>
      <w:r w:rsidRPr="00903557">
        <w:t>na tuhá paliva za moderní</w:t>
      </w:r>
      <w:r>
        <w:t xml:space="preserve"> </w:t>
      </w:r>
      <w:proofErr w:type="spellStart"/>
      <w:r>
        <w:t>nízkoemisní</w:t>
      </w:r>
      <w:proofErr w:type="spellEnd"/>
      <w:r>
        <w:t xml:space="preserve"> kotle na</w:t>
      </w:r>
      <w:r w:rsidR="00922F44">
        <w:t xml:space="preserve"> </w:t>
      </w:r>
      <w:r w:rsidRPr="00903557">
        <w:t>biomasu, uhlí nebo jejich kombinaci, za tepelné čerpadlo, plynový kotel</w:t>
      </w:r>
      <w:r>
        <w:t xml:space="preserve"> </w:t>
      </w:r>
      <w:r w:rsidRPr="00903557">
        <w:t>nebo solární systém.</w:t>
      </w:r>
      <w:r>
        <w:t xml:space="preserve"> </w:t>
      </w:r>
      <w:r w:rsidRPr="008868BA">
        <w:t xml:space="preserve">Na základě údajů ze </w:t>
      </w:r>
      <w:r w:rsidRPr="00B1650A">
        <w:rPr>
          <w:i/>
        </w:rPr>
        <w:t>Sčítání lidu, bytů a domů 2011</w:t>
      </w:r>
      <w:r>
        <w:t xml:space="preserve"> bylo</w:t>
      </w:r>
      <w:r w:rsidRPr="008868BA">
        <w:t xml:space="preserve"> na území České republiky 587</w:t>
      </w:r>
      <w:r w:rsidR="00A92C84">
        <w:t> </w:t>
      </w:r>
      <w:r w:rsidRPr="008868BA">
        <w:t>tis</w:t>
      </w:r>
      <w:r w:rsidR="00922F44">
        <w:t>íc</w:t>
      </w:r>
      <w:r w:rsidRPr="008868BA">
        <w:t xml:space="preserve"> rodinných domů využívajících vytápění </w:t>
      </w:r>
      <w:r>
        <w:t>na pevná paliva s výkonem do 50 </w:t>
      </w:r>
      <w:r w:rsidRPr="008868BA">
        <w:t>kW, které jsou zařazeny dle ČNS EN 305-1 do 1. a 2. emisní třídy.</w:t>
      </w:r>
      <w:r w:rsidR="00F53FAC">
        <w:t xml:space="preserve"> Z uvedeného vyplývá</w:t>
      </w:r>
      <w:r w:rsidR="00B904E2">
        <w:t>, že cílem MŽP je</w:t>
      </w:r>
      <w:r w:rsidR="00922F44">
        <w:t xml:space="preserve"> </w:t>
      </w:r>
      <w:r w:rsidR="00F53FAC">
        <w:t xml:space="preserve">výměna cca 14 % </w:t>
      </w:r>
      <w:r w:rsidR="00B904E2">
        <w:t>nevyhovujících zastaralých kotlů.</w:t>
      </w:r>
    </w:p>
    <w:p w14:paraId="627F8C29" w14:textId="745DF62C" w:rsidR="00395345" w:rsidRPr="00CA6F84" w:rsidRDefault="00395345" w:rsidP="00FB356D">
      <w:pPr>
        <w:pStyle w:val="Text"/>
        <w:spacing w:after="120" w:line="264" w:lineRule="auto"/>
      </w:pPr>
      <w:r>
        <w:t xml:space="preserve">Do ukončení </w:t>
      </w:r>
      <w:r w:rsidR="00922F44">
        <w:t xml:space="preserve">této </w:t>
      </w:r>
      <w:r>
        <w:t xml:space="preserve">kontrolní akce byly vyhlášeny a v realizaci první dvě výzvy </w:t>
      </w:r>
      <w:r w:rsidR="00922F44">
        <w:t>tzv. </w:t>
      </w:r>
      <w:r>
        <w:t xml:space="preserve">kotlíkových dotací (16. a 67. výzva) se stanoveným minimálním počtem realizovaných projektů 57 225. Ke konci roku 2017 bylo průběžně vyhodnoceno 26 080 projektů. Nejvíce kotlů bylo vyměněno ve Středočeském kraji (celkem 4 652) a v Moravskoslezském kraji (celkem 4 330). Z průběžných dat hodnocení kotlíkových dotací sledovaných SFŽP vyplývá následující skladba nových kotlů: 33 % </w:t>
      </w:r>
      <w:r w:rsidRPr="001F5FC1">
        <w:t>kombinované kotle na uhlí a biomasu</w:t>
      </w:r>
      <w:r>
        <w:t>, 25 %</w:t>
      </w:r>
      <w:r w:rsidRPr="001F5FC1">
        <w:t xml:space="preserve"> tepeln</w:t>
      </w:r>
      <w:r>
        <w:t>á</w:t>
      </w:r>
      <w:r w:rsidRPr="001F5FC1">
        <w:t xml:space="preserve"> čerpadl</w:t>
      </w:r>
      <w:r>
        <w:t>a, 18 % kotle na biomasu, 14 % plynové kotle a 10 %</w:t>
      </w:r>
      <w:r w:rsidRPr="001F5FC1">
        <w:t xml:space="preserve"> kotl</w:t>
      </w:r>
      <w:r>
        <w:t>e</w:t>
      </w:r>
      <w:r w:rsidRPr="001F5FC1">
        <w:t xml:space="preserve"> </w:t>
      </w:r>
      <w:r>
        <w:t>na</w:t>
      </w:r>
      <w:r w:rsidRPr="001F5FC1">
        <w:t xml:space="preserve"> uhlí.</w:t>
      </w:r>
    </w:p>
    <w:p w14:paraId="5230F1F6" w14:textId="6FBF90EE" w:rsidR="00395345" w:rsidRDefault="00395345" w:rsidP="00FB356D">
      <w:pPr>
        <w:pStyle w:val="Text"/>
        <w:spacing w:after="120" w:line="264" w:lineRule="auto"/>
      </w:pPr>
      <w:r>
        <w:t>Č</w:t>
      </w:r>
      <w:r w:rsidRPr="00815D28">
        <w:t xml:space="preserve">erpání peněžních prostředků v rámci </w:t>
      </w:r>
      <w:r>
        <w:t>16.</w:t>
      </w:r>
      <w:r w:rsidRPr="00815D28">
        <w:t xml:space="preserve"> výzvy </w:t>
      </w:r>
      <w:r>
        <w:t xml:space="preserve">(1. kolo kotlíkových dotací) </w:t>
      </w:r>
      <w:r w:rsidRPr="00815D28">
        <w:t xml:space="preserve">bude ukončeno do 31. 12. 2018 </w:t>
      </w:r>
      <w:r>
        <w:t>a v rámci 67. výzvy</w:t>
      </w:r>
      <w:r w:rsidRPr="00815D28">
        <w:t xml:space="preserve"> (2. kolo kotlíkových dotací)</w:t>
      </w:r>
      <w:r>
        <w:t xml:space="preserve"> </w:t>
      </w:r>
      <w:r w:rsidRPr="00815D28">
        <w:t>bud</w:t>
      </w:r>
      <w:r>
        <w:t>ou</w:t>
      </w:r>
      <w:r w:rsidRPr="00815D28">
        <w:t xml:space="preserve"> čerpány peněžní prostředky konečnými příjemci dotací do 31. 12. 2019. Z důvodu dosud neukončené realizace projektů ani v rámci 1. kola kotlíkových dotací </w:t>
      </w:r>
      <w:r>
        <w:t>není možno vyhodnotit celkový přínos poskytnutých peněžních prostředků na snížení emisí z lokálního vytápění domácností. Přestože aktuálně nelze tento přínos vyhodnotit, lze konstatovat, že</w:t>
      </w:r>
      <w:r w:rsidR="00922F44">
        <w:t xml:space="preserve"> </w:t>
      </w:r>
      <w:r>
        <w:t>zaměření PO2 primárně na výměnu starých kotlů za kotle s nižšími emisemi primárních znečišťujících látek je</w:t>
      </w:r>
      <w:r w:rsidR="00922F44">
        <w:t xml:space="preserve"> </w:t>
      </w:r>
      <w:r>
        <w:t>pozitivní a vede ke snižování úrovně znečišťování ovzduší a tím ke zlepšování kvality ovzduší. Z </w:t>
      </w:r>
      <w:r w:rsidRPr="00B35A0A">
        <w:t xml:space="preserve">dosavadního </w:t>
      </w:r>
      <w:r>
        <w:t xml:space="preserve">průběžného </w:t>
      </w:r>
      <w:r w:rsidRPr="00B35A0A">
        <w:t xml:space="preserve">plnění stanovených indikátorů a cílů programu lze usuzovat, </w:t>
      </w:r>
      <w:r>
        <w:t>že</w:t>
      </w:r>
      <w:r w:rsidR="00922F44">
        <w:t xml:space="preserve"> </w:t>
      </w:r>
      <w:r>
        <w:t>po</w:t>
      </w:r>
      <w:r w:rsidR="00922F44">
        <w:t xml:space="preserve"> </w:t>
      </w:r>
      <w:r>
        <w:t>ukončení všech projektů v </w:t>
      </w:r>
      <w:r w:rsidRPr="00B35A0A">
        <w:t>rámci SC 2.1 budou tyto cíle a i</w:t>
      </w:r>
      <w:r>
        <w:t>ndikátory výrazně překročeny.</w:t>
      </w:r>
      <w:r w:rsidRPr="00B35A0A">
        <w:t xml:space="preserve">   </w:t>
      </w:r>
    </w:p>
    <w:p w14:paraId="3ABF47E1" w14:textId="77777777" w:rsidR="00395345" w:rsidRPr="00B35A0A" w:rsidRDefault="00395345" w:rsidP="00FB356D">
      <w:pPr>
        <w:pStyle w:val="Text"/>
        <w:spacing w:after="120" w:line="264" w:lineRule="auto"/>
        <w:rPr>
          <w:i/>
        </w:rPr>
      </w:pPr>
      <w:r w:rsidRPr="00B35A0A">
        <w:rPr>
          <w:i/>
        </w:rPr>
        <w:t>Specifický cíl 2.2: Snížit emise stacionárních zdrojů</w:t>
      </w:r>
      <w:r w:rsidR="00D076BB">
        <w:rPr>
          <w:rStyle w:val="Znakapoznpodarou"/>
        </w:rPr>
        <w:footnoteReference w:id="19"/>
      </w:r>
    </w:p>
    <w:p w14:paraId="57355096" w14:textId="2327EDA1" w:rsidR="00395345" w:rsidRDefault="00395345" w:rsidP="00FB356D">
      <w:pPr>
        <w:pStyle w:val="Text"/>
        <w:spacing w:after="120" w:line="264" w:lineRule="auto"/>
      </w:pPr>
      <w:r>
        <w:t xml:space="preserve">Z PO2 je podporována mj. </w:t>
      </w:r>
      <w:r w:rsidRPr="00732AE2">
        <w:t xml:space="preserve">realizace opatření ke snížení </w:t>
      </w:r>
      <w:proofErr w:type="spellStart"/>
      <w:r w:rsidRPr="00732AE2">
        <w:t>resuspenze</w:t>
      </w:r>
      <w:proofErr w:type="spellEnd"/>
      <w:r w:rsidR="00B904E2">
        <w:rPr>
          <w:rStyle w:val="Znakapoznpodarou"/>
        </w:rPr>
        <w:footnoteReference w:id="20"/>
      </w:r>
      <w:r w:rsidRPr="00732AE2">
        <w:t xml:space="preserve"> a emisí znečišťujících látek ze stacionárních zdrojů, které se výraznou měrou podílejí na vysoké úrovni znečištění ovzduší</w:t>
      </w:r>
      <w:r>
        <w:t xml:space="preserve">. Nejzásadnější </w:t>
      </w:r>
      <w:r w:rsidRPr="00732AE2">
        <w:t>typové projekty</w:t>
      </w:r>
      <w:r>
        <w:t xml:space="preserve"> jsou kompletní nebo dílčí náhrada či</w:t>
      </w:r>
      <w:r w:rsidR="00922F44">
        <w:t xml:space="preserve"> </w:t>
      </w:r>
      <w:r w:rsidRPr="00732AE2">
        <w:t>rekonstrukce stávajících st</w:t>
      </w:r>
      <w:r>
        <w:t>acionárních zdrojů znečišťování nebo</w:t>
      </w:r>
      <w:r w:rsidRPr="00732AE2">
        <w:t xml:space="preserve"> pořízení dodatečných technologií ke snížení emisí znečišťujících látek či ke snížení úrovně znečištění.</w:t>
      </w:r>
    </w:p>
    <w:p w14:paraId="33618021" w14:textId="5744C53F" w:rsidR="00395345" w:rsidRDefault="00395345" w:rsidP="00FB356D">
      <w:pPr>
        <w:pStyle w:val="TextKP"/>
        <w:spacing w:after="120" w:line="264" w:lineRule="auto"/>
      </w:pPr>
      <w:r>
        <w:t xml:space="preserve">Kontrolou administrace </w:t>
      </w:r>
      <w:r w:rsidRPr="00B35A0A">
        <w:t>vybraných projektů</w:t>
      </w:r>
      <w:r>
        <w:t xml:space="preserve"> z úrovně zprostředkujícího subjektu bylo zjištěno</w:t>
      </w:r>
      <w:r w:rsidRPr="00B35A0A">
        <w:t xml:space="preserve">, že SFŽP </w:t>
      </w:r>
      <w:r w:rsidR="00D81FB6" w:rsidRPr="006F001C">
        <w:t>nevyžadoval</w:t>
      </w:r>
      <w:r w:rsidR="00D81FB6">
        <w:t xml:space="preserve"> </w:t>
      </w:r>
      <w:r w:rsidRPr="00B35A0A">
        <w:t xml:space="preserve">předkládání podkladů k závěrečnému vyhodnocení akcí od příjemců </w:t>
      </w:r>
      <w:r>
        <w:t>podpory ve stanovených termínech. SFŽP</w:t>
      </w:r>
      <w:r w:rsidRPr="00B35A0A">
        <w:t xml:space="preserve"> </w:t>
      </w:r>
      <w:r>
        <w:t xml:space="preserve">tak </w:t>
      </w:r>
      <w:r w:rsidRPr="00B35A0A">
        <w:t>nepostupoval v souladu s ustanovení §</w:t>
      </w:r>
      <w:r>
        <w:t> 25 odst.</w:t>
      </w:r>
      <w:r w:rsidR="00922F44">
        <w:t> </w:t>
      </w:r>
      <w:r>
        <w:t>1 zákona č. 320/2001 Sb.</w:t>
      </w:r>
      <w:r w:rsidR="00B34540">
        <w:rPr>
          <w:rStyle w:val="Znakapoznpodarou"/>
        </w:rPr>
        <w:footnoteReference w:id="21"/>
      </w:r>
      <w:r>
        <w:t xml:space="preserve">, neboť </w:t>
      </w:r>
      <w:r w:rsidRPr="00B35A0A">
        <w:t>nezavedl a neudr</w:t>
      </w:r>
      <w:r>
        <w:t>žoval vnitřní kontrolní systém tak, aby</w:t>
      </w:r>
      <w:r w:rsidR="00922F44">
        <w:t xml:space="preserve"> </w:t>
      </w:r>
      <w:r w:rsidRPr="00B35A0A">
        <w:t>umožnil včas upozornit na neplnění povinností ze strany příjemc</w:t>
      </w:r>
      <w:r>
        <w:t>ů.</w:t>
      </w:r>
    </w:p>
    <w:p w14:paraId="3E7D5292" w14:textId="77777777" w:rsidR="00395345" w:rsidRPr="0006596D" w:rsidRDefault="00395345" w:rsidP="00FB356D">
      <w:pPr>
        <w:pStyle w:val="TextKP"/>
        <w:spacing w:after="120" w:line="264" w:lineRule="auto"/>
        <w:rPr>
          <w:i/>
        </w:rPr>
      </w:pPr>
      <w:r w:rsidRPr="0006596D">
        <w:rPr>
          <w:i/>
        </w:rPr>
        <w:t>Specifický cíl 2.3: Zlepšit systém sledování, hodnocení a předpo</w:t>
      </w:r>
      <w:r>
        <w:rPr>
          <w:i/>
        </w:rPr>
        <w:t>vídání vývoje kvality ovzduší a </w:t>
      </w:r>
      <w:r w:rsidRPr="0006596D">
        <w:rPr>
          <w:i/>
        </w:rPr>
        <w:t>souvisejících meteorologických aspektů</w:t>
      </w:r>
    </w:p>
    <w:p w14:paraId="68D58A0C" w14:textId="77777777" w:rsidR="00395345" w:rsidRDefault="00395345" w:rsidP="00FB356D">
      <w:pPr>
        <w:pStyle w:val="TextKP"/>
        <w:spacing w:after="120" w:line="264" w:lineRule="auto"/>
      </w:pPr>
      <w:r>
        <w:t>Třetí oblastí podpory z PO2 jsou projekty zaměřené na zlepšení s</w:t>
      </w:r>
      <w:r w:rsidRPr="0072629D">
        <w:t>ystém</w:t>
      </w:r>
      <w:r>
        <w:t>u</w:t>
      </w:r>
      <w:r w:rsidRPr="0072629D">
        <w:t xml:space="preserve"> sledování, hodnocení a předpovídání vývoje kvality ovzduší a počasí</w:t>
      </w:r>
      <w:r>
        <w:t xml:space="preserve">, který </w:t>
      </w:r>
      <w:r w:rsidRPr="0072629D">
        <w:t>slouží mj. k vyhodnocování současného stavu, předpovědi budoucího vývoje v krátkodobém i v dlouhodobém horizontu a také k vyhodnocování účinnosti opatření ke zlepšení kvality ovzdu</w:t>
      </w:r>
      <w:r>
        <w:t>ší. Finančně nejvýznamnějším příjemcem podpory v rámci tohoto specifického cíle je Český hydrometeorologický ústav.</w:t>
      </w:r>
    </w:p>
    <w:p w14:paraId="631DD47C" w14:textId="69024AE0" w:rsidR="00395345" w:rsidRDefault="00395345" w:rsidP="00FB356D">
      <w:pPr>
        <w:pStyle w:val="TextKP"/>
        <w:spacing w:after="120" w:line="264" w:lineRule="auto"/>
      </w:pPr>
      <w:r>
        <w:t xml:space="preserve">V kontrolovaném období byly vyhlášeny v rámci SC 2.3 výzvy č. 17, 79 a 98 </w:t>
      </w:r>
      <w:r w:rsidR="00922F44">
        <w:t>(</w:t>
      </w:r>
      <w:r>
        <w:t xml:space="preserve">viz tabulka č. </w:t>
      </w:r>
      <w:r w:rsidR="00D24707">
        <w:t>1</w:t>
      </w:r>
      <w:r w:rsidR="00922F44">
        <w:t>)</w:t>
      </w:r>
      <w:r>
        <w:t>. V rámci 17. výzvy bylo podpořeno 14 projektů s příspěvkem EU ve výši 208 mil. Kč. U pěti</w:t>
      </w:r>
      <w:r w:rsidR="00922F44">
        <w:t xml:space="preserve"> </w:t>
      </w:r>
      <w:r>
        <w:t xml:space="preserve">projektů s příspěvkem EU ve výši 135 mil. Kč byl žadatelem ČHMÚ. V rámci 79. výzvy bylo podpořeno </w:t>
      </w:r>
      <w:r w:rsidR="00C673C7">
        <w:t>9</w:t>
      </w:r>
      <w:r>
        <w:t xml:space="preserve"> projektů s příspěvkem EU ve výši 13</w:t>
      </w:r>
      <w:r w:rsidR="00C673C7">
        <w:t>8</w:t>
      </w:r>
      <w:r>
        <w:t xml:space="preserve"> mil. Kč. U dvou projektů s příspěvkem EU ve výši 67 mil. Kč byl žadatelem ČHMÚ. Výše přidělené podpory v rámci výzev č. 17 a 79 pro ČHMÚ představuje </w:t>
      </w:r>
      <w:r w:rsidR="00C673C7">
        <w:t>58</w:t>
      </w:r>
      <w:r>
        <w:t xml:space="preserve"> % z celkové alokace </w:t>
      </w:r>
      <w:r w:rsidR="00922F44">
        <w:t xml:space="preserve">ve výši </w:t>
      </w:r>
      <w:r>
        <w:t>3</w:t>
      </w:r>
      <w:r w:rsidR="00C673C7">
        <w:t>46</w:t>
      </w:r>
      <w:r>
        <w:t xml:space="preserve"> mil. Kč </w:t>
      </w:r>
      <w:r w:rsidR="00922F44">
        <w:t xml:space="preserve">přidělené </w:t>
      </w:r>
      <w:r>
        <w:t>těmto výzvám.</w:t>
      </w:r>
    </w:p>
    <w:p w14:paraId="0A6D88FE" w14:textId="418966A2" w:rsidR="00395345" w:rsidRDefault="00395345" w:rsidP="00FB356D">
      <w:pPr>
        <w:pStyle w:val="TextKP"/>
        <w:spacing w:after="120" w:line="264" w:lineRule="auto"/>
      </w:pPr>
      <w:r>
        <w:t>Dne 8. 3. 2018 byla vyhlášena 98. výzva s příjmem</w:t>
      </w:r>
      <w:r w:rsidRPr="00D939F1">
        <w:t xml:space="preserve"> žádostí do 20. 12. 2018. Jedná se o poslední výzvu na zbývající volné prostředky </w:t>
      </w:r>
      <w:r>
        <w:t xml:space="preserve">v rámci </w:t>
      </w:r>
      <w:r w:rsidRPr="00D939F1">
        <w:t>SC 2.3.</w:t>
      </w:r>
      <w:r>
        <w:t xml:space="preserve"> Ke dni 21. 8. 2018 bylo podáno 8 žádostí s příspěvkem EU </w:t>
      </w:r>
      <w:r w:rsidR="00922F44">
        <w:t xml:space="preserve">v objemu </w:t>
      </w:r>
      <w:r>
        <w:t xml:space="preserve">114 mil. Kč. U </w:t>
      </w:r>
      <w:r w:rsidR="00C673C7">
        <w:t>šesti</w:t>
      </w:r>
      <w:r>
        <w:t xml:space="preserve"> projektů s příspěvkem EU ve výši 110 mil. Kč byl žadatelem ČHMÚ.</w:t>
      </w:r>
    </w:p>
    <w:p w14:paraId="272D39FD" w14:textId="1B009FBA" w:rsidR="00395345" w:rsidRDefault="00395345" w:rsidP="00FB356D">
      <w:pPr>
        <w:pStyle w:val="TextKP"/>
        <w:spacing w:after="120" w:line="264" w:lineRule="auto"/>
      </w:pPr>
      <w:r>
        <w:t xml:space="preserve">ČHMÚ tedy realizuje prostřednictvím podpory z PO2 OPŽP celkem 13 projektů s celkovým příspěvkem EU 312 mil. Kč. Kontrolou bylo zjištěno, že </w:t>
      </w:r>
      <w:r w:rsidR="002F798E">
        <w:t>sedm</w:t>
      </w:r>
      <w:r>
        <w:t xml:space="preserve"> z těchto projektů s příspěvkem EU ve</w:t>
      </w:r>
      <w:r w:rsidR="002F798E">
        <w:t xml:space="preserve"> </w:t>
      </w:r>
      <w:r>
        <w:t>výši 147 mil. Kč (46 % z celkového příspěvku EU pro ČHMÚ) je však zaměřeno primárně na</w:t>
      </w:r>
      <w:r w:rsidR="002F798E">
        <w:t xml:space="preserve"> </w:t>
      </w:r>
      <w:r>
        <w:t>související meteorologické aspekty</w:t>
      </w:r>
      <w:r w:rsidR="002F798E">
        <w:t>, nikoliv</w:t>
      </w:r>
      <w:r>
        <w:t xml:space="preserve"> na sledování a vyhodnocování kvality ovzduší, což</w:t>
      </w:r>
      <w:r w:rsidR="002F798E">
        <w:t xml:space="preserve"> </w:t>
      </w:r>
      <w:r>
        <w:t>však nastavení specifického cíle 2.3 umožňuje.</w:t>
      </w:r>
    </w:p>
    <w:p w14:paraId="0D165DDA" w14:textId="01FC53E1" w:rsidR="00395345" w:rsidRDefault="00395345" w:rsidP="00FB356D">
      <w:pPr>
        <w:pStyle w:val="TextKP"/>
        <w:spacing w:after="120" w:line="264" w:lineRule="auto"/>
      </w:pPr>
      <w:r>
        <w:t xml:space="preserve">Kontrolou zjištěné skutečnosti identifikující riziko </w:t>
      </w:r>
      <w:r w:rsidRPr="00FE08D6">
        <w:t>nesplnění specifického programového ukazatele</w:t>
      </w:r>
      <w:r>
        <w:t xml:space="preserve"> pro SC 2.3 je dále rozvedeno pod bodem č. 5 v části B</w:t>
      </w:r>
      <w:r w:rsidR="002F798E">
        <w:t xml:space="preserve"> tohoto kontrolního závěru</w:t>
      </w:r>
      <w:r>
        <w:t>.</w:t>
      </w:r>
    </w:p>
    <w:p w14:paraId="2E1B3DDA" w14:textId="77777777" w:rsidR="00395345" w:rsidRPr="00B1650A" w:rsidRDefault="00395345" w:rsidP="00FB356D">
      <w:pPr>
        <w:pStyle w:val="Text"/>
        <w:numPr>
          <w:ilvl w:val="0"/>
          <w:numId w:val="36"/>
        </w:numPr>
        <w:spacing w:after="120" w:line="264" w:lineRule="auto"/>
        <w:ind w:left="284" w:hanging="284"/>
        <w:rPr>
          <w:b/>
          <w:i/>
        </w:rPr>
      </w:pPr>
      <w:r w:rsidRPr="00B1650A">
        <w:rPr>
          <w:b/>
          <w:i/>
        </w:rPr>
        <w:t>Národní program Životní prostředí</w:t>
      </w:r>
    </w:p>
    <w:p w14:paraId="66209CE0" w14:textId="635B268C" w:rsidR="00395345" w:rsidRPr="00D022E5" w:rsidRDefault="00395345" w:rsidP="00FB356D">
      <w:pPr>
        <w:pStyle w:val="Text"/>
        <w:spacing w:after="120" w:line="264" w:lineRule="auto"/>
        <w:rPr>
          <w:lang w:eastAsia="cs-CZ"/>
        </w:rPr>
      </w:pPr>
      <w:r>
        <w:rPr>
          <w:lang w:eastAsia="cs-CZ"/>
        </w:rPr>
        <w:t>NPŽP</w:t>
      </w:r>
      <w:r w:rsidRPr="00D022E5">
        <w:rPr>
          <w:lang w:eastAsia="cs-CZ"/>
        </w:rPr>
        <w:t xml:space="preserve"> je programem M</w:t>
      </w:r>
      <w:r>
        <w:rPr>
          <w:lang w:eastAsia="cs-CZ"/>
        </w:rPr>
        <w:t>ŽP</w:t>
      </w:r>
      <w:r w:rsidRPr="00D022E5">
        <w:rPr>
          <w:lang w:eastAsia="cs-CZ"/>
        </w:rPr>
        <w:t xml:space="preserve">, zprostředkujícím subjektem je </w:t>
      </w:r>
      <w:r>
        <w:rPr>
          <w:lang w:eastAsia="cs-CZ"/>
        </w:rPr>
        <w:t>SFŽP</w:t>
      </w:r>
      <w:r w:rsidRPr="00D022E5">
        <w:rPr>
          <w:lang w:eastAsia="cs-CZ"/>
        </w:rPr>
        <w:t>, z jehož prostředků</w:t>
      </w:r>
      <w:r>
        <w:rPr>
          <w:lang w:eastAsia="cs-CZ"/>
        </w:rPr>
        <w:t xml:space="preserve"> (zejména příjmy z environmentálních poplatků)</w:t>
      </w:r>
      <w:r w:rsidRPr="00D022E5">
        <w:rPr>
          <w:lang w:eastAsia="cs-CZ"/>
        </w:rPr>
        <w:t xml:space="preserve"> jsou poskytovány prostřednictvím NPŽP finanční prostředky na projekty. NPŽP je doplňujícím programem pro projekty, které nejsou podporovány v rámci jiných dotačních titulů</w:t>
      </w:r>
      <w:r w:rsidR="002F798E">
        <w:rPr>
          <w:lang w:eastAsia="cs-CZ"/>
        </w:rPr>
        <w:t>,</w:t>
      </w:r>
      <w:r w:rsidRPr="00D022E5">
        <w:rPr>
          <w:lang w:eastAsia="cs-CZ"/>
        </w:rPr>
        <w:t xml:space="preserve"> jako je O</w:t>
      </w:r>
      <w:r>
        <w:rPr>
          <w:lang w:eastAsia="cs-CZ"/>
        </w:rPr>
        <w:t xml:space="preserve">PŽP </w:t>
      </w:r>
      <w:r w:rsidRPr="00D022E5">
        <w:rPr>
          <w:lang w:eastAsia="cs-CZ"/>
        </w:rPr>
        <w:t>nebo</w:t>
      </w:r>
      <w:r w:rsidR="002F798E">
        <w:rPr>
          <w:lang w:eastAsia="cs-CZ"/>
        </w:rPr>
        <w:t xml:space="preserve"> program</w:t>
      </w:r>
      <w:r w:rsidRPr="00D022E5">
        <w:rPr>
          <w:lang w:eastAsia="cs-CZ"/>
        </w:rPr>
        <w:t xml:space="preserve"> </w:t>
      </w:r>
      <w:r w:rsidRPr="00B1650A">
        <w:rPr>
          <w:i/>
          <w:lang w:eastAsia="cs-CZ"/>
        </w:rPr>
        <w:t>Nová zelená úsporám</w:t>
      </w:r>
      <w:r>
        <w:rPr>
          <w:lang w:eastAsia="cs-CZ"/>
        </w:rPr>
        <w:t>.</w:t>
      </w:r>
    </w:p>
    <w:p w14:paraId="0C2F1E8F" w14:textId="1F934AF6" w:rsidR="00395345" w:rsidRDefault="00395345" w:rsidP="00FB356D">
      <w:pPr>
        <w:pStyle w:val="Text"/>
        <w:spacing w:after="120" w:line="264" w:lineRule="auto"/>
      </w:pPr>
      <w:r>
        <w:t>Od roku 2015 jsou prostředky ze SFŽP poskytovány prostřednictvím NPŽP na základě směrnice MŽP č. 4/2015</w:t>
      </w:r>
      <w:r>
        <w:rPr>
          <w:rStyle w:val="Znakapoznpodarou"/>
        </w:rPr>
        <w:footnoteReference w:id="22"/>
      </w:r>
      <w:r>
        <w:t xml:space="preserve">. Podpora z NPŽP je poskytována formou dotace, půjčky nebo jejich kombinací. Forma a účel podpory </w:t>
      </w:r>
      <w:r w:rsidR="002F798E">
        <w:t>jsou</w:t>
      </w:r>
      <w:r>
        <w:t xml:space="preserve"> stanoven</w:t>
      </w:r>
      <w:r w:rsidR="002F798E">
        <w:t>y</w:t>
      </w:r>
      <w:r>
        <w:t xml:space="preserve"> v rámci jednotlivých </w:t>
      </w:r>
      <w:r w:rsidR="002F798E">
        <w:t>v</w:t>
      </w:r>
      <w:r>
        <w:t>ýzev k předkládání žádostí o poskytnutí podpory.</w:t>
      </w:r>
    </w:p>
    <w:p w14:paraId="06B41DFB" w14:textId="464C9FE7" w:rsidR="00395345" w:rsidRDefault="00395345" w:rsidP="00FB356D">
      <w:pPr>
        <w:pStyle w:val="Text"/>
        <w:spacing w:after="120" w:line="264" w:lineRule="auto"/>
      </w:pPr>
      <w:r w:rsidRPr="00D022E5">
        <w:t xml:space="preserve">Na oblast ochrany a zlepšování ovzduší je zaměřena zejména </w:t>
      </w:r>
      <w:r w:rsidR="002F798E">
        <w:t>p</w:t>
      </w:r>
      <w:r w:rsidRPr="00D022E5">
        <w:t>r</w:t>
      </w:r>
      <w:r>
        <w:t xml:space="preserve">ioritní oblast 2: </w:t>
      </w:r>
      <w:r w:rsidRPr="00D76178">
        <w:rPr>
          <w:i/>
        </w:rPr>
        <w:t>Ovzduší</w:t>
      </w:r>
      <w:r>
        <w:t>. Dále</w:t>
      </w:r>
      <w:r w:rsidR="002F798E">
        <w:t xml:space="preserve"> </w:t>
      </w:r>
      <w:r w:rsidRPr="00D022E5">
        <w:t xml:space="preserve">jsou projekty v oblasti ochrany a zlepšování ovzduší podporovány v prioritní oblasti 5: </w:t>
      </w:r>
      <w:r w:rsidRPr="00D76178">
        <w:rPr>
          <w:i/>
        </w:rPr>
        <w:t>Životní prostředí ve městech a obcích</w:t>
      </w:r>
      <w:r>
        <w:t>.</w:t>
      </w:r>
      <w:r w:rsidRPr="00D022E5">
        <w:t xml:space="preserve"> Okrajově jsou podporovány projekty ke zlepšení kvality ovzduší také v </w:t>
      </w:r>
      <w:r w:rsidR="002F798E">
        <w:t>p</w:t>
      </w:r>
      <w:r w:rsidRPr="00D022E5">
        <w:t>rioritních oblastech 6</w:t>
      </w:r>
      <w:r w:rsidR="002F798E">
        <w:t>:</w:t>
      </w:r>
      <w:r w:rsidRPr="00D022E5">
        <w:t xml:space="preserve"> </w:t>
      </w:r>
      <w:r w:rsidRPr="00D76178">
        <w:rPr>
          <w:i/>
        </w:rPr>
        <w:t xml:space="preserve">Environmentální prevence </w:t>
      </w:r>
      <w:r w:rsidRPr="00B1650A">
        <w:t>a</w:t>
      </w:r>
      <w:r w:rsidRPr="00D76178">
        <w:rPr>
          <w:i/>
        </w:rPr>
        <w:t xml:space="preserve"> </w:t>
      </w:r>
      <w:r w:rsidR="002F798E" w:rsidRPr="00D022E5">
        <w:t>7</w:t>
      </w:r>
      <w:r w:rsidR="002F798E">
        <w:t>: </w:t>
      </w:r>
      <w:r w:rsidRPr="00D76178">
        <w:rPr>
          <w:i/>
        </w:rPr>
        <w:t>Inovativní a demonstrační projekty</w:t>
      </w:r>
      <w:r w:rsidRPr="00D022E5">
        <w:t>).</w:t>
      </w:r>
    </w:p>
    <w:p w14:paraId="46EEEB58" w14:textId="049F361E" w:rsidR="00395345" w:rsidRDefault="00395345" w:rsidP="00FB356D">
      <w:pPr>
        <w:pStyle w:val="Text"/>
        <w:spacing w:after="120" w:line="264" w:lineRule="auto"/>
      </w:pPr>
      <w:r>
        <w:t xml:space="preserve">V letech 2015–2017 MŽP vyhlásilo 12 výzev s celkovou alokací 526 mil. Kč, které se svým obsahem zaměřovaly na ochranu ovzduší a snižování emisí. K 31. 12. 2017 bylo vydáno 191 platných </w:t>
      </w:r>
      <w:r w:rsidR="002F798E">
        <w:t>r</w:t>
      </w:r>
      <w:r>
        <w:t xml:space="preserve">ozhodnutí ministra s celkovou výší schválené dotace 137 mil. Kč, vyplacená podpora k 31. 12. </w:t>
      </w:r>
      <w:r w:rsidRPr="004D12B1">
        <w:t>2017 činila 17</w:t>
      </w:r>
      <w:r>
        <w:t xml:space="preserve"> mil. Kč.</w:t>
      </w:r>
    </w:p>
    <w:p w14:paraId="56C75B8B" w14:textId="6AEBBE2A" w:rsidR="00395345" w:rsidRDefault="00395345" w:rsidP="00FB356D">
      <w:pPr>
        <w:pStyle w:val="Text"/>
        <w:spacing w:after="120" w:line="264" w:lineRule="auto"/>
      </w:pPr>
      <w:r>
        <w:t xml:space="preserve">Kontrolou bylo zjištěno, že </w:t>
      </w:r>
      <w:r w:rsidRPr="00A1358C">
        <w:t>SFŽP nesleduje a nevyhod</w:t>
      </w:r>
      <w:r>
        <w:t>nocuje hospodárnost, účelnost a </w:t>
      </w:r>
      <w:r w:rsidRPr="00A1358C">
        <w:t>efektivnost peněžních prostředků, které jsou čerpány z</w:t>
      </w:r>
      <w:r>
        <w:t> </w:t>
      </w:r>
      <w:r w:rsidRPr="00A1358C">
        <w:t>NPŽP</w:t>
      </w:r>
      <w:r>
        <w:t xml:space="preserve"> na podporu kvality ovzduší. Podrobnosti ke zjištěnému nedostatku jsou uvedeny pod bodem č. 6 v</w:t>
      </w:r>
      <w:r w:rsidR="002F798E">
        <w:t> </w:t>
      </w:r>
      <w:r>
        <w:t>části B</w:t>
      </w:r>
      <w:r w:rsidR="002F798E">
        <w:t xml:space="preserve"> tohoto kontrolního závěru</w:t>
      </w:r>
      <w:r>
        <w:t>.</w:t>
      </w:r>
    </w:p>
    <w:p w14:paraId="390FD5C3" w14:textId="77777777" w:rsidR="00395345" w:rsidRPr="00D022E5" w:rsidRDefault="00395345" w:rsidP="00FB356D">
      <w:pPr>
        <w:pStyle w:val="Text"/>
        <w:numPr>
          <w:ilvl w:val="0"/>
          <w:numId w:val="36"/>
        </w:numPr>
        <w:spacing w:after="120" w:line="264" w:lineRule="auto"/>
        <w:ind w:left="284" w:hanging="284"/>
        <w:rPr>
          <w:b/>
        </w:rPr>
      </w:pPr>
      <w:r w:rsidRPr="00253827">
        <w:rPr>
          <w:b/>
        </w:rPr>
        <w:t xml:space="preserve">Program </w:t>
      </w:r>
      <w:r w:rsidR="002A7A29" w:rsidRPr="00B1650A">
        <w:rPr>
          <w:b/>
          <w:i/>
        </w:rPr>
        <w:t>LIFE</w:t>
      </w:r>
    </w:p>
    <w:p w14:paraId="2F8873C1" w14:textId="70EB43F8" w:rsidR="00395345" w:rsidRDefault="00395345" w:rsidP="00FB356D">
      <w:pPr>
        <w:pStyle w:val="Text"/>
        <w:spacing w:after="120" w:line="264" w:lineRule="auto"/>
      </w:pPr>
      <w:r w:rsidRPr="008C1441">
        <w:t>Program</w:t>
      </w:r>
      <w:r>
        <w:rPr>
          <w:lang w:eastAsia="cs-CZ"/>
        </w:rPr>
        <w:t xml:space="preserve"> </w:t>
      </w:r>
      <w:r w:rsidR="002A7A29" w:rsidRPr="00B1650A">
        <w:rPr>
          <w:i/>
          <w:lang w:eastAsia="cs-CZ"/>
        </w:rPr>
        <w:t>LIFE</w:t>
      </w:r>
      <w:r>
        <w:rPr>
          <w:lang w:eastAsia="cs-CZ"/>
        </w:rPr>
        <w:t xml:space="preserve"> je komunitárním programem pro životní prostředí a oblast klimatu na období od 1. ledna 2014 do 31. prosince 2020 zřízený </w:t>
      </w:r>
      <w:r w:rsidR="002F798E">
        <w:rPr>
          <w:lang w:eastAsia="cs-CZ"/>
        </w:rPr>
        <w:t>n</w:t>
      </w:r>
      <w:r>
        <w:rPr>
          <w:lang w:eastAsia="cs-CZ"/>
        </w:rPr>
        <w:t>ařízením EU č. 1293/2013</w:t>
      </w:r>
      <w:r>
        <w:rPr>
          <w:rStyle w:val="Znakapoznpodarou"/>
          <w:lang w:eastAsia="cs-CZ"/>
        </w:rPr>
        <w:footnoteReference w:id="23"/>
      </w:r>
      <w:r>
        <w:rPr>
          <w:lang w:eastAsia="cs-CZ"/>
        </w:rPr>
        <w:t xml:space="preserve">. Mezi cíle programu patří např. přispívání k přechodu k nízkouhlíkovému hospodářství nebo podpora lepší správy v oblasti ŽP a klimatu. K provádění programu </w:t>
      </w:r>
      <w:r w:rsidR="002A7A29">
        <w:rPr>
          <w:lang w:eastAsia="cs-CZ"/>
        </w:rPr>
        <w:t>LIFE</w:t>
      </w:r>
      <w:r>
        <w:rPr>
          <w:lang w:eastAsia="cs-CZ"/>
        </w:rPr>
        <w:t xml:space="preserve"> byly na období 2014–2020 vyčleněny finanční prostředky v celkové výši 3 456 655 000 </w:t>
      </w:r>
      <w:r w:rsidR="0011199F">
        <w:rPr>
          <w:lang w:eastAsia="cs-CZ"/>
        </w:rPr>
        <w:t>eur</w:t>
      </w:r>
      <w:r>
        <w:rPr>
          <w:lang w:eastAsia="cs-CZ"/>
        </w:rPr>
        <w:t>, z toho na období 2014–2017 byl</w:t>
      </w:r>
      <w:r w:rsidR="005D6AAA">
        <w:rPr>
          <w:lang w:eastAsia="cs-CZ"/>
        </w:rPr>
        <w:t>y</w:t>
      </w:r>
      <w:r>
        <w:rPr>
          <w:lang w:eastAsia="cs-CZ"/>
        </w:rPr>
        <w:t xml:space="preserve"> </w:t>
      </w:r>
      <w:r w:rsidR="005D6AAA">
        <w:rPr>
          <w:lang w:eastAsia="cs-CZ"/>
        </w:rPr>
        <w:t>k dispozici prostředky ve výši</w:t>
      </w:r>
      <w:r>
        <w:rPr>
          <w:lang w:eastAsia="cs-CZ"/>
        </w:rPr>
        <w:t xml:space="preserve"> 1 796 242 000 </w:t>
      </w:r>
      <w:r w:rsidR="0011199F">
        <w:rPr>
          <w:lang w:eastAsia="cs-CZ"/>
        </w:rPr>
        <w:t>eur</w:t>
      </w:r>
      <w:r>
        <w:rPr>
          <w:lang w:eastAsia="cs-CZ"/>
        </w:rPr>
        <w:t>. Priorit</w:t>
      </w:r>
      <w:r w:rsidR="005D6AAA">
        <w:rPr>
          <w:lang w:eastAsia="cs-CZ"/>
        </w:rPr>
        <w:t xml:space="preserve">ní typy projektů k podpoře byly </w:t>
      </w:r>
      <w:r>
        <w:rPr>
          <w:lang w:eastAsia="cs-CZ"/>
        </w:rPr>
        <w:t>pro</w:t>
      </w:r>
      <w:r w:rsidR="005D6AAA">
        <w:rPr>
          <w:lang w:eastAsia="cs-CZ"/>
        </w:rPr>
        <w:t xml:space="preserve"> </w:t>
      </w:r>
      <w:r>
        <w:rPr>
          <w:lang w:eastAsia="cs-CZ"/>
        </w:rPr>
        <w:t>období</w:t>
      </w:r>
      <w:r w:rsidR="005D6AAA">
        <w:rPr>
          <w:lang w:eastAsia="cs-CZ"/>
        </w:rPr>
        <w:t xml:space="preserve"> </w:t>
      </w:r>
      <w:r>
        <w:rPr>
          <w:lang w:eastAsia="cs-CZ"/>
        </w:rPr>
        <w:t xml:space="preserve">2014–2017 stanoveny také pro tematickou prioritu </w:t>
      </w:r>
      <w:r w:rsidRPr="00B1650A">
        <w:rPr>
          <w:i/>
          <w:lang w:eastAsia="cs-CZ"/>
        </w:rPr>
        <w:t>kvalita ovzduší a em</w:t>
      </w:r>
      <w:r w:rsidR="005D6AAA" w:rsidRPr="00B1650A">
        <w:rPr>
          <w:i/>
          <w:lang w:eastAsia="cs-CZ"/>
        </w:rPr>
        <w:t>ise</w:t>
      </w:r>
      <w:r w:rsidR="005D6AAA">
        <w:rPr>
          <w:lang w:eastAsia="cs-CZ"/>
        </w:rPr>
        <w:t>.</w:t>
      </w:r>
    </w:p>
    <w:p w14:paraId="20CD8BC1" w14:textId="58D6B2FD" w:rsidR="00395345" w:rsidRDefault="00395345" w:rsidP="00FB356D">
      <w:pPr>
        <w:pStyle w:val="TextKP"/>
        <w:spacing w:after="120" w:line="264" w:lineRule="auto"/>
      </w:pPr>
      <w:r w:rsidRPr="008C1441">
        <w:t xml:space="preserve">MŽP v letech 2015 až 2017 vydalo národní výzvu k podávání žádostí o národní spolufinancování v rámci programu </w:t>
      </w:r>
      <w:r w:rsidR="002A7A29" w:rsidRPr="00B1650A">
        <w:rPr>
          <w:i/>
        </w:rPr>
        <w:t>LIFE</w:t>
      </w:r>
      <w:r w:rsidRPr="008C1441">
        <w:t xml:space="preserve"> a od roku 2016 </w:t>
      </w:r>
      <w:r>
        <w:t>je její součástí rovněž výzva k </w:t>
      </w:r>
      <w:r w:rsidRPr="008C1441">
        <w:t>předkládání žádostí o podporu na přípravu projektové dokumentace, jejímž cílem je</w:t>
      </w:r>
      <w:r w:rsidR="0011199F">
        <w:t xml:space="preserve"> </w:t>
      </w:r>
      <w:r w:rsidRPr="008C1441">
        <w:t>motivovat české žadatele k předkládání projekt</w:t>
      </w:r>
      <w:r>
        <w:t>ových návrhů a </w:t>
      </w:r>
      <w:r w:rsidRPr="008C1441">
        <w:t xml:space="preserve">zvýšit čerpání z programu </w:t>
      </w:r>
      <w:r w:rsidR="002A7A29" w:rsidRPr="00B1650A">
        <w:rPr>
          <w:i/>
        </w:rPr>
        <w:t>LIFE</w:t>
      </w:r>
      <w:r w:rsidRPr="00B1650A">
        <w:rPr>
          <w:i/>
        </w:rPr>
        <w:t xml:space="preserve"> </w:t>
      </w:r>
      <w:r w:rsidRPr="008C1441">
        <w:t xml:space="preserve">ve prospěch příjemců z </w:t>
      </w:r>
      <w:r>
        <w:t>ČR</w:t>
      </w:r>
      <w:r w:rsidRPr="008C1441">
        <w:t>.</w:t>
      </w:r>
      <w:r>
        <w:t xml:space="preserve"> </w:t>
      </w:r>
      <w:r w:rsidRPr="002B3B81">
        <w:t>Žadatelé, kteří</w:t>
      </w:r>
      <w:r w:rsidR="0011199F">
        <w:t xml:space="preserve"> </w:t>
      </w:r>
      <w:r w:rsidRPr="002B3B81">
        <w:t xml:space="preserve">úspěšně projdou </w:t>
      </w:r>
      <w:r w:rsidR="0011199F">
        <w:t>n</w:t>
      </w:r>
      <w:r w:rsidRPr="002B3B81">
        <w:t xml:space="preserve">árodní výzvou </w:t>
      </w:r>
      <w:r w:rsidR="002A7A29" w:rsidRPr="00B1650A">
        <w:rPr>
          <w:i/>
        </w:rPr>
        <w:t>LIFE</w:t>
      </w:r>
      <w:r w:rsidRPr="002B3B81">
        <w:t>, mohou získat od MŽP příspěvek ve výši 15 % z</w:t>
      </w:r>
      <w:r>
        <w:t> </w:t>
      </w:r>
      <w:r w:rsidRPr="002B3B81">
        <w:t>celkového rozpočtu, maximálně 10. mil.</w:t>
      </w:r>
      <w:r>
        <w:t> </w:t>
      </w:r>
      <w:r w:rsidRPr="002B3B81">
        <w:t>Kč.</w:t>
      </w:r>
      <w:r>
        <w:t xml:space="preserve"> </w:t>
      </w:r>
      <w:r w:rsidRPr="002B3B81">
        <w:t xml:space="preserve">Národní prostředky na spolufinancování projektů podpořených z programu </w:t>
      </w:r>
      <w:r w:rsidR="002A7A29" w:rsidRPr="00B1650A">
        <w:rPr>
          <w:i/>
        </w:rPr>
        <w:t>LIFE</w:t>
      </w:r>
      <w:r w:rsidR="003109D4">
        <w:t xml:space="preserve"> jsou poskytovány na</w:t>
      </w:r>
      <w:r w:rsidR="0011199F">
        <w:t xml:space="preserve"> </w:t>
      </w:r>
      <w:r>
        <w:t>základě s</w:t>
      </w:r>
      <w:r w:rsidRPr="002B3B81">
        <w:t xml:space="preserve">měrnice </w:t>
      </w:r>
      <w:r>
        <w:t xml:space="preserve">MŽP </w:t>
      </w:r>
      <w:r w:rsidRPr="002B3B81">
        <w:t>č. 4/2016</w:t>
      </w:r>
      <w:r>
        <w:rPr>
          <w:rStyle w:val="Znakapoznpodarou"/>
        </w:rPr>
        <w:footnoteReference w:id="24"/>
      </w:r>
      <w:r w:rsidRPr="002B3B81">
        <w:t xml:space="preserve">. </w:t>
      </w:r>
      <w:r>
        <w:t>Podrobnosti ke</w:t>
      </w:r>
      <w:r w:rsidR="0011199F">
        <w:t xml:space="preserve"> </w:t>
      </w:r>
      <w:r w:rsidR="003109D4">
        <w:t>zjištěným skutečnostem</w:t>
      </w:r>
      <w:r>
        <w:t xml:space="preserve"> jsou uvedeny pod bodem č. 7 v</w:t>
      </w:r>
      <w:r w:rsidR="0011199F">
        <w:t> </w:t>
      </w:r>
      <w:r>
        <w:t>části B</w:t>
      </w:r>
      <w:r w:rsidR="0011199F">
        <w:t xml:space="preserve"> tohoto kontrolního závěru</w:t>
      </w:r>
      <w:r>
        <w:t>.</w:t>
      </w:r>
    </w:p>
    <w:p w14:paraId="08774063" w14:textId="77777777" w:rsidR="00395345" w:rsidRPr="00D129D6" w:rsidRDefault="00395345" w:rsidP="00FB356D">
      <w:pPr>
        <w:pStyle w:val="Nadpis2"/>
        <w:numPr>
          <w:ilvl w:val="0"/>
          <w:numId w:val="0"/>
        </w:numPr>
        <w:spacing w:line="264" w:lineRule="auto"/>
        <w:ind w:left="576" w:hanging="576"/>
        <w:rPr>
          <w:i/>
        </w:rPr>
      </w:pPr>
      <w:r>
        <w:rPr>
          <w:lang w:eastAsia="cs-CZ"/>
        </w:rPr>
        <w:t>B. Rizika</w:t>
      </w:r>
      <w:r w:rsidRPr="00D129D6">
        <w:rPr>
          <w:lang w:eastAsia="cs-CZ"/>
        </w:rPr>
        <w:t xml:space="preserve"> nesplnění cílů stanovených v oblasti kvality ovzduší</w:t>
      </w:r>
      <w:r>
        <w:rPr>
          <w:lang w:eastAsia="cs-CZ"/>
        </w:rPr>
        <w:t xml:space="preserve"> ani k roku 2020</w:t>
      </w:r>
    </w:p>
    <w:p w14:paraId="61EDBE33" w14:textId="77777777" w:rsidR="00395345" w:rsidRDefault="00395345" w:rsidP="00FB356D">
      <w:pPr>
        <w:pStyle w:val="Nadpis3"/>
        <w:numPr>
          <w:ilvl w:val="0"/>
          <w:numId w:val="46"/>
        </w:numPr>
        <w:spacing w:line="264" w:lineRule="auto"/>
        <w:ind w:left="284" w:hanging="284"/>
        <w:rPr>
          <w:lang w:eastAsia="cs-CZ"/>
        </w:rPr>
      </w:pPr>
      <w:r>
        <w:rPr>
          <w:lang w:eastAsia="cs-CZ"/>
        </w:rPr>
        <w:t>Přísné národní nepřekročitelné hodnoty emisí k roku 2020 budou obtížně splnitelné</w:t>
      </w:r>
    </w:p>
    <w:p w14:paraId="78A6991E" w14:textId="14D5F871" w:rsidR="00395345" w:rsidRDefault="00395345" w:rsidP="00FB356D">
      <w:pPr>
        <w:pStyle w:val="Text"/>
        <w:spacing w:after="120" w:line="264" w:lineRule="auto"/>
      </w:pPr>
      <w:r>
        <w:t>Za účelem postupného snižování znečištění ovzduší prostřednictvím snižování emisí, ochrany lidského zdraví a životního prostředí byla přijata směrnice EU č. 2016/2284</w:t>
      </w:r>
      <w:r w:rsidR="00627966">
        <w:rPr>
          <w:rStyle w:val="Znakapoznpodarou"/>
        </w:rPr>
        <w:footnoteReference w:id="25"/>
      </w:r>
      <w:r>
        <w:t xml:space="preserve">, která stanovuje pro členské státy EU nové závazky, které jsou totožné se závazky stanovenými v revidovaném </w:t>
      </w:r>
      <w:r w:rsidRPr="00B1650A">
        <w:rPr>
          <w:i/>
        </w:rPr>
        <w:t>Göteborském protokolu</w:t>
      </w:r>
      <w:r w:rsidR="0011199F">
        <w:rPr>
          <w:rStyle w:val="Znakapoznpodarou"/>
        </w:rPr>
        <w:footnoteReference w:id="26"/>
      </w:r>
      <w:r>
        <w:t>. Závazky ke</w:t>
      </w:r>
      <w:r w:rsidR="00C66F33">
        <w:t xml:space="preserve"> </w:t>
      </w:r>
      <w:r>
        <w:t>snížení emisí SO</w:t>
      </w:r>
      <w:r w:rsidRPr="00CC4666">
        <w:rPr>
          <w:vertAlign w:val="subscript"/>
        </w:rPr>
        <w:t>2</w:t>
      </w:r>
      <w:r>
        <w:t>, NO</w:t>
      </w:r>
      <w:r w:rsidRPr="00843800">
        <w:rPr>
          <w:vertAlign w:val="subscript"/>
        </w:rPr>
        <w:t>X</w:t>
      </w:r>
      <w:r>
        <w:t>, NMVOC, NH</w:t>
      </w:r>
      <w:r w:rsidRPr="00CC4666">
        <w:rPr>
          <w:vertAlign w:val="subscript"/>
        </w:rPr>
        <w:t>3</w:t>
      </w:r>
      <w:r>
        <w:t xml:space="preserve"> a PM</w:t>
      </w:r>
      <w:r w:rsidRPr="00CC4666">
        <w:rPr>
          <w:vertAlign w:val="subscript"/>
        </w:rPr>
        <w:t>2,5</w:t>
      </w:r>
      <w:r>
        <w:t xml:space="preserve"> jsou stanoveny pro období od roku 2020, přičemž se za výchozí považuje rok 2005 </w:t>
      </w:r>
      <w:r w:rsidRPr="00FD0511">
        <w:t>(dále také „mezinárodní závazek snížení emisí“</w:t>
      </w:r>
      <w:r>
        <w:t>).</w:t>
      </w:r>
    </w:p>
    <w:p w14:paraId="2A4D1800" w14:textId="640EFFB8" w:rsidR="00395345" w:rsidRDefault="00395345" w:rsidP="00FB356D">
      <w:pPr>
        <w:pStyle w:val="Text"/>
        <w:spacing w:after="120" w:line="264" w:lineRule="auto"/>
      </w:pPr>
      <w:r w:rsidRPr="00164BC3">
        <w:t xml:space="preserve">Česká republika si současně stanovila v NPSE své vlastní ambicióznější cíle v oblasti snižování emisí, tzv. </w:t>
      </w:r>
      <w:r w:rsidR="00C66F33">
        <w:rPr>
          <w:i/>
        </w:rPr>
        <w:t>n</w:t>
      </w:r>
      <w:r w:rsidRPr="00164BC3">
        <w:rPr>
          <w:i/>
        </w:rPr>
        <w:t>epřekročitelné hodnoty národních emisí k roku 2020</w:t>
      </w:r>
      <w:r w:rsidRPr="00164BC3">
        <w:t>, které jsou přísnější než mezinárodní závazky k roku 2020</w:t>
      </w:r>
      <w:r>
        <w:t xml:space="preserve"> a </w:t>
      </w:r>
      <w:r w:rsidR="00C66F33">
        <w:rPr>
          <w:i/>
        </w:rPr>
        <w:t>e</w:t>
      </w:r>
      <w:r w:rsidRPr="00164BC3">
        <w:rPr>
          <w:i/>
        </w:rPr>
        <w:t xml:space="preserve">misní stropy pro jednotlivé skupiny </w:t>
      </w:r>
      <w:r>
        <w:rPr>
          <w:i/>
        </w:rPr>
        <w:t>stacionárních a </w:t>
      </w:r>
      <w:r w:rsidRPr="00164BC3">
        <w:rPr>
          <w:i/>
        </w:rPr>
        <w:t>mobilních zdrojů</w:t>
      </w:r>
      <w:r w:rsidRPr="00164BC3">
        <w:t xml:space="preserve">. MŽP stanovilo </w:t>
      </w:r>
      <w:r>
        <w:t xml:space="preserve">všechny cíle (závazky) v oblasti snižování emisí </w:t>
      </w:r>
      <w:r w:rsidRPr="00164BC3">
        <w:t xml:space="preserve">absolutními hodnotami, což je s ohledem na změny výpočtu emisních bilancí činí průběžně těžko hodnotitelnými. </w:t>
      </w:r>
      <w:r w:rsidRPr="00FD0511">
        <w:t xml:space="preserve">MŽP </w:t>
      </w:r>
      <w:r>
        <w:t>zvolilo odlišný způsob stanovení závazků k roku 2020 oproti mezinárodním závazkům, kde je požadavek na snížení emisí vyjádřen fixním procentuálním snížením oproti celkovým emisím v roce 2005. Závazky stanovené pro Českou republiku podle směrnice EU č. 2016/2284, resp. Göteborského protokolu</w:t>
      </w:r>
      <w:r w:rsidR="00C66F33">
        <w:t>,</w:t>
      </w:r>
      <w:r>
        <w:t xml:space="preserve"> a nepřekročitelné hodnoty národních emisí k roku 2020 stanovené v NPSE a jejich procentuální vyjádření oproti celkovým národním emisím roku 2005 jsou uvedeny v následující tabulce.</w:t>
      </w:r>
    </w:p>
    <w:p w14:paraId="6A9E7477" w14:textId="08587370" w:rsidR="00395345" w:rsidRPr="00B1650A" w:rsidRDefault="00395345" w:rsidP="00C66F33">
      <w:pPr>
        <w:pStyle w:val="Titulek"/>
        <w:keepNext/>
        <w:spacing w:after="40"/>
        <w:rPr>
          <w:b/>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2</w:t>
      </w:r>
      <w:r w:rsidR="00A36661" w:rsidRPr="00B1650A">
        <w:rPr>
          <w:b/>
          <w:noProof/>
        </w:rPr>
        <w:fldChar w:fldCharType="end"/>
      </w:r>
      <w:r w:rsidRPr="00B1650A">
        <w:rPr>
          <w:b/>
        </w:rPr>
        <w:t>: Z</w:t>
      </w:r>
      <w:r w:rsidR="00B34DA2" w:rsidRPr="00B1650A">
        <w:rPr>
          <w:b/>
        </w:rPr>
        <w:t>ávazky ČR ke snížení emisí</w:t>
      </w:r>
    </w:p>
    <w:tbl>
      <w:tblPr>
        <w:tblW w:w="5000" w:type="pct"/>
        <w:tblCellMar>
          <w:left w:w="70" w:type="dxa"/>
          <w:right w:w="70" w:type="dxa"/>
        </w:tblCellMar>
        <w:tblLook w:val="04A0" w:firstRow="1" w:lastRow="0" w:firstColumn="1" w:lastColumn="0" w:noHBand="0" w:noVBand="1"/>
      </w:tblPr>
      <w:tblGrid>
        <w:gridCol w:w="307"/>
        <w:gridCol w:w="5369"/>
        <w:gridCol w:w="568"/>
        <w:gridCol w:w="698"/>
        <w:gridCol w:w="806"/>
        <w:gridCol w:w="615"/>
        <w:gridCol w:w="699"/>
      </w:tblGrid>
      <w:tr w:rsidR="00B9337F" w14:paraId="355103E4" w14:textId="77777777" w:rsidTr="00B34DA2">
        <w:trPr>
          <w:trHeight w:val="285"/>
        </w:trPr>
        <w:tc>
          <w:tcPr>
            <w:tcW w:w="154" w:type="pc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5BE6E979" w14:textId="77777777" w:rsidR="00395345" w:rsidRPr="009B66D4" w:rsidRDefault="00395345" w:rsidP="00C66F33">
            <w:pPr>
              <w:keepNext/>
              <w:jc w:val="center"/>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Ř.</w:t>
            </w:r>
          </w:p>
        </w:tc>
        <w:tc>
          <w:tcPr>
            <w:tcW w:w="2965" w:type="pct"/>
            <w:tcBorders>
              <w:top w:val="single" w:sz="4" w:space="0" w:color="auto"/>
              <w:left w:val="nil"/>
              <w:bottom w:val="single" w:sz="4" w:space="0" w:color="auto"/>
              <w:right w:val="single" w:sz="4" w:space="0" w:color="auto"/>
            </w:tcBorders>
            <w:shd w:val="clear" w:color="000000" w:fill="E5F1FF"/>
            <w:noWrap/>
            <w:vAlign w:val="center"/>
            <w:hideMark/>
          </w:tcPr>
          <w:p w14:paraId="4497A48B" w14:textId="5DA50A33" w:rsidR="00395345" w:rsidRPr="009B66D4" w:rsidRDefault="00395345" w:rsidP="00C66F33">
            <w:pPr>
              <w:keepNext/>
              <w:jc w:val="center"/>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Emise/</w:t>
            </w:r>
            <w:r w:rsidR="00C66F33">
              <w:rPr>
                <w:rFonts w:ascii="Calibri" w:eastAsia="Times New Roman" w:hAnsi="Calibri" w:cs="Calibri"/>
                <w:b/>
                <w:bCs/>
                <w:color w:val="000000"/>
                <w:sz w:val="20"/>
                <w:szCs w:val="20"/>
                <w:lang w:eastAsia="cs-CZ"/>
              </w:rPr>
              <w:t>z</w:t>
            </w:r>
            <w:r w:rsidRPr="009B66D4">
              <w:rPr>
                <w:rFonts w:ascii="Calibri" w:eastAsia="Times New Roman" w:hAnsi="Calibri" w:cs="Calibri"/>
                <w:b/>
                <w:bCs/>
                <w:color w:val="000000"/>
                <w:sz w:val="20"/>
                <w:szCs w:val="20"/>
                <w:lang w:eastAsia="cs-CZ"/>
              </w:rPr>
              <w:t>ávazky</w:t>
            </w:r>
          </w:p>
        </w:tc>
        <w:tc>
          <w:tcPr>
            <w:tcW w:w="316" w:type="pct"/>
            <w:tcBorders>
              <w:top w:val="single" w:sz="4" w:space="0" w:color="auto"/>
              <w:left w:val="nil"/>
              <w:bottom w:val="single" w:sz="4" w:space="0" w:color="auto"/>
              <w:right w:val="single" w:sz="4" w:space="0" w:color="auto"/>
            </w:tcBorders>
            <w:shd w:val="clear" w:color="000000" w:fill="E5F1FF"/>
            <w:noWrap/>
            <w:vAlign w:val="center"/>
            <w:hideMark/>
          </w:tcPr>
          <w:p w14:paraId="08903D52" w14:textId="77777777" w:rsidR="00395345" w:rsidRPr="009B66D4" w:rsidRDefault="00395345" w:rsidP="00C66F33">
            <w:pPr>
              <w:keepNext/>
              <w:jc w:val="center"/>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SO</w:t>
            </w:r>
            <w:r w:rsidRPr="009B66D4">
              <w:rPr>
                <w:rFonts w:ascii="Calibri" w:eastAsia="Times New Roman" w:hAnsi="Calibri" w:cs="Calibri"/>
                <w:b/>
                <w:bCs/>
                <w:color w:val="000000"/>
                <w:sz w:val="20"/>
                <w:szCs w:val="20"/>
                <w:vertAlign w:val="subscript"/>
                <w:lang w:eastAsia="cs-CZ"/>
              </w:rPr>
              <w:t>2</w:t>
            </w:r>
          </w:p>
        </w:tc>
        <w:tc>
          <w:tcPr>
            <w:tcW w:w="388" w:type="pct"/>
            <w:tcBorders>
              <w:top w:val="single" w:sz="4" w:space="0" w:color="auto"/>
              <w:left w:val="nil"/>
              <w:bottom w:val="single" w:sz="4" w:space="0" w:color="auto"/>
              <w:right w:val="single" w:sz="4" w:space="0" w:color="auto"/>
            </w:tcBorders>
            <w:shd w:val="clear" w:color="000000" w:fill="E5F1FF"/>
            <w:noWrap/>
            <w:vAlign w:val="center"/>
            <w:hideMark/>
          </w:tcPr>
          <w:p w14:paraId="208D1795" w14:textId="77777777" w:rsidR="00395345" w:rsidRPr="009B66D4" w:rsidRDefault="00395345" w:rsidP="00C66F33">
            <w:pPr>
              <w:keepNext/>
              <w:jc w:val="center"/>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NO</w:t>
            </w:r>
            <w:r w:rsidRPr="009B66D4">
              <w:rPr>
                <w:rFonts w:ascii="Calibri" w:eastAsia="Times New Roman" w:hAnsi="Calibri" w:cs="Calibri"/>
                <w:b/>
                <w:bCs/>
                <w:color w:val="000000"/>
                <w:sz w:val="20"/>
                <w:szCs w:val="20"/>
                <w:vertAlign w:val="subscript"/>
                <w:lang w:eastAsia="cs-CZ"/>
              </w:rPr>
              <w:t>X</w:t>
            </w:r>
          </w:p>
        </w:tc>
        <w:tc>
          <w:tcPr>
            <w:tcW w:w="445" w:type="pct"/>
            <w:tcBorders>
              <w:top w:val="single" w:sz="4" w:space="0" w:color="auto"/>
              <w:left w:val="nil"/>
              <w:bottom w:val="single" w:sz="4" w:space="0" w:color="auto"/>
              <w:right w:val="single" w:sz="4" w:space="0" w:color="auto"/>
            </w:tcBorders>
            <w:shd w:val="clear" w:color="000000" w:fill="E5F1FF"/>
            <w:noWrap/>
            <w:vAlign w:val="center"/>
            <w:hideMark/>
          </w:tcPr>
          <w:p w14:paraId="5FCE69B9" w14:textId="77777777" w:rsidR="00395345" w:rsidRPr="009B66D4" w:rsidRDefault="00395345" w:rsidP="00C66F33">
            <w:pPr>
              <w:keepNext/>
              <w:jc w:val="center"/>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NMVOC</w:t>
            </w:r>
          </w:p>
        </w:tc>
        <w:tc>
          <w:tcPr>
            <w:tcW w:w="344" w:type="pct"/>
            <w:tcBorders>
              <w:top w:val="single" w:sz="4" w:space="0" w:color="auto"/>
              <w:left w:val="nil"/>
              <w:bottom w:val="single" w:sz="4" w:space="0" w:color="auto"/>
              <w:right w:val="single" w:sz="4" w:space="0" w:color="auto"/>
            </w:tcBorders>
            <w:shd w:val="clear" w:color="000000" w:fill="E5F1FF"/>
            <w:noWrap/>
            <w:vAlign w:val="center"/>
            <w:hideMark/>
          </w:tcPr>
          <w:p w14:paraId="0CBAB9B3" w14:textId="77777777" w:rsidR="00395345" w:rsidRPr="009B66D4" w:rsidRDefault="00395345" w:rsidP="00C66F33">
            <w:pPr>
              <w:keepNext/>
              <w:jc w:val="center"/>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NH</w:t>
            </w:r>
            <w:r w:rsidRPr="009B66D4">
              <w:rPr>
                <w:rFonts w:ascii="Calibri" w:eastAsia="Times New Roman" w:hAnsi="Calibri" w:cs="Calibri"/>
                <w:b/>
                <w:bCs/>
                <w:color w:val="000000"/>
                <w:sz w:val="20"/>
                <w:szCs w:val="20"/>
                <w:vertAlign w:val="subscript"/>
                <w:lang w:eastAsia="cs-CZ"/>
              </w:rPr>
              <w:t>3</w:t>
            </w:r>
          </w:p>
        </w:tc>
        <w:tc>
          <w:tcPr>
            <w:tcW w:w="388" w:type="pct"/>
            <w:tcBorders>
              <w:top w:val="single" w:sz="4" w:space="0" w:color="auto"/>
              <w:left w:val="nil"/>
              <w:bottom w:val="single" w:sz="4" w:space="0" w:color="auto"/>
              <w:right w:val="single" w:sz="4" w:space="0" w:color="auto"/>
            </w:tcBorders>
            <w:shd w:val="clear" w:color="000000" w:fill="E5F1FF"/>
            <w:noWrap/>
            <w:vAlign w:val="center"/>
            <w:hideMark/>
          </w:tcPr>
          <w:p w14:paraId="7272B32F" w14:textId="77777777" w:rsidR="00395345" w:rsidRPr="009B66D4" w:rsidRDefault="00395345" w:rsidP="00C66F33">
            <w:pPr>
              <w:keepNext/>
              <w:jc w:val="center"/>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PM</w:t>
            </w:r>
            <w:r w:rsidRPr="009B66D4">
              <w:rPr>
                <w:rFonts w:ascii="Calibri" w:eastAsia="Times New Roman" w:hAnsi="Calibri" w:cs="Calibri"/>
                <w:b/>
                <w:bCs/>
                <w:color w:val="000000"/>
                <w:sz w:val="20"/>
                <w:szCs w:val="20"/>
                <w:vertAlign w:val="subscript"/>
                <w:lang w:eastAsia="cs-CZ"/>
              </w:rPr>
              <w:t>2,5</w:t>
            </w:r>
          </w:p>
        </w:tc>
      </w:tr>
      <w:tr w:rsidR="00B9337F" w14:paraId="0CDE9BFA"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000F1860" w14:textId="77777777" w:rsidR="00395345" w:rsidRPr="009B66D4" w:rsidRDefault="00395345" w:rsidP="00C66F33">
            <w:pPr>
              <w:keepNext/>
              <w:jc w:val="center"/>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1</w:t>
            </w:r>
          </w:p>
        </w:tc>
        <w:tc>
          <w:tcPr>
            <w:tcW w:w="2965" w:type="pct"/>
            <w:tcBorders>
              <w:top w:val="nil"/>
              <w:left w:val="nil"/>
              <w:bottom w:val="single" w:sz="4" w:space="0" w:color="auto"/>
              <w:right w:val="single" w:sz="4" w:space="0" w:color="auto"/>
            </w:tcBorders>
            <w:shd w:val="clear" w:color="auto" w:fill="auto"/>
            <w:vAlign w:val="center"/>
            <w:hideMark/>
          </w:tcPr>
          <w:p w14:paraId="5E26C67B" w14:textId="1F852D55" w:rsidR="00395345" w:rsidRPr="009B66D4" w:rsidRDefault="00395345" w:rsidP="00FB588E">
            <w:pPr>
              <w:keepNex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Emise 2005 emisní bilance použitá při zpracování NPSE</w:t>
            </w:r>
            <w:r w:rsidR="00B34DA2">
              <w:rPr>
                <w:rFonts w:ascii="Calibri" w:eastAsia="Times New Roman" w:hAnsi="Calibri" w:cs="Calibri"/>
                <w:color w:val="000000"/>
                <w:sz w:val="20"/>
                <w:szCs w:val="20"/>
                <w:lang w:eastAsia="cs-CZ"/>
              </w:rPr>
              <w:t xml:space="preserve"> (</w:t>
            </w:r>
            <w:r w:rsidR="0036324B">
              <w:rPr>
                <w:rFonts w:ascii="Calibri" w:eastAsia="Times New Roman" w:hAnsi="Calibri" w:cs="Calibri"/>
                <w:color w:val="000000"/>
                <w:sz w:val="20"/>
                <w:szCs w:val="20"/>
                <w:lang w:eastAsia="cs-CZ"/>
              </w:rPr>
              <w:t>v </w:t>
            </w:r>
            <w:proofErr w:type="spellStart"/>
            <w:r w:rsidR="00B34DA2">
              <w:rPr>
                <w:rFonts w:ascii="Calibri" w:eastAsia="Times New Roman" w:hAnsi="Calibri" w:cs="Calibri"/>
                <w:color w:val="000000"/>
                <w:sz w:val="20"/>
                <w:szCs w:val="20"/>
                <w:lang w:eastAsia="cs-CZ"/>
              </w:rPr>
              <w:t>kt</w:t>
            </w:r>
            <w:proofErr w:type="spellEnd"/>
            <w:r w:rsidR="00B34DA2">
              <w:rPr>
                <w:rFonts w:ascii="Calibri" w:eastAsia="Times New Roman" w:hAnsi="Calibri" w:cs="Calibri"/>
                <w:color w:val="000000"/>
                <w:sz w:val="20"/>
                <w:szCs w:val="20"/>
                <w:lang w:eastAsia="cs-CZ"/>
              </w:rPr>
              <w:t>/rok)</w:t>
            </w:r>
          </w:p>
        </w:tc>
        <w:tc>
          <w:tcPr>
            <w:tcW w:w="316" w:type="pct"/>
            <w:tcBorders>
              <w:top w:val="nil"/>
              <w:left w:val="nil"/>
              <w:bottom w:val="single" w:sz="4" w:space="0" w:color="auto"/>
              <w:right w:val="single" w:sz="4" w:space="0" w:color="auto"/>
            </w:tcBorders>
            <w:shd w:val="clear" w:color="auto" w:fill="auto"/>
            <w:noWrap/>
            <w:vAlign w:val="center"/>
            <w:hideMark/>
          </w:tcPr>
          <w:p w14:paraId="109951F3"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211</w:t>
            </w:r>
          </w:p>
        </w:tc>
        <w:tc>
          <w:tcPr>
            <w:tcW w:w="388" w:type="pct"/>
            <w:tcBorders>
              <w:top w:val="nil"/>
              <w:left w:val="nil"/>
              <w:bottom w:val="single" w:sz="4" w:space="0" w:color="auto"/>
              <w:right w:val="single" w:sz="4" w:space="0" w:color="auto"/>
            </w:tcBorders>
            <w:shd w:val="clear" w:color="auto" w:fill="auto"/>
            <w:noWrap/>
            <w:vAlign w:val="center"/>
            <w:hideMark/>
          </w:tcPr>
          <w:p w14:paraId="64E9A2A7"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281</w:t>
            </w:r>
          </w:p>
        </w:tc>
        <w:tc>
          <w:tcPr>
            <w:tcW w:w="445" w:type="pct"/>
            <w:tcBorders>
              <w:top w:val="nil"/>
              <w:left w:val="nil"/>
              <w:bottom w:val="single" w:sz="4" w:space="0" w:color="auto"/>
              <w:right w:val="single" w:sz="4" w:space="0" w:color="auto"/>
            </w:tcBorders>
            <w:shd w:val="clear" w:color="auto" w:fill="auto"/>
            <w:noWrap/>
            <w:vAlign w:val="center"/>
            <w:hideMark/>
          </w:tcPr>
          <w:p w14:paraId="7211D687"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203</w:t>
            </w:r>
          </w:p>
        </w:tc>
        <w:tc>
          <w:tcPr>
            <w:tcW w:w="344" w:type="pct"/>
            <w:tcBorders>
              <w:top w:val="nil"/>
              <w:left w:val="nil"/>
              <w:bottom w:val="single" w:sz="4" w:space="0" w:color="auto"/>
              <w:right w:val="single" w:sz="4" w:space="0" w:color="auto"/>
            </w:tcBorders>
            <w:shd w:val="clear" w:color="auto" w:fill="auto"/>
            <w:noWrap/>
            <w:vAlign w:val="center"/>
            <w:hideMark/>
          </w:tcPr>
          <w:p w14:paraId="315FEE88"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82</w:t>
            </w:r>
          </w:p>
        </w:tc>
        <w:tc>
          <w:tcPr>
            <w:tcW w:w="388" w:type="pct"/>
            <w:tcBorders>
              <w:top w:val="nil"/>
              <w:left w:val="nil"/>
              <w:bottom w:val="single" w:sz="4" w:space="0" w:color="auto"/>
              <w:right w:val="single" w:sz="4" w:space="0" w:color="auto"/>
            </w:tcBorders>
            <w:shd w:val="clear" w:color="auto" w:fill="auto"/>
            <w:noWrap/>
            <w:vAlign w:val="center"/>
            <w:hideMark/>
          </w:tcPr>
          <w:p w14:paraId="484EAA0D"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37</w:t>
            </w:r>
          </w:p>
        </w:tc>
      </w:tr>
      <w:tr w:rsidR="00B9337F" w14:paraId="6A263874" w14:textId="77777777" w:rsidTr="00B34DA2">
        <w:trPr>
          <w:trHeight w:val="255"/>
        </w:trPr>
        <w:tc>
          <w:tcPr>
            <w:tcW w:w="3119" w:type="pct"/>
            <w:gridSpan w:val="2"/>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531284D6" w14:textId="77777777" w:rsidR="00395345" w:rsidRPr="009B66D4" w:rsidRDefault="00395345" w:rsidP="00C66F33">
            <w:pPr>
              <w:keepNext/>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Směrnice</w:t>
            </w:r>
            <w:r>
              <w:rPr>
                <w:rFonts w:ascii="Calibri" w:eastAsia="Times New Roman" w:hAnsi="Calibri" w:cs="Calibri"/>
                <w:b/>
                <w:bCs/>
                <w:color w:val="000000"/>
                <w:sz w:val="20"/>
                <w:szCs w:val="20"/>
                <w:lang w:eastAsia="cs-CZ"/>
              </w:rPr>
              <w:t xml:space="preserve"> EU</w:t>
            </w:r>
            <w:r w:rsidRPr="009B66D4">
              <w:rPr>
                <w:rFonts w:ascii="Calibri" w:eastAsia="Times New Roman" w:hAnsi="Calibri" w:cs="Calibri"/>
                <w:b/>
                <w:bCs/>
                <w:color w:val="000000"/>
                <w:sz w:val="20"/>
                <w:szCs w:val="20"/>
                <w:lang w:eastAsia="cs-CZ"/>
              </w:rPr>
              <w:t xml:space="preserve"> č. 2016/2284 (Göteborský protokol)</w:t>
            </w:r>
          </w:p>
        </w:tc>
        <w:tc>
          <w:tcPr>
            <w:tcW w:w="316" w:type="pct"/>
            <w:tcBorders>
              <w:top w:val="nil"/>
              <w:left w:val="nil"/>
              <w:bottom w:val="single" w:sz="4" w:space="0" w:color="auto"/>
              <w:right w:val="single" w:sz="4" w:space="0" w:color="auto"/>
            </w:tcBorders>
            <w:shd w:val="clear" w:color="000000" w:fill="E5F1FF"/>
            <w:noWrap/>
            <w:vAlign w:val="center"/>
            <w:hideMark/>
          </w:tcPr>
          <w:p w14:paraId="087ED65E" w14:textId="77777777" w:rsidR="00395345" w:rsidRPr="009B66D4" w:rsidRDefault="00395345" w:rsidP="0085489E">
            <w:pPr>
              <w:keepNext/>
              <w:jc w:val="right"/>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 </w:t>
            </w:r>
          </w:p>
        </w:tc>
        <w:tc>
          <w:tcPr>
            <w:tcW w:w="388" w:type="pct"/>
            <w:tcBorders>
              <w:top w:val="nil"/>
              <w:left w:val="nil"/>
              <w:bottom w:val="single" w:sz="4" w:space="0" w:color="auto"/>
              <w:right w:val="single" w:sz="4" w:space="0" w:color="auto"/>
            </w:tcBorders>
            <w:shd w:val="clear" w:color="000000" w:fill="E5F1FF"/>
            <w:noWrap/>
            <w:vAlign w:val="center"/>
            <w:hideMark/>
          </w:tcPr>
          <w:p w14:paraId="04F298B6" w14:textId="77777777" w:rsidR="00395345" w:rsidRPr="009B66D4" w:rsidRDefault="00395345" w:rsidP="0085489E">
            <w:pPr>
              <w:keepNext/>
              <w:jc w:val="right"/>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 </w:t>
            </w:r>
          </w:p>
        </w:tc>
        <w:tc>
          <w:tcPr>
            <w:tcW w:w="445" w:type="pct"/>
            <w:tcBorders>
              <w:top w:val="nil"/>
              <w:left w:val="nil"/>
              <w:bottom w:val="single" w:sz="4" w:space="0" w:color="auto"/>
              <w:right w:val="single" w:sz="4" w:space="0" w:color="auto"/>
            </w:tcBorders>
            <w:shd w:val="clear" w:color="000000" w:fill="E5F1FF"/>
            <w:noWrap/>
            <w:vAlign w:val="center"/>
            <w:hideMark/>
          </w:tcPr>
          <w:p w14:paraId="69D9394F" w14:textId="77777777" w:rsidR="00395345" w:rsidRPr="009B66D4" w:rsidRDefault="00395345" w:rsidP="0085489E">
            <w:pPr>
              <w:keepNext/>
              <w:jc w:val="right"/>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 </w:t>
            </w:r>
          </w:p>
        </w:tc>
        <w:tc>
          <w:tcPr>
            <w:tcW w:w="344" w:type="pct"/>
            <w:tcBorders>
              <w:top w:val="nil"/>
              <w:left w:val="nil"/>
              <w:bottom w:val="single" w:sz="4" w:space="0" w:color="auto"/>
              <w:right w:val="single" w:sz="4" w:space="0" w:color="auto"/>
            </w:tcBorders>
            <w:shd w:val="clear" w:color="000000" w:fill="E5F1FF"/>
            <w:noWrap/>
            <w:vAlign w:val="center"/>
            <w:hideMark/>
          </w:tcPr>
          <w:p w14:paraId="4D787892" w14:textId="77777777" w:rsidR="00395345" w:rsidRPr="009B66D4" w:rsidRDefault="00395345" w:rsidP="0085489E">
            <w:pPr>
              <w:keepNext/>
              <w:jc w:val="right"/>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 </w:t>
            </w:r>
          </w:p>
        </w:tc>
        <w:tc>
          <w:tcPr>
            <w:tcW w:w="388" w:type="pct"/>
            <w:tcBorders>
              <w:top w:val="nil"/>
              <w:left w:val="nil"/>
              <w:bottom w:val="single" w:sz="4" w:space="0" w:color="auto"/>
              <w:right w:val="single" w:sz="4" w:space="0" w:color="auto"/>
            </w:tcBorders>
            <w:shd w:val="clear" w:color="000000" w:fill="E5F1FF"/>
            <w:noWrap/>
            <w:vAlign w:val="center"/>
            <w:hideMark/>
          </w:tcPr>
          <w:p w14:paraId="21B64FF5" w14:textId="77777777" w:rsidR="00395345" w:rsidRPr="009B66D4" w:rsidRDefault="00395345" w:rsidP="0085489E">
            <w:pPr>
              <w:keepNext/>
              <w:jc w:val="right"/>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 </w:t>
            </w:r>
          </w:p>
        </w:tc>
      </w:tr>
      <w:tr w:rsidR="00B9337F" w14:paraId="40493E00"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57509ACC" w14:textId="77777777" w:rsidR="00395345" w:rsidRPr="009B66D4" w:rsidRDefault="00395345" w:rsidP="00C66F33">
            <w:pPr>
              <w:keepNext/>
              <w:jc w:val="center"/>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2</w:t>
            </w:r>
          </w:p>
        </w:tc>
        <w:tc>
          <w:tcPr>
            <w:tcW w:w="2965" w:type="pct"/>
            <w:tcBorders>
              <w:top w:val="nil"/>
              <w:left w:val="nil"/>
              <w:bottom w:val="single" w:sz="4" w:space="0" w:color="auto"/>
              <w:right w:val="single" w:sz="4" w:space="0" w:color="auto"/>
            </w:tcBorders>
            <w:shd w:val="clear" w:color="auto" w:fill="auto"/>
            <w:vAlign w:val="center"/>
            <w:hideMark/>
          </w:tcPr>
          <w:p w14:paraId="4A4F6A16" w14:textId="5328D172" w:rsidR="00395345" w:rsidRPr="009B66D4" w:rsidRDefault="00395345" w:rsidP="00FB588E">
            <w:pPr>
              <w:keepNex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Závazek snížení emisí k roku 2020 (</w:t>
            </w:r>
            <w:r w:rsidR="0036324B">
              <w:rPr>
                <w:rFonts w:ascii="Calibri" w:eastAsia="Times New Roman" w:hAnsi="Calibri" w:cs="Calibri"/>
                <w:color w:val="000000"/>
                <w:sz w:val="20"/>
                <w:szCs w:val="20"/>
                <w:lang w:eastAsia="cs-CZ"/>
              </w:rPr>
              <w:t>v </w:t>
            </w:r>
            <w:r w:rsidRPr="009B66D4">
              <w:rPr>
                <w:rFonts w:ascii="Calibri" w:eastAsia="Times New Roman" w:hAnsi="Calibri" w:cs="Calibri"/>
                <w:color w:val="000000"/>
                <w:sz w:val="20"/>
                <w:szCs w:val="20"/>
                <w:lang w:eastAsia="cs-CZ"/>
              </w:rPr>
              <w:t>% proti r. 2005)</w:t>
            </w:r>
          </w:p>
        </w:tc>
        <w:tc>
          <w:tcPr>
            <w:tcW w:w="316" w:type="pct"/>
            <w:tcBorders>
              <w:top w:val="nil"/>
              <w:left w:val="nil"/>
              <w:bottom w:val="single" w:sz="4" w:space="0" w:color="auto"/>
              <w:right w:val="single" w:sz="4" w:space="0" w:color="auto"/>
            </w:tcBorders>
            <w:shd w:val="clear" w:color="auto" w:fill="auto"/>
            <w:noWrap/>
            <w:vAlign w:val="center"/>
            <w:hideMark/>
          </w:tcPr>
          <w:p w14:paraId="63A5AFFF"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45</w:t>
            </w:r>
          </w:p>
        </w:tc>
        <w:tc>
          <w:tcPr>
            <w:tcW w:w="388" w:type="pct"/>
            <w:tcBorders>
              <w:top w:val="nil"/>
              <w:left w:val="nil"/>
              <w:bottom w:val="single" w:sz="4" w:space="0" w:color="auto"/>
              <w:right w:val="single" w:sz="4" w:space="0" w:color="auto"/>
            </w:tcBorders>
            <w:shd w:val="clear" w:color="auto" w:fill="auto"/>
            <w:noWrap/>
            <w:vAlign w:val="center"/>
            <w:hideMark/>
          </w:tcPr>
          <w:p w14:paraId="665DB9F4"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35</w:t>
            </w:r>
          </w:p>
        </w:tc>
        <w:tc>
          <w:tcPr>
            <w:tcW w:w="445" w:type="pct"/>
            <w:tcBorders>
              <w:top w:val="nil"/>
              <w:left w:val="nil"/>
              <w:bottom w:val="single" w:sz="4" w:space="0" w:color="auto"/>
              <w:right w:val="single" w:sz="4" w:space="0" w:color="auto"/>
            </w:tcBorders>
            <w:shd w:val="clear" w:color="auto" w:fill="auto"/>
            <w:noWrap/>
            <w:vAlign w:val="center"/>
            <w:hideMark/>
          </w:tcPr>
          <w:p w14:paraId="34B3AA32"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18</w:t>
            </w:r>
          </w:p>
        </w:tc>
        <w:tc>
          <w:tcPr>
            <w:tcW w:w="344" w:type="pct"/>
            <w:tcBorders>
              <w:top w:val="nil"/>
              <w:left w:val="nil"/>
              <w:bottom w:val="single" w:sz="4" w:space="0" w:color="auto"/>
              <w:right w:val="single" w:sz="4" w:space="0" w:color="auto"/>
            </w:tcBorders>
            <w:shd w:val="clear" w:color="auto" w:fill="auto"/>
            <w:noWrap/>
            <w:vAlign w:val="center"/>
            <w:hideMark/>
          </w:tcPr>
          <w:p w14:paraId="6B9510DC"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7</w:t>
            </w:r>
          </w:p>
        </w:tc>
        <w:tc>
          <w:tcPr>
            <w:tcW w:w="388" w:type="pct"/>
            <w:tcBorders>
              <w:top w:val="nil"/>
              <w:left w:val="nil"/>
              <w:bottom w:val="single" w:sz="4" w:space="0" w:color="auto"/>
              <w:right w:val="single" w:sz="4" w:space="0" w:color="auto"/>
            </w:tcBorders>
            <w:shd w:val="clear" w:color="auto" w:fill="auto"/>
            <w:noWrap/>
            <w:vAlign w:val="center"/>
            <w:hideMark/>
          </w:tcPr>
          <w:p w14:paraId="50B4B9D0"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17</w:t>
            </w:r>
          </w:p>
        </w:tc>
      </w:tr>
      <w:tr w:rsidR="00B9337F" w14:paraId="5A26516D"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54DC4CE2" w14:textId="77777777" w:rsidR="00395345" w:rsidRPr="009B66D4" w:rsidRDefault="00395345" w:rsidP="00C66F33">
            <w:pPr>
              <w:keepNext/>
              <w:jc w:val="center"/>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3</w:t>
            </w:r>
          </w:p>
        </w:tc>
        <w:tc>
          <w:tcPr>
            <w:tcW w:w="2965" w:type="pct"/>
            <w:tcBorders>
              <w:top w:val="nil"/>
              <w:left w:val="nil"/>
              <w:bottom w:val="single" w:sz="4" w:space="0" w:color="auto"/>
              <w:right w:val="single" w:sz="4" w:space="0" w:color="auto"/>
            </w:tcBorders>
            <w:shd w:val="clear" w:color="auto" w:fill="auto"/>
            <w:vAlign w:val="center"/>
            <w:hideMark/>
          </w:tcPr>
          <w:p w14:paraId="227E4D80" w14:textId="451C8084" w:rsidR="00395345" w:rsidRPr="009B66D4" w:rsidRDefault="00395345" w:rsidP="00FB588E">
            <w:pPr>
              <w:keepNex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Závazek snížení emisí k roku 2030</w:t>
            </w:r>
            <w:r w:rsidR="00B34DA2">
              <w:rPr>
                <w:rFonts w:ascii="Calibri" w:eastAsia="Times New Roman" w:hAnsi="Calibri" w:cs="Calibri"/>
                <w:color w:val="000000"/>
                <w:sz w:val="20"/>
                <w:szCs w:val="20"/>
                <w:lang w:eastAsia="cs-CZ"/>
              </w:rPr>
              <w:t xml:space="preserve"> </w:t>
            </w:r>
            <w:r w:rsidRPr="009B66D4">
              <w:rPr>
                <w:rFonts w:ascii="Calibri" w:eastAsia="Times New Roman" w:hAnsi="Calibri" w:cs="Calibri"/>
                <w:color w:val="000000"/>
                <w:sz w:val="20"/>
                <w:szCs w:val="20"/>
                <w:lang w:eastAsia="cs-CZ"/>
              </w:rPr>
              <w:t>(</w:t>
            </w:r>
            <w:r w:rsidR="0036324B">
              <w:rPr>
                <w:rFonts w:ascii="Calibri" w:eastAsia="Times New Roman" w:hAnsi="Calibri" w:cs="Calibri"/>
                <w:color w:val="000000"/>
                <w:sz w:val="20"/>
                <w:szCs w:val="20"/>
                <w:lang w:eastAsia="cs-CZ"/>
              </w:rPr>
              <w:t>v </w:t>
            </w:r>
            <w:r w:rsidRPr="009B66D4">
              <w:rPr>
                <w:rFonts w:ascii="Calibri" w:eastAsia="Times New Roman" w:hAnsi="Calibri" w:cs="Calibri"/>
                <w:color w:val="000000"/>
                <w:sz w:val="20"/>
                <w:szCs w:val="20"/>
                <w:lang w:eastAsia="cs-CZ"/>
              </w:rPr>
              <w:t>% proti r. 2005)</w:t>
            </w:r>
          </w:p>
        </w:tc>
        <w:tc>
          <w:tcPr>
            <w:tcW w:w="316" w:type="pct"/>
            <w:tcBorders>
              <w:top w:val="nil"/>
              <w:left w:val="nil"/>
              <w:bottom w:val="single" w:sz="4" w:space="0" w:color="auto"/>
              <w:right w:val="single" w:sz="4" w:space="0" w:color="auto"/>
            </w:tcBorders>
            <w:shd w:val="clear" w:color="auto" w:fill="auto"/>
            <w:noWrap/>
            <w:vAlign w:val="center"/>
            <w:hideMark/>
          </w:tcPr>
          <w:p w14:paraId="626FE158"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66</w:t>
            </w:r>
          </w:p>
        </w:tc>
        <w:tc>
          <w:tcPr>
            <w:tcW w:w="388" w:type="pct"/>
            <w:tcBorders>
              <w:top w:val="nil"/>
              <w:left w:val="nil"/>
              <w:bottom w:val="single" w:sz="4" w:space="0" w:color="auto"/>
              <w:right w:val="single" w:sz="4" w:space="0" w:color="auto"/>
            </w:tcBorders>
            <w:shd w:val="clear" w:color="auto" w:fill="auto"/>
            <w:noWrap/>
            <w:vAlign w:val="center"/>
            <w:hideMark/>
          </w:tcPr>
          <w:p w14:paraId="7924CF7F"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64</w:t>
            </w:r>
          </w:p>
        </w:tc>
        <w:tc>
          <w:tcPr>
            <w:tcW w:w="445" w:type="pct"/>
            <w:tcBorders>
              <w:top w:val="nil"/>
              <w:left w:val="nil"/>
              <w:bottom w:val="single" w:sz="4" w:space="0" w:color="auto"/>
              <w:right w:val="single" w:sz="4" w:space="0" w:color="auto"/>
            </w:tcBorders>
            <w:shd w:val="clear" w:color="auto" w:fill="auto"/>
            <w:noWrap/>
            <w:vAlign w:val="center"/>
            <w:hideMark/>
          </w:tcPr>
          <w:p w14:paraId="143935DF"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50</w:t>
            </w:r>
          </w:p>
        </w:tc>
        <w:tc>
          <w:tcPr>
            <w:tcW w:w="344" w:type="pct"/>
            <w:tcBorders>
              <w:top w:val="nil"/>
              <w:left w:val="nil"/>
              <w:bottom w:val="single" w:sz="4" w:space="0" w:color="auto"/>
              <w:right w:val="single" w:sz="4" w:space="0" w:color="auto"/>
            </w:tcBorders>
            <w:shd w:val="clear" w:color="auto" w:fill="auto"/>
            <w:noWrap/>
            <w:vAlign w:val="center"/>
            <w:hideMark/>
          </w:tcPr>
          <w:p w14:paraId="71D473DE"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22</w:t>
            </w:r>
          </w:p>
        </w:tc>
        <w:tc>
          <w:tcPr>
            <w:tcW w:w="388" w:type="pct"/>
            <w:tcBorders>
              <w:top w:val="nil"/>
              <w:left w:val="nil"/>
              <w:bottom w:val="single" w:sz="4" w:space="0" w:color="auto"/>
              <w:right w:val="single" w:sz="4" w:space="0" w:color="auto"/>
            </w:tcBorders>
            <w:shd w:val="clear" w:color="auto" w:fill="auto"/>
            <w:noWrap/>
            <w:vAlign w:val="center"/>
            <w:hideMark/>
          </w:tcPr>
          <w:p w14:paraId="7E6DECE7"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60</w:t>
            </w:r>
          </w:p>
        </w:tc>
      </w:tr>
      <w:tr w:rsidR="00B9337F" w14:paraId="4EB616C4" w14:textId="77777777" w:rsidTr="00395345">
        <w:trPr>
          <w:trHeight w:val="255"/>
        </w:trPr>
        <w:tc>
          <w:tcPr>
            <w:tcW w:w="5000" w:type="pct"/>
            <w:gridSpan w:val="7"/>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0B0EB804" w14:textId="77777777" w:rsidR="00395345" w:rsidRPr="009B66D4" w:rsidRDefault="00395345" w:rsidP="00C66F33">
            <w:pPr>
              <w:keepNext/>
              <w:rPr>
                <w:rFonts w:ascii="Calibri" w:eastAsia="Times New Roman" w:hAnsi="Calibri" w:cs="Calibri"/>
                <w:b/>
                <w:bCs/>
                <w:color w:val="000000"/>
                <w:sz w:val="20"/>
                <w:szCs w:val="20"/>
                <w:lang w:eastAsia="cs-CZ"/>
              </w:rPr>
            </w:pPr>
            <w:r w:rsidRPr="009B66D4">
              <w:rPr>
                <w:rFonts w:ascii="Calibri" w:eastAsia="Times New Roman" w:hAnsi="Calibri" w:cs="Calibri"/>
                <w:b/>
                <w:bCs/>
                <w:color w:val="000000"/>
                <w:sz w:val="20"/>
                <w:szCs w:val="20"/>
                <w:lang w:eastAsia="cs-CZ"/>
              </w:rPr>
              <w:t>Nepřekročitelné hodnoty národních emisí k roku 2020</w:t>
            </w:r>
          </w:p>
        </w:tc>
      </w:tr>
      <w:tr w:rsidR="00B9337F" w14:paraId="49E92650"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14:paraId="3A944893" w14:textId="77777777" w:rsidR="00395345" w:rsidRPr="009B66D4" w:rsidRDefault="00395345" w:rsidP="00C66F33">
            <w:pPr>
              <w:keepNext/>
              <w:jc w:val="center"/>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4</w:t>
            </w:r>
          </w:p>
        </w:tc>
        <w:tc>
          <w:tcPr>
            <w:tcW w:w="2965" w:type="pct"/>
            <w:tcBorders>
              <w:top w:val="nil"/>
              <w:left w:val="nil"/>
              <w:bottom w:val="single" w:sz="4" w:space="0" w:color="auto"/>
              <w:right w:val="single" w:sz="4" w:space="0" w:color="auto"/>
            </w:tcBorders>
            <w:shd w:val="clear" w:color="auto" w:fill="auto"/>
            <w:noWrap/>
            <w:vAlign w:val="center"/>
            <w:hideMark/>
          </w:tcPr>
          <w:p w14:paraId="65B11467" w14:textId="717B1846" w:rsidR="00395345" w:rsidRPr="009B66D4" w:rsidRDefault="00395345" w:rsidP="00FB588E">
            <w:pPr>
              <w:keepNex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Nepřekročitelné hodnoty národních emisí k roku 2020</w:t>
            </w:r>
            <w:r w:rsidR="00B34DA2">
              <w:rPr>
                <w:rFonts w:ascii="Calibri" w:eastAsia="Times New Roman" w:hAnsi="Calibri" w:cs="Calibri"/>
                <w:color w:val="000000"/>
                <w:sz w:val="20"/>
                <w:szCs w:val="20"/>
                <w:lang w:eastAsia="cs-CZ"/>
              </w:rPr>
              <w:t xml:space="preserve"> (</w:t>
            </w:r>
            <w:r w:rsidR="0036324B">
              <w:rPr>
                <w:rFonts w:ascii="Calibri" w:eastAsia="Times New Roman" w:hAnsi="Calibri" w:cs="Calibri"/>
                <w:color w:val="000000"/>
                <w:sz w:val="20"/>
                <w:szCs w:val="20"/>
                <w:lang w:eastAsia="cs-CZ"/>
              </w:rPr>
              <w:t>v </w:t>
            </w:r>
            <w:proofErr w:type="spellStart"/>
            <w:r w:rsidR="00B34DA2">
              <w:rPr>
                <w:rFonts w:ascii="Calibri" w:eastAsia="Times New Roman" w:hAnsi="Calibri" w:cs="Calibri"/>
                <w:color w:val="000000"/>
                <w:sz w:val="20"/>
                <w:szCs w:val="20"/>
                <w:lang w:eastAsia="cs-CZ"/>
              </w:rPr>
              <w:t>kt</w:t>
            </w:r>
            <w:proofErr w:type="spellEnd"/>
            <w:r w:rsidR="00B34DA2">
              <w:rPr>
                <w:rFonts w:ascii="Calibri" w:eastAsia="Times New Roman" w:hAnsi="Calibri" w:cs="Calibri"/>
                <w:color w:val="000000"/>
                <w:sz w:val="20"/>
                <w:szCs w:val="20"/>
                <w:lang w:eastAsia="cs-CZ"/>
              </w:rPr>
              <w:t>/rok)</w:t>
            </w:r>
          </w:p>
        </w:tc>
        <w:tc>
          <w:tcPr>
            <w:tcW w:w="316" w:type="pct"/>
            <w:tcBorders>
              <w:top w:val="nil"/>
              <w:left w:val="nil"/>
              <w:bottom w:val="single" w:sz="4" w:space="0" w:color="auto"/>
              <w:right w:val="single" w:sz="4" w:space="0" w:color="auto"/>
            </w:tcBorders>
            <w:shd w:val="clear" w:color="auto" w:fill="auto"/>
            <w:noWrap/>
            <w:vAlign w:val="center"/>
            <w:hideMark/>
          </w:tcPr>
          <w:p w14:paraId="5568ADED"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92</w:t>
            </w:r>
          </w:p>
        </w:tc>
        <w:tc>
          <w:tcPr>
            <w:tcW w:w="388" w:type="pct"/>
            <w:tcBorders>
              <w:top w:val="nil"/>
              <w:left w:val="nil"/>
              <w:bottom w:val="single" w:sz="4" w:space="0" w:color="auto"/>
              <w:right w:val="single" w:sz="4" w:space="0" w:color="auto"/>
            </w:tcBorders>
            <w:shd w:val="clear" w:color="auto" w:fill="auto"/>
            <w:noWrap/>
            <w:vAlign w:val="center"/>
            <w:hideMark/>
          </w:tcPr>
          <w:p w14:paraId="2BE53644"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143</w:t>
            </w:r>
          </w:p>
        </w:tc>
        <w:tc>
          <w:tcPr>
            <w:tcW w:w="445" w:type="pct"/>
            <w:tcBorders>
              <w:top w:val="nil"/>
              <w:left w:val="nil"/>
              <w:bottom w:val="single" w:sz="4" w:space="0" w:color="auto"/>
              <w:right w:val="single" w:sz="4" w:space="0" w:color="auto"/>
            </w:tcBorders>
            <w:shd w:val="clear" w:color="auto" w:fill="auto"/>
            <w:noWrap/>
            <w:vAlign w:val="center"/>
            <w:hideMark/>
          </w:tcPr>
          <w:p w14:paraId="135F8807"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129</w:t>
            </w:r>
          </w:p>
        </w:tc>
        <w:tc>
          <w:tcPr>
            <w:tcW w:w="344" w:type="pct"/>
            <w:tcBorders>
              <w:top w:val="nil"/>
              <w:left w:val="nil"/>
              <w:bottom w:val="single" w:sz="4" w:space="0" w:color="auto"/>
              <w:right w:val="single" w:sz="4" w:space="0" w:color="auto"/>
            </w:tcBorders>
            <w:shd w:val="clear" w:color="auto" w:fill="auto"/>
            <w:noWrap/>
            <w:vAlign w:val="center"/>
            <w:hideMark/>
          </w:tcPr>
          <w:p w14:paraId="52F2264B"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64</w:t>
            </w:r>
          </w:p>
        </w:tc>
        <w:tc>
          <w:tcPr>
            <w:tcW w:w="388" w:type="pct"/>
            <w:tcBorders>
              <w:top w:val="nil"/>
              <w:left w:val="nil"/>
              <w:bottom w:val="single" w:sz="4" w:space="0" w:color="auto"/>
              <w:right w:val="single" w:sz="4" w:space="0" w:color="auto"/>
            </w:tcBorders>
            <w:shd w:val="clear" w:color="auto" w:fill="auto"/>
            <w:noWrap/>
            <w:vAlign w:val="center"/>
            <w:hideMark/>
          </w:tcPr>
          <w:p w14:paraId="2EB3FC77" w14:textId="77777777" w:rsidR="00395345" w:rsidRPr="009B66D4" w:rsidRDefault="00395345" w:rsidP="0085489E">
            <w:pPr>
              <w:keepNext/>
              <w:jc w:val="righ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19</w:t>
            </w:r>
          </w:p>
        </w:tc>
      </w:tr>
      <w:tr w:rsidR="00B9337F" w14:paraId="14EBD4E5"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14:paraId="106FB70A" w14:textId="77777777" w:rsidR="00395345" w:rsidRPr="009B66D4" w:rsidRDefault="00395345" w:rsidP="00C66F33">
            <w:pPr>
              <w:keepNext/>
              <w:jc w:val="center"/>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5</w:t>
            </w:r>
          </w:p>
        </w:tc>
        <w:tc>
          <w:tcPr>
            <w:tcW w:w="2965" w:type="pct"/>
            <w:tcBorders>
              <w:top w:val="nil"/>
              <w:left w:val="nil"/>
              <w:bottom w:val="single" w:sz="4" w:space="0" w:color="auto"/>
              <w:right w:val="single" w:sz="4" w:space="0" w:color="auto"/>
            </w:tcBorders>
            <w:shd w:val="clear" w:color="auto" w:fill="auto"/>
            <w:noWrap/>
            <w:vAlign w:val="center"/>
            <w:hideMark/>
          </w:tcPr>
          <w:p w14:paraId="28CDA44B" w14:textId="39ED70B6" w:rsidR="00395345" w:rsidRPr="00B34DA2" w:rsidRDefault="00395345" w:rsidP="00FB588E">
            <w:pPr>
              <w:keepNext/>
              <w:rPr>
                <w:rFonts w:ascii="Calibri" w:eastAsia="Times New Roman" w:hAnsi="Calibri" w:cs="Calibri"/>
                <w:color w:val="000000"/>
                <w:sz w:val="20"/>
                <w:szCs w:val="20"/>
                <w:lang w:eastAsia="cs-CZ"/>
              </w:rPr>
            </w:pPr>
            <w:r w:rsidRPr="009B66D4">
              <w:rPr>
                <w:rFonts w:ascii="Calibri" w:eastAsia="Times New Roman" w:hAnsi="Calibri" w:cs="Calibri"/>
                <w:color w:val="000000"/>
                <w:sz w:val="20"/>
                <w:szCs w:val="20"/>
                <w:lang w:eastAsia="cs-CZ"/>
              </w:rPr>
              <w:t xml:space="preserve">Maximální emise </w:t>
            </w:r>
            <w:r w:rsidR="00C66F33">
              <w:rPr>
                <w:rFonts w:ascii="Calibri" w:eastAsia="Times New Roman" w:hAnsi="Calibri" w:cs="Calibri"/>
                <w:color w:val="000000"/>
                <w:sz w:val="20"/>
                <w:szCs w:val="20"/>
                <w:lang w:eastAsia="cs-CZ"/>
              </w:rPr>
              <w:t>–</w:t>
            </w:r>
            <w:r w:rsidRPr="009B66D4">
              <w:rPr>
                <w:rFonts w:ascii="Calibri" w:eastAsia="Times New Roman" w:hAnsi="Calibri" w:cs="Calibri"/>
                <w:color w:val="000000"/>
                <w:sz w:val="20"/>
                <w:szCs w:val="20"/>
                <w:lang w:eastAsia="cs-CZ"/>
              </w:rPr>
              <w:t xml:space="preserve"> vyjádření závazku</w:t>
            </w:r>
            <w:r w:rsidR="0036324B">
              <w:rPr>
                <w:rFonts w:ascii="Calibri" w:eastAsia="Times New Roman" w:hAnsi="Calibri" w:cs="Calibri"/>
                <w:color w:val="000000"/>
                <w:sz w:val="20"/>
                <w:szCs w:val="20"/>
                <w:vertAlign w:val="superscript"/>
                <w:lang w:eastAsia="cs-CZ"/>
              </w:rPr>
              <w:t>*</w:t>
            </w:r>
            <w:r w:rsidR="00B34DA2" w:rsidRPr="00B1650A">
              <w:rPr>
                <w:rFonts w:ascii="Calibri" w:eastAsia="Times New Roman" w:hAnsi="Calibri" w:cs="Calibri"/>
                <w:color w:val="000000"/>
                <w:sz w:val="20"/>
                <w:szCs w:val="20"/>
                <w:lang w:eastAsia="cs-CZ"/>
              </w:rPr>
              <w:t xml:space="preserve"> </w:t>
            </w:r>
            <w:r w:rsidR="00B34DA2">
              <w:rPr>
                <w:rFonts w:ascii="Calibri" w:eastAsia="Times New Roman" w:hAnsi="Calibri" w:cs="Calibri"/>
                <w:color w:val="000000"/>
                <w:sz w:val="20"/>
                <w:szCs w:val="20"/>
                <w:lang w:eastAsia="cs-CZ"/>
              </w:rPr>
              <w:t>(</w:t>
            </w:r>
            <w:r w:rsidR="0036324B">
              <w:rPr>
                <w:rFonts w:ascii="Calibri" w:eastAsia="Times New Roman" w:hAnsi="Calibri" w:cs="Calibri"/>
                <w:color w:val="000000"/>
                <w:sz w:val="20"/>
                <w:szCs w:val="20"/>
                <w:lang w:eastAsia="cs-CZ"/>
              </w:rPr>
              <w:t>v </w:t>
            </w:r>
            <w:r w:rsidR="00B34DA2">
              <w:rPr>
                <w:rFonts w:ascii="Calibri" w:eastAsia="Times New Roman" w:hAnsi="Calibri" w:cs="Calibri"/>
                <w:color w:val="000000"/>
                <w:sz w:val="20"/>
                <w:szCs w:val="20"/>
                <w:lang w:eastAsia="cs-CZ"/>
              </w:rPr>
              <w:t>%)</w:t>
            </w:r>
          </w:p>
        </w:tc>
        <w:tc>
          <w:tcPr>
            <w:tcW w:w="316" w:type="pct"/>
            <w:tcBorders>
              <w:top w:val="nil"/>
              <w:left w:val="nil"/>
              <w:bottom w:val="single" w:sz="4" w:space="0" w:color="auto"/>
              <w:right w:val="single" w:sz="4" w:space="0" w:color="auto"/>
            </w:tcBorders>
            <w:shd w:val="clear" w:color="auto" w:fill="auto"/>
            <w:noWrap/>
            <w:vAlign w:val="center"/>
            <w:hideMark/>
          </w:tcPr>
          <w:p w14:paraId="7424AAC8"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56</w:t>
            </w:r>
          </w:p>
        </w:tc>
        <w:tc>
          <w:tcPr>
            <w:tcW w:w="388" w:type="pct"/>
            <w:tcBorders>
              <w:top w:val="nil"/>
              <w:left w:val="nil"/>
              <w:bottom w:val="single" w:sz="4" w:space="0" w:color="auto"/>
              <w:right w:val="single" w:sz="4" w:space="0" w:color="auto"/>
            </w:tcBorders>
            <w:shd w:val="clear" w:color="auto" w:fill="auto"/>
            <w:noWrap/>
            <w:vAlign w:val="center"/>
            <w:hideMark/>
          </w:tcPr>
          <w:p w14:paraId="3DB8BD2F"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49</w:t>
            </w:r>
          </w:p>
        </w:tc>
        <w:tc>
          <w:tcPr>
            <w:tcW w:w="445" w:type="pct"/>
            <w:tcBorders>
              <w:top w:val="nil"/>
              <w:left w:val="nil"/>
              <w:bottom w:val="single" w:sz="4" w:space="0" w:color="auto"/>
              <w:right w:val="single" w:sz="4" w:space="0" w:color="auto"/>
            </w:tcBorders>
            <w:shd w:val="clear" w:color="auto" w:fill="auto"/>
            <w:noWrap/>
            <w:vAlign w:val="center"/>
            <w:hideMark/>
          </w:tcPr>
          <w:p w14:paraId="733E77BB"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36</w:t>
            </w:r>
          </w:p>
        </w:tc>
        <w:tc>
          <w:tcPr>
            <w:tcW w:w="344" w:type="pct"/>
            <w:tcBorders>
              <w:top w:val="nil"/>
              <w:left w:val="nil"/>
              <w:bottom w:val="single" w:sz="4" w:space="0" w:color="auto"/>
              <w:right w:val="single" w:sz="4" w:space="0" w:color="auto"/>
            </w:tcBorders>
            <w:shd w:val="clear" w:color="auto" w:fill="auto"/>
            <w:noWrap/>
            <w:vAlign w:val="center"/>
            <w:hideMark/>
          </w:tcPr>
          <w:p w14:paraId="3E8441F6"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22</w:t>
            </w:r>
          </w:p>
        </w:tc>
        <w:tc>
          <w:tcPr>
            <w:tcW w:w="388" w:type="pct"/>
            <w:tcBorders>
              <w:top w:val="nil"/>
              <w:left w:val="nil"/>
              <w:bottom w:val="single" w:sz="4" w:space="0" w:color="auto"/>
              <w:right w:val="single" w:sz="4" w:space="0" w:color="auto"/>
            </w:tcBorders>
            <w:shd w:val="clear" w:color="auto" w:fill="auto"/>
            <w:noWrap/>
            <w:vAlign w:val="center"/>
            <w:hideMark/>
          </w:tcPr>
          <w:p w14:paraId="72E34C1C" w14:textId="77777777" w:rsidR="00395345" w:rsidRPr="009B66D4" w:rsidRDefault="009E4173" w:rsidP="0085489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49</w:t>
            </w:r>
          </w:p>
        </w:tc>
      </w:tr>
    </w:tbl>
    <w:p w14:paraId="36531F72" w14:textId="2A6B497C" w:rsidR="00395345" w:rsidRDefault="00395345" w:rsidP="00C66F33">
      <w:pPr>
        <w:pStyle w:val="Zdrojeapozn"/>
      </w:pPr>
      <w:r w:rsidRPr="005F0B85">
        <w:rPr>
          <w:b/>
        </w:rPr>
        <w:t>Zdroj:</w:t>
      </w:r>
      <w:r w:rsidR="0036324B">
        <w:rPr>
          <w:b/>
        </w:rPr>
        <w:t xml:space="preserve"> </w:t>
      </w:r>
      <w:r w:rsidR="0036324B" w:rsidRPr="00B1650A">
        <w:t xml:space="preserve">zpracoval NKÚ </w:t>
      </w:r>
      <w:r w:rsidR="0036324B">
        <w:t>podle</w:t>
      </w:r>
      <w:r>
        <w:t xml:space="preserve"> </w:t>
      </w:r>
      <w:r w:rsidR="0036324B">
        <w:t>s</w:t>
      </w:r>
      <w:r>
        <w:t>měrnice EU č. 2016/2284</w:t>
      </w:r>
      <w:r w:rsidR="0036324B">
        <w:t xml:space="preserve"> a</w:t>
      </w:r>
      <w:r>
        <w:t xml:space="preserve"> </w:t>
      </w:r>
      <w:r w:rsidRPr="00B1650A">
        <w:rPr>
          <w:i/>
        </w:rPr>
        <w:t>Národní</w:t>
      </w:r>
      <w:r w:rsidR="0036324B">
        <w:rPr>
          <w:i/>
        </w:rPr>
        <w:t>ho</w:t>
      </w:r>
      <w:r w:rsidRPr="00B1650A">
        <w:rPr>
          <w:i/>
        </w:rPr>
        <w:t xml:space="preserve"> program</w:t>
      </w:r>
      <w:r w:rsidR="0036324B">
        <w:rPr>
          <w:i/>
        </w:rPr>
        <w:t>u</w:t>
      </w:r>
      <w:r w:rsidRPr="00B1650A">
        <w:rPr>
          <w:i/>
        </w:rPr>
        <w:t xml:space="preserve"> snižování emisí Č</w:t>
      </w:r>
      <w:r w:rsidR="0036324B" w:rsidRPr="00B1650A">
        <w:rPr>
          <w:i/>
        </w:rPr>
        <w:t xml:space="preserve">eské </w:t>
      </w:r>
      <w:proofErr w:type="gramStart"/>
      <w:r w:rsidR="0036324B" w:rsidRPr="00B1650A">
        <w:rPr>
          <w:i/>
        </w:rPr>
        <w:t>republiky</w:t>
      </w:r>
      <w:r>
        <w:t xml:space="preserve"> </w:t>
      </w:r>
      <w:r w:rsidR="0036324B">
        <w:t>.</w:t>
      </w:r>
      <w:proofErr w:type="gramEnd"/>
    </w:p>
    <w:p w14:paraId="2DEA327B" w14:textId="1629AA04" w:rsidR="00395345" w:rsidRPr="00776629" w:rsidRDefault="0036324B" w:rsidP="00395345">
      <w:pPr>
        <w:pStyle w:val="Zdrojapozn"/>
        <w:ind w:left="142" w:hanging="142"/>
      </w:pPr>
      <w:r>
        <w:t>*</w:t>
      </w:r>
      <w:r w:rsidR="00395345">
        <w:t xml:space="preserve"> Procentuální rozdíl mezi hodnotami emisí k roku 2005 (ř. 1) a nepřekročitelnými hodnotami národních emisí k roku 2020 (ř. 4).</w:t>
      </w:r>
    </w:p>
    <w:p w14:paraId="0C9F58E7" w14:textId="77777777" w:rsidR="00395345" w:rsidRDefault="00395345" w:rsidP="00FB356D">
      <w:pPr>
        <w:pStyle w:val="Text"/>
        <w:spacing w:after="120" w:line="264" w:lineRule="auto"/>
      </w:pPr>
      <w:r>
        <w:t xml:space="preserve">Z provedeného přepočtu nepřekročitelných hodnot národních emisí na procentuální vyjádření závazku snížení emisí oproti roku 2005 vyplývá, že </w:t>
      </w:r>
      <w:r w:rsidRPr="00484823">
        <w:t>MŽP nepřekročitelné hodnoty národních emisí k roku 2020 stanovilo přísněji oproti mezinárodnímu závazku pro ČR.</w:t>
      </w:r>
    </w:p>
    <w:p w14:paraId="58223C94" w14:textId="576C191E" w:rsidR="00395345" w:rsidRDefault="00395345" w:rsidP="00FB356D">
      <w:pPr>
        <w:pStyle w:val="Text"/>
        <w:spacing w:after="120" w:line="264" w:lineRule="auto"/>
      </w:pPr>
      <w:r>
        <w:t>Metodiky tvorby emisních bilancí se mohou aktualizovat, dochází k </w:t>
      </w:r>
      <w:r w:rsidRPr="00FD0511">
        <w:t>úpravám a k zpřesňování výpočtu emisí. Na základě těchto změn v</w:t>
      </w:r>
      <w:r>
        <w:t> </w:t>
      </w:r>
      <w:r w:rsidRPr="00FD0511">
        <w:t>metodice</w:t>
      </w:r>
      <w:r>
        <w:t xml:space="preserve"> výpočtu pak dochází k rekalkulacím</w:t>
      </w:r>
      <w:r w:rsidRPr="00FD0511">
        <w:t xml:space="preserve"> emisních bilancí, aby hodnoty byly v časové řadě porovnatelné (návazný zpětný přepočet časových řad emisí). </w:t>
      </w:r>
      <w:r>
        <w:t>V roce 2015 např. proběhla výrazná změna ve</w:t>
      </w:r>
      <w:r w:rsidR="0032360A">
        <w:t xml:space="preserve"> </w:t>
      </w:r>
      <w:r>
        <w:t>výpočtu emisí v sektoru lokálních topenišť a v roce 2017</w:t>
      </w:r>
      <w:r w:rsidRPr="00FD0511">
        <w:t xml:space="preserve"> </w:t>
      </w:r>
      <w:r>
        <w:t xml:space="preserve">byla </w:t>
      </w:r>
      <w:r w:rsidRPr="00FD0511">
        <w:t>proveden</w:t>
      </w:r>
      <w:r>
        <w:t>a</w:t>
      </w:r>
      <w:r w:rsidRPr="00FD0511">
        <w:t xml:space="preserve"> </w:t>
      </w:r>
      <w:r>
        <w:t xml:space="preserve">hloubková revize metodik </w:t>
      </w:r>
      <w:r w:rsidRPr="00FD0511">
        <w:t>pro emisní inventury</w:t>
      </w:r>
      <w:r>
        <w:t xml:space="preserve"> </w:t>
      </w:r>
      <w:r w:rsidRPr="00FD0511">
        <w:t xml:space="preserve">v souladu s požadavky </w:t>
      </w:r>
      <w:r>
        <w:t>s</w:t>
      </w:r>
      <w:r w:rsidRPr="00FD0511">
        <w:t>měrnice</w:t>
      </w:r>
      <w:r>
        <w:t xml:space="preserve"> EU</w:t>
      </w:r>
      <w:r w:rsidRPr="00FD0511">
        <w:t xml:space="preserve"> č. 2016/2284</w:t>
      </w:r>
      <w:r>
        <w:t>. V</w:t>
      </w:r>
      <w:r w:rsidR="00EE41F9">
        <w:t xml:space="preserve"> následující </w:t>
      </w:r>
      <w:r>
        <w:t>tabulce je uveden současný stav plnění závazků snižování emisí ČR k roku 2020 na základě poslední dostupné emisní bilance reportované v roce 2018 za rok 2016</w:t>
      </w:r>
      <w:r>
        <w:rPr>
          <w:rStyle w:val="Znakapoznpodarou"/>
        </w:rPr>
        <w:footnoteReference w:id="27"/>
      </w:r>
      <w:r>
        <w:t>.</w:t>
      </w:r>
    </w:p>
    <w:p w14:paraId="347AEF7B" w14:textId="37ACFE51" w:rsidR="00F12620" w:rsidRPr="00B1650A" w:rsidRDefault="00F12620" w:rsidP="00FB588E">
      <w:pPr>
        <w:pStyle w:val="Titulek"/>
        <w:keepNext/>
        <w:tabs>
          <w:tab w:val="clear" w:pos="7938"/>
          <w:tab w:val="left" w:pos="8222"/>
        </w:tabs>
        <w:rPr>
          <w:b/>
          <w:lang w:eastAsia="cs-CZ"/>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3</w:t>
      </w:r>
      <w:r w:rsidR="00A36661" w:rsidRPr="00B1650A">
        <w:rPr>
          <w:b/>
          <w:noProof/>
        </w:rPr>
        <w:fldChar w:fldCharType="end"/>
      </w:r>
      <w:r w:rsidRPr="00B1650A">
        <w:rPr>
          <w:b/>
        </w:rPr>
        <w:t>: Plnění emisních závazků k roku 2020</w:t>
      </w:r>
      <w:r w:rsidRPr="00B1650A">
        <w:rPr>
          <w:rStyle w:val="Znakapoznpodarou"/>
          <w:b/>
        </w:rPr>
        <w:footnoteReference w:id="28"/>
      </w:r>
    </w:p>
    <w:tbl>
      <w:tblPr>
        <w:tblW w:w="5000" w:type="pct"/>
        <w:tblLayout w:type="fixed"/>
        <w:tblCellMar>
          <w:left w:w="70" w:type="dxa"/>
          <w:right w:w="70" w:type="dxa"/>
        </w:tblCellMar>
        <w:tblLook w:val="04A0" w:firstRow="1" w:lastRow="0" w:firstColumn="1" w:lastColumn="0" w:noHBand="0" w:noVBand="1"/>
      </w:tblPr>
      <w:tblGrid>
        <w:gridCol w:w="421"/>
        <w:gridCol w:w="5529"/>
        <w:gridCol w:w="565"/>
        <w:gridCol w:w="565"/>
        <w:gridCol w:w="850"/>
        <w:gridCol w:w="565"/>
        <w:gridCol w:w="567"/>
      </w:tblGrid>
      <w:tr w:rsidR="0032360A" w14:paraId="17219059" w14:textId="77777777" w:rsidTr="0032360A">
        <w:trPr>
          <w:trHeight w:val="78"/>
        </w:trPr>
        <w:tc>
          <w:tcPr>
            <w:tcW w:w="232"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6B4202DE" w14:textId="77777777" w:rsidR="00F12620" w:rsidRPr="00116A14" w:rsidRDefault="00487360" w:rsidP="00FB588E">
            <w:pPr>
              <w:keepNext/>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Ř.</w:t>
            </w:r>
          </w:p>
        </w:tc>
        <w:tc>
          <w:tcPr>
            <w:tcW w:w="3050" w:type="pct"/>
            <w:tcBorders>
              <w:top w:val="single" w:sz="4" w:space="0" w:color="auto"/>
              <w:left w:val="nil"/>
              <w:bottom w:val="single" w:sz="4" w:space="0" w:color="auto"/>
              <w:right w:val="single" w:sz="4" w:space="0" w:color="auto"/>
            </w:tcBorders>
            <w:shd w:val="clear" w:color="000000" w:fill="E5F1FF"/>
            <w:noWrap/>
            <w:vAlign w:val="center"/>
            <w:hideMark/>
          </w:tcPr>
          <w:p w14:paraId="5E74FFE6" w14:textId="635443E7" w:rsidR="00F12620" w:rsidRPr="00116A14" w:rsidRDefault="00F12620" w:rsidP="00FB588E">
            <w:pPr>
              <w:keepNext/>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Emise / závazky ČR</w:t>
            </w:r>
          </w:p>
        </w:tc>
        <w:tc>
          <w:tcPr>
            <w:tcW w:w="312" w:type="pct"/>
            <w:tcBorders>
              <w:top w:val="single" w:sz="4" w:space="0" w:color="auto"/>
              <w:left w:val="nil"/>
              <w:bottom w:val="single" w:sz="4" w:space="0" w:color="auto"/>
              <w:right w:val="single" w:sz="4" w:space="0" w:color="auto"/>
            </w:tcBorders>
            <w:shd w:val="clear" w:color="000000" w:fill="E5F1FF"/>
            <w:noWrap/>
            <w:vAlign w:val="center"/>
            <w:hideMark/>
          </w:tcPr>
          <w:p w14:paraId="498A0122" w14:textId="77777777" w:rsidR="00F12620" w:rsidRPr="00116A14" w:rsidRDefault="00F12620" w:rsidP="00FB588E">
            <w:pPr>
              <w:keepNext/>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SO</w:t>
            </w:r>
            <w:r w:rsidRPr="00116A14">
              <w:rPr>
                <w:rFonts w:ascii="Calibri" w:eastAsia="Times New Roman" w:hAnsi="Calibri" w:cs="Calibri"/>
                <w:b/>
                <w:bCs/>
                <w:color w:val="000000"/>
                <w:sz w:val="20"/>
                <w:szCs w:val="20"/>
                <w:vertAlign w:val="subscript"/>
                <w:lang w:eastAsia="cs-CZ"/>
              </w:rPr>
              <w:t>2</w:t>
            </w:r>
          </w:p>
        </w:tc>
        <w:tc>
          <w:tcPr>
            <w:tcW w:w="312" w:type="pct"/>
            <w:tcBorders>
              <w:top w:val="single" w:sz="4" w:space="0" w:color="auto"/>
              <w:left w:val="nil"/>
              <w:bottom w:val="single" w:sz="4" w:space="0" w:color="auto"/>
              <w:right w:val="single" w:sz="4" w:space="0" w:color="auto"/>
            </w:tcBorders>
            <w:shd w:val="clear" w:color="000000" w:fill="E5F1FF"/>
            <w:noWrap/>
            <w:vAlign w:val="center"/>
            <w:hideMark/>
          </w:tcPr>
          <w:p w14:paraId="4E5A4261" w14:textId="77777777" w:rsidR="00F12620" w:rsidRPr="00116A14" w:rsidRDefault="00F12620" w:rsidP="00FB588E">
            <w:pPr>
              <w:keepNext/>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NO</w:t>
            </w:r>
            <w:r w:rsidRPr="00116A14">
              <w:rPr>
                <w:rFonts w:ascii="Calibri" w:eastAsia="Times New Roman" w:hAnsi="Calibri" w:cs="Calibri"/>
                <w:b/>
                <w:bCs/>
                <w:color w:val="000000"/>
                <w:sz w:val="20"/>
                <w:szCs w:val="20"/>
                <w:vertAlign w:val="subscript"/>
                <w:lang w:eastAsia="cs-CZ"/>
              </w:rPr>
              <w:t>X</w:t>
            </w:r>
          </w:p>
        </w:tc>
        <w:tc>
          <w:tcPr>
            <w:tcW w:w="469" w:type="pct"/>
            <w:tcBorders>
              <w:top w:val="single" w:sz="4" w:space="0" w:color="auto"/>
              <w:left w:val="nil"/>
              <w:bottom w:val="single" w:sz="4" w:space="0" w:color="auto"/>
              <w:right w:val="single" w:sz="4" w:space="0" w:color="auto"/>
            </w:tcBorders>
            <w:shd w:val="clear" w:color="000000" w:fill="E5F1FF"/>
            <w:noWrap/>
            <w:vAlign w:val="center"/>
            <w:hideMark/>
          </w:tcPr>
          <w:p w14:paraId="77B15296" w14:textId="77777777" w:rsidR="00F12620" w:rsidRPr="00116A14" w:rsidRDefault="00F12620" w:rsidP="00FB588E">
            <w:pPr>
              <w:keepNext/>
              <w:ind w:left="-75"/>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NMVOC</w:t>
            </w:r>
          </w:p>
        </w:tc>
        <w:tc>
          <w:tcPr>
            <w:tcW w:w="312" w:type="pct"/>
            <w:tcBorders>
              <w:top w:val="single" w:sz="4" w:space="0" w:color="auto"/>
              <w:left w:val="nil"/>
              <w:bottom w:val="single" w:sz="4" w:space="0" w:color="auto"/>
              <w:right w:val="single" w:sz="4" w:space="0" w:color="auto"/>
            </w:tcBorders>
            <w:shd w:val="clear" w:color="000000" w:fill="E5F1FF"/>
            <w:noWrap/>
            <w:vAlign w:val="center"/>
            <w:hideMark/>
          </w:tcPr>
          <w:p w14:paraId="68BA2C0A" w14:textId="77777777" w:rsidR="00F12620" w:rsidRPr="00116A14" w:rsidRDefault="00F12620" w:rsidP="00FB588E">
            <w:pPr>
              <w:keepNext/>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NH</w:t>
            </w:r>
            <w:r w:rsidRPr="00116A14">
              <w:rPr>
                <w:rFonts w:ascii="Calibri" w:eastAsia="Times New Roman" w:hAnsi="Calibri" w:cs="Calibri"/>
                <w:b/>
                <w:bCs/>
                <w:color w:val="000000"/>
                <w:sz w:val="20"/>
                <w:szCs w:val="20"/>
                <w:vertAlign w:val="subscript"/>
                <w:lang w:eastAsia="cs-CZ"/>
              </w:rPr>
              <w:t>3</w:t>
            </w:r>
          </w:p>
        </w:tc>
        <w:tc>
          <w:tcPr>
            <w:tcW w:w="313" w:type="pct"/>
            <w:tcBorders>
              <w:top w:val="single" w:sz="4" w:space="0" w:color="auto"/>
              <w:left w:val="nil"/>
              <w:bottom w:val="single" w:sz="4" w:space="0" w:color="auto"/>
              <w:right w:val="single" w:sz="4" w:space="0" w:color="auto"/>
            </w:tcBorders>
            <w:shd w:val="clear" w:color="000000" w:fill="E5F1FF"/>
            <w:noWrap/>
            <w:vAlign w:val="center"/>
            <w:hideMark/>
          </w:tcPr>
          <w:p w14:paraId="49387D09" w14:textId="77777777" w:rsidR="00F12620" w:rsidRPr="00116A14" w:rsidRDefault="00F12620" w:rsidP="00FB588E">
            <w:pPr>
              <w:keepNext/>
              <w:ind w:left="-69" w:right="-75"/>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PM</w:t>
            </w:r>
            <w:r w:rsidRPr="00116A14">
              <w:rPr>
                <w:rFonts w:ascii="Calibri" w:eastAsia="Times New Roman" w:hAnsi="Calibri" w:cs="Calibri"/>
                <w:b/>
                <w:bCs/>
                <w:color w:val="000000"/>
                <w:sz w:val="20"/>
                <w:szCs w:val="20"/>
                <w:vertAlign w:val="subscript"/>
                <w:lang w:eastAsia="cs-CZ"/>
              </w:rPr>
              <w:t>2,5</w:t>
            </w:r>
          </w:p>
        </w:tc>
      </w:tr>
      <w:tr w:rsidR="0032360A" w14:paraId="2DDFB20F"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DAB6425" w14:textId="77777777" w:rsidR="00F12620" w:rsidRPr="00116A14" w:rsidRDefault="00F12620" w:rsidP="00FB588E">
            <w:pPr>
              <w:keepNext/>
              <w:jc w:val="center"/>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1</w:t>
            </w:r>
          </w:p>
        </w:tc>
        <w:tc>
          <w:tcPr>
            <w:tcW w:w="3050" w:type="pct"/>
            <w:tcBorders>
              <w:top w:val="nil"/>
              <w:left w:val="nil"/>
              <w:bottom w:val="single" w:sz="4" w:space="0" w:color="auto"/>
              <w:right w:val="single" w:sz="4" w:space="0" w:color="auto"/>
            </w:tcBorders>
            <w:shd w:val="clear" w:color="auto" w:fill="auto"/>
            <w:noWrap/>
            <w:vAlign w:val="center"/>
            <w:hideMark/>
          </w:tcPr>
          <w:p w14:paraId="332DDA06" w14:textId="2DA811D4" w:rsidR="00F12620" w:rsidRPr="00116A14" w:rsidRDefault="00F12620" w:rsidP="00FB588E">
            <w:pPr>
              <w:keepNex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Emise 2005 poslední emisní bilance</w:t>
            </w:r>
            <w:r w:rsidR="0032360A">
              <w:rPr>
                <w:rFonts w:ascii="Calibri" w:eastAsia="Times New Roman" w:hAnsi="Calibri" w:cs="Calibri"/>
                <w:color w:val="000000"/>
                <w:sz w:val="20"/>
                <w:szCs w:val="20"/>
                <w:vertAlign w:val="superscript"/>
                <w:lang w:eastAsia="cs-CZ"/>
              </w:rPr>
              <w:t>*</w:t>
            </w:r>
            <w:r w:rsidR="00487360">
              <w:rPr>
                <w:rFonts w:ascii="Calibri" w:eastAsia="Times New Roman" w:hAnsi="Calibri" w:cs="Calibri"/>
                <w:color w:val="000000"/>
                <w:sz w:val="20"/>
                <w:szCs w:val="20"/>
                <w:lang w:eastAsia="cs-CZ"/>
              </w:rPr>
              <w:t xml:space="preserve"> (</w:t>
            </w:r>
            <w:r w:rsidR="00FB588E">
              <w:rPr>
                <w:rFonts w:ascii="Calibri" w:eastAsia="Times New Roman" w:hAnsi="Calibri" w:cs="Calibri"/>
                <w:color w:val="000000"/>
                <w:sz w:val="20"/>
                <w:szCs w:val="20"/>
                <w:lang w:eastAsia="cs-CZ"/>
              </w:rPr>
              <w:t>v </w:t>
            </w:r>
            <w:proofErr w:type="spellStart"/>
            <w:r w:rsidR="00487360">
              <w:rPr>
                <w:rFonts w:ascii="Calibri" w:eastAsia="Times New Roman" w:hAnsi="Calibri" w:cs="Calibri"/>
                <w:color w:val="000000"/>
                <w:sz w:val="20"/>
                <w:szCs w:val="20"/>
                <w:lang w:eastAsia="cs-CZ"/>
              </w:rPr>
              <w:t>kt</w:t>
            </w:r>
            <w:proofErr w:type="spellEnd"/>
            <w:r w:rsidR="00487360">
              <w:rPr>
                <w:rFonts w:ascii="Calibri" w:eastAsia="Times New Roman" w:hAnsi="Calibri" w:cs="Calibri"/>
                <w:color w:val="000000"/>
                <w:sz w:val="20"/>
                <w:szCs w:val="20"/>
                <w:lang w:eastAsia="cs-CZ"/>
              </w:rPr>
              <w:t>/rok)</w:t>
            </w:r>
          </w:p>
        </w:tc>
        <w:tc>
          <w:tcPr>
            <w:tcW w:w="312" w:type="pct"/>
            <w:tcBorders>
              <w:top w:val="nil"/>
              <w:left w:val="nil"/>
              <w:bottom w:val="single" w:sz="4" w:space="0" w:color="auto"/>
              <w:right w:val="single" w:sz="4" w:space="0" w:color="auto"/>
            </w:tcBorders>
            <w:shd w:val="clear" w:color="auto" w:fill="auto"/>
            <w:vAlign w:val="center"/>
            <w:hideMark/>
          </w:tcPr>
          <w:p w14:paraId="0111F851"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208</w:t>
            </w:r>
          </w:p>
        </w:tc>
        <w:tc>
          <w:tcPr>
            <w:tcW w:w="312" w:type="pct"/>
            <w:tcBorders>
              <w:top w:val="nil"/>
              <w:left w:val="nil"/>
              <w:bottom w:val="single" w:sz="4" w:space="0" w:color="auto"/>
              <w:right w:val="single" w:sz="4" w:space="0" w:color="auto"/>
            </w:tcBorders>
            <w:shd w:val="clear" w:color="auto" w:fill="auto"/>
            <w:vAlign w:val="center"/>
            <w:hideMark/>
          </w:tcPr>
          <w:p w14:paraId="296FF0A0"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281</w:t>
            </w:r>
          </w:p>
        </w:tc>
        <w:tc>
          <w:tcPr>
            <w:tcW w:w="469" w:type="pct"/>
            <w:tcBorders>
              <w:top w:val="nil"/>
              <w:left w:val="nil"/>
              <w:bottom w:val="single" w:sz="4" w:space="0" w:color="auto"/>
              <w:right w:val="single" w:sz="4" w:space="0" w:color="auto"/>
            </w:tcBorders>
            <w:shd w:val="clear" w:color="auto" w:fill="auto"/>
            <w:vAlign w:val="center"/>
            <w:hideMark/>
          </w:tcPr>
          <w:p w14:paraId="466F029E"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267</w:t>
            </w:r>
          </w:p>
        </w:tc>
        <w:tc>
          <w:tcPr>
            <w:tcW w:w="312" w:type="pct"/>
            <w:tcBorders>
              <w:top w:val="nil"/>
              <w:left w:val="nil"/>
              <w:bottom w:val="single" w:sz="4" w:space="0" w:color="auto"/>
              <w:right w:val="single" w:sz="4" w:space="0" w:color="auto"/>
            </w:tcBorders>
            <w:shd w:val="clear" w:color="auto" w:fill="auto"/>
            <w:vAlign w:val="center"/>
            <w:hideMark/>
          </w:tcPr>
          <w:p w14:paraId="2BC43A3C"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78</w:t>
            </w:r>
          </w:p>
        </w:tc>
        <w:tc>
          <w:tcPr>
            <w:tcW w:w="313" w:type="pct"/>
            <w:tcBorders>
              <w:top w:val="nil"/>
              <w:left w:val="nil"/>
              <w:bottom w:val="single" w:sz="4" w:space="0" w:color="auto"/>
              <w:right w:val="single" w:sz="4" w:space="0" w:color="auto"/>
            </w:tcBorders>
            <w:shd w:val="clear" w:color="auto" w:fill="auto"/>
            <w:vAlign w:val="center"/>
            <w:hideMark/>
          </w:tcPr>
          <w:p w14:paraId="21FACEE3"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45</w:t>
            </w:r>
          </w:p>
        </w:tc>
      </w:tr>
      <w:tr w:rsidR="0032360A" w14:paraId="167E4E74"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BEA9E2" w14:textId="77777777" w:rsidR="00F12620" w:rsidRPr="00116A14" w:rsidRDefault="00F12620" w:rsidP="00FB588E">
            <w:pPr>
              <w:keepNext/>
              <w:jc w:val="center"/>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2</w:t>
            </w:r>
          </w:p>
        </w:tc>
        <w:tc>
          <w:tcPr>
            <w:tcW w:w="3050" w:type="pct"/>
            <w:tcBorders>
              <w:top w:val="nil"/>
              <w:left w:val="nil"/>
              <w:bottom w:val="single" w:sz="4" w:space="0" w:color="auto"/>
              <w:right w:val="single" w:sz="4" w:space="0" w:color="auto"/>
            </w:tcBorders>
            <w:shd w:val="clear" w:color="auto" w:fill="auto"/>
            <w:noWrap/>
            <w:vAlign w:val="center"/>
            <w:hideMark/>
          </w:tcPr>
          <w:p w14:paraId="22884B66" w14:textId="09B10C9D" w:rsidR="00F12620" w:rsidRPr="00116A14" w:rsidRDefault="00F12620" w:rsidP="00FB588E">
            <w:pPr>
              <w:keepNex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 xml:space="preserve">Emise 2016 </w:t>
            </w:r>
            <w:r>
              <w:rPr>
                <w:rFonts w:ascii="Calibri" w:eastAsia="Times New Roman" w:hAnsi="Calibri" w:cs="Calibri"/>
                <w:color w:val="000000"/>
                <w:sz w:val="20"/>
                <w:szCs w:val="20"/>
                <w:lang w:eastAsia="cs-CZ"/>
              </w:rPr>
              <w:t>poslední emisní bilance</w:t>
            </w:r>
            <w:r w:rsidR="0032360A">
              <w:rPr>
                <w:rFonts w:ascii="Calibri" w:eastAsia="Times New Roman" w:hAnsi="Calibri" w:cs="Calibri"/>
                <w:sz w:val="20"/>
                <w:szCs w:val="20"/>
                <w:vertAlign w:val="superscript"/>
                <w:lang w:eastAsia="cs-CZ"/>
              </w:rPr>
              <w:t>*</w:t>
            </w:r>
            <w:r w:rsidR="00487360" w:rsidRPr="00B1650A">
              <w:rPr>
                <w:rFonts w:ascii="Calibri" w:eastAsia="Times New Roman" w:hAnsi="Calibri" w:cs="Calibri"/>
                <w:sz w:val="20"/>
                <w:szCs w:val="20"/>
                <w:lang w:eastAsia="cs-CZ"/>
              </w:rPr>
              <w:t xml:space="preserve"> </w:t>
            </w:r>
            <w:r w:rsidR="00487360">
              <w:rPr>
                <w:rFonts w:ascii="Calibri" w:eastAsia="Times New Roman" w:hAnsi="Calibri" w:cs="Calibri"/>
                <w:color w:val="000000"/>
                <w:sz w:val="20"/>
                <w:szCs w:val="20"/>
                <w:lang w:eastAsia="cs-CZ"/>
              </w:rPr>
              <w:t>(</w:t>
            </w:r>
            <w:r w:rsidR="00FB588E">
              <w:rPr>
                <w:rFonts w:ascii="Calibri" w:eastAsia="Times New Roman" w:hAnsi="Calibri" w:cs="Calibri"/>
                <w:color w:val="000000"/>
                <w:sz w:val="20"/>
                <w:szCs w:val="20"/>
                <w:lang w:eastAsia="cs-CZ"/>
              </w:rPr>
              <w:t>v </w:t>
            </w:r>
            <w:proofErr w:type="spellStart"/>
            <w:r w:rsidR="00487360">
              <w:rPr>
                <w:rFonts w:ascii="Calibri" w:eastAsia="Times New Roman" w:hAnsi="Calibri" w:cs="Calibri"/>
                <w:color w:val="000000"/>
                <w:sz w:val="20"/>
                <w:szCs w:val="20"/>
                <w:lang w:eastAsia="cs-CZ"/>
              </w:rPr>
              <w:t>kt</w:t>
            </w:r>
            <w:proofErr w:type="spellEnd"/>
            <w:r w:rsidR="00487360">
              <w:rPr>
                <w:rFonts w:ascii="Calibri" w:eastAsia="Times New Roman" w:hAnsi="Calibri" w:cs="Calibri"/>
                <w:color w:val="000000"/>
                <w:sz w:val="20"/>
                <w:szCs w:val="20"/>
                <w:lang w:eastAsia="cs-CZ"/>
              </w:rPr>
              <w:t>/rok)</w:t>
            </w:r>
          </w:p>
        </w:tc>
        <w:tc>
          <w:tcPr>
            <w:tcW w:w="312" w:type="pct"/>
            <w:tcBorders>
              <w:top w:val="nil"/>
              <w:left w:val="nil"/>
              <w:bottom w:val="single" w:sz="4" w:space="0" w:color="auto"/>
              <w:right w:val="single" w:sz="4" w:space="0" w:color="auto"/>
            </w:tcBorders>
            <w:shd w:val="clear" w:color="auto" w:fill="auto"/>
            <w:vAlign w:val="center"/>
            <w:hideMark/>
          </w:tcPr>
          <w:p w14:paraId="61C14B1D"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115</w:t>
            </w:r>
          </w:p>
        </w:tc>
        <w:tc>
          <w:tcPr>
            <w:tcW w:w="312" w:type="pct"/>
            <w:tcBorders>
              <w:top w:val="nil"/>
              <w:left w:val="nil"/>
              <w:bottom w:val="single" w:sz="4" w:space="0" w:color="auto"/>
              <w:right w:val="single" w:sz="4" w:space="0" w:color="auto"/>
            </w:tcBorders>
            <w:shd w:val="clear" w:color="auto" w:fill="auto"/>
            <w:vAlign w:val="center"/>
            <w:hideMark/>
          </w:tcPr>
          <w:p w14:paraId="4F6B872D"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165</w:t>
            </w:r>
          </w:p>
        </w:tc>
        <w:tc>
          <w:tcPr>
            <w:tcW w:w="469" w:type="pct"/>
            <w:tcBorders>
              <w:top w:val="nil"/>
              <w:left w:val="nil"/>
              <w:bottom w:val="single" w:sz="4" w:space="0" w:color="auto"/>
              <w:right w:val="single" w:sz="4" w:space="0" w:color="auto"/>
            </w:tcBorders>
            <w:shd w:val="clear" w:color="auto" w:fill="auto"/>
            <w:vAlign w:val="center"/>
            <w:hideMark/>
          </w:tcPr>
          <w:p w14:paraId="6B2DBBE9"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213</w:t>
            </w:r>
          </w:p>
        </w:tc>
        <w:tc>
          <w:tcPr>
            <w:tcW w:w="312" w:type="pct"/>
            <w:tcBorders>
              <w:top w:val="nil"/>
              <w:left w:val="nil"/>
              <w:bottom w:val="single" w:sz="4" w:space="0" w:color="auto"/>
              <w:right w:val="single" w:sz="4" w:space="0" w:color="auto"/>
            </w:tcBorders>
            <w:shd w:val="clear" w:color="auto" w:fill="auto"/>
            <w:vAlign w:val="center"/>
            <w:hideMark/>
          </w:tcPr>
          <w:p w14:paraId="548ECF6E"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73</w:t>
            </w:r>
          </w:p>
        </w:tc>
        <w:tc>
          <w:tcPr>
            <w:tcW w:w="313" w:type="pct"/>
            <w:tcBorders>
              <w:top w:val="nil"/>
              <w:left w:val="nil"/>
              <w:bottom w:val="single" w:sz="4" w:space="0" w:color="auto"/>
              <w:right w:val="single" w:sz="4" w:space="0" w:color="auto"/>
            </w:tcBorders>
            <w:shd w:val="clear" w:color="auto" w:fill="auto"/>
            <w:vAlign w:val="center"/>
            <w:hideMark/>
          </w:tcPr>
          <w:p w14:paraId="05B89D7C" w14:textId="77777777" w:rsidR="00F12620" w:rsidRPr="00116A14" w:rsidRDefault="00F12620" w:rsidP="00FB588E">
            <w:pPr>
              <w:keepNext/>
              <w:jc w:val="right"/>
              <w:rPr>
                <w:rFonts w:ascii="Calibri" w:eastAsia="Times New Roman" w:hAnsi="Calibri" w:cs="Calibri"/>
                <w:sz w:val="20"/>
                <w:szCs w:val="20"/>
                <w:lang w:eastAsia="cs-CZ"/>
              </w:rPr>
            </w:pPr>
            <w:r w:rsidRPr="00116A14">
              <w:rPr>
                <w:rFonts w:ascii="Calibri" w:eastAsia="Times New Roman" w:hAnsi="Calibri" w:cs="Calibri"/>
                <w:sz w:val="20"/>
                <w:szCs w:val="20"/>
                <w:lang w:eastAsia="cs-CZ"/>
              </w:rPr>
              <w:t>39</w:t>
            </w:r>
          </w:p>
        </w:tc>
      </w:tr>
      <w:tr w:rsidR="0032360A" w14:paraId="52FA4C10"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69478A8" w14:textId="77777777" w:rsidR="00F12620" w:rsidRPr="00116A14" w:rsidRDefault="00F12620" w:rsidP="00FB588E">
            <w:pPr>
              <w:keepNext/>
              <w:jc w:val="center"/>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3</w:t>
            </w:r>
          </w:p>
        </w:tc>
        <w:tc>
          <w:tcPr>
            <w:tcW w:w="3050" w:type="pct"/>
            <w:tcBorders>
              <w:top w:val="nil"/>
              <w:left w:val="nil"/>
              <w:bottom w:val="single" w:sz="4" w:space="0" w:color="auto"/>
              <w:right w:val="single" w:sz="4" w:space="0" w:color="auto"/>
            </w:tcBorders>
            <w:shd w:val="clear" w:color="auto" w:fill="auto"/>
            <w:noWrap/>
            <w:vAlign w:val="center"/>
            <w:hideMark/>
          </w:tcPr>
          <w:p w14:paraId="08E58792" w14:textId="39F61AEA" w:rsidR="00F12620" w:rsidRPr="00116A14" w:rsidRDefault="00F12620" w:rsidP="00FB588E">
            <w:pPr>
              <w:keepNext/>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 xml:space="preserve">Snížení emisí mezi roky 2005 a 2016 </w:t>
            </w:r>
            <w:r w:rsidR="00B34DA2">
              <w:rPr>
                <w:rFonts w:ascii="Calibri" w:eastAsia="Times New Roman" w:hAnsi="Calibri" w:cs="Calibri"/>
                <w:color w:val="000000"/>
                <w:sz w:val="20"/>
                <w:szCs w:val="20"/>
                <w:lang w:eastAsia="cs-CZ"/>
              </w:rPr>
              <w:t xml:space="preserve">          </w:t>
            </w:r>
            <w:r w:rsidR="0032360A">
              <w:rPr>
                <w:rFonts w:ascii="Calibri" w:eastAsia="Times New Roman" w:hAnsi="Calibri" w:cs="Calibri"/>
                <w:color w:val="000000"/>
                <w:sz w:val="20"/>
                <w:szCs w:val="20"/>
                <w:lang w:eastAsia="cs-CZ"/>
              </w:rPr>
              <w:t xml:space="preserve"> </w:t>
            </w:r>
            <w:r w:rsidR="00B34DA2">
              <w:rPr>
                <w:rFonts w:ascii="Calibri" w:eastAsia="Times New Roman" w:hAnsi="Calibri" w:cs="Calibri"/>
                <w:color w:val="000000"/>
                <w:sz w:val="20"/>
                <w:szCs w:val="20"/>
                <w:lang w:eastAsia="cs-CZ"/>
              </w:rPr>
              <w:t xml:space="preserve">         </w:t>
            </w:r>
            <w:r w:rsidR="0032360A">
              <w:rPr>
                <w:rFonts w:ascii="Calibri" w:eastAsia="Times New Roman" w:hAnsi="Calibri" w:cs="Calibri"/>
                <w:color w:val="000000"/>
                <w:sz w:val="20"/>
                <w:szCs w:val="20"/>
                <w:lang w:eastAsia="cs-CZ"/>
              </w:rPr>
              <w:t xml:space="preserve">  </w:t>
            </w:r>
            <w:r w:rsidR="00B34DA2">
              <w:rPr>
                <w:rFonts w:ascii="Calibri" w:eastAsia="Times New Roman" w:hAnsi="Calibri" w:cs="Calibri"/>
                <w:color w:val="000000"/>
                <w:sz w:val="20"/>
                <w:szCs w:val="20"/>
                <w:lang w:eastAsia="cs-CZ"/>
              </w:rPr>
              <w:t xml:space="preserve">   </w:t>
            </w:r>
            <w:r w:rsidR="0032360A">
              <w:rPr>
                <w:rFonts w:ascii="Calibri" w:eastAsia="Times New Roman" w:hAnsi="Calibri" w:cs="Calibri"/>
                <w:color w:val="000000"/>
                <w:sz w:val="20"/>
                <w:szCs w:val="20"/>
                <w:lang w:eastAsia="cs-CZ"/>
              </w:rPr>
              <w:t xml:space="preserve"> </w:t>
            </w:r>
            <w:r w:rsidR="00B34DA2">
              <w:rPr>
                <w:rFonts w:ascii="Calibri" w:eastAsia="Times New Roman" w:hAnsi="Calibri" w:cs="Calibri"/>
                <w:color w:val="000000"/>
                <w:sz w:val="20"/>
                <w:szCs w:val="20"/>
                <w:lang w:eastAsia="cs-CZ"/>
              </w:rPr>
              <w:t xml:space="preserve">                 </w:t>
            </w:r>
            <w:r w:rsidRPr="00116A14">
              <w:rPr>
                <w:rFonts w:ascii="Calibri" w:eastAsia="Times New Roman" w:hAnsi="Calibri" w:cs="Calibri"/>
                <w:color w:val="000000"/>
                <w:sz w:val="20"/>
                <w:szCs w:val="20"/>
                <w:lang w:eastAsia="cs-CZ"/>
              </w:rPr>
              <w:t>(</w:t>
            </w:r>
            <w:r w:rsidR="00FB588E">
              <w:rPr>
                <w:rFonts w:ascii="Calibri" w:eastAsia="Times New Roman" w:hAnsi="Calibri" w:cs="Calibri"/>
                <w:color w:val="000000"/>
                <w:sz w:val="20"/>
                <w:szCs w:val="20"/>
                <w:lang w:eastAsia="cs-CZ"/>
              </w:rPr>
              <w:t>v </w:t>
            </w:r>
            <w:r w:rsidRPr="00116A14">
              <w:rPr>
                <w:rFonts w:ascii="Calibri" w:eastAsia="Times New Roman" w:hAnsi="Calibri" w:cs="Calibri"/>
                <w:color w:val="000000"/>
                <w:sz w:val="20"/>
                <w:szCs w:val="20"/>
                <w:lang w:eastAsia="cs-CZ"/>
              </w:rPr>
              <w:t>%)</w:t>
            </w:r>
          </w:p>
        </w:tc>
        <w:tc>
          <w:tcPr>
            <w:tcW w:w="312" w:type="pct"/>
            <w:tcBorders>
              <w:top w:val="nil"/>
              <w:left w:val="nil"/>
              <w:bottom w:val="single" w:sz="4" w:space="0" w:color="auto"/>
              <w:right w:val="single" w:sz="4" w:space="0" w:color="auto"/>
            </w:tcBorders>
            <w:shd w:val="clear" w:color="auto" w:fill="auto"/>
            <w:noWrap/>
            <w:vAlign w:val="center"/>
            <w:hideMark/>
          </w:tcPr>
          <w:p w14:paraId="688EAAE7"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45</w:t>
            </w:r>
          </w:p>
        </w:tc>
        <w:tc>
          <w:tcPr>
            <w:tcW w:w="312" w:type="pct"/>
            <w:tcBorders>
              <w:top w:val="nil"/>
              <w:left w:val="nil"/>
              <w:bottom w:val="single" w:sz="4" w:space="0" w:color="auto"/>
              <w:right w:val="single" w:sz="4" w:space="0" w:color="auto"/>
            </w:tcBorders>
            <w:shd w:val="clear" w:color="auto" w:fill="auto"/>
            <w:noWrap/>
            <w:vAlign w:val="center"/>
            <w:hideMark/>
          </w:tcPr>
          <w:p w14:paraId="443F48F8"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41</w:t>
            </w:r>
          </w:p>
        </w:tc>
        <w:tc>
          <w:tcPr>
            <w:tcW w:w="469" w:type="pct"/>
            <w:tcBorders>
              <w:top w:val="nil"/>
              <w:left w:val="nil"/>
              <w:bottom w:val="single" w:sz="4" w:space="0" w:color="auto"/>
              <w:right w:val="single" w:sz="4" w:space="0" w:color="auto"/>
            </w:tcBorders>
            <w:shd w:val="clear" w:color="auto" w:fill="auto"/>
            <w:noWrap/>
            <w:vAlign w:val="center"/>
            <w:hideMark/>
          </w:tcPr>
          <w:p w14:paraId="4ADF1EE5"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20</w:t>
            </w:r>
          </w:p>
        </w:tc>
        <w:tc>
          <w:tcPr>
            <w:tcW w:w="312" w:type="pct"/>
            <w:tcBorders>
              <w:top w:val="nil"/>
              <w:left w:val="nil"/>
              <w:bottom w:val="single" w:sz="4" w:space="0" w:color="auto"/>
              <w:right w:val="single" w:sz="4" w:space="0" w:color="auto"/>
            </w:tcBorders>
            <w:shd w:val="clear" w:color="auto" w:fill="auto"/>
            <w:noWrap/>
            <w:vAlign w:val="center"/>
            <w:hideMark/>
          </w:tcPr>
          <w:p w14:paraId="6CB117FF"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7</w:t>
            </w:r>
          </w:p>
        </w:tc>
        <w:tc>
          <w:tcPr>
            <w:tcW w:w="313" w:type="pct"/>
            <w:tcBorders>
              <w:top w:val="nil"/>
              <w:left w:val="nil"/>
              <w:bottom w:val="single" w:sz="4" w:space="0" w:color="auto"/>
              <w:right w:val="single" w:sz="4" w:space="0" w:color="auto"/>
            </w:tcBorders>
            <w:shd w:val="clear" w:color="auto" w:fill="auto"/>
            <w:noWrap/>
            <w:vAlign w:val="center"/>
            <w:hideMark/>
          </w:tcPr>
          <w:p w14:paraId="60F2858D"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12</w:t>
            </w:r>
          </w:p>
        </w:tc>
      </w:tr>
      <w:tr w:rsidR="00F12620" w14:paraId="6C37C49B" w14:textId="77777777" w:rsidTr="0032360A">
        <w:trPr>
          <w:trHeight w:val="53"/>
        </w:trPr>
        <w:tc>
          <w:tcPr>
            <w:tcW w:w="3282" w:type="pct"/>
            <w:gridSpan w:val="2"/>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6744D37B" w14:textId="77777777"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 xml:space="preserve">Směrnice </w:t>
            </w:r>
            <w:r>
              <w:rPr>
                <w:rFonts w:ascii="Calibri" w:eastAsia="Times New Roman" w:hAnsi="Calibri" w:cs="Calibri"/>
                <w:b/>
                <w:bCs/>
                <w:color w:val="000000"/>
                <w:sz w:val="20"/>
                <w:szCs w:val="20"/>
                <w:lang w:eastAsia="cs-CZ"/>
              </w:rPr>
              <w:t xml:space="preserve">EU </w:t>
            </w:r>
            <w:r w:rsidRPr="00116A14">
              <w:rPr>
                <w:rFonts w:ascii="Calibri" w:eastAsia="Times New Roman" w:hAnsi="Calibri" w:cs="Calibri"/>
                <w:b/>
                <w:bCs/>
                <w:color w:val="000000"/>
                <w:sz w:val="20"/>
                <w:szCs w:val="20"/>
                <w:lang w:eastAsia="cs-CZ"/>
              </w:rPr>
              <w:t>č. 2016/2284 (Göteborský protokol)</w:t>
            </w:r>
          </w:p>
        </w:tc>
        <w:tc>
          <w:tcPr>
            <w:tcW w:w="312" w:type="pct"/>
            <w:tcBorders>
              <w:top w:val="nil"/>
              <w:left w:val="nil"/>
              <w:bottom w:val="single" w:sz="4" w:space="0" w:color="auto"/>
              <w:right w:val="single" w:sz="4" w:space="0" w:color="auto"/>
            </w:tcBorders>
            <w:shd w:val="clear" w:color="000000" w:fill="E5F1FF"/>
            <w:noWrap/>
            <w:vAlign w:val="center"/>
            <w:hideMark/>
          </w:tcPr>
          <w:p w14:paraId="5672156F" w14:textId="77777777"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 </w:t>
            </w:r>
          </w:p>
        </w:tc>
        <w:tc>
          <w:tcPr>
            <w:tcW w:w="312" w:type="pct"/>
            <w:tcBorders>
              <w:top w:val="nil"/>
              <w:left w:val="nil"/>
              <w:bottom w:val="single" w:sz="4" w:space="0" w:color="auto"/>
              <w:right w:val="single" w:sz="4" w:space="0" w:color="auto"/>
            </w:tcBorders>
            <w:shd w:val="clear" w:color="000000" w:fill="E5F1FF"/>
            <w:noWrap/>
            <w:vAlign w:val="center"/>
            <w:hideMark/>
          </w:tcPr>
          <w:p w14:paraId="71AD37E9" w14:textId="77777777"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 </w:t>
            </w:r>
          </w:p>
        </w:tc>
        <w:tc>
          <w:tcPr>
            <w:tcW w:w="469" w:type="pct"/>
            <w:tcBorders>
              <w:top w:val="nil"/>
              <w:left w:val="nil"/>
              <w:bottom w:val="single" w:sz="4" w:space="0" w:color="auto"/>
              <w:right w:val="single" w:sz="4" w:space="0" w:color="auto"/>
            </w:tcBorders>
            <w:shd w:val="clear" w:color="000000" w:fill="E5F1FF"/>
            <w:noWrap/>
            <w:vAlign w:val="center"/>
            <w:hideMark/>
          </w:tcPr>
          <w:p w14:paraId="1D46D7C3" w14:textId="77777777"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 </w:t>
            </w:r>
          </w:p>
        </w:tc>
        <w:tc>
          <w:tcPr>
            <w:tcW w:w="312" w:type="pct"/>
            <w:tcBorders>
              <w:top w:val="nil"/>
              <w:left w:val="nil"/>
              <w:bottom w:val="single" w:sz="4" w:space="0" w:color="auto"/>
              <w:right w:val="single" w:sz="4" w:space="0" w:color="auto"/>
            </w:tcBorders>
            <w:shd w:val="clear" w:color="000000" w:fill="E5F1FF"/>
            <w:noWrap/>
            <w:vAlign w:val="center"/>
            <w:hideMark/>
          </w:tcPr>
          <w:p w14:paraId="41D01FE4" w14:textId="77777777"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 </w:t>
            </w:r>
          </w:p>
        </w:tc>
        <w:tc>
          <w:tcPr>
            <w:tcW w:w="313" w:type="pct"/>
            <w:tcBorders>
              <w:top w:val="nil"/>
              <w:left w:val="nil"/>
              <w:bottom w:val="single" w:sz="4" w:space="0" w:color="auto"/>
              <w:right w:val="single" w:sz="4" w:space="0" w:color="auto"/>
            </w:tcBorders>
            <w:shd w:val="clear" w:color="000000" w:fill="E5F1FF"/>
            <w:noWrap/>
            <w:vAlign w:val="center"/>
            <w:hideMark/>
          </w:tcPr>
          <w:p w14:paraId="686455AD" w14:textId="77777777"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 </w:t>
            </w:r>
          </w:p>
        </w:tc>
      </w:tr>
      <w:tr w:rsidR="0032360A" w14:paraId="4ACA3813"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27E6AB1" w14:textId="77777777" w:rsidR="00F12620" w:rsidRPr="00116A14" w:rsidRDefault="00F12620" w:rsidP="00FB588E">
            <w:pPr>
              <w:keepNext/>
              <w:jc w:val="center"/>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4</w:t>
            </w:r>
          </w:p>
        </w:tc>
        <w:tc>
          <w:tcPr>
            <w:tcW w:w="3050" w:type="pct"/>
            <w:tcBorders>
              <w:top w:val="nil"/>
              <w:left w:val="nil"/>
              <w:bottom w:val="single" w:sz="4" w:space="0" w:color="auto"/>
              <w:right w:val="single" w:sz="4" w:space="0" w:color="auto"/>
            </w:tcBorders>
            <w:shd w:val="clear" w:color="auto" w:fill="auto"/>
            <w:noWrap/>
            <w:vAlign w:val="center"/>
            <w:hideMark/>
          </w:tcPr>
          <w:p w14:paraId="36CFCFDC" w14:textId="7176F8E5" w:rsidR="00F12620" w:rsidRPr="00116A14" w:rsidRDefault="00F12620" w:rsidP="00FB588E">
            <w:pPr>
              <w:keepNext/>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Závazek snížení emisí (</w:t>
            </w:r>
            <w:r w:rsidR="00FB588E">
              <w:rPr>
                <w:rFonts w:ascii="Calibri" w:eastAsia="Times New Roman" w:hAnsi="Calibri" w:cs="Calibri"/>
                <w:color w:val="000000"/>
                <w:sz w:val="20"/>
                <w:szCs w:val="20"/>
                <w:lang w:eastAsia="cs-CZ"/>
              </w:rPr>
              <w:t>v </w:t>
            </w:r>
            <w:r w:rsidRPr="00116A14">
              <w:rPr>
                <w:rFonts w:ascii="Calibri" w:eastAsia="Times New Roman" w:hAnsi="Calibri" w:cs="Calibri"/>
                <w:color w:val="000000"/>
                <w:sz w:val="20"/>
                <w:szCs w:val="20"/>
                <w:lang w:eastAsia="cs-CZ"/>
              </w:rPr>
              <w:t>% proti r. 2005)</w:t>
            </w:r>
          </w:p>
        </w:tc>
        <w:tc>
          <w:tcPr>
            <w:tcW w:w="312" w:type="pct"/>
            <w:tcBorders>
              <w:top w:val="nil"/>
              <w:left w:val="nil"/>
              <w:bottom w:val="single" w:sz="4" w:space="0" w:color="auto"/>
              <w:right w:val="single" w:sz="4" w:space="0" w:color="auto"/>
            </w:tcBorders>
            <w:shd w:val="clear" w:color="auto" w:fill="auto"/>
            <w:noWrap/>
            <w:vAlign w:val="center"/>
            <w:hideMark/>
          </w:tcPr>
          <w:p w14:paraId="5D65F04E"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45</w:t>
            </w:r>
          </w:p>
        </w:tc>
        <w:tc>
          <w:tcPr>
            <w:tcW w:w="312" w:type="pct"/>
            <w:tcBorders>
              <w:top w:val="nil"/>
              <w:left w:val="nil"/>
              <w:bottom w:val="single" w:sz="4" w:space="0" w:color="auto"/>
              <w:right w:val="single" w:sz="4" w:space="0" w:color="auto"/>
            </w:tcBorders>
            <w:shd w:val="clear" w:color="auto" w:fill="auto"/>
            <w:noWrap/>
            <w:vAlign w:val="center"/>
            <w:hideMark/>
          </w:tcPr>
          <w:p w14:paraId="2AC0C1D2"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35</w:t>
            </w:r>
          </w:p>
        </w:tc>
        <w:tc>
          <w:tcPr>
            <w:tcW w:w="469" w:type="pct"/>
            <w:tcBorders>
              <w:top w:val="nil"/>
              <w:left w:val="nil"/>
              <w:bottom w:val="single" w:sz="4" w:space="0" w:color="auto"/>
              <w:right w:val="single" w:sz="4" w:space="0" w:color="auto"/>
            </w:tcBorders>
            <w:shd w:val="clear" w:color="auto" w:fill="auto"/>
            <w:noWrap/>
            <w:vAlign w:val="center"/>
            <w:hideMark/>
          </w:tcPr>
          <w:p w14:paraId="3FD854D4"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18</w:t>
            </w:r>
          </w:p>
        </w:tc>
        <w:tc>
          <w:tcPr>
            <w:tcW w:w="312" w:type="pct"/>
            <w:tcBorders>
              <w:top w:val="nil"/>
              <w:left w:val="nil"/>
              <w:bottom w:val="single" w:sz="4" w:space="0" w:color="auto"/>
              <w:right w:val="single" w:sz="4" w:space="0" w:color="auto"/>
            </w:tcBorders>
            <w:shd w:val="clear" w:color="auto" w:fill="auto"/>
            <w:noWrap/>
            <w:vAlign w:val="center"/>
            <w:hideMark/>
          </w:tcPr>
          <w:p w14:paraId="693B240D"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7</w:t>
            </w:r>
          </w:p>
        </w:tc>
        <w:tc>
          <w:tcPr>
            <w:tcW w:w="313" w:type="pct"/>
            <w:tcBorders>
              <w:top w:val="nil"/>
              <w:left w:val="nil"/>
              <w:bottom w:val="single" w:sz="4" w:space="0" w:color="auto"/>
              <w:right w:val="single" w:sz="4" w:space="0" w:color="auto"/>
            </w:tcBorders>
            <w:shd w:val="clear" w:color="auto" w:fill="auto"/>
            <w:noWrap/>
            <w:vAlign w:val="center"/>
            <w:hideMark/>
          </w:tcPr>
          <w:p w14:paraId="1CE2FB2A"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17</w:t>
            </w:r>
          </w:p>
        </w:tc>
      </w:tr>
      <w:tr w:rsidR="0032360A" w14:paraId="5A3AE7A1"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AD6051F" w14:textId="77777777" w:rsidR="00F12620" w:rsidRPr="00116A14" w:rsidRDefault="00F12620" w:rsidP="00FB588E">
            <w:pPr>
              <w:keepNext/>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5</w:t>
            </w:r>
          </w:p>
        </w:tc>
        <w:tc>
          <w:tcPr>
            <w:tcW w:w="3050" w:type="pct"/>
            <w:tcBorders>
              <w:top w:val="nil"/>
              <w:left w:val="nil"/>
              <w:bottom w:val="single" w:sz="4" w:space="0" w:color="auto"/>
              <w:right w:val="single" w:sz="4" w:space="0" w:color="auto"/>
            </w:tcBorders>
            <w:shd w:val="clear" w:color="auto" w:fill="auto"/>
            <w:noWrap/>
            <w:vAlign w:val="center"/>
            <w:hideMark/>
          </w:tcPr>
          <w:p w14:paraId="0F8F5666" w14:textId="5BCF11ED"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Vypočtený emisní str</w:t>
            </w:r>
            <w:r>
              <w:rPr>
                <w:rFonts w:ascii="Calibri" w:eastAsia="Times New Roman" w:hAnsi="Calibri" w:cs="Calibri"/>
                <w:b/>
                <w:bCs/>
                <w:color w:val="000000"/>
                <w:sz w:val="20"/>
                <w:szCs w:val="20"/>
                <w:lang w:eastAsia="cs-CZ"/>
              </w:rPr>
              <w:t>op k roku 2020 z aktuálních dat</w:t>
            </w:r>
            <w:r w:rsidR="0032360A">
              <w:rPr>
                <w:rFonts w:ascii="Calibri" w:eastAsia="Times New Roman" w:hAnsi="Calibri" w:cs="Calibri"/>
                <w:b/>
                <w:bCs/>
                <w:color w:val="000000"/>
                <w:sz w:val="20"/>
                <w:szCs w:val="20"/>
                <w:lang w:eastAsia="cs-CZ"/>
              </w:rPr>
              <w:t xml:space="preserve"> </w:t>
            </w:r>
            <w:r w:rsidR="00487360" w:rsidRPr="00B34DA2">
              <w:rPr>
                <w:rFonts w:ascii="Calibri" w:eastAsia="Times New Roman" w:hAnsi="Calibri" w:cs="Calibri"/>
                <w:color w:val="000000"/>
                <w:sz w:val="20"/>
                <w:szCs w:val="20"/>
                <w:lang w:eastAsia="cs-CZ"/>
              </w:rPr>
              <w:t>(</w:t>
            </w:r>
            <w:r w:rsidR="00FB588E">
              <w:rPr>
                <w:rFonts w:ascii="Calibri" w:eastAsia="Times New Roman" w:hAnsi="Calibri" w:cs="Calibri"/>
                <w:color w:val="000000"/>
                <w:sz w:val="20"/>
                <w:szCs w:val="20"/>
                <w:lang w:eastAsia="cs-CZ"/>
              </w:rPr>
              <w:t>v </w:t>
            </w:r>
            <w:proofErr w:type="spellStart"/>
            <w:r w:rsidR="00487360" w:rsidRPr="00B34DA2">
              <w:rPr>
                <w:rFonts w:ascii="Calibri" w:eastAsia="Times New Roman" w:hAnsi="Calibri" w:cs="Calibri"/>
                <w:color w:val="000000"/>
                <w:sz w:val="20"/>
                <w:szCs w:val="20"/>
                <w:lang w:eastAsia="cs-CZ"/>
              </w:rPr>
              <w:t>kt</w:t>
            </w:r>
            <w:proofErr w:type="spellEnd"/>
            <w:r w:rsidR="00487360" w:rsidRPr="00B34DA2">
              <w:rPr>
                <w:rFonts w:ascii="Calibri" w:eastAsia="Times New Roman" w:hAnsi="Calibri" w:cs="Calibri"/>
                <w:color w:val="000000"/>
                <w:sz w:val="20"/>
                <w:szCs w:val="20"/>
                <w:lang w:eastAsia="cs-CZ"/>
              </w:rPr>
              <w:t>/rok)</w:t>
            </w:r>
          </w:p>
        </w:tc>
        <w:tc>
          <w:tcPr>
            <w:tcW w:w="312" w:type="pct"/>
            <w:tcBorders>
              <w:top w:val="nil"/>
              <w:left w:val="nil"/>
              <w:bottom w:val="single" w:sz="4" w:space="0" w:color="auto"/>
              <w:right w:val="single" w:sz="4" w:space="0" w:color="auto"/>
            </w:tcBorders>
            <w:shd w:val="clear" w:color="000000" w:fill="C6EFCE"/>
            <w:noWrap/>
            <w:vAlign w:val="center"/>
            <w:hideMark/>
          </w:tcPr>
          <w:p w14:paraId="08F23C42" w14:textId="77777777" w:rsidR="00F12620" w:rsidRPr="00116A14" w:rsidRDefault="00F12620" w:rsidP="00FB588E">
            <w:pPr>
              <w:keepNext/>
              <w:jc w:val="right"/>
              <w:rPr>
                <w:rFonts w:ascii="Calibri" w:eastAsia="Times New Roman" w:hAnsi="Calibri" w:cs="Calibri"/>
                <w:b/>
                <w:bCs/>
                <w:color w:val="006100"/>
                <w:sz w:val="20"/>
                <w:szCs w:val="20"/>
                <w:lang w:eastAsia="cs-CZ"/>
              </w:rPr>
            </w:pPr>
            <w:r w:rsidRPr="00116A14">
              <w:rPr>
                <w:rFonts w:ascii="Calibri" w:eastAsia="Times New Roman" w:hAnsi="Calibri" w:cs="Calibri"/>
                <w:b/>
                <w:bCs/>
                <w:color w:val="006100"/>
                <w:sz w:val="20"/>
                <w:szCs w:val="20"/>
                <w:lang w:eastAsia="cs-CZ"/>
              </w:rPr>
              <w:t>115</w:t>
            </w:r>
          </w:p>
        </w:tc>
        <w:tc>
          <w:tcPr>
            <w:tcW w:w="312" w:type="pct"/>
            <w:tcBorders>
              <w:top w:val="nil"/>
              <w:left w:val="nil"/>
              <w:bottom w:val="single" w:sz="4" w:space="0" w:color="auto"/>
              <w:right w:val="single" w:sz="4" w:space="0" w:color="auto"/>
            </w:tcBorders>
            <w:shd w:val="clear" w:color="000000" w:fill="C6EFCE"/>
            <w:noWrap/>
            <w:vAlign w:val="center"/>
            <w:hideMark/>
          </w:tcPr>
          <w:p w14:paraId="4FFE621A" w14:textId="77777777" w:rsidR="00F12620" w:rsidRPr="00116A14" w:rsidRDefault="00F12620" w:rsidP="00FB588E">
            <w:pPr>
              <w:keepNext/>
              <w:jc w:val="right"/>
              <w:rPr>
                <w:rFonts w:ascii="Calibri" w:eastAsia="Times New Roman" w:hAnsi="Calibri" w:cs="Calibri"/>
                <w:b/>
                <w:bCs/>
                <w:color w:val="006100"/>
                <w:sz w:val="20"/>
                <w:szCs w:val="20"/>
                <w:lang w:eastAsia="cs-CZ"/>
              </w:rPr>
            </w:pPr>
            <w:r w:rsidRPr="00116A14">
              <w:rPr>
                <w:rFonts w:ascii="Calibri" w:eastAsia="Times New Roman" w:hAnsi="Calibri" w:cs="Calibri"/>
                <w:b/>
                <w:bCs/>
                <w:color w:val="006100"/>
                <w:sz w:val="20"/>
                <w:szCs w:val="20"/>
                <w:lang w:eastAsia="cs-CZ"/>
              </w:rPr>
              <w:t>183</w:t>
            </w:r>
          </w:p>
        </w:tc>
        <w:tc>
          <w:tcPr>
            <w:tcW w:w="469" w:type="pct"/>
            <w:tcBorders>
              <w:top w:val="nil"/>
              <w:left w:val="nil"/>
              <w:bottom w:val="single" w:sz="4" w:space="0" w:color="auto"/>
              <w:right w:val="single" w:sz="4" w:space="0" w:color="auto"/>
            </w:tcBorders>
            <w:shd w:val="clear" w:color="000000" w:fill="C6EFCE"/>
            <w:noWrap/>
            <w:vAlign w:val="center"/>
            <w:hideMark/>
          </w:tcPr>
          <w:p w14:paraId="6D066D23" w14:textId="77777777" w:rsidR="00F12620" w:rsidRPr="00116A14" w:rsidRDefault="00F12620" w:rsidP="00FB588E">
            <w:pPr>
              <w:keepNext/>
              <w:jc w:val="right"/>
              <w:rPr>
                <w:rFonts w:ascii="Calibri" w:eastAsia="Times New Roman" w:hAnsi="Calibri" w:cs="Calibri"/>
                <w:b/>
                <w:bCs/>
                <w:color w:val="006100"/>
                <w:sz w:val="20"/>
                <w:szCs w:val="20"/>
                <w:lang w:eastAsia="cs-CZ"/>
              </w:rPr>
            </w:pPr>
            <w:r w:rsidRPr="00116A14">
              <w:rPr>
                <w:rFonts w:ascii="Calibri" w:eastAsia="Times New Roman" w:hAnsi="Calibri" w:cs="Calibri"/>
                <w:b/>
                <w:bCs/>
                <w:color w:val="006100"/>
                <w:sz w:val="20"/>
                <w:szCs w:val="20"/>
                <w:lang w:eastAsia="cs-CZ"/>
              </w:rPr>
              <w:t>219</w:t>
            </w:r>
          </w:p>
        </w:tc>
        <w:tc>
          <w:tcPr>
            <w:tcW w:w="312" w:type="pct"/>
            <w:tcBorders>
              <w:top w:val="nil"/>
              <w:left w:val="nil"/>
              <w:bottom w:val="single" w:sz="4" w:space="0" w:color="auto"/>
              <w:right w:val="single" w:sz="4" w:space="0" w:color="auto"/>
            </w:tcBorders>
            <w:shd w:val="clear" w:color="000000" w:fill="C6EFCE"/>
            <w:noWrap/>
            <w:vAlign w:val="center"/>
            <w:hideMark/>
          </w:tcPr>
          <w:p w14:paraId="2A95D4EC" w14:textId="77777777" w:rsidR="00F12620" w:rsidRPr="00116A14" w:rsidRDefault="00F12620" w:rsidP="00FB588E">
            <w:pPr>
              <w:keepNext/>
              <w:jc w:val="right"/>
              <w:rPr>
                <w:rFonts w:ascii="Calibri" w:eastAsia="Times New Roman" w:hAnsi="Calibri" w:cs="Calibri"/>
                <w:b/>
                <w:bCs/>
                <w:color w:val="006100"/>
                <w:sz w:val="20"/>
                <w:szCs w:val="20"/>
                <w:lang w:eastAsia="cs-CZ"/>
              </w:rPr>
            </w:pPr>
            <w:r w:rsidRPr="00116A14">
              <w:rPr>
                <w:rFonts w:ascii="Calibri" w:eastAsia="Times New Roman" w:hAnsi="Calibri" w:cs="Calibri"/>
                <w:b/>
                <w:bCs/>
                <w:color w:val="006100"/>
                <w:sz w:val="20"/>
                <w:szCs w:val="20"/>
                <w:lang w:eastAsia="cs-CZ"/>
              </w:rPr>
              <w:t>73</w:t>
            </w:r>
          </w:p>
        </w:tc>
        <w:tc>
          <w:tcPr>
            <w:tcW w:w="313" w:type="pct"/>
            <w:tcBorders>
              <w:top w:val="nil"/>
              <w:left w:val="nil"/>
              <w:bottom w:val="single" w:sz="4" w:space="0" w:color="auto"/>
              <w:right w:val="single" w:sz="4" w:space="0" w:color="auto"/>
            </w:tcBorders>
            <w:shd w:val="clear" w:color="000000" w:fill="FFC7CE"/>
            <w:noWrap/>
            <w:vAlign w:val="center"/>
            <w:hideMark/>
          </w:tcPr>
          <w:p w14:paraId="5116294A" w14:textId="77777777" w:rsidR="00F12620" w:rsidRPr="00116A14" w:rsidRDefault="00F12620" w:rsidP="00FB588E">
            <w:pPr>
              <w:keepNext/>
              <w:jc w:val="right"/>
              <w:rPr>
                <w:rFonts w:ascii="Calibri" w:eastAsia="Times New Roman" w:hAnsi="Calibri" w:cs="Calibri"/>
                <w:b/>
                <w:bCs/>
                <w:color w:val="9C0006"/>
                <w:sz w:val="20"/>
                <w:szCs w:val="20"/>
                <w:lang w:eastAsia="cs-CZ"/>
              </w:rPr>
            </w:pPr>
            <w:r w:rsidRPr="00116A14">
              <w:rPr>
                <w:rFonts w:ascii="Calibri" w:eastAsia="Times New Roman" w:hAnsi="Calibri" w:cs="Calibri"/>
                <w:b/>
                <w:bCs/>
                <w:color w:val="9C0006"/>
                <w:sz w:val="20"/>
                <w:szCs w:val="20"/>
                <w:lang w:eastAsia="cs-CZ"/>
              </w:rPr>
              <w:t>37</w:t>
            </w:r>
          </w:p>
        </w:tc>
      </w:tr>
      <w:tr w:rsidR="00F12620" w14:paraId="2393CC00" w14:textId="77777777" w:rsidTr="0032360A">
        <w:trPr>
          <w:trHeight w:val="53"/>
        </w:trPr>
        <w:tc>
          <w:tcPr>
            <w:tcW w:w="5000" w:type="pct"/>
            <w:gridSpan w:val="7"/>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20D4ECF9" w14:textId="77777777"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Nepřekročitelné hodnoty národních emisí k roku 2020</w:t>
            </w:r>
          </w:p>
        </w:tc>
      </w:tr>
      <w:tr w:rsidR="00F12620" w14:paraId="0CD0CD68"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805D0AC" w14:textId="77777777" w:rsidR="00F12620" w:rsidRPr="00116A14" w:rsidRDefault="00F12620" w:rsidP="00FB588E">
            <w:pPr>
              <w:keepNext/>
              <w:jc w:val="center"/>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6</w:t>
            </w:r>
          </w:p>
        </w:tc>
        <w:tc>
          <w:tcPr>
            <w:tcW w:w="3050" w:type="pct"/>
            <w:tcBorders>
              <w:top w:val="nil"/>
              <w:left w:val="nil"/>
              <w:bottom w:val="single" w:sz="4" w:space="0" w:color="auto"/>
              <w:right w:val="single" w:sz="4" w:space="0" w:color="auto"/>
            </w:tcBorders>
            <w:shd w:val="clear" w:color="auto" w:fill="auto"/>
            <w:noWrap/>
            <w:vAlign w:val="center"/>
            <w:hideMark/>
          </w:tcPr>
          <w:p w14:paraId="12234AED" w14:textId="2300E46E" w:rsidR="00F12620" w:rsidRPr="00116A14" w:rsidRDefault="00F12620" w:rsidP="00FB588E">
            <w:pPr>
              <w:keepNext/>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Závazek snížení emisí</w:t>
            </w:r>
            <w:r w:rsidR="0032360A">
              <w:rPr>
                <w:rFonts w:ascii="Calibri" w:eastAsia="Times New Roman" w:hAnsi="Calibri" w:cs="Calibri"/>
                <w:color w:val="000000"/>
                <w:sz w:val="20"/>
                <w:szCs w:val="20"/>
                <w:vertAlign w:val="superscript"/>
                <w:lang w:eastAsia="cs-CZ"/>
              </w:rPr>
              <w:t>**</w:t>
            </w:r>
            <w:r w:rsidR="00B34DA2" w:rsidRPr="00116A14">
              <w:rPr>
                <w:rFonts w:ascii="Calibri" w:eastAsia="Times New Roman" w:hAnsi="Calibri" w:cs="Calibri"/>
                <w:color w:val="000000"/>
                <w:sz w:val="20"/>
                <w:szCs w:val="20"/>
                <w:lang w:eastAsia="cs-CZ"/>
              </w:rPr>
              <w:t xml:space="preserve"> </w:t>
            </w:r>
            <w:r w:rsidRPr="00116A14">
              <w:rPr>
                <w:rFonts w:ascii="Calibri" w:eastAsia="Times New Roman" w:hAnsi="Calibri" w:cs="Calibri"/>
                <w:color w:val="000000"/>
                <w:sz w:val="20"/>
                <w:szCs w:val="20"/>
                <w:lang w:eastAsia="cs-CZ"/>
              </w:rPr>
              <w:t>(</w:t>
            </w:r>
            <w:r w:rsidR="00FB588E">
              <w:rPr>
                <w:rFonts w:ascii="Calibri" w:eastAsia="Times New Roman" w:hAnsi="Calibri" w:cs="Calibri"/>
                <w:color w:val="000000"/>
                <w:sz w:val="20"/>
                <w:szCs w:val="20"/>
                <w:lang w:eastAsia="cs-CZ"/>
              </w:rPr>
              <w:t>v </w:t>
            </w:r>
            <w:r w:rsidRPr="00116A14">
              <w:rPr>
                <w:rFonts w:ascii="Calibri" w:eastAsia="Times New Roman" w:hAnsi="Calibri" w:cs="Calibri"/>
                <w:color w:val="000000"/>
                <w:sz w:val="20"/>
                <w:szCs w:val="20"/>
                <w:lang w:eastAsia="cs-CZ"/>
              </w:rPr>
              <w:t>% proti r. 2005)</w:t>
            </w:r>
          </w:p>
        </w:tc>
        <w:tc>
          <w:tcPr>
            <w:tcW w:w="312" w:type="pct"/>
            <w:tcBorders>
              <w:top w:val="nil"/>
              <w:left w:val="nil"/>
              <w:bottom w:val="single" w:sz="4" w:space="0" w:color="auto"/>
              <w:right w:val="single" w:sz="4" w:space="0" w:color="auto"/>
            </w:tcBorders>
            <w:shd w:val="clear" w:color="auto" w:fill="auto"/>
            <w:noWrap/>
            <w:vAlign w:val="center"/>
            <w:hideMark/>
          </w:tcPr>
          <w:p w14:paraId="6EFE2410" w14:textId="77777777" w:rsidR="00F12620" w:rsidRPr="00116A14" w:rsidRDefault="00F12620" w:rsidP="00FB588E">
            <w:pPr>
              <w:keepNext/>
              <w:jc w:val="right"/>
              <w:rPr>
                <w:rFonts w:ascii="Calibri" w:eastAsia="Times New Roman" w:hAnsi="Calibri" w:cs="Calibri"/>
                <w:color w:val="000000"/>
                <w:sz w:val="20"/>
                <w:szCs w:val="20"/>
                <w:lang w:eastAsia="cs-CZ"/>
              </w:rPr>
            </w:pPr>
            <w:r w:rsidRPr="00116A14">
              <w:rPr>
                <w:rFonts w:ascii="Calibri" w:eastAsia="Times New Roman" w:hAnsi="Calibri" w:cs="Calibri"/>
                <w:color w:val="000000"/>
                <w:sz w:val="20"/>
                <w:szCs w:val="20"/>
                <w:lang w:eastAsia="cs-CZ"/>
              </w:rPr>
              <w:t>56</w:t>
            </w:r>
          </w:p>
        </w:tc>
        <w:tc>
          <w:tcPr>
            <w:tcW w:w="312" w:type="pct"/>
            <w:tcBorders>
              <w:top w:val="nil"/>
              <w:left w:val="nil"/>
              <w:bottom w:val="single" w:sz="4" w:space="0" w:color="auto"/>
              <w:right w:val="single" w:sz="4" w:space="0" w:color="auto"/>
            </w:tcBorders>
            <w:shd w:val="clear" w:color="auto" w:fill="auto"/>
            <w:noWrap/>
            <w:vAlign w:val="center"/>
            <w:hideMark/>
          </w:tcPr>
          <w:p w14:paraId="26BA5BF8"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49</w:t>
            </w:r>
          </w:p>
        </w:tc>
        <w:tc>
          <w:tcPr>
            <w:tcW w:w="469" w:type="pct"/>
            <w:tcBorders>
              <w:top w:val="nil"/>
              <w:left w:val="nil"/>
              <w:bottom w:val="single" w:sz="4" w:space="0" w:color="auto"/>
              <w:right w:val="single" w:sz="4" w:space="0" w:color="auto"/>
            </w:tcBorders>
            <w:shd w:val="clear" w:color="auto" w:fill="auto"/>
            <w:noWrap/>
            <w:vAlign w:val="center"/>
            <w:hideMark/>
          </w:tcPr>
          <w:p w14:paraId="56671122"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36</w:t>
            </w:r>
          </w:p>
        </w:tc>
        <w:tc>
          <w:tcPr>
            <w:tcW w:w="312" w:type="pct"/>
            <w:tcBorders>
              <w:top w:val="nil"/>
              <w:left w:val="nil"/>
              <w:bottom w:val="single" w:sz="4" w:space="0" w:color="auto"/>
              <w:right w:val="single" w:sz="4" w:space="0" w:color="auto"/>
            </w:tcBorders>
            <w:shd w:val="clear" w:color="auto" w:fill="auto"/>
            <w:noWrap/>
            <w:vAlign w:val="center"/>
            <w:hideMark/>
          </w:tcPr>
          <w:p w14:paraId="4B092F99"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22</w:t>
            </w:r>
          </w:p>
        </w:tc>
        <w:tc>
          <w:tcPr>
            <w:tcW w:w="313" w:type="pct"/>
            <w:tcBorders>
              <w:top w:val="nil"/>
              <w:left w:val="nil"/>
              <w:bottom w:val="single" w:sz="4" w:space="0" w:color="auto"/>
              <w:right w:val="single" w:sz="4" w:space="0" w:color="auto"/>
            </w:tcBorders>
            <w:shd w:val="clear" w:color="auto" w:fill="auto"/>
            <w:noWrap/>
            <w:vAlign w:val="center"/>
            <w:hideMark/>
          </w:tcPr>
          <w:p w14:paraId="3A73F027" w14:textId="77777777" w:rsidR="00F12620" w:rsidRPr="00116A14" w:rsidRDefault="00487360" w:rsidP="00FB588E">
            <w:pPr>
              <w:keepNext/>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49</w:t>
            </w:r>
          </w:p>
        </w:tc>
      </w:tr>
      <w:tr w:rsidR="00F12620" w14:paraId="4F4B071D"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164BBF7" w14:textId="77777777" w:rsidR="00F12620" w:rsidRPr="00116A14" w:rsidRDefault="00F12620" w:rsidP="00FB588E">
            <w:pPr>
              <w:keepNext/>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7</w:t>
            </w:r>
          </w:p>
        </w:tc>
        <w:tc>
          <w:tcPr>
            <w:tcW w:w="3050" w:type="pct"/>
            <w:tcBorders>
              <w:top w:val="nil"/>
              <w:left w:val="nil"/>
              <w:bottom w:val="single" w:sz="4" w:space="0" w:color="auto"/>
              <w:right w:val="single" w:sz="4" w:space="0" w:color="auto"/>
            </w:tcBorders>
            <w:shd w:val="clear" w:color="auto" w:fill="auto"/>
            <w:noWrap/>
            <w:vAlign w:val="center"/>
            <w:hideMark/>
          </w:tcPr>
          <w:p w14:paraId="508BBA83" w14:textId="1B45A0D7" w:rsidR="00F12620" w:rsidRPr="00116A14" w:rsidRDefault="00F12620" w:rsidP="00FB588E">
            <w:pPr>
              <w:keepNext/>
              <w:ind w:right="-72"/>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Vypočtený emisní str</w:t>
            </w:r>
            <w:r>
              <w:rPr>
                <w:rFonts w:ascii="Calibri" w:eastAsia="Times New Roman" w:hAnsi="Calibri" w:cs="Calibri"/>
                <w:b/>
                <w:bCs/>
                <w:color w:val="000000"/>
                <w:sz w:val="20"/>
                <w:szCs w:val="20"/>
                <w:lang w:eastAsia="cs-CZ"/>
              </w:rPr>
              <w:t>op k roku 2020 z aktuálních dat</w:t>
            </w:r>
            <w:r w:rsidR="0032360A">
              <w:rPr>
                <w:rFonts w:ascii="Calibri" w:eastAsia="Times New Roman" w:hAnsi="Calibri" w:cs="Calibri"/>
                <w:b/>
                <w:bCs/>
                <w:color w:val="000000"/>
                <w:sz w:val="20"/>
                <w:szCs w:val="20"/>
                <w:vertAlign w:val="superscript"/>
                <w:lang w:eastAsia="cs-CZ"/>
              </w:rPr>
              <w:t>**</w:t>
            </w:r>
            <w:r w:rsidR="00FB588E">
              <w:rPr>
                <w:rFonts w:ascii="Calibri" w:eastAsia="Times New Roman" w:hAnsi="Calibri" w:cs="Calibri"/>
                <w:b/>
                <w:bCs/>
                <w:color w:val="000000"/>
                <w:sz w:val="20"/>
                <w:szCs w:val="20"/>
                <w:vertAlign w:val="superscript"/>
                <w:lang w:eastAsia="cs-CZ"/>
              </w:rPr>
              <w:t>*</w:t>
            </w:r>
            <w:r w:rsidR="00487360">
              <w:rPr>
                <w:rFonts w:ascii="Calibri" w:eastAsia="Times New Roman" w:hAnsi="Calibri" w:cs="Calibri"/>
                <w:b/>
                <w:bCs/>
                <w:color w:val="000000"/>
                <w:sz w:val="20"/>
                <w:szCs w:val="20"/>
                <w:vertAlign w:val="superscript"/>
                <w:lang w:eastAsia="cs-CZ"/>
              </w:rPr>
              <w:t xml:space="preserve"> </w:t>
            </w:r>
            <w:r w:rsidR="00487360">
              <w:rPr>
                <w:rFonts w:ascii="Calibri" w:eastAsia="Times New Roman" w:hAnsi="Calibri" w:cs="Calibri"/>
                <w:color w:val="000000"/>
                <w:sz w:val="20"/>
                <w:szCs w:val="20"/>
                <w:lang w:eastAsia="cs-CZ"/>
              </w:rPr>
              <w:t>(</w:t>
            </w:r>
            <w:r w:rsidR="00FB588E">
              <w:rPr>
                <w:rFonts w:ascii="Calibri" w:eastAsia="Times New Roman" w:hAnsi="Calibri" w:cs="Calibri"/>
                <w:color w:val="000000"/>
                <w:sz w:val="20"/>
                <w:szCs w:val="20"/>
                <w:lang w:eastAsia="cs-CZ"/>
              </w:rPr>
              <w:t>v </w:t>
            </w:r>
            <w:proofErr w:type="spellStart"/>
            <w:r w:rsidR="00487360">
              <w:rPr>
                <w:rFonts w:ascii="Calibri" w:eastAsia="Times New Roman" w:hAnsi="Calibri" w:cs="Calibri"/>
                <w:color w:val="000000"/>
                <w:sz w:val="20"/>
                <w:szCs w:val="20"/>
                <w:lang w:eastAsia="cs-CZ"/>
              </w:rPr>
              <w:t>kt</w:t>
            </w:r>
            <w:proofErr w:type="spellEnd"/>
            <w:r w:rsidR="00487360">
              <w:rPr>
                <w:rFonts w:ascii="Calibri" w:eastAsia="Times New Roman" w:hAnsi="Calibri" w:cs="Calibri"/>
                <w:color w:val="000000"/>
                <w:sz w:val="20"/>
                <w:szCs w:val="20"/>
                <w:lang w:eastAsia="cs-CZ"/>
              </w:rPr>
              <w:t>/rok)</w:t>
            </w:r>
          </w:p>
        </w:tc>
        <w:tc>
          <w:tcPr>
            <w:tcW w:w="312" w:type="pct"/>
            <w:tcBorders>
              <w:top w:val="nil"/>
              <w:left w:val="nil"/>
              <w:bottom w:val="single" w:sz="4" w:space="0" w:color="auto"/>
              <w:right w:val="single" w:sz="4" w:space="0" w:color="auto"/>
            </w:tcBorders>
            <w:shd w:val="clear" w:color="000000" w:fill="FFC7CE"/>
            <w:noWrap/>
            <w:vAlign w:val="center"/>
            <w:hideMark/>
          </w:tcPr>
          <w:p w14:paraId="1B7F0DE2" w14:textId="77777777" w:rsidR="00F12620" w:rsidRPr="00116A14" w:rsidRDefault="00F12620" w:rsidP="00FB588E">
            <w:pPr>
              <w:keepNext/>
              <w:jc w:val="right"/>
              <w:rPr>
                <w:rFonts w:ascii="Calibri" w:eastAsia="Times New Roman" w:hAnsi="Calibri" w:cs="Calibri"/>
                <w:b/>
                <w:bCs/>
                <w:color w:val="9C0006"/>
                <w:sz w:val="20"/>
                <w:szCs w:val="20"/>
                <w:lang w:eastAsia="cs-CZ"/>
              </w:rPr>
            </w:pPr>
            <w:r w:rsidRPr="00116A14">
              <w:rPr>
                <w:rFonts w:ascii="Calibri" w:eastAsia="Times New Roman" w:hAnsi="Calibri" w:cs="Calibri"/>
                <w:b/>
                <w:bCs/>
                <w:color w:val="9C0006"/>
                <w:sz w:val="20"/>
                <w:szCs w:val="20"/>
                <w:lang w:eastAsia="cs-CZ"/>
              </w:rPr>
              <w:t>91</w:t>
            </w:r>
          </w:p>
        </w:tc>
        <w:tc>
          <w:tcPr>
            <w:tcW w:w="312" w:type="pct"/>
            <w:tcBorders>
              <w:top w:val="nil"/>
              <w:left w:val="nil"/>
              <w:bottom w:val="single" w:sz="4" w:space="0" w:color="auto"/>
              <w:right w:val="single" w:sz="4" w:space="0" w:color="auto"/>
            </w:tcBorders>
            <w:shd w:val="clear" w:color="000000" w:fill="FFC7CE"/>
            <w:noWrap/>
            <w:vAlign w:val="center"/>
            <w:hideMark/>
          </w:tcPr>
          <w:p w14:paraId="744445DB" w14:textId="77777777" w:rsidR="00F12620" w:rsidRPr="00116A14" w:rsidRDefault="00F12620" w:rsidP="00FB588E">
            <w:pPr>
              <w:keepNext/>
              <w:jc w:val="right"/>
              <w:rPr>
                <w:rFonts w:ascii="Calibri" w:eastAsia="Times New Roman" w:hAnsi="Calibri" w:cs="Calibri"/>
                <w:b/>
                <w:bCs/>
                <w:color w:val="9C0006"/>
                <w:sz w:val="20"/>
                <w:szCs w:val="20"/>
                <w:lang w:eastAsia="cs-CZ"/>
              </w:rPr>
            </w:pPr>
            <w:r w:rsidRPr="00116A14">
              <w:rPr>
                <w:rFonts w:ascii="Calibri" w:eastAsia="Times New Roman" w:hAnsi="Calibri" w:cs="Calibri"/>
                <w:b/>
                <w:bCs/>
                <w:color w:val="9C0006"/>
                <w:sz w:val="20"/>
                <w:szCs w:val="20"/>
                <w:lang w:eastAsia="cs-CZ"/>
              </w:rPr>
              <w:t>143</w:t>
            </w:r>
          </w:p>
        </w:tc>
        <w:tc>
          <w:tcPr>
            <w:tcW w:w="469" w:type="pct"/>
            <w:tcBorders>
              <w:top w:val="nil"/>
              <w:left w:val="nil"/>
              <w:bottom w:val="single" w:sz="4" w:space="0" w:color="auto"/>
              <w:right w:val="single" w:sz="4" w:space="0" w:color="auto"/>
            </w:tcBorders>
            <w:shd w:val="clear" w:color="000000" w:fill="FFC7CE"/>
            <w:noWrap/>
            <w:vAlign w:val="center"/>
            <w:hideMark/>
          </w:tcPr>
          <w:p w14:paraId="7A38C995" w14:textId="77777777" w:rsidR="00F12620" w:rsidRPr="00116A14" w:rsidRDefault="00F12620" w:rsidP="00FB588E">
            <w:pPr>
              <w:keepNext/>
              <w:jc w:val="right"/>
              <w:rPr>
                <w:rFonts w:ascii="Calibri" w:eastAsia="Times New Roman" w:hAnsi="Calibri" w:cs="Calibri"/>
                <w:b/>
                <w:bCs/>
                <w:color w:val="9C0006"/>
                <w:sz w:val="20"/>
                <w:szCs w:val="20"/>
                <w:lang w:eastAsia="cs-CZ"/>
              </w:rPr>
            </w:pPr>
            <w:r w:rsidRPr="00116A14">
              <w:rPr>
                <w:rFonts w:ascii="Calibri" w:eastAsia="Times New Roman" w:hAnsi="Calibri" w:cs="Calibri"/>
                <w:b/>
                <w:bCs/>
                <w:color w:val="9C0006"/>
                <w:sz w:val="20"/>
                <w:szCs w:val="20"/>
                <w:lang w:eastAsia="cs-CZ"/>
              </w:rPr>
              <w:t>170</w:t>
            </w:r>
          </w:p>
        </w:tc>
        <w:tc>
          <w:tcPr>
            <w:tcW w:w="312" w:type="pct"/>
            <w:tcBorders>
              <w:top w:val="nil"/>
              <w:left w:val="nil"/>
              <w:bottom w:val="single" w:sz="4" w:space="0" w:color="auto"/>
              <w:right w:val="single" w:sz="4" w:space="0" w:color="auto"/>
            </w:tcBorders>
            <w:shd w:val="clear" w:color="000000" w:fill="FFC7CE"/>
            <w:noWrap/>
            <w:vAlign w:val="center"/>
            <w:hideMark/>
          </w:tcPr>
          <w:p w14:paraId="6F9A500A" w14:textId="77777777" w:rsidR="00F12620" w:rsidRPr="00116A14" w:rsidRDefault="00F12620" w:rsidP="00FB588E">
            <w:pPr>
              <w:keepNext/>
              <w:jc w:val="right"/>
              <w:rPr>
                <w:rFonts w:ascii="Calibri" w:eastAsia="Times New Roman" w:hAnsi="Calibri" w:cs="Calibri"/>
                <w:b/>
                <w:bCs/>
                <w:color w:val="9C0006"/>
                <w:sz w:val="20"/>
                <w:szCs w:val="20"/>
                <w:lang w:eastAsia="cs-CZ"/>
              </w:rPr>
            </w:pPr>
            <w:r w:rsidRPr="00116A14">
              <w:rPr>
                <w:rFonts w:ascii="Calibri" w:eastAsia="Times New Roman" w:hAnsi="Calibri" w:cs="Calibri"/>
                <w:b/>
                <w:bCs/>
                <w:color w:val="9C0006"/>
                <w:sz w:val="20"/>
                <w:szCs w:val="20"/>
                <w:lang w:eastAsia="cs-CZ"/>
              </w:rPr>
              <w:t>61</w:t>
            </w:r>
          </w:p>
        </w:tc>
        <w:tc>
          <w:tcPr>
            <w:tcW w:w="313" w:type="pct"/>
            <w:tcBorders>
              <w:top w:val="nil"/>
              <w:left w:val="nil"/>
              <w:bottom w:val="single" w:sz="4" w:space="0" w:color="auto"/>
              <w:right w:val="single" w:sz="4" w:space="0" w:color="auto"/>
            </w:tcBorders>
            <w:shd w:val="clear" w:color="000000" w:fill="FFC7CE"/>
            <w:noWrap/>
            <w:vAlign w:val="center"/>
            <w:hideMark/>
          </w:tcPr>
          <w:p w14:paraId="0DFD73AA" w14:textId="77777777" w:rsidR="00F12620" w:rsidRPr="00116A14" w:rsidRDefault="00F12620" w:rsidP="00FB588E">
            <w:pPr>
              <w:keepNext/>
              <w:jc w:val="right"/>
              <w:rPr>
                <w:rFonts w:ascii="Calibri" w:eastAsia="Times New Roman" w:hAnsi="Calibri" w:cs="Calibri"/>
                <w:b/>
                <w:bCs/>
                <w:color w:val="9C0006"/>
                <w:sz w:val="20"/>
                <w:szCs w:val="20"/>
                <w:lang w:eastAsia="cs-CZ"/>
              </w:rPr>
            </w:pPr>
            <w:r w:rsidRPr="00116A14">
              <w:rPr>
                <w:rFonts w:ascii="Calibri" w:eastAsia="Times New Roman" w:hAnsi="Calibri" w:cs="Calibri"/>
                <w:b/>
                <w:bCs/>
                <w:color w:val="9C0006"/>
                <w:sz w:val="20"/>
                <w:szCs w:val="20"/>
                <w:lang w:eastAsia="cs-CZ"/>
              </w:rPr>
              <w:t>23</w:t>
            </w:r>
          </w:p>
        </w:tc>
      </w:tr>
      <w:tr w:rsidR="00F12620" w14:paraId="328F3336"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C5CD2E2" w14:textId="77777777" w:rsidR="00F12620" w:rsidRPr="00116A14" w:rsidRDefault="00F12620" w:rsidP="00FB588E">
            <w:pPr>
              <w:keepNext/>
              <w:jc w:val="center"/>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8</w:t>
            </w:r>
          </w:p>
        </w:tc>
        <w:tc>
          <w:tcPr>
            <w:tcW w:w="3050" w:type="pct"/>
            <w:tcBorders>
              <w:top w:val="nil"/>
              <w:left w:val="nil"/>
              <w:bottom w:val="single" w:sz="4" w:space="0" w:color="auto"/>
              <w:right w:val="single" w:sz="4" w:space="0" w:color="auto"/>
            </w:tcBorders>
            <w:shd w:val="clear" w:color="auto" w:fill="auto"/>
            <w:noWrap/>
            <w:vAlign w:val="center"/>
            <w:hideMark/>
          </w:tcPr>
          <w:p w14:paraId="6012D86E" w14:textId="560745F7" w:rsidR="00F12620" w:rsidRPr="00116A14" w:rsidRDefault="00F12620" w:rsidP="00FB588E">
            <w:pPr>
              <w:keepNext/>
              <w:rPr>
                <w:rFonts w:ascii="Calibri" w:eastAsia="Times New Roman" w:hAnsi="Calibri" w:cs="Calibri"/>
                <w:b/>
                <w:bCs/>
                <w:color w:val="000000"/>
                <w:sz w:val="20"/>
                <w:szCs w:val="20"/>
                <w:lang w:eastAsia="cs-CZ"/>
              </w:rPr>
            </w:pPr>
            <w:r w:rsidRPr="00116A14">
              <w:rPr>
                <w:rFonts w:ascii="Calibri" w:eastAsia="Times New Roman" w:hAnsi="Calibri" w:cs="Calibri"/>
                <w:b/>
                <w:bCs/>
                <w:color w:val="000000"/>
                <w:sz w:val="20"/>
                <w:szCs w:val="20"/>
                <w:lang w:eastAsia="cs-CZ"/>
              </w:rPr>
              <w:t>Potřeba snížení emisí k roku 2020</w:t>
            </w:r>
            <w:r w:rsidR="00B34DA2">
              <w:rPr>
                <w:rFonts w:ascii="Calibri" w:eastAsia="Times New Roman" w:hAnsi="Calibri" w:cs="Calibri"/>
                <w:b/>
                <w:bCs/>
                <w:color w:val="000000"/>
                <w:sz w:val="20"/>
                <w:szCs w:val="20"/>
                <w:lang w:eastAsia="cs-CZ"/>
              </w:rPr>
              <w:t xml:space="preserve"> </w:t>
            </w:r>
            <w:r w:rsidRPr="00B34DA2">
              <w:rPr>
                <w:rFonts w:ascii="Calibri" w:eastAsia="Times New Roman" w:hAnsi="Calibri" w:cs="Calibri"/>
                <w:bCs/>
                <w:color w:val="000000"/>
                <w:sz w:val="20"/>
                <w:szCs w:val="20"/>
                <w:lang w:eastAsia="cs-CZ"/>
              </w:rPr>
              <w:t>(</w:t>
            </w:r>
            <w:r w:rsidR="00FB588E">
              <w:rPr>
                <w:rFonts w:ascii="Calibri" w:eastAsia="Times New Roman" w:hAnsi="Calibri" w:cs="Calibri"/>
                <w:bCs/>
                <w:color w:val="000000"/>
                <w:sz w:val="20"/>
                <w:szCs w:val="20"/>
                <w:lang w:eastAsia="cs-CZ"/>
              </w:rPr>
              <w:t>v </w:t>
            </w:r>
            <w:r w:rsidRPr="00B34DA2">
              <w:rPr>
                <w:rFonts w:ascii="Calibri" w:eastAsia="Times New Roman" w:hAnsi="Calibri" w:cs="Calibri"/>
                <w:bCs/>
                <w:color w:val="000000"/>
                <w:sz w:val="20"/>
                <w:szCs w:val="20"/>
                <w:lang w:eastAsia="cs-CZ"/>
              </w:rPr>
              <w:t>% oproti r. 2016)</w:t>
            </w:r>
          </w:p>
        </w:tc>
        <w:tc>
          <w:tcPr>
            <w:tcW w:w="312" w:type="pct"/>
            <w:tcBorders>
              <w:top w:val="nil"/>
              <w:left w:val="nil"/>
              <w:bottom w:val="single" w:sz="4" w:space="0" w:color="auto"/>
              <w:right w:val="single" w:sz="4" w:space="0" w:color="auto"/>
            </w:tcBorders>
            <w:shd w:val="clear" w:color="auto" w:fill="auto"/>
            <w:noWrap/>
            <w:vAlign w:val="center"/>
            <w:hideMark/>
          </w:tcPr>
          <w:p w14:paraId="4E05D3DE" w14:textId="77777777" w:rsidR="00F12620" w:rsidRPr="00116A14" w:rsidRDefault="00487360" w:rsidP="00FB588E">
            <w:pPr>
              <w:keepNext/>
              <w:jc w:val="right"/>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21</w:t>
            </w:r>
          </w:p>
        </w:tc>
        <w:tc>
          <w:tcPr>
            <w:tcW w:w="312" w:type="pct"/>
            <w:tcBorders>
              <w:top w:val="nil"/>
              <w:left w:val="nil"/>
              <w:bottom w:val="single" w:sz="4" w:space="0" w:color="auto"/>
              <w:right w:val="single" w:sz="4" w:space="0" w:color="auto"/>
            </w:tcBorders>
            <w:shd w:val="clear" w:color="auto" w:fill="auto"/>
            <w:noWrap/>
            <w:vAlign w:val="center"/>
            <w:hideMark/>
          </w:tcPr>
          <w:p w14:paraId="509DD8AB" w14:textId="77777777" w:rsidR="00F12620" w:rsidRPr="00116A14" w:rsidRDefault="00487360" w:rsidP="00FB588E">
            <w:pPr>
              <w:keepNext/>
              <w:jc w:val="right"/>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13</w:t>
            </w:r>
          </w:p>
        </w:tc>
        <w:tc>
          <w:tcPr>
            <w:tcW w:w="469" w:type="pct"/>
            <w:tcBorders>
              <w:top w:val="nil"/>
              <w:left w:val="nil"/>
              <w:bottom w:val="single" w:sz="4" w:space="0" w:color="auto"/>
              <w:right w:val="single" w:sz="4" w:space="0" w:color="auto"/>
            </w:tcBorders>
            <w:shd w:val="clear" w:color="auto" w:fill="auto"/>
            <w:noWrap/>
            <w:vAlign w:val="center"/>
            <w:hideMark/>
          </w:tcPr>
          <w:p w14:paraId="528DFCF9" w14:textId="77777777" w:rsidR="00F12620" w:rsidRPr="00116A14" w:rsidRDefault="00487360" w:rsidP="00FB588E">
            <w:pPr>
              <w:keepNext/>
              <w:jc w:val="right"/>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20</w:t>
            </w:r>
          </w:p>
        </w:tc>
        <w:tc>
          <w:tcPr>
            <w:tcW w:w="312" w:type="pct"/>
            <w:tcBorders>
              <w:top w:val="nil"/>
              <w:left w:val="nil"/>
              <w:bottom w:val="single" w:sz="4" w:space="0" w:color="auto"/>
              <w:right w:val="single" w:sz="4" w:space="0" w:color="auto"/>
            </w:tcBorders>
            <w:shd w:val="clear" w:color="auto" w:fill="auto"/>
            <w:noWrap/>
            <w:vAlign w:val="center"/>
            <w:hideMark/>
          </w:tcPr>
          <w:p w14:paraId="2C2EC908" w14:textId="77777777" w:rsidR="00F12620" w:rsidRPr="00116A14" w:rsidRDefault="00487360" w:rsidP="00FB588E">
            <w:pPr>
              <w:keepNext/>
              <w:jc w:val="right"/>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16</w:t>
            </w:r>
          </w:p>
        </w:tc>
        <w:tc>
          <w:tcPr>
            <w:tcW w:w="313" w:type="pct"/>
            <w:tcBorders>
              <w:top w:val="nil"/>
              <w:left w:val="nil"/>
              <w:bottom w:val="single" w:sz="4" w:space="0" w:color="auto"/>
              <w:right w:val="single" w:sz="4" w:space="0" w:color="auto"/>
            </w:tcBorders>
            <w:shd w:val="clear" w:color="auto" w:fill="auto"/>
            <w:noWrap/>
            <w:vAlign w:val="center"/>
            <w:hideMark/>
          </w:tcPr>
          <w:p w14:paraId="19E2F2F4" w14:textId="77777777" w:rsidR="00F12620" w:rsidRPr="00116A14" w:rsidRDefault="00487360" w:rsidP="00FB588E">
            <w:pPr>
              <w:keepNext/>
              <w:jc w:val="right"/>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42</w:t>
            </w:r>
          </w:p>
        </w:tc>
      </w:tr>
    </w:tbl>
    <w:p w14:paraId="3AAC7DC7" w14:textId="47720BAF" w:rsidR="00F12620" w:rsidRPr="004A4900" w:rsidRDefault="00F12620" w:rsidP="00FB588E">
      <w:pPr>
        <w:pStyle w:val="Zdrojapozn"/>
        <w:keepNext/>
        <w:spacing w:before="40"/>
      </w:pPr>
      <w:r w:rsidRPr="00EE7568">
        <w:rPr>
          <w:b/>
        </w:rPr>
        <w:t>Zdroj:</w:t>
      </w:r>
      <w:r>
        <w:t xml:space="preserve"> </w:t>
      </w:r>
      <w:r w:rsidR="00FB588E">
        <w:t xml:space="preserve">zpracoval NKÚ na základě </w:t>
      </w:r>
      <w:r>
        <w:t xml:space="preserve">NPSE, </w:t>
      </w:r>
      <w:r w:rsidR="00FB588E">
        <w:t>e</w:t>
      </w:r>
      <w:r>
        <w:t>misní bilance (</w:t>
      </w:r>
      <w:r w:rsidRPr="002F5BCA">
        <w:t>Report</w:t>
      </w:r>
      <w:r>
        <w:t>ing_2018_v_1-2_1990-2016).</w:t>
      </w:r>
    </w:p>
    <w:p w14:paraId="066208FF" w14:textId="498FBE1A" w:rsidR="00F12620" w:rsidRDefault="00FB588E" w:rsidP="00A92C84">
      <w:pPr>
        <w:pStyle w:val="Zdrojapozn"/>
        <w:keepNext/>
        <w:ind w:left="284" w:hanging="284"/>
      </w:pPr>
      <w:r>
        <w:rPr>
          <w:vertAlign w:val="superscript"/>
        </w:rPr>
        <w:t>*</w:t>
      </w:r>
      <w:r w:rsidR="00F12620">
        <w:t xml:space="preserve"> </w:t>
      </w:r>
      <w:r w:rsidR="00A92C84">
        <w:tab/>
      </w:r>
      <w:r w:rsidR="00F12620">
        <w:t>Poslední dostupná emisní bilance je z roku 2018 za rok 2016 (včetně rekalkulace časové řady do roku 1990).</w:t>
      </w:r>
    </w:p>
    <w:p w14:paraId="79FFDFF9" w14:textId="359DD2CD" w:rsidR="00F12620" w:rsidRDefault="00FB588E" w:rsidP="00A92C84">
      <w:pPr>
        <w:pStyle w:val="Zdrojapozn"/>
        <w:keepNext/>
        <w:ind w:left="284" w:hanging="284"/>
      </w:pPr>
      <w:r>
        <w:rPr>
          <w:vertAlign w:val="superscript"/>
        </w:rPr>
        <w:t>**</w:t>
      </w:r>
      <w:r w:rsidR="00F12620">
        <w:t xml:space="preserve"> </w:t>
      </w:r>
      <w:r w:rsidR="00A92C84">
        <w:tab/>
      </w:r>
      <w:r w:rsidR="00F12620">
        <w:t>Závazek v % proti r. 2005 byl dopočten</w:t>
      </w:r>
      <w:r>
        <w:t xml:space="preserve"> </w:t>
      </w:r>
      <w:r w:rsidR="00F12620">
        <w:t xml:space="preserve">z hodnot národních emisí k roku 2005 použitých při zpracování NPSE a ze stanovených nepřekročitelných hodnot národních emisí v NPSE. </w:t>
      </w:r>
    </w:p>
    <w:p w14:paraId="68403C48" w14:textId="66184F24" w:rsidR="00F12620" w:rsidRDefault="00FB588E" w:rsidP="00A92C84">
      <w:pPr>
        <w:pStyle w:val="Zdrojapozn"/>
        <w:ind w:left="284" w:hanging="284"/>
      </w:pPr>
      <w:r>
        <w:rPr>
          <w:vertAlign w:val="superscript"/>
        </w:rPr>
        <w:t>***</w:t>
      </w:r>
      <w:r w:rsidR="00F12620">
        <w:t xml:space="preserve"> </w:t>
      </w:r>
      <w:r w:rsidR="00A92C84">
        <w:tab/>
      </w:r>
      <w:r w:rsidR="00F12620" w:rsidRPr="00D97C49">
        <w:t>NKÚ přepočtené nepřekročitelné hodnoty národních emisí reflektující změny výpočtu emisních bilancí.</w:t>
      </w:r>
    </w:p>
    <w:p w14:paraId="0355747F" w14:textId="77777777" w:rsidR="00395345" w:rsidRDefault="00395345" w:rsidP="00FB356D">
      <w:pPr>
        <w:pStyle w:val="Text"/>
        <w:spacing w:after="120" w:line="264" w:lineRule="auto"/>
      </w:pPr>
      <w:r>
        <w:t>Česká republika již v roce 2016 plnila mezinárodní závazek snížení emisí k roku 2020 pro SO</w:t>
      </w:r>
      <w:r w:rsidRPr="00DE07B1">
        <w:rPr>
          <w:vertAlign w:val="subscript"/>
        </w:rPr>
        <w:t>2</w:t>
      </w:r>
      <w:r>
        <w:t>, NO</w:t>
      </w:r>
      <w:r w:rsidRPr="00DE07B1">
        <w:rPr>
          <w:vertAlign w:val="subscript"/>
        </w:rPr>
        <w:t>X</w:t>
      </w:r>
      <w:r>
        <w:t>, NMVOC a NH</w:t>
      </w:r>
      <w:r w:rsidRPr="00DE07B1">
        <w:rPr>
          <w:vertAlign w:val="subscript"/>
        </w:rPr>
        <w:t>3</w:t>
      </w:r>
      <w:r>
        <w:t>. V případě suspendovaných částic PM</w:t>
      </w:r>
      <w:r w:rsidRPr="00DE07B1">
        <w:rPr>
          <w:vertAlign w:val="subscript"/>
        </w:rPr>
        <w:t>2,5</w:t>
      </w:r>
      <w:r>
        <w:t xml:space="preserve"> se ČR blíží ke splnění mezinárodního závazku. V případě plnění nepřekročitelných hodnot národních emisí k roku 2020, jejichž dosažení je společným cílem </w:t>
      </w:r>
      <w:r w:rsidRPr="00B1650A">
        <w:t>SPŽP</w:t>
      </w:r>
      <w:r w:rsidRPr="00900B9C">
        <w:t xml:space="preserve">, </w:t>
      </w:r>
      <w:r w:rsidRPr="00B1650A">
        <w:t>Strategie</w:t>
      </w:r>
      <w:r w:rsidRPr="00900B9C">
        <w:t xml:space="preserve"> i </w:t>
      </w:r>
      <w:r w:rsidRPr="00B1650A">
        <w:t>NPSE</w:t>
      </w:r>
      <w:r w:rsidRPr="00900B9C">
        <w:t xml:space="preserve"> </w:t>
      </w:r>
      <w:r>
        <w:t>je situace opačná a není plněn zatím žádný emisní strop k roku 2020.</w:t>
      </w:r>
    </w:p>
    <w:p w14:paraId="0062D38E" w14:textId="3F73BBA6" w:rsidR="00395345" w:rsidRPr="00A0524E" w:rsidRDefault="00395345" w:rsidP="00FB356D">
      <w:pPr>
        <w:pStyle w:val="TextKP"/>
        <w:spacing w:after="120" w:line="264" w:lineRule="auto"/>
      </w:pPr>
      <w:r w:rsidRPr="00A0524E">
        <w:t>MŽP stanovilo pro rok 2020 velmi ambiciózní cíle. S ohledem na skutečnost, že celkové emise za rok 2020 budou dostupné až v prvním čtvrtletí roku 2022, se v důsledku změn metodik výpočtu národních emisí a analýzy stavu plnění jednotlivých opatření NPSE jeví dosažení cílové nepřekročitelné hodnoty emisí PM</w:t>
      </w:r>
      <w:r w:rsidRPr="00A0524E">
        <w:rPr>
          <w:vertAlign w:val="subscript"/>
        </w:rPr>
        <w:t xml:space="preserve">2,5 </w:t>
      </w:r>
      <w:r w:rsidRPr="00A0524E">
        <w:t>od roku 2020 jako nereálné. Mezi roky 2005 a </w:t>
      </w:r>
      <w:r>
        <w:t>2016, tj. za </w:t>
      </w:r>
      <w:r w:rsidRPr="00A0524E">
        <w:t>období 11 let, došlo ke snížení PM</w:t>
      </w:r>
      <w:r w:rsidRPr="00A0524E">
        <w:rPr>
          <w:vertAlign w:val="subscript"/>
        </w:rPr>
        <w:t>2,5</w:t>
      </w:r>
      <w:r w:rsidRPr="00A0524E">
        <w:t xml:space="preserve"> o 12 %</w:t>
      </w:r>
      <w:r w:rsidR="00BC183C">
        <w:t>.</w:t>
      </w:r>
      <w:r w:rsidRPr="00A0524E">
        <w:t xml:space="preserve"> </w:t>
      </w:r>
      <w:r w:rsidR="00BC183C">
        <w:t>A</w:t>
      </w:r>
      <w:r w:rsidRPr="00A0524E">
        <w:t>by byl splněn národní cíl</w:t>
      </w:r>
      <w:r>
        <w:t>,</w:t>
      </w:r>
      <w:r w:rsidRPr="00A0524E">
        <w:t xml:space="preserve"> muselo by mezi roky 2016 a 2020, tj. za období 4 let, dojít k dalšímu snížení emisí PM</w:t>
      </w:r>
      <w:r w:rsidRPr="00A0524E">
        <w:rPr>
          <w:vertAlign w:val="subscript"/>
        </w:rPr>
        <w:t>2,5</w:t>
      </w:r>
      <w:r w:rsidRPr="00A0524E">
        <w:t xml:space="preserve"> o 42 %.</w:t>
      </w:r>
    </w:p>
    <w:p w14:paraId="6A5A9087" w14:textId="77777777" w:rsidR="00395345" w:rsidRPr="00A0524E" w:rsidRDefault="00395345" w:rsidP="00FB356D">
      <w:pPr>
        <w:pStyle w:val="Text"/>
        <w:spacing w:after="120" w:line="264" w:lineRule="auto"/>
      </w:pPr>
      <w:r w:rsidRPr="00A0524E">
        <w:t>V důsledku změn metodik výpočtu národních emisí a dosavadního stavu plnění jednotlivých opatření NPSE existuje také riziko nedosažení cílových hodnot pro ostatní znečišťující látky, pro které byly v NPSE stanoveny národní nepřekročitelné hodnoty emisí, tj. SO</w:t>
      </w:r>
      <w:r w:rsidRPr="00A0524E">
        <w:rPr>
          <w:vertAlign w:val="subscript"/>
        </w:rPr>
        <w:t>2</w:t>
      </w:r>
      <w:r w:rsidRPr="00A0524E">
        <w:t>, NO</w:t>
      </w:r>
      <w:r w:rsidRPr="00A0524E">
        <w:rPr>
          <w:vertAlign w:val="subscript"/>
        </w:rPr>
        <w:t>X</w:t>
      </w:r>
      <w:r w:rsidRPr="00A0524E">
        <w:t>, NMVOC a NH</w:t>
      </w:r>
      <w:r w:rsidRPr="00A0524E">
        <w:rPr>
          <w:vertAlign w:val="subscript"/>
        </w:rPr>
        <w:t>3</w:t>
      </w:r>
      <w:r w:rsidRPr="00A0524E">
        <w:t>. Mezi roky 2005 a 2016 došlo ke snížení emisí SO</w:t>
      </w:r>
      <w:r w:rsidRPr="00A0524E">
        <w:rPr>
          <w:vertAlign w:val="subscript"/>
        </w:rPr>
        <w:t>2</w:t>
      </w:r>
      <w:r w:rsidRPr="00A0524E">
        <w:t xml:space="preserve"> o 45 %, NO</w:t>
      </w:r>
      <w:r w:rsidRPr="00A0524E">
        <w:rPr>
          <w:vertAlign w:val="subscript"/>
        </w:rPr>
        <w:t>X</w:t>
      </w:r>
      <w:r w:rsidRPr="00A0524E">
        <w:t xml:space="preserve"> o 41 %, NMVOC o 20 % a NH</w:t>
      </w:r>
      <w:r w:rsidRPr="00A0524E">
        <w:rPr>
          <w:vertAlign w:val="subscript"/>
        </w:rPr>
        <w:t>3</w:t>
      </w:r>
      <w:r w:rsidRPr="00A0524E">
        <w:t xml:space="preserve"> o 7 %. Aby byl splněn národní cíl</w:t>
      </w:r>
      <w:r>
        <w:t>,</w:t>
      </w:r>
      <w:r w:rsidRPr="00A0524E">
        <w:t xml:space="preserve"> muselo by mezi roky 2016 a 2020 dojít k dalšímu snížení emisí SO</w:t>
      </w:r>
      <w:r w:rsidRPr="00A0524E">
        <w:rPr>
          <w:vertAlign w:val="subscript"/>
        </w:rPr>
        <w:t>2</w:t>
      </w:r>
      <w:r w:rsidRPr="00A0524E">
        <w:t xml:space="preserve"> o 21 %, NO</w:t>
      </w:r>
      <w:r w:rsidRPr="00A0524E">
        <w:rPr>
          <w:vertAlign w:val="subscript"/>
        </w:rPr>
        <w:t>X</w:t>
      </w:r>
      <w:r w:rsidR="00BB299F">
        <w:t xml:space="preserve"> o 13 %, NM</w:t>
      </w:r>
      <w:r w:rsidRPr="00A0524E">
        <w:t>VOC o 20 % a NH</w:t>
      </w:r>
      <w:r w:rsidRPr="00A0524E">
        <w:rPr>
          <w:vertAlign w:val="subscript"/>
        </w:rPr>
        <w:t>3</w:t>
      </w:r>
      <w:r w:rsidRPr="00A0524E">
        <w:t xml:space="preserve"> o 16 %.</w:t>
      </w:r>
    </w:p>
    <w:p w14:paraId="2F676FC0" w14:textId="44D42085" w:rsidR="00395345" w:rsidRPr="00A0524E" w:rsidRDefault="00395345" w:rsidP="00FB356D">
      <w:pPr>
        <w:pStyle w:val="Text"/>
        <w:spacing w:after="120" w:line="264" w:lineRule="auto"/>
      </w:pPr>
      <w:r w:rsidRPr="00A0524E">
        <w:t>Přibližování se k nepřekročitelným národním hodnotám emisí k roku 2020 má</w:t>
      </w:r>
      <w:r>
        <w:t xml:space="preserve"> MŽP</w:t>
      </w:r>
      <w:r w:rsidRPr="00A0524E">
        <w:t xml:space="preserve"> každoročně vyhodnocov</w:t>
      </w:r>
      <w:r>
        <w:t>at</w:t>
      </w:r>
      <w:r w:rsidRPr="00A0524E">
        <w:t xml:space="preserve"> v pravidelné</w:t>
      </w:r>
      <w:r w:rsidR="00BC183C">
        <w:t xml:space="preserve"> z</w:t>
      </w:r>
      <w:r w:rsidRPr="00A0524E">
        <w:t>právě o životním prostředí</w:t>
      </w:r>
      <w:r w:rsidR="006F6BF4">
        <w:t xml:space="preserve"> (dále také „</w:t>
      </w:r>
      <w:proofErr w:type="spellStart"/>
      <w:r w:rsidR="006F6BF4">
        <w:t>ZoŽP</w:t>
      </w:r>
      <w:proofErr w:type="spellEnd"/>
      <w:r w:rsidR="006F6BF4">
        <w:t>“), kterou</w:t>
      </w:r>
      <w:r w:rsidR="00BC183C">
        <w:t xml:space="preserve"> </w:t>
      </w:r>
      <w:r w:rsidRPr="00A0524E">
        <w:t>předkládá ke</w:t>
      </w:r>
      <w:r w:rsidR="00BC183C">
        <w:t xml:space="preserve"> </w:t>
      </w:r>
      <w:r w:rsidRPr="00A0524E">
        <w:t>schválení vládě ČR. Vyhodnocována má být „vzdálenost od cíle“</w:t>
      </w:r>
      <w:r w:rsidR="00BC183C">
        <w:t>,</w:t>
      </w:r>
      <w:r w:rsidRPr="00A0524E">
        <w:t xml:space="preserve"> tj. rozdíl mezi aktuální národní emisí v daném roce a cílovou hodnotou k roku 2020. MŽP však </w:t>
      </w:r>
      <w:r>
        <w:t>nevyhodnotilo ve</w:t>
      </w:r>
      <w:r w:rsidR="00BC183C">
        <w:t xml:space="preserve"> </w:t>
      </w:r>
      <w:r w:rsidRPr="00B1650A">
        <w:rPr>
          <w:i/>
        </w:rPr>
        <w:t>Zprávě o životním prostředí za rok 2016</w:t>
      </w:r>
      <w:r w:rsidRPr="00A0524E">
        <w:t xml:space="preserve"> „vzdálenost od cíle“ pro suspendované částice PM</w:t>
      </w:r>
      <w:r w:rsidRPr="00A0524E">
        <w:rPr>
          <w:vertAlign w:val="subscript"/>
        </w:rPr>
        <w:t>2,5</w:t>
      </w:r>
      <w:r w:rsidRPr="00A0524E">
        <w:t>, přičemž právě dosažení nepřekročitelné národní hodnoty emisí pro PM</w:t>
      </w:r>
      <w:r w:rsidRPr="00A0524E">
        <w:rPr>
          <w:vertAlign w:val="subscript"/>
        </w:rPr>
        <w:t>2,5</w:t>
      </w:r>
      <w:r w:rsidRPr="00A0524E">
        <w:t xml:space="preserve"> k roku 2020 je nejrizikovější</w:t>
      </w:r>
      <w:r>
        <w:t xml:space="preserve">. K roku 2030 navíc směrnice EU č. 2016/2284 stanovuje pro ČR velmi přísný závazek snížení </w:t>
      </w:r>
      <w:r w:rsidRPr="00A0524E">
        <w:t>emisí PM</w:t>
      </w:r>
      <w:r w:rsidRPr="00A0524E">
        <w:rPr>
          <w:vertAlign w:val="subscript"/>
        </w:rPr>
        <w:t>2,5</w:t>
      </w:r>
      <w:r>
        <w:t xml:space="preserve">, resp. 60% snížení emisí </w:t>
      </w:r>
      <w:r w:rsidRPr="00A0524E">
        <w:t>PM</w:t>
      </w:r>
      <w:r w:rsidRPr="00A0524E">
        <w:rPr>
          <w:vertAlign w:val="subscript"/>
        </w:rPr>
        <w:t>2,5</w:t>
      </w:r>
      <w:r>
        <w:t xml:space="preserve"> o</w:t>
      </w:r>
      <w:r w:rsidRPr="00A0524E">
        <w:t>proti roku 2005</w:t>
      </w:r>
      <w:r>
        <w:t>.</w:t>
      </w:r>
    </w:p>
    <w:p w14:paraId="2E36DF69" w14:textId="77777777" w:rsidR="00395345" w:rsidRDefault="00395345" w:rsidP="00FB356D">
      <w:pPr>
        <w:pStyle w:val="Nadpis3"/>
        <w:numPr>
          <w:ilvl w:val="0"/>
          <w:numId w:val="46"/>
        </w:numPr>
        <w:spacing w:line="264" w:lineRule="auto"/>
        <w:ind w:left="284" w:hanging="284"/>
        <w:rPr>
          <w:lang w:eastAsia="cs-CZ"/>
        </w:rPr>
      </w:pPr>
      <w:r>
        <w:rPr>
          <w:lang w:eastAsia="cs-CZ"/>
        </w:rPr>
        <w:t xml:space="preserve">Nejsou dostatečně a včas plněna opatření stanovená </w:t>
      </w:r>
      <w:r w:rsidR="00C07AD2">
        <w:rPr>
          <w:lang w:eastAsia="cs-CZ"/>
        </w:rPr>
        <w:t>ke zlepšení kvality ovzduší</w:t>
      </w:r>
    </w:p>
    <w:p w14:paraId="0A257DA3" w14:textId="77777777" w:rsidR="00395345" w:rsidRPr="004208CD" w:rsidRDefault="00395345" w:rsidP="00FB356D">
      <w:pPr>
        <w:pStyle w:val="TextKP"/>
        <w:spacing w:after="120" w:line="264" w:lineRule="auto"/>
        <w:rPr>
          <w:rFonts w:eastAsia="Calibri"/>
          <w:i/>
        </w:rPr>
      </w:pPr>
      <w:r w:rsidRPr="004208CD">
        <w:rPr>
          <w:rFonts w:eastAsia="Calibri"/>
          <w:i/>
        </w:rPr>
        <w:t>Stav plnění prioritních opatření NPSE</w:t>
      </w:r>
    </w:p>
    <w:p w14:paraId="5B519C6C" w14:textId="0C75B386" w:rsidR="00395345" w:rsidRDefault="00395345" w:rsidP="00FB356D">
      <w:pPr>
        <w:pStyle w:val="TextKP"/>
        <w:spacing w:after="120" w:line="264" w:lineRule="auto"/>
      </w:pPr>
      <w:r>
        <w:rPr>
          <w:rFonts w:eastAsia="Calibri"/>
        </w:rPr>
        <w:t xml:space="preserve">Nový </w:t>
      </w:r>
      <w:r w:rsidRPr="004210B4">
        <w:rPr>
          <w:rFonts w:eastAsia="Calibri"/>
        </w:rPr>
        <w:t>scénář</w:t>
      </w:r>
      <w:r>
        <w:rPr>
          <w:rFonts w:eastAsia="Calibri"/>
        </w:rPr>
        <w:t xml:space="preserve"> NPSE-</w:t>
      </w:r>
      <w:proofErr w:type="spellStart"/>
      <w:r>
        <w:rPr>
          <w:rFonts w:eastAsia="Calibri"/>
        </w:rPr>
        <w:t>WaM</w:t>
      </w:r>
      <w:proofErr w:type="spellEnd"/>
      <w:r w:rsidRPr="004210B4">
        <w:rPr>
          <w:rFonts w:eastAsia="Calibri"/>
        </w:rPr>
        <w:t xml:space="preserve"> zahrnuje 23 prioritních opatření</w:t>
      </w:r>
      <w:r>
        <w:rPr>
          <w:rFonts w:eastAsia="Calibri"/>
        </w:rPr>
        <w:t xml:space="preserve">. </w:t>
      </w:r>
      <w:r>
        <w:t>Vyhodnocování implementace má probíhat jedenkrát ročně na</w:t>
      </w:r>
      <w:r w:rsidR="00BC183C">
        <w:t xml:space="preserve"> </w:t>
      </w:r>
      <w:r>
        <w:t xml:space="preserve">základě stanovených indikátorů a výsledek hodnocení předkládá MŽP vládě ČR v rámci pravidelné </w:t>
      </w:r>
      <w:proofErr w:type="spellStart"/>
      <w:r>
        <w:t>ZoŽP</w:t>
      </w:r>
      <w:proofErr w:type="spellEnd"/>
      <w:r>
        <w:t>. Kontrolou byl prověřen stav plnění opatření a vyhodnocování implementace ze</w:t>
      </w:r>
      <w:r w:rsidR="00BC183C">
        <w:t xml:space="preserve"> </w:t>
      </w:r>
      <w:r>
        <w:t xml:space="preserve">strany MŽP. </w:t>
      </w:r>
      <w:r>
        <w:rPr>
          <w:rFonts w:eastAsia="Calibri"/>
        </w:rPr>
        <w:t xml:space="preserve">Seznam všech prioritních opatření včetně porovnání hodnocení implementace MŽP s hodnocením stavu plnění prioritních opatření provedeném NKÚ je uveden v příloze č. 4 </w:t>
      </w:r>
      <w:r w:rsidR="00BC183C">
        <w:rPr>
          <w:rFonts w:eastAsia="Calibri"/>
        </w:rPr>
        <w:t xml:space="preserve">tohoto </w:t>
      </w:r>
      <w:r>
        <w:rPr>
          <w:rFonts w:eastAsia="Calibri"/>
        </w:rPr>
        <w:t>kontrolního závěru</w:t>
      </w:r>
      <w:r w:rsidRPr="00F8291C">
        <w:rPr>
          <w:rFonts w:eastAsia="Calibri"/>
        </w:rPr>
        <w:t>.</w:t>
      </w:r>
    </w:p>
    <w:p w14:paraId="64EABCA4" w14:textId="2711414F" w:rsidR="00395345" w:rsidRDefault="00395345" w:rsidP="00FB356D">
      <w:pPr>
        <w:pStyle w:val="Text"/>
        <w:spacing w:after="120" w:line="264" w:lineRule="auto"/>
        <w:rPr>
          <w:lang w:eastAsia="cs-CZ"/>
        </w:rPr>
      </w:pPr>
      <w:r>
        <w:t>Z provedené</w:t>
      </w:r>
      <w:r w:rsidRPr="007930CC">
        <w:t xml:space="preserve"> analýzy</w:t>
      </w:r>
      <w:r>
        <w:t xml:space="preserve"> </w:t>
      </w:r>
      <w:r w:rsidRPr="007930CC">
        <w:t xml:space="preserve">stavu plnění prioritních opatření </w:t>
      </w:r>
      <w:r>
        <w:t>vyplývají rozdíly oproti hodnocení MŽP. Rozdíly plynou z rozdílného časového okamžiku hodnocení, ale hlavní příčinou je, že</w:t>
      </w:r>
      <w:r w:rsidR="00BC183C">
        <w:t xml:space="preserve"> </w:t>
      </w:r>
      <w:r>
        <w:t>vyhodnocení MŽP nehodnotí míru dosaženého výsledku či míru plnění jednotlivých opatření ve vztahu k jejich požadovanému cílovému stavu</w:t>
      </w:r>
      <w:r>
        <w:rPr>
          <w:rStyle w:val="Znakapoznpodarou"/>
        </w:rPr>
        <w:footnoteReference w:id="29"/>
      </w:r>
      <w:r>
        <w:t xml:space="preserve">. Indikátory uvedené ve </w:t>
      </w:r>
      <w:r w:rsidRPr="00B1650A">
        <w:rPr>
          <w:i/>
        </w:rPr>
        <w:t>Statistické ročence životního prostředí za rok 2016</w:t>
      </w:r>
      <w:r>
        <w:t xml:space="preserve"> nejsou úplné a nejsou podrobněji slovně hodnoceny. </w:t>
      </w:r>
      <w:r w:rsidRPr="007E1159">
        <w:rPr>
          <w:lang w:eastAsia="cs-CZ"/>
        </w:rPr>
        <w:t xml:space="preserve">Vyhodnocení MŽP </w:t>
      </w:r>
      <w:r>
        <w:rPr>
          <w:lang w:eastAsia="cs-CZ"/>
        </w:rPr>
        <w:t>nep</w:t>
      </w:r>
      <w:r w:rsidRPr="007E1159">
        <w:rPr>
          <w:lang w:eastAsia="cs-CZ"/>
        </w:rPr>
        <w:t xml:space="preserve">oskytuje objektivní posouzení, </w:t>
      </w:r>
      <w:r>
        <w:rPr>
          <w:lang w:eastAsia="cs-CZ"/>
        </w:rPr>
        <w:t>zda</w:t>
      </w:r>
      <w:r w:rsidR="00BC183C">
        <w:rPr>
          <w:lang w:eastAsia="cs-CZ"/>
        </w:rPr>
        <w:t xml:space="preserve"> </w:t>
      </w:r>
      <w:r>
        <w:rPr>
          <w:lang w:eastAsia="cs-CZ"/>
        </w:rPr>
        <w:t>je</w:t>
      </w:r>
      <w:r w:rsidR="00BC183C">
        <w:rPr>
          <w:lang w:eastAsia="cs-CZ"/>
        </w:rPr>
        <w:t xml:space="preserve"> </w:t>
      </w:r>
      <w:r>
        <w:rPr>
          <w:lang w:eastAsia="cs-CZ"/>
        </w:rPr>
        <w:t xml:space="preserve">důsledně naplňován NPSE, přičemž se </w:t>
      </w:r>
      <w:r w:rsidRPr="00B16DC9">
        <w:rPr>
          <w:lang w:eastAsia="cs-CZ"/>
        </w:rPr>
        <w:t xml:space="preserve">jedná </w:t>
      </w:r>
      <w:r>
        <w:rPr>
          <w:lang w:eastAsia="cs-CZ"/>
        </w:rPr>
        <w:t>o</w:t>
      </w:r>
      <w:r w:rsidRPr="00B16DC9">
        <w:rPr>
          <w:lang w:eastAsia="cs-CZ"/>
        </w:rPr>
        <w:t xml:space="preserve"> jeden z nejdůležitějších nástrojů </w:t>
      </w:r>
      <w:r>
        <w:rPr>
          <w:lang w:eastAsia="cs-CZ"/>
        </w:rPr>
        <w:t>pro zlepšení kvality ovzduší na</w:t>
      </w:r>
      <w:r w:rsidR="00BC183C">
        <w:rPr>
          <w:lang w:eastAsia="cs-CZ"/>
        </w:rPr>
        <w:t xml:space="preserve"> </w:t>
      </w:r>
      <w:r w:rsidRPr="00B16DC9">
        <w:rPr>
          <w:lang w:eastAsia="cs-CZ"/>
        </w:rPr>
        <w:t>národní úrovni</w:t>
      </w:r>
      <w:r>
        <w:rPr>
          <w:lang w:eastAsia="cs-CZ"/>
        </w:rPr>
        <w:t>.</w:t>
      </w:r>
    </w:p>
    <w:p w14:paraId="1C53BE84" w14:textId="211F9C80" w:rsidR="00395345" w:rsidRDefault="00395345" w:rsidP="00FB356D">
      <w:pPr>
        <w:pStyle w:val="Text"/>
        <w:spacing w:after="120" w:line="264" w:lineRule="auto"/>
        <w:rPr>
          <w:lang w:eastAsia="cs-CZ"/>
        </w:rPr>
      </w:pPr>
      <w:r>
        <w:t xml:space="preserve">Kontrolou bylo zjištěno, že </w:t>
      </w:r>
      <w:r w:rsidR="00BC183C">
        <w:rPr>
          <w:lang w:eastAsia="cs-CZ"/>
        </w:rPr>
        <w:t>sedm</w:t>
      </w:r>
      <w:r>
        <w:rPr>
          <w:lang w:eastAsia="cs-CZ"/>
        </w:rPr>
        <w:t xml:space="preserve"> z 23 prioritních opatření NPSE nebylo splněno v požadovaném termínu ani do ukončení </w:t>
      </w:r>
      <w:r w:rsidR="00BC183C">
        <w:rPr>
          <w:lang w:eastAsia="cs-CZ"/>
        </w:rPr>
        <w:t xml:space="preserve">této </w:t>
      </w:r>
      <w:r>
        <w:rPr>
          <w:lang w:eastAsia="cs-CZ"/>
        </w:rPr>
        <w:t xml:space="preserve">kontrolní akce. </w:t>
      </w:r>
      <w:r w:rsidRPr="00945735">
        <w:t xml:space="preserve">Jedná se </w:t>
      </w:r>
      <w:r>
        <w:t xml:space="preserve">např. o opatření zaměřená na </w:t>
      </w:r>
      <w:r w:rsidRPr="00945735">
        <w:t>podpor</w:t>
      </w:r>
      <w:r>
        <w:t>u</w:t>
      </w:r>
      <w:r w:rsidRPr="00945735">
        <w:t xml:space="preserve"> urychlení obměny vozového parku osobních vozidel</w:t>
      </w:r>
      <w:r>
        <w:t xml:space="preserve"> (gesce MŽP) a </w:t>
      </w:r>
      <w:r w:rsidRPr="00945735">
        <w:t xml:space="preserve">stimulaci využívání alternativních pohonů v silniční nákladní dopravě prostřednictvím snížené sazby silniční </w:t>
      </w:r>
      <w:r>
        <w:t>daně či s</w:t>
      </w:r>
      <w:r w:rsidRPr="00151D73">
        <w:t>nížení podílu pevných fosilních paliv ve spalovacích stacionárních zdrojích nespadajících pod systém EU ETS</w:t>
      </w:r>
      <w:r>
        <w:t xml:space="preserve"> (např. lokální domácí vytápění). Dalších </w:t>
      </w:r>
      <w:r w:rsidR="00BC183C">
        <w:rPr>
          <w:lang w:eastAsia="cs-CZ"/>
        </w:rPr>
        <w:t>šest</w:t>
      </w:r>
      <w:r>
        <w:rPr>
          <w:lang w:eastAsia="cs-CZ"/>
        </w:rPr>
        <w:t xml:space="preserve"> z 23 prioritních opatření je</w:t>
      </w:r>
      <w:r w:rsidR="00BC183C">
        <w:rPr>
          <w:lang w:eastAsia="cs-CZ"/>
        </w:rPr>
        <w:t xml:space="preserve"> </w:t>
      </w:r>
      <w:r>
        <w:rPr>
          <w:lang w:eastAsia="cs-CZ"/>
        </w:rPr>
        <w:t>plněno průběžně, ale existují významná rizika nesplnění těchto opatření včas a v požadovaném rozsahu. Jedná se např. o přesun nákladní dopravy ze silnic na</w:t>
      </w:r>
      <w:r w:rsidR="00BC183C">
        <w:rPr>
          <w:lang w:eastAsia="cs-CZ"/>
        </w:rPr>
        <w:t xml:space="preserve"> </w:t>
      </w:r>
      <w:r>
        <w:rPr>
          <w:lang w:eastAsia="cs-CZ"/>
        </w:rPr>
        <w:t>železnici, realizaci</w:t>
      </w:r>
      <w:r w:rsidRPr="00915ACB">
        <w:rPr>
          <w:lang w:eastAsia="cs-CZ"/>
        </w:rPr>
        <w:t xml:space="preserve"> opatření ke snížení spotřeby energie a ke zvýšení energetické účinnosti</w:t>
      </w:r>
      <w:r>
        <w:rPr>
          <w:lang w:eastAsia="cs-CZ"/>
        </w:rPr>
        <w:t>, výstavbu páteřní sítě kapacitních komunikací pro automobilovou dopravu či</w:t>
      </w:r>
      <w:r w:rsidR="00BC183C">
        <w:rPr>
          <w:lang w:eastAsia="cs-CZ"/>
        </w:rPr>
        <w:t xml:space="preserve"> </w:t>
      </w:r>
      <w:r>
        <w:rPr>
          <w:lang w:eastAsia="cs-CZ"/>
        </w:rPr>
        <w:t>prioritní výstavbu obchvatů měst a obcí a s tím spojen</w:t>
      </w:r>
      <w:r w:rsidR="00BC183C">
        <w:rPr>
          <w:lang w:eastAsia="cs-CZ"/>
        </w:rPr>
        <w:t>ou</w:t>
      </w:r>
      <w:r>
        <w:rPr>
          <w:lang w:eastAsia="cs-CZ"/>
        </w:rPr>
        <w:t xml:space="preserve"> možnost zavádění </w:t>
      </w:r>
      <w:proofErr w:type="spellStart"/>
      <w:r>
        <w:rPr>
          <w:lang w:eastAsia="cs-CZ"/>
        </w:rPr>
        <w:t>nízkoemisních</w:t>
      </w:r>
      <w:proofErr w:type="spellEnd"/>
      <w:r>
        <w:rPr>
          <w:lang w:eastAsia="cs-CZ"/>
        </w:rPr>
        <w:t xml:space="preserve"> zón ve městech.</w:t>
      </w:r>
    </w:p>
    <w:p w14:paraId="53C086BF" w14:textId="54C39B2A" w:rsidR="00395345" w:rsidRDefault="00395345" w:rsidP="00FB356D">
      <w:pPr>
        <w:pStyle w:val="TextKP"/>
        <w:spacing w:after="120" w:line="264" w:lineRule="auto"/>
      </w:pPr>
      <w:r w:rsidRPr="008C0086">
        <w:t xml:space="preserve">Kontrolou bylo také zjištěno, že MŽP jako předkladatel NPSE </w:t>
      </w:r>
      <w:r w:rsidR="002D08A2">
        <w:t>an</w:t>
      </w:r>
      <w:r w:rsidRPr="008C0086">
        <w:t xml:space="preserve">i jiní gestoři opatření nepostupují v souladu s vydaným souhlasným stanoviskem k návrhu koncepce, když zatím nezajistili </w:t>
      </w:r>
      <w:proofErr w:type="spellStart"/>
      <w:r w:rsidRPr="008C0086">
        <w:t>prioritizaci</w:t>
      </w:r>
      <w:proofErr w:type="spellEnd"/>
      <w:r w:rsidRPr="008C0086">
        <w:t xml:space="preserve"> opatření </w:t>
      </w:r>
      <w:r>
        <w:t>na podporu a urychlení obměny vozového parku osobních vozidel (AA3),</w:t>
      </w:r>
      <w:r w:rsidRPr="008C0086">
        <w:t xml:space="preserve"> </w:t>
      </w:r>
      <w:r>
        <w:t xml:space="preserve">opatření na podporu stimulace využívání alternativních pohonů v silniční nákladní dopravě (AA5) a opatření k zajištění přesunu přepravních výkonů nákladní dopravy ze silnic na železnici (AB23). Opatření AA3 a AA5 nebyla </w:t>
      </w:r>
      <w:r w:rsidRPr="008C0086">
        <w:t>zatím splněna</w:t>
      </w:r>
      <w:r>
        <w:t>. O</w:t>
      </w:r>
      <w:r w:rsidRPr="008C0086">
        <w:t xml:space="preserve">patření AB23 </w:t>
      </w:r>
      <w:r>
        <w:t xml:space="preserve">se </w:t>
      </w:r>
      <w:r w:rsidRPr="008C0086">
        <w:t>průběžně</w:t>
      </w:r>
      <w:r>
        <w:t xml:space="preserve"> realizuje</w:t>
      </w:r>
      <w:r w:rsidRPr="008C0086">
        <w:t xml:space="preserve">, nicméně sledované </w:t>
      </w:r>
      <w:r>
        <w:t xml:space="preserve">indikátory </w:t>
      </w:r>
      <w:r w:rsidRPr="008C0086">
        <w:t>značí vysokou míru rizika nesplnění stanoveného cíle.</w:t>
      </w:r>
    </w:p>
    <w:p w14:paraId="1BFE4174" w14:textId="77777777" w:rsidR="00395345" w:rsidRPr="00B16DC9" w:rsidRDefault="00395345" w:rsidP="00FB356D">
      <w:pPr>
        <w:pStyle w:val="Text"/>
        <w:spacing w:after="120" w:line="264" w:lineRule="auto"/>
        <w:rPr>
          <w:i/>
          <w:lang w:eastAsia="cs-CZ"/>
        </w:rPr>
      </w:pPr>
      <w:r w:rsidRPr="00B16DC9">
        <w:rPr>
          <w:i/>
          <w:lang w:eastAsia="cs-CZ"/>
        </w:rPr>
        <w:t>Vyhodnocování implementace PZKO</w:t>
      </w:r>
    </w:p>
    <w:p w14:paraId="0421C07B" w14:textId="631F64EB" w:rsidR="00137B4A" w:rsidRDefault="00137B4A" w:rsidP="00FB356D">
      <w:pPr>
        <w:pStyle w:val="Text"/>
        <w:spacing w:after="120" w:line="264" w:lineRule="auto"/>
        <w:rPr>
          <w:lang w:eastAsia="cs-CZ"/>
        </w:rPr>
      </w:pPr>
      <w:r>
        <w:rPr>
          <w:lang w:eastAsia="cs-CZ"/>
        </w:rPr>
        <w:t xml:space="preserve">Aktuální </w:t>
      </w:r>
      <w:r w:rsidR="002D08A2">
        <w:rPr>
          <w:i/>
          <w:lang w:eastAsia="cs-CZ"/>
        </w:rPr>
        <w:t>p</w:t>
      </w:r>
      <w:r w:rsidRPr="00702574">
        <w:rPr>
          <w:i/>
          <w:lang w:eastAsia="cs-CZ"/>
        </w:rPr>
        <w:t>rogramy zlepšování kvality ovzduší</w:t>
      </w:r>
      <w:r>
        <w:rPr>
          <w:lang w:eastAsia="cs-CZ"/>
        </w:rPr>
        <w:t xml:space="preserve"> jakožto regionální strategie řízení kvality ovzduší, zpracované pro jednotlivé zóny a aglomerace</w:t>
      </w:r>
      <w:r w:rsidR="002D08A2">
        <w:rPr>
          <w:lang w:eastAsia="cs-CZ"/>
        </w:rPr>
        <w:t>,</w:t>
      </w:r>
      <w:r>
        <w:rPr>
          <w:lang w:eastAsia="cs-CZ"/>
        </w:rPr>
        <w:t xml:space="preserve"> byly schváleny v průběhu roku 2016 a byly vydány MŽP formou opatření obecné povahy.</w:t>
      </w:r>
    </w:p>
    <w:p w14:paraId="1DE1F126" w14:textId="65C09F26" w:rsidR="00395345" w:rsidRPr="00B5105D" w:rsidRDefault="00395345" w:rsidP="00FB356D">
      <w:pPr>
        <w:pStyle w:val="Text"/>
        <w:spacing w:after="120" w:line="264" w:lineRule="auto"/>
        <w:rPr>
          <w:lang w:eastAsia="cs-CZ"/>
        </w:rPr>
      </w:pPr>
      <w:r>
        <w:rPr>
          <w:lang w:eastAsia="cs-CZ"/>
        </w:rPr>
        <w:t>MŽP předložilo první průběžná vyhodnocení PZKO ke všem zónám a aglomeracím</w:t>
      </w:r>
      <w:r w:rsidR="00137B4A">
        <w:rPr>
          <w:lang w:eastAsia="cs-CZ"/>
        </w:rPr>
        <w:t xml:space="preserve"> za rok 2016</w:t>
      </w:r>
      <w:r>
        <w:rPr>
          <w:lang w:eastAsia="cs-CZ"/>
        </w:rPr>
        <w:t xml:space="preserve">. Vyhodnocení proběhlo na přelomu roku 2017/2018, jednotlivá vyhodnocení byla zveřejněna na konci prvního čtvrtletí 2018. </w:t>
      </w:r>
      <w:r w:rsidRPr="00B5105D">
        <w:t>První vyhodnocení nepřináší průkazné údaje o dopadu</w:t>
      </w:r>
      <w:r>
        <w:t xml:space="preserve"> aktuálních</w:t>
      </w:r>
      <w:r w:rsidRPr="00B5105D">
        <w:t xml:space="preserve"> PZKO na složky životního pro</w:t>
      </w:r>
      <w:r>
        <w:t>středí</w:t>
      </w:r>
      <w:r>
        <w:rPr>
          <w:lang w:eastAsia="cs-CZ"/>
        </w:rPr>
        <w:t>, neboť sledované indikátory v sobě zahrnují především údaje o kvalitě ovzduší z doby před vydáním PZKO</w:t>
      </w:r>
      <w:r w:rsidR="002D08A2">
        <w:rPr>
          <w:lang w:eastAsia="cs-CZ"/>
        </w:rPr>
        <w:t>,</w:t>
      </w:r>
      <w:r>
        <w:rPr>
          <w:lang w:eastAsia="cs-CZ"/>
        </w:rPr>
        <w:t xml:space="preserve"> a nejsou proto příliš vypovídající pro zhodnocení jejich vlivu.</w:t>
      </w:r>
    </w:p>
    <w:p w14:paraId="7FECF6B3" w14:textId="212A66E0" w:rsidR="00395345" w:rsidRDefault="00395345" w:rsidP="00FB356D">
      <w:pPr>
        <w:pStyle w:val="Text"/>
        <w:spacing w:after="120" w:line="264" w:lineRule="auto"/>
        <w:rPr>
          <w:lang w:eastAsia="cs-CZ"/>
        </w:rPr>
      </w:pPr>
      <w:r>
        <w:rPr>
          <w:lang w:eastAsia="cs-CZ"/>
        </w:rPr>
        <w:t xml:space="preserve">Z kontroly způsobu vyhodnocování implementace PZKO vyplývá, že </w:t>
      </w:r>
      <w:r w:rsidRPr="00B5105D">
        <w:rPr>
          <w:lang w:eastAsia="cs-CZ"/>
        </w:rPr>
        <w:t xml:space="preserve">MŽP nemá nastaven efektivní </w:t>
      </w:r>
      <w:r w:rsidRPr="002C042E">
        <w:rPr>
          <w:lang w:eastAsia="cs-CZ"/>
        </w:rPr>
        <w:t xml:space="preserve">systém </w:t>
      </w:r>
      <w:r>
        <w:rPr>
          <w:lang w:eastAsia="cs-CZ"/>
        </w:rPr>
        <w:t xml:space="preserve">pro včasný sběr dat a informací v požadované kvalitě od jednotlivých gestorů opatření, tj. obcí a krajů. Získané data a informace nejsou optimální, úplné a porovnatelné. MŽP tak není schopno dostatečně a průkazně </w:t>
      </w:r>
      <w:r>
        <w:rPr>
          <w:spacing w:val="-4"/>
          <w:lang w:eastAsia="cs-CZ"/>
        </w:rPr>
        <w:t xml:space="preserve">provádět zhodnocení plnění opatření stanovených v PZKO. </w:t>
      </w:r>
      <w:r>
        <w:rPr>
          <w:lang w:eastAsia="cs-CZ"/>
        </w:rPr>
        <w:t>Zhodnocení plnění opatření není také možné, neboť</w:t>
      </w:r>
      <w:r w:rsidR="002D08A2">
        <w:rPr>
          <w:lang w:eastAsia="cs-CZ"/>
        </w:rPr>
        <w:t xml:space="preserve"> </w:t>
      </w:r>
      <w:r>
        <w:rPr>
          <w:lang w:eastAsia="cs-CZ"/>
        </w:rPr>
        <w:t>v PZKO chybí vyč</w:t>
      </w:r>
      <w:r>
        <w:rPr>
          <w:spacing w:val="-4"/>
          <w:lang w:eastAsia="cs-CZ"/>
        </w:rPr>
        <w:t>íslení očekávaného přínosu jednotlivých opatření ke zlepšení kvality ovzduší a časový plán provádění jednotlivých opatření.</w:t>
      </w:r>
    </w:p>
    <w:p w14:paraId="40C11E33" w14:textId="77777777" w:rsidR="00395345" w:rsidRDefault="00395345" w:rsidP="00FB356D">
      <w:pPr>
        <w:pStyle w:val="Nadpis3"/>
        <w:numPr>
          <w:ilvl w:val="0"/>
          <w:numId w:val="46"/>
        </w:numPr>
        <w:spacing w:line="264" w:lineRule="auto"/>
        <w:ind w:left="284" w:hanging="284"/>
        <w:rPr>
          <w:lang w:eastAsia="cs-CZ"/>
        </w:rPr>
      </w:pPr>
      <w:r w:rsidRPr="00E109A8">
        <w:rPr>
          <w:lang w:eastAsia="cs-CZ"/>
        </w:rPr>
        <w:t>K</w:t>
      </w:r>
      <w:r w:rsidR="00B904E2">
        <w:rPr>
          <w:lang w:eastAsia="cs-CZ"/>
        </w:rPr>
        <w:t> </w:t>
      </w:r>
      <w:r w:rsidRPr="00E109A8">
        <w:rPr>
          <w:lang w:eastAsia="cs-CZ"/>
        </w:rPr>
        <w:t>nápravě</w:t>
      </w:r>
      <w:r w:rsidR="00B904E2">
        <w:rPr>
          <w:lang w:eastAsia="cs-CZ"/>
        </w:rPr>
        <w:t xml:space="preserve"> soudy</w:t>
      </w:r>
      <w:r w:rsidRPr="00E109A8">
        <w:rPr>
          <w:lang w:eastAsia="cs-CZ"/>
        </w:rPr>
        <w:t xml:space="preserve"> zjištěných nedostatků v oblasti </w:t>
      </w:r>
      <w:r>
        <w:rPr>
          <w:lang w:eastAsia="cs-CZ"/>
        </w:rPr>
        <w:t>PZKO dojde nejdříve v roce 2020</w:t>
      </w:r>
    </w:p>
    <w:p w14:paraId="4BB05707" w14:textId="7ECA954C" w:rsidR="009E0D3B" w:rsidRPr="007D181C" w:rsidRDefault="00395345" w:rsidP="00FB356D">
      <w:pPr>
        <w:pStyle w:val="Text"/>
        <w:spacing w:after="120" w:line="264" w:lineRule="auto"/>
      </w:pPr>
      <w:r>
        <w:rPr>
          <w:lang w:eastAsia="cs-CZ"/>
        </w:rPr>
        <w:t xml:space="preserve">V případě PZKO </w:t>
      </w:r>
      <w:r w:rsidR="009E0D3B">
        <w:rPr>
          <w:lang w:eastAsia="cs-CZ"/>
        </w:rPr>
        <w:t>vyda</w:t>
      </w:r>
      <w:r w:rsidR="006475BE">
        <w:rPr>
          <w:lang w:eastAsia="cs-CZ"/>
        </w:rPr>
        <w:t xml:space="preserve">ných MŽP </w:t>
      </w:r>
      <w:r>
        <w:rPr>
          <w:lang w:eastAsia="cs-CZ"/>
        </w:rPr>
        <w:t xml:space="preserve">pro aglomerace Praha, Brno, </w:t>
      </w:r>
      <w:r w:rsidR="009E0D3B">
        <w:rPr>
          <w:lang w:eastAsia="cs-CZ"/>
        </w:rPr>
        <w:t>Ostrava/Karviná/Frýdek-Místek a </w:t>
      </w:r>
      <w:r>
        <w:rPr>
          <w:lang w:eastAsia="cs-CZ"/>
        </w:rPr>
        <w:t xml:space="preserve">pro zónu </w:t>
      </w:r>
      <w:r w:rsidR="00E23E3A">
        <w:rPr>
          <w:lang w:eastAsia="cs-CZ"/>
        </w:rPr>
        <w:t>s</w:t>
      </w:r>
      <w:r>
        <w:rPr>
          <w:lang w:eastAsia="cs-CZ"/>
        </w:rPr>
        <w:t xml:space="preserve">everozápad byly po jejich vydání stěžovateli podány návrhy na zrušení </w:t>
      </w:r>
      <w:r w:rsidR="00ED2537">
        <w:rPr>
          <w:lang w:eastAsia="cs-CZ"/>
        </w:rPr>
        <w:t xml:space="preserve">opatření </w:t>
      </w:r>
      <w:r>
        <w:rPr>
          <w:lang w:eastAsia="cs-CZ"/>
        </w:rPr>
        <w:t xml:space="preserve">obecné povahy u příslušných soudů ČR. Následně </w:t>
      </w:r>
      <w:r>
        <w:t>Nejvyšší správní soud a Městský soud v</w:t>
      </w:r>
      <w:r w:rsidR="009E0D3B">
        <w:rPr>
          <w:lang w:eastAsia="cs-CZ"/>
        </w:rPr>
        <w:t> </w:t>
      </w:r>
      <w:r>
        <w:t>Praze MŽP vytkly, že</w:t>
      </w:r>
      <w:r w:rsidR="00E23E3A">
        <w:t xml:space="preserve"> </w:t>
      </w:r>
      <w:r>
        <w:t>v PZKO</w:t>
      </w:r>
      <w:r w:rsidRPr="007D181C">
        <w:t xml:space="preserve"> </w:t>
      </w:r>
      <w:r>
        <w:t xml:space="preserve">chybí </w:t>
      </w:r>
      <w:r w:rsidRPr="007D181C">
        <w:t>především konkrétní harmonogram</w:t>
      </w:r>
      <w:r>
        <w:t>y</w:t>
      </w:r>
      <w:r w:rsidRPr="007D181C">
        <w:t xml:space="preserve"> provádění jednotlivých opatření</w:t>
      </w:r>
      <w:r>
        <w:t xml:space="preserve"> a nejsou v nich</w:t>
      </w:r>
      <w:r w:rsidRPr="007D181C">
        <w:t xml:space="preserve"> vyčíslen</w:t>
      </w:r>
      <w:r>
        <w:t>y</w:t>
      </w:r>
      <w:r w:rsidRPr="007D181C">
        <w:t xml:space="preserve"> přínos</w:t>
      </w:r>
      <w:r>
        <w:t>y</w:t>
      </w:r>
      <w:r w:rsidRPr="007D181C">
        <w:t xml:space="preserve"> jednotlivých opatření</w:t>
      </w:r>
      <w:r>
        <w:t xml:space="preserve"> ke zlepšení stavu ovzduší, což</w:t>
      </w:r>
      <w:r w:rsidR="00E23E3A">
        <w:t xml:space="preserve"> </w:t>
      </w:r>
      <w:r w:rsidRPr="007D181C">
        <w:t xml:space="preserve">neumožňuje soustředit se </w:t>
      </w:r>
      <w:r>
        <w:t>na opatření s nejvyšším účinkem, v případě</w:t>
      </w:r>
      <w:r w:rsidRPr="007D181C">
        <w:t xml:space="preserve"> nedostatku času či</w:t>
      </w:r>
      <w:r w:rsidR="00E23E3A">
        <w:t xml:space="preserve"> </w:t>
      </w:r>
      <w:r w:rsidRPr="007D181C">
        <w:t>finančních prostředků</w:t>
      </w:r>
      <w:r>
        <w:t xml:space="preserve">. Soudy také upozornily na to, že </w:t>
      </w:r>
      <w:r w:rsidRPr="00077D21">
        <w:t>v současné době není možné uložit a</w:t>
      </w:r>
      <w:r>
        <w:t> vymáhat prostřednictvím PZKO po</w:t>
      </w:r>
      <w:r w:rsidR="00E23E3A">
        <w:t xml:space="preserve"> </w:t>
      </w:r>
      <w:r w:rsidRPr="00077D21">
        <w:t>samosp</w:t>
      </w:r>
      <w:r>
        <w:t>rávě žádná opatření, jelikož do</w:t>
      </w:r>
      <w:r w:rsidR="00E23E3A">
        <w:t xml:space="preserve"> </w:t>
      </w:r>
      <w:r w:rsidRPr="00077D21">
        <w:t>samostatné působnosti lze zasahovat pouze zákonem</w:t>
      </w:r>
      <w:r>
        <w:t>. Ty</w:t>
      </w:r>
      <w:r w:rsidRPr="007D181C">
        <w:t xml:space="preserve">to </w:t>
      </w:r>
      <w:r>
        <w:t>zjištěné nedostatky</w:t>
      </w:r>
      <w:r w:rsidRPr="007D181C">
        <w:t xml:space="preserve"> dle soudů představuj</w:t>
      </w:r>
      <w:r>
        <w:t>í</w:t>
      </w:r>
      <w:r w:rsidRPr="007D181C">
        <w:t xml:space="preserve"> riziko pro splnění cílů PZKO</w:t>
      </w:r>
      <w:r w:rsidR="009E0D3B">
        <w:t xml:space="preserve"> do roku 2020</w:t>
      </w:r>
      <w:r w:rsidRPr="007D181C">
        <w:t xml:space="preserve">. </w:t>
      </w:r>
      <w:r>
        <w:t xml:space="preserve">Soudy </w:t>
      </w:r>
      <w:r w:rsidRPr="007D181C">
        <w:t>nezrušil</w:t>
      </w:r>
      <w:r>
        <w:t>y</w:t>
      </w:r>
      <w:r w:rsidRPr="007D181C">
        <w:t xml:space="preserve"> </w:t>
      </w:r>
      <w:r>
        <w:t xml:space="preserve">napadané </w:t>
      </w:r>
      <w:r w:rsidRPr="007D181C">
        <w:t>o</w:t>
      </w:r>
      <w:r>
        <w:t>patření obecné povahy v plném rozsahu</w:t>
      </w:r>
      <w:r w:rsidRPr="007D181C">
        <w:t xml:space="preserve">, ale </w:t>
      </w:r>
      <w:r>
        <w:t xml:space="preserve">zrušily zejména </w:t>
      </w:r>
      <w:r w:rsidRPr="007D181C">
        <w:t xml:space="preserve">výroky </w:t>
      </w:r>
      <w:r>
        <w:t>upravující emisní stropy pro silniční dopravu a výroky vypočítávající jednotlivá opatření ke</w:t>
      </w:r>
      <w:r w:rsidR="00E23E3A">
        <w:t xml:space="preserve"> </w:t>
      </w:r>
      <w:r>
        <w:t>zlepšení kvality ovzduší.</w:t>
      </w:r>
    </w:p>
    <w:p w14:paraId="470792D7" w14:textId="58292423" w:rsidR="00395345" w:rsidRDefault="00395345" w:rsidP="00FB356D">
      <w:pPr>
        <w:pStyle w:val="Text"/>
        <w:spacing w:after="120" w:line="264" w:lineRule="auto"/>
      </w:pPr>
      <w:r>
        <w:rPr>
          <w:lang w:eastAsia="cs-CZ"/>
        </w:rPr>
        <w:t>Zákon</w:t>
      </w:r>
      <w:r w:rsidR="00E23E3A">
        <w:rPr>
          <w:lang w:eastAsia="cs-CZ"/>
        </w:rPr>
        <w:t xml:space="preserve"> </w:t>
      </w:r>
      <w:r>
        <w:rPr>
          <w:lang w:eastAsia="cs-CZ"/>
        </w:rPr>
        <w:t>č. 172/2018 Sb.</w:t>
      </w:r>
      <w:r w:rsidR="00C57EA6">
        <w:rPr>
          <w:rStyle w:val="Znakapoznpodarou"/>
          <w:lang w:eastAsia="cs-CZ"/>
        </w:rPr>
        <w:footnoteReference w:id="30"/>
      </w:r>
      <w:r>
        <w:rPr>
          <w:lang w:eastAsia="cs-CZ"/>
        </w:rPr>
        <w:t xml:space="preserve"> s účinností od 1. 9. 2018 zavádí </w:t>
      </w:r>
      <w:r w:rsidR="00E371CD">
        <w:rPr>
          <w:lang w:eastAsia="cs-CZ"/>
        </w:rPr>
        <w:t xml:space="preserve">povinnost pro obce a kraje vypracovat časové plány provádění opatření, která jim </w:t>
      </w:r>
      <w:r w:rsidR="002E15D7">
        <w:rPr>
          <w:lang w:eastAsia="cs-CZ"/>
        </w:rPr>
        <w:t>budou</w:t>
      </w:r>
      <w:r w:rsidR="00E371CD">
        <w:rPr>
          <w:lang w:eastAsia="cs-CZ"/>
        </w:rPr>
        <w:t xml:space="preserve"> uložena v PZKO.</w:t>
      </w:r>
      <w:r>
        <w:rPr>
          <w:lang w:eastAsia="cs-CZ"/>
        </w:rPr>
        <w:t xml:space="preserve"> </w:t>
      </w:r>
      <w:r w:rsidRPr="0026748A">
        <w:t xml:space="preserve">MŽP plánuje vyhlásit nové či aktualizované PZKO v průběhu roku 2019. Následně budou obce a kraje provádějící opatření povinny vypracovat svůj časový plán provádění opatření (ve lhůtě nejdéle do 12 měsíců ode dne vyhlášení příslušného PZKO ve </w:t>
      </w:r>
      <w:r w:rsidRPr="00B1650A">
        <w:rPr>
          <w:i/>
        </w:rPr>
        <w:t>Věstníku MŽP</w:t>
      </w:r>
      <w:r w:rsidRPr="0026748A">
        <w:t>). První podrobnější časové plány provádění opatření PZKO tak již nebudou mít vliv na splnění strategického milníku k roku 2020.</w:t>
      </w:r>
    </w:p>
    <w:p w14:paraId="08992025" w14:textId="77777777" w:rsidR="00395345" w:rsidRDefault="00395345" w:rsidP="00FB356D">
      <w:pPr>
        <w:pStyle w:val="Nadpis3"/>
        <w:numPr>
          <w:ilvl w:val="0"/>
          <w:numId w:val="46"/>
        </w:numPr>
        <w:spacing w:line="264" w:lineRule="auto"/>
        <w:ind w:left="284" w:hanging="284"/>
        <w:rPr>
          <w:lang w:eastAsia="cs-CZ"/>
        </w:rPr>
      </w:pPr>
      <w:r>
        <w:rPr>
          <w:lang w:eastAsia="cs-CZ"/>
        </w:rPr>
        <w:t xml:space="preserve">Existuje riziko, že ČR nesplnila cíl snížení expozice pro </w:t>
      </w:r>
      <w:r w:rsidR="00E43BA3">
        <w:rPr>
          <w:lang w:eastAsia="cs-CZ"/>
        </w:rPr>
        <w:t xml:space="preserve">jemné </w:t>
      </w:r>
      <w:r>
        <w:rPr>
          <w:lang w:eastAsia="cs-CZ"/>
        </w:rPr>
        <w:t xml:space="preserve">částice </w:t>
      </w:r>
      <w:r w:rsidR="00E43BA3">
        <w:rPr>
          <w:lang w:eastAsia="cs-CZ"/>
        </w:rPr>
        <w:t>(</w:t>
      </w:r>
      <w:r>
        <w:rPr>
          <w:lang w:eastAsia="cs-CZ"/>
        </w:rPr>
        <w:t>PM</w:t>
      </w:r>
      <w:r w:rsidRPr="00287A38">
        <w:rPr>
          <w:vertAlign w:val="subscript"/>
          <w:lang w:eastAsia="cs-CZ"/>
        </w:rPr>
        <w:t>2,5</w:t>
      </w:r>
      <w:r w:rsidR="00816E47">
        <w:rPr>
          <w:lang w:eastAsia="cs-CZ"/>
        </w:rPr>
        <w:t>)</w:t>
      </w:r>
    </w:p>
    <w:p w14:paraId="7572DD57" w14:textId="13BBBA0C" w:rsidR="00395345" w:rsidRDefault="00395345" w:rsidP="00FB356D">
      <w:pPr>
        <w:pStyle w:val="Text"/>
        <w:spacing w:after="120" w:line="264" w:lineRule="auto"/>
      </w:pPr>
      <w:r>
        <w:t xml:space="preserve">Cílem </w:t>
      </w:r>
      <w:r w:rsidRPr="00863411">
        <w:t>NPSE</w:t>
      </w:r>
      <w:r>
        <w:t xml:space="preserve"> bylo také splnění národního cíle snížení expozice pro suspendované částice PM</w:t>
      </w:r>
      <w:r w:rsidRPr="00E05F44">
        <w:rPr>
          <w:vertAlign w:val="subscript"/>
        </w:rPr>
        <w:t>2,5</w:t>
      </w:r>
      <w:r>
        <w:t>, který plyne pro ČR ze směrnice EU č. 2008/50/ES</w:t>
      </w:r>
      <w:r w:rsidR="00C07AD2">
        <w:rPr>
          <w:rStyle w:val="Znakapoznpodarou"/>
        </w:rPr>
        <w:footnoteReference w:id="31"/>
      </w:r>
      <w:r>
        <w:t xml:space="preserve">. Plnění tohoto cíle se sleduje pomocí </w:t>
      </w:r>
      <w:r w:rsidRPr="00E23E3A">
        <w:t>„</w:t>
      </w:r>
      <w:r w:rsidRPr="00B1650A">
        <w:t>průměrného ukazatele expozice</w:t>
      </w:r>
      <w:r w:rsidRPr="00E23E3A">
        <w:t>“</w:t>
      </w:r>
      <w:r>
        <w:t xml:space="preserve"> pro suspendované částice PM</w:t>
      </w:r>
      <w:r w:rsidRPr="00842086">
        <w:rPr>
          <w:vertAlign w:val="subscript"/>
        </w:rPr>
        <w:t>2,5</w:t>
      </w:r>
      <w:r>
        <w:t>, který je sestavován na</w:t>
      </w:r>
      <w:r w:rsidR="00E23E3A">
        <w:t xml:space="preserve"> </w:t>
      </w:r>
      <w:r>
        <w:t xml:space="preserve">základě měření v městských </w:t>
      </w:r>
      <w:proofErr w:type="spellStart"/>
      <w:r>
        <w:t>pozaďových</w:t>
      </w:r>
      <w:proofErr w:type="spellEnd"/>
      <w:r>
        <w:t xml:space="preserve"> lokalitách. Městské </w:t>
      </w:r>
      <w:proofErr w:type="spellStart"/>
      <w:r>
        <w:t>pozaďové</w:t>
      </w:r>
      <w:proofErr w:type="spellEnd"/>
      <w:r>
        <w:t xml:space="preserve"> lokality by</w:t>
      </w:r>
      <w:r w:rsidR="00E23E3A">
        <w:t xml:space="preserve"> </w:t>
      </w:r>
      <w:r>
        <w:t>měly být umístěny tak, aby na úroveň znečištění v místě působily společně veškeré zdroje znečišťování. Průměrný ukazatel expozice pro daný rok (r) se vypočítává jako klouzavá průměrná koncentrace za tři roky vypočítaná ze všech určených míst odběru vzorků za roky r, r-1 a r-2. Cíl byl k roku 2015 stanoven jednotně pro všechny členské státy EU</w:t>
      </w:r>
      <w:r w:rsidR="007C4167">
        <w:t>,</w:t>
      </w:r>
      <w:r>
        <w:t xml:space="preserve"> a to na hodnotu 20</w:t>
      </w:r>
      <w:r w:rsidRPr="00C265BA">
        <w:t xml:space="preserve"> </w:t>
      </w:r>
      <w:r>
        <w:t>µg/m</w:t>
      </w:r>
      <w:r w:rsidRPr="001474EC">
        <w:rPr>
          <w:vertAlign w:val="superscript"/>
        </w:rPr>
        <w:t>3</w:t>
      </w:r>
      <w:r>
        <w:t xml:space="preserve">. Celostátní cíl snížení expozice, kterého je třeba dosáhnout k roku 2020, byl pro ČR stanoven na hodnotu 18 </w:t>
      </w:r>
      <w:r w:rsidRPr="000D6838">
        <w:t>µg/m</w:t>
      </w:r>
      <w:r w:rsidRPr="000D6838">
        <w:rPr>
          <w:vertAlign w:val="superscript"/>
        </w:rPr>
        <w:t>3</w:t>
      </w:r>
      <w:r>
        <w:t>.</w:t>
      </w:r>
    </w:p>
    <w:p w14:paraId="52A251C2" w14:textId="72CB72DE" w:rsidR="00395345" w:rsidRDefault="00395345" w:rsidP="00FB356D">
      <w:pPr>
        <w:pStyle w:val="Text"/>
        <w:spacing w:after="120" w:line="264" w:lineRule="auto"/>
      </w:pPr>
      <w:r>
        <w:t xml:space="preserve">Text směrnice EU není zcela jednoznačný v tom, zda se do výpočtu mohou zahrnovat všechny městské </w:t>
      </w:r>
      <w:proofErr w:type="spellStart"/>
      <w:r>
        <w:t>pozaďové</w:t>
      </w:r>
      <w:proofErr w:type="spellEnd"/>
      <w:r>
        <w:t xml:space="preserve"> stanice, </w:t>
      </w:r>
      <w:r w:rsidR="007C4167">
        <w:t>ve</w:t>
      </w:r>
      <w:r>
        <w:t xml:space="preserve"> kterých se měří koncentrace PM</w:t>
      </w:r>
      <w:r w:rsidRPr="009B681B">
        <w:rPr>
          <w:vertAlign w:val="subscript"/>
        </w:rPr>
        <w:t>2,5</w:t>
      </w:r>
      <w:r>
        <w:t>, nebo zda se ukazatel konstruuje jen z hodnot získaných z aglomerací a </w:t>
      </w:r>
      <w:r w:rsidRPr="009B681B">
        <w:t>další</w:t>
      </w:r>
      <w:r>
        <w:t>ch</w:t>
      </w:r>
      <w:r w:rsidRPr="009B681B">
        <w:t xml:space="preserve"> městsk</w:t>
      </w:r>
      <w:r>
        <w:t>ých</w:t>
      </w:r>
      <w:r w:rsidRPr="009B681B">
        <w:t xml:space="preserve"> oblast</w:t>
      </w:r>
      <w:r w:rsidR="00D24707">
        <w:t>í</w:t>
      </w:r>
      <w:r w:rsidRPr="009B681B">
        <w:t xml:space="preserve"> s počtem obyvatel vyšším než 100 tisíc</w:t>
      </w:r>
      <w:r>
        <w:t xml:space="preserve"> (v ČR k roku 2015 Praha, Brno, Ostrava, Plzeň, Liberec). MŽP se při konstrukci tohoto ukazatele původně drželo výkladů</w:t>
      </w:r>
      <w:r w:rsidR="007C4167">
        <w:t xml:space="preserve"> v tom smyslu</w:t>
      </w:r>
      <w:r>
        <w:t xml:space="preserve">, že do výpočtu tohoto ukazatele lze zahrnovat jen ty městské </w:t>
      </w:r>
      <w:proofErr w:type="spellStart"/>
      <w:r>
        <w:t>pozaďové</w:t>
      </w:r>
      <w:proofErr w:type="spellEnd"/>
      <w:r>
        <w:t xml:space="preserve"> stanice, které se nacházejí v aglomeracích či</w:t>
      </w:r>
      <w:r w:rsidR="007C4167">
        <w:t xml:space="preserve"> </w:t>
      </w:r>
      <w:r>
        <w:t xml:space="preserve">městských oblastech s počtem obyvatel vyšším než 100 000. Z hodnot za tyto lokality byl také stanoven pro ČR cíl k roku 2020 mj. uvedený ve </w:t>
      </w:r>
      <w:r w:rsidRPr="00B1650A">
        <w:t>Strategii</w:t>
      </w:r>
      <w:r w:rsidRPr="007C4167">
        <w:t xml:space="preserve"> a </w:t>
      </w:r>
      <w:r w:rsidRPr="00B1650A">
        <w:t>NPSE</w:t>
      </w:r>
      <w:r w:rsidRPr="007C4167">
        <w:t>.</w:t>
      </w:r>
    </w:p>
    <w:p w14:paraId="382762C2" w14:textId="77777777" w:rsidR="00635EBF" w:rsidRDefault="00395345" w:rsidP="00FB356D">
      <w:pPr>
        <w:pStyle w:val="Text"/>
        <w:spacing w:after="120" w:line="264" w:lineRule="auto"/>
      </w:pPr>
      <w:r>
        <w:t>Kontrolou bylo ověřováno, zda Česká republika splnila cíl k roku 2015. Na základě kontroly NKÚ bylo zjištěno, že ukazatel průměrné expozice PM</w:t>
      </w:r>
      <w:r w:rsidRPr="00DE579C">
        <w:rPr>
          <w:vertAlign w:val="subscript"/>
        </w:rPr>
        <w:t>2,5</w:t>
      </w:r>
      <w:r>
        <w:t xml:space="preserve"> pro rok 2015 nebyl za ČR reportován</w:t>
      </w:r>
      <w:r>
        <w:rPr>
          <w:rStyle w:val="Znakapoznpodarou"/>
        </w:rPr>
        <w:footnoteReference w:id="32"/>
      </w:r>
      <w:r>
        <w:t>. MŽP předložilo vlastní vyhodnocení průměrného ukazatele expozice PM</w:t>
      </w:r>
      <w:r w:rsidRPr="00295687">
        <w:rPr>
          <w:vertAlign w:val="subscript"/>
        </w:rPr>
        <w:t>2,5</w:t>
      </w:r>
      <w:r>
        <w:t xml:space="preserve"> pro rok 2015, ve kterém pro výpočet ukazatele použilo i městské oblasti s počtem obyvatel nižším než 100 tisíc obyvatel, resp. všechny městské </w:t>
      </w:r>
      <w:proofErr w:type="spellStart"/>
      <w:r>
        <w:t>pozaďové</w:t>
      </w:r>
      <w:proofErr w:type="spellEnd"/>
      <w:r>
        <w:t xml:space="preserve"> stanice, kde se koncentrace PM</w:t>
      </w:r>
      <w:r w:rsidRPr="008268DC">
        <w:rPr>
          <w:vertAlign w:val="subscript"/>
        </w:rPr>
        <w:t>2,5</w:t>
      </w:r>
      <w:r w:rsidRPr="008268DC">
        <w:t xml:space="preserve"> </w:t>
      </w:r>
      <w:r>
        <w:t>měřila v letech 2013 až 2015. V následující tabulce je uvedeno srovnání obou metod výpočtu průměrného ukazatele expozice.</w:t>
      </w:r>
    </w:p>
    <w:p w14:paraId="5A0479CD" w14:textId="6FB3488D" w:rsidR="00395345" w:rsidRPr="007C4167" w:rsidRDefault="00395345" w:rsidP="007C4167">
      <w:pPr>
        <w:pStyle w:val="Text"/>
        <w:keepNext/>
        <w:tabs>
          <w:tab w:val="right" w:pos="9072"/>
        </w:tabs>
        <w:spacing w:after="40"/>
        <w:rPr>
          <w:rFonts w:eastAsia="Calibri" w:cs="Calibri"/>
          <w:b/>
          <w:i/>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4</w:t>
      </w:r>
      <w:r w:rsidR="00A36661" w:rsidRPr="00B1650A">
        <w:rPr>
          <w:b/>
          <w:noProof/>
        </w:rPr>
        <w:fldChar w:fldCharType="end"/>
      </w:r>
      <w:r w:rsidRPr="00B1650A">
        <w:rPr>
          <w:b/>
        </w:rPr>
        <w:t>: Srovnání metodik v</w:t>
      </w:r>
      <w:r w:rsidRPr="00B1650A">
        <w:rPr>
          <w:rFonts w:eastAsia="Calibri"/>
          <w:b/>
        </w:rPr>
        <w:t>ýpočtu průměrného ukazatele expozice PM</w:t>
      </w:r>
      <w:r w:rsidRPr="00B1650A">
        <w:rPr>
          <w:rFonts w:eastAsia="Calibri"/>
          <w:b/>
          <w:vertAlign w:val="subscript"/>
        </w:rPr>
        <w:t>2,5</w:t>
      </w:r>
      <w:r w:rsidRPr="00B1650A">
        <w:rPr>
          <w:rFonts w:eastAsia="Calibri"/>
          <w:b/>
        </w:rPr>
        <w:tab/>
        <w:t>(</w:t>
      </w:r>
      <w:r w:rsidR="007C4167">
        <w:rPr>
          <w:rFonts w:eastAsia="Calibri"/>
          <w:b/>
        </w:rPr>
        <w:t>v </w:t>
      </w:r>
      <w:r w:rsidRPr="00B1650A">
        <w:rPr>
          <w:rFonts w:eastAsia="Calibri" w:cs="Calibri"/>
          <w:b/>
        </w:rPr>
        <w:t>µ</w:t>
      </w:r>
      <w:r w:rsidRPr="00B1650A">
        <w:rPr>
          <w:rFonts w:eastAsia="Calibri"/>
          <w:b/>
        </w:rPr>
        <w:t>g/m</w:t>
      </w:r>
      <w:r w:rsidRPr="00B1650A">
        <w:rPr>
          <w:rFonts w:eastAsia="Calibri"/>
          <w:b/>
          <w:vertAlign w:val="superscript"/>
        </w:rPr>
        <w:t>3</w:t>
      </w:r>
      <w:r w:rsidRPr="00B1650A">
        <w:rPr>
          <w:rFonts w:eastAsia="Calibri"/>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834"/>
        <w:gridCol w:w="2834"/>
        <w:gridCol w:w="1701"/>
      </w:tblGrid>
      <w:tr w:rsidR="00B9337F" w14:paraId="0414F88D" w14:textId="77777777" w:rsidTr="00395345">
        <w:trPr>
          <w:trHeight w:val="147"/>
        </w:trPr>
        <w:tc>
          <w:tcPr>
            <w:tcW w:w="936" w:type="pct"/>
            <w:shd w:val="clear" w:color="auto" w:fill="E5F1FF"/>
            <w:vAlign w:val="center"/>
            <w:hideMark/>
          </w:tcPr>
          <w:p w14:paraId="78C198B1" w14:textId="77777777" w:rsidR="00395345" w:rsidRPr="00F5409E" w:rsidRDefault="00395345" w:rsidP="00FB356D">
            <w:pPr>
              <w:keepNext/>
              <w:jc w:val="center"/>
              <w:rPr>
                <w:rFonts w:ascii="Calibri" w:hAnsi="Calibri" w:cs="Calibri"/>
                <w:b/>
                <w:bCs/>
                <w:color w:val="000000"/>
                <w:sz w:val="20"/>
                <w:szCs w:val="20"/>
                <w:lang w:eastAsia="cs-CZ"/>
              </w:rPr>
            </w:pPr>
            <w:r w:rsidRPr="00F5409E">
              <w:rPr>
                <w:rFonts w:ascii="Calibri" w:hAnsi="Calibri" w:cs="Calibri"/>
                <w:b/>
                <w:bCs/>
                <w:color w:val="000000"/>
                <w:sz w:val="20"/>
                <w:szCs w:val="20"/>
                <w:lang w:eastAsia="cs-CZ"/>
              </w:rPr>
              <w:t>Ukazatel expozice PM</w:t>
            </w:r>
            <w:r w:rsidRPr="00F5409E">
              <w:rPr>
                <w:rFonts w:ascii="Calibri" w:hAnsi="Calibri" w:cs="Calibri"/>
                <w:b/>
                <w:bCs/>
                <w:color w:val="000000"/>
                <w:sz w:val="20"/>
                <w:szCs w:val="20"/>
                <w:vertAlign w:val="subscript"/>
                <w:lang w:eastAsia="cs-CZ"/>
              </w:rPr>
              <w:t>2,5</w:t>
            </w:r>
          </w:p>
        </w:tc>
        <w:tc>
          <w:tcPr>
            <w:tcW w:w="1563" w:type="pct"/>
            <w:shd w:val="clear" w:color="auto" w:fill="E5F1FF"/>
            <w:noWrap/>
            <w:vAlign w:val="center"/>
            <w:hideMark/>
          </w:tcPr>
          <w:p w14:paraId="360BBBBB" w14:textId="0202AFFB" w:rsidR="00395345" w:rsidRPr="007C4167" w:rsidRDefault="00395345" w:rsidP="007C4167">
            <w:pPr>
              <w:keepNext/>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Všechny městské</w:t>
            </w:r>
            <w:r>
              <w:rPr>
                <w:rFonts w:ascii="Calibri" w:hAnsi="Calibri" w:cs="Calibri"/>
                <w:b/>
                <w:bCs/>
                <w:color w:val="000000"/>
                <w:sz w:val="20"/>
                <w:szCs w:val="20"/>
                <w:lang w:eastAsia="cs-CZ"/>
              </w:rPr>
              <w:br/>
            </w:r>
            <w:proofErr w:type="spellStart"/>
            <w:r>
              <w:rPr>
                <w:rFonts w:ascii="Calibri" w:hAnsi="Calibri" w:cs="Calibri"/>
                <w:b/>
                <w:bCs/>
                <w:color w:val="000000"/>
                <w:sz w:val="20"/>
                <w:szCs w:val="20"/>
                <w:lang w:eastAsia="cs-CZ"/>
              </w:rPr>
              <w:t>pozaďové</w:t>
            </w:r>
            <w:proofErr w:type="spellEnd"/>
            <w:r>
              <w:rPr>
                <w:rFonts w:ascii="Calibri" w:hAnsi="Calibri" w:cs="Calibri"/>
                <w:b/>
                <w:bCs/>
                <w:color w:val="000000"/>
                <w:sz w:val="20"/>
                <w:szCs w:val="20"/>
                <w:lang w:eastAsia="cs-CZ"/>
              </w:rPr>
              <w:t xml:space="preserve"> stanice</w:t>
            </w:r>
            <w:r w:rsidR="007C4167">
              <w:rPr>
                <w:rFonts w:ascii="Calibri" w:hAnsi="Calibri" w:cs="Calibri"/>
                <w:b/>
                <w:bCs/>
                <w:color w:val="000000"/>
                <w:sz w:val="20"/>
                <w:szCs w:val="20"/>
                <w:lang w:eastAsia="cs-CZ"/>
              </w:rPr>
              <w:t>*</w:t>
            </w:r>
          </w:p>
        </w:tc>
        <w:tc>
          <w:tcPr>
            <w:tcW w:w="1563" w:type="pct"/>
            <w:shd w:val="clear" w:color="auto" w:fill="E5F1FF"/>
            <w:noWrap/>
            <w:vAlign w:val="center"/>
            <w:hideMark/>
          </w:tcPr>
          <w:p w14:paraId="7B2DD177" w14:textId="3C25D114" w:rsidR="00395345" w:rsidRPr="007C4167" w:rsidRDefault="00395345" w:rsidP="007C4167">
            <w:pPr>
              <w:keepNext/>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 xml:space="preserve">Městské </w:t>
            </w:r>
            <w:proofErr w:type="spellStart"/>
            <w:r>
              <w:rPr>
                <w:rFonts w:ascii="Calibri" w:hAnsi="Calibri" w:cs="Calibri"/>
                <w:b/>
                <w:bCs/>
                <w:color w:val="000000"/>
                <w:sz w:val="20"/>
                <w:szCs w:val="20"/>
                <w:lang w:eastAsia="cs-CZ"/>
              </w:rPr>
              <w:t>pozaďové</w:t>
            </w:r>
            <w:proofErr w:type="spellEnd"/>
            <w:r>
              <w:rPr>
                <w:rFonts w:ascii="Calibri" w:hAnsi="Calibri" w:cs="Calibri"/>
                <w:b/>
                <w:bCs/>
                <w:color w:val="000000"/>
                <w:sz w:val="20"/>
                <w:szCs w:val="20"/>
                <w:lang w:eastAsia="cs-CZ"/>
              </w:rPr>
              <w:t xml:space="preserve"> stanice:</w:t>
            </w:r>
            <w:r>
              <w:rPr>
                <w:rFonts w:ascii="Calibri" w:hAnsi="Calibri" w:cs="Calibri"/>
                <w:b/>
                <w:bCs/>
                <w:color w:val="000000"/>
                <w:sz w:val="20"/>
                <w:szCs w:val="20"/>
                <w:lang w:eastAsia="cs-CZ"/>
              </w:rPr>
              <w:br/>
            </w:r>
            <w:r w:rsidRPr="00521E8A">
              <w:rPr>
                <w:rFonts w:ascii="Calibri" w:hAnsi="Calibri" w:cs="Calibri"/>
                <w:b/>
                <w:bCs/>
                <w:color w:val="000000"/>
                <w:sz w:val="20"/>
                <w:szCs w:val="20"/>
                <w:lang w:eastAsia="cs-CZ"/>
              </w:rPr>
              <w:t>ob</w:t>
            </w:r>
            <w:r>
              <w:rPr>
                <w:rFonts w:ascii="Calibri" w:hAnsi="Calibri" w:cs="Calibri"/>
                <w:b/>
                <w:bCs/>
                <w:color w:val="000000"/>
                <w:sz w:val="20"/>
                <w:szCs w:val="20"/>
                <w:lang w:eastAsia="cs-CZ"/>
              </w:rPr>
              <w:t>ce &gt;</w:t>
            </w:r>
            <w:r w:rsidRPr="00521E8A">
              <w:rPr>
                <w:rFonts w:ascii="Calibri" w:hAnsi="Calibri" w:cs="Calibri"/>
                <w:b/>
                <w:bCs/>
                <w:color w:val="000000"/>
                <w:sz w:val="20"/>
                <w:szCs w:val="20"/>
                <w:lang w:eastAsia="cs-CZ"/>
              </w:rPr>
              <w:t xml:space="preserve"> než 100 tis. ob</w:t>
            </w:r>
            <w:r>
              <w:rPr>
                <w:rFonts w:ascii="Calibri" w:hAnsi="Calibri" w:cs="Calibri"/>
                <w:b/>
                <w:bCs/>
                <w:color w:val="000000"/>
                <w:sz w:val="20"/>
                <w:szCs w:val="20"/>
                <w:lang w:eastAsia="cs-CZ"/>
              </w:rPr>
              <w:t>yvatel</w:t>
            </w:r>
            <w:r w:rsidR="007C4167">
              <w:rPr>
                <w:rFonts w:ascii="Calibri" w:hAnsi="Calibri" w:cs="Calibri"/>
                <w:b/>
                <w:bCs/>
                <w:color w:val="000000"/>
                <w:sz w:val="20"/>
                <w:szCs w:val="20"/>
                <w:lang w:eastAsia="cs-CZ"/>
              </w:rPr>
              <w:t>**</w:t>
            </w:r>
          </w:p>
        </w:tc>
        <w:tc>
          <w:tcPr>
            <w:tcW w:w="938" w:type="pct"/>
            <w:shd w:val="clear" w:color="auto" w:fill="E5F1FF"/>
            <w:vAlign w:val="center"/>
            <w:hideMark/>
          </w:tcPr>
          <w:p w14:paraId="27C9CEF3" w14:textId="77777777" w:rsidR="00395345" w:rsidRPr="00F5409E" w:rsidRDefault="00395345" w:rsidP="00FB356D">
            <w:pPr>
              <w:keepNext/>
              <w:jc w:val="center"/>
              <w:rPr>
                <w:rFonts w:ascii="Calibri" w:hAnsi="Calibri" w:cs="Calibri"/>
                <w:b/>
                <w:bCs/>
                <w:color w:val="000000"/>
                <w:sz w:val="20"/>
                <w:szCs w:val="20"/>
                <w:lang w:eastAsia="cs-CZ"/>
              </w:rPr>
            </w:pPr>
            <w:r w:rsidRPr="00F5409E">
              <w:rPr>
                <w:rFonts w:ascii="Calibri" w:hAnsi="Calibri" w:cs="Calibri"/>
                <w:b/>
                <w:bCs/>
                <w:color w:val="000000"/>
                <w:sz w:val="20"/>
                <w:szCs w:val="20"/>
                <w:lang w:eastAsia="cs-CZ"/>
              </w:rPr>
              <w:t>Cíl</w:t>
            </w:r>
          </w:p>
        </w:tc>
      </w:tr>
      <w:tr w:rsidR="00B9337F" w14:paraId="4F8214B1" w14:textId="77777777" w:rsidTr="00395345">
        <w:trPr>
          <w:trHeight w:val="255"/>
        </w:trPr>
        <w:tc>
          <w:tcPr>
            <w:tcW w:w="936" w:type="pct"/>
            <w:shd w:val="clear" w:color="auto" w:fill="auto"/>
            <w:noWrap/>
            <w:vAlign w:val="center"/>
            <w:hideMark/>
          </w:tcPr>
          <w:p w14:paraId="338FFC82" w14:textId="77777777" w:rsidR="00395345" w:rsidRPr="00F5409E" w:rsidRDefault="00395345" w:rsidP="00FB356D">
            <w:pPr>
              <w:keepNext/>
              <w:jc w:val="center"/>
              <w:rPr>
                <w:rFonts w:ascii="Calibri" w:hAnsi="Calibri" w:cs="Calibri"/>
                <w:color w:val="000000"/>
                <w:sz w:val="20"/>
                <w:szCs w:val="20"/>
                <w:lang w:eastAsia="cs-CZ"/>
              </w:rPr>
            </w:pPr>
            <w:r w:rsidRPr="00F5409E">
              <w:rPr>
                <w:rFonts w:ascii="Calibri" w:hAnsi="Calibri" w:cs="Calibri"/>
                <w:color w:val="000000"/>
                <w:sz w:val="20"/>
                <w:szCs w:val="20"/>
                <w:lang w:eastAsia="cs-CZ"/>
              </w:rPr>
              <w:t>2015</w:t>
            </w:r>
          </w:p>
        </w:tc>
        <w:tc>
          <w:tcPr>
            <w:tcW w:w="1563" w:type="pct"/>
            <w:shd w:val="clear" w:color="auto" w:fill="C5E0B3"/>
            <w:noWrap/>
            <w:vAlign w:val="center"/>
            <w:hideMark/>
          </w:tcPr>
          <w:p w14:paraId="35D6E56A" w14:textId="77777777" w:rsidR="00395345" w:rsidRPr="007A1241" w:rsidRDefault="00395345" w:rsidP="00FB356D">
            <w:pPr>
              <w:keepNext/>
              <w:jc w:val="center"/>
              <w:rPr>
                <w:rFonts w:ascii="Calibri" w:hAnsi="Calibri" w:cs="Calibri"/>
                <w:b/>
                <w:color w:val="006100"/>
                <w:sz w:val="20"/>
                <w:szCs w:val="20"/>
                <w:lang w:eastAsia="cs-CZ"/>
              </w:rPr>
            </w:pPr>
            <w:r w:rsidRPr="007A1241">
              <w:rPr>
                <w:rFonts w:ascii="Calibri" w:hAnsi="Calibri" w:cs="Calibri"/>
                <w:b/>
                <w:color w:val="006100"/>
                <w:sz w:val="20"/>
                <w:szCs w:val="20"/>
                <w:lang w:eastAsia="cs-CZ"/>
              </w:rPr>
              <w:t>19,64</w:t>
            </w:r>
          </w:p>
        </w:tc>
        <w:tc>
          <w:tcPr>
            <w:tcW w:w="1563" w:type="pct"/>
            <w:shd w:val="clear" w:color="auto" w:fill="F59FB1"/>
            <w:noWrap/>
            <w:vAlign w:val="center"/>
            <w:hideMark/>
          </w:tcPr>
          <w:p w14:paraId="102BD35A" w14:textId="77777777" w:rsidR="00395345" w:rsidRPr="007A1241" w:rsidRDefault="00395345" w:rsidP="00FB356D">
            <w:pPr>
              <w:keepNext/>
              <w:jc w:val="center"/>
              <w:rPr>
                <w:rFonts w:ascii="Calibri" w:hAnsi="Calibri" w:cs="Calibri"/>
                <w:b/>
                <w:color w:val="9C0006"/>
                <w:sz w:val="20"/>
                <w:szCs w:val="20"/>
                <w:lang w:eastAsia="cs-CZ"/>
              </w:rPr>
            </w:pPr>
            <w:r w:rsidRPr="007A1241">
              <w:rPr>
                <w:rFonts w:ascii="Calibri" w:hAnsi="Calibri" w:cs="Calibri"/>
                <w:b/>
                <w:color w:val="9C0006"/>
                <w:sz w:val="20"/>
                <w:szCs w:val="20"/>
                <w:lang w:eastAsia="cs-CZ"/>
              </w:rPr>
              <w:t>20,14</w:t>
            </w:r>
          </w:p>
        </w:tc>
        <w:tc>
          <w:tcPr>
            <w:tcW w:w="938" w:type="pct"/>
            <w:shd w:val="clear" w:color="auto" w:fill="auto"/>
            <w:noWrap/>
            <w:vAlign w:val="center"/>
            <w:hideMark/>
          </w:tcPr>
          <w:p w14:paraId="7C57CDE0" w14:textId="77777777" w:rsidR="00395345" w:rsidRPr="00F5409E" w:rsidRDefault="00395345" w:rsidP="00FB356D">
            <w:pPr>
              <w:keepNext/>
              <w:jc w:val="center"/>
              <w:rPr>
                <w:rFonts w:ascii="Calibri" w:hAnsi="Calibri" w:cs="Calibri"/>
                <w:b/>
                <w:bCs/>
                <w:color w:val="000000"/>
                <w:sz w:val="20"/>
                <w:szCs w:val="20"/>
                <w:lang w:eastAsia="cs-CZ"/>
              </w:rPr>
            </w:pPr>
            <w:r w:rsidRPr="00F5409E">
              <w:rPr>
                <w:rFonts w:ascii="Calibri" w:hAnsi="Calibri" w:cs="Calibri"/>
                <w:b/>
                <w:bCs/>
                <w:color w:val="000000"/>
                <w:sz w:val="20"/>
                <w:szCs w:val="20"/>
                <w:lang w:eastAsia="cs-CZ"/>
              </w:rPr>
              <w:t>20</w:t>
            </w:r>
          </w:p>
        </w:tc>
      </w:tr>
    </w:tbl>
    <w:p w14:paraId="4C60B021" w14:textId="77777777" w:rsidR="00395345" w:rsidRDefault="00395345" w:rsidP="00FB356D">
      <w:pPr>
        <w:pStyle w:val="Zdrojapozn"/>
        <w:keepNext/>
        <w:spacing w:before="40"/>
        <w:rPr>
          <w:rFonts w:eastAsia="Calibri"/>
        </w:rPr>
      </w:pPr>
      <w:r w:rsidRPr="008E4C80">
        <w:rPr>
          <w:rFonts w:eastAsia="Calibri"/>
          <w:b/>
        </w:rPr>
        <w:t>Zdroj:</w:t>
      </w:r>
      <w:r>
        <w:rPr>
          <w:rFonts w:eastAsia="Calibri"/>
        </w:rPr>
        <w:t xml:space="preserve"> data poskytnutá MŽP a ČHMÚ, vlastní zpracování.  </w:t>
      </w:r>
    </w:p>
    <w:p w14:paraId="3DC22FA5" w14:textId="57CF6C45" w:rsidR="00395345" w:rsidRDefault="007C4167" w:rsidP="00C90478">
      <w:pPr>
        <w:pStyle w:val="Zdrojapozn"/>
        <w:keepNext/>
        <w:ind w:left="284" w:hanging="284"/>
        <w:rPr>
          <w:rFonts w:eastAsia="Calibri"/>
        </w:rPr>
      </w:pPr>
      <w:r>
        <w:rPr>
          <w:rFonts w:eastAsia="Calibri"/>
        </w:rPr>
        <w:t xml:space="preserve">* </w:t>
      </w:r>
      <w:r>
        <w:rPr>
          <w:rFonts w:eastAsia="Calibri"/>
        </w:rPr>
        <w:tab/>
      </w:r>
      <w:r w:rsidR="00395345">
        <w:rPr>
          <w:rFonts w:eastAsia="Calibri"/>
        </w:rPr>
        <w:t xml:space="preserve">„Všechny městské </w:t>
      </w:r>
      <w:proofErr w:type="spellStart"/>
      <w:r w:rsidR="00395345">
        <w:rPr>
          <w:rFonts w:eastAsia="Calibri"/>
        </w:rPr>
        <w:t>pozaďové</w:t>
      </w:r>
      <w:proofErr w:type="spellEnd"/>
      <w:r w:rsidR="00395345">
        <w:rPr>
          <w:rFonts w:eastAsia="Calibri"/>
        </w:rPr>
        <w:t xml:space="preserve"> stanice“ – zahrnuje všechny městské </w:t>
      </w:r>
      <w:proofErr w:type="spellStart"/>
      <w:r w:rsidR="00395345">
        <w:rPr>
          <w:rFonts w:eastAsia="Calibri"/>
        </w:rPr>
        <w:t>pozaďové</w:t>
      </w:r>
      <w:proofErr w:type="spellEnd"/>
      <w:r w:rsidR="00395345">
        <w:rPr>
          <w:rFonts w:eastAsia="Calibri"/>
        </w:rPr>
        <w:t xml:space="preserve"> stanice, </w:t>
      </w:r>
      <w:r>
        <w:rPr>
          <w:rFonts w:eastAsia="Calibri"/>
        </w:rPr>
        <w:t xml:space="preserve">ve </w:t>
      </w:r>
      <w:r w:rsidR="00395345">
        <w:rPr>
          <w:rFonts w:eastAsia="Calibri"/>
        </w:rPr>
        <w:t>kterých</w:t>
      </w:r>
      <w:r>
        <w:rPr>
          <w:rFonts w:eastAsia="Calibri"/>
        </w:rPr>
        <w:t xml:space="preserve"> </w:t>
      </w:r>
      <w:r w:rsidR="00395345">
        <w:rPr>
          <w:rFonts w:eastAsia="Calibri"/>
        </w:rPr>
        <w:t>se</w:t>
      </w:r>
      <w:r>
        <w:rPr>
          <w:rFonts w:eastAsia="Calibri"/>
        </w:rPr>
        <w:t xml:space="preserve"> </w:t>
      </w:r>
      <w:r w:rsidR="00395345">
        <w:rPr>
          <w:rFonts w:eastAsia="Calibri"/>
        </w:rPr>
        <w:t>v daných letech měřila koncentrace suspendovaných částic PM</w:t>
      </w:r>
      <w:r w:rsidR="00395345" w:rsidRPr="007A0D88">
        <w:rPr>
          <w:rFonts w:eastAsia="Calibri"/>
          <w:vertAlign w:val="subscript"/>
        </w:rPr>
        <w:t>2,5</w:t>
      </w:r>
      <w:r>
        <w:rPr>
          <w:rFonts w:eastAsia="Calibri"/>
        </w:rPr>
        <w:t>.</w:t>
      </w:r>
    </w:p>
    <w:p w14:paraId="5DAAB0BF" w14:textId="2C42A187" w:rsidR="00395345" w:rsidRDefault="007C4167" w:rsidP="00C90478">
      <w:pPr>
        <w:pStyle w:val="Zdrojapozn"/>
        <w:ind w:left="284" w:hanging="284"/>
      </w:pPr>
      <w:r>
        <w:rPr>
          <w:rFonts w:eastAsia="Calibri"/>
        </w:rPr>
        <w:t xml:space="preserve">** </w:t>
      </w:r>
      <w:r>
        <w:rPr>
          <w:rFonts w:eastAsia="Calibri"/>
        </w:rPr>
        <w:tab/>
      </w:r>
      <w:r w:rsidR="00395345">
        <w:rPr>
          <w:rFonts w:eastAsia="Calibri"/>
        </w:rPr>
        <w:t xml:space="preserve">„Městské </w:t>
      </w:r>
      <w:proofErr w:type="spellStart"/>
      <w:r w:rsidR="00395345">
        <w:rPr>
          <w:rFonts w:eastAsia="Calibri"/>
        </w:rPr>
        <w:t>pozaďové</w:t>
      </w:r>
      <w:proofErr w:type="spellEnd"/>
      <w:r w:rsidR="00395345">
        <w:rPr>
          <w:rFonts w:eastAsia="Calibri"/>
        </w:rPr>
        <w:t xml:space="preserve"> stanice: obce &gt; 100 tis. ob.“</w:t>
      </w:r>
      <w:r w:rsidR="00395345" w:rsidRPr="007A0D88">
        <w:t xml:space="preserve"> </w:t>
      </w:r>
      <w:r w:rsidR="00395345" w:rsidRPr="007A0D88">
        <w:rPr>
          <w:rFonts w:eastAsia="Calibri"/>
        </w:rPr>
        <w:t>zahrnuj</w:t>
      </w:r>
      <w:r w:rsidR="00395345">
        <w:rPr>
          <w:rFonts w:eastAsia="Calibri"/>
        </w:rPr>
        <w:t>e</w:t>
      </w:r>
      <w:r w:rsidR="00395345" w:rsidRPr="007A0D88">
        <w:rPr>
          <w:rFonts w:eastAsia="Calibri"/>
        </w:rPr>
        <w:t xml:space="preserve"> hodnoty ze všech městských </w:t>
      </w:r>
      <w:proofErr w:type="spellStart"/>
      <w:r w:rsidR="00395345" w:rsidRPr="007A0D88">
        <w:rPr>
          <w:rFonts w:eastAsia="Calibri"/>
        </w:rPr>
        <w:t>pozaďových</w:t>
      </w:r>
      <w:proofErr w:type="spellEnd"/>
      <w:r w:rsidR="00395345" w:rsidRPr="007A0D88">
        <w:rPr>
          <w:rFonts w:eastAsia="Calibri"/>
        </w:rPr>
        <w:t xml:space="preserve"> stanic, </w:t>
      </w:r>
      <w:r>
        <w:rPr>
          <w:rFonts w:eastAsia="Calibri"/>
        </w:rPr>
        <w:t xml:space="preserve">ve </w:t>
      </w:r>
      <w:r w:rsidR="00395345" w:rsidRPr="007A0D88">
        <w:rPr>
          <w:rFonts w:eastAsia="Calibri"/>
        </w:rPr>
        <w:t>kterých se v daných letech měřila koncentrace suspendovaných části PM</w:t>
      </w:r>
      <w:r w:rsidR="00395345" w:rsidRPr="007A0D88">
        <w:rPr>
          <w:rFonts w:eastAsia="Calibri"/>
          <w:vertAlign w:val="subscript"/>
        </w:rPr>
        <w:t>2,5</w:t>
      </w:r>
      <w:r w:rsidR="00395345">
        <w:rPr>
          <w:rFonts w:eastAsia="Calibri"/>
        </w:rPr>
        <w:t xml:space="preserve">, pouze </w:t>
      </w:r>
      <w:r w:rsidR="00395345" w:rsidRPr="007A0D88">
        <w:rPr>
          <w:rFonts w:eastAsia="Calibri"/>
        </w:rPr>
        <w:t>v</w:t>
      </w:r>
      <w:r w:rsidR="00395345">
        <w:rPr>
          <w:rFonts w:eastAsia="Calibri"/>
        </w:rPr>
        <w:t> </w:t>
      </w:r>
      <w:r w:rsidR="00395345" w:rsidRPr="007A0D88">
        <w:rPr>
          <w:rFonts w:eastAsia="Calibri"/>
        </w:rPr>
        <w:t>obcích</w:t>
      </w:r>
      <w:r w:rsidR="00395345">
        <w:rPr>
          <w:rFonts w:eastAsia="Calibri"/>
        </w:rPr>
        <w:t xml:space="preserve"> s počtem obyvatel vyšším než 100 tis. (Praha, Brno, Ostrava, Plzeň, Liberec).</w:t>
      </w:r>
    </w:p>
    <w:p w14:paraId="784B6720" w14:textId="07AAA9AD" w:rsidR="00395345" w:rsidRDefault="00395345" w:rsidP="00FB356D">
      <w:pPr>
        <w:pStyle w:val="TextKP"/>
        <w:spacing w:after="120" w:line="264" w:lineRule="auto"/>
      </w:pPr>
      <w:r w:rsidRPr="002E71AC">
        <w:t xml:space="preserve">Zvolená metodika má </w:t>
      </w:r>
      <w:r>
        <w:t xml:space="preserve">tedy </w:t>
      </w:r>
      <w:r w:rsidRPr="002E71AC">
        <w:t>vliv na výslednou hodnotu průměrného ukazatele expozice PM</w:t>
      </w:r>
      <w:r w:rsidRPr="002E71AC">
        <w:rPr>
          <w:vertAlign w:val="subscript"/>
        </w:rPr>
        <w:t>2,5</w:t>
      </w:r>
      <w:r w:rsidRPr="002E71AC">
        <w:t xml:space="preserve"> </w:t>
      </w:r>
      <w:r>
        <w:t xml:space="preserve">pro ČR </w:t>
      </w:r>
      <w:r w:rsidRPr="002E71AC">
        <w:t>v jednotlivých letech včet</w:t>
      </w:r>
      <w:r>
        <w:t>ně cílového roku 2015. Pokud by</w:t>
      </w:r>
      <w:r w:rsidR="00443953">
        <w:t xml:space="preserve"> </w:t>
      </w:r>
      <w:r w:rsidRPr="002E71AC">
        <w:t>byly při konstrukci tohoto ukazatele zahrnovány pouze obce s počtem obyvatel vyšším než 100 tisíc, pak</w:t>
      </w:r>
      <w:r w:rsidR="00443953">
        <w:t xml:space="preserve"> </w:t>
      </w:r>
      <w:r w:rsidRPr="002E71AC">
        <w:t>by</w:t>
      </w:r>
      <w:r w:rsidR="00443953">
        <w:t xml:space="preserve"> </w:t>
      </w:r>
      <w:r w:rsidRPr="002E71AC">
        <w:t>Česká republika nemusela splnit maximální expoziční koncentraci určenou dle o</w:t>
      </w:r>
      <w:r>
        <w:t>ddílu C přílohy XIV směrnice EU č. </w:t>
      </w:r>
      <w:r w:rsidRPr="002E71AC">
        <w:t>2008/50/ES. Zda Česká republika tento cíl splnila či nikoli, však</w:t>
      </w:r>
      <w:r w:rsidR="00443953">
        <w:t xml:space="preserve"> </w:t>
      </w:r>
      <w:r w:rsidRPr="002E71AC">
        <w:t>bude možné konstatovat až</w:t>
      </w:r>
      <w:r w:rsidR="00443953">
        <w:t xml:space="preserve"> </w:t>
      </w:r>
      <w:r w:rsidRPr="002E71AC">
        <w:t>po té, co bude provedeno vyhodnocení ze strany Evropské komise, která</w:t>
      </w:r>
      <w:r w:rsidR="00443953">
        <w:t xml:space="preserve"> </w:t>
      </w:r>
      <w:r>
        <w:t>hodnotí naplňování požadavků s</w:t>
      </w:r>
      <w:r w:rsidRPr="002E71AC">
        <w:t>měrnice</w:t>
      </w:r>
      <w:r>
        <w:t xml:space="preserve"> EU č.</w:t>
      </w:r>
      <w:r w:rsidRPr="002E71AC">
        <w:t xml:space="preserve"> 2008/50/ES členskými státy.</w:t>
      </w:r>
    </w:p>
    <w:p w14:paraId="7FC02B5C" w14:textId="30335A89" w:rsidR="00395345" w:rsidRDefault="00443953" w:rsidP="00FB356D">
      <w:pPr>
        <w:pStyle w:val="TextKP"/>
        <w:spacing w:after="120" w:line="264" w:lineRule="auto"/>
      </w:pPr>
      <w:r>
        <w:t>Nejen že z</w:t>
      </w:r>
      <w:r w:rsidR="00395345">
        <w:t>volená metodika má vliv na splnění cílové hodnoty, ale</w:t>
      </w:r>
      <w:r>
        <w:t xml:space="preserve"> </w:t>
      </w:r>
      <w:r w:rsidR="00395345">
        <w:t>současně také změna metodiky mění interpretaci ukazatele. V původní konstrukci ukazatel vypovídá o expozici obyvatelstva částicemi PM</w:t>
      </w:r>
      <w:r w:rsidR="00395345" w:rsidRPr="00E940FF">
        <w:rPr>
          <w:vertAlign w:val="subscript"/>
        </w:rPr>
        <w:t>2,5</w:t>
      </w:r>
      <w:r w:rsidR="00395345">
        <w:t xml:space="preserve"> v zatížených oblastech, kde se koncentruje vyšší počet obyvatel a kde se dá očekávat také koncentrace více zdrojů znečištění. V druhém případě převažuje aspekt pokrytí celého území členského státu bez definování minimálního počtu obyvatel v městské oblasti, což může v extrémním případě snižovat váhu oblastí zatížených vyšší mírou expozice PM</w:t>
      </w:r>
      <w:r w:rsidR="00395345" w:rsidRPr="008E0C83">
        <w:rPr>
          <w:vertAlign w:val="subscript"/>
        </w:rPr>
        <w:t>2,5</w:t>
      </w:r>
      <w:r w:rsidR="00395345">
        <w:t xml:space="preserve"> v ukazateli.</w:t>
      </w:r>
    </w:p>
    <w:p w14:paraId="0A4C68A1" w14:textId="3D2500CD" w:rsidR="00395345" w:rsidRDefault="00395345" w:rsidP="00FB356D">
      <w:pPr>
        <w:pStyle w:val="Text"/>
        <w:spacing w:after="120" w:line="264" w:lineRule="auto"/>
      </w:pPr>
      <w:r w:rsidRPr="00AE4EF1">
        <w:t>V</w:t>
      </w:r>
      <w:r>
        <w:t xml:space="preserve"> současnosti je k dispozici pouze vyjádření </w:t>
      </w:r>
      <w:r w:rsidRPr="00AE4EF1">
        <w:t>zástupce EEA</w:t>
      </w:r>
      <w:r>
        <w:t xml:space="preserve"> získané v průběhu kontrolní akce</w:t>
      </w:r>
      <w:r w:rsidRPr="00AE4EF1">
        <w:t xml:space="preserve">. Stanovisko se kloní k výběru </w:t>
      </w:r>
      <w:r>
        <w:t xml:space="preserve">lokalit </w:t>
      </w:r>
      <w:r w:rsidRPr="00AE4EF1">
        <w:t>umístěných v aglomeracích či</w:t>
      </w:r>
      <w:r w:rsidR="00443953">
        <w:t xml:space="preserve"> </w:t>
      </w:r>
      <w:r w:rsidRPr="00AE4EF1">
        <w:t>městských oblastech s počtem obyvatel vyšším než 100 tisíc. MŽP si před změnou konstrukce ukazatele nezpracovalo analýzu nebo stanovisko k</w:t>
      </w:r>
      <w:r>
        <w:t> výkladu směrnice EU č. 2008/50/ES.</w:t>
      </w:r>
    </w:p>
    <w:p w14:paraId="305693E0" w14:textId="77777777" w:rsidR="00395345" w:rsidRDefault="00395345" w:rsidP="00FB356D">
      <w:pPr>
        <w:pStyle w:val="Nadpis3"/>
        <w:numPr>
          <w:ilvl w:val="0"/>
          <w:numId w:val="46"/>
        </w:numPr>
        <w:spacing w:line="264" w:lineRule="auto"/>
        <w:ind w:left="284" w:hanging="284"/>
      </w:pPr>
      <w:r w:rsidRPr="003C20A2">
        <w:t>ČHMÚ nedisponuje aktuální koncepcí pro zřizování a umisťování monitorovacích stanic</w:t>
      </w:r>
    </w:p>
    <w:p w14:paraId="0473B260" w14:textId="4F9C99CE" w:rsidR="00395345" w:rsidRDefault="00395345" w:rsidP="00FB356D">
      <w:pPr>
        <w:pStyle w:val="Text"/>
        <w:spacing w:after="120" w:line="264" w:lineRule="auto"/>
      </w:pPr>
      <w:r>
        <w:t>Státní síť imisního monitoringu se sestává z automatizovaného a manuálního imisního monitoringu.</w:t>
      </w:r>
      <w:r w:rsidRPr="00677DAF">
        <w:t xml:space="preserve"> </w:t>
      </w:r>
      <w:r>
        <w:t>Zřizování monitorovacích stanic a jejich rozmístění se řídí vyhláškou č. 330/2012 </w:t>
      </w:r>
      <w:proofErr w:type="spellStart"/>
      <w:r>
        <w:t>Sb</w:t>
      </w:r>
      <w:proofErr w:type="spellEnd"/>
      <w:r w:rsidR="00E43BA3" w:rsidRPr="00E43BA3">
        <w:rPr>
          <w:rStyle w:val="Znakapoznpodarou"/>
          <w:lang w:eastAsia="cs-CZ"/>
        </w:rPr>
        <w:footnoteReference w:id="33"/>
      </w:r>
      <w:r>
        <w:t xml:space="preserve">. </w:t>
      </w:r>
      <w:r w:rsidRPr="000C06EC">
        <w:t xml:space="preserve">Výsledky posuzování a vyhodnocení úrovní znečištění vede </w:t>
      </w:r>
      <w:r>
        <w:t>ČHMÚ v </w:t>
      </w:r>
      <w:r w:rsidRPr="000C06EC">
        <w:t>informačním systému kvality ovzduší</w:t>
      </w:r>
      <w:r>
        <w:t xml:space="preserve"> (dále také „ISKO“). SSIM provozovaná ČHMÚ tvoří páteřní síť monitorovacích stanic, která je doplňována monitorovacími stanicemi, které vlastní či provozují jiné organizace a které musí splňovat požadavky na kvalitu dat stanovených pro ISKO. </w:t>
      </w:r>
      <w:r w:rsidRPr="00DB1B11">
        <w:t>Z </w:t>
      </w:r>
      <w:r w:rsidR="00443953">
        <w:t>o</w:t>
      </w:r>
      <w:r w:rsidRPr="00DB1B11">
        <w:t xml:space="preserve">patření </w:t>
      </w:r>
      <w:r>
        <w:t>č. 17/17 MŽP</w:t>
      </w:r>
      <w:r w:rsidR="00C57EA6">
        <w:rPr>
          <w:rStyle w:val="Znakapoznpodarou"/>
        </w:rPr>
        <w:footnoteReference w:id="34"/>
      </w:r>
      <w:r>
        <w:t xml:space="preserve"> a z</w:t>
      </w:r>
      <w:r w:rsidRPr="00DB1B11">
        <w:t xml:space="preserve"> vyhlášky č. 330/2012 Sb. vyplývá, že by ČHMÚ měl mít zpracovanou koncepci pro rozmisťování monitorovacích stanic.</w:t>
      </w:r>
    </w:p>
    <w:p w14:paraId="658EB09D" w14:textId="5849EB70" w:rsidR="00395345" w:rsidRDefault="00395345" w:rsidP="00FB356D">
      <w:pPr>
        <w:pStyle w:val="Text"/>
        <w:spacing w:after="120" w:line="264" w:lineRule="auto"/>
      </w:pPr>
      <w:r>
        <w:t xml:space="preserve">V současné době ČHMÚ nemá zpracovanou koncepci zřizování a obměňování SSIM. </w:t>
      </w:r>
      <w:r w:rsidR="00443953">
        <w:t xml:space="preserve">Síť </w:t>
      </w:r>
      <w:r>
        <w:t>v současnosti sice splňuje</w:t>
      </w:r>
      <w:r w:rsidRPr="0076296E">
        <w:t xml:space="preserve"> minimální požadavky na počet</w:t>
      </w:r>
      <w:r>
        <w:t xml:space="preserve"> měřících stanic</w:t>
      </w:r>
      <w:r w:rsidRPr="0076296E">
        <w:t xml:space="preserve"> vyplývající z evropských i národních </w:t>
      </w:r>
      <w:r>
        <w:t>předpisů, nicméně n</w:t>
      </w:r>
      <w:r w:rsidRPr="0076296E">
        <w:t>ekoncepční</w:t>
      </w:r>
      <w:r>
        <w:t xml:space="preserve"> přístup k rozvoji SSIM</w:t>
      </w:r>
      <w:r w:rsidRPr="0076296E">
        <w:t xml:space="preserve"> sebou nese riziko nesplnění specifického programového ukazatele OPŽP</w:t>
      </w:r>
      <w:r>
        <w:t xml:space="preserve"> </w:t>
      </w:r>
      <w:r w:rsidRPr="0076296E">
        <w:t>2014</w:t>
      </w:r>
      <w:r w:rsidR="00443953">
        <w:t>–</w:t>
      </w:r>
      <w:r>
        <w:t>2020, tj. snížení „</w:t>
      </w:r>
      <w:r w:rsidR="00443953">
        <w:rPr>
          <w:i/>
        </w:rPr>
        <w:t>m</w:t>
      </w:r>
      <w:r w:rsidR="00635EBF">
        <w:rPr>
          <w:i/>
        </w:rPr>
        <w:t>íry </w:t>
      </w:r>
      <w:r w:rsidRPr="008411DE">
        <w:rPr>
          <w:i/>
        </w:rPr>
        <w:t>nejistoty prostorové interpretace imisních dat</w:t>
      </w:r>
      <w:r>
        <w:t>“ z 35 % v roce 2011 na 30 % v roce 2023.</w:t>
      </w:r>
    </w:p>
    <w:p w14:paraId="2E1A6987" w14:textId="00A96182" w:rsidR="00395345" w:rsidRPr="0076296E" w:rsidRDefault="00395345" w:rsidP="00FB356D">
      <w:pPr>
        <w:pStyle w:val="Text"/>
        <w:spacing w:after="120" w:line="264" w:lineRule="auto"/>
      </w:pPr>
      <w:r>
        <w:t xml:space="preserve">Míra </w:t>
      </w:r>
      <w:r w:rsidRPr="003C20A2">
        <w:t>nejistot</w:t>
      </w:r>
      <w:r>
        <w:t>y</w:t>
      </w:r>
      <w:r w:rsidRPr="003C20A2">
        <w:t xml:space="preserve"> prostorové interpretace </w:t>
      </w:r>
      <w:r>
        <w:t xml:space="preserve">imisních </w:t>
      </w:r>
      <w:r w:rsidRPr="003C20A2">
        <w:t>dat</w:t>
      </w:r>
      <w:r>
        <w:t xml:space="preserve"> je vypočítávána aritmetickým průměrem z nejistot prostorové interpretace počítané ČHMÚ zvlášť </w:t>
      </w:r>
      <w:r w:rsidRPr="003C20A2">
        <w:t>pro</w:t>
      </w:r>
      <w:r>
        <w:t xml:space="preserve"> jednotlivé </w:t>
      </w:r>
      <w:r w:rsidRPr="003C20A2">
        <w:t>znečišťující látk</w:t>
      </w:r>
      <w:r>
        <w:t>y</w:t>
      </w:r>
      <w:r w:rsidRPr="003C20A2">
        <w:t xml:space="preserve"> sledovan</w:t>
      </w:r>
      <w:r>
        <w:t>é</w:t>
      </w:r>
      <w:r w:rsidRPr="003C20A2">
        <w:t xml:space="preserve"> pro ochranu zdraví obyvatel</w:t>
      </w:r>
      <w:r>
        <w:t xml:space="preserve">. Vyšší váhu ve stanovené metodě výpočtu mají znečišťující látky, u nichž je nejistota prostorové interpretace vysoká (např. </w:t>
      </w:r>
      <w:proofErr w:type="spellStart"/>
      <w:r>
        <w:t>benzo</w:t>
      </w:r>
      <w:proofErr w:type="spellEnd"/>
      <w:r w:rsidR="00565F57">
        <w:t>[</w:t>
      </w:r>
      <w:r>
        <w:t>a</w:t>
      </w:r>
      <w:r w:rsidR="00565F57" w:rsidRPr="00250286">
        <w:t>]</w:t>
      </w:r>
      <w:r>
        <w:t xml:space="preserve">pyren, v letech 2014 až 2016 shodně 60 %), či extrémně vysoká (např. kadmium, až 92 % v roce 2015). </w:t>
      </w:r>
    </w:p>
    <w:p w14:paraId="464F2880" w14:textId="5B5A9573" w:rsidR="00395345" w:rsidRPr="0076296E" w:rsidRDefault="00395345" w:rsidP="00FB356D">
      <w:pPr>
        <w:pStyle w:val="Text"/>
        <w:spacing w:after="120" w:line="264" w:lineRule="auto"/>
      </w:pPr>
      <w:r w:rsidRPr="007A1E56">
        <w:t xml:space="preserve">V průběhu let 2011 až 2016 došlo k obnově a doplnění SSIM, což do jisté míry zpřesnilo informace pro prostorovou interpolaci, </w:t>
      </w:r>
      <w:r>
        <w:t xml:space="preserve">nicméně z prioritních znečišťujících látek je pro </w:t>
      </w:r>
      <w:proofErr w:type="spellStart"/>
      <w:r>
        <w:t>benzo</w:t>
      </w:r>
      <w:proofErr w:type="spellEnd"/>
      <w:r w:rsidR="00565F57" w:rsidRPr="00250286">
        <w:t>[</w:t>
      </w:r>
      <w:r>
        <w:t>a</w:t>
      </w:r>
      <w:r w:rsidR="00565F57" w:rsidRPr="00250286">
        <w:t>]</w:t>
      </w:r>
      <w:r>
        <w:t>pyren územní pokrytí na</w:t>
      </w:r>
      <w:r w:rsidR="00443953">
        <w:t xml:space="preserve"> </w:t>
      </w:r>
      <w:r w:rsidRPr="007A1E56">
        <w:t xml:space="preserve">stanicích imisního monitoringu stále nejmenší a jeho interpolace je zatížena nejvyšší mírou nejistoty. Obsah </w:t>
      </w:r>
      <w:proofErr w:type="spellStart"/>
      <w:r w:rsidRPr="007A1E56">
        <w:t>benzo</w:t>
      </w:r>
      <w:proofErr w:type="spellEnd"/>
      <w:r w:rsidR="00565F57" w:rsidRPr="00250286">
        <w:t>[</w:t>
      </w:r>
      <w:r w:rsidRPr="007A1E56">
        <w:t>a</w:t>
      </w:r>
      <w:r w:rsidR="00565F57" w:rsidRPr="00250286">
        <w:t>]</w:t>
      </w:r>
      <w:r w:rsidRPr="007A1E56">
        <w:t>pyrenu v částicích PM</w:t>
      </w:r>
      <w:r w:rsidRPr="007A1E56">
        <w:rPr>
          <w:vertAlign w:val="subscript"/>
        </w:rPr>
        <w:t>10</w:t>
      </w:r>
      <w:r>
        <w:t xml:space="preserve"> je</w:t>
      </w:r>
      <w:r w:rsidR="00443953">
        <w:t xml:space="preserve"> </w:t>
      </w:r>
      <w:r w:rsidRPr="007A1E56">
        <w:t>navíc třeba analyzovat manuálně v laborato</w:t>
      </w:r>
      <w:r>
        <w:t>řích</w:t>
      </w:r>
      <w:r w:rsidRPr="007A1E56">
        <w:t>.</w:t>
      </w:r>
      <w:r w:rsidRPr="00612342">
        <w:t xml:space="preserve"> </w:t>
      </w:r>
      <w:r>
        <w:t>V letech 2014 až 2017 nedošlo k</w:t>
      </w:r>
      <w:r w:rsidR="00443953">
        <w:t> </w:t>
      </w:r>
      <w:r>
        <w:t>zásadnímu r</w:t>
      </w:r>
      <w:r w:rsidRPr="00CB7DFC">
        <w:t>ozš</w:t>
      </w:r>
      <w:r>
        <w:t>í</w:t>
      </w:r>
      <w:r w:rsidRPr="00CB7DFC">
        <w:t>ř</w:t>
      </w:r>
      <w:r>
        <w:t>ení</w:t>
      </w:r>
      <w:r w:rsidRPr="00CB7DFC">
        <w:t xml:space="preserve"> sítě o nové, zejména venkovské stanice k měření </w:t>
      </w:r>
      <w:proofErr w:type="spellStart"/>
      <w:r w:rsidRPr="00CB7DFC">
        <w:t>benzo</w:t>
      </w:r>
      <w:proofErr w:type="spellEnd"/>
      <w:r w:rsidR="00565F57" w:rsidRPr="00250286">
        <w:t>[</w:t>
      </w:r>
      <w:r w:rsidRPr="00CB7DFC">
        <w:t>a</w:t>
      </w:r>
      <w:r w:rsidR="00565F57" w:rsidRPr="00250286">
        <w:t>]</w:t>
      </w:r>
      <w:r w:rsidRPr="00CB7DFC">
        <w:t>pyrenu</w:t>
      </w:r>
      <w:r>
        <w:t>.</w:t>
      </w:r>
      <w:r w:rsidRPr="00CB7DFC">
        <w:t xml:space="preserve"> </w:t>
      </w:r>
      <w:r>
        <w:t>P</w:t>
      </w:r>
      <w:r w:rsidRPr="00CB7DFC">
        <w:t>očet měřících stanic ve vlastnictví Č</w:t>
      </w:r>
      <w:r>
        <w:t>HMÚ, které poskytly platná data</w:t>
      </w:r>
      <w:r w:rsidRPr="00CB7DFC">
        <w:t xml:space="preserve">, </w:t>
      </w:r>
      <w:r>
        <w:t xml:space="preserve">se </w:t>
      </w:r>
      <w:r w:rsidRPr="00CB7DFC">
        <w:t>zvýšil o tři z 22 na 25</w:t>
      </w:r>
      <w:r w:rsidR="00635EBF">
        <w:t>. Nejistota</w:t>
      </w:r>
      <w:r w:rsidR="00443953">
        <w:t xml:space="preserve"> </w:t>
      </w:r>
      <w:r>
        <w:t>prostorové interpretace se nezlepšila, v letech 2014 až 2016 byla vždy 60 % (hodnotu indikátoru za rok 2017 ČHMÚ dosud nezveřejnil).</w:t>
      </w:r>
    </w:p>
    <w:p w14:paraId="65D182C6" w14:textId="764021B6" w:rsidR="00395345" w:rsidRPr="00677DAF" w:rsidRDefault="00395345" w:rsidP="00FB356D">
      <w:pPr>
        <w:pStyle w:val="Text"/>
        <w:spacing w:after="120" w:line="264" w:lineRule="auto"/>
      </w:pPr>
      <w:r w:rsidRPr="00677DAF">
        <w:t>ČHMÚ v současnosti neuvažuje o dalším navýšení počtu monitorovacích stanic</w:t>
      </w:r>
      <w:r>
        <w:t xml:space="preserve"> pro </w:t>
      </w:r>
      <w:proofErr w:type="spellStart"/>
      <w:r>
        <w:t>benzo</w:t>
      </w:r>
      <w:proofErr w:type="spellEnd"/>
      <w:r w:rsidR="00565F57" w:rsidRPr="00250286">
        <w:t>[</w:t>
      </w:r>
      <w:r>
        <w:t>a</w:t>
      </w:r>
      <w:r w:rsidR="00565F57" w:rsidRPr="00250286">
        <w:t>]</w:t>
      </w:r>
      <w:r>
        <w:t>pyren</w:t>
      </w:r>
      <w:r w:rsidRPr="00677DAF">
        <w:t>, což není v souladu s nastavením podpůrného cíle</w:t>
      </w:r>
      <w:r w:rsidRPr="00087C29">
        <w:t xml:space="preserve"> </w:t>
      </w:r>
      <w:r w:rsidRPr="00B1650A">
        <w:t xml:space="preserve">NPSE </w:t>
      </w:r>
      <w:r>
        <w:t>(PO3)</w:t>
      </w:r>
      <w:r w:rsidRPr="00677DAF">
        <w:t>. Dle ČHMÚ může k dalšímu rozšíření počtu stanic dojít až</w:t>
      </w:r>
      <w:r w:rsidR="00087C29">
        <w:t xml:space="preserve"> </w:t>
      </w:r>
      <w:r w:rsidRPr="00677DAF">
        <w:t>po</w:t>
      </w:r>
      <w:r w:rsidR="00087C29">
        <w:t xml:space="preserve"> </w:t>
      </w:r>
      <w:r w:rsidRPr="00677DAF">
        <w:t xml:space="preserve">roce 2020, kdy budou navýšeny kapacity laboratoří </w:t>
      </w:r>
      <w:r>
        <w:t>pro analýzu manuálního měření</w:t>
      </w:r>
      <w:r w:rsidRPr="00677DAF">
        <w:t>. Tyto zjištěné skutečnosti potvrzují potřebnost dlouhodobé koncepce</w:t>
      </w:r>
      <w:r>
        <w:t>, která</w:t>
      </w:r>
      <w:r w:rsidR="00087C29">
        <w:t xml:space="preserve"> </w:t>
      </w:r>
      <w:r w:rsidRPr="00677DAF">
        <w:t>v současné chvíli není k dispozici.</w:t>
      </w:r>
    </w:p>
    <w:p w14:paraId="3192E2B0" w14:textId="77777777" w:rsidR="00395345" w:rsidRDefault="00395345" w:rsidP="00FB356D">
      <w:pPr>
        <w:pStyle w:val="Nadpis3"/>
        <w:numPr>
          <w:ilvl w:val="0"/>
          <w:numId w:val="46"/>
        </w:numPr>
        <w:spacing w:line="264" w:lineRule="auto"/>
        <w:ind w:left="284" w:hanging="284"/>
      </w:pPr>
      <w:r>
        <w:t>SFŽP nesleduje a nevyhodnocuje hospodárnost, účelnost a efektivnost peněžních prostředků, které jsou čerpány na podporu zlepšování kvality ovzduší z NPŽP</w:t>
      </w:r>
    </w:p>
    <w:p w14:paraId="6B0F3DF8" w14:textId="77777777" w:rsidR="00395345" w:rsidRDefault="00395345" w:rsidP="00FB356D">
      <w:pPr>
        <w:pStyle w:val="Text"/>
        <w:spacing w:after="120" w:line="264" w:lineRule="auto"/>
      </w:pPr>
      <w:r w:rsidRPr="00942650">
        <w:t>SFŽP ve spolupráci s MŽP nestanovil v základních dokum</w:t>
      </w:r>
      <w:r>
        <w:t>entech NPŽP kvantifikovatelné a </w:t>
      </w:r>
      <w:r w:rsidRPr="00942650">
        <w:t xml:space="preserve">měřitelné cíle </w:t>
      </w:r>
      <w:r w:rsidRPr="00B1650A">
        <w:rPr>
          <w:i/>
        </w:rPr>
        <w:t>Národního programu Životní prostředí</w:t>
      </w:r>
      <w:r w:rsidRPr="00942650">
        <w:t xml:space="preserve">, které by byly základním předpokladem pro vyhodnocení realizovaných projektů a celého </w:t>
      </w:r>
      <w:r w:rsidRPr="00B1650A">
        <w:rPr>
          <w:i/>
        </w:rPr>
        <w:t>Národního programu Životního prostředí</w:t>
      </w:r>
      <w:r w:rsidRPr="00942650">
        <w:t>. Cíle programů musí být definovány jasně; měly by být pod</w:t>
      </w:r>
      <w:r>
        <w:t>loženy měřitelnými indikátory s </w:t>
      </w:r>
      <w:r w:rsidRPr="00942650">
        <w:t>uvedením jejich počátečního a reálného předpokládaného cílového stavu tak, aby bylo možné vyhodnotit přínosy NPŽP.</w:t>
      </w:r>
    </w:p>
    <w:p w14:paraId="42C95099" w14:textId="41D59E1F" w:rsidR="00395345" w:rsidRDefault="00395345" w:rsidP="00FB356D">
      <w:pPr>
        <w:pStyle w:val="Text"/>
        <w:spacing w:after="120" w:line="264" w:lineRule="auto"/>
      </w:pPr>
      <w:r w:rsidRPr="00942650">
        <w:t xml:space="preserve">SFŽP nepostupoval </w:t>
      </w:r>
      <w:r>
        <w:t>v souladu se článkem 2 bodem 8 s</w:t>
      </w:r>
      <w:r w:rsidRPr="00942650">
        <w:t>měrnice MŽP č. 4/2015</w:t>
      </w:r>
      <w:r w:rsidR="00087C29">
        <w:t>,</w:t>
      </w:r>
      <w:r w:rsidRPr="00942650">
        <w:t xml:space="preserve"> o poskytování finančních prostředků ze Státního fondu životního prostředí České republiky prostřednictvím </w:t>
      </w:r>
      <w:r w:rsidRPr="00B1650A">
        <w:rPr>
          <w:i/>
        </w:rPr>
        <w:t>Národního programu Životní prostředí</w:t>
      </w:r>
      <w:r w:rsidRPr="00942650">
        <w:t xml:space="preserve">, neboť v letech 2015 až 2017 neprováděl vyhodnocení </w:t>
      </w:r>
      <w:r w:rsidR="00087C29">
        <w:t>p</w:t>
      </w:r>
      <w:r w:rsidRPr="00942650">
        <w:t xml:space="preserve">rogramu prostřednictvím </w:t>
      </w:r>
      <w:r w:rsidR="00087C29">
        <w:t>m</w:t>
      </w:r>
      <w:r w:rsidRPr="00942650">
        <w:t>onitorovacích zpráv.</w:t>
      </w:r>
    </w:p>
    <w:p w14:paraId="4025E103" w14:textId="21325DF0" w:rsidR="00395345" w:rsidRDefault="00395345" w:rsidP="00FB356D">
      <w:pPr>
        <w:pStyle w:val="Text"/>
        <w:spacing w:after="120" w:line="264" w:lineRule="auto"/>
      </w:pPr>
      <w:r w:rsidRPr="00942650">
        <w:t xml:space="preserve">Kontrolou bylo zjištěno, že SFŽP v rámci </w:t>
      </w:r>
      <w:r w:rsidRPr="00B1650A">
        <w:rPr>
          <w:i/>
        </w:rPr>
        <w:t>Národního programu Životní prostředí</w:t>
      </w:r>
      <w:r w:rsidRPr="00942650">
        <w:t xml:space="preserve"> neprováděl vyhodnocování skutečných přínosů, dopadů a výsledků jednotlivých prioritních oblastí NPŽP ani jednotlivých vyhlášených výzev na zlepšení kvality ovzduší v ČR. Cíle prioritních oblastí, podoblastí a výzev byly stanoveny pouze obecně popisným způsobem</w:t>
      </w:r>
      <w:r w:rsidR="00087C29">
        <w:t>,</w:t>
      </w:r>
      <w:r w:rsidRPr="00942650">
        <w:t xml:space="preserve"> a tak nelze vyhodnotit hospodárnost, účelnost a efektivnost vynaložených peně</w:t>
      </w:r>
      <w:r>
        <w:t>žních prostředků v rámci NPŽP a </w:t>
      </w:r>
      <w:r w:rsidR="00087C29">
        <w:t xml:space="preserve">jejich vliv na míru </w:t>
      </w:r>
      <w:r w:rsidRPr="00942650">
        <w:t>zlepšení kvality ovzduší v ČR.</w:t>
      </w:r>
    </w:p>
    <w:p w14:paraId="08360B5B" w14:textId="3B1FE1BB" w:rsidR="00395345" w:rsidRDefault="00395345" w:rsidP="00FB356D">
      <w:pPr>
        <w:pStyle w:val="Text"/>
        <w:spacing w:after="120" w:line="264" w:lineRule="auto"/>
      </w:pPr>
      <w:r w:rsidRPr="00010B47">
        <w:t>Ačkoliv MŽP stanovovalo alokace výzvám z NPŽP na základě</w:t>
      </w:r>
      <w:r>
        <w:t xml:space="preserve"> vlastního expertního odhadu po</w:t>
      </w:r>
      <w:r w:rsidR="00087C29">
        <w:t xml:space="preserve"> </w:t>
      </w:r>
      <w:r w:rsidRPr="00010B47">
        <w:t xml:space="preserve">konzultaci se SFŽP, nebyla u 5 výzev </w:t>
      </w:r>
      <w:r>
        <w:t>z </w:t>
      </w:r>
      <w:r w:rsidRPr="00010B47">
        <w:t>9</w:t>
      </w:r>
      <w:r w:rsidRPr="001B09D7">
        <w:t xml:space="preserve"> </w:t>
      </w:r>
      <w:r>
        <w:t xml:space="preserve">vyčerpána alokace </w:t>
      </w:r>
      <w:r w:rsidRPr="00010B47">
        <w:t>ani z</w:t>
      </w:r>
      <w:r>
        <w:t>e </w:t>
      </w:r>
      <w:r w:rsidRPr="00010B47">
        <w:t>40</w:t>
      </w:r>
      <w:r>
        <w:t xml:space="preserve"> </w:t>
      </w:r>
      <w:r w:rsidRPr="00010B47">
        <w:t>%</w:t>
      </w:r>
      <w:r>
        <w:t>.</w:t>
      </w:r>
    </w:p>
    <w:p w14:paraId="1C5E5EAE" w14:textId="51238DF0" w:rsidR="00395345" w:rsidRDefault="00395345" w:rsidP="00FB356D">
      <w:pPr>
        <w:pStyle w:val="Text"/>
        <w:spacing w:after="120" w:line="264" w:lineRule="auto"/>
      </w:pPr>
      <w:r>
        <w:t xml:space="preserve">Kontrolou bylo mj. prověřeno zadání čtyř veřejných zakázek </w:t>
      </w:r>
      <w:r w:rsidR="00561982">
        <w:t xml:space="preserve">vybranými příjemci dotací </w:t>
      </w:r>
      <w:r w:rsidR="006E6820">
        <w:t>v </w:t>
      </w:r>
      <w:r>
        <w:t>celkové hodnotě 11,5 mil. Kč bez DPH. V jednom případě bylo zjištěno, že zadavatel porušil § 6 odst. 1 zákona č. 134/2016 Sb.</w:t>
      </w:r>
      <w:r>
        <w:rPr>
          <w:rStyle w:val="Znakapoznpodarou"/>
        </w:rPr>
        <w:footnoteReference w:id="35"/>
      </w:r>
      <w:r>
        <w:t xml:space="preserve"> tím, že nedodržel zásadu transparentnosti, neboť výzvu k</w:t>
      </w:r>
      <w:r w:rsidR="006E6820">
        <w:t> </w:t>
      </w:r>
      <w:r>
        <w:t xml:space="preserve">podání nabídek a zadávací dokumentaci nezveřejnil v souladu se zákonem. Ve druhém případě bylo zjištěno, že zadavatel porušil § 6 odst. 1 zákona č. 134/2016 Sb. tím, že nedodržel zásadu transparentnosti a zákazu diskriminace, když k plnění veřejné zakázky vybral dodavatele, kterého však měl vyloučit ze zadávacího řízení, neboť nesplnil zadávací podmínky. V dalším případě </w:t>
      </w:r>
      <w:r w:rsidR="00561982">
        <w:t>zadavatel</w:t>
      </w:r>
      <w:r>
        <w:t xml:space="preserve"> nedodržel zákonnou lhůtu pro uveřejnění oznámení o výsledku zadávacího řízení, když jej uveřejnil až 7 měsíců po uzavření smlouvy, přičemž zákonná lhůta je 30 dní.</w:t>
      </w:r>
    </w:p>
    <w:p w14:paraId="6B62EAA9" w14:textId="3E11D7EF" w:rsidR="006F6BF4" w:rsidRDefault="00395345" w:rsidP="00FB356D">
      <w:pPr>
        <w:pStyle w:val="Text"/>
        <w:spacing w:after="120" w:line="264" w:lineRule="auto"/>
      </w:pPr>
      <w:r>
        <w:t>Dva ze čtyř kontrolovaných příjemců podpory nepředložil</w:t>
      </w:r>
      <w:r w:rsidR="00CF278B">
        <w:t>i</w:t>
      </w:r>
      <w:r>
        <w:t xml:space="preserve"> monitorovací zprávy o průběhu realizace projektu SFŽP </w:t>
      </w:r>
      <w:r w:rsidR="00087C29">
        <w:t xml:space="preserve">za </w:t>
      </w:r>
      <w:r>
        <w:t>každé 3 měsíce po celou dobu realizace projektu, čímž porušili podmínky výzvy a uzavřené smlouvy o poskytnutí podpory ze SFŽP ČR.</w:t>
      </w:r>
    </w:p>
    <w:p w14:paraId="4CD1511A" w14:textId="5C090335" w:rsidR="0087199C" w:rsidRPr="0087199C" w:rsidRDefault="0087199C" w:rsidP="00FB356D">
      <w:pPr>
        <w:pStyle w:val="Nadpis3"/>
        <w:numPr>
          <w:ilvl w:val="0"/>
          <w:numId w:val="46"/>
        </w:numPr>
        <w:spacing w:line="264" w:lineRule="auto"/>
        <w:ind w:left="284" w:hanging="284"/>
      </w:pPr>
      <w:r w:rsidRPr="0087199C">
        <w:t xml:space="preserve">V letech 2014 až 2016 žádný subjekt z ČR nepředložil projekt </w:t>
      </w:r>
      <w:r w:rsidR="00087C29">
        <w:t xml:space="preserve">se žádostí </w:t>
      </w:r>
      <w:r w:rsidRPr="0087199C">
        <w:t xml:space="preserve">o podporu v rámci programu </w:t>
      </w:r>
      <w:r w:rsidRPr="00B1650A">
        <w:rPr>
          <w:i/>
        </w:rPr>
        <w:t>LIFE</w:t>
      </w:r>
      <w:r w:rsidRPr="0087199C">
        <w:t xml:space="preserve"> koordinovaného Evropskou komisí tematicky zaměřený na kvalitu ovzduší a emise</w:t>
      </w:r>
    </w:p>
    <w:p w14:paraId="15212817" w14:textId="0ADFB51E" w:rsidR="00395345" w:rsidRDefault="00395345" w:rsidP="00FB356D">
      <w:pPr>
        <w:pStyle w:val="TextKP"/>
        <w:spacing w:after="120" w:line="264" w:lineRule="auto"/>
      </w:pPr>
      <w:r>
        <w:t xml:space="preserve">V rámci programu </w:t>
      </w:r>
      <w:r w:rsidR="002A7A29" w:rsidRPr="00B1650A">
        <w:rPr>
          <w:i/>
        </w:rPr>
        <w:t>LIFE</w:t>
      </w:r>
      <w:r>
        <w:t xml:space="preserve"> je možné také realizovat tzv. integrované projekty na podporu provádění a </w:t>
      </w:r>
      <w:r w:rsidRPr="0021532A">
        <w:t xml:space="preserve">sledování místních </w:t>
      </w:r>
      <w:r>
        <w:t>či</w:t>
      </w:r>
      <w:r w:rsidRPr="0021532A">
        <w:t xml:space="preserve"> regionálních plánů kvality ovzduší s cílem přispět k národním programům snižování</w:t>
      </w:r>
      <w:r>
        <w:t xml:space="preserve"> </w:t>
      </w:r>
      <w:r w:rsidRPr="0021532A">
        <w:t>znečištění ovzduší.</w:t>
      </w:r>
      <w:r>
        <w:t xml:space="preserve"> </w:t>
      </w:r>
      <w:r w:rsidRPr="002B3B81">
        <w:t xml:space="preserve">MŽP společně se </w:t>
      </w:r>
      <w:r w:rsidR="00EB6C2A">
        <w:t>šesti</w:t>
      </w:r>
      <w:r w:rsidRPr="002B3B81">
        <w:t xml:space="preserve"> kraji, </w:t>
      </w:r>
      <w:r w:rsidR="00EB6C2A">
        <w:t>osmi</w:t>
      </w:r>
      <w:r w:rsidRPr="002B3B81">
        <w:t xml:space="preserve"> městy a dalšími </w:t>
      </w:r>
      <w:r w:rsidR="00EB6C2A">
        <w:t>pěti</w:t>
      </w:r>
      <w:r w:rsidRPr="002B3B81">
        <w:t xml:space="preserve"> partnery připravovalo integrovaný projekt </w:t>
      </w:r>
      <w:proofErr w:type="spellStart"/>
      <w:r w:rsidRPr="00B1650A">
        <w:rPr>
          <w:i/>
        </w:rPr>
        <w:t>AirCzechia</w:t>
      </w:r>
      <w:proofErr w:type="spellEnd"/>
      <w:r w:rsidRPr="002B3B81">
        <w:t xml:space="preserve"> zaměřený na plán implementace opatření PZKO. Projekt byl v roce 2017 úspěšně předložen do prvního kola výzvy programu </w:t>
      </w:r>
      <w:r w:rsidR="002A7A29" w:rsidRPr="00B1650A">
        <w:rPr>
          <w:i/>
        </w:rPr>
        <w:t>LIFE</w:t>
      </w:r>
      <w:r>
        <w:t>, nicméně MŽP projekt v průběhu přípravy plné projektové žádosti v březnu 2018 předčasně ukončilo. Podle</w:t>
      </w:r>
      <w:r w:rsidR="00EB6C2A">
        <w:t xml:space="preserve"> </w:t>
      </w:r>
      <w:r>
        <w:t>sdělení MŽP byla hlavní příčinou předčasného ukončení projektu skutečnost, že by</w:t>
      </w:r>
      <w:r w:rsidRPr="00075EBB">
        <w:t xml:space="preserve"> </w:t>
      </w:r>
      <w:r w:rsidRPr="002B3B81">
        <w:t>MŽP jako hlavní projektový partner neslo za projekt veškerou finanční i</w:t>
      </w:r>
      <w:r w:rsidR="00EB6C2A">
        <w:t> </w:t>
      </w:r>
      <w:r w:rsidRPr="002B3B81">
        <w:t>věcnou odpovědnost</w:t>
      </w:r>
      <w:r>
        <w:t xml:space="preserve">, přičemž byla identifikována neúnosná rizika spojená s neochotou partnerů nabídnout dostatečnou personální kapacitu pro zajištění projektu </w:t>
      </w:r>
      <w:r w:rsidR="00EB6C2A">
        <w:t>a s </w:t>
      </w:r>
      <w:r w:rsidRPr="002B3B81">
        <w:t>neschopnost</w:t>
      </w:r>
      <w:r>
        <w:t>í</w:t>
      </w:r>
      <w:r w:rsidRPr="002B3B81">
        <w:t xml:space="preserve"> partnerů plnit klíčové aktivity vlastními silami</w:t>
      </w:r>
      <w:r>
        <w:t xml:space="preserve"> a jejich preference zaměřit projekt na doplňková opatření</w:t>
      </w:r>
      <w:r w:rsidRPr="002B3B81">
        <w:t xml:space="preserve">, </w:t>
      </w:r>
      <w:r>
        <w:t>která však mají jen malý dopad na celkovou implementaci PZKO, např. nadlimitní čištění komunikací.</w:t>
      </w:r>
    </w:p>
    <w:p w14:paraId="340BC56F" w14:textId="3D654085" w:rsidR="00395345" w:rsidRDefault="00395345" w:rsidP="00FB356D">
      <w:pPr>
        <w:pStyle w:val="TextKP"/>
        <w:spacing w:after="120" w:line="264" w:lineRule="auto"/>
        <w:rPr>
          <w:rFonts w:eastAsiaTheme="majorEastAsia"/>
        </w:rPr>
      </w:pPr>
      <w:r>
        <w:t>V</w:t>
      </w:r>
      <w:r w:rsidRPr="002B3B81">
        <w:rPr>
          <w:rFonts w:eastAsiaTheme="majorEastAsia"/>
        </w:rPr>
        <w:t> letech 2014</w:t>
      </w:r>
      <w:r w:rsidR="00EB6C2A">
        <w:rPr>
          <w:rFonts w:eastAsiaTheme="majorEastAsia"/>
        </w:rPr>
        <w:t>–</w:t>
      </w:r>
      <w:r w:rsidRPr="002B3B81">
        <w:rPr>
          <w:rFonts w:eastAsiaTheme="majorEastAsia"/>
        </w:rPr>
        <w:t>2016</w:t>
      </w:r>
      <w:r>
        <w:rPr>
          <w:rStyle w:val="Znakapoznpodarou"/>
          <w:rFonts w:eastAsiaTheme="majorEastAsia"/>
        </w:rPr>
        <w:footnoteReference w:id="36"/>
      </w:r>
      <w:r>
        <w:rPr>
          <w:rFonts w:eastAsiaTheme="majorEastAsia"/>
        </w:rPr>
        <w:t xml:space="preserve"> tak </w:t>
      </w:r>
      <w:r w:rsidR="00572D07">
        <w:rPr>
          <w:rFonts w:eastAsiaTheme="majorEastAsia"/>
        </w:rPr>
        <w:t xml:space="preserve">nepředložila </w:t>
      </w:r>
      <w:r>
        <w:rPr>
          <w:rFonts w:eastAsiaTheme="majorEastAsia"/>
        </w:rPr>
        <w:t xml:space="preserve">z programu </w:t>
      </w:r>
      <w:r w:rsidR="002A7A29" w:rsidRPr="00B1650A">
        <w:rPr>
          <w:rFonts w:eastAsiaTheme="majorEastAsia"/>
          <w:i/>
        </w:rPr>
        <w:t>LIFE</w:t>
      </w:r>
      <w:r w:rsidRPr="002B3B81">
        <w:rPr>
          <w:rFonts w:eastAsiaTheme="majorEastAsia"/>
        </w:rPr>
        <w:t xml:space="preserve"> </w:t>
      </w:r>
      <w:r>
        <w:rPr>
          <w:rFonts w:eastAsiaTheme="majorEastAsia"/>
        </w:rPr>
        <w:t xml:space="preserve">žádný projekt s tematickou prioritou </w:t>
      </w:r>
      <w:r w:rsidRPr="00B1650A">
        <w:rPr>
          <w:rFonts w:eastAsiaTheme="majorEastAsia"/>
          <w:i/>
        </w:rPr>
        <w:t>kvalita ovzduší a emise</w:t>
      </w:r>
      <w:r>
        <w:rPr>
          <w:rFonts w:eastAsiaTheme="majorEastAsia"/>
        </w:rPr>
        <w:t>, včetně městského prostředí, kde by koordinujícím příjemcem byl subjekt z České republiky, přičemž to zaměření a podmínky programu umožňovaly. Z informací z databáze projektů a informací z</w:t>
      </w:r>
      <w:r w:rsidR="005414EB">
        <w:rPr>
          <w:rFonts w:eastAsiaTheme="majorEastAsia"/>
        </w:rPr>
        <w:t>veřejněných EK dále vyplývá, že</w:t>
      </w:r>
      <w:r w:rsidR="00EB6C2A">
        <w:rPr>
          <w:rFonts w:eastAsiaTheme="majorEastAsia"/>
        </w:rPr>
        <w:t xml:space="preserve"> </w:t>
      </w:r>
      <w:r>
        <w:rPr>
          <w:rFonts w:eastAsiaTheme="majorEastAsia"/>
        </w:rPr>
        <w:t xml:space="preserve">z programu </w:t>
      </w:r>
      <w:r w:rsidR="002A7A29" w:rsidRPr="00B1650A">
        <w:rPr>
          <w:rFonts w:eastAsiaTheme="majorEastAsia"/>
          <w:i/>
        </w:rPr>
        <w:t>LIFE</w:t>
      </w:r>
      <w:r>
        <w:rPr>
          <w:rFonts w:eastAsiaTheme="majorEastAsia"/>
        </w:rPr>
        <w:t xml:space="preserve"> bylo v letech 2014 až 2016 podpořeno: </w:t>
      </w:r>
    </w:p>
    <w:p w14:paraId="42A20D50" w14:textId="77777777" w:rsidR="00395345" w:rsidRDefault="00395345" w:rsidP="007D02E4">
      <w:pPr>
        <w:pStyle w:val="Text"/>
        <w:numPr>
          <w:ilvl w:val="0"/>
          <w:numId w:val="43"/>
        </w:numPr>
        <w:spacing w:before="0" w:line="264" w:lineRule="auto"/>
        <w:ind w:left="284" w:hanging="284"/>
      </w:pPr>
      <w:r>
        <w:t xml:space="preserve">celkem 10 projektů, jejichž koordinujícím příjemcem byl subjekt v ČR (žádný nebyl zaměřen na tematickou prioritu </w:t>
      </w:r>
      <w:r w:rsidRPr="00B1650A">
        <w:rPr>
          <w:i/>
        </w:rPr>
        <w:t>kvalita ovzduší a emise</w:t>
      </w:r>
      <w:r>
        <w:t>);</w:t>
      </w:r>
    </w:p>
    <w:p w14:paraId="5DE595AB" w14:textId="05C176DB" w:rsidR="00BB7916" w:rsidRDefault="00395345" w:rsidP="007D02E4">
      <w:pPr>
        <w:pStyle w:val="Text"/>
        <w:numPr>
          <w:ilvl w:val="0"/>
          <w:numId w:val="43"/>
        </w:numPr>
        <w:spacing w:before="0" w:line="264" w:lineRule="auto"/>
        <w:ind w:left="284" w:hanging="284"/>
      </w:pPr>
      <w:r>
        <w:t>25 integrovaných projektů ze 14 zemí EU. Nejvíce integrovaných projektů (3) bylo přiděleno do Německa, Belgie a Španělka. V období 2014</w:t>
      </w:r>
      <w:r w:rsidR="00EB6C2A">
        <w:t>–</w:t>
      </w:r>
      <w:r>
        <w:t xml:space="preserve">2016 nebyl přidělen ČR žádný integrovaný projekt. Území ČR bylo dotčeno jedním integrovaným projektem zaměřeným na </w:t>
      </w:r>
      <w:r w:rsidR="00EB6C2A">
        <w:t>i</w:t>
      </w:r>
      <w:r>
        <w:t>mplementaci PZKO v Malopolském vojvodství</w:t>
      </w:r>
      <w:r>
        <w:rPr>
          <w:rStyle w:val="Znakapoznpodarou"/>
        </w:rPr>
        <w:footnoteReference w:id="37"/>
      </w:r>
      <w:r>
        <w:t>.</w:t>
      </w:r>
    </w:p>
    <w:p w14:paraId="4BABB8A2" w14:textId="4CBB16CB" w:rsidR="00BB7916" w:rsidRDefault="00BB7916" w:rsidP="00FB356D">
      <w:pPr>
        <w:spacing w:before="120" w:after="120" w:line="264" w:lineRule="auto"/>
        <w:jc w:val="both"/>
      </w:pPr>
      <w:r w:rsidRPr="003A5C81">
        <w:rPr>
          <w:b/>
        </w:rPr>
        <w:t>Vzhledem k významnému vlivu přeshraničního přenosu na úroveň znečiš</w:t>
      </w:r>
      <w:r>
        <w:rPr>
          <w:b/>
        </w:rPr>
        <w:t>tění ovzduší v České republice a</w:t>
      </w:r>
      <w:r w:rsidRPr="003A5C81">
        <w:rPr>
          <w:b/>
        </w:rPr>
        <w:t xml:space="preserve"> v Polsku by při</w:t>
      </w:r>
      <w:r w:rsidR="00EB6C2A">
        <w:t xml:space="preserve"> </w:t>
      </w:r>
      <w:r w:rsidRPr="003A5C81">
        <w:rPr>
          <w:b/>
        </w:rPr>
        <w:t>přípravě národního progra</w:t>
      </w:r>
      <w:r>
        <w:rPr>
          <w:b/>
        </w:rPr>
        <w:t>mu omezování znečištění ovzduší</w:t>
      </w:r>
      <w:r w:rsidR="00EB6C2A" w:rsidRPr="00EB6C2A">
        <w:rPr>
          <w:b/>
        </w:rPr>
        <w:t xml:space="preserve"> </w:t>
      </w:r>
      <w:r w:rsidR="00EB6C2A" w:rsidRPr="003A5C81">
        <w:rPr>
          <w:b/>
        </w:rPr>
        <w:t xml:space="preserve">mělo </w:t>
      </w:r>
      <w:r w:rsidR="00EB6C2A">
        <w:rPr>
          <w:b/>
        </w:rPr>
        <w:t xml:space="preserve">MŽP </w:t>
      </w:r>
      <w:r w:rsidR="00EB6C2A" w:rsidRPr="003A5C81">
        <w:rPr>
          <w:b/>
        </w:rPr>
        <w:t>provádět přeshraniční konzultace s Polskem</w:t>
      </w:r>
      <w:r w:rsidRPr="003A5C81">
        <w:rPr>
          <w:b/>
        </w:rPr>
        <w:t xml:space="preserve">. </w:t>
      </w:r>
    </w:p>
    <w:p w14:paraId="15D6EDD4" w14:textId="668A7075" w:rsidR="00BB7916" w:rsidRPr="00361D42" w:rsidRDefault="00BB7916" w:rsidP="00FB356D">
      <w:pPr>
        <w:spacing w:before="120" w:after="120" w:line="264" w:lineRule="auto"/>
        <w:jc w:val="both"/>
      </w:pPr>
      <w:r w:rsidRPr="00DE684A">
        <w:t>Analýzy</w:t>
      </w:r>
      <w:r>
        <w:t xml:space="preserve"> MŽP </w:t>
      </w:r>
      <w:r w:rsidRPr="00DE684A">
        <w:t xml:space="preserve">provedené v souvislosti s přípravou </w:t>
      </w:r>
      <w:r>
        <w:t>Strategie</w:t>
      </w:r>
      <w:r w:rsidRPr="00DE684A">
        <w:t>, NPSE a PZKO</w:t>
      </w:r>
      <w:r>
        <w:t xml:space="preserve"> a mj. také </w:t>
      </w:r>
      <w:r w:rsidRPr="00DE684A">
        <w:t>analýz</w:t>
      </w:r>
      <w:r>
        <w:t>a provedená v</w:t>
      </w:r>
      <w:r w:rsidRPr="00DE684A">
        <w:t xml:space="preserve"> rámci projektu </w:t>
      </w:r>
      <w:r w:rsidRPr="00B1650A">
        <w:rPr>
          <w:i/>
        </w:rPr>
        <w:t xml:space="preserve">Air </w:t>
      </w:r>
      <w:proofErr w:type="spellStart"/>
      <w:r w:rsidRPr="00B1650A">
        <w:rPr>
          <w:i/>
        </w:rPr>
        <w:t>Silesia</w:t>
      </w:r>
      <w:proofErr w:type="spellEnd"/>
      <w:r w:rsidRPr="00DE684A">
        <w:t xml:space="preserve"> (2010</w:t>
      </w:r>
      <w:r w:rsidR="00EB6C2A">
        <w:t>–</w:t>
      </w:r>
      <w:r w:rsidRPr="00DE684A">
        <w:t>2013)</w:t>
      </w:r>
      <w:r>
        <w:t xml:space="preserve"> </w:t>
      </w:r>
      <w:r w:rsidRPr="00DE684A">
        <w:t>potvrzují významný vliv</w:t>
      </w:r>
      <w:r>
        <w:t xml:space="preserve"> </w:t>
      </w:r>
      <w:r w:rsidRPr="00DE684A">
        <w:t>přeshraničního znečištění na úroveň znečištění ovzduší v ČR, zejména v</w:t>
      </w:r>
      <w:r>
        <w:t> </w:t>
      </w:r>
      <w:r w:rsidRPr="00DE684A">
        <w:t>Moravskoslezském</w:t>
      </w:r>
      <w:r>
        <w:t xml:space="preserve"> </w:t>
      </w:r>
      <w:r w:rsidRPr="00DE684A">
        <w:t>regionu</w:t>
      </w:r>
      <w:r>
        <w:t xml:space="preserve">. Závěry projektu </w:t>
      </w:r>
      <w:r w:rsidRPr="00B1650A">
        <w:rPr>
          <w:i/>
        </w:rPr>
        <w:t xml:space="preserve">Air </w:t>
      </w:r>
      <w:proofErr w:type="spellStart"/>
      <w:r w:rsidRPr="00B1650A">
        <w:rPr>
          <w:i/>
        </w:rPr>
        <w:t>Silesia</w:t>
      </w:r>
      <w:proofErr w:type="spellEnd"/>
      <w:r>
        <w:t xml:space="preserve"> mj. uvádí</w:t>
      </w:r>
      <w:r w:rsidRPr="00361D42">
        <w:t>:</w:t>
      </w:r>
    </w:p>
    <w:p w14:paraId="716EA2B9" w14:textId="01686BF2" w:rsidR="00BB7916" w:rsidRPr="00250286" w:rsidRDefault="00EB6C2A" w:rsidP="00FB356D">
      <w:pPr>
        <w:pStyle w:val="Odstavecseseznamem"/>
        <w:numPr>
          <w:ilvl w:val="0"/>
          <w:numId w:val="47"/>
        </w:numPr>
        <w:spacing w:line="264" w:lineRule="auto"/>
        <w:ind w:left="284" w:hanging="284"/>
        <w:contextualSpacing w:val="0"/>
        <w:jc w:val="both"/>
      </w:pPr>
      <w:r>
        <w:t>Ú</w:t>
      </w:r>
      <w:r w:rsidR="00BB7916" w:rsidRPr="00250286">
        <w:t>roveň znečištění ovzduší oxidem siřičitým (SO</w:t>
      </w:r>
      <w:r w:rsidR="00BB7916" w:rsidRPr="00250286">
        <w:rPr>
          <w:vertAlign w:val="subscript"/>
        </w:rPr>
        <w:t>2</w:t>
      </w:r>
      <w:r w:rsidR="00BB7916" w:rsidRPr="00250286">
        <w:t>) je v regionu Slezského vojvodství přibližně dvojnásobná oproti regionu Moravskoslezského kraje</w:t>
      </w:r>
      <w:r w:rsidR="00565F57">
        <w:t>,</w:t>
      </w:r>
      <w:r w:rsidR="00BB7916">
        <w:t xml:space="preserve"> současně</w:t>
      </w:r>
      <w:r w:rsidR="00BB7916" w:rsidRPr="00250286">
        <w:t xml:space="preserve"> výsledky analýz vzorků odebraných v průběhu projektu ukazují na vyšší koncentrace PM</w:t>
      </w:r>
      <w:r w:rsidR="00BB7916" w:rsidRPr="00250286">
        <w:rPr>
          <w:vertAlign w:val="subscript"/>
        </w:rPr>
        <w:t>10</w:t>
      </w:r>
      <w:r w:rsidR="00BB7916" w:rsidRPr="00250286">
        <w:t xml:space="preserve">, </w:t>
      </w:r>
      <w:proofErr w:type="spellStart"/>
      <w:r w:rsidR="00BB7916" w:rsidRPr="00250286">
        <w:t>benzo</w:t>
      </w:r>
      <w:proofErr w:type="spellEnd"/>
      <w:r w:rsidR="00BB7916" w:rsidRPr="00250286">
        <w:t xml:space="preserve">[a]pyrenu </w:t>
      </w:r>
      <w:r w:rsidR="00BB7916">
        <w:t>na</w:t>
      </w:r>
      <w:r w:rsidR="00565F57">
        <w:t xml:space="preserve"> </w:t>
      </w:r>
      <w:r w:rsidR="00BB7916" w:rsidRPr="00250286">
        <w:t>polské straně oblasti</w:t>
      </w:r>
      <w:r>
        <w:t>.</w:t>
      </w:r>
      <w:r w:rsidR="00BB7916" w:rsidRPr="00250286">
        <w:t xml:space="preserve"> </w:t>
      </w:r>
    </w:p>
    <w:p w14:paraId="3C6582B3" w14:textId="42FB5BAF" w:rsidR="00BB7916" w:rsidRDefault="00EB6C2A" w:rsidP="00FB356D">
      <w:pPr>
        <w:pStyle w:val="Odstavecseseznamem"/>
        <w:numPr>
          <w:ilvl w:val="0"/>
          <w:numId w:val="47"/>
        </w:numPr>
        <w:spacing w:line="264" w:lineRule="auto"/>
        <w:ind w:left="284" w:hanging="284"/>
        <w:contextualSpacing w:val="0"/>
        <w:jc w:val="both"/>
      </w:pPr>
      <w:r>
        <w:t>P</w:t>
      </w:r>
      <w:r w:rsidR="00BB7916" w:rsidRPr="00984195">
        <w:t>lošně nejrozsáhlejší území s nejvyšším znečištěním ovzduší v oblasti se nachází přibližně mezi česko</w:t>
      </w:r>
      <w:r w:rsidR="00565F57">
        <w:t>-</w:t>
      </w:r>
      <w:r w:rsidR="00BB7916" w:rsidRPr="00984195">
        <w:t xml:space="preserve">polskou hranicí a okolím </w:t>
      </w:r>
      <w:proofErr w:type="spellStart"/>
      <w:r w:rsidR="00BB7916" w:rsidRPr="00984195">
        <w:t>Rybnika</w:t>
      </w:r>
      <w:proofErr w:type="spellEnd"/>
      <w:r w:rsidR="00BB7916" w:rsidRPr="00984195">
        <w:t>; znečištěním pocházejícím z této oblasti je</w:t>
      </w:r>
      <w:r w:rsidR="00565F57">
        <w:t xml:space="preserve"> </w:t>
      </w:r>
      <w:r w:rsidR="00BB7916" w:rsidRPr="00984195">
        <w:t>výrazně ovlivňováno i pohraničí České republiky</w:t>
      </w:r>
      <w:r>
        <w:t>.</w:t>
      </w:r>
    </w:p>
    <w:p w14:paraId="1D53F1A9" w14:textId="06DB2DB6" w:rsidR="00BB7916" w:rsidRDefault="00EB6C2A" w:rsidP="00FB356D">
      <w:pPr>
        <w:pStyle w:val="Odstavecseseznamem"/>
        <w:numPr>
          <w:ilvl w:val="0"/>
          <w:numId w:val="47"/>
        </w:numPr>
        <w:spacing w:line="264" w:lineRule="auto"/>
        <w:ind w:left="284" w:hanging="284"/>
        <w:contextualSpacing w:val="0"/>
        <w:jc w:val="both"/>
      </w:pPr>
      <w:r>
        <w:t>V</w:t>
      </w:r>
      <w:r w:rsidR="00BB7916" w:rsidRPr="00984195">
        <w:t>ětry vanou častěji z Česka do Polska; polské zdroje však produkují více emisí PM</w:t>
      </w:r>
      <w:r w:rsidR="00BB7916" w:rsidRPr="004D4CA5">
        <w:rPr>
          <w:vertAlign w:val="subscript"/>
        </w:rPr>
        <w:t>10</w:t>
      </w:r>
      <w:r w:rsidR="00BB7916" w:rsidRPr="00984195">
        <w:t>, které</w:t>
      </w:r>
      <w:r>
        <w:t xml:space="preserve"> </w:t>
      </w:r>
      <w:r w:rsidR="00BB7916" w:rsidRPr="00984195">
        <w:t xml:space="preserve">jsou </w:t>
      </w:r>
      <w:r>
        <w:t>ve velké koncentraci</w:t>
      </w:r>
      <w:r w:rsidR="00BB7916" w:rsidRPr="00984195">
        <w:t xml:space="preserve"> přenášeny do Česka při převážně zhoršených rozptyl</w:t>
      </w:r>
      <w:r w:rsidR="00BB7916">
        <w:t>ových podmínkách.</w:t>
      </w:r>
    </w:p>
    <w:p w14:paraId="386A91B3" w14:textId="2F164A10" w:rsidR="00395345" w:rsidRDefault="00BB7916" w:rsidP="00FB356D">
      <w:pPr>
        <w:pStyle w:val="Text"/>
        <w:spacing w:after="120" w:line="264" w:lineRule="auto"/>
      </w:pPr>
      <w:r>
        <w:t>V současnosti dochází</w:t>
      </w:r>
      <w:r w:rsidRPr="003A5C81">
        <w:t xml:space="preserve"> k</w:t>
      </w:r>
      <w:r>
        <w:t> </w:t>
      </w:r>
      <w:r w:rsidRPr="003A5C81">
        <w:t>aktualizaci</w:t>
      </w:r>
      <w:r>
        <w:t xml:space="preserve"> národních programů omezování znečištění ovzduší v členských zemích EU na</w:t>
      </w:r>
      <w:r w:rsidR="00815722">
        <w:t xml:space="preserve"> </w:t>
      </w:r>
      <w:r>
        <w:t>základě směrnice EU č. 2016/2284, kde</w:t>
      </w:r>
      <w:r w:rsidR="00815722">
        <w:t xml:space="preserve"> </w:t>
      </w:r>
      <w:r w:rsidRPr="003A5C81">
        <w:t>v článku 6, odst. 2</w:t>
      </w:r>
      <w:r>
        <w:t xml:space="preserve"> je </w:t>
      </w:r>
      <w:r w:rsidRPr="003A5C81">
        <w:t xml:space="preserve">mj. uvedeno, že při vypracovávání, přijímání a provádění </w:t>
      </w:r>
      <w:r>
        <w:t xml:space="preserve">těchto programů </w:t>
      </w:r>
      <w:r w:rsidRPr="003A5C81">
        <w:t>členské státy posoudí, do jaké míry mohou národní zdroje emisí ovlivnit kvalitu ovzduší na jejich území a na území sousedních členských států a v případě potřeby mají členské státy provést přeshraniční konzultace.</w:t>
      </w:r>
    </w:p>
    <w:p w14:paraId="2BEE6C1F" w14:textId="126ADA8C" w:rsidR="005B476B" w:rsidRDefault="005B476B" w:rsidP="00A92C84">
      <w:pPr>
        <w:rPr>
          <w:rFonts w:cstheme="minorHAnsi"/>
        </w:rPr>
      </w:pPr>
      <w:r>
        <w:br w:type="page"/>
      </w:r>
    </w:p>
    <w:p w14:paraId="01154B23" w14:textId="77777777" w:rsidR="00395345" w:rsidRDefault="00395345" w:rsidP="00A36661">
      <w:pPr>
        <w:pStyle w:val="Nadpis1"/>
        <w:numPr>
          <w:ilvl w:val="0"/>
          <w:numId w:val="0"/>
        </w:numPr>
        <w:spacing w:before="0" w:after="0"/>
      </w:pPr>
      <w:r w:rsidRPr="009E506C">
        <w:t>Seznam zkratek a pojmů</w:t>
      </w:r>
    </w:p>
    <w:p w14:paraId="28F04114" w14:textId="77777777" w:rsidR="00A36661" w:rsidRDefault="00A36661" w:rsidP="00A36661">
      <w:pPr>
        <w:pStyle w:val="Text"/>
        <w:tabs>
          <w:tab w:val="left" w:pos="1134"/>
        </w:tabs>
        <w:spacing w:before="0"/>
      </w:pPr>
    </w:p>
    <w:p w14:paraId="23FD5B0F" w14:textId="5282BF80" w:rsidR="003D30F6" w:rsidRDefault="00815722" w:rsidP="001B1D79">
      <w:pPr>
        <w:pStyle w:val="Text"/>
        <w:tabs>
          <w:tab w:val="left" w:pos="1276"/>
        </w:tabs>
        <w:spacing w:before="0" w:after="80"/>
        <w:ind w:left="1276" w:hanging="1276"/>
        <w:jc w:val="left"/>
      </w:pPr>
      <w:proofErr w:type="spellStart"/>
      <w:r>
        <w:t>K</w:t>
      </w:r>
      <w:r w:rsidR="003D30F6">
        <w:t>t</w:t>
      </w:r>
      <w:proofErr w:type="spellEnd"/>
      <w:r w:rsidR="003D30F6">
        <w:tab/>
      </w:r>
      <w:r>
        <w:t>K</w:t>
      </w:r>
      <w:r w:rsidR="003D30F6">
        <w:t>ilotuna</w:t>
      </w:r>
    </w:p>
    <w:p w14:paraId="499B15AB" w14:textId="07A339C4" w:rsidR="00644D5C" w:rsidRDefault="00644D5C" w:rsidP="001B1D79">
      <w:pPr>
        <w:pStyle w:val="Text"/>
        <w:tabs>
          <w:tab w:val="left" w:pos="1276"/>
        </w:tabs>
        <w:spacing w:before="0" w:after="80"/>
        <w:ind w:left="1276" w:hanging="1276"/>
        <w:jc w:val="left"/>
      </w:pPr>
      <w:r>
        <w:t>µg/m</w:t>
      </w:r>
      <w:r w:rsidRPr="00644D5C">
        <w:rPr>
          <w:vertAlign w:val="superscript"/>
        </w:rPr>
        <w:t>3</w:t>
      </w:r>
      <w:r>
        <w:tab/>
      </w:r>
      <w:r w:rsidR="00815722">
        <w:t>M</w:t>
      </w:r>
      <w:r>
        <w:t>ikrogram na metr krychlový (měrná jednotka koncentrace znečišťujících látky ve vzduchu)</w:t>
      </w:r>
    </w:p>
    <w:p w14:paraId="5D9B20B1" w14:textId="1BEBB6E6" w:rsidR="00B254CC" w:rsidRDefault="00644D5C" w:rsidP="001B1D79">
      <w:pPr>
        <w:pStyle w:val="Text"/>
        <w:tabs>
          <w:tab w:val="left" w:pos="1276"/>
        </w:tabs>
        <w:spacing w:before="0" w:after="80"/>
        <w:ind w:left="1276" w:hanging="1276"/>
        <w:jc w:val="left"/>
      </w:pPr>
      <w:r>
        <w:t>µm</w:t>
      </w:r>
      <w:r>
        <w:tab/>
      </w:r>
      <w:r w:rsidR="00815722">
        <w:t>M</w:t>
      </w:r>
      <w:r>
        <w:t>ikrometr</w:t>
      </w:r>
    </w:p>
    <w:p w14:paraId="2342071C" w14:textId="6F6BE494" w:rsidR="00644D5C" w:rsidRDefault="00815722" w:rsidP="001B1D79">
      <w:pPr>
        <w:pStyle w:val="Text"/>
        <w:tabs>
          <w:tab w:val="left" w:pos="1276"/>
        </w:tabs>
        <w:spacing w:before="0" w:after="80"/>
        <w:ind w:left="1276" w:hanging="1276"/>
        <w:jc w:val="left"/>
      </w:pPr>
      <w:proofErr w:type="spellStart"/>
      <w:r>
        <w:t>N</w:t>
      </w:r>
      <w:r w:rsidR="00644D5C">
        <w:t>g</w:t>
      </w:r>
      <w:proofErr w:type="spellEnd"/>
      <w:r w:rsidR="00644D5C">
        <w:t>/m</w:t>
      </w:r>
      <w:r w:rsidR="00644D5C" w:rsidRPr="00644D5C">
        <w:rPr>
          <w:vertAlign w:val="superscript"/>
        </w:rPr>
        <w:t>3</w:t>
      </w:r>
      <w:r w:rsidR="00644D5C">
        <w:tab/>
      </w:r>
      <w:r>
        <w:t>N</w:t>
      </w:r>
      <w:r w:rsidR="00644D5C">
        <w:t>anogram na metr krychlový (měrná jednotka ko</w:t>
      </w:r>
      <w:r w:rsidR="00635EBF">
        <w:t>ncentrace znečišťující látky ve </w:t>
      </w:r>
      <w:r w:rsidR="00644D5C">
        <w:t>vzduchu)</w:t>
      </w:r>
      <w:r w:rsidR="009B1979">
        <w:t xml:space="preserve"> </w:t>
      </w:r>
    </w:p>
    <w:p w14:paraId="37178AB9" w14:textId="6A110E1F" w:rsidR="00395345" w:rsidRDefault="00AE2306" w:rsidP="001B1D79">
      <w:pPr>
        <w:pStyle w:val="Text"/>
        <w:tabs>
          <w:tab w:val="left" w:pos="1276"/>
        </w:tabs>
        <w:spacing w:before="0" w:after="80"/>
        <w:ind w:left="1276" w:hanging="1276"/>
        <w:jc w:val="left"/>
      </w:pPr>
      <w:proofErr w:type="spellStart"/>
      <w:r>
        <w:t>BaP</w:t>
      </w:r>
      <w:proofErr w:type="spellEnd"/>
      <w:r w:rsidR="00395345">
        <w:tab/>
      </w:r>
      <w:proofErr w:type="spellStart"/>
      <w:r w:rsidR="00395345">
        <w:t>Benzo</w:t>
      </w:r>
      <w:proofErr w:type="spellEnd"/>
      <w:r w:rsidR="00565F57" w:rsidRPr="00250286">
        <w:t>[</w:t>
      </w:r>
      <w:r w:rsidR="00395345">
        <w:t>a</w:t>
      </w:r>
      <w:r w:rsidR="00565F57" w:rsidRPr="00250286">
        <w:t>]</w:t>
      </w:r>
      <w:r w:rsidR="00395345">
        <w:t>pyren</w:t>
      </w:r>
    </w:p>
    <w:p w14:paraId="1D31B4F9" w14:textId="2B57A583" w:rsidR="00395345" w:rsidRDefault="00395345" w:rsidP="001B1D79">
      <w:pPr>
        <w:pStyle w:val="Text"/>
        <w:tabs>
          <w:tab w:val="left" w:pos="1276"/>
        </w:tabs>
        <w:spacing w:before="0" w:after="80"/>
        <w:ind w:left="1276" w:hanging="1276"/>
        <w:jc w:val="left"/>
      </w:pPr>
      <w:r>
        <w:t>CLRTAP</w:t>
      </w:r>
      <w:r>
        <w:tab/>
      </w:r>
      <w:r w:rsidRPr="00FD7B6F">
        <w:t>Úmluv</w:t>
      </w:r>
      <w:r>
        <w:t>a</w:t>
      </w:r>
      <w:r w:rsidRPr="00FD7B6F">
        <w:t xml:space="preserve"> o dálkovém znečišťování ovzduší přecházejícím hranice státu</w:t>
      </w:r>
      <w:r>
        <w:t xml:space="preserve"> (</w:t>
      </w:r>
      <w:proofErr w:type="spellStart"/>
      <w:r w:rsidRPr="00B1650A">
        <w:rPr>
          <w:i/>
        </w:rPr>
        <w:t>The</w:t>
      </w:r>
      <w:proofErr w:type="spellEnd"/>
      <w:r w:rsidR="00815722" w:rsidRPr="00B1650A">
        <w:rPr>
          <w:i/>
        </w:rPr>
        <w:t xml:space="preserve"> </w:t>
      </w:r>
      <w:proofErr w:type="spellStart"/>
      <w:r w:rsidRPr="00B1650A">
        <w:rPr>
          <w:i/>
        </w:rPr>
        <w:t>Convention</w:t>
      </w:r>
      <w:proofErr w:type="spellEnd"/>
      <w:r w:rsidRPr="00B1650A">
        <w:rPr>
          <w:i/>
        </w:rPr>
        <w:t xml:space="preserve"> on Long-</w:t>
      </w:r>
      <w:proofErr w:type="spellStart"/>
      <w:r w:rsidRPr="00B1650A">
        <w:rPr>
          <w:i/>
        </w:rPr>
        <w:t>Range</w:t>
      </w:r>
      <w:proofErr w:type="spellEnd"/>
      <w:r w:rsidRPr="00B1650A">
        <w:rPr>
          <w:i/>
        </w:rPr>
        <w:t xml:space="preserve"> </w:t>
      </w:r>
      <w:proofErr w:type="spellStart"/>
      <w:r w:rsidRPr="00B1650A">
        <w:rPr>
          <w:i/>
        </w:rPr>
        <w:t>Transboundary</w:t>
      </w:r>
      <w:proofErr w:type="spellEnd"/>
      <w:r w:rsidRPr="00B1650A">
        <w:rPr>
          <w:i/>
        </w:rPr>
        <w:t xml:space="preserve"> Air </w:t>
      </w:r>
      <w:proofErr w:type="spellStart"/>
      <w:r w:rsidRPr="00B1650A">
        <w:rPr>
          <w:i/>
        </w:rPr>
        <w:t>Pollution</w:t>
      </w:r>
      <w:proofErr w:type="spellEnd"/>
      <w:r>
        <w:t>)</w:t>
      </w:r>
    </w:p>
    <w:p w14:paraId="16F87F2A" w14:textId="77777777" w:rsidR="00395345" w:rsidRDefault="00395345" w:rsidP="001B1D79">
      <w:pPr>
        <w:pStyle w:val="Text"/>
        <w:tabs>
          <w:tab w:val="left" w:pos="1276"/>
        </w:tabs>
        <w:spacing w:before="0" w:after="80"/>
        <w:ind w:left="1276" w:hanging="1276"/>
        <w:jc w:val="left"/>
      </w:pPr>
      <w:r>
        <w:t xml:space="preserve">EEA </w:t>
      </w:r>
      <w:r>
        <w:tab/>
        <w:t>Evropská agentura pro životní prostředí (</w:t>
      </w:r>
      <w:proofErr w:type="spellStart"/>
      <w:r w:rsidRPr="00412792">
        <w:t>European</w:t>
      </w:r>
      <w:proofErr w:type="spellEnd"/>
      <w:r w:rsidRPr="00412792">
        <w:t xml:space="preserve"> </w:t>
      </w:r>
      <w:proofErr w:type="spellStart"/>
      <w:r w:rsidRPr="00412792">
        <w:t>Environment</w:t>
      </w:r>
      <w:proofErr w:type="spellEnd"/>
      <w:r w:rsidRPr="00412792">
        <w:t xml:space="preserve"> </w:t>
      </w:r>
      <w:proofErr w:type="spellStart"/>
      <w:r w:rsidRPr="00412792">
        <w:t>Agency</w:t>
      </w:r>
      <w:proofErr w:type="spellEnd"/>
      <w:r>
        <w:t>)</w:t>
      </w:r>
    </w:p>
    <w:p w14:paraId="56332567" w14:textId="77777777" w:rsidR="00395345" w:rsidRDefault="00395345" w:rsidP="001B1D79">
      <w:pPr>
        <w:pStyle w:val="Text"/>
        <w:tabs>
          <w:tab w:val="left" w:pos="1276"/>
        </w:tabs>
        <w:spacing w:before="0" w:after="80"/>
        <w:ind w:left="1276" w:hanging="1276"/>
        <w:jc w:val="left"/>
      </w:pPr>
      <w:r>
        <w:t>EK</w:t>
      </w:r>
      <w:r>
        <w:tab/>
        <w:t>Evropská komise</w:t>
      </w:r>
    </w:p>
    <w:p w14:paraId="032ED4A3" w14:textId="77777777" w:rsidR="00395345" w:rsidRDefault="00395345" w:rsidP="001B1D79">
      <w:pPr>
        <w:pStyle w:val="Text"/>
        <w:tabs>
          <w:tab w:val="left" w:pos="1276"/>
        </w:tabs>
        <w:spacing w:before="0" w:after="80"/>
        <w:ind w:left="1276" w:hanging="1276"/>
        <w:jc w:val="left"/>
      </w:pPr>
      <w:r>
        <w:t>EMEP</w:t>
      </w:r>
      <w:r>
        <w:tab/>
        <w:t>P</w:t>
      </w:r>
      <w:r w:rsidRPr="00B703C2">
        <w:t>rogram spolupráce při monitorování a vyhodnocování dálkového přenosu látek znečišťujících ovzduší v</w:t>
      </w:r>
      <w:r>
        <w:t> </w:t>
      </w:r>
      <w:r w:rsidRPr="00B703C2">
        <w:t>Evropě</w:t>
      </w:r>
      <w:r>
        <w:t xml:space="preserve"> (</w:t>
      </w:r>
      <w:proofErr w:type="spellStart"/>
      <w:r w:rsidRPr="00B1650A">
        <w:rPr>
          <w:i/>
        </w:rPr>
        <w:t>The</w:t>
      </w:r>
      <w:proofErr w:type="spellEnd"/>
      <w:r w:rsidRPr="00B1650A">
        <w:rPr>
          <w:i/>
        </w:rPr>
        <w:t xml:space="preserve"> </w:t>
      </w:r>
      <w:proofErr w:type="spellStart"/>
      <w:r w:rsidRPr="00B1650A">
        <w:rPr>
          <w:i/>
        </w:rPr>
        <w:t>European</w:t>
      </w:r>
      <w:proofErr w:type="spellEnd"/>
      <w:r w:rsidRPr="00B1650A">
        <w:rPr>
          <w:i/>
        </w:rPr>
        <w:t xml:space="preserve"> Monitoring and </w:t>
      </w:r>
      <w:proofErr w:type="spellStart"/>
      <w:r w:rsidRPr="00B1650A">
        <w:rPr>
          <w:i/>
        </w:rPr>
        <w:t>Evaluation</w:t>
      </w:r>
      <w:proofErr w:type="spellEnd"/>
      <w:r w:rsidRPr="00B1650A">
        <w:rPr>
          <w:i/>
        </w:rPr>
        <w:t xml:space="preserve"> </w:t>
      </w:r>
      <w:proofErr w:type="spellStart"/>
      <w:r w:rsidRPr="00B1650A">
        <w:rPr>
          <w:i/>
        </w:rPr>
        <w:t>Programme</w:t>
      </w:r>
      <w:proofErr w:type="spellEnd"/>
      <w:r>
        <w:t>)</w:t>
      </w:r>
    </w:p>
    <w:p w14:paraId="36A01A20" w14:textId="5C755BCB" w:rsidR="000848F6" w:rsidRDefault="000848F6" w:rsidP="001B1D79">
      <w:pPr>
        <w:pStyle w:val="Text"/>
        <w:tabs>
          <w:tab w:val="left" w:pos="1276"/>
        </w:tabs>
        <w:spacing w:before="0" w:after="80"/>
        <w:ind w:left="1276" w:hanging="1276"/>
        <w:jc w:val="left"/>
      </w:pPr>
      <w:r>
        <w:t>EU ETS</w:t>
      </w:r>
      <w:r>
        <w:tab/>
      </w:r>
      <w:r w:rsidRPr="00A871C7">
        <w:rPr>
          <w:lang w:val="de-DE"/>
        </w:rPr>
        <w:t xml:space="preserve">EU Emissions Trading System </w:t>
      </w:r>
      <w:r>
        <w:t>(trh s emisními povolenkami</w:t>
      </w:r>
      <w:r w:rsidR="007D02E4">
        <w:t xml:space="preserve"> v rámci EU</w:t>
      </w:r>
      <w:r>
        <w:t>)</w:t>
      </w:r>
    </w:p>
    <w:p w14:paraId="37171E36" w14:textId="77777777" w:rsidR="00395345" w:rsidRDefault="00395345" w:rsidP="001B1D79">
      <w:pPr>
        <w:pStyle w:val="Text"/>
        <w:tabs>
          <w:tab w:val="left" w:pos="1276"/>
        </w:tabs>
        <w:spacing w:before="0" w:after="80"/>
        <w:ind w:left="1276" w:hanging="1276"/>
        <w:jc w:val="left"/>
      </w:pPr>
      <w:r>
        <w:t>NH</w:t>
      </w:r>
      <w:r w:rsidRPr="00571B26">
        <w:rPr>
          <w:vertAlign w:val="subscript"/>
        </w:rPr>
        <w:t>3</w:t>
      </w:r>
      <w:r>
        <w:tab/>
        <w:t>Amoniak</w:t>
      </w:r>
    </w:p>
    <w:p w14:paraId="0CEECD45" w14:textId="1D4F6658" w:rsidR="00395345" w:rsidRDefault="00395345" w:rsidP="001B1D79">
      <w:pPr>
        <w:pStyle w:val="Text"/>
        <w:tabs>
          <w:tab w:val="left" w:pos="1276"/>
        </w:tabs>
        <w:spacing w:before="0" w:after="80"/>
        <w:ind w:left="1276" w:hanging="1276"/>
        <w:jc w:val="left"/>
      </w:pPr>
      <w:r>
        <w:t>NMVOC</w:t>
      </w:r>
      <w:r>
        <w:tab/>
      </w:r>
      <w:proofErr w:type="spellStart"/>
      <w:r w:rsidR="003B271C">
        <w:t>N</w:t>
      </w:r>
      <w:r w:rsidR="003B271C" w:rsidRPr="003B271C">
        <w:t>emethanov</w:t>
      </w:r>
      <w:r w:rsidR="003B271C">
        <w:t>é</w:t>
      </w:r>
      <w:proofErr w:type="spellEnd"/>
      <w:r w:rsidR="003B271C" w:rsidRPr="003B271C">
        <w:t xml:space="preserve"> </w:t>
      </w:r>
      <w:r w:rsidR="003B271C">
        <w:t>t</w:t>
      </w:r>
      <w:r>
        <w:t>ěkavé organické látky</w:t>
      </w:r>
    </w:p>
    <w:p w14:paraId="404586C4" w14:textId="77777777" w:rsidR="00395345" w:rsidRPr="00571B26" w:rsidRDefault="00395345" w:rsidP="001B1D79">
      <w:pPr>
        <w:pStyle w:val="Text"/>
        <w:tabs>
          <w:tab w:val="left" w:pos="1276"/>
        </w:tabs>
        <w:spacing w:before="0" w:after="80"/>
        <w:ind w:left="1276" w:hanging="1276"/>
        <w:jc w:val="left"/>
      </w:pPr>
      <w:r>
        <w:t>NO</w:t>
      </w:r>
      <w:r w:rsidRPr="00571B26">
        <w:rPr>
          <w:vertAlign w:val="subscript"/>
        </w:rPr>
        <w:t>2</w:t>
      </w:r>
      <w:r>
        <w:tab/>
        <w:t>Oxid dusičitý</w:t>
      </w:r>
    </w:p>
    <w:p w14:paraId="464FD79B" w14:textId="77777777" w:rsidR="00395345" w:rsidRDefault="00395345" w:rsidP="001B1D79">
      <w:pPr>
        <w:pStyle w:val="Text"/>
        <w:tabs>
          <w:tab w:val="left" w:pos="1276"/>
        </w:tabs>
        <w:spacing w:before="0" w:after="80"/>
        <w:ind w:left="1276" w:hanging="1276"/>
        <w:jc w:val="left"/>
      </w:pPr>
      <w:r>
        <w:t>NO</w:t>
      </w:r>
      <w:r w:rsidRPr="00571B26">
        <w:rPr>
          <w:vertAlign w:val="subscript"/>
        </w:rPr>
        <w:t>X</w:t>
      </w:r>
      <w:r>
        <w:tab/>
        <w:t>Oxidy dusíku</w:t>
      </w:r>
    </w:p>
    <w:p w14:paraId="000F3D50" w14:textId="77777777" w:rsidR="00395345" w:rsidRDefault="00395345" w:rsidP="001B1D79">
      <w:pPr>
        <w:pStyle w:val="Text"/>
        <w:tabs>
          <w:tab w:val="left" w:pos="1276"/>
        </w:tabs>
        <w:spacing w:before="0" w:after="80"/>
        <w:ind w:left="1276" w:hanging="1276"/>
        <w:jc w:val="left"/>
      </w:pPr>
      <w:r>
        <w:t>NPSE</w:t>
      </w:r>
      <w:r>
        <w:tab/>
      </w:r>
      <w:r w:rsidRPr="00B1650A">
        <w:rPr>
          <w:i/>
        </w:rPr>
        <w:t>Národní program snižování emisí České republiky</w:t>
      </w:r>
    </w:p>
    <w:p w14:paraId="63AFDE08" w14:textId="77777777" w:rsidR="00395345" w:rsidRDefault="00395345" w:rsidP="001B1D79">
      <w:pPr>
        <w:pStyle w:val="Text"/>
        <w:tabs>
          <w:tab w:val="left" w:pos="1276"/>
        </w:tabs>
        <w:spacing w:before="0" w:after="80"/>
        <w:ind w:left="1276" w:hanging="1276"/>
        <w:jc w:val="left"/>
      </w:pPr>
      <w:r>
        <w:t>NPSE-</w:t>
      </w:r>
      <w:proofErr w:type="spellStart"/>
      <w:r>
        <w:t>WaM</w:t>
      </w:r>
      <w:proofErr w:type="spellEnd"/>
      <w:r>
        <w:tab/>
        <w:t>Nově formulovaný scénář s dodatečnými opatřeními (</w:t>
      </w:r>
      <w:proofErr w:type="spellStart"/>
      <w:r w:rsidRPr="00B1650A">
        <w:rPr>
          <w:i/>
        </w:rPr>
        <w:t>with</w:t>
      </w:r>
      <w:proofErr w:type="spellEnd"/>
      <w:r w:rsidRPr="00B1650A">
        <w:rPr>
          <w:i/>
        </w:rPr>
        <w:t xml:space="preserve"> </w:t>
      </w:r>
      <w:proofErr w:type="spellStart"/>
      <w:r w:rsidRPr="00B1650A">
        <w:rPr>
          <w:i/>
        </w:rPr>
        <w:t>additional</w:t>
      </w:r>
      <w:proofErr w:type="spellEnd"/>
      <w:r w:rsidRPr="00B1650A">
        <w:rPr>
          <w:i/>
        </w:rPr>
        <w:t xml:space="preserve"> </w:t>
      </w:r>
      <w:proofErr w:type="spellStart"/>
      <w:r w:rsidRPr="00B1650A">
        <w:rPr>
          <w:i/>
        </w:rPr>
        <w:t>measures</w:t>
      </w:r>
      <w:proofErr w:type="spellEnd"/>
      <w:r>
        <w:t>)</w:t>
      </w:r>
    </w:p>
    <w:p w14:paraId="6CE5CD0B" w14:textId="77777777" w:rsidR="00395345" w:rsidRDefault="00395345" w:rsidP="001B1D79">
      <w:pPr>
        <w:pStyle w:val="Text"/>
        <w:tabs>
          <w:tab w:val="left" w:pos="1276"/>
        </w:tabs>
        <w:spacing w:before="0" w:after="80"/>
        <w:ind w:left="1276" w:hanging="1276"/>
        <w:jc w:val="left"/>
      </w:pPr>
      <w:r>
        <w:t>NPŽP</w:t>
      </w:r>
      <w:r>
        <w:tab/>
      </w:r>
      <w:r w:rsidRPr="00B1650A">
        <w:rPr>
          <w:i/>
        </w:rPr>
        <w:t>Národní program Životní prostředí</w:t>
      </w:r>
    </w:p>
    <w:p w14:paraId="46F81B4D" w14:textId="0A161184" w:rsidR="00395345" w:rsidRDefault="00395345" w:rsidP="001B1D79">
      <w:pPr>
        <w:pStyle w:val="Text"/>
        <w:tabs>
          <w:tab w:val="left" w:pos="1276"/>
        </w:tabs>
        <w:spacing w:before="0" w:after="80"/>
        <w:ind w:left="1276" w:hanging="1276"/>
        <w:jc w:val="left"/>
      </w:pPr>
      <w:r>
        <w:t>OPD</w:t>
      </w:r>
      <w:r>
        <w:tab/>
        <w:t xml:space="preserve">Operační program </w:t>
      </w:r>
      <w:r w:rsidR="00815722" w:rsidRPr="00B1650A">
        <w:rPr>
          <w:i/>
        </w:rPr>
        <w:t>D</w:t>
      </w:r>
      <w:r w:rsidRPr="00B1650A">
        <w:rPr>
          <w:i/>
        </w:rPr>
        <w:t>oprava</w:t>
      </w:r>
    </w:p>
    <w:p w14:paraId="373C4000" w14:textId="0BAABCBD" w:rsidR="00395345" w:rsidRDefault="00395345" w:rsidP="001B1D79">
      <w:pPr>
        <w:pStyle w:val="Text"/>
        <w:tabs>
          <w:tab w:val="left" w:pos="1276"/>
        </w:tabs>
        <w:spacing w:before="0" w:after="80"/>
        <w:ind w:left="1276" w:hanging="1276"/>
        <w:jc w:val="left"/>
      </w:pPr>
      <w:r>
        <w:t>OPPIK</w:t>
      </w:r>
      <w:r>
        <w:tab/>
        <w:t xml:space="preserve">Operační program </w:t>
      </w:r>
      <w:r w:rsidR="00815722" w:rsidRPr="00B1650A">
        <w:rPr>
          <w:i/>
        </w:rPr>
        <w:t>P</w:t>
      </w:r>
      <w:r w:rsidRPr="00B1650A">
        <w:rPr>
          <w:i/>
        </w:rPr>
        <w:t>odnikání a inovace pro konkurenceschopnost</w:t>
      </w:r>
    </w:p>
    <w:p w14:paraId="1D70107A" w14:textId="30175296" w:rsidR="00395345" w:rsidRDefault="00395345" w:rsidP="001B1D79">
      <w:pPr>
        <w:pStyle w:val="Text"/>
        <w:tabs>
          <w:tab w:val="left" w:pos="1276"/>
        </w:tabs>
        <w:spacing w:before="0" w:after="80"/>
        <w:ind w:left="1276" w:hanging="1276"/>
        <w:jc w:val="left"/>
      </w:pPr>
      <w:r>
        <w:t>OPŽP</w:t>
      </w:r>
      <w:r>
        <w:tab/>
        <w:t xml:space="preserve">Operační program </w:t>
      </w:r>
      <w:r w:rsidR="00815722" w:rsidRPr="00B1650A">
        <w:rPr>
          <w:i/>
        </w:rPr>
        <w:t>Ž</w:t>
      </w:r>
      <w:r w:rsidRPr="00B1650A">
        <w:rPr>
          <w:i/>
        </w:rPr>
        <w:t>ivotní prostředí</w:t>
      </w:r>
    </w:p>
    <w:p w14:paraId="6F34CEF1" w14:textId="77777777" w:rsidR="00395345" w:rsidRDefault="00395345" w:rsidP="001B1D79">
      <w:pPr>
        <w:pStyle w:val="Text"/>
        <w:tabs>
          <w:tab w:val="left" w:pos="1276"/>
        </w:tabs>
        <w:spacing w:before="0" w:after="80"/>
        <w:ind w:left="1276" w:hanging="1276"/>
        <w:jc w:val="left"/>
      </w:pPr>
      <w:r>
        <w:t>PO</w:t>
      </w:r>
      <w:r>
        <w:tab/>
        <w:t>Prioritní osa/oblast</w:t>
      </w:r>
    </w:p>
    <w:p w14:paraId="57F3DD59" w14:textId="77777777" w:rsidR="00395345" w:rsidRDefault="00395345" w:rsidP="001B1D79">
      <w:pPr>
        <w:pStyle w:val="Text"/>
        <w:tabs>
          <w:tab w:val="left" w:pos="1276"/>
        </w:tabs>
        <w:spacing w:before="0" w:after="80"/>
        <w:ind w:left="1276" w:hanging="1276"/>
        <w:jc w:val="left"/>
      </w:pPr>
      <w:r>
        <w:t>PRV</w:t>
      </w:r>
      <w:r>
        <w:tab/>
        <w:t>Program rozvoje venkova</w:t>
      </w:r>
    </w:p>
    <w:p w14:paraId="417F8B74" w14:textId="77777777" w:rsidR="00395345" w:rsidRDefault="00395345" w:rsidP="001B1D79">
      <w:pPr>
        <w:pStyle w:val="Text"/>
        <w:tabs>
          <w:tab w:val="left" w:pos="1276"/>
        </w:tabs>
        <w:spacing w:before="0" w:after="80"/>
        <w:ind w:left="1276" w:hanging="1276"/>
        <w:jc w:val="left"/>
      </w:pPr>
      <w:r>
        <w:t>PZKO</w:t>
      </w:r>
      <w:r>
        <w:tab/>
        <w:t>Program/y zlepšování kvality ovzduší</w:t>
      </w:r>
    </w:p>
    <w:p w14:paraId="5515BF1A" w14:textId="77777777" w:rsidR="00C12E5A" w:rsidRDefault="00C12E5A" w:rsidP="001B1D79">
      <w:pPr>
        <w:pStyle w:val="Text"/>
        <w:tabs>
          <w:tab w:val="left" w:pos="1276"/>
        </w:tabs>
        <w:spacing w:before="0" w:after="80"/>
        <w:ind w:left="1276" w:hanging="1276"/>
        <w:jc w:val="left"/>
      </w:pPr>
      <w:proofErr w:type="spellStart"/>
      <w:r>
        <w:t>RoPD</w:t>
      </w:r>
      <w:proofErr w:type="spellEnd"/>
      <w:r>
        <w:tab/>
        <w:t>Rozhodnutí o poskytnutí dotace (finančních prostředků)</w:t>
      </w:r>
    </w:p>
    <w:p w14:paraId="3E5119BE" w14:textId="77777777" w:rsidR="00395345" w:rsidRDefault="00395345" w:rsidP="001B1D79">
      <w:pPr>
        <w:pStyle w:val="Text"/>
        <w:tabs>
          <w:tab w:val="left" w:pos="1276"/>
        </w:tabs>
        <w:spacing w:before="0" w:after="80"/>
        <w:ind w:left="1276" w:hanging="1276"/>
        <w:jc w:val="left"/>
      </w:pPr>
      <w:r>
        <w:t>ŘSD</w:t>
      </w:r>
      <w:r>
        <w:tab/>
        <w:t>Ředitelství silnic a dálnic</w:t>
      </w:r>
    </w:p>
    <w:p w14:paraId="48556AEF" w14:textId="77777777" w:rsidR="00395345" w:rsidRDefault="00395345" w:rsidP="001B1D79">
      <w:pPr>
        <w:pStyle w:val="Text"/>
        <w:tabs>
          <w:tab w:val="left" w:pos="1276"/>
        </w:tabs>
        <w:spacing w:before="0" w:after="80"/>
        <w:ind w:left="1276" w:hanging="1276"/>
        <w:jc w:val="left"/>
      </w:pPr>
      <w:r>
        <w:t>SC</w:t>
      </w:r>
      <w:r>
        <w:tab/>
        <w:t>Specifický cíl (v rámci OPŽP)</w:t>
      </w:r>
    </w:p>
    <w:p w14:paraId="0FF435A8" w14:textId="77777777" w:rsidR="00395345" w:rsidRDefault="00395345" w:rsidP="001B1D79">
      <w:pPr>
        <w:pStyle w:val="Text"/>
        <w:tabs>
          <w:tab w:val="left" w:pos="1276"/>
        </w:tabs>
        <w:spacing w:before="0" w:after="80"/>
        <w:ind w:left="1276" w:hanging="1276"/>
        <w:jc w:val="left"/>
      </w:pPr>
      <w:r>
        <w:t>SO</w:t>
      </w:r>
      <w:r w:rsidRPr="00571B26">
        <w:rPr>
          <w:vertAlign w:val="subscript"/>
        </w:rPr>
        <w:t>2</w:t>
      </w:r>
      <w:r>
        <w:tab/>
        <w:t>Oxid siřičitý</w:t>
      </w:r>
    </w:p>
    <w:p w14:paraId="26BB37EA" w14:textId="09C8199D" w:rsidR="00395345" w:rsidRDefault="00395345" w:rsidP="001B1D79">
      <w:pPr>
        <w:pStyle w:val="Text"/>
        <w:tabs>
          <w:tab w:val="left" w:pos="1276"/>
        </w:tabs>
        <w:spacing w:before="0" w:after="80"/>
        <w:ind w:left="1276" w:hanging="1276"/>
        <w:jc w:val="left"/>
      </w:pPr>
      <w:r>
        <w:t>SPŽP</w:t>
      </w:r>
      <w:r>
        <w:tab/>
      </w:r>
      <w:r w:rsidRPr="00B1650A">
        <w:rPr>
          <w:i/>
        </w:rPr>
        <w:t>Státní politika životního prostředí ČR 2012</w:t>
      </w:r>
      <w:r w:rsidR="00815722" w:rsidRPr="00B1650A">
        <w:rPr>
          <w:i/>
        </w:rPr>
        <w:t>–</w:t>
      </w:r>
      <w:r w:rsidRPr="00B1650A">
        <w:rPr>
          <w:i/>
        </w:rPr>
        <w:t>2020</w:t>
      </w:r>
    </w:p>
    <w:p w14:paraId="775CC33A" w14:textId="77777777" w:rsidR="000848F6" w:rsidRDefault="000848F6" w:rsidP="001B1D79">
      <w:pPr>
        <w:pStyle w:val="Text"/>
        <w:tabs>
          <w:tab w:val="left" w:pos="1276"/>
        </w:tabs>
        <w:spacing w:before="0" w:after="80"/>
        <w:ind w:left="1276" w:hanging="1276"/>
        <w:jc w:val="left"/>
      </w:pPr>
      <w:r>
        <w:t>SSIM</w:t>
      </w:r>
      <w:r>
        <w:tab/>
        <w:t>Státní síť imisního monitoringu</w:t>
      </w:r>
    </w:p>
    <w:p w14:paraId="3CBA8341" w14:textId="77777777" w:rsidR="00395345" w:rsidRDefault="00395345" w:rsidP="001B1D79">
      <w:pPr>
        <w:pStyle w:val="Text"/>
        <w:tabs>
          <w:tab w:val="left" w:pos="1276"/>
        </w:tabs>
        <w:spacing w:before="0" w:after="80"/>
        <w:ind w:left="1276" w:hanging="1276"/>
        <w:jc w:val="left"/>
      </w:pPr>
      <w:r>
        <w:t>Strategie</w:t>
      </w:r>
      <w:r>
        <w:tab/>
      </w:r>
      <w:r w:rsidRPr="00B1650A">
        <w:rPr>
          <w:i/>
        </w:rPr>
        <w:t>Střednědobá strategie (do roku 2020) zlepšování kvality ovzduší v</w:t>
      </w:r>
      <w:r w:rsidR="006F6BF4" w:rsidRPr="00B1650A">
        <w:rPr>
          <w:i/>
        </w:rPr>
        <w:t> </w:t>
      </w:r>
      <w:r w:rsidRPr="00B1650A">
        <w:rPr>
          <w:i/>
        </w:rPr>
        <w:t>ČR</w:t>
      </w:r>
    </w:p>
    <w:p w14:paraId="5A4A1FC4" w14:textId="19FED278" w:rsidR="00395345" w:rsidRDefault="006F6BF4" w:rsidP="001B1D79">
      <w:pPr>
        <w:pStyle w:val="Text"/>
        <w:tabs>
          <w:tab w:val="left" w:pos="1276"/>
        </w:tabs>
        <w:spacing w:before="0" w:after="80"/>
        <w:ind w:left="1276" w:hanging="1276"/>
        <w:jc w:val="left"/>
      </w:pPr>
      <w:proofErr w:type="spellStart"/>
      <w:r>
        <w:t>ZoŽP</w:t>
      </w:r>
      <w:proofErr w:type="spellEnd"/>
      <w:r>
        <w:tab/>
        <w:t>Zpráva</w:t>
      </w:r>
      <w:r w:rsidR="00815722">
        <w:t>/zprávy</w:t>
      </w:r>
      <w:r>
        <w:t xml:space="preserve"> o životním prostředí České republiky</w:t>
      </w:r>
      <w:r w:rsidR="00395345">
        <w:br w:type="page"/>
      </w:r>
    </w:p>
    <w:p w14:paraId="68B18328" w14:textId="77777777" w:rsidR="00395345" w:rsidRPr="00CD31F9" w:rsidRDefault="00395345" w:rsidP="001B1D79">
      <w:pPr>
        <w:pStyle w:val="Nadpis1"/>
        <w:numPr>
          <w:ilvl w:val="0"/>
          <w:numId w:val="0"/>
        </w:numPr>
        <w:spacing w:before="120" w:after="120" w:line="264" w:lineRule="auto"/>
        <w:ind w:left="431" w:hanging="431"/>
        <w:rPr>
          <w:sz w:val="24"/>
          <w:lang w:eastAsia="cs-CZ"/>
        </w:rPr>
      </w:pPr>
      <w:r w:rsidRPr="00CD31F9">
        <w:rPr>
          <w:sz w:val="24"/>
          <w:lang w:eastAsia="cs-CZ"/>
        </w:rPr>
        <w:t xml:space="preserve">Příloha č. </w:t>
      </w:r>
      <w:r w:rsidR="00466E6F">
        <w:rPr>
          <w:sz w:val="24"/>
          <w:lang w:eastAsia="cs-CZ"/>
        </w:rPr>
        <w:t>1</w:t>
      </w:r>
    </w:p>
    <w:p w14:paraId="7D019761" w14:textId="77777777" w:rsidR="00395345" w:rsidRPr="00B1650A" w:rsidRDefault="00395345" w:rsidP="001B1D79">
      <w:pPr>
        <w:pStyle w:val="TextKP"/>
        <w:spacing w:after="120" w:line="264" w:lineRule="auto"/>
        <w:rPr>
          <w:lang w:eastAsia="cs-CZ"/>
        </w:rPr>
      </w:pPr>
      <w:r w:rsidRPr="00B1650A">
        <w:rPr>
          <w:b/>
          <w:lang w:eastAsia="cs-CZ"/>
        </w:rPr>
        <w:t>Vybrané imisní limity podle zákona č. 201/2012 Sb. a vyhlášky č. 330/2012 Sb.</w:t>
      </w:r>
    </w:p>
    <w:p w14:paraId="04C58DEE" w14:textId="77777777" w:rsidR="002350E3" w:rsidRDefault="002350E3" w:rsidP="00141703">
      <w:pPr>
        <w:pStyle w:val="Titulek"/>
        <w:spacing w:after="40"/>
        <w:rPr>
          <w:b/>
        </w:rPr>
      </w:pPr>
    </w:p>
    <w:p w14:paraId="41195C20" w14:textId="309D313B" w:rsidR="00395345" w:rsidRPr="00B1650A" w:rsidRDefault="00395345" w:rsidP="00141703">
      <w:pPr>
        <w:pStyle w:val="Titulek"/>
        <w:spacing w:after="40"/>
        <w:rPr>
          <w:b/>
          <w:lang w:eastAsia="cs-CZ"/>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5</w:t>
      </w:r>
      <w:r w:rsidR="00A36661" w:rsidRPr="00B1650A">
        <w:rPr>
          <w:b/>
          <w:noProof/>
        </w:rPr>
        <w:fldChar w:fldCharType="end"/>
      </w:r>
      <w:r w:rsidRPr="00B1650A">
        <w:rPr>
          <w:b/>
        </w:rPr>
        <w:t xml:space="preserve">: </w:t>
      </w:r>
      <w:r w:rsidRPr="00B1650A">
        <w:rPr>
          <w:b/>
          <w:lang w:eastAsia="cs-CZ"/>
        </w:rPr>
        <w:t>Imisní limity pro ochranu zdraví a maximální počet jejich překročení</w:t>
      </w:r>
    </w:p>
    <w:tbl>
      <w:tblPr>
        <w:tblW w:w="5000" w:type="pct"/>
        <w:tblCellMar>
          <w:left w:w="70" w:type="dxa"/>
          <w:right w:w="70" w:type="dxa"/>
        </w:tblCellMar>
        <w:tblLook w:val="04A0" w:firstRow="1" w:lastRow="0" w:firstColumn="1" w:lastColumn="0" w:noHBand="0" w:noVBand="1"/>
      </w:tblPr>
      <w:tblGrid>
        <w:gridCol w:w="1624"/>
        <w:gridCol w:w="2392"/>
        <w:gridCol w:w="1584"/>
        <w:gridCol w:w="1584"/>
        <w:gridCol w:w="1878"/>
      </w:tblGrid>
      <w:tr w:rsidR="00B9337F" w14:paraId="5917EB00" w14:textId="77777777" w:rsidTr="002350E3">
        <w:trPr>
          <w:trHeight w:val="283"/>
        </w:trPr>
        <w:tc>
          <w:tcPr>
            <w:tcW w:w="896"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04F00315" w14:textId="77777777" w:rsidR="00395345" w:rsidRPr="00CF4750" w:rsidRDefault="00395345" w:rsidP="00395345">
            <w:pPr>
              <w:jc w:val="center"/>
              <w:rPr>
                <w:rFonts w:ascii="Calibri" w:hAnsi="Calibri" w:cs="Calibri"/>
                <w:b/>
                <w:bCs/>
                <w:sz w:val="20"/>
                <w:szCs w:val="20"/>
                <w:lang w:eastAsia="cs-CZ"/>
              </w:rPr>
            </w:pPr>
            <w:r w:rsidRPr="00CF4750">
              <w:rPr>
                <w:rFonts w:ascii="Calibri" w:hAnsi="Calibri" w:cs="Calibri"/>
                <w:b/>
                <w:bCs/>
                <w:sz w:val="20"/>
                <w:szCs w:val="20"/>
                <w:lang w:eastAsia="cs-CZ"/>
              </w:rPr>
              <w:t>Znečišťující látka</w:t>
            </w:r>
          </w:p>
        </w:tc>
        <w:tc>
          <w:tcPr>
            <w:tcW w:w="1320"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06B2ECBD" w14:textId="77777777" w:rsidR="00395345" w:rsidRPr="00CF4750" w:rsidRDefault="00395345" w:rsidP="00395345">
            <w:pPr>
              <w:jc w:val="center"/>
              <w:rPr>
                <w:rFonts w:ascii="Calibri" w:hAnsi="Calibri" w:cs="Calibri"/>
                <w:b/>
                <w:bCs/>
                <w:sz w:val="20"/>
                <w:szCs w:val="20"/>
                <w:lang w:eastAsia="cs-CZ"/>
              </w:rPr>
            </w:pPr>
            <w:r w:rsidRPr="00CF4750">
              <w:rPr>
                <w:rFonts w:ascii="Calibri" w:hAnsi="Calibri" w:cs="Calibri"/>
                <w:b/>
                <w:bCs/>
                <w:sz w:val="20"/>
                <w:szCs w:val="20"/>
                <w:lang w:eastAsia="cs-CZ"/>
              </w:rPr>
              <w:t>Doba průměrování</w:t>
            </w:r>
          </w:p>
        </w:tc>
        <w:tc>
          <w:tcPr>
            <w:tcW w:w="1748" w:type="pct"/>
            <w:gridSpan w:val="2"/>
            <w:tcBorders>
              <w:top w:val="single" w:sz="4" w:space="0" w:color="auto"/>
              <w:left w:val="nil"/>
              <w:bottom w:val="single" w:sz="4" w:space="0" w:color="auto"/>
              <w:right w:val="single" w:sz="4" w:space="0" w:color="auto"/>
            </w:tcBorders>
            <w:shd w:val="clear" w:color="000000" w:fill="E5F1FF"/>
            <w:vAlign w:val="center"/>
            <w:hideMark/>
          </w:tcPr>
          <w:p w14:paraId="1930B34E" w14:textId="69700F80" w:rsidR="00395345" w:rsidRPr="00CF4750" w:rsidRDefault="00644D5C" w:rsidP="00815722">
            <w:pPr>
              <w:jc w:val="center"/>
              <w:rPr>
                <w:rFonts w:ascii="Calibri" w:hAnsi="Calibri" w:cs="Calibri"/>
                <w:b/>
                <w:bCs/>
                <w:sz w:val="20"/>
                <w:szCs w:val="20"/>
                <w:lang w:eastAsia="cs-CZ"/>
              </w:rPr>
            </w:pPr>
            <w:r>
              <w:rPr>
                <w:rFonts w:ascii="Calibri" w:hAnsi="Calibri" w:cs="Calibri"/>
                <w:b/>
                <w:bCs/>
                <w:sz w:val="20"/>
                <w:szCs w:val="20"/>
                <w:lang w:eastAsia="cs-CZ"/>
              </w:rPr>
              <w:t xml:space="preserve">Mez pro posuzování </w:t>
            </w:r>
            <w:r w:rsidR="00815722">
              <w:rPr>
                <w:rFonts w:ascii="Calibri" w:hAnsi="Calibri" w:cs="Calibri"/>
                <w:b/>
                <w:bCs/>
                <w:sz w:val="20"/>
                <w:szCs w:val="20"/>
                <w:lang w:eastAsia="cs-CZ"/>
              </w:rPr>
              <w:t>(v </w:t>
            </w:r>
            <w:r>
              <w:rPr>
                <w:rFonts w:ascii="Calibri" w:hAnsi="Calibri" w:cs="Calibri"/>
                <w:b/>
                <w:bCs/>
                <w:sz w:val="20"/>
                <w:szCs w:val="20"/>
                <w:lang w:eastAsia="cs-CZ"/>
              </w:rPr>
              <w:t>µg/</w:t>
            </w:r>
            <w:r w:rsidR="00395345" w:rsidRPr="00CF4750">
              <w:rPr>
                <w:rFonts w:ascii="Calibri" w:hAnsi="Calibri" w:cs="Calibri"/>
                <w:b/>
                <w:bCs/>
                <w:sz w:val="20"/>
                <w:szCs w:val="20"/>
                <w:lang w:eastAsia="cs-CZ"/>
              </w:rPr>
              <w:t>m</w:t>
            </w:r>
            <w:r w:rsidR="00395345" w:rsidRPr="00CF4750">
              <w:rPr>
                <w:rFonts w:ascii="Calibri" w:hAnsi="Calibri" w:cs="Calibri"/>
                <w:b/>
                <w:bCs/>
                <w:sz w:val="20"/>
                <w:szCs w:val="20"/>
                <w:vertAlign w:val="superscript"/>
                <w:lang w:eastAsia="cs-CZ"/>
              </w:rPr>
              <w:t>3</w:t>
            </w:r>
            <w:r w:rsidR="00815722">
              <w:rPr>
                <w:rFonts w:ascii="Calibri" w:hAnsi="Calibri" w:cs="Calibri"/>
                <w:b/>
                <w:bCs/>
                <w:sz w:val="20"/>
                <w:szCs w:val="20"/>
                <w:lang w:eastAsia="cs-CZ"/>
              </w:rPr>
              <w:t>)</w:t>
            </w:r>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7C5B63FD" w14:textId="6C7444D8" w:rsidR="00395345" w:rsidRPr="00CF4750" w:rsidRDefault="00635EBF" w:rsidP="00815722">
            <w:pPr>
              <w:jc w:val="center"/>
              <w:rPr>
                <w:rFonts w:ascii="Calibri" w:hAnsi="Calibri" w:cs="Calibri"/>
                <w:b/>
                <w:bCs/>
                <w:sz w:val="20"/>
                <w:szCs w:val="20"/>
                <w:lang w:eastAsia="cs-CZ"/>
              </w:rPr>
            </w:pPr>
            <w:r>
              <w:rPr>
                <w:rFonts w:ascii="Calibri" w:hAnsi="Calibri" w:cs="Calibri"/>
                <w:b/>
                <w:bCs/>
                <w:sz w:val="20"/>
                <w:szCs w:val="20"/>
                <w:lang w:eastAsia="cs-CZ"/>
              </w:rPr>
              <w:t xml:space="preserve">Imisní limit </w:t>
            </w:r>
            <w:r w:rsidR="00815722">
              <w:rPr>
                <w:rFonts w:ascii="Calibri" w:hAnsi="Calibri" w:cs="Calibri"/>
                <w:b/>
                <w:bCs/>
                <w:sz w:val="20"/>
                <w:szCs w:val="20"/>
                <w:lang w:eastAsia="cs-CZ"/>
              </w:rPr>
              <w:t>(v </w:t>
            </w:r>
            <w:r>
              <w:rPr>
                <w:rFonts w:ascii="Calibri" w:hAnsi="Calibri" w:cs="Calibri"/>
                <w:b/>
                <w:bCs/>
                <w:sz w:val="20"/>
                <w:szCs w:val="20"/>
                <w:lang w:eastAsia="cs-CZ"/>
              </w:rPr>
              <w:t>µg/</w:t>
            </w:r>
            <w:r w:rsidR="00395345" w:rsidRPr="00CF4750">
              <w:rPr>
                <w:rFonts w:ascii="Calibri" w:hAnsi="Calibri" w:cs="Calibri"/>
                <w:b/>
                <w:bCs/>
                <w:sz w:val="20"/>
                <w:szCs w:val="20"/>
                <w:lang w:eastAsia="cs-CZ"/>
              </w:rPr>
              <w:t>m</w:t>
            </w:r>
            <w:r w:rsidR="00395345" w:rsidRPr="00CF4750">
              <w:rPr>
                <w:rFonts w:ascii="Calibri" w:hAnsi="Calibri" w:cs="Calibri"/>
                <w:b/>
                <w:bCs/>
                <w:sz w:val="20"/>
                <w:szCs w:val="20"/>
                <w:vertAlign w:val="superscript"/>
                <w:lang w:eastAsia="cs-CZ"/>
              </w:rPr>
              <w:t>3</w:t>
            </w:r>
            <w:r w:rsidR="00815722">
              <w:rPr>
                <w:rFonts w:ascii="Calibri" w:hAnsi="Calibri" w:cs="Calibri"/>
                <w:b/>
                <w:bCs/>
                <w:sz w:val="20"/>
                <w:szCs w:val="20"/>
                <w:lang w:eastAsia="cs-CZ"/>
              </w:rPr>
              <w:t>)</w:t>
            </w:r>
          </w:p>
        </w:tc>
      </w:tr>
      <w:tr w:rsidR="00B9337F" w14:paraId="1539EB60" w14:textId="77777777" w:rsidTr="002350E3">
        <w:trPr>
          <w:trHeight w:val="283"/>
        </w:trPr>
        <w:tc>
          <w:tcPr>
            <w:tcW w:w="896" w:type="pct"/>
            <w:vMerge/>
            <w:tcBorders>
              <w:top w:val="single" w:sz="4" w:space="0" w:color="auto"/>
              <w:left w:val="single" w:sz="4" w:space="0" w:color="auto"/>
              <w:bottom w:val="single" w:sz="4" w:space="0" w:color="auto"/>
              <w:right w:val="single" w:sz="4" w:space="0" w:color="auto"/>
            </w:tcBorders>
            <w:vAlign w:val="center"/>
            <w:hideMark/>
          </w:tcPr>
          <w:p w14:paraId="059F5637" w14:textId="77777777" w:rsidR="00395345" w:rsidRPr="00CF4750" w:rsidRDefault="00395345" w:rsidP="00395345">
            <w:pPr>
              <w:rPr>
                <w:rFonts w:ascii="Calibri" w:hAnsi="Calibri" w:cs="Calibri"/>
                <w:b/>
                <w:bCs/>
                <w:sz w:val="20"/>
                <w:szCs w:val="20"/>
                <w:lang w:eastAsia="cs-CZ"/>
              </w:rPr>
            </w:pPr>
          </w:p>
        </w:tc>
        <w:tc>
          <w:tcPr>
            <w:tcW w:w="1320" w:type="pct"/>
            <w:vMerge/>
            <w:tcBorders>
              <w:top w:val="single" w:sz="4" w:space="0" w:color="auto"/>
              <w:left w:val="single" w:sz="4" w:space="0" w:color="auto"/>
              <w:bottom w:val="single" w:sz="4" w:space="0" w:color="auto"/>
              <w:right w:val="single" w:sz="4" w:space="0" w:color="auto"/>
            </w:tcBorders>
            <w:vAlign w:val="center"/>
            <w:hideMark/>
          </w:tcPr>
          <w:p w14:paraId="4CBB2F15" w14:textId="77777777" w:rsidR="00395345" w:rsidRPr="00CF4750" w:rsidRDefault="00395345" w:rsidP="00395345">
            <w:pPr>
              <w:rPr>
                <w:rFonts w:ascii="Calibri" w:hAnsi="Calibri" w:cs="Calibri"/>
                <w:b/>
                <w:bCs/>
                <w:sz w:val="20"/>
                <w:szCs w:val="20"/>
                <w:lang w:eastAsia="cs-CZ"/>
              </w:rPr>
            </w:pPr>
          </w:p>
        </w:tc>
        <w:tc>
          <w:tcPr>
            <w:tcW w:w="874" w:type="pct"/>
            <w:tcBorders>
              <w:top w:val="nil"/>
              <w:left w:val="nil"/>
              <w:bottom w:val="single" w:sz="4" w:space="0" w:color="auto"/>
              <w:right w:val="single" w:sz="4" w:space="0" w:color="auto"/>
            </w:tcBorders>
            <w:shd w:val="clear" w:color="000000" w:fill="E5F1FF"/>
            <w:noWrap/>
            <w:vAlign w:val="center"/>
            <w:hideMark/>
          </w:tcPr>
          <w:p w14:paraId="440A0DD3" w14:textId="77777777" w:rsidR="00395345" w:rsidRPr="00CF4750" w:rsidRDefault="00395345" w:rsidP="00395345">
            <w:pPr>
              <w:jc w:val="center"/>
              <w:rPr>
                <w:rFonts w:ascii="Calibri" w:hAnsi="Calibri" w:cs="Calibri"/>
                <w:b/>
                <w:bCs/>
                <w:sz w:val="20"/>
                <w:szCs w:val="20"/>
                <w:lang w:eastAsia="cs-CZ"/>
              </w:rPr>
            </w:pPr>
            <w:r w:rsidRPr="00CF4750">
              <w:rPr>
                <w:rFonts w:ascii="Calibri" w:hAnsi="Calibri" w:cs="Calibri"/>
                <w:b/>
                <w:bCs/>
                <w:sz w:val="20"/>
                <w:szCs w:val="20"/>
                <w:lang w:eastAsia="cs-CZ"/>
              </w:rPr>
              <w:t>Dolní LAT</w:t>
            </w:r>
          </w:p>
        </w:tc>
        <w:tc>
          <w:tcPr>
            <w:tcW w:w="874" w:type="pct"/>
            <w:tcBorders>
              <w:top w:val="nil"/>
              <w:left w:val="nil"/>
              <w:bottom w:val="single" w:sz="4" w:space="0" w:color="auto"/>
              <w:right w:val="single" w:sz="4" w:space="0" w:color="auto"/>
            </w:tcBorders>
            <w:shd w:val="clear" w:color="000000" w:fill="E5F1FF"/>
            <w:noWrap/>
            <w:vAlign w:val="center"/>
            <w:hideMark/>
          </w:tcPr>
          <w:p w14:paraId="50C11F48" w14:textId="77777777" w:rsidR="00395345" w:rsidRPr="00CF4750" w:rsidRDefault="00395345" w:rsidP="00395345">
            <w:pPr>
              <w:jc w:val="center"/>
              <w:rPr>
                <w:rFonts w:ascii="Calibri" w:hAnsi="Calibri" w:cs="Calibri"/>
                <w:b/>
                <w:bCs/>
                <w:sz w:val="20"/>
                <w:szCs w:val="20"/>
                <w:lang w:eastAsia="cs-CZ"/>
              </w:rPr>
            </w:pPr>
            <w:r w:rsidRPr="00CF4750">
              <w:rPr>
                <w:rFonts w:ascii="Calibri" w:hAnsi="Calibri" w:cs="Calibri"/>
                <w:b/>
                <w:bCs/>
                <w:sz w:val="20"/>
                <w:szCs w:val="20"/>
                <w:lang w:eastAsia="cs-CZ"/>
              </w:rPr>
              <w:t>Horní UAT</w:t>
            </w: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BD9FFE0" w14:textId="77777777" w:rsidR="00395345" w:rsidRPr="00CF4750" w:rsidRDefault="00395345" w:rsidP="00395345">
            <w:pPr>
              <w:rPr>
                <w:rFonts w:ascii="Calibri" w:hAnsi="Calibri" w:cs="Calibri"/>
                <w:b/>
                <w:bCs/>
                <w:sz w:val="20"/>
                <w:szCs w:val="20"/>
                <w:lang w:eastAsia="cs-CZ"/>
              </w:rPr>
            </w:pPr>
          </w:p>
        </w:tc>
      </w:tr>
      <w:tr w:rsidR="00B9337F" w14:paraId="0FED13CC" w14:textId="77777777" w:rsidTr="002350E3">
        <w:trPr>
          <w:trHeight w:val="283"/>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0781C9"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SO</w:t>
            </w:r>
            <w:r w:rsidRPr="00CF4750">
              <w:rPr>
                <w:rFonts w:ascii="Calibri" w:hAnsi="Calibri" w:cs="Calibri"/>
                <w:color w:val="000000"/>
                <w:sz w:val="20"/>
                <w:szCs w:val="20"/>
                <w:vertAlign w:val="subscript"/>
                <w:lang w:eastAsia="cs-CZ"/>
              </w:rPr>
              <w:t>2</w:t>
            </w:r>
          </w:p>
        </w:tc>
        <w:tc>
          <w:tcPr>
            <w:tcW w:w="1320" w:type="pct"/>
            <w:tcBorders>
              <w:top w:val="nil"/>
              <w:left w:val="nil"/>
              <w:bottom w:val="single" w:sz="4" w:space="0" w:color="auto"/>
              <w:right w:val="single" w:sz="4" w:space="0" w:color="auto"/>
            </w:tcBorders>
            <w:shd w:val="clear" w:color="auto" w:fill="auto"/>
            <w:noWrap/>
            <w:vAlign w:val="center"/>
            <w:hideMark/>
          </w:tcPr>
          <w:p w14:paraId="3D0AF9E6" w14:textId="77777777" w:rsidR="00395345" w:rsidRPr="00CF4750" w:rsidRDefault="00395345" w:rsidP="00395345">
            <w:pPr>
              <w:rPr>
                <w:rFonts w:ascii="Calibri" w:hAnsi="Calibri" w:cs="Calibri"/>
                <w:color w:val="000000"/>
                <w:sz w:val="20"/>
                <w:szCs w:val="20"/>
                <w:lang w:eastAsia="cs-CZ"/>
              </w:rPr>
            </w:pPr>
            <w:r w:rsidRPr="00CF4750">
              <w:rPr>
                <w:rFonts w:ascii="Calibri" w:hAnsi="Calibri" w:cs="Calibri"/>
                <w:color w:val="000000"/>
                <w:sz w:val="20"/>
                <w:szCs w:val="20"/>
                <w:lang w:eastAsia="cs-CZ"/>
              </w:rPr>
              <w:t>1 hodina</w:t>
            </w:r>
          </w:p>
        </w:tc>
        <w:tc>
          <w:tcPr>
            <w:tcW w:w="874" w:type="pct"/>
            <w:tcBorders>
              <w:top w:val="nil"/>
              <w:left w:val="nil"/>
              <w:bottom w:val="single" w:sz="4" w:space="0" w:color="auto"/>
              <w:right w:val="single" w:sz="4" w:space="0" w:color="auto"/>
            </w:tcBorders>
            <w:shd w:val="clear" w:color="auto" w:fill="auto"/>
            <w:vAlign w:val="center"/>
            <w:hideMark/>
          </w:tcPr>
          <w:p w14:paraId="6921CC63"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w:t>
            </w:r>
          </w:p>
        </w:tc>
        <w:tc>
          <w:tcPr>
            <w:tcW w:w="874" w:type="pct"/>
            <w:tcBorders>
              <w:top w:val="nil"/>
              <w:left w:val="nil"/>
              <w:bottom w:val="single" w:sz="4" w:space="0" w:color="auto"/>
              <w:right w:val="single" w:sz="4" w:space="0" w:color="auto"/>
            </w:tcBorders>
            <w:shd w:val="clear" w:color="auto" w:fill="auto"/>
            <w:vAlign w:val="center"/>
            <w:hideMark/>
          </w:tcPr>
          <w:p w14:paraId="50AAD804"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w:t>
            </w:r>
          </w:p>
        </w:tc>
        <w:tc>
          <w:tcPr>
            <w:tcW w:w="1036" w:type="pct"/>
            <w:tcBorders>
              <w:top w:val="nil"/>
              <w:left w:val="nil"/>
              <w:bottom w:val="single" w:sz="4" w:space="0" w:color="auto"/>
              <w:right w:val="single" w:sz="4" w:space="0" w:color="auto"/>
            </w:tcBorders>
            <w:shd w:val="clear" w:color="auto" w:fill="auto"/>
            <w:vAlign w:val="center"/>
            <w:hideMark/>
          </w:tcPr>
          <w:p w14:paraId="452DFA6D"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350</w:t>
            </w:r>
            <w:r w:rsidRPr="00CF4750">
              <w:rPr>
                <w:rFonts w:ascii="Calibri" w:hAnsi="Calibri" w:cs="Calibri"/>
                <w:color w:val="000000"/>
                <w:sz w:val="20"/>
                <w:szCs w:val="20"/>
                <w:lang w:eastAsia="cs-CZ"/>
              </w:rPr>
              <w:br/>
              <w:t>max. 24x za rok</w:t>
            </w:r>
          </w:p>
        </w:tc>
      </w:tr>
      <w:tr w:rsidR="00B9337F" w14:paraId="152F1207" w14:textId="77777777" w:rsidTr="002350E3">
        <w:trPr>
          <w:trHeight w:val="283"/>
        </w:trPr>
        <w:tc>
          <w:tcPr>
            <w:tcW w:w="896" w:type="pct"/>
            <w:vMerge/>
            <w:tcBorders>
              <w:top w:val="nil"/>
              <w:left w:val="single" w:sz="4" w:space="0" w:color="auto"/>
              <w:bottom w:val="single" w:sz="4" w:space="0" w:color="auto"/>
              <w:right w:val="single" w:sz="4" w:space="0" w:color="auto"/>
            </w:tcBorders>
            <w:vAlign w:val="center"/>
            <w:hideMark/>
          </w:tcPr>
          <w:p w14:paraId="151D37AD" w14:textId="77777777" w:rsidR="00395345" w:rsidRPr="00CF4750" w:rsidRDefault="00395345" w:rsidP="00395345">
            <w:pPr>
              <w:rPr>
                <w:rFonts w:ascii="Calibri" w:hAnsi="Calibri" w:cs="Calibri"/>
                <w:color w:val="000000"/>
                <w:sz w:val="20"/>
                <w:szCs w:val="20"/>
                <w:lang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1CEDB507" w14:textId="77777777" w:rsidR="00395345" w:rsidRPr="00CF4750" w:rsidRDefault="00395345" w:rsidP="00395345">
            <w:pPr>
              <w:rPr>
                <w:rFonts w:ascii="Calibri" w:hAnsi="Calibri" w:cs="Calibri"/>
                <w:color w:val="000000"/>
                <w:sz w:val="20"/>
                <w:szCs w:val="20"/>
                <w:lang w:eastAsia="cs-CZ"/>
              </w:rPr>
            </w:pPr>
            <w:r w:rsidRPr="00CF4750">
              <w:rPr>
                <w:rFonts w:ascii="Calibri" w:hAnsi="Calibri" w:cs="Calibri"/>
                <w:color w:val="000000"/>
                <w:sz w:val="20"/>
                <w:szCs w:val="20"/>
                <w:lang w:eastAsia="cs-CZ"/>
              </w:rPr>
              <w:t>24 hodin</w:t>
            </w:r>
          </w:p>
        </w:tc>
        <w:tc>
          <w:tcPr>
            <w:tcW w:w="874" w:type="pct"/>
            <w:tcBorders>
              <w:top w:val="nil"/>
              <w:left w:val="nil"/>
              <w:bottom w:val="single" w:sz="4" w:space="0" w:color="auto"/>
              <w:right w:val="single" w:sz="4" w:space="0" w:color="auto"/>
            </w:tcBorders>
            <w:shd w:val="clear" w:color="auto" w:fill="auto"/>
            <w:vAlign w:val="center"/>
            <w:hideMark/>
          </w:tcPr>
          <w:p w14:paraId="66468477"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50</w:t>
            </w:r>
            <w:r w:rsidRPr="00CF4750">
              <w:rPr>
                <w:rFonts w:ascii="Calibri" w:hAnsi="Calibri" w:cs="Calibri"/>
                <w:color w:val="000000"/>
                <w:sz w:val="20"/>
                <w:szCs w:val="20"/>
                <w:lang w:eastAsia="cs-CZ"/>
              </w:rPr>
              <w:br/>
              <w:t>max. 3x za rok</w:t>
            </w:r>
          </w:p>
        </w:tc>
        <w:tc>
          <w:tcPr>
            <w:tcW w:w="874" w:type="pct"/>
            <w:tcBorders>
              <w:top w:val="nil"/>
              <w:left w:val="nil"/>
              <w:bottom w:val="single" w:sz="4" w:space="0" w:color="auto"/>
              <w:right w:val="single" w:sz="4" w:space="0" w:color="auto"/>
            </w:tcBorders>
            <w:shd w:val="clear" w:color="auto" w:fill="auto"/>
            <w:vAlign w:val="center"/>
            <w:hideMark/>
          </w:tcPr>
          <w:p w14:paraId="3A54A88A"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75</w:t>
            </w:r>
            <w:r w:rsidRPr="00CF4750">
              <w:rPr>
                <w:rFonts w:ascii="Calibri" w:hAnsi="Calibri" w:cs="Calibri"/>
                <w:color w:val="000000"/>
                <w:sz w:val="20"/>
                <w:szCs w:val="20"/>
                <w:lang w:eastAsia="cs-CZ"/>
              </w:rPr>
              <w:br/>
              <w:t>max. 3x za rok</w:t>
            </w:r>
          </w:p>
        </w:tc>
        <w:tc>
          <w:tcPr>
            <w:tcW w:w="1036" w:type="pct"/>
            <w:tcBorders>
              <w:top w:val="nil"/>
              <w:left w:val="nil"/>
              <w:bottom w:val="single" w:sz="4" w:space="0" w:color="auto"/>
              <w:right w:val="single" w:sz="4" w:space="0" w:color="auto"/>
            </w:tcBorders>
            <w:shd w:val="clear" w:color="auto" w:fill="auto"/>
            <w:vAlign w:val="center"/>
            <w:hideMark/>
          </w:tcPr>
          <w:p w14:paraId="5CD291C5"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125</w:t>
            </w:r>
            <w:r w:rsidRPr="00CF4750">
              <w:rPr>
                <w:rFonts w:ascii="Calibri" w:hAnsi="Calibri" w:cs="Calibri"/>
                <w:color w:val="000000"/>
                <w:sz w:val="20"/>
                <w:szCs w:val="20"/>
                <w:lang w:eastAsia="cs-CZ"/>
              </w:rPr>
              <w:br/>
              <w:t xml:space="preserve">max. 3x za rok </w:t>
            </w:r>
          </w:p>
        </w:tc>
      </w:tr>
      <w:tr w:rsidR="00B9337F" w14:paraId="589C09FC" w14:textId="77777777" w:rsidTr="002350E3">
        <w:trPr>
          <w:trHeight w:val="283"/>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D359C1"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NO</w:t>
            </w:r>
            <w:r w:rsidRPr="00CF4750">
              <w:rPr>
                <w:rFonts w:ascii="Calibri" w:hAnsi="Calibri" w:cs="Calibri"/>
                <w:color w:val="000000"/>
                <w:sz w:val="20"/>
                <w:szCs w:val="20"/>
                <w:vertAlign w:val="subscript"/>
                <w:lang w:eastAsia="cs-CZ"/>
              </w:rPr>
              <w:t>2</w:t>
            </w:r>
          </w:p>
        </w:tc>
        <w:tc>
          <w:tcPr>
            <w:tcW w:w="1320" w:type="pct"/>
            <w:tcBorders>
              <w:top w:val="nil"/>
              <w:left w:val="nil"/>
              <w:bottom w:val="single" w:sz="4" w:space="0" w:color="auto"/>
              <w:right w:val="single" w:sz="4" w:space="0" w:color="auto"/>
            </w:tcBorders>
            <w:shd w:val="clear" w:color="auto" w:fill="auto"/>
            <w:noWrap/>
            <w:vAlign w:val="center"/>
            <w:hideMark/>
          </w:tcPr>
          <w:p w14:paraId="4C271854" w14:textId="77777777" w:rsidR="00395345" w:rsidRPr="00CF4750" w:rsidRDefault="00395345" w:rsidP="00395345">
            <w:pPr>
              <w:rPr>
                <w:rFonts w:ascii="Calibri" w:hAnsi="Calibri" w:cs="Calibri"/>
                <w:color w:val="000000"/>
                <w:sz w:val="20"/>
                <w:szCs w:val="20"/>
                <w:lang w:eastAsia="cs-CZ"/>
              </w:rPr>
            </w:pPr>
            <w:r w:rsidRPr="00CF4750">
              <w:rPr>
                <w:rFonts w:ascii="Calibri" w:hAnsi="Calibri" w:cs="Calibri"/>
                <w:color w:val="000000"/>
                <w:sz w:val="20"/>
                <w:szCs w:val="20"/>
                <w:lang w:eastAsia="cs-CZ"/>
              </w:rPr>
              <w:t>1 hodina</w:t>
            </w:r>
          </w:p>
        </w:tc>
        <w:tc>
          <w:tcPr>
            <w:tcW w:w="874" w:type="pct"/>
            <w:tcBorders>
              <w:top w:val="nil"/>
              <w:left w:val="nil"/>
              <w:bottom w:val="single" w:sz="4" w:space="0" w:color="auto"/>
              <w:right w:val="single" w:sz="4" w:space="0" w:color="auto"/>
            </w:tcBorders>
            <w:shd w:val="clear" w:color="auto" w:fill="auto"/>
            <w:vAlign w:val="center"/>
            <w:hideMark/>
          </w:tcPr>
          <w:p w14:paraId="12DD38D8"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100</w:t>
            </w:r>
            <w:r w:rsidRPr="00CF4750">
              <w:rPr>
                <w:rFonts w:ascii="Calibri" w:hAnsi="Calibri" w:cs="Calibri"/>
                <w:color w:val="000000"/>
                <w:sz w:val="20"/>
                <w:szCs w:val="20"/>
                <w:lang w:eastAsia="cs-CZ"/>
              </w:rPr>
              <w:br/>
              <w:t>max. 18x za rok</w:t>
            </w:r>
          </w:p>
        </w:tc>
        <w:tc>
          <w:tcPr>
            <w:tcW w:w="874" w:type="pct"/>
            <w:tcBorders>
              <w:top w:val="nil"/>
              <w:left w:val="nil"/>
              <w:bottom w:val="single" w:sz="4" w:space="0" w:color="auto"/>
              <w:right w:val="single" w:sz="4" w:space="0" w:color="auto"/>
            </w:tcBorders>
            <w:shd w:val="clear" w:color="auto" w:fill="auto"/>
            <w:vAlign w:val="center"/>
            <w:hideMark/>
          </w:tcPr>
          <w:p w14:paraId="4BDA6047"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140</w:t>
            </w:r>
            <w:r w:rsidRPr="00CF4750">
              <w:rPr>
                <w:rFonts w:ascii="Calibri" w:hAnsi="Calibri" w:cs="Calibri"/>
                <w:color w:val="000000"/>
                <w:sz w:val="20"/>
                <w:szCs w:val="20"/>
                <w:lang w:eastAsia="cs-CZ"/>
              </w:rPr>
              <w:br/>
              <w:t>max. 18x za rok</w:t>
            </w:r>
          </w:p>
        </w:tc>
        <w:tc>
          <w:tcPr>
            <w:tcW w:w="1036" w:type="pct"/>
            <w:tcBorders>
              <w:top w:val="nil"/>
              <w:left w:val="nil"/>
              <w:bottom w:val="single" w:sz="4" w:space="0" w:color="auto"/>
              <w:right w:val="single" w:sz="4" w:space="0" w:color="auto"/>
            </w:tcBorders>
            <w:shd w:val="clear" w:color="auto" w:fill="auto"/>
            <w:vAlign w:val="center"/>
            <w:hideMark/>
          </w:tcPr>
          <w:p w14:paraId="13AC6B46"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200</w:t>
            </w:r>
            <w:r w:rsidRPr="00CF4750">
              <w:rPr>
                <w:rFonts w:ascii="Calibri" w:hAnsi="Calibri" w:cs="Calibri"/>
                <w:color w:val="000000"/>
                <w:sz w:val="20"/>
                <w:szCs w:val="20"/>
                <w:lang w:eastAsia="cs-CZ"/>
              </w:rPr>
              <w:br/>
              <w:t>max. 18x za rok</w:t>
            </w:r>
          </w:p>
        </w:tc>
      </w:tr>
      <w:tr w:rsidR="00B9337F" w14:paraId="3CFFB3DE" w14:textId="77777777" w:rsidTr="002350E3">
        <w:trPr>
          <w:trHeight w:val="283"/>
        </w:trPr>
        <w:tc>
          <w:tcPr>
            <w:tcW w:w="896" w:type="pct"/>
            <w:vMerge/>
            <w:tcBorders>
              <w:top w:val="nil"/>
              <w:left w:val="single" w:sz="4" w:space="0" w:color="auto"/>
              <w:bottom w:val="single" w:sz="4" w:space="0" w:color="auto"/>
              <w:right w:val="single" w:sz="4" w:space="0" w:color="auto"/>
            </w:tcBorders>
            <w:vAlign w:val="center"/>
            <w:hideMark/>
          </w:tcPr>
          <w:p w14:paraId="7537F32B" w14:textId="77777777" w:rsidR="00395345" w:rsidRPr="00CF4750" w:rsidRDefault="00395345" w:rsidP="00395345">
            <w:pPr>
              <w:rPr>
                <w:rFonts w:ascii="Calibri" w:hAnsi="Calibri" w:cs="Calibri"/>
                <w:color w:val="000000"/>
                <w:sz w:val="20"/>
                <w:szCs w:val="20"/>
                <w:lang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7E78A4AA" w14:textId="77777777" w:rsidR="00395345" w:rsidRPr="00CF4750" w:rsidRDefault="00395345" w:rsidP="00395345">
            <w:pPr>
              <w:rPr>
                <w:rFonts w:ascii="Calibri" w:hAnsi="Calibri" w:cs="Calibri"/>
                <w:color w:val="000000"/>
                <w:sz w:val="20"/>
                <w:szCs w:val="20"/>
                <w:lang w:eastAsia="cs-CZ"/>
              </w:rPr>
            </w:pPr>
            <w:r w:rsidRPr="00CF4750">
              <w:rPr>
                <w:rFonts w:ascii="Calibri" w:hAnsi="Calibri" w:cs="Calibri"/>
                <w:color w:val="000000"/>
                <w:sz w:val="20"/>
                <w:szCs w:val="20"/>
                <w:lang w:eastAsia="cs-CZ"/>
              </w:rPr>
              <w:t>kalendářní rok</w:t>
            </w:r>
          </w:p>
        </w:tc>
        <w:tc>
          <w:tcPr>
            <w:tcW w:w="874" w:type="pct"/>
            <w:tcBorders>
              <w:top w:val="nil"/>
              <w:left w:val="nil"/>
              <w:bottom w:val="single" w:sz="4" w:space="0" w:color="auto"/>
              <w:right w:val="single" w:sz="4" w:space="0" w:color="auto"/>
            </w:tcBorders>
            <w:shd w:val="clear" w:color="auto" w:fill="auto"/>
            <w:vAlign w:val="center"/>
            <w:hideMark/>
          </w:tcPr>
          <w:p w14:paraId="75520B43"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26</w:t>
            </w:r>
          </w:p>
        </w:tc>
        <w:tc>
          <w:tcPr>
            <w:tcW w:w="874" w:type="pct"/>
            <w:tcBorders>
              <w:top w:val="nil"/>
              <w:left w:val="nil"/>
              <w:bottom w:val="single" w:sz="4" w:space="0" w:color="auto"/>
              <w:right w:val="single" w:sz="4" w:space="0" w:color="auto"/>
            </w:tcBorders>
            <w:shd w:val="clear" w:color="auto" w:fill="auto"/>
            <w:vAlign w:val="center"/>
            <w:hideMark/>
          </w:tcPr>
          <w:p w14:paraId="6786ECC5"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32</w:t>
            </w:r>
          </w:p>
        </w:tc>
        <w:tc>
          <w:tcPr>
            <w:tcW w:w="1036" w:type="pct"/>
            <w:tcBorders>
              <w:top w:val="nil"/>
              <w:left w:val="nil"/>
              <w:bottom w:val="single" w:sz="4" w:space="0" w:color="auto"/>
              <w:right w:val="single" w:sz="4" w:space="0" w:color="auto"/>
            </w:tcBorders>
            <w:shd w:val="clear" w:color="auto" w:fill="auto"/>
            <w:vAlign w:val="center"/>
            <w:hideMark/>
          </w:tcPr>
          <w:p w14:paraId="3E361CE8"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40</w:t>
            </w:r>
          </w:p>
        </w:tc>
      </w:tr>
      <w:tr w:rsidR="00B9337F" w14:paraId="600F0766" w14:textId="77777777" w:rsidTr="002350E3">
        <w:trPr>
          <w:trHeight w:val="283"/>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A41F58"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PM</w:t>
            </w:r>
            <w:r w:rsidRPr="00CF4750">
              <w:rPr>
                <w:rFonts w:ascii="Calibri" w:hAnsi="Calibri" w:cs="Calibri"/>
                <w:color w:val="000000"/>
                <w:sz w:val="20"/>
                <w:szCs w:val="20"/>
                <w:vertAlign w:val="subscript"/>
                <w:lang w:eastAsia="cs-CZ"/>
              </w:rPr>
              <w:t>10</w:t>
            </w:r>
          </w:p>
        </w:tc>
        <w:tc>
          <w:tcPr>
            <w:tcW w:w="1320" w:type="pct"/>
            <w:tcBorders>
              <w:top w:val="nil"/>
              <w:left w:val="nil"/>
              <w:bottom w:val="single" w:sz="4" w:space="0" w:color="auto"/>
              <w:right w:val="single" w:sz="4" w:space="0" w:color="auto"/>
            </w:tcBorders>
            <w:shd w:val="clear" w:color="auto" w:fill="auto"/>
            <w:noWrap/>
            <w:vAlign w:val="center"/>
            <w:hideMark/>
          </w:tcPr>
          <w:p w14:paraId="0B5348B1" w14:textId="77777777" w:rsidR="00395345" w:rsidRPr="00CF4750" w:rsidRDefault="00395345" w:rsidP="00395345">
            <w:pPr>
              <w:rPr>
                <w:rFonts w:ascii="Calibri" w:hAnsi="Calibri" w:cs="Calibri"/>
                <w:color w:val="000000"/>
                <w:sz w:val="20"/>
                <w:szCs w:val="20"/>
                <w:lang w:eastAsia="cs-CZ"/>
              </w:rPr>
            </w:pPr>
            <w:r w:rsidRPr="00CF4750">
              <w:rPr>
                <w:rFonts w:ascii="Calibri" w:hAnsi="Calibri" w:cs="Calibri"/>
                <w:color w:val="000000"/>
                <w:sz w:val="20"/>
                <w:szCs w:val="20"/>
                <w:lang w:eastAsia="cs-CZ"/>
              </w:rPr>
              <w:t>24 hodin</w:t>
            </w:r>
          </w:p>
        </w:tc>
        <w:tc>
          <w:tcPr>
            <w:tcW w:w="874" w:type="pct"/>
            <w:tcBorders>
              <w:top w:val="nil"/>
              <w:left w:val="nil"/>
              <w:bottom w:val="single" w:sz="4" w:space="0" w:color="auto"/>
              <w:right w:val="single" w:sz="4" w:space="0" w:color="auto"/>
            </w:tcBorders>
            <w:shd w:val="clear" w:color="auto" w:fill="auto"/>
            <w:vAlign w:val="center"/>
            <w:hideMark/>
          </w:tcPr>
          <w:p w14:paraId="151859FD"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25</w:t>
            </w:r>
            <w:r w:rsidRPr="00CF4750">
              <w:rPr>
                <w:rFonts w:ascii="Calibri" w:hAnsi="Calibri" w:cs="Calibri"/>
                <w:color w:val="000000"/>
                <w:sz w:val="20"/>
                <w:szCs w:val="20"/>
                <w:lang w:eastAsia="cs-CZ"/>
              </w:rPr>
              <w:br/>
              <w:t>max. 35x za rok</w:t>
            </w:r>
          </w:p>
        </w:tc>
        <w:tc>
          <w:tcPr>
            <w:tcW w:w="874" w:type="pct"/>
            <w:tcBorders>
              <w:top w:val="nil"/>
              <w:left w:val="nil"/>
              <w:bottom w:val="single" w:sz="4" w:space="0" w:color="auto"/>
              <w:right w:val="single" w:sz="4" w:space="0" w:color="auto"/>
            </w:tcBorders>
            <w:shd w:val="clear" w:color="auto" w:fill="auto"/>
            <w:vAlign w:val="center"/>
            <w:hideMark/>
          </w:tcPr>
          <w:p w14:paraId="6240EE6A"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35</w:t>
            </w:r>
            <w:r w:rsidRPr="00CF4750">
              <w:rPr>
                <w:rFonts w:ascii="Calibri" w:hAnsi="Calibri" w:cs="Calibri"/>
                <w:color w:val="000000"/>
                <w:sz w:val="20"/>
                <w:szCs w:val="20"/>
                <w:lang w:eastAsia="cs-CZ"/>
              </w:rPr>
              <w:br/>
              <w:t>max. 35x za rok</w:t>
            </w:r>
          </w:p>
        </w:tc>
        <w:tc>
          <w:tcPr>
            <w:tcW w:w="1036" w:type="pct"/>
            <w:tcBorders>
              <w:top w:val="nil"/>
              <w:left w:val="nil"/>
              <w:bottom w:val="single" w:sz="4" w:space="0" w:color="auto"/>
              <w:right w:val="single" w:sz="4" w:space="0" w:color="auto"/>
            </w:tcBorders>
            <w:shd w:val="clear" w:color="auto" w:fill="auto"/>
            <w:vAlign w:val="center"/>
            <w:hideMark/>
          </w:tcPr>
          <w:p w14:paraId="7007387D"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50</w:t>
            </w:r>
            <w:r w:rsidRPr="00CF4750">
              <w:rPr>
                <w:rFonts w:ascii="Calibri" w:hAnsi="Calibri" w:cs="Calibri"/>
                <w:color w:val="000000"/>
                <w:sz w:val="20"/>
                <w:szCs w:val="20"/>
                <w:lang w:eastAsia="cs-CZ"/>
              </w:rPr>
              <w:br/>
              <w:t>max. 35x za rok</w:t>
            </w:r>
          </w:p>
        </w:tc>
      </w:tr>
      <w:tr w:rsidR="00B9337F" w14:paraId="3B962967" w14:textId="77777777" w:rsidTr="002350E3">
        <w:trPr>
          <w:trHeight w:val="283"/>
        </w:trPr>
        <w:tc>
          <w:tcPr>
            <w:tcW w:w="896" w:type="pct"/>
            <w:vMerge/>
            <w:tcBorders>
              <w:top w:val="nil"/>
              <w:left w:val="single" w:sz="4" w:space="0" w:color="auto"/>
              <w:bottom w:val="single" w:sz="4" w:space="0" w:color="auto"/>
              <w:right w:val="single" w:sz="4" w:space="0" w:color="auto"/>
            </w:tcBorders>
            <w:vAlign w:val="center"/>
            <w:hideMark/>
          </w:tcPr>
          <w:p w14:paraId="3B9BB4CA" w14:textId="77777777" w:rsidR="00395345" w:rsidRPr="00CF4750" w:rsidRDefault="00395345" w:rsidP="00395345">
            <w:pPr>
              <w:rPr>
                <w:rFonts w:ascii="Calibri" w:hAnsi="Calibri" w:cs="Calibri"/>
                <w:color w:val="000000"/>
                <w:sz w:val="20"/>
                <w:szCs w:val="20"/>
                <w:lang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5F736FF7" w14:textId="77777777" w:rsidR="00395345" w:rsidRPr="00CF4750" w:rsidRDefault="00395345" w:rsidP="00395345">
            <w:pPr>
              <w:rPr>
                <w:rFonts w:ascii="Calibri" w:hAnsi="Calibri" w:cs="Calibri"/>
                <w:color w:val="000000"/>
                <w:sz w:val="20"/>
                <w:szCs w:val="20"/>
                <w:lang w:eastAsia="cs-CZ"/>
              </w:rPr>
            </w:pPr>
            <w:r w:rsidRPr="00CF4750">
              <w:rPr>
                <w:rFonts w:ascii="Calibri" w:hAnsi="Calibri" w:cs="Calibri"/>
                <w:color w:val="000000"/>
                <w:sz w:val="20"/>
                <w:szCs w:val="20"/>
                <w:lang w:eastAsia="cs-CZ"/>
              </w:rPr>
              <w:t>kalendářní rok</w:t>
            </w:r>
          </w:p>
        </w:tc>
        <w:tc>
          <w:tcPr>
            <w:tcW w:w="874" w:type="pct"/>
            <w:tcBorders>
              <w:top w:val="nil"/>
              <w:left w:val="nil"/>
              <w:bottom w:val="single" w:sz="4" w:space="0" w:color="auto"/>
              <w:right w:val="single" w:sz="4" w:space="0" w:color="auto"/>
            </w:tcBorders>
            <w:shd w:val="clear" w:color="auto" w:fill="auto"/>
            <w:vAlign w:val="center"/>
            <w:hideMark/>
          </w:tcPr>
          <w:p w14:paraId="6A9B349D"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20</w:t>
            </w:r>
          </w:p>
        </w:tc>
        <w:tc>
          <w:tcPr>
            <w:tcW w:w="874" w:type="pct"/>
            <w:tcBorders>
              <w:top w:val="nil"/>
              <w:left w:val="nil"/>
              <w:bottom w:val="single" w:sz="4" w:space="0" w:color="auto"/>
              <w:right w:val="single" w:sz="4" w:space="0" w:color="auto"/>
            </w:tcBorders>
            <w:shd w:val="clear" w:color="auto" w:fill="auto"/>
            <w:vAlign w:val="center"/>
            <w:hideMark/>
          </w:tcPr>
          <w:p w14:paraId="5F3E5BBA"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28</w:t>
            </w:r>
          </w:p>
        </w:tc>
        <w:tc>
          <w:tcPr>
            <w:tcW w:w="1036" w:type="pct"/>
            <w:tcBorders>
              <w:top w:val="nil"/>
              <w:left w:val="nil"/>
              <w:bottom w:val="single" w:sz="4" w:space="0" w:color="auto"/>
              <w:right w:val="single" w:sz="4" w:space="0" w:color="auto"/>
            </w:tcBorders>
            <w:shd w:val="clear" w:color="auto" w:fill="auto"/>
            <w:vAlign w:val="center"/>
            <w:hideMark/>
          </w:tcPr>
          <w:p w14:paraId="7651CF99"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40</w:t>
            </w:r>
          </w:p>
        </w:tc>
      </w:tr>
      <w:tr w:rsidR="00B9337F" w14:paraId="07AB6374" w14:textId="77777777" w:rsidTr="002350E3">
        <w:trPr>
          <w:trHeight w:val="283"/>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0ABF21F9"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PM</w:t>
            </w:r>
            <w:r w:rsidRPr="00CF4750">
              <w:rPr>
                <w:rFonts w:ascii="Calibri" w:hAnsi="Calibri" w:cs="Calibri"/>
                <w:color w:val="000000"/>
                <w:sz w:val="20"/>
                <w:szCs w:val="20"/>
                <w:vertAlign w:val="subscript"/>
                <w:lang w:eastAsia="cs-CZ"/>
              </w:rPr>
              <w:t>2,5</w:t>
            </w:r>
          </w:p>
        </w:tc>
        <w:tc>
          <w:tcPr>
            <w:tcW w:w="1320" w:type="pct"/>
            <w:tcBorders>
              <w:top w:val="nil"/>
              <w:left w:val="nil"/>
              <w:bottom w:val="single" w:sz="4" w:space="0" w:color="auto"/>
              <w:right w:val="single" w:sz="4" w:space="0" w:color="auto"/>
            </w:tcBorders>
            <w:shd w:val="clear" w:color="auto" w:fill="auto"/>
            <w:noWrap/>
            <w:vAlign w:val="center"/>
            <w:hideMark/>
          </w:tcPr>
          <w:p w14:paraId="618700DB" w14:textId="77777777" w:rsidR="00395345" w:rsidRPr="00CF4750" w:rsidRDefault="00395345" w:rsidP="00395345">
            <w:pPr>
              <w:rPr>
                <w:rFonts w:ascii="Calibri" w:hAnsi="Calibri" w:cs="Calibri"/>
                <w:color w:val="000000"/>
                <w:sz w:val="20"/>
                <w:szCs w:val="20"/>
                <w:lang w:eastAsia="cs-CZ"/>
              </w:rPr>
            </w:pPr>
            <w:r w:rsidRPr="00CF4750">
              <w:rPr>
                <w:rFonts w:ascii="Calibri" w:hAnsi="Calibri" w:cs="Calibri"/>
                <w:color w:val="000000"/>
                <w:sz w:val="20"/>
                <w:szCs w:val="20"/>
                <w:lang w:eastAsia="cs-CZ"/>
              </w:rPr>
              <w:t>kalendářní rok</w:t>
            </w:r>
          </w:p>
        </w:tc>
        <w:tc>
          <w:tcPr>
            <w:tcW w:w="874" w:type="pct"/>
            <w:tcBorders>
              <w:top w:val="nil"/>
              <w:left w:val="nil"/>
              <w:bottom w:val="single" w:sz="4" w:space="0" w:color="auto"/>
              <w:right w:val="single" w:sz="4" w:space="0" w:color="auto"/>
            </w:tcBorders>
            <w:shd w:val="clear" w:color="auto" w:fill="auto"/>
            <w:vAlign w:val="center"/>
            <w:hideMark/>
          </w:tcPr>
          <w:p w14:paraId="1338C2A1"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12</w:t>
            </w:r>
          </w:p>
        </w:tc>
        <w:tc>
          <w:tcPr>
            <w:tcW w:w="874" w:type="pct"/>
            <w:tcBorders>
              <w:top w:val="nil"/>
              <w:left w:val="nil"/>
              <w:bottom w:val="single" w:sz="4" w:space="0" w:color="auto"/>
              <w:right w:val="single" w:sz="4" w:space="0" w:color="auto"/>
            </w:tcBorders>
            <w:shd w:val="clear" w:color="auto" w:fill="auto"/>
            <w:vAlign w:val="center"/>
            <w:hideMark/>
          </w:tcPr>
          <w:p w14:paraId="038F51A4"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17</w:t>
            </w:r>
          </w:p>
        </w:tc>
        <w:tc>
          <w:tcPr>
            <w:tcW w:w="1036" w:type="pct"/>
            <w:tcBorders>
              <w:top w:val="nil"/>
              <w:left w:val="nil"/>
              <w:bottom w:val="single" w:sz="4" w:space="0" w:color="auto"/>
              <w:right w:val="single" w:sz="4" w:space="0" w:color="auto"/>
            </w:tcBorders>
            <w:shd w:val="clear" w:color="auto" w:fill="auto"/>
            <w:vAlign w:val="center"/>
            <w:hideMark/>
          </w:tcPr>
          <w:p w14:paraId="2C3BA811"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25</w:t>
            </w:r>
          </w:p>
        </w:tc>
      </w:tr>
    </w:tbl>
    <w:p w14:paraId="5513135C" w14:textId="6D10C4E3" w:rsidR="00395345" w:rsidRPr="008A0F5D" w:rsidRDefault="00395345" w:rsidP="00141703">
      <w:pPr>
        <w:pStyle w:val="Zdrojapozn"/>
        <w:spacing w:before="40"/>
      </w:pPr>
      <w:r w:rsidRPr="00D24707">
        <w:rPr>
          <w:b/>
        </w:rPr>
        <w:t>Zdroj:</w:t>
      </w:r>
      <w:r>
        <w:t xml:space="preserve"> </w:t>
      </w:r>
      <w:r w:rsidR="00815722">
        <w:t>z</w:t>
      </w:r>
      <w:r>
        <w:t xml:space="preserve">ákon č. 201/2012 Sb., </w:t>
      </w:r>
      <w:r w:rsidR="00815722">
        <w:t>v</w:t>
      </w:r>
      <w:r>
        <w:t>yhláška č. 330/2012 Sb.</w:t>
      </w:r>
    </w:p>
    <w:p w14:paraId="4F4E9FDC" w14:textId="77777777" w:rsidR="002350E3" w:rsidRDefault="002350E3" w:rsidP="00141703">
      <w:pPr>
        <w:pStyle w:val="Titulek"/>
        <w:spacing w:after="40"/>
        <w:rPr>
          <w:b/>
        </w:rPr>
      </w:pPr>
    </w:p>
    <w:p w14:paraId="57DA8F6E" w14:textId="100808F6" w:rsidR="00395345" w:rsidRPr="00B1650A" w:rsidRDefault="00395345" w:rsidP="00141703">
      <w:pPr>
        <w:pStyle w:val="Titulek"/>
        <w:spacing w:after="40"/>
        <w:rPr>
          <w:b/>
          <w:lang w:eastAsia="cs-CZ"/>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6</w:t>
      </w:r>
      <w:r w:rsidR="00A36661" w:rsidRPr="00B1650A">
        <w:rPr>
          <w:b/>
          <w:noProof/>
        </w:rPr>
        <w:fldChar w:fldCharType="end"/>
      </w:r>
      <w:r w:rsidRPr="00B1650A">
        <w:rPr>
          <w:b/>
        </w:rPr>
        <w:t xml:space="preserve">: </w:t>
      </w:r>
      <w:r w:rsidRPr="00B1650A">
        <w:rPr>
          <w:b/>
          <w:lang w:eastAsia="cs-CZ"/>
        </w:rPr>
        <w:t xml:space="preserve">Imisní limity pro ochranu zdraví </w:t>
      </w:r>
      <w:r w:rsidR="00815722">
        <w:rPr>
          <w:b/>
          <w:lang w:eastAsia="cs-CZ"/>
        </w:rPr>
        <w:t>–</w:t>
      </w:r>
      <w:r w:rsidRPr="00B1650A">
        <w:rPr>
          <w:b/>
          <w:lang w:eastAsia="cs-CZ"/>
        </w:rPr>
        <w:t xml:space="preserve"> celkový obsah v částicích PM</w:t>
      </w:r>
      <w:r w:rsidRPr="00B1650A">
        <w:rPr>
          <w:b/>
          <w:vertAlign w:val="subscript"/>
          <w:lang w:eastAsia="cs-CZ"/>
        </w:rPr>
        <w:t>10</w:t>
      </w:r>
    </w:p>
    <w:tbl>
      <w:tblPr>
        <w:tblW w:w="5000" w:type="pct"/>
        <w:tblCellMar>
          <w:left w:w="70" w:type="dxa"/>
          <w:right w:w="70" w:type="dxa"/>
        </w:tblCellMar>
        <w:tblLook w:val="04A0" w:firstRow="1" w:lastRow="0" w:firstColumn="1" w:lastColumn="0" w:noHBand="0" w:noVBand="1"/>
      </w:tblPr>
      <w:tblGrid>
        <w:gridCol w:w="1624"/>
        <w:gridCol w:w="2057"/>
        <w:gridCol w:w="1702"/>
        <w:gridCol w:w="1700"/>
        <w:gridCol w:w="1979"/>
      </w:tblGrid>
      <w:tr w:rsidR="00B9337F" w14:paraId="0CDE055C" w14:textId="77777777" w:rsidTr="002350E3">
        <w:trPr>
          <w:trHeight w:val="283"/>
        </w:trPr>
        <w:tc>
          <w:tcPr>
            <w:tcW w:w="896"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76BD5516" w14:textId="77777777" w:rsidR="00395345" w:rsidRPr="00CF4750" w:rsidRDefault="00395345" w:rsidP="00395345">
            <w:pPr>
              <w:jc w:val="center"/>
              <w:rPr>
                <w:rFonts w:ascii="Calibri" w:hAnsi="Calibri" w:cs="Calibri"/>
                <w:b/>
                <w:bCs/>
                <w:color w:val="000000"/>
                <w:sz w:val="20"/>
                <w:szCs w:val="20"/>
                <w:lang w:eastAsia="cs-CZ"/>
              </w:rPr>
            </w:pPr>
            <w:r w:rsidRPr="00CF4750">
              <w:rPr>
                <w:rFonts w:ascii="Calibri" w:hAnsi="Calibri" w:cs="Calibri"/>
                <w:b/>
                <w:bCs/>
                <w:color w:val="000000"/>
                <w:sz w:val="20"/>
                <w:szCs w:val="20"/>
                <w:lang w:eastAsia="cs-CZ"/>
              </w:rPr>
              <w:t>Znečišťující látka</w:t>
            </w:r>
          </w:p>
        </w:tc>
        <w:tc>
          <w:tcPr>
            <w:tcW w:w="1135"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58761CEF" w14:textId="77777777" w:rsidR="00395345" w:rsidRPr="00CF4750" w:rsidRDefault="00395345" w:rsidP="00395345">
            <w:pPr>
              <w:jc w:val="center"/>
              <w:rPr>
                <w:rFonts w:ascii="Calibri" w:hAnsi="Calibri" w:cs="Calibri"/>
                <w:b/>
                <w:bCs/>
                <w:color w:val="000000"/>
                <w:sz w:val="20"/>
                <w:szCs w:val="20"/>
                <w:lang w:eastAsia="cs-CZ"/>
              </w:rPr>
            </w:pPr>
            <w:r w:rsidRPr="00CF4750">
              <w:rPr>
                <w:rFonts w:ascii="Calibri" w:hAnsi="Calibri" w:cs="Calibri"/>
                <w:b/>
                <w:bCs/>
                <w:color w:val="000000"/>
                <w:sz w:val="20"/>
                <w:szCs w:val="20"/>
                <w:lang w:eastAsia="cs-CZ"/>
              </w:rPr>
              <w:t>Doba průměrování</w:t>
            </w:r>
          </w:p>
        </w:tc>
        <w:tc>
          <w:tcPr>
            <w:tcW w:w="1877" w:type="pct"/>
            <w:gridSpan w:val="2"/>
            <w:tcBorders>
              <w:top w:val="single" w:sz="4" w:space="0" w:color="auto"/>
              <w:left w:val="nil"/>
              <w:bottom w:val="single" w:sz="4" w:space="0" w:color="auto"/>
              <w:right w:val="single" w:sz="4" w:space="0" w:color="auto"/>
            </w:tcBorders>
            <w:shd w:val="clear" w:color="000000" w:fill="E5F1FF"/>
            <w:vAlign w:val="center"/>
            <w:hideMark/>
          </w:tcPr>
          <w:p w14:paraId="4640E50D" w14:textId="71795A2C" w:rsidR="00395345" w:rsidRPr="00CF4750" w:rsidRDefault="00395345" w:rsidP="000A0D9D">
            <w:pPr>
              <w:jc w:val="center"/>
              <w:rPr>
                <w:rFonts w:ascii="Calibri" w:hAnsi="Calibri" w:cs="Calibri"/>
                <w:b/>
                <w:bCs/>
                <w:color w:val="000000"/>
                <w:sz w:val="20"/>
                <w:szCs w:val="20"/>
                <w:lang w:eastAsia="cs-CZ"/>
              </w:rPr>
            </w:pPr>
            <w:r w:rsidRPr="00CF4750">
              <w:rPr>
                <w:rFonts w:ascii="Calibri" w:hAnsi="Calibri" w:cs="Calibri"/>
                <w:b/>
                <w:bCs/>
                <w:color w:val="000000"/>
                <w:sz w:val="20"/>
                <w:szCs w:val="20"/>
                <w:lang w:eastAsia="cs-CZ"/>
              </w:rPr>
              <w:t xml:space="preserve">Mez pro posuzování </w:t>
            </w:r>
            <w:r w:rsidR="000A0D9D">
              <w:rPr>
                <w:rFonts w:ascii="Calibri" w:hAnsi="Calibri" w:cs="Calibri"/>
                <w:b/>
                <w:bCs/>
                <w:color w:val="000000"/>
                <w:sz w:val="20"/>
                <w:szCs w:val="20"/>
                <w:lang w:eastAsia="cs-CZ"/>
              </w:rPr>
              <w:t>(v </w:t>
            </w:r>
            <w:proofErr w:type="spellStart"/>
            <w:r w:rsidRPr="00CF4750">
              <w:rPr>
                <w:rFonts w:ascii="Calibri" w:hAnsi="Calibri" w:cs="Calibri"/>
                <w:b/>
                <w:bCs/>
                <w:color w:val="000000"/>
                <w:sz w:val="20"/>
                <w:szCs w:val="20"/>
                <w:lang w:eastAsia="cs-CZ"/>
              </w:rPr>
              <w:t>ng</w:t>
            </w:r>
            <w:proofErr w:type="spellEnd"/>
            <w:r w:rsidR="00644D5C">
              <w:rPr>
                <w:rFonts w:ascii="Calibri" w:hAnsi="Calibri" w:cs="Calibri"/>
                <w:b/>
                <w:bCs/>
                <w:color w:val="000000"/>
                <w:sz w:val="20"/>
                <w:szCs w:val="20"/>
                <w:lang w:eastAsia="cs-CZ"/>
              </w:rPr>
              <w:t>/</w:t>
            </w:r>
            <w:r w:rsidRPr="00CF4750">
              <w:rPr>
                <w:rFonts w:ascii="Calibri" w:hAnsi="Calibri" w:cs="Calibri"/>
                <w:b/>
                <w:bCs/>
                <w:color w:val="000000"/>
                <w:sz w:val="20"/>
                <w:szCs w:val="20"/>
                <w:lang w:eastAsia="cs-CZ"/>
              </w:rPr>
              <w:t>m</w:t>
            </w:r>
            <w:r w:rsidRPr="00CF4750">
              <w:rPr>
                <w:rFonts w:ascii="Calibri" w:hAnsi="Calibri" w:cs="Calibri"/>
                <w:b/>
                <w:bCs/>
                <w:color w:val="000000"/>
                <w:sz w:val="20"/>
                <w:szCs w:val="20"/>
                <w:vertAlign w:val="superscript"/>
                <w:lang w:eastAsia="cs-CZ"/>
              </w:rPr>
              <w:t>3</w:t>
            </w:r>
            <w:r w:rsidR="000A0D9D">
              <w:rPr>
                <w:rFonts w:ascii="Calibri" w:hAnsi="Calibri" w:cs="Calibri"/>
                <w:b/>
                <w:bCs/>
                <w:color w:val="000000"/>
                <w:sz w:val="20"/>
                <w:szCs w:val="20"/>
                <w:lang w:eastAsia="cs-CZ"/>
              </w:rPr>
              <w:t>)</w:t>
            </w:r>
          </w:p>
        </w:tc>
        <w:tc>
          <w:tcPr>
            <w:tcW w:w="1092"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429FF099" w14:textId="2B545509" w:rsidR="00395345" w:rsidRPr="00CF4750" w:rsidRDefault="00635EBF" w:rsidP="000A0D9D">
            <w:pPr>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 xml:space="preserve">Imisní limit </w:t>
            </w:r>
            <w:r w:rsidR="000A0D9D">
              <w:rPr>
                <w:rFonts w:ascii="Calibri" w:hAnsi="Calibri" w:cs="Calibri"/>
                <w:b/>
                <w:bCs/>
                <w:color w:val="000000"/>
                <w:sz w:val="20"/>
                <w:szCs w:val="20"/>
                <w:lang w:eastAsia="cs-CZ"/>
              </w:rPr>
              <w:t>(v </w:t>
            </w:r>
            <w:proofErr w:type="spellStart"/>
            <w:r>
              <w:rPr>
                <w:rFonts w:ascii="Calibri" w:hAnsi="Calibri" w:cs="Calibri"/>
                <w:b/>
                <w:bCs/>
                <w:color w:val="000000"/>
                <w:sz w:val="20"/>
                <w:szCs w:val="20"/>
                <w:lang w:eastAsia="cs-CZ"/>
              </w:rPr>
              <w:t>ng</w:t>
            </w:r>
            <w:proofErr w:type="spellEnd"/>
            <w:r>
              <w:rPr>
                <w:rFonts w:ascii="Calibri" w:hAnsi="Calibri" w:cs="Calibri"/>
                <w:b/>
                <w:bCs/>
                <w:color w:val="000000"/>
                <w:sz w:val="20"/>
                <w:szCs w:val="20"/>
                <w:lang w:eastAsia="cs-CZ"/>
              </w:rPr>
              <w:t>/</w:t>
            </w:r>
            <w:r w:rsidR="00395345" w:rsidRPr="00CF4750">
              <w:rPr>
                <w:rFonts w:ascii="Calibri" w:hAnsi="Calibri" w:cs="Calibri"/>
                <w:b/>
                <w:bCs/>
                <w:color w:val="000000"/>
                <w:sz w:val="20"/>
                <w:szCs w:val="20"/>
                <w:lang w:eastAsia="cs-CZ"/>
              </w:rPr>
              <w:t>m</w:t>
            </w:r>
            <w:r w:rsidR="00395345" w:rsidRPr="00CF4750">
              <w:rPr>
                <w:rFonts w:ascii="Calibri" w:hAnsi="Calibri" w:cs="Calibri"/>
                <w:b/>
                <w:bCs/>
                <w:color w:val="000000"/>
                <w:sz w:val="20"/>
                <w:szCs w:val="20"/>
                <w:vertAlign w:val="superscript"/>
                <w:lang w:eastAsia="cs-CZ"/>
              </w:rPr>
              <w:t>3</w:t>
            </w:r>
            <w:r w:rsidR="000A0D9D">
              <w:rPr>
                <w:rFonts w:ascii="Calibri" w:hAnsi="Calibri" w:cs="Calibri"/>
                <w:b/>
                <w:bCs/>
                <w:color w:val="000000"/>
                <w:sz w:val="20"/>
                <w:szCs w:val="20"/>
                <w:lang w:eastAsia="cs-CZ"/>
              </w:rPr>
              <w:t>)</w:t>
            </w:r>
          </w:p>
        </w:tc>
      </w:tr>
      <w:tr w:rsidR="00B9337F" w14:paraId="4EB78E85" w14:textId="77777777" w:rsidTr="002350E3">
        <w:trPr>
          <w:trHeight w:val="283"/>
        </w:trPr>
        <w:tc>
          <w:tcPr>
            <w:tcW w:w="896" w:type="pct"/>
            <w:vMerge/>
            <w:tcBorders>
              <w:top w:val="single" w:sz="4" w:space="0" w:color="auto"/>
              <w:left w:val="single" w:sz="4" w:space="0" w:color="auto"/>
              <w:bottom w:val="single" w:sz="4" w:space="0" w:color="auto"/>
              <w:right w:val="single" w:sz="4" w:space="0" w:color="auto"/>
            </w:tcBorders>
            <w:vAlign w:val="center"/>
            <w:hideMark/>
          </w:tcPr>
          <w:p w14:paraId="3C8063DA" w14:textId="77777777" w:rsidR="00395345" w:rsidRPr="00CF4750" w:rsidRDefault="00395345" w:rsidP="00395345">
            <w:pPr>
              <w:rPr>
                <w:rFonts w:ascii="Calibri" w:hAnsi="Calibri" w:cs="Calibri"/>
                <w:b/>
                <w:bCs/>
                <w:color w:val="000000"/>
                <w:sz w:val="20"/>
                <w:szCs w:val="20"/>
                <w:lang w:eastAsia="cs-CZ"/>
              </w:rPr>
            </w:pPr>
          </w:p>
        </w:tc>
        <w:tc>
          <w:tcPr>
            <w:tcW w:w="1135" w:type="pct"/>
            <w:vMerge/>
            <w:tcBorders>
              <w:top w:val="single" w:sz="4" w:space="0" w:color="auto"/>
              <w:left w:val="single" w:sz="4" w:space="0" w:color="auto"/>
              <w:bottom w:val="single" w:sz="4" w:space="0" w:color="auto"/>
              <w:right w:val="single" w:sz="4" w:space="0" w:color="auto"/>
            </w:tcBorders>
            <w:vAlign w:val="center"/>
            <w:hideMark/>
          </w:tcPr>
          <w:p w14:paraId="24837C56" w14:textId="77777777" w:rsidR="00395345" w:rsidRPr="00CF4750" w:rsidRDefault="00395345" w:rsidP="00395345">
            <w:pPr>
              <w:rPr>
                <w:rFonts w:ascii="Calibri" w:hAnsi="Calibri" w:cs="Calibri"/>
                <w:b/>
                <w:bCs/>
                <w:color w:val="000000"/>
                <w:sz w:val="20"/>
                <w:szCs w:val="20"/>
                <w:lang w:eastAsia="cs-CZ"/>
              </w:rPr>
            </w:pPr>
          </w:p>
        </w:tc>
        <w:tc>
          <w:tcPr>
            <w:tcW w:w="939" w:type="pct"/>
            <w:tcBorders>
              <w:top w:val="nil"/>
              <w:left w:val="nil"/>
              <w:bottom w:val="single" w:sz="4" w:space="0" w:color="auto"/>
              <w:right w:val="single" w:sz="4" w:space="0" w:color="auto"/>
            </w:tcBorders>
            <w:shd w:val="clear" w:color="000000" w:fill="E5F1FF"/>
            <w:noWrap/>
            <w:vAlign w:val="center"/>
            <w:hideMark/>
          </w:tcPr>
          <w:p w14:paraId="6345B66C" w14:textId="77777777" w:rsidR="00395345" w:rsidRPr="00CF4750" w:rsidRDefault="00395345" w:rsidP="00395345">
            <w:pPr>
              <w:jc w:val="center"/>
              <w:rPr>
                <w:rFonts w:ascii="Calibri" w:hAnsi="Calibri" w:cs="Calibri"/>
                <w:b/>
                <w:bCs/>
                <w:color w:val="000000"/>
                <w:sz w:val="20"/>
                <w:szCs w:val="20"/>
                <w:lang w:eastAsia="cs-CZ"/>
              </w:rPr>
            </w:pPr>
            <w:r w:rsidRPr="00CF4750">
              <w:rPr>
                <w:rFonts w:ascii="Calibri" w:hAnsi="Calibri" w:cs="Calibri"/>
                <w:b/>
                <w:bCs/>
                <w:color w:val="000000"/>
                <w:sz w:val="20"/>
                <w:szCs w:val="20"/>
                <w:lang w:eastAsia="cs-CZ"/>
              </w:rPr>
              <w:t>Dolní LAT</w:t>
            </w:r>
          </w:p>
        </w:tc>
        <w:tc>
          <w:tcPr>
            <w:tcW w:w="938" w:type="pct"/>
            <w:tcBorders>
              <w:top w:val="nil"/>
              <w:left w:val="nil"/>
              <w:bottom w:val="single" w:sz="4" w:space="0" w:color="auto"/>
              <w:right w:val="single" w:sz="4" w:space="0" w:color="auto"/>
            </w:tcBorders>
            <w:shd w:val="clear" w:color="000000" w:fill="E5F1FF"/>
            <w:noWrap/>
            <w:vAlign w:val="center"/>
            <w:hideMark/>
          </w:tcPr>
          <w:p w14:paraId="04743C82" w14:textId="77777777" w:rsidR="00395345" w:rsidRPr="00CF4750" w:rsidRDefault="00395345" w:rsidP="00395345">
            <w:pPr>
              <w:jc w:val="center"/>
              <w:rPr>
                <w:rFonts w:ascii="Calibri" w:hAnsi="Calibri" w:cs="Calibri"/>
                <w:b/>
                <w:bCs/>
                <w:color w:val="000000"/>
                <w:sz w:val="20"/>
                <w:szCs w:val="20"/>
                <w:lang w:eastAsia="cs-CZ"/>
              </w:rPr>
            </w:pPr>
            <w:r w:rsidRPr="00CF4750">
              <w:rPr>
                <w:rFonts w:ascii="Calibri" w:hAnsi="Calibri" w:cs="Calibri"/>
                <w:b/>
                <w:bCs/>
                <w:color w:val="000000"/>
                <w:sz w:val="20"/>
                <w:szCs w:val="20"/>
                <w:lang w:eastAsia="cs-CZ"/>
              </w:rPr>
              <w:t>Horní UAT</w:t>
            </w:r>
          </w:p>
        </w:tc>
        <w:tc>
          <w:tcPr>
            <w:tcW w:w="1092" w:type="pct"/>
            <w:vMerge/>
            <w:tcBorders>
              <w:top w:val="single" w:sz="4" w:space="0" w:color="auto"/>
              <w:left w:val="single" w:sz="4" w:space="0" w:color="auto"/>
              <w:bottom w:val="single" w:sz="4" w:space="0" w:color="auto"/>
              <w:right w:val="single" w:sz="4" w:space="0" w:color="auto"/>
            </w:tcBorders>
            <w:vAlign w:val="center"/>
            <w:hideMark/>
          </w:tcPr>
          <w:p w14:paraId="7A41F095" w14:textId="77777777" w:rsidR="00395345" w:rsidRPr="00CF4750" w:rsidRDefault="00395345" w:rsidP="00395345">
            <w:pPr>
              <w:rPr>
                <w:rFonts w:ascii="Calibri" w:hAnsi="Calibri" w:cs="Calibri"/>
                <w:b/>
                <w:bCs/>
                <w:color w:val="000000"/>
                <w:sz w:val="20"/>
                <w:szCs w:val="20"/>
                <w:lang w:eastAsia="cs-CZ"/>
              </w:rPr>
            </w:pPr>
          </w:p>
        </w:tc>
      </w:tr>
      <w:tr w:rsidR="00B9337F" w14:paraId="2577BCAF" w14:textId="77777777" w:rsidTr="002350E3">
        <w:trPr>
          <w:trHeight w:val="283"/>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72E37109" w14:textId="3D47AD68" w:rsidR="00395345" w:rsidRPr="00CF4750" w:rsidRDefault="00395345" w:rsidP="00565F57">
            <w:pPr>
              <w:jc w:val="center"/>
              <w:rPr>
                <w:rFonts w:ascii="Calibri" w:hAnsi="Calibri" w:cs="Calibri"/>
                <w:color w:val="000000"/>
                <w:sz w:val="20"/>
                <w:szCs w:val="20"/>
                <w:lang w:eastAsia="cs-CZ"/>
              </w:rPr>
            </w:pPr>
            <w:proofErr w:type="spellStart"/>
            <w:r w:rsidRPr="00CF4750">
              <w:rPr>
                <w:rFonts w:ascii="Calibri" w:hAnsi="Calibri" w:cs="Calibri"/>
                <w:color w:val="000000"/>
                <w:sz w:val="20"/>
                <w:szCs w:val="20"/>
                <w:lang w:eastAsia="cs-CZ"/>
              </w:rPr>
              <w:t>Benzo</w:t>
            </w:r>
            <w:proofErr w:type="spellEnd"/>
            <w:r w:rsidR="00565F57">
              <w:rPr>
                <w:rFonts w:ascii="Calibri" w:hAnsi="Calibri" w:cs="Calibri"/>
                <w:color w:val="000000"/>
                <w:sz w:val="20"/>
                <w:szCs w:val="20"/>
                <w:lang w:eastAsia="cs-CZ"/>
              </w:rPr>
              <w:t>[</w:t>
            </w:r>
            <w:r w:rsidRPr="00CF4750">
              <w:rPr>
                <w:rFonts w:ascii="Calibri" w:hAnsi="Calibri" w:cs="Calibri"/>
                <w:color w:val="000000"/>
                <w:sz w:val="20"/>
                <w:szCs w:val="20"/>
                <w:lang w:eastAsia="cs-CZ"/>
              </w:rPr>
              <w:t>a</w:t>
            </w:r>
            <w:r w:rsidR="00565F57">
              <w:rPr>
                <w:rFonts w:ascii="Calibri" w:hAnsi="Calibri" w:cs="Calibri"/>
                <w:color w:val="000000"/>
                <w:sz w:val="20"/>
                <w:szCs w:val="20"/>
                <w:lang w:eastAsia="cs-CZ"/>
              </w:rPr>
              <w:t>]</w:t>
            </w:r>
            <w:r w:rsidRPr="00CF4750">
              <w:rPr>
                <w:rFonts w:ascii="Calibri" w:hAnsi="Calibri" w:cs="Calibri"/>
                <w:color w:val="000000"/>
                <w:sz w:val="20"/>
                <w:szCs w:val="20"/>
                <w:lang w:eastAsia="cs-CZ"/>
              </w:rPr>
              <w:t>pyren</w:t>
            </w:r>
          </w:p>
        </w:tc>
        <w:tc>
          <w:tcPr>
            <w:tcW w:w="1135" w:type="pct"/>
            <w:tcBorders>
              <w:top w:val="nil"/>
              <w:left w:val="nil"/>
              <w:bottom w:val="single" w:sz="4" w:space="0" w:color="auto"/>
              <w:right w:val="single" w:sz="4" w:space="0" w:color="auto"/>
            </w:tcBorders>
            <w:shd w:val="clear" w:color="auto" w:fill="auto"/>
            <w:noWrap/>
            <w:vAlign w:val="center"/>
            <w:hideMark/>
          </w:tcPr>
          <w:p w14:paraId="1A74559E" w14:textId="77777777" w:rsidR="00395345" w:rsidRPr="00CF4750" w:rsidRDefault="00395345" w:rsidP="00395345">
            <w:pPr>
              <w:rPr>
                <w:rFonts w:ascii="Calibri" w:hAnsi="Calibri" w:cs="Calibri"/>
                <w:color w:val="000000"/>
                <w:sz w:val="20"/>
                <w:szCs w:val="20"/>
                <w:lang w:eastAsia="cs-CZ"/>
              </w:rPr>
            </w:pPr>
            <w:r w:rsidRPr="00CF4750">
              <w:rPr>
                <w:rFonts w:ascii="Calibri" w:hAnsi="Calibri" w:cs="Calibri"/>
                <w:color w:val="000000"/>
                <w:sz w:val="20"/>
                <w:szCs w:val="20"/>
                <w:lang w:eastAsia="cs-CZ"/>
              </w:rPr>
              <w:t>kalendářní rok</w:t>
            </w:r>
          </w:p>
        </w:tc>
        <w:tc>
          <w:tcPr>
            <w:tcW w:w="939" w:type="pct"/>
            <w:tcBorders>
              <w:top w:val="nil"/>
              <w:left w:val="nil"/>
              <w:bottom w:val="single" w:sz="4" w:space="0" w:color="auto"/>
              <w:right w:val="single" w:sz="4" w:space="0" w:color="auto"/>
            </w:tcBorders>
            <w:shd w:val="clear" w:color="auto" w:fill="auto"/>
            <w:vAlign w:val="center"/>
            <w:hideMark/>
          </w:tcPr>
          <w:p w14:paraId="7C053EE0"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0,4</w:t>
            </w:r>
          </w:p>
        </w:tc>
        <w:tc>
          <w:tcPr>
            <w:tcW w:w="938" w:type="pct"/>
            <w:tcBorders>
              <w:top w:val="nil"/>
              <w:left w:val="nil"/>
              <w:bottom w:val="single" w:sz="4" w:space="0" w:color="auto"/>
              <w:right w:val="single" w:sz="4" w:space="0" w:color="auto"/>
            </w:tcBorders>
            <w:shd w:val="clear" w:color="auto" w:fill="auto"/>
            <w:vAlign w:val="center"/>
            <w:hideMark/>
          </w:tcPr>
          <w:p w14:paraId="704A0538"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0,6</w:t>
            </w:r>
          </w:p>
        </w:tc>
        <w:tc>
          <w:tcPr>
            <w:tcW w:w="1092" w:type="pct"/>
            <w:tcBorders>
              <w:top w:val="nil"/>
              <w:left w:val="nil"/>
              <w:bottom w:val="single" w:sz="4" w:space="0" w:color="auto"/>
              <w:right w:val="single" w:sz="4" w:space="0" w:color="auto"/>
            </w:tcBorders>
            <w:shd w:val="clear" w:color="auto" w:fill="auto"/>
            <w:vAlign w:val="center"/>
            <w:hideMark/>
          </w:tcPr>
          <w:p w14:paraId="62B71A45" w14:textId="77777777" w:rsidR="00395345" w:rsidRPr="00CF4750" w:rsidRDefault="00395345" w:rsidP="00395345">
            <w:pPr>
              <w:jc w:val="center"/>
              <w:rPr>
                <w:rFonts w:ascii="Calibri" w:hAnsi="Calibri" w:cs="Calibri"/>
                <w:color w:val="000000"/>
                <w:sz w:val="20"/>
                <w:szCs w:val="20"/>
                <w:lang w:eastAsia="cs-CZ"/>
              </w:rPr>
            </w:pPr>
            <w:r w:rsidRPr="00CF4750">
              <w:rPr>
                <w:rFonts w:ascii="Calibri" w:hAnsi="Calibri" w:cs="Calibri"/>
                <w:color w:val="000000"/>
                <w:sz w:val="20"/>
                <w:szCs w:val="20"/>
                <w:lang w:eastAsia="cs-CZ"/>
              </w:rPr>
              <w:t>1</w:t>
            </w:r>
          </w:p>
        </w:tc>
      </w:tr>
    </w:tbl>
    <w:p w14:paraId="7D8E4376" w14:textId="45B1076E" w:rsidR="00395345" w:rsidRPr="00B108A1" w:rsidRDefault="00395345" w:rsidP="00141703">
      <w:pPr>
        <w:pStyle w:val="Zdrojapozn"/>
        <w:spacing w:before="40"/>
      </w:pPr>
      <w:r w:rsidRPr="00D24707">
        <w:rPr>
          <w:b/>
        </w:rPr>
        <w:t>Zdroj:</w:t>
      </w:r>
      <w:r>
        <w:t xml:space="preserve"> </w:t>
      </w:r>
      <w:r w:rsidR="000A0D9D">
        <w:t>z</w:t>
      </w:r>
      <w:r>
        <w:t xml:space="preserve">ákon č. 201/2012 Sb., </w:t>
      </w:r>
      <w:r w:rsidR="000A0D9D">
        <w:t>v</w:t>
      </w:r>
      <w:r>
        <w:t>yhláška č. 330/2012 Sb.</w:t>
      </w:r>
    </w:p>
    <w:p w14:paraId="4EB75D8D" w14:textId="77777777" w:rsidR="002350E3" w:rsidRDefault="002350E3" w:rsidP="002350E3">
      <w:pPr>
        <w:pStyle w:val="Text"/>
        <w:spacing w:after="120" w:line="276" w:lineRule="auto"/>
        <w:rPr>
          <w:lang w:eastAsia="cs-CZ"/>
        </w:rPr>
      </w:pPr>
    </w:p>
    <w:p w14:paraId="55BF076B" w14:textId="0429B2A7" w:rsidR="00AE2306" w:rsidRDefault="00AE2306" w:rsidP="002350E3">
      <w:pPr>
        <w:pStyle w:val="Text"/>
        <w:spacing w:after="120" w:line="276" w:lineRule="auto"/>
        <w:rPr>
          <w:lang w:eastAsia="cs-CZ"/>
        </w:rPr>
      </w:pPr>
      <w:r>
        <w:rPr>
          <w:lang w:eastAsia="cs-CZ"/>
        </w:rPr>
        <w:t>Česká republika si na konci roku 2015 stanovila opakovaně za cíl dosáhnout souladu s imisními limity stanovenými v zákoně, tentokráte do</w:t>
      </w:r>
      <w:r w:rsidR="000A0D9D">
        <w:rPr>
          <w:lang w:eastAsia="cs-CZ"/>
        </w:rPr>
        <w:t xml:space="preserve"> </w:t>
      </w:r>
      <w:r>
        <w:rPr>
          <w:lang w:eastAsia="cs-CZ"/>
        </w:rPr>
        <w:t>roku 2020</w:t>
      </w:r>
      <w:r>
        <w:rPr>
          <w:rStyle w:val="Znakapoznpodarou"/>
          <w:lang w:eastAsia="cs-CZ"/>
        </w:rPr>
        <w:footnoteReference w:id="38"/>
      </w:r>
      <w:r>
        <w:rPr>
          <w:lang w:eastAsia="cs-CZ"/>
        </w:rPr>
        <w:t>, a to prostřednictvím opatření na</w:t>
      </w:r>
      <w:r w:rsidR="000A0D9D">
        <w:rPr>
          <w:lang w:eastAsia="cs-CZ"/>
        </w:rPr>
        <w:t xml:space="preserve"> </w:t>
      </w:r>
      <w:r>
        <w:rPr>
          <w:lang w:eastAsia="cs-CZ"/>
        </w:rPr>
        <w:t>národní úrovni stanovených v </w:t>
      </w:r>
      <w:r w:rsidRPr="00B1650A">
        <w:rPr>
          <w:i/>
          <w:lang w:eastAsia="cs-CZ"/>
        </w:rPr>
        <w:t>Národním programu snižování emisí České republiky</w:t>
      </w:r>
      <w:r>
        <w:rPr>
          <w:lang w:eastAsia="cs-CZ"/>
        </w:rPr>
        <w:t xml:space="preserve"> a na</w:t>
      </w:r>
      <w:r w:rsidR="000A0D9D">
        <w:rPr>
          <w:lang w:eastAsia="cs-CZ"/>
        </w:rPr>
        <w:t xml:space="preserve"> </w:t>
      </w:r>
      <w:r>
        <w:rPr>
          <w:lang w:eastAsia="cs-CZ"/>
        </w:rPr>
        <w:t>regionální úrovni v </w:t>
      </w:r>
      <w:r w:rsidR="000A0D9D">
        <w:rPr>
          <w:lang w:eastAsia="cs-CZ"/>
        </w:rPr>
        <w:t>p</w:t>
      </w:r>
      <w:r>
        <w:rPr>
          <w:lang w:eastAsia="cs-CZ"/>
        </w:rPr>
        <w:t>rogramech zlepšování kvality ovzduší, které</w:t>
      </w:r>
      <w:r w:rsidR="000A0D9D">
        <w:rPr>
          <w:lang w:eastAsia="cs-CZ"/>
        </w:rPr>
        <w:t xml:space="preserve"> </w:t>
      </w:r>
      <w:r>
        <w:rPr>
          <w:lang w:eastAsia="cs-CZ"/>
        </w:rPr>
        <w:t xml:space="preserve">byly připravovány v návaznosti na </w:t>
      </w:r>
      <w:r w:rsidRPr="00B1650A">
        <w:rPr>
          <w:i/>
          <w:lang w:eastAsia="cs-CZ"/>
        </w:rPr>
        <w:t>Střednědobou strategii (do roku 2020) zlepšení kvality ovzduší ČR</w:t>
      </w:r>
      <w:r>
        <w:rPr>
          <w:lang w:eastAsia="cs-CZ"/>
        </w:rPr>
        <w:t>.</w:t>
      </w:r>
    </w:p>
    <w:p w14:paraId="1C8C6FF6" w14:textId="77777777" w:rsidR="00395345" w:rsidRPr="00B1650A" w:rsidRDefault="00395345" w:rsidP="002350E3">
      <w:pPr>
        <w:pStyle w:val="Text"/>
        <w:spacing w:after="120" w:line="276" w:lineRule="auto"/>
        <w:rPr>
          <w:b/>
        </w:rPr>
      </w:pPr>
      <w:r w:rsidRPr="00B1650A">
        <w:rPr>
          <w:b/>
        </w:rPr>
        <w:t>Kvalita ovzduší v České republice</w:t>
      </w:r>
    </w:p>
    <w:p w14:paraId="52AFECE9" w14:textId="3B1D1E14" w:rsidR="00395345" w:rsidRDefault="00395345" w:rsidP="002350E3">
      <w:pPr>
        <w:pStyle w:val="Text"/>
        <w:spacing w:after="120" w:line="276" w:lineRule="auto"/>
        <w:rPr>
          <w:lang w:eastAsia="cs-CZ"/>
        </w:rPr>
      </w:pPr>
      <w:r>
        <w:rPr>
          <w:lang w:eastAsia="cs-CZ"/>
        </w:rPr>
        <w:t>V letech 2015 až 2017 byly opětovně překračovány imisní limity některých znečišťujících látek (PM</w:t>
      </w:r>
      <w:r w:rsidRPr="00EA61B0">
        <w:rPr>
          <w:vertAlign w:val="subscript"/>
          <w:lang w:eastAsia="cs-CZ"/>
        </w:rPr>
        <w:t>10</w:t>
      </w:r>
      <w:r>
        <w:rPr>
          <w:lang w:eastAsia="cs-CZ"/>
        </w:rPr>
        <w:t>, PM</w:t>
      </w:r>
      <w:r w:rsidRPr="00EA61B0">
        <w:rPr>
          <w:vertAlign w:val="subscript"/>
          <w:lang w:eastAsia="cs-CZ"/>
        </w:rPr>
        <w:t>2,5</w:t>
      </w:r>
      <w:r w:rsidRPr="00D8743B">
        <w:rPr>
          <w:lang w:eastAsia="cs-CZ"/>
        </w:rPr>
        <w:t>,</w:t>
      </w:r>
      <w:r>
        <w:rPr>
          <w:lang w:eastAsia="cs-CZ"/>
        </w:rPr>
        <w:t xml:space="preserve"> </w:t>
      </w:r>
      <w:proofErr w:type="spellStart"/>
      <w:r w:rsidR="00AE2306">
        <w:rPr>
          <w:lang w:eastAsia="cs-CZ"/>
        </w:rPr>
        <w:t>BaP</w:t>
      </w:r>
      <w:proofErr w:type="spellEnd"/>
      <w:r>
        <w:rPr>
          <w:lang w:eastAsia="cs-CZ"/>
        </w:rPr>
        <w:t xml:space="preserve"> a NO</w:t>
      </w:r>
      <w:r w:rsidRPr="00107215">
        <w:rPr>
          <w:vertAlign w:val="subscript"/>
          <w:lang w:eastAsia="cs-CZ"/>
        </w:rPr>
        <w:t>2</w:t>
      </w:r>
      <w:r w:rsidRPr="00EA61B0">
        <w:rPr>
          <w:lang w:eastAsia="cs-CZ"/>
        </w:rPr>
        <w:t>)</w:t>
      </w:r>
      <w:r>
        <w:rPr>
          <w:lang w:eastAsia="cs-CZ"/>
        </w:rPr>
        <w:t>. V následujících tabulkách je uveden počet stanic s nedodrženým imisních limitem a podíl obyvatel vystavených nadlimitním koncentracím znečišťujících látek v letech 2015 až 2017.</w:t>
      </w:r>
    </w:p>
    <w:p w14:paraId="4220777E" w14:textId="55469637" w:rsidR="00395345" w:rsidRPr="00B1650A" w:rsidRDefault="00395345" w:rsidP="001B1D79">
      <w:pPr>
        <w:pStyle w:val="Titulek"/>
        <w:keepNext/>
        <w:spacing w:after="40"/>
        <w:rPr>
          <w:b/>
          <w:lang w:eastAsia="cs-CZ"/>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7</w:t>
      </w:r>
      <w:r w:rsidR="00A36661" w:rsidRPr="00B1650A">
        <w:rPr>
          <w:b/>
          <w:noProof/>
        </w:rPr>
        <w:fldChar w:fldCharType="end"/>
      </w:r>
      <w:r w:rsidRPr="00B1650A">
        <w:rPr>
          <w:b/>
        </w:rPr>
        <w:t>: Počet stanic s nedodrženým limitem v letech 2015 až 2017</w:t>
      </w:r>
    </w:p>
    <w:tbl>
      <w:tblPr>
        <w:tblW w:w="5000" w:type="pct"/>
        <w:tblCellMar>
          <w:left w:w="0" w:type="dxa"/>
          <w:right w:w="0" w:type="dxa"/>
        </w:tblCellMar>
        <w:tblLook w:val="04A0" w:firstRow="1" w:lastRow="0" w:firstColumn="1" w:lastColumn="0" w:noHBand="0" w:noVBand="1"/>
      </w:tblPr>
      <w:tblGrid>
        <w:gridCol w:w="3038"/>
        <w:gridCol w:w="979"/>
        <w:gridCol w:w="1120"/>
        <w:gridCol w:w="1560"/>
        <w:gridCol w:w="1182"/>
        <w:gridCol w:w="1183"/>
      </w:tblGrid>
      <w:tr w:rsidR="00B9337F" w14:paraId="2F9F05C4" w14:textId="77777777" w:rsidTr="002350E3">
        <w:trPr>
          <w:trHeight w:val="283"/>
        </w:trPr>
        <w:tc>
          <w:tcPr>
            <w:tcW w:w="1676" w:type="pct"/>
            <w:vMerge w:val="restart"/>
            <w:tcBorders>
              <w:top w:val="single" w:sz="4" w:space="0" w:color="auto"/>
              <w:left w:val="single" w:sz="4" w:space="0" w:color="auto"/>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7294F63C" w14:textId="77777777" w:rsidR="00395345" w:rsidRDefault="00395345" w:rsidP="001B1D79">
            <w:pPr>
              <w:keepNext/>
              <w:jc w:val="center"/>
              <w:rPr>
                <w:rFonts w:ascii="Calibri" w:hAnsi="Calibri" w:cs="Calibri"/>
                <w:b/>
                <w:bCs/>
                <w:color w:val="000000"/>
                <w:sz w:val="22"/>
                <w:szCs w:val="22"/>
              </w:rPr>
            </w:pPr>
            <w:r>
              <w:rPr>
                <w:rFonts w:ascii="Calibri" w:hAnsi="Calibri" w:cs="Calibri"/>
                <w:b/>
                <w:bCs/>
                <w:color w:val="000000"/>
                <w:sz w:val="22"/>
                <w:szCs w:val="22"/>
              </w:rPr>
              <w:t>Rok</w:t>
            </w:r>
          </w:p>
        </w:tc>
        <w:tc>
          <w:tcPr>
            <w:tcW w:w="3324" w:type="pct"/>
            <w:gridSpan w:val="5"/>
            <w:tcBorders>
              <w:top w:val="single" w:sz="4" w:space="0" w:color="auto"/>
              <w:left w:val="nil"/>
              <w:bottom w:val="single" w:sz="4" w:space="0" w:color="auto"/>
              <w:right w:val="single" w:sz="4" w:space="0" w:color="auto"/>
            </w:tcBorders>
            <w:shd w:val="clear" w:color="000000" w:fill="E5F1FF"/>
            <w:tcMar>
              <w:top w:w="15" w:type="dxa"/>
              <w:left w:w="15" w:type="dxa"/>
              <w:bottom w:w="0" w:type="dxa"/>
              <w:right w:w="15" w:type="dxa"/>
            </w:tcMar>
            <w:vAlign w:val="center"/>
            <w:hideMark/>
          </w:tcPr>
          <w:p w14:paraId="57B7575A" w14:textId="13E8ED8C" w:rsidR="00395345" w:rsidRPr="000A0D9D" w:rsidRDefault="00E915C8" w:rsidP="000A0D9D">
            <w:pPr>
              <w:keepNext/>
              <w:jc w:val="center"/>
              <w:rPr>
                <w:rFonts w:ascii="Calibri" w:hAnsi="Calibri" w:cs="Calibri"/>
                <w:b/>
                <w:bCs/>
                <w:color w:val="000000"/>
                <w:sz w:val="20"/>
                <w:szCs w:val="20"/>
              </w:rPr>
            </w:pPr>
            <w:r>
              <w:rPr>
                <w:rFonts w:ascii="Calibri" w:hAnsi="Calibri" w:cs="Calibri"/>
                <w:b/>
                <w:bCs/>
                <w:color w:val="000000"/>
                <w:sz w:val="20"/>
                <w:szCs w:val="20"/>
              </w:rPr>
              <w:t>Počet</w:t>
            </w:r>
            <w:r w:rsidR="00395345">
              <w:rPr>
                <w:rFonts w:ascii="Calibri" w:hAnsi="Calibri" w:cs="Calibri"/>
                <w:b/>
                <w:bCs/>
                <w:color w:val="000000"/>
                <w:sz w:val="20"/>
                <w:szCs w:val="20"/>
              </w:rPr>
              <w:t xml:space="preserve"> stanic s nedodrženým limitem</w:t>
            </w:r>
            <w:r w:rsidR="000A0D9D">
              <w:rPr>
                <w:rFonts w:ascii="Calibri" w:hAnsi="Calibri" w:cs="Calibri"/>
                <w:b/>
                <w:bCs/>
                <w:color w:val="000000"/>
                <w:sz w:val="20"/>
                <w:szCs w:val="20"/>
              </w:rPr>
              <w:t>*</w:t>
            </w:r>
          </w:p>
        </w:tc>
      </w:tr>
      <w:tr w:rsidR="00B9337F" w14:paraId="230FD423" w14:textId="77777777" w:rsidTr="002350E3">
        <w:trPr>
          <w:trHeight w:val="283"/>
        </w:trPr>
        <w:tc>
          <w:tcPr>
            <w:tcW w:w="1676" w:type="pct"/>
            <w:vMerge/>
            <w:tcBorders>
              <w:top w:val="single" w:sz="4" w:space="0" w:color="auto"/>
              <w:left w:val="single" w:sz="4" w:space="0" w:color="auto"/>
              <w:bottom w:val="single" w:sz="4" w:space="0" w:color="auto"/>
              <w:right w:val="single" w:sz="4" w:space="0" w:color="auto"/>
            </w:tcBorders>
            <w:vAlign w:val="center"/>
            <w:hideMark/>
          </w:tcPr>
          <w:p w14:paraId="02AD0387" w14:textId="77777777" w:rsidR="00395345" w:rsidRDefault="00395345" w:rsidP="001B1D79">
            <w:pPr>
              <w:keepNext/>
              <w:rPr>
                <w:rFonts w:ascii="Calibri" w:hAnsi="Calibri" w:cs="Calibri"/>
                <w:b/>
                <w:bCs/>
                <w:color w:val="000000"/>
                <w:sz w:val="22"/>
                <w:szCs w:val="22"/>
              </w:rPr>
            </w:pPr>
          </w:p>
        </w:tc>
        <w:tc>
          <w:tcPr>
            <w:tcW w:w="540"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426D04EB" w14:textId="77777777" w:rsidR="00395345" w:rsidRDefault="00395345" w:rsidP="001B1D79">
            <w:pPr>
              <w:keepNext/>
              <w:jc w:val="center"/>
              <w:rPr>
                <w:rFonts w:ascii="Calibri" w:hAnsi="Calibri" w:cs="Calibri"/>
                <w:b/>
                <w:bCs/>
                <w:color w:val="000000"/>
                <w:sz w:val="22"/>
                <w:szCs w:val="22"/>
              </w:rPr>
            </w:pPr>
            <w:r>
              <w:rPr>
                <w:rFonts w:ascii="Calibri" w:hAnsi="Calibri" w:cs="Calibri"/>
                <w:b/>
                <w:bCs/>
                <w:color w:val="000000"/>
                <w:sz w:val="22"/>
                <w:szCs w:val="22"/>
              </w:rPr>
              <w:t>NO</w:t>
            </w:r>
            <w:r>
              <w:rPr>
                <w:rFonts w:ascii="Calibri" w:hAnsi="Calibri" w:cs="Calibri"/>
                <w:b/>
                <w:bCs/>
                <w:color w:val="000000"/>
                <w:sz w:val="22"/>
                <w:szCs w:val="22"/>
                <w:vertAlign w:val="subscript"/>
              </w:rPr>
              <w:t>2_rp</w:t>
            </w:r>
          </w:p>
        </w:tc>
        <w:tc>
          <w:tcPr>
            <w:tcW w:w="618"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6B629206" w14:textId="77777777" w:rsidR="00395345" w:rsidRDefault="00395345" w:rsidP="001B1D79">
            <w:pPr>
              <w:keepNext/>
              <w:jc w:val="center"/>
              <w:rPr>
                <w:rFonts w:ascii="Calibri" w:hAnsi="Calibri" w:cs="Calibri"/>
                <w:b/>
                <w:bCs/>
                <w:color w:val="000000"/>
                <w:sz w:val="22"/>
                <w:szCs w:val="22"/>
              </w:rPr>
            </w:pPr>
            <w:r>
              <w:rPr>
                <w:rFonts w:ascii="Calibri" w:hAnsi="Calibri" w:cs="Calibri"/>
                <w:b/>
                <w:bCs/>
                <w:color w:val="000000"/>
                <w:sz w:val="22"/>
                <w:szCs w:val="22"/>
              </w:rPr>
              <w:t>PM</w:t>
            </w:r>
            <w:r>
              <w:rPr>
                <w:rFonts w:ascii="Calibri" w:hAnsi="Calibri" w:cs="Calibri"/>
                <w:b/>
                <w:bCs/>
                <w:color w:val="000000"/>
                <w:sz w:val="22"/>
                <w:szCs w:val="22"/>
                <w:vertAlign w:val="subscript"/>
              </w:rPr>
              <w:t>10_rp</w:t>
            </w:r>
          </w:p>
        </w:tc>
        <w:tc>
          <w:tcPr>
            <w:tcW w:w="861"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3F88DB2D" w14:textId="77777777" w:rsidR="00395345" w:rsidRDefault="00395345" w:rsidP="001B1D79">
            <w:pPr>
              <w:keepNext/>
              <w:jc w:val="center"/>
              <w:rPr>
                <w:rFonts w:ascii="Calibri" w:hAnsi="Calibri" w:cs="Calibri"/>
                <w:b/>
                <w:bCs/>
                <w:color w:val="000000"/>
                <w:sz w:val="22"/>
                <w:szCs w:val="22"/>
              </w:rPr>
            </w:pPr>
            <w:r>
              <w:rPr>
                <w:rFonts w:ascii="Calibri" w:hAnsi="Calibri" w:cs="Calibri"/>
                <w:b/>
                <w:bCs/>
                <w:color w:val="000000"/>
                <w:sz w:val="22"/>
                <w:szCs w:val="22"/>
              </w:rPr>
              <w:t>PM</w:t>
            </w:r>
            <w:r>
              <w:rPr>
                <w:rFonts w:ascii="Calibri" w:hAnsi="Calibri" w:cs="Calibri"/>
                <w:b/>
                <w:bCs/>
                <w:color w:val="000000"/>
                <w:sz w:val="22"/>
                <w:szCs w:val="22"/>
                <w:vertAlign w:val="subscript"/>
              </w:rPr>
              <w:t>10_</w:t>
            </w:r>
            <w:r w:rsidR="00E915C8">
              <w:rPr>
                <w:rFonts w:ascii="Calibri" w:hAnsi="Calibri" w:cs="Calibri"/>
                <w:b/>
                <w:bCs/>
                <w:color w:val="000000"/>
                <w:sz w:val="22"/>
                <w:szCs w:val="22"/>
                <w:vertAlign w:val="subscript"/>
              </w:rPr>
              <w:t>dp</w:t>
            </w:r>
          </w:p>
        </w:tc>
        <w:tc>
          <w:tcPr>
            <w:tcW w:w="652"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004D35E0" w14:textId="77777777" w:rsidR="00395345" w:rsidRDefault="00395345" w:rsidP="001B1D79">
            <w:pPr>
              <w:keepNext/>
              <w:jc w:val="center"/>
              <w:rPr>
                <w:rFonts w:ascii="Calibri" w:hAnsi="Calibri" w:cs="Calibri"/>
                <w:b/>
                <w:bCs/>
                <w:color w:val="000000"/>
                <w:sz w:val="22"/>
                <w:szCs w:val="22"/>
              </w:rPr>
            </w:pPr>
            <w:r>
              <w:rPr>
                <w:rFonts w:ascii="Calibri" w:hAnsi="Calibri" w:cs="Calibri"/>
                <w:b/>
                <w:bCs/>
                <w:color w:val="000000"/>
                <w:sz w:val="22"/>
                <w:szCs w:val="22"/>
              </w:rPr>
              <w:t>PM</w:t>
            </w:r>
            <w:r>
              <w:rPr>
                <w:rFonts w:ascii="Calibri" w:hAnsi="Calibri" w:cs="Calibri"/>
                <w:b/>
                <w:bCs/>
                <w:color w:val="000000"/>
                <w:sz w:val="22"/>
                <w:szCs w:val="22"/>
                <w:vertAlign w:val="subscript"/>
              </w:rPr>
              <w:t>2,5_rp</w:t>
            </w:r>
          </w:p>
        </w:tc>
        <w:tc>
          <w:tcPr>
            <w:tcW w:w="651"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2D1894C3" w14:textId="69EDC11D" w:rsidR="00395345" w:rsidRDefault="00AE2306" w:rsidP="001B1D79">
            <w:pPr>
              <w:keepNext/>
              <w:jc w:val="center"/>
              <w:rPr>
                <w:rFonts w:ascii="Calibri" w:hAnsi="Calibri" w:cs="Calibri"/>
                <w:b/>
                <w:bCs/>
                <w:color w:val="000000"/>
                <w:sz w:val="22"/>
                <w:szCs w:val="22"/>
              </w:rPr>
            </w:pPr>
            <w:proofErr w:type="spellStart"/>
            <w:r>
              <w:rPr>
                <w:rFonts w:ascii="Calibri" w:hAnsi="Calibri" w:cs="Calibri"/>
                <w:b/>
                <w:bCs/>
                <w:color w:val="000000"/>
                <w:sz w:val="22"/>
                <w:szCs w:val="22"/>
              </w:rPr>
              <w:t>BaP</w:t>
            </w:r>
            <w:r w:rsidR="00395345">
              <w:rPr>
                <w:rFonts w:ascii="Calibri" w:hAnsi="Calibri" w:cs="Calibri"/>
                <w:b/>
                <w:bCs/>
                <w:color w:val="000000"/>
                <w:sz w:val="22"/>
                <w:szCs w:val="22"/>
                <w:vertAlign w:val="subscript"/>
              </w:rPr>
              <w:t>rp</w:t>
            </w:r>
            <w:proofErr w:type="spellEnd"/>
          </w:p>
        </w:tc>
      </w:tr>
      <w:tr w:rsidR="00B9337F" w14:paraId="3090425B"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9F5AB"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2015</w:t>
            </w:r>
          </w:p>
        </w:tc>
        <w:tc>
          <w:tcPr>
            <w:tcW w:w="5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26860"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2 (93)</w:t>
            </w: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B211D"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3 (131)</w:t>
            </w:r>
          </w:p>
        </w:tc>
        <w:tc>
          <w:tcPr>
            <w:tcW w:w="8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2214A"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29 (131)</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3DFDC"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6 (49)</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FDBCD"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21 (34)</w:t>
            </w:r>
          </w:p>
        </w:tc>
      </w:tr>
      <w:tr w:rsidR="00B9337F" w14:paraId="160B8786"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E72B4"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2016</w:t>
            </w:r>
          </w:p>
        </w:tc>
        <w:tc>
          <w:tcPr>
            <w:tcW w:w="5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32E78"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4 (96)</w:t>
            </w: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A8B95"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1 (152)</w:t>
            </w:r>
          </w:p>
        </w:tc>
        <w:tc>
          <w:tcPr>
            <w:tcW w:w="8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9B2BE"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23 (152)</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ACDCE"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10 (81)</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64D2D"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31 (44)</w:t>
            </w:r>
          </w:p>
        </w:tc>
      </w:tr>
      <w:tr w:rsidR="00B9337F" w14:paraId="2FCAC344"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AE0CB"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2017</w:t>
            </w:r>
          </w:p>
        </w:tc>
        <w:tc>
          <w:tcPr>
            <w:tcW w:w="5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E9FAA"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4 (93)</w:t>
            </w: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02762"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2 (148)</w:t>
            </w:r>
          </w:p>
        </w:tc>
        <w:tc>
          <w:tcPr>
            <w:tcW w:w="8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3A049"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50 (148)</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8E783"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10 (79)</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66202" w14:textId="77777777" w:rsidR="00395345" w:rsidRDefault="00395345" w:rsidP="001B1D79">
            <w:pPr>
              <w:keepNext/>
              <w:jc w:val="center"/>
              <w:rPr>
                <w:rFonts w:ascii="Calibri" w:hAnsi="Calibri" w:cs="Calibri"/>
                <w:color w:val="000000"/>
                <w:sz w:val="20"/>
                <w:szCs w:val="20"/>
              </w:rPr>
            </w:pPr>
            <w:r>
              <w:rPr>
                <w:rFonts w:ascii="Calibri" w:hAnsi="Calibri" w:cs="Calibri"/>
                <w:color w:val="000000"/>
                <w:sz w:val="20"/>
                <w:szCs w:val="20"/>
              </w:rPr>
              <w:t>31 (47)</w:t>
            </w:r>
          </w:p>
        </w:tc>
      </w:tr>
    </w:tbl>
    <w:p w14:paraId="10B1C7B2" w14:textId="77777777" w:rsidR="00395345" w:rsidRPr="00E915C8" w:rsidRDefault="00395345" w:rsidP="001B1D79">
      <w:pPr>
        <w:pStyle w:val="Zdrojapozn"/>
        <w:keepNext/>
        <w:spacing w:before="40"/>
      </w:pPr>
      <w:r w:rsidRPr="00D24707">
        <w:rPr>
          <w:b/>
        </w:rPr>
        <w:t>Zdroj:</w:t>
      </w:r>
      <w:r w:rsidRPr="00E915C8">
        <w:t xml:space="preserve"> ČHMÚ, zpracování vlastní.</w:t>
      </w:r>
    </w:p>
    <w:p w14:paraId="55683975" w14:textId="61166AA5" w:rsidR="000A0D9D" w:rsidRDefault="000A0D9D" w:rsidP="00E915C8">
      <w:pPr>
        <w:pStyle w:val="Zdrojapozn"/>
      </w:pPr>
      <w:r>
        <w:rPr>
          <w:b/>
        </w:rPr>
        <w:t>Vysvětlivky</w:t>
      </w:r>
      <w:r w:rsidR="00395345" w:rsidRPr="00D24707">
        <w:rPr>
          <w:b/>
        </w:rPr>
        <w:t>:</w:t>
      </w:r>
      <w:r w:rsidR="00E915C8">
        <w:t xml:space="preserve"> </w:t>
      </w:r>
    </w:p>
    <w:p w14:paraId="0F46AFCA" w14:textId="51E138ED" w:rsidR="00E915C8" w:rsidRDefault="000A0D9D" w:rsidP="00E915C8">
      <w:pPr>
        <w:pStyle w:val="Zdrojapozn"/>
      </w:pPr>
      <w:proofErr w:type="spellStart"/>
      <w:r>
        <w:t>R</w:t>
      </w:r>
      <w:r w:rsidR="00395345" w:rsidRPr="00E915C8">
        <w:t>p</w:t>
      </w:r>
      <w:proofErr w:type="spellEnd"/>
      <w:r w:rsidR="00395345" w:rsidRPr="00E915C8">
        <w:t xml:space="preserve"> = průměrná</w:t>
      </w:r>
      <w:r w:rsidR="00395345">
        <w:t xml:space="preserve"> roční koncentrace; </w:t>
      </w:r>
      <w:proofErr w:type="spellStart"/>
      <w:r w:rsidR="00395345">
        <w:t>dp</w:t>
      </w:r>
      <w:proofErr w:type="spellEnd"/>
      <w:r w:rsidR="00395345">
        <w:t xml:space="preserve"> = průměrná </w:t>
      </w:r>
      <w:r w:rsidR="00E915C8">
        <w:t>denní (24hodinová) koncentrace</w:t>
      </w:r>
      <w:r>
        <w:t>.</w:t>
      </w:r>
    </w:p>
    <w:p w14:paraId="25D28DBC" w14:textId="662CF663" w:rsidR="00E915C8" w:rsidRDefault="000A0D9D" w:rsidP="000A0D9D">
      <w:pPr>
        <w:pStyle w:val="Zdrojapozn"/>
        <w:ind w:left="142" w:hanging="142"/>
      </w:pPr>
      <w:r>
        <w:t>*</w:t>
      </w:r>
      <w:r>
        <w:tab/>
      </w:r>
      <w:r w:rsidR="00395345">
        <w:t>V závorkách je uváděn</w:t>
      </w:r>
      <w:r w:rsidR="00395345" w:rsidRPr="00A775C2">
        <w:t xml:space="preserve"> celkov</w:t>
      </w:r>
      <w:r w:rsidR="00395345">
        <w:t xml:space="preserve">ý </w:t>
      </w:r>
      <w:r w:rsidR="00395345" w:rsidRPr="00A775C2">
        <w:t>poč</w:t>
      </w:r>
      <w:r w:rsidR="00395345">
        <w:t>e</w:t>
      </w:r>
      <w:r w:rsidR="00395345" w:rsidRPr="00A775C2">
        <w:t xml:space="preserve">t </w:t>
      </w:r>
      <w:r w:rsidR="00395345">
        <w:t>stanic s </w:t>
      </w:r>
      <w:r w:rsidR="00395345" w:rsidRPr="00A775C2">
        <w:t>dostatečným množstvím dat pro roční hodnocení podle platné legislativy</w:t>
      </w:r>
      <w:r w:rsidR="00395345">
        <w:t>.</w:t>
      </w:r>
    </w:p>
    <w:p w14:paraId="0F129DC4" w14:textId="77777777" w:rsidR="002350E3" w:rsidRDefault="002350E3" w:rsidP="000A0D9D">
      <w:pPr>
        <w:pStyle w:val="Titulek"/>
        <w:spacing w:after="40"/>
        <w:ind w:left="1418" w:hanging="1418"/>
        <w:rPr>
          <w:b/>
        </w:rPr>
      </w:pPr>
    </w:p>
    <w:p w14:paraId="1994255D" w14:textId="59D9B4AA" w:rsidR="00395345" w:rsidRPr="00B1650A" w:rsidRDefault="00395345" w:rsidP="000A0D9D">
      <w:pPr>
        <w:pStyle w:val="Titulek"/>
        <w:spacing w:after="40"/>
        <w:ind w:left="1418" w:hanging="1418"/>
        <w:rPr>
          <w:b/>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8</w:t>
      </w:r>
      <w:r w:rsidR="00A36661" w:rsidRPr="00B1650A">
        <w:rPr>
          <w:b/>
          <w:noProof/>
        </w:rPr>
        <w:fldChar w:fldCharType="end"/>
      </w:r>
      <w:r w:rsidRPr="00B1650A">
        <w:rPr>
          <w:b/>
        </w:rPr>
        <w:t xml:space="preserve">: </w:t>
      </w:r>
      <w:r w:rsidR="000A0D9D">
        <w:rPr>
          <w:b/>
        </w:rPr>
        <w:tab/>
      </w:r>
      <w:r w:rsidRPr="00B1650A">
        <w:rPr>
          <w:b/>
        </w:rPr>
        <w:t>Podíl obyvatelstva vystaven koncentraci znečišťujících látek v letech 2015 až 2017</w:t>
      </w:r>
    </w:p>
    <w:tbl>
      <w:tblPr>
        <w:tblW w:w="5000" w:type="pct"/>
        <w:tblCellMar>
          <w:left w:w="70" w:type="dxa"/>
          <w:right w:w="70" w:type="dxa"/>
        </w:tblCellMar>
        <w:tblLook w:val="04A0" w:firstRow="1" w:lastRow="0" w:firstColumn="1" w:lastColumn="0" w:noHBand="0" w:noVBand="1"/>
      </w:tblPr>
      <w:tblGrid>
        <w:gridCol w:w="3038"/>
        <w:gridCol w:w="979"/>
        <w:gridCol w:w="1120"/>
        <w:gridCol w:w="1560"/>
        <w:gridCol w:w="1182"/>
        <w:gridCol w:w="1183"/>
      </w:tblGrid>
      <w:tr w:rsidR="00B9337F" w14:paraId="66B30988" w14:textId="77777777" w:rsidTr="002350E3">
        <w:trPr>
          <w:trHeight w:val="283"/>
        </w:trPr>
        <w:tc>
          <w:tcPr>
            <w:tcW w:w="1676" w:type="pct"/>
            <w:vMerge w:val="restart"/>
            <w:tcBorders>
              <w:top w:val="single" w:sz="4" w:space="0" w:color="auto"/>
              <w:left w:val="single" w:sz="4" w:space="0" w:color="auto"/>
              <w:bottom w:val="single" w:sz="4" w:space="0" w:color="000000"/>
              <w:right w:val="single" w:sz="4" w:space="0" w:color="auto"/>
            </w:tcBorders>
            <w:shd w:val="clear" w:color="000000" w:fill="E5F1FF"/>
            <w:noWrap/>
            <w:vAlign w:val="center"/>
            <w:hideMark/>
          </w:tcPr>
          <w:p w14:paraId="636A1FDF" w14:textId="77777777" w:rsidR="00395345" w:rsidRPr="00EF401A" w:rsidRDefault="00395345" w:rsidP="00395345">
            <w:pPr>
              <w:jc w:val="center"/>
              <w:rPr>
                <w:rFonts w:ascii="Calibri" w:eastAsia="Times New Roman" w:hAnsi="Calibri" w:cs="Calibri"/>
                <w:b/>
                <w:bCs/>
                <w:color w:val="000000"/>
                <w:sz w:val="22"/>
                <w:szCs w:val="22"/>
                <w:lang w:eastAsia="cs-CZ"/>
              </w:rPr>
            </w:pPr>
            <w:r w:rsidRPr="00EF401A">
              <w:rPr>
                <w:rFonts w:ascii="Calibri" w:eastAsia="Times New Roman" w:hAnsi="Calibri" w:cs="Calibri"/>
                <w:b/>
                <w:bCs/>
                <w:color w:val="000000"/>
                <w:sz w:val="22"/>
                <w:szCs w:val="22"/>
                <w:lang w:eastAsia="cs-CZ"/>
              </w:rPr>
              <w:t>Rok</w:t>
            </w:r>
          </w:p>
        </w:tc>
        <w:tc>
          <w:tcPr>
            <w:tcW w:w="3324" w:type="pct"/>
            <w:gridSpan w:val="5"/>
            <w:tcBorders>
              <w:top w:val="single" w:sz="4" w:space="0" w:color="auto"/>
              <w:left w:val="nil"/>
              <w:bottom w:val="single" w:sz="4" w:space="0" w:color="auto"/>
              <w:right w:val="single" w:sz="4" w:space="0" w:color="000000"/>
            </w:tcBorders>
            <w:shd w:val="clear" w:color="000000" w:fill="E5F1FF"/>
            <w:vAlign w:val="center"/>
            <w:hideMark/>
          </w:tcPr>
          <w:p w14:paraId="7955ABF7" w14:textId="4A5DB380" w:rsidR="00395345" w:rsidRPr="00EF401A" w:rsidRDefault="00395345" w:rsidP="00815943">
            <w:pPr>
              <w:jc w:val="center"/>
              <w:rPr>
                <w:rFonts w:ascii="Calibri" w:eastAsia="Times New Roman" w:hAnsi="Calibri" w:cs="Calibri"/>
                <w:b/>
                <w:bCs/>
                <w:color w:val="000000"/>
                <w:sz w:val="20"/>
                <w:szCs w:val="20"/>
                <w:lang w:eastAsia="cs-CZ"/>
              </w:rPr>
            </w:pPr>
            <w:r w:rsidRPr="00EF401A">
              <w:rPr>
                <w:rFonts w:ascii="Calibri" w:eastAsia="Times New Roman" w:hAnsi="Calibri" w:cs="Calibri"/>
                <w:b/>
                <w:bCs/>
                <w:color w:val="000000"/>
                <w:sz w:val="20"/>
                <w:szCs w:val="20"/>
                <w:lang w:eastAsia="cs-CZ"/>
              </w:rPr>
              <w:t>Zasaženo obyvatel (</w:t>
            </w:r>
            <w:r w:rsidR="000A0D9D">
              <w:rPr>
                <w:rFonts w:ascii="Calibri" w:eastAsia="Times New Roman" w:hAnsi="Calibri" w:cs="Calibri"/>
                <w:b/>
                <w:bCs/>
                <w:color w:val="000000"/>
                <w:sz w:val="20"/>
                <w:szCs w:val="20"/>
                <w:lang w:eastAsia="cs-CZ"/>
              </w:rPr>
              <w:t>v </w:t>
            </w:r>
            <w:r w:rsidRPr="00EF401A">
              <w:rPr>
                <w:rFonts w:ascii="Calibri" w:eastAsia="Times New Roman" w:hAnsi="Calibri" w:cs="Calibri"/>
                <w:b/>
                <w:bCs/>
                <w:color w:val="000000"/>
                <w:sz w:val="20"/>
                <w:szCs w:val="20"/>
                <w:lang w:eastAsia="cs-CZ"/>
              </w:rPr>
              <w:t>%)</w:t>
            </w:r>
          </w:p>
        </w:tc>
      </w:tr>
      <w:tr w:rsidR="00B9337F" w14:paraId="65FC4EE9" w14:textId="77777777" w:rsidTr="002350E3">
        <w:trPr>
          <w:trHeight w:val="283"/>
        </w:trPr>
        <w:tc>
          <w:tcPr>
            <w:tcW w:w="1676" w:type="pct"/>
            <w:vMerge/>
            <w:tcBorders>
              <w:top w:val="single" w:sz="4" w:space="0" w:color="auto"/>
              <w:left w:val="single" w:sz="4" w:space="0" w:color="auto"/>
              <w:bottom w:val="single" w:sz="4" w:space="0" w:color="000000"/>
              <w:right w:val="single" w:sz="4" w:space="0" w:color="auto"/>
            </w:tcBorders>
            <w:vAlign w:val="center"/>
            <w:hideMark/>
          </w:tcPr>
          <w:p w14:paraId="7D818856" w14:textId="77777777" w:rsidR="00395345" w:rsidRPr="00EF401A" w:rsidRDefault="00395345" w:rsidP="00395345">
            <w:pPr>
              <w:rPr>
                <w:rFonts w:ascii="Calibri" w:eastAsia="Times New Roman" w:hAnsi="Calibri" w:cs="Calibri"/>
                <w:b/>
                <w:bCs/>
                <w:color w:val="000000"/>
                <w:sz w:val="22"/>
                <w:szCs w:val="22"/>
                <w:lang w:eastAsia="cs-CZ"/>
              </w:rPr>
            </w:pPr>
          </w:p>
        </w:tc>
        <w:tc>
          <w:tcPr>
            <w:tcW w:w="540" w:type="pct"/>
            <w:tcBorders>
              <w:top w:val="nil"/>
              <w:left w:val="nil"/>
              <w:bottom w:val="single" w:sz="4" w:space="0" w:color="auto"/>
              <w:right w:val="single" w:sz="4" w:space="0" w:color="auto"/>
            </w:tcBorders>
            <w:shd w:val="clear" w:color="000000" w:fill="E5F1FF"/>
            <w:noWrap/>
            <w:vAlign w:val="center"/>
            <w:hideMark/>
          </w:tcPr>
          <w:p w14:paraId="6D583497" w14:textId="77777777" w:rsidR="00395345" w:rsidRPr="00EF401A" w:rsidRDefault="00395345" w:rsidP="00395345">
            <w:pPr>
              <w:jc w:val="center"/>
              <w:rPr>
                <w:rFonts w:ascii="Calibri" w:eastAsia="Times New Roman" w:hAnsi="Calibri" w:cs="Calibri"/>
                <w:b/>
                <w:bCs/>
                <w:color w:val="000000"/>
                <w:sz w:val="22"/>
                <w:szCs w:val="22"/>
                <w:lang w:eastAsia="cs-CZ"/>
              </w:rPr>
            </w:pPr>
            <w:r w:rsidRPr="00EF401A">
              <w:rPr>
                <w:rFonts w:ascii="Calibri" w:eastAsia="Times New Roman" w:hAnsi="Calibri" w:cs="Calibri"/>
                <w:b/>
                <w:bCs/>
                <w:color w:val="000000"/>
                <w:sz w:val="22"/>
                <w:szCs w:val="22"/>
                <w:lang w:eastAsia="cs-CZ"/>
              </w:rPr>
              <w:t>NO</w:t>
            </w:r>
            <w:r w:rsidRPr="00EF401A">
              <w:rPr>
                <w:rFonts w:ascii="Calibri" w:eastAsia="Times New Roman" w:hAnsi="Calibri" w:cs="Calibri"/>
                <w:b/>
                <w:bCs/>
                <w:color w:val="000000"/>
                <w:sz w:val="22"/>
                <w:szCs w:val="22"/>
                <w:vertAlign w:val="subscript"/>
                <w:lang w:eastAsia="cs-CZ"/>
              </w:rPr>
              <w:t>2_rp</w:t>
            </w:r>
          </w:p>
        </w:tc>
        <w:tc>
          <w:tcPr>
            <w:tcW w:w="618" w:type="pct"/>
            <w:tcBorders>
              <w:top w:val="nil"/>
              <w:left w:val="nil"/>
              <w:bottom w:val="single" w:sz="4" w:space="0" w:color="auto"/>
              <w:right w:val="single" w:sz="4" w:space="0" w:color="auto"/>
            </w:tcBorders>
            <w:shd w:val="clear" w:color="000000" w:fill="E5F1FF"/>
            <w:noWrap/>
            <w:vAlign w:val="center"/>
            <w:hideMark/>
          </w:tcPr>
          <w:p w14:paraId="6BE66DAE" w14:textId="77777777" w:rsidR="00395345" w:rsidRPr="00EF401A" w:rsidRDefault="00395345" w:rsidP="00395345">
            <w:pPr>
              <w:jc w:val="center"/>
              <w:rPr>
                <w:rFonts w:ascii="Calibri" w:eastAsia="Times New Roman" w:hAnsi="Calibri" w:cs="Calibri"/>
                <w:b/>
                <w:bCs/>
                <w:color w:val="000000"/>
                <w:sz w:val="22"/>
                <w:szCs w:val="22"/>
                <w:lang w:eastAsia="cs-CZ"/>
              </w:rPr>
            </w:pPr>
            <w:r w:rsidRPr="00EF401A">
              <w:rPr>
                <w:rFonts w:ascii="Calibri" w:eastAsia="Times New Roman" w:hAnsi="Calibri" w:cs="Calibri"/>
                <w:b/>
                <w:bCs/>
                <w:color w:val="000000"/>
                <w:sz w:val="22"/>
                <w:szCs w:val="22"/>
                <w:lang w:eastAsia="cs-CZ"/>
              </w:rPr>
              <w:t>PM</w:t>
            </w:r>
            <w:r w:rsidRPr="00EF401A">
              <w:rPr>
                <w:rFonts w:ascii="Calibri" w:eastAsia="Times New Roman" w:hAnsi="Calibri" w:cs="Calibri"/>
                <w:b/>
                <w:bCs/>
                <w:color w:val="000000"/>
                <w:sz w:val="22"/>
                <w:szCs w:val="22"/>
                <w:vertAlign w:val="subscript"/>
                <w:lang w:eastAsia="cs-CZ"/>
              </w:rPr>
              <w:t>10_rp</w:t>
            </w:r>
          </w:p>
        </w:tc>
        <w:tc>
          <w:tcPr>
            <w:tcW w:w="861" w:type="pct"/>
            <w:tcBorders>
              <w:top w:val="nil"/>
              <w:left w:val="nil"/>
              <w:bottom w:val="single" w:sz="4" w:space="0" w:color="auto"/>
              <w:right w:val="single" w:sz="4" w:space="0" w:color="auto"/>
            </w:tcBorders>
            <w:shd w:val="clear" w:color="000000" w:fill="E5F1FF"/>
            <w:noWrap/>
            <w:vAlign w:val="center"/>
            <w:hideMark/>
          </w:tcPr>
          <w:p w14:paraId="020A8A8D" w14:textId="77777777" w:rsidR="00395345" w:rsidRPr="00EF401A" w:rsidRDefault="00395345" w:rsidP="00395345">
            <w:pPr>
              <w:jc w:val="center"/>
              <w:rPr>
                <w:rFonts w:ascii="Calibri" w:eastAsia="Times New Roman" w:hAnsi="Calibri" w:cs="Calibri"/>
                <w:b/>
                <w:bCs/>
                <w:color w:val="000000"/>
                <w:sz w:val="22"/>
                <w:szCs w:val="22"/>
                <w:lang w:eastAsia="cs-CZ"/>
              </w:rPr>
            </w:pPr>
            <w:r w:rsidRPr="00EF401A">
              <w:rPr>
                <w:rFonts w:ascii="Calibri" w:eastAsia="Times New Roman" w:hAnsi="Calibri" w:cs="Calibri"/>
                <w:b/>
                <w:bCs/>
                <w:color w:val="000000"/>
                <w:sz w:val="22"/>
                <w:szCs w:val="22"/>
                <w:lang w:eastAsia="cs-CZ"/>
              </w:rPr>
              <w:t>PM</w:t>
            </w:r>
            <w:r w:rsidRPr="00EF401A">
              <w:rPr>
                <w:rFonts w:ascii="Calibri" w:eastAsia="Times New Roman" w:hAnsi="Calibri" w:cs="Calibri"/>
                <w:b/>
                <w:bCs/>
                <w:color w:val="000000"/>
                <w:sz w:val="22"/>
                <w:szCs w:val="22"/>
                <w:vertAlign w:val="subscript"/>
                <w:lang w:eastAsia="cs-CZ"/>
              </w:rPr>
              <w:t>10_</w:t>
            </w:r>
            <w:r>
              <w:rPr>
                <w:rFonts w:ascii="Calibri" w:eastAsia="Times New Roman" w:hAnsi="Calibri" w:cs="Calibri"/>
                <w:b/>
                <w:bCs/>
                <w:color w:val="000000"/>
                <w:sz w:val="22"/>
                <w:szCs w:val="22"/>
                <w:vertAlign w:val="subscript"/>
                <w:lang w:eastAsia="cs-CZ"/>
              </w:rPr>
              <w:t>dp</w:t>
            </w:r>
          </w:p>
        </w:tc>
        <w:tc>
          <w:tcPr>
            <w:tcW w:w="652" w:type="pct"/>
            <w:tcBorders>
              <w:top w:val="nil"/>
              <w:left w:val="nil"/>
              <w:bottom w:val="single" w:sz="4" w:space="0" w:color="auto"/>
              <w:right w:val="single" w:sz="4" w:space="0" w:color="auto"/>
            </w:tcBorders>
            <w:shd w:val="clear" w:color="000000" w:fill="E5F1FF"/>
            <w:noWrap/>
            <w:vAlign w:val="center"/>
            <w:hideMark/>
          </w:tcPr>
          <w:p w14:paraId="6971EAB5" w14:textId="77777777" w:rsidR="00395345" w:rsidRPr="00EF401A" w:rsidRDefault="00395345" w:rsidP="00395345">
            <w:pPr>
              <w:jc w:val="center"/>
              <w:rPr>
                <w:rFonts w:ascii="Calibri" w:eastAsia="Times New Roman" w:hAnsi="Calibri" w:cs="Calibri"/>
                <w:b/>
                <w:bCs/>
                <w:color w:val="000000"/>
                <w:sz w:val="22"/>
                <w:szCs w:val="22"/>
                <w:lang w:eastAsia="cs-CZ"/>
              </w:rPr>
            </w:pPr>
            <w:r w:rsidRPr="00EF401A">
              <w:rPr>
                <w:rFonts w:ascii="Calibri" w:eastAsia="Times New Roman" w:hAnsi="Calibri" w:cs="Calibri"/>
                <w:b/>
                <w:bCs/>
                <w:color w:val="000000"/>
                <w:sz w:val="22"/>
                <w:szCs w:val="22"/>
                <w:lang w:eastAsia="cs-CZ"/>
              </w:rPr>
              <w:t>PM</w:t>
            </w:r>
            <w:r w:rsidRPr="00EF401A">
              <w:rPr>
                <w:rFonts w:ascii="Calibri" w:eastAsia="Times New Roman" w:hAnsi="Calibri" w:cs="Calibri"/>
                <w:b/>
                <w:bCs/>
                <w:color w:val="000000"/>
                <w:sz w:val="22"/>
                <w:szCs w:val="22"/>
                <w:vertAlign w:val="subscript"/>
                <w:lang w:eastAsia="cs-CZ"/>
              </w:rPr>
              <w:t>2,5_rp</w:t>
            </w:r>
          </w:p>
        </w:tc>
        <w:tc>
          <w:tcPr>
            <w:tcW w:w="653" w:type="pct"/>
            <w:tcBorders>
              <w:top w:val="nil"/>
              <w:left w:val="nil"/>
              <w:bottom w:val="single" w:sz="4" w:space="0" w:color="auto"/>
              <w:right w:val="single" w:sz="4" w:space="0" w:color="auto"/>
            </w:tcBorders>
            <w:shd w:val="clear" w:color="000000" w:fill="E5F1FF"/>
            <w:noWrap/>
            <w:vAlign w:val="center"/>
            <w:hideMark/>
          </w:tcPr>
          <w:p w14:paraId="52461765" w14:textId="77777777" w:rsidR="00395345" w:rsidRPr="00EF401A" w:rsidRDefault="00AE2306" w:rsidP="00395345">
            <w:pPr>
              <w:jc w:val="center"/>
              <w:rPr>
                <w:rFonts w:ascii="Calibri" w:eastAsia="Times New Roman" w:hAnsi="Calibri" w:cs="Calibri"/>
                <w:b/>
                <w:bCs/>
                <w:color w:val="000000"/>
                <w:sz w:val="22"/>
                <w:szCs w:val="22"/>
                <w:lang w:eastAsia="cs-CZ"/>
              </w:rPr>
            </w:pPr>
            <w:proofErr w:type="spellStart"/>
            <w:r>
              <w:rPr>
                <w:rFonts w:ascii="Calibri" w:eastAsia="Times New Roman" w:hAnsi="Calibri" w:cs="Calibri"/>
                <w:b/>
                <w:bCs/>
                <w:color w:val="000000"/>
                <w:sz w:val="22"/>
                <w:szCs w:val="22"/>
                <w:lang w:eastAsia="cs-CZ"/>
              </w:rPr>
              <w:t>BaP</w:t>
            </w:r>
            <w:r w:rsidR="00395345" w:rsidRPr="00EF401A">
              <w:rPr>
                <w:rFonts w:ascii="Calibri" w:eastAsia="Times New Roman" w:hAnsi="Calibri" w:cs="Calibri"/>
                <w:b/>
                <w:bCs/>
                <w:color w:val="000000"/>
                <w:sz w:val="22"/>
                <w:szCs w:val="22"/>
                <w:vertAlign w:val="subscript"/>
                <w:lang w:eastAsia="cs-CZ"/>
              </w:rPr>
              <w:t>_rp</w:t>
            </w:r>
            <w:proofErr w:type="spellEnd"/>
          </w:p>
        </w:tc>
      </w:tr>
      <w:tr w:rsidR="00B9337F" w14:paraId="6E0E1DB3"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vAlign w:val="center"/>
            <w:hideMark/>
          </w:tcPr>
          <w:p w14:paraId="1B6C3CF4"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2015</w:t>
            </w:r>
          </w:p>
        </w:tc>
        <w:tc>
          <w:tcPr>
            <w:tcW w:w="540" w:type="pct"/>
            <w:tcBorders>
              <w:top w:val="nil"/>
              <w:left w:val="nil"/>
              <w:bottom w:val="single" w:sz="4" w:space="0" w:color="auto"/>
              <w:right w:val="single" w:sz="4" w:space="0" w:color="auto"/>
            </w:tcBorders>
            <w:shd w:val="clear" w:color="auto" w:fill="auto"/>
            <w:noWrap/>
            <w:vAlign w:val="bottom"/>
            <w:hideMark/>
          </w:tcPr>
          <w:p w14:paraId="226B1D3B"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0</w:t>
            </w:r>
          </w:p>
        </w:tc>
        <w:tc>
          <w:tcPr>
            <w:tcW w:w="618" w:type="pct"/>
            <w:tcBorders>
              <w:top w:val="nil"/>
              <w:left w:val="nil"/>
              <w:bottom w:val="single" w:sz="4" w:space="0" w:color="auto"/>
              <w:right w:val="single" w:sz="4" w:space="0" w:color="auto"/>
            </w:tcBorders>
            <w:shd w:val="clear" w:color="auto" w:fill="auto"/>
            <w:noWrap/>
            <w:vAlign w:val="bottom"/>
            <w:hideMark/>
          </w:tcPr>
          <w:p w14:paraId="024D29F1"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0,01</w:t>
            </w:r>
          </w:p>
        </w:tc>
        <w:tc>
          <w:tcPr>
            <w:tcW w:w="861" w:type="pct"/>
            <w:tcBorders>
              <w:top w:val="nil"/>
              <w:left w:val="nil"/>
              <w:bottom w:val="single" w:sz="4" w:space="0" w:color="auto"/>
              <w:right w:val="single" w:sz="4" w:space="0" w:color="auto"/>
            </w:tcBorders>
            <w:shd w:val="clear" w:color="auto" w:fill="auto"/>
            <w:noWrap/>
            <w:vAlign w:val="bottom"/>
            <w:hideMark/>
          </w:tcPr>
          <w:p w14:paraId="654EBD4B"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10</w:t>
            </w:r>
          </w:p>
        </w:tc>
        <w:tc>
          <w:tcPr>
            <w:tcW w:w="652" w:type="pct"/>
            <w:tcBorders>
              <w:top w:val="nil"/>
              <w:left w:val="nil"/>
              <w:bottom w:val="single" w:sz="4" w:space="0" w:color="auto"/>
              <w:right w:val="single" w:sz="4" w:space="0" w:color="auto"/>
            </w:tcBorders>
            <w:shd w:val="clear" w:color="auto" w:fill="auto"/>
            <w:noWrap/>
            <w:vAlign w:val="bottom"/>
            <w:hideMark/>
          </w:tcPr>
          <w:p w14:paraId="18C0CFAD"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5</w:t>
            </w:r>
          </w:p>
        </w:tc>
        <w:tc>
          <w:tcPr>
            <w:tcW w:w="653" w:type="pct"/>
            <w:tcBorders>
              <w:top w:val="nil"/>
              <w:left w:val="nil"/>
              <w:bottom w:val="single" w:sz="4" w:space="0" w:color="auto"/>
              <w:right w:val="single" w:sz="4" w:space="0" w:color="auto"/>
            </w:tcBorders>
            <w:shd w:val="clear" w:color="auto" w:fill="auto"/>
            <w:noWrap/>
            <w:vAlign w:val="bottom"/>
            <w:hideMark/>
          </w:tcPr>
          <w:p w14:paraId="37EBD9C5"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51</w:t>
            </w:r>
          </w:p>
        </w:tc>
      </w:tr>
      <w:tr w:rsidR="00B9337F" w14:paraId="101F2925"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vAlign w:val="center"/>
            <w:hideMark/>
          </w:tcPr>
          <w:p w14:paraId="2E9652A4"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2016</w:t>
            </w:r>
          </w:p>
        </w:tc>
        <w:tc>
          <w:tcPr>
            <w:tcW w:w="540" w:type="pct"/>
            <w:tcBorders>
              <w:top w:val="nil"/>
              <w:left w:val="nil"/>
              <w:bottom w:val="single" w:sz="4" w:space="0" w:color="auto"/>
              <w:right w:val="single" w:sz="4" w:space="0" w:color="auto"/>
            </w:tcBorders>
            <w:shd w:val="clear" w:color="auto" w:fill="auto"/>
            <w:noWrap/>
            <w:vAlign w:val="bottom"/>
            <w:hideMark/>
          </w:tcPr>
          <w:p w14:paraId="57ED25BC"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0,3</w:t>
            </w:r>
          </w:p>
        </w:tc>
        <w:tc>
          <w:tcPr>
            <w:tcW w:w="618" w:type="pct"/>
            <w:tcBorders>
              <w:top w:val="nil"/>
              <w:left w:val="nil"/>
              <w:bottom w:val="single" w:sz="4" w:space="0" w:color="auto"/>
              <w:right w:val="single" w:sz="4" w:space="0" w:color="auto"/>
            </w:tcBorders>
            <w:shd w:val="clear" w:color="auto" w:fill="auto"/>
            <w:noWrap/>
            <w:vAlign w:val="bottom"/>
            <w:hideMark/>
          </w:tcPr>
          <w:p w14:paraId="3FCD7410"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0</w:t>
            </w:r>
          </w:p>
        </w:tc>
        <w:tc>
          <w:tcPr>
            <w:tcW w:w="861" w:type="pct"/>
            <w:tcBorders>
              <w:top w:val="nil"/>
              <w:left w:val="nil"/>
              <w:bottom w:val="single" w:sz="4" w:space="0" w:color="auto"/>
              <w:right w:val="single" w:sz="4" w:space="0" w:color="auto"/>
            </w:tcBorders>
            <w:shd w:val="clear" w:color="auto" w:fill="auto"/>
            <w:noWrap/>
            <w:vAlign w:val="bottom"/>
            <w:hideMark/>
          </w:tcPr>
          <w:p w14:paraId="47EA70B0"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7</w:t>
            </w:r>
          </w:p>
        </w:tc>
        <w:tc>
          <w:tcPr>
            <w:tcW w:w="652" w:type="pct"/>
            <w:tcBorders>
              <w:top w:val="nil"/>
              <w:left w:val="nil"/>
              <w:bottom w:val="single" w:sz="4" w:space="0" w:color="auto"/>
              <w:right w:val="single" w:sz="4" w:space="0" w:color="auto"/>
            </w:tcBorders>
            <w:shd w:val="clear" w:color="auto" w:fill="auto"/>
            <w:noWrap/>
            <w:vAlign w:val="bottom"/>
            <w:hideMark/>
          </w:tcPr>
          <w:p w14:paraId="07F1F8D7"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3</w:t>
            </w:r>
          </w:p>
        </w:tc>
        <w:tc>
          <w:tcPr>
            <w:tcW w:w="653" w:type="pct"/>
            <w:tcBorders>
              <w:top w:val="nil"/>
              <w:left w:val="nil"/>
              <w:bottom w:val="single" w:sz="4" w:space="0" w:color="auto"/>
              <w:right w:val="single" w:sz="4" w:space="0" w:color="auto"/>
            </w:tcBorders>
            <w:shd w:val="clear" w:color="auto" w:fill="auto"/>
            <w:noWrap/>
            <w:vAlign w:val="bottom"/>
            <w:hideMark/>
          </w:tcPr>
          <w:p w14:paraId="68E40EF8"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56</w:t>
            </w:r>
          </w:p>
        </w:tc>
      </w:tr>
      <w:tr w:rsidR="00B9337F" w14:paraId="096C2E68"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vAlign w:val="center"/>
            <w:hideMark/>
          </w:tcPr>
          <w:p w14:paraId="167A3D3F"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2017</w:t>
            </w:r>
          </w:p>
        </w:tc>
        <w:tc>
          <w:tcPr>
            <w:tcW w:w="540" w:type="pct"/>
            <w:tcBorders>
              <w:top w:val="nil"/>
              <w:left w:val="nil"/>
              <w:bottom w:val="single" w:sz="4" w:space="0" w:color="auto"/>
              <w:right w:val="single" w:sz="4" w:space="0" w:color="auto"/>
            </w:tcBorders>
            <w:shd w:val="clear" w:color="auto" w:fill="auto"/>
            <w:noWrap/>
            <w:vAlign w:val="bottom"/>
            <w:hideMark/>
          </w:tcPr>
          <w:p w14:paraId="6A8C5454"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0</w:t>
            </w:r>
          </w:p>
        </w:tc>
        <w:tc>
          <w:tcPr>
            <w:tcW w:w="618" w:type="pct"/>
            <w:tcBorders>
              <w:top w:val="nil"/>
              <w:left w:val="nil"/>
              <w:bottom w:val="single" w:sz="4" w:space="0" w:color="auto"/>
              <w:right w:val="single" w:sz="4" w:space="0" w:color="auto"/>
            </w:tcBorders>
            <w:shd w:val="clear" w:color="auto" w:fill="auto"/>
            <w:noWrap/>
            <w:vAlign w:val="bottom"/>
            <w:hideMark/>
          </w:tcPr>
          <w:p w14:paraId="248C0E6F"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0,01</w:t>
            </w:r>
          </w:p>
        </w:tc>
        <w:tc>
          <w:tcPr>
            <w:tcW w:w="861" w:type="pct"/>
            <w:tcBorders>
              <w:top w:val="nil"/>
              <w:left w:val="nil"/>
              <w:bottom w:val="single" w:sz="4" w:space="0" w:color="auto"/>
              <w:right w:val="single" w:sz="4" w:space="0" w:color="auto"/>
            </w:tcBorders>
            <w:shd w:val="clear" w:color="auto" w:fill="auto"/>
            <w:noWrap/>
            <w:vAlign w:val="bottom"/>
            <w:hideMark/>
          </w:tcPr>
          <w:p w14:paraId="2C126BBA"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23</w:t>
            </w:r>
          </w:p>
        </w:tc>
        <w:tc>
          <w:tcPr>
            <w:tcW w:w="652" w:type="pct"/>
            <w:tcBorders>
              <w:top w:val="nil"/>
              <w:left w:val="nil"/>
              <w:bottom w:val="single" w:sz="4" w:space="0" w:color="auto"/>
              <w:right w:val="single" w:sz="4" w:space="0" w:color="auto"/>
            </w:tcBorders>
            <w:shd w:val="clear" w:color="auto" w:fill="auto"/>
            <w:noWrap/>
            <w:vAlign w:val="bottom"/>
            <w:hideMark/>
          </w:tcPr>
          <w:p w14:paraId="59BB8946"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5</w:t>
            </w:r>
          </w:p>
        </w:tc>
        <w:tc>
          <w:tcPr>
            <w:tcW w:w="653" w:type="pct"/>
            <w:tcBorders>
              <w:top w:val="nil"/>
              <w:left w:val="nil"/>
              <w:bottom w:val="single" w:sz="4" w:space="0" w:color="auto"/>
              <w:right w:val="single" w:sz="4" w:space="0" w:color="auto"/>
            </w:tcBorders>
            <w:shd w:val="clear" w:color="auto" w:fill="auto"/>
            <w:noWrap/>
            <w:vAlign w:val="bottom"/>
            <w:hideMark/>
          </w:tcPr>
          <w:p w14:paraId="0A8E1FF2" w14:textId="77777777" w:rsidR="00395345" w:rsidRPr="00EF401A" w:rsidRDefault="00395345" w:rsidP="00395345">
            <w:pPr>
              <w:jc w:val="cente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62</w:t>
            </w:r>
          </w:p>
        </w:tc>
      </w:tr>
      <w:tr w:rsidR="00B9337F" w14:paraId="5209BFE9"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vAlign w:val="center"/>
            <w:hideMark/>
          </w:tcPr>
          <w:p w14:paraId="163CF4B2" w14:textId="65F512D2" w:rsidR="00395345" w:rsidRPr="00EF401A" w:rsidRDefault="00395345" w:rsidP="000A0D9D">
            <w:pPr>
              <w:rPr>
                <w:rFonts w:ascii="Calibri" w:eastAsia="Times New Roman" w:hAnsi="Calibri" w:cs="Calibri"/>
                <w:color w:val="000000"/>
                <w:sz w:val="20"/>
                <w:szCs w:val="20"/>
                <w:lang w:eastAsia="cs-CZ"/>
              </w:rPr>
            </w:pPr>
            <w:r w:rsidRPr="00EF401A">
              <w:rPr>
                <w:rFonts w:ascii="Calibri" w:eastAsia="Times New Roman" w:hAnsi="Calibri" w:cs="Calibri"/>
                <w:color w:val="000000"/>
                <w:sz w:val="20"/>
                <w:szCs w:val="20"/>
                <w:lang w:eastAsia="cs-CZ"/>
              </w:rPr>
              <w:t>Průměr za roky 2013</w:t>
            </w:r>
            <w:r w:rsidR="000A0D9D">
              <w:rPr>
                <w:rFonts w:ascii="Calibri" w:eastAsia="Times New Roman" w:hAnsi="Calibri" w:cs="Calibri"/>
                <w:color w:val="000000"/>
                <w:sz w:val="20"/>
                <w:szCs w:val="20"/>
                <w:lang w:eastAsia="cs-CZ"/>
              </w:rPr>
              <w:t>–</w:t>
            </w:r>
            <w:r w:rsidRPr="00EF401A">
              <w:rPr>
                <w:rFonts w:ascii="Calibri" w:eastAsia="Times New Roman" w:hAnsi="Calibri" w:cs="Calibri"/>
                <w:color w:val="000000"/>
                <w:sz w:val="20"/>
                <w:szCs w:val="20"/>
                <w:lang w:eastAsia="cs-CZ"/>
              </w:rPr>
              <w:t>2017</w:t>
            </w:r>
          </w:p>
        </w:tc>
        <w:tc>
          <w:tcPr>
            <w:tcW w:w="540" w:type="pct"/>
            <w:tcBorders>
              <w:top w:val="nil"/>
              <w:left w:val="nil"/>
              <w:bottom w:val="single" w:sz="4" w:space="0" w:color="auto"/>
              <w:right w:val="single" w:sz="4" w:space="0" w:color="auto"/>
            </w:tcBorders>
            <w:shd w:val="clear" w:color="auto" w:fill="auto"/>
            <w:noWrap/>
            <w:vAlign w:val="bottom"/>
            <w:hideMark/>
          </w:tcPr>
          <w:p w14:paraId="3B840AE2" w14:textId="77777777" w:rsidR="00395345" w:rsidRPr="00EF401A" w:rsidRDefault="00395345" w:rsidP="00395345">
            <w:pPr>
              <w:jc w:val="center"/>
              <w:rPr>
                <w:rFonts w:ascii="Calibri" w:eastAsia="Times New Roman" w:hAnsi="Calibri" w:cs="Calibri"/>
                <w:color w:val="000000"/>
                <w:sz w:val="22"/>
                <w:szCs w:val="22"/>
                <w:lang w:eastAsia="cs-CZ"/>
              </w:rPr>
            </w:pPr>
            <w:r w:rsidRPr="00EF401A">
              <w:rPr>
                <w:rFonts w:ascii="Calibri" w:eastAsia="Times New Roman" w:hAnsi="Calibri" w:cs="Calibri"/>
                <w:color w:val="000000"/>
                <w:sz w:val="22"/>
                <w:szCs w:val="22"/>
                <w:lang w:eastAsia="cs-CZ"/>
              </w:rPr>
              <w:t>0</w:t>
            </w:r>
          </w:p>
        </w:tc>
        <w:tc>
          <w:tcPr>
            <w:tcW w:w="618" w:type="pct"/>
            <w:tcBorders>
              <w:top w:val="nil"/>
              <w:left w:val="nil"/>
              <w:bottom w:val="single" w:sz="4" w:space="0" w:color="auto"/>
              <w:right w:val="single" w:sz="4" w:space="0" w:color="auto"/>
            </w:tcBorders>
            <w:shd w:val="clear" w:color="auto" w:fill="auto"/>
            <w:noWrap/>
            <w:vAlign w:val="bottom"/>
            <w:hideMark/>
          </w:tcPr>
          <w:p w14:paraId="53A25F1C" w14:textId="77777777" w:rsidR="00395345" w:rsidRPr="00EF401A" w:rsidRDefault="00395345" w:rsidP="00395345">
            <w:pPr>
              <w:jc w:val="center"/>
              <w:rPr>
                <w:rFonts w:ascii="Calibri" w:eastAsia="Times New Roman" w:hAnsi="Calibri" w:cs="Calibri"/>
                <w:color w:val="000000"/>
                <w:sz w:val="22"/>
                <w:szCs w:val="22"/>
                <w:lang w:eastAsia="cs-CZ"/>
              </w:rPr>
            </w:pPr>
            <w:r w:rsidRPr="00EF401A">
              <w:rPr>
                <w:rFonts w:ascii="Calibri" w:eastAsia="Times New Roman" w:hAnsi="Calibri" w:cs="Calibri"/>
                <w:color w:val="000000"/>
                <w:sz w:val="22"/>
                <w:szCs w:val="22"/>
                <w:lang w:eastAsia="cs-CZ"/>
              </w:rPr>
              <w:t>0,2</w:t>
            </w:r>
          </w:p>
        </w:tc>
        <w:tc>
          <w:tcPr>
            <w:tcW w:w="861" w:type="pct"/>
            <w:tcBorders>
              <w:top w:val="nil"/>
              <w:left w:val="nil"/>
              <w:bottom w:val="single" w:sz="4" w:space="0" w:color="auto"/>
              <w:right w:val="single" w:sz="4" w:space="0" w:color="auto"/>
            </w:tcBorders>
            <w:shd w:val="clear" w:color="auto" w:fill="auto"/>
            <w:noWrap/>
            <w:vAlign w:val="bottom"/>
            <w:hideMark/>
          </w:tcPr>
          <w:p w14:paraId="17279B4D" w14:textId="77777777" w:rsidR="00395345" w:rsidRPr="00EF401A" w:rsidRDefault="00395345" w:rsidP="00395345">
            <w:pPr>
              <w:jc w:val="center"/>
              <w:rPr>
                <w:rFonts w:ascii="Calibri" w:eastAsia="Times New Roman" w:hAnsi="Calibri" w:cs="Calibri"/>
                <w:color w:val="000000"/>
                <w:sz w:val="22"/>
                <w:szCs w:val="22"/>
                <w:lang w:eastAsia="cs-CZ"/>
              </w:rPr>
            </w:pPr>
            <w:r w:rsidRPr="00EF401A">
              <w:rPr>
                <w:rFonts w:ascii="Calibri" w:eastAsia="Times New Roman" w:hAnsi="Calibri" w:cs="Calibri"/>
                <w:color w:val="000000"/>
                <w:sz w:val="22"/>
                <w:szCs w:val="22"/>
                <w:lang w:eastAsia="cs-CZ"/>
              </w:rPr>
              <w:t>15</w:t>
            </w:r>
          </w:p>
        </w:tc>
        <w:tc>
          <w:tcPr>
            <w:tcW w:w="652" w:type="pct"/>
            <w:tcBorders>
              <w:top w:val="nil"/>
              <w:left w:val="nil"/>
              <w:bottom w:val="single" w:sz="4" w:space="0" w:color="auto"/>
              <w:right w:val="single" w:sz="4" w:space="0" w:color="auto"/>
            </w:tcBorders>
            <w:shd w:val="clear" w:color="auto" w:fill="auto"/>
            <w:noWrap/>
            <w:vAlign w:val="bottom"/>
            <w:hideMark/>
          </w:tcPr>
          <w:p w14:paraId="657DA28D" w14:textId="77777777" w:rsidR="00395345" w:rsidRPr="00EF401A" w:rsidRDefault="00395345" w:rsidP="00395345">
            <w:pPr>
              <w:jc w:val="center"/>
              <w:rPr>
                <w:rFonts w:ascii="Calibri" w:eastAsia="Times New Roman" w:hAnsi="Calibri" w:cs="Calibri"/>
                <w:color w:val="000000"/>
                <w:sz w:val="22"/>
                <w:szCs w:val="22"/>
                <w:lang w:eastAsia="cs-CZ"/>
              </w:rPr>
            </w:pPr>
            <w:r w:rsidRPr="00EF401A">
              <w:rPr>
                <w:rFonts w:ascii="Calibri" w:eastAsia="Times New Roman" w:hAnsi="Calibri" w:cs="Calibri"/>
                <w:color w:val="000000"/>
                <w:sz w:val="22"/>
                <w:szCs w:val="22"/>
                <w:lang w:eastAsia="cs-CZ"/>
              </w:rPr>
              <w:t>7</w:t>
            </w:r>
          </w:p>
        </w:tc>
        <w:tc>
          <w:tcPr>
            <w:tcW w:w="653" w:type="pct"/>
            <w:tcBorders>
              <w:top w:val="nil"/>
              <w:left w:val="nil"/>
              <w:bottom w:val="single" w:sz="4" w:space="0" w:color="auto"/>
              <w:right w:val="single" w:sz="4" w:space="0" w:color="auto"/>
            </w:tcBorders>
            <w:shd w:val="clear" w:color="auto" w:fill="auto"/>
            <w:noWrap/>
            <w:vAlign w:val="bottom"/>
            <w:hideMark/>
          </w:tcPr>
          <w:p w14:paraId="1FD1E34D" w14:textId="77777777" w:rsidR="00395345" w:rsidRPr="00EF401A" w:rsidRDefault="00395345" w:rsidP="00395345">
            <w:pPr>
              <w:jc w:val="center"/>
              <w:rPr>
                <w:rFonts w:ascii="Calibri" w:eastAsia="Times New Roman" w:hAnsi="Calibri" w:cs="Calibri"/>
                <w:color w:val="000000"/>
                <w:sz w:val="22"/>
                <w:szCs w:val="22"/>
                <w:lang w:eastAsia="cs-CZ"/>
              </w:rPr>
            </w:pPr>
            <w:r w:rsidRPr="00EF401A">
              <w:rPr>
                <w:rFonts w:ascii="Calibri" w:eastAsia="Times New Roman" w:hAnsi="Calibri" w:cs="Calibri"/>
                <w:color w:val="000000"/>
                <w:sz w:val="22"/>
                <w:szCs w:val="22"/>
                <w:lang w:eastAsia="cs-CZ"/>
              </w:rPr>
              <w:t>51</w:t>
            </w:r>
          </w:p>
        </w:tc>
      </w:tr>
    </w:tbl>
    <w:p w14:paraId="5B143DA9" w14:textId="05E000D9" w:rsidR="00395345" w:rsidRDefault="00395345" w:rsidP="00141703">
      <w:pPr>
        <w:pStyle w:val="Zdrojapozn"/>
        <w:spacing w:before="40"/>
      </w:pPr>
      <w:r w:rsidRPr="00D24707">
        <w:rPr>
          <w:b/>
        </w:rPr>
        <w:t>Zdroj:</w:t>
      </w:r>
      <w:r w:rsidRPr="00000362">
        <w:t xml:space="preserve"> </w:t>
      </w:r>
      <w:r w:rsidR="000A0D9D">
        <w:t xml:space="preserve">zpracoval NKÚ na základě dat od </w:t>
      </w:r>
      <w:r w:rsidRPr="00000362">
        <w:t>ČHMÚ.</w:t>
      </w:r>
    </w:p>
    <w:p w14:paraId="53AEDC97" w14:textId="473C23C2" w:rsidR="000A0D9D" w:rsidRDefault="000A0D9D" w:rsidP="00000362">
      <w:pPr>
        <w:pStyle w:val="Zdrojapozn"/>
      </w:pPr>
      <w:r>
        <w:rPr>
          <w:b/>
        </w:rPr>
        <w:t>Vysvětlivky</w:t>
      </w:r>
      <w:r w:rsidR="00000362" w:rsidRPr="00D24707">
        <w:rPr>
          <w:b/>
        </w:rPr>
        <w:t>:</w:t>
      </w:r>
      <w:r w:rsidR="00000362">
        <w:t xml:space="preserve"> </w:t>
      </w:r>
    </w:p>
    <w:p w14:paraId="328E6B70" w14:textId="5EEB37E5" w:rsidR="00000362" w:rsidRPr="00000362" w:rsidRDefault="000A0D9D" w:rsidP="00000362">
      <w:pPr>
        <w:pStyle w:val="Zdrojapozn"/>
      </w:pPr>
      <w:proofErr w:type="spellStart"/>
      <w:r>
        <w:t>R</w:t>
      </w:r>
      <w:r w:rsidR="00000362" w:rsidRPr="00E915C8">
        <w:t>p</w:t>
      </w:r>
      <w:proofErr w:type="spellEnd"/>
      <w:r w:rsidR="00000362" w:rsidRPr="00E915C8">
        <w:t xml:space="preserve"> = průměrná</w:t>
      </w:r>
      <w:r w:rsidR="00000362">
        <w:t xml:space="preserve"> roční koncentrace; </w:t>
      </w:r>
      <w:proofErr w:type="spellStart"/>
      <w:r w:rsidR="00000362">
        <w:t>dp</w:t>
      </w:r>
      <w:proofErr w:type="spellEnd"/>
      <w:r w:rsidR="00000362">
        <w:t xml:space="preserve"> = průměrná denní (24hodinová) koncentrace.</w:t>
      </w:r>
    </w:p>
    <w:p w14:paraId="39D776C8" w14:textId="77777777" w:rsidR="002350E3" w:rsidRDefault="002350E3" w:rsidP="002350E3">
      <w:pPr>
        <w:pStyle w:val="TextKP"/>
        <w:spacing w:after="120" w:line="276" w:lineRule="auto"/>
        <w:rPr>
          <w:lang w:eastAsia="cs-CZ"/>
        </w:rPr>
      </w:pPr>
    </w:p>
    <w:p w14:paraId="1CBC88DF" w14:textId="131F7BA7" w:rsidR="00395345" w:rsidRDefault="00395345" w:rsidP="002350E3">
      <w:pPr>
        <w:pStyle w:val="TextKP"/>
        <w:spacing w:after="120" w:line="276" w:lineRule="auto"/>
        <w:rPr>
          <w:lang w:eastAsia="cs-CZ"/>
        </w:rPr>
      </w:pPr>
      <w:r>
        <w:rPr>
          <w:lang w:eastAsia="cs-CZ"/>
        </w:rPr>
        <w:t>V roce 2017 byl i</w:t>
      </w:r>
      <w:r w:rsidRPr="00EA61B0">
        <w:rPr>
          <w:lang w:eastAsia="cs-CZ"/>
        </w:rPr>
        <w:t xml:space="preserve">misní limit pro </w:t>
      </w:r>
      <w:r>
        <w:rPr>
          <w:lang w:eastAsia="cs-CZ"/>
        </w:rPr>
        <w:t>denní</w:t>
      </w:r>
      <w:r w:rsidRPr="00EA61B0">
        <w:rPr>
          <w:lang w:eastAsia="cs-CZ"/>
        </w:rPr>
        <w:t xml:space="preserve"> průměrnou koncentraci PM</w:t>
      </w:r>
      <w:r w:rsidRPr="00107215">
        <w:rPr>
          <w:vertAlign w:val="subscript"/>
          <w:lang w:eastAsia="cs-CZ"/>
        </w:rPr>
        <w:t>10</w:t>
      </w:r>
      <w:r w:rsidRPr="00EA61B0">
        <w:rPr>
          <w:lang w:eastAsia="cs-CZ"/>
        </w:rPr>
        <w:t xml:space="preserve"> </w:t>
      </w:r>
      <w:r>
        <w:rPr>
          <w:lang w:eastAsia="cs-CZ"/>
        </w:rPr>
        <w:t>nedodržen</w:t>
      </w:r>
      <w:r w:rsidRPr="00EA61B0">
        <w:rPr>
          <w:lang w:eastAsia="cs-CZ"/>
        </w:rPr>
        <w:t xml:space="preserve"> na </w:t>
      </w:r>
      <w:r>
        <w:rPr>
          <w:lang w:eastAsia="cs-CZ"/>
        </w:rPr>
        <w:t xml:space="preserve">50 měřících stanicích, tj. cca na </w:t>
      </w:r>
      <w:r w:rsidRPr="00407152">
        <w:rPr>
          <w:vertAlign w:val="superscript"/>
          <w:lang w:eastAsia="cs-CZ"/>
        </w:rPr>
        <w:t>1</w:t>
      </w:r>
      <w:r>
        <w:rPr>
          <w:lang w:eastAsia="cs-CZ"/>
        </w:rPr>
        <w:t>/</w:t>
      </w:r>
      <w:r w:rsidRPr="00407152">
        <w:rPr>
          <w:vertAlign w:val="subscript"/>
          <w:lang w:eastAsia="cs-CZ"/>
        </w:rPr>
        <w:t>3</w:t>
      </w:r>
      <w:r>
        <w:rPr>
          <w:lang w:eastAsia="cs-CZ"/>
        </w:rPr>
        <w:t xml:space="preserve"> měř</w:t>
      </w:r>
      <w:r w:rsidR="000A0D9D">
        <w:rPr>
          <w:lang w:eastAsia="cs-CZ"/>
        </w:rPr>
        <w:t>i</w:t>
      </w:r>
      <w:r>
        <w:rPr>
          <w:lang w:eastAsia="cs-CZ"/>
        </w:rPr>
        <w:t xml:space="preserve">cích stanic </w:t>
      </w:r>
      <w:r w:rsidRPr="00EA61B0">
        <w:rPr>
          <w:lang w:eastAsia="cs-CZ"/>
        </w:rPr>
        <w:t xml:space="preserve">(v roce 2016 na </w:t>
      </w:r>
      <w:r>
        <w:rPr>
          <w:lang w:eastAsia="cs-CZ"/>
        </w:rPr>
        <w:t>23 a v roce 2015 na 29)</w:t>
      </w:r>
      <w:r w:rsidRPr="00EA61B0">
        <w:rPr>
          <w:lang w:eastAsia="cs-CZ"/>
        </w:rPr>
        <w:t>, nadlimitním koncentracím bylo v</w:t>
      </w:r>
      <w:r>
        <w:rPr>
          <w:lang w:eastAsia="cs-CZ"/>
        </w:rPr>
        <w:t> roce 2017</w:t>
      </w:r>
      <w:r w:rsidRPr="00EA61B0">
        <w:rPr>
          <w:lang w:eastAsia="cs-CZ"/>
        </w:rPr>
        <w:t xml:space="preserve"> vystaveno 23 % obyvatel ČR (v roce 2016 celkem 7 % obyvatel</w:t>
      </w:r>
      <w:r>
        <w:rPr>
          <w:lang w:eastAsia="cs-CZ"/>
        </w:rPr>
        <w:t xml:space="preserve"> a v roce 2015 celkem 10 % obyvatel</w:t>
      </w:r>
      <w:r w:rsidRPr="00EA61B0">
        <w:rPr>
          <w:lang w:eastAsia="cs-CZ"/>
        </w:rPr>
        <w:t>). Z důvodu vysokých koncentrací suspendovaných částic PM</w:t>
      </w:r>
      <w:r w:rsidRPr="00107215">
        <w:rPr>
          <w:vertAlign w:val="subscript"/>
          <w:lang w:eastAsia="cs-CZ"/>
        </w:rPr>
        <w:t>10</w:t>
      </w:r>
      <w:r w:rsidRPr="00EA61B0">
        <w:rPr>
          <w:lang w:eastAsia="cs-CZ"/>
        </w:rPr>
        <w:t xml:space="preserve"> bylo v roce 2017 vyhlášeno celkem 39 smogových situací</w:t>
      </w:r>
      <w:r>
        <w:rPr>
          <w:lang w:eastAsia="cs-CZ"/>
        </w:rPr>
        <w:t xml:space="preserve"> o celkovém trvání 3 757 hodin.</w:t>
      </w:r>
    </w:p>
    <w:p w14:paraId="07DB9D0B" w14:textId="5A276751" w:rsidR="00466E6F" w:rsidRDefault="00395345" w:rsidP="002350E3">
      <w:pPr>
        <w:pStyle w:val="Text"/>
        <w:spacing w:after="120" w:line="276" w:lineRule="auto"/>
        <w:rPr>
          <w:lang w:eastAsia="cs-CZ"/>
        </w:rPr>
      </w:pPr>
      <w:r>
        <w:rPr>
          <w:lang w:eastAsia="cs-CZ"/>
        </w:rPr>
        <w:t>V roce 2017 byl i</w:t>
      </w:r>
      <w:r w:rsidRPr="00EA61B0">
        <w:rPr>
          <w:lang w:eastAsia="cs-CZ"/>
        </w:rPr>
        <w:t xml:space="preserve">misní limit pro </w:t>
      </w:r>
      <w:r>
        <w:rPr>
          <w:lang w:eastAsia="cs-CZ"/>
        </w:rPr>
        <w:t>roční</w:t>
      </w:r>
      <w:r w:rsidRPr="00EA61B0">
        <w:rPr>
          <w:lang w:eastAsia="cs-CZ"/>
        </w:rPr>
        <w:t xml:space="preserve"> průměrnou koncentraci </w:t>
      </w:r>
      <w:proofErr w:type="spellStart"/>
      <w:r w:rsidR="00AE2306">
        <w:rPr>
          <w:lang w:eastAsia="cs-CZ"/>
        </w:rPr>
        <w:t>BaP</w:t>
      </w:r>
      <w:proofErr w:type="spellEnd"/>
      <w:r>
        <w:rPr>
          <w:lang w:eastAsia="cs-CZ"/>
        </w:rPr>
        <w:t>, stanovený jako celkový obsah v částicích PM</w:t>
      </w:r>
      <w:r w:rsidRPr="00B3609B">
        <w:rPr>
          <w:vertAlign w:val="subscript"/>
          <w:lang w:eastAsia="cs-CZ"/>
        </w:rPr>
        <w:t>10</w:t>
      </w:r>
      <w:r w:rsidRPr="003B2399">
        <w:rPr>
          <w:lang w:eastAsia="cs-CZ"/>
        </w:rPr>
        <w:t>,</w:t>
      </w:r>
      <w:r>
        <w:rPr>
          <w:lang w:eastAsia="cs-CZ"/>
        </w:rPr>
        <w:t xml:space="preserve"> nedodržen</w:t>
      </w:r>
      <w:r w:rsidRPr="00EA61B0">
        <w:rPr>
          <w:lang w:eastAsia="cs-CZ"/>
        </w:rPr>
        <w:t xml:space="preserve"> na </w:t>
      </w:r>
      <w:r>
        <w:rPr>
          <w:lang w:eastAsia="cs-CZ"/>
        </w:rPr>
        <w:t>31 měř</w:t>
      </w:r>
      <w:r w:rsidR="003B271C">
        <w:rPr>
          <w:lang w:eastAsia="cs-CZ"/>
        </w:rPr>
        <w:t>i</w:t>
      </w:r>
      <w:r>
        <w:rPr>
          <w:lang w:eastAsia="cs-CZ"/>
        </w:rPr>
        <w:t xml:space="preserve">cích stanicích, tj. cca na </w:t>
      </w:r>
      <w:r>
        <w:rPr>
          <w:vertAlign w:val="superscript"/>
          <w:lang w:eastAsia="cs-CZ"/>
        </w:rPr>
        <w:t>2</w:t>
      </w:r>
      <w:r>
        <w:rPr>
          <w:lang w:eastAsia="cs-CZ"/>
        </w:rPr>
        <w:t>/</w:t>
      </w:r>
      <w:r w:rsidRPr="00407152">
        <w:rPr>
          <w:vertAlign w:val="subscript"/>
          <w:lang w:eastAsia="cs-CZ"/>
        </w:rPr>
        <w:t>3</w:t>
      </w:r>
      <w:r>
        <w:rPr>
          <w:lang w:eastAsia="cs-CZ"/>
        </w:rPr>
        <w:t xml:space="preserve"> měřících stanic</w:t>
      </w:r>
      <w:r w:rsidRPr="00EA61B0">
        <w:rPr>
          <w:lang w:eastAsia="cs-CZ"/>
        </w:rPr>
        <w:t xml:space="preserve"> (v</w:t>
      </w:r>
      <w:r>
        <w:rPr>
          <w:lang w:eastAsia="cs-CZ"/>
        </w:rPr>
        <w:t> </w:t>
      </w:r>
      <w:r w:rsidRPr="00EA61B0">
        <w:rPr>
          <w:lang w:eastAsia="cs-CZ"/>
        </w:rPr>
        <w:t xml:space="preserve">roce 2016 na </w:t>
      </w:r>
      <w:r>
        <w:rPr>
          <w:lang w:eastAsia="cs-CZ"/>
        </w:rPr>
        <w:t>31 a v roce 2015 na 21)</w:t>
      </w:r>
      <w:r w:rsidRPr="00EA61B0">
        <w:rPr>
          <w:lang w:eastAsia="cs-CZ"/>
        </w:rPr>
        <w:t>, nadlimitním koncentracím bylo v</w:t>
      </w:r>
      <w:r>
        <w:rPr>
          <w:lang w:eastAsia="cs-CZ"/>
        </w:rPr>
        <w:t> roce 2017</w:t>
      </w:r>
      <w:r w:rsidRPr="00EA61B0">
        <w:rPr>
          <w:lang w:eastAsia="cs-CZ"/>
        </w:rPr>
        <w:t xml:space="preserve"> vystaveno </w:t>
      </w:r>
      <w:r>
        <w:rPr>
          <w:lang w:eastAsia="cs-CZ"/>
        </w:rPr>
        <w:t>62</w:t>
      </w:r>
      <w:r w:rsidRPr="00EA61B0">
        <w:rPr>
          <w:lang w:eastAsia="cs-CZ"/>
        </w:rPr>
        <w:t xml:space="preserve"> % obyvatel ČR (v roce 2016 celkem </w:t>
      </w:r>
      <w:r>
        <w:rPr>
          <w:lang w:eastAsia="cs-CZ"/>
        </w:rPr>
        <w:t>56</w:t>
      </w:r>
      <w:r w:rsidRPr="00EA61B0">
        <w:rPr>
          <w:lang w:eastAsia="cs-CZ"/>
        </w:rPr>
        <w:t xml:space="preserve"> % obyvatel</w:t>
      </w:r>
      <w:r>
        <w:rPr>
          <w:lang w:eastAsia="cs-CZ"/>
        </w:rPr>
        <w:t xml:space="preserve"> a v roce 2015 celkem 51 % obyvatel</w:t>
      </w:r>
      <w:r w:rsidRPr="00EA61B0">
        <w:rPr>
          <w:lang w:eastAsia="cs-CZ"/>
        </w:rPr>
        <w:t>)</w:t>
      </w:r>
      <w:r>
        <w:rPr>
          <w:rStyle w:val="Znakapoznpodarou"/>
          <w:lang w:eastAsia="cs-CZ"/>
        </w:rPr>
        <w:footnoteReference w:id="39"/>
      </w:r>
      <w:r>
        <w:rPr>
          <w:lang w:eastAsia="cs-CZ"/>
        </w:rPr>
        <w:t>, pětiletý průměr za roky 2013 až 2015 činí 51 %.</w:t>
      </w:r>
    </w:p>
    <w:p w14:paraId="0F247429" w14:textId="77777777" w:rsidR="00466E6F" w:rsidRDefault="00466E6F" w:rsidP="00395345">
      <w:pPr>
        <w:pStyle w:val="Text"/>
        <w:rPr>
          <w:lang w:eastAsia="cs-CZ"/>
        </w:rPr>
      </w:pPr>
      <w:r>
        <w:rPr>
          <w:lang w:eastAsia="cs-CZ"/>
        </w:rPr>
        <w:br w:type="page"/>
      </w:r>
    </w:p>
    <w:p w14:paraId="0488EF1D" w14:textId="77777777" w:rsidR="00466E6F" w:rsidRPr="00CD31F9" w:rsidRDefault="00466E6F" w:rsidP="001757EC">
      <w:pPr>
        <w:pStyle w:val="Nadpis1"/>
        <w:numPr>
          <w:ilvl w:val="0"/>
          <w:numId w:val="0"/>
        </w:numPr>
        <w:spacing w:before="120" w:after="120"/>
        <w:ind w:left="431" w:hanging="431"/>
        <w:rPr>
          <w:sz w:val="24"/>
        </w:rPr>
      </w:pPr>
      <w:r w:rsidRPr="00CD31F9">
        <w:rPr>
          <w:sz w:val="24"/>
        </w:rPr>
        <w:t xml:space="preserve">Příloha č. </w:t>
      </w:r>
      <w:r>
        <w:rPr>
          <w:sz w:val="24"/>
        </w:rPr>
        <w:t>2</w:t>
      </w:r>
    </w:p>
    <w:p w14:paraId="1449D114" w14:textId="77777777" w:rsidR="00466E6F" w:rsidRPr="00B1650A" w:rsidRDefault="00466E6F" w:rsidP="001757EC">
      <w:pPr>
        <w:pStyle w:val="Text"/>
        <w:spacing w:after="120"/>
        <w:rPr>
          <w:b/>
        </w:rPr>
      </w:pPr>
      <w:r w:rsidRPr="00B1650A">
        <w:rPr>
          <w:b/>
        </w:rPr>
        <w:t>Hodnocení úrovně znečišťování</w:t>
      </w:r>
    </w:p>
    <w:p w14:paraId="6EE69FD0" w14:textId="77777777" w:rsidR="00466E6F" w:rsidRDefault="00466E6F" w:rsidP="001757EC">
      <w:pPr>
        <w:pStyle w:val="Text"/>
        <w:spacing w:after="120"/>
      </w:pPr>
      <w:r w:rsidRPr="00A66657">
        <w:t>Hodnocení úrovně znečišťování ovzduší provádí ČHMÚ z pověření MŽP pro znečišťující látky antropogenního původu a skleníkové plyny. Základním podkladem je tzv. emisní inventura, která je založena na kombinovaném přístupu zahrnujícím přímý sběr údajů vykazovaných provozovateli zdrojů a údajů získaných modelovými výpočty z dat ohlášených provozovateli zdrojů nebo zjišťovaných v rámci statistických šetření prováděných především ČSÚ. Výsledky emisních inventur jsou prezentovány v podobě emisních bil</w:t>
      </w:r>
      <w:r>
        <w:t>ancí, které jsou zpracovávány v </w:t>
      </w:r>
      <w:r w:rsidRPr="00A66657">
        <w:t>různé</w:t>
      </w:r>
      <w:r>
        <w:t>m územním a sektorovém členění. Pro mezinárodní ohlašování souhrnných emisních údajů je používáno tzv. sektorové členění zdrojů dané Klasifikací pro reporting (</w:t>
      </w:r>
      <w:proofErr w:type="spellStart"/>
      <w:r>
        <w:t>Nomenclature</w:t>
      </w:r>
      <w:proofErr w:type="spellEnd"/>
      <w:r>
        <w:t xml:space="preserve"> </w:t>
      </w:r>
      <w:proofErr w:type="spellStart"/>
      <w:r>
        <w:t>for</w:t>
      </w:r>
      <w:proofErr w:type="spellEnd"/>
      <w:r>
        <w:t xml:space="preserve"> Reporting </w:t>
      </w:r>
      <w:proofErr w:type="spellStart"/>
      <w:r>
        <w:t>Codes</w:t>
      </w:r>
      <w:proofErr w:type="spellEnd"/>
      <w:r>
        <w:t xml:space="preserve"> – NFR). Ohlašovány jsou nejen emise hlavních znečišťujících látek, ale také emise částic PM</w:t>
      </w:r>
      <w:r w:rsidRPr="00811835">
        <w:rPr>
          <w:vertAlign w:val="subscript"/>
        </w:rPr>
        <w:t>10</w:t>
      </w:r>
      <w:r>
        <w:t xml:space="preserve"> a PM</w:t>
      </w:r>
      <w:r w:rsidRPr="00811835">
        <w:rPr>
          <w:vertAlign w:val="subscript"/>
        </w:rPr>
        <w:t>2,5</w:t>
      </w:r>
      <w:r>
        <w:t>, těžkých kovů.</w:t>
      </w:r>
      <w:r>
        <w:rPr>
          <w:rStyle w:val="Znakapoznpodarou"/>
        </w:rPr>
        <w:footnoteReference w:id="40"/>
      </w:r>
    </w:p>
    <w:p w14:paraId="208DED91" w14:textId="77777777" w:rsidR="00466E6F" w:rsidRPr="00B1650A" w:rsidRDefault="00466E6F" w:rsidP="001757EC">
      <w:pPr>
        <w:pStyle w:val="Text"/>
        <w:spacing w:after="120"/>
        <w:rPr>
          <w:b/>
        </w:rPr>
      </w:pPr>
      <w:r w:rsidRPr="00B1650A">
        <w:rPr>
          <w:b/>
        </w:rPr>
        <w:t>Vývoj národních emisí</w:t>
      </w:r>
    </w:p>
    <w:p w14:paraId="7FDFA904" w14:textId="77777777" w:rsidR="00466E6F" w:rsidRDefault="00466E6F" w:rsidP="001757EC">
      <w:pPr>
        <w:pStyle w:val="Text"/>
        <w:spacing w:after="120"/>
        <w:rPr>
          <w:lang w:eastAsia="cs-CZ"/>
        </w:rPr>
      </w:pPr>
      <w:r>
        <w:rPr>
          <w:lang w:eastAsia="cs-CZ"/>
        </w:rPr>
        <w:t>Následující tabulka uvádí vývoje emisí vybraných znečišťujících látek v letech 1990 až 2016.</w:t>
      </w:r>
    </w:p>
    <w:p w14:paraId="4263FA62" w14:textId="42962018" w:rsidR="00466E6F" w:rsidRPr="00B1650A" w:rsidRDefault="00466E6F" w:rsidP="001757EC">
      <w:pPr>
        <w:pStyle w:val="Titulek"/>
        <w:tabs>
          <w:tab w:val="clear" w:pos="7938"/>
          <w:tab w:val="left" w:pos="7655"/>
        </w:tabs>
        <w:spacing w:after="40"/>
        <w:rPr>
          <w:b/>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9</w:t>
      </w:r>
      <w:r w:rsidR="00A36661" w:rsidRPr="00B1650A">
        <w:rPr>
          <w:b/>
          <w:noProof/>
        </w:rPr>
        <w:fldChar w:fldCharType="end"/>
      </w:r>
      <w:r w:rsidRPr="00B1650A">
        <w:rPr>
          <w:b/>
        </w:rPr>
        <w:t>: Vývoj emisí vybraných znečišťujících látek v letech 1990 až 2016</w:t>
      </w:r>
      <w:r w:rsidRPr="00B1650A">
        <w:rPr>
          <w:b/>
        </w:rPr>
        <w:tab/>
        <w:t xml:space="preserve">(v </w:t>
      </w:r>
      <w:proofErr w:type="spellStart"/>
      <w:r w:rsidRPr="00B1650A">
        <w:rPr>
          <w:b/>
        </w:rPr>
        <w:t>kt</w:t>
      </w:r>
      <w:proofErr w:type="spellEnd"/>
      <w:r w:rsidRPr="00B1650A">
        <w:rPr>
          <w:b/>
        </w:rPr>
        <w:t xml:space="preserve">, </w:t>
      </w:r>
      <w:proofErr w:type="spellStart"/>
      <w:r w:rsidR="00AE2306" w:rsidRPr="00B1650A">
        <w:rPr>
          <w:b/>
        </w:rPr>
        <w:t>BaP</w:t>
      </w:r>
      <w:proofErr w:type="spellEnd"/>
      <w:r w:rsidRPr="00B1650A">
        <w:rPr>
          <w:b/>
        </w:rPr>
        <w:t xml:space="preserve"> v t)</w:t>
      </w:r>
    </w:p>
    <w:tbl>
      <w:tblPr>
        <w:tblW w:w="5000" w:type="pct"/>
        <w:tblCellMar>
          <w:left w:w="70" w:type="dxa"/>
          <w:right w:w="70" w:type="dxa"/>
        </w:tblCellMar>
        <w:tblLook w:val="04A0" w:firstRow="1" w:lastRow="0" w:firstColumn="1" w:lastColumn="0" w:noHBand="0" w:noVBand="1"/>
      </w:tblPr>
      <w:tblGrid>
        <w:gridCol w:w="3526"/>
        <w:gridCol w:w="817"/>
        <w:gridCol w:w="895"/>
        <w:gridCol w:w="828"/>
        <w:gridCol w:w="698"/>
        <w:gridCol w:w="705"/>
        <w:gridCol w:w="705"/>
        <w:gridCol w:w="888"/>
      </w:tblGrid>
      <w:tr w:rsidR="00466E6F" w14:paraId="654F6160" w14:textId="77777777" w:rsidTr="001757EC">
        <w:trPr>
          <w:trHeight w:val="227"/>
        </w:trPr>
        <w:tc>
          <w:tcPr>
            <w:tcW w:w="1945" w:type="pc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10896C3A"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Rok</w:t>
            </w:r>
          </w:p>
        </w:tc>
        <w:tc>
          <w:tcPr>
            <w:tcW w:w="451" w:type="pct"/>
            <w:tcBorders>
              <w:top w:val="single" w:sz="4" w:space="0" w:color="auto"/>
              <w:left w:val="nil"/>
              <w:bottom w:val="single" w:sz="4" w:space="0" w:color="auto"/>
              <w:right w:val="single" w:sz="4" w:space="0" w:color="auto"/>
            </w:tcBorders>
            <w:shd w:val="clear" w:color="000000" w:fill="E5F1FF"/>
            <w:vAlign w:val="center"/>
            <w:hideMark/>
          </w:tcPr>
          <w:p w14:paraId="0309B2C2" w14:textId="34B3759A" w:rsidR="00466E6F" w:rsidRPr="0058014D" w:rsidRDefault="00466E6F" w:rsidP="001757EC">
            <w:pPr>
              <w:jc w:val="center"/>
              <w:rPr>
                <w:rFonts w:ascii="Calibri" w:eastAsia="Times New Roman" w:hAnsi="Calibri" w:cs="Calibri"/>
                <w:b/>
                <w:bCs/>
                <w:sz w:val="20"/>
                <w:szCs w:val="20"/>
                <w:lang w:eastAsia="cs-CZ"/>
              </w:rPr>
            </w:pPr>
            <w:proofErr w:type="spellStart"/>
            <w:r w:rsidRPr="0058014D">
              <w:rPr>
                <w:rFonts w:ascii="Calibri" w:eastAsia="Times New Roman" w:hAnsi="Calibri" w:cs="Calibri"/>
                <w:b/>
                <w:bCs/>
                <w:sz w:val="20"/>
                <w:szCs w:val="20"/>
                <w:lang w:eastAsia="cs-CZ"/>
              </w:rPr>
              <w:t>SOx</w:t>
            </w:r>
            <w:proofErr w:type="spellEnd"/>
            <w:r w:rsidRPr="0058014D">
              <w:rPr>
                <w:rFonts w:ascii="Calibri" w:eastAsia="Times New Roman" w:hAnsi="Calibri" w:cs="Calibri"/>
                <w:b/>
                <w:bCs/>
                <w:sz w:val="20"/>
                <w:szCs w:val="20"/>
                <w:lang w:eastAsia="cs-CZ"/>
              </w:rPr>
              <w:t xml:space="preserve"> </w:t>
            </w:r>
            <w:r w:rsidRPr="0058014D">
              <w:rPr>
                <w:rFonts w:ascii="Calibri" w:eastAsia="Times New Roman" w:hAnsi="Calibri" w:cs="Calibri"/>
                <w:b/>
                <w:bCs/>
                <w:sz w:val="20"/>
                <w:szCs w:val="20"/>
                <w:lang w:eastAsia="cs-CZ"/>
              </w:rPr>
              <w:br/>
              <w:t>(SO</w:t>
            </w:r>
            <w:r w:rsidRPr="0058014D">
              <w:rPr>
                <w:rFonts w:ascii="Calibri" w:eastAsia="Times New Roman" w:hAnsi="Calibri" w:cs="Calibri"/>
                <w:b/>
                <w:bCs/>
                <w:sz w:val="20"/>
                <w:szCs w:val="20"/>
                <w:vertAlign w:val="subscript"/>
                <w:lang w:eastAsia="cs-CZ"/>
              </w:rPr>
              <w:t>2</w:t>
            </w:r>
            <w:r w:rsidRPr="0058014D">
              <w:rPr>
                <w:rFonts w:ascii="Calibri" w:eastAsia="Times New Roman" w:hAnsi="Calibri" w:cs="Calibri"/>
                <w:b/>
                <w:bCs/>
                <w:sz w:val="20"/>
                <w:szCs w:val="20"/>
                <w:lang w:eastAsia="cs-CZ"/>
              </w:rPr>
              <w:t>)</w:t>
            </w:r>
          </w:p>
        </w:tc>
        <w:tc>
          <w:tcPr>
            <w:tcW w:w="494" w:type="pct"/>
            <w:tcBorders>
              <w:top w:val="single" w:sz="4" w:space="0" w:color="auto"/>
              <w:left w:val="nil"/>
              <w:bottom w:val="single" w:sz="4" w:space="0" w:color="auto"/>
              <w:right w:val="single" w:sz="4" w:space="0" w:color="auto"/>
            </w:tcBorders>
            <w:shd w:val="clear" w:color="000000" w:fill="E5F1FF"/>
            <w:vAlign w:val="center"/>
            <w:hideMark/>
          </w:tcPr>
          <w:p w14:paraId="261B6D1B" w14:textId="2B88B045" w:rsidR="00466E6F" w:rsidRPr="0058014D" w:rsidRDefault="00466E6F" w:rsidP="00815943">
            <w:pPr>
              <w:jc w:val="center"/>
              <w:rPr>
                <w:rFonts w:ascii="Calibri" w:eastAsia="Times New Roman" w:hAnsi="Calibri" w:cs="Calibri"/>
                <w:b/>
                <w:bCs/>
                <w:sz w:val="20"/>
                <w:szCs w:val="20"/>
                <w:lang w:eastAsia="cs-CZ"/>
              </w:rPr>
            </w:pPr>
            <w:proofErr w:type="spellStart"/>
            <w:r w:rsidRPr="0058014D">
              <w:rPr>
                <w:rFonts w:ascii="Calibri" w:eastAsia="Times New Roman" w:hAnsi="Calibri" w:cs="Calibri"/>
                <w:b/>
                <w:bCs/>
                <w:sz w:val="20"/>
                <w:szCs w:val="20"/>
                <w:lang w:eastAsia="cs-CZ"/>
              </w:rPr>
              <w:t>NOx</w:t>
            </w:r>
            <w:proofErr w:type="spellEnd"/>
            <w:r w:rsidRPr="0058014D">
              <w:rPr>
                <w:rFonts w:ascii="Calibri" w:eastAsia="Times New Roman" w:hAnsi="Calibri" w:cs="Calibri"/>
                <w:b/>
                <w:bCs/>
                <w:sz w:val="20"/>
                <w:szCs w:val="20"/>
                <w:lang w:eastAsia="cs-CZ"/>
              </w:rPr>
              <w:br/>
              <w:t xml:space="preserve"> (NO</w:t>
            </w:r>
            <w:r w:rsidRPr="0058014D">
              <w:rPr>
                <w:rFonts w:ascii="Calibri" w:eastAsia="Times New Roman" w:hAnsi="Calibri" w:cs="Calibri"/>
                <w:b/>
                <w:bCs/>
                <w:sz w:val="20"/>
                <w:szCs w:val="20"/>
                <w:vertAlign w:val="subscript"/>
                <w:lang w:eastAsia="cs-CZ"/>
              </w:rPr>
              <w:t>2</w:t>
            </w:r>
            <w:r w:rsidRPr="0058014D">
              <w:rPr>
                <w:rFonts w:ascii="Calibri" w:eastAsia="Times New Roman" w:hAnsi="Calibri" w:cs="Calibri"/>
                <w:b/>
                <w:bCs/>
                <w:sz w:val="20"/>
                <w:szCs w:val="20"/>
                <w:lang w:eastAsia="cs-CZ"/>
              </w:rPr>
              <w:t>)</w:t>
            </w:r>
          </w:p>
        </w:tc>
        <w:tc>
          <w:tcPr>
            <w:tcW w:w="457" w:type="pct"/>
            <w:tcBorders>
              <w:top w:val="single" w:sz="4" w:space="0" w:color="auto"/>
              <w:left w:val="nil"/>
              <w:bottom w:val="single" w:sz="4" w:space="0" w:color="auto"/>
              <w:right w:val="single" w:sz="4" w:space="0" w:color="auto"/>
            </w:tcBorders>
            <w:shd w:val="clear" w:color="000000" w:fill="E5F1FF"/>
            <w:vAlign w:val="center"/>
            <w:hideMark/>
          </w:tcPr>
          <w:p w14:paraId="05357A3C" w14:textId="77777777" w:rsidR="00466E6F" w:rsidRPr="0058014D" w:rsidRDefault="00466E6F" w:rsidP="001757EC">
            <w:pPr>
              <w:jc w:val="center"/>
              <w:rPr>
                <w:rFonts w:ascii="Calibri" w:eastAsia="Times New Roman" w:hAnsi="Calibri" w:cs="Calibri"/>
                <w:b/>
                <w:bCs/>
                <w:sz w:val="20"/>
                <w:szCs w:val="20"/>
                <w:lang w:eastAsia="cs-CZ"/>
              </w:rPr>
            </w:pPr>
            <w:r w:rsidRPr="0058014D">
              <w:rPr>
                <w:rFonts w:ascii="Calibri" w:eastAsia="Times New Roman" w:hAnsi="Calibri" w:cs="Calibri"/>
                <w:b/>
                <w:bCs/>
                <w:sz w:val="20"/>
                <w:szCs w:val="20"/>
                <w:lang w:eastAsia="cs-CZ"/>
              </w:rPr>
              <w:t>NMVOC</w:t>
            </w:r>
          </w:p>
        </w:tc>
        <w:tc>
          <w:tcPr>
            <w:tcW w:w="385" w:type="pct"/>
            <w:tcBorders>
              <w:top w:val="single" w:sz="4" w:space="0" w:color="auto"/>
              <w:left w:val="nil"/>
              <w:bottom w:val="single" w:sz="4" w:space="0" w:color="auto"/>
              <w:right w:val="single" w:sz="4" w:space="0" w:color="auto"/>
            </w:tcBorders>
            <w:shd w:val="clear" w:color="000000" w:fill="E5F1FF"/>
            <w:vAlign w:val="center"/>
            <w:hideMark/>
          </w:tcPr>
          <w:p w14:paraId="6F9EF69B" w14:textId="77777777" w:rsidR="00466E6F" w:rsidRPr="0058014D" w:rsidRDefault="00466E6F" w:rsidP="001757EC">
            <w:pPr>
              <w:jc w:val="center"/>
              <w:rPr>
                <w:rFonts w:ascii="Calibri" w:eastAsia="Times New Roman" w:hAnsi="Calibri" w:cs="Calibri"/>
                <w:b/>
                <w:bCs/>
                <w:sz w:val="20"/>
                <w:szCs w:val="20"/>
                <w:lang w:eastAsia="cs-CZ"/>
              </w:rPr>
            </w:pPr>
            <w:r w:rsidRPr="0058014D">
              <w:rPr>
                <w:rFonts w:ascii="Calibri" w:eastAsia="Times New Roman" w:hAnsi="Calibri" w:cs="Calibri"/>
                <w:b/>
                <w:bCs/>
                <w:sz w:val="20"/>
                <w:szCs w:val="20"/>
                <w:lang w:eastAsia="cs-CZ"/>
              </w:rPr>
              <w:t>NH</w:t>
            </w:r>
            <w:r w:rsidRPr="0058014D">
              <w:rPr>
                <w:rFonts w:ascii="Calibri" w:eastAsia="Times New Roman" w:hAnsi="Calibri" w:cs="Calibri"/>
                <w:b/>
                <w:bCs/>
                <w:sz w:val="20"/>
                <w:szCs w:val="20"/>
                <w:vertAlign w:val="subscript"/>
                <w:lang w:eastAsia="cs-CZ"/>
              </w:rPr>
              <w:t>3</w:t>
            </w:r>
          </w:p>
        </w:tc>
        <w:tc>
          <w:tcPr>
            <w:tcW w:w="389" w:type="pct"/>
            <w:tcBorders>
              <w:top w:val="single" w:sz="4" w:space="0" w:color="auto"/>
              <w:left w:val="nil"/>
              <w:bottom w:val="single" w:sz="4" w:space="0" w:color="auto"/>
              <w:right w:val="single" w:sz="4" w:space="0" w:color="auto"/>
            </w:tcBorders>
            <w:shd w:val="clear" w:color="000000" w:fill="E5F1FF"/>
            <w:vAlign w:val="center"/>
            <w:hideMark/>
          </w:tcPr>
          <w:p w14:paraId="40679BF5" w14:textId="4E3D1349" w:rsidR="00466E6F" w:rsidRPr="0058014D" w:rsidRDefault="00466E6F" w:rsidP="00815943">
            <w:pPr>
              <w:jc w:val="center"/>
              <w:rPr>
                <w:rFonts w:ascii="Calibri" w:eastAsia="Times New Roman" w:hAnsi="Calibri" w:cs="Calibri"/>
                <w:b/>
                <w:bCs/>
                <w:sz w:val="20"/>
                <w:szCs w:val="20"/>
                <w:lang w:eastAsia="cs-CZ"/>
              </w:rPr>
            </w:pPr>
            <w:r w:rsidRPr="0058014D">
              <w:rPr>
                <w:rFonts w:ascii="Calibri" w:eastAsia="Times New Roman" w:hAnsi="Calibri" w:cs="Calibri"/>
                <w:b/>
                <w:bCs/>
                <w:sz w:val="20"/>
                <w:szCs w:val="20"/>
                <w:lang w:eastAsia="cs-CZ"/>
              </w:rPr>
              <w:t>PM</w:t>
            </w:r>
            <w:r w:rsidRPr="0058014D">
              <w:rPr>
                <w:rFonts w:ascii="Calibri" w:eastAsia="Times New Roman" w:hAnsi="Calibri" w:cs="Calibri"/>
                <w:b/>
                <w:bCs/>
                <w:sz w:val="20"/>
                <w:szCs w:val="20"/>
                <w:vertAlign w:val="subscript"/>
                <w:lang w:eastAsia="cs-CZ"/>
              </w:rPr>
              <w:t>2</w:t>
            </w:r>
            <w:r w:rsidR="00815943">
              <w:rPr>
                <w:rFonts w:ascii="Calibri" w:eastAsia="Times New Roman" w:hAnsi="Calibri" w:cs="Calibri"/>
                <w:b/>
                <w:bCs/>
                <w:sz w:val="20"/>
                <w:szCs w:val="20"/>
                <w:vertAlign w:val="subscript"/>
                <w:lang w:eastAsia="cs-CZ"/>
              </w:rPr>
              <w:t>,</w:t>
            </w:r>
            <w:r w:rsidRPr="0058014D">
              <w:rPr>
                <w:rFonts w:ascii="Calibri" w:eastAsia="Times New Roman" w:hAnsi="Calibri" w:cs="Calibri"/>
                <w:b/>
                <w:bCs/>
                <w:sz w:val="20"/>
                <w:szCs w:val="20"/>
                <w:vertAlign w:val="subscript"/>
                <w:lang w:eastAsia="cs-CZ"/>
              </w:rPr>
              <w:t>5</w:t>
            </w:r>
          </w:p>
        </w:tc>
        <w:tc>
          <w:tcPr>
            <w:tcW w:w="389" w:type="pct"/>
            <w:tcBorders>
              <w:top w:val="single" w:sz="4" w:space="0" w:color="auto"/>
              <w:left w:val="nil"/>
              <w:bottom w:val="single" w:sz="4" w:space="0" w:color="auto"/>
              <w:right w:val="single" w:sz="4" w:space="0" w:color="auto"/>
            </w:tcBorders>
            <w:shd w:val="clear" w:color="000000" w:fill="E5F1FF"/>
            <w:noWrap/>
            <w:vAlign w:val="center"/>
            <w:hideMark/>
          </w:tcPr>
          <w:p w14:paraId="61D6E563" w14:textId="77777777" w:rsidR="00466E6F" w:rsidRPr="0058014D" w:rsidRDefault="00466E6F" w:rsidP="001757EC">
            <w:pPr>
              <w:jc w:val="center"/>
              <w:rPr>
                <w:rFonts w:ascii="Calibri" w:eastAsia="Times New Roman" w:hAnsi="Calibri" w:cs="Calibri"/>
                <w:b/>
                <w:bCs/>
                <w:sz w:val="20"/>
                <w:szCs w:val="20"/>
                <w:lang w:eastAsia="cs-CZ"/>
              </w:rPr>
            </w:pPr>
            <w:r w:rsidRPr="0058014D">
              <w:rPr>
                <w:rFonts w:ascii="Calibri" w:eastAsia="Times New Roman" w:hAnsi="Calibri" w:cs="Calibri"/>
                <w:b/>
                <w:bCs/>
                <w:sz w:val="20"/>
                <w:szCs w:val="20"/>
                <w:lang w:eastAsia="cs-CZ"/>
              </w:rPr>
              <w:t>PM</w:t>
            </w:r>
            <w:r w:rsidRPr="0058014D">
              <w:rPr>
                <w:rFonts w:ascii="Calibri" w:eastAsia="Times New Roman" w:hAnsi="Calibri" w:cs="Calibri"/>
                <w:b/>
                <w:bCs/>
                <w:sz w:val="20"/>
                <w:szCs w:val="20"/>
                <w:vertAlign w:val="subscript"/>
                <w:lang w:eastAsia="cs-CZ"/>
              </w:rPr>
              <w:t>10</w:t>
            </w:r>
          </w:p>
        </w:tc>
        <w:tc>
          <w:tcPr>
            <w:tcW w:w="491" w:type="pct"/>
            <w:tcBorders>
              <w:top w:val="single" w:sz="4" w:space="0" w:color="auto"/>
              <w:left w:val="nil"/>
              <w:bottom w:val="single" w:sz="4" w:space="0" w:color="auto"/>
              <w:right w:val="single" w:sz="4" w:space="0" w:color="auto"/>
            </w:tcBorders>
            <w:shd w:val="clear" w:color="000000" w:fill="E5F1FF"/>
            <w:vAlign w:val="center"/>
            <w:hideMark/>
          </w:tcPr>
          <w:p w14:paraId="0C2AE993" w14:textId="723F2905" w:rsidR="00466E6F" w:rsidRPr="0058014D" w:rsidRDefault="00466E6F" w:rsidP="001757EC">
            <w:pPr>
              <w:jc w:val="center"/>
              <w:rPr>
                <w:rFonts w:ascii="Calibri" w:eastAsia="Times New Roman" w:hAnsi="Calibri" w:cs="Calibri"/>
                <w:b/>
                <w:bCs/>
                <w:sz w:val="20"/>
                <w:szCs w:val="20"/>
                <w:lang w:eastAsia="cs-CZ"/>
              </w:rPr>
            </w:pPr>
            <w:proofErr w:type="spellStart"/>
            <w:r>
              <w:rPr>
                <w:rFonts w:ascii="Calibri" w:eastAsia="Times New Roman" w:hAnsi="Calibri" w:cs="Calibri"/>
                <w:b/>
                <w:bCs/>
                <w:sz w:val="20"/>
                <w:szCs w:val="20"/>
                <w:lang w:eastAsia="cs-CZ"/>
              </w:rPr>
              <w:t>benzo</w:t>
            </w:r>
            <w:proofErr w:type="spellEnd"/>
            <w:r w:rsidR="00565F57">
              <w:rPr>
                <w:rFonts w:ascii="Calibri" w:eastAsia="Times New Roman" w:hAnsi="Calibri" w:cs="Calibri"/>
                <w:b/>
                <w:bCs/>
                <w:sz w:val="20"/>
                <w:szCs w:val="20"/>
                <w:lang w:eastAsia="cs-CZ"/>
              </w:rPr>
              <w:t>[</w:t>
            </w:r>
            <w:r>
              <w:rPr>
                <w:rFonts w:ascii="Calibri" w:eastAsia="Times New Roman" w:hAnsi="Calibri" w:cs="Calibri"/>
                <w:b/>
                <w:bCs/>
                <w:sz w:val="20"/>
                <w:szCs w:val="20"/>
                <w:lang w:eastAsia="cs-CZ"/>
              </w:rPr>
              <w:t>a</w:t>
            </w:r>
            <w:r w:rsidR="00565F57">
              <w:rPr>
                <w:rFonts w:ascii="Calibri" w:eastAsia="Times New Roman" w:hAnsi="Calibri" w:cs="Calibri"/>
                <w:b/>
                <w:bCs/>
                <w:sz w:val="20"/>
                <w:szCs w:val="20"/>
                <w:lang w:eastAsia="cs-CZ"/>
              </w:rPr>
              <w:t>]</w:t>
            </w:r>
            <w:r>
              <w:rPr>
                <w:rFonts w:ascii="Calibri" w:eastAsia="Times New Roman" w:hAnsi="Calibri" w:cs="Calibri"/>
                <w:b/>
                <w:bCs/>
                <w:sz w:val="20"/>
                <w:szCs w:val="20"/>
                <w:lang w:eastAsia="cs-CZ"/>
              </w:rPr>
              <w:t xml:space="preserve"> pyren</w:t>
            </w:r>
            <w:r w:rsidRPr="0058014D">
              <w:rPr>
                <w:rFonts w:ascii="Calibri" w:eastAsia="Times New Roman" w:hAnsi="Calibri" w:cs="Calibri"/>
                <w:b/>
                <w:bCs/>
                <w:sz w:val="20"/>
                <w:szCs w:val="20"/>
                <w:lang w:eastAsia="cs-CZ"/>
              </w:rPr>
              <w:t xml:space="preserve"> </w:t>
            </w:r>
          </w:p>
        </w:tc>
      </w:tr>
      <w:tr w:rsidR="00466E6F" w14:paraId="3464B720"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315789D3" w14:textId="77777777" w:rsidR="00466E6F" w:rsidRPr="0058014D" w:rsidRDefault="00466E6F" w:rsidP="001757EC">
            <w:pPr>
              <w:jc w:val="center"/>
              <w:rPr>
                <w:rFonts w:ascii="Calibri" w:eastAsia="Times New Roman" w:hAnsi="Calibri" w:cs="Calibri"/>
                <w:color w:val="000000"/>
                <w:sz w:val="20"/>
                <w:szCs w:val="20"/>
                <w:lang w:eastAsia="cs-CZ"/>
              </w:rPr>
            </w:pPr>
            <w:r w:rsidRPr="0058014D">
              <w:rPr>
                <w:rFonts w:ascii="Calibri" w:eastAsia="Times New Roman" w:hAnsi="Calibri" w:cs="Calibri"/>
                <w:color w:val="000000"/>
                <w:sz w:val="20"/>
                <w:szCs w:val="20"/>
                <w:lang w:eastAsia="cs-CZ"/>
              </w:rPr>
              <w:t>1990</w:t>
            </w:r>
          </w:p>
        </w:tc>
        <w:tc>
          <w:tcPr>
            <w:tcW w:w="451" w:type="pct"/>
            <w:tcBorders>
              <w:top w:val="nil"/>
              <w:left w:val="nil"/>
              <w:bottom w:val="single" w:sz="4" w:space="0" w:color="auto"/>
              <w:right w:val="single" w:sz="4" w:space="0" w:color="auto"/>
            </w:tcBorders>
            <w:shd w:val="clear" w:color="auto" w:fill="auto"/>
            <w:noWrap/>
            <w:vAlign w:val="center"/>
            <w:hideMark/>
          </w:tcPr>
          <w:p w14:paraId="064F375A"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1 755</w:t>
            </w:r>
          </w:p>
        </w:tc>
        <w:tc>
          <w:tcPr>
            <w:tcW w:w="494" w:type="pct"/>
            <w:tcBorders>
              <w:top w:val="nil"/>
              <w:left w:val="nil"/>
              <w:bottom w:val="single" w:sz="4" w:space="0" w:color="auto"/>
              <w:right w:val="single" w:sz="4" w:space="0" w:color="auto"/>
            </w:tcBorders>
            <w:shd w:val="clear" w:color="auto" w:fill="auto"/>
            <w:noWrap/>
            <w:vAlign w:val="center"/>
            <w:hideMark/>
          </w:tcPr>
          <w:p w14:paraId="280B270D"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812</w:t>
            </w:r>
          </w:p>
        </w:tc>
        <w:tc>
          <w:tcPr>
            <w:tcW w:w="457" w:type="pct"/>
            <w:tcBorders>
              <w:top w:val="nil"/>
              <w:left w:val="nil"/>
              <w:bottom w:val="single" w:sz="4" w:space="0" w:color="auto"/>
              <w:right w:val="single" w:sz="4" w:space="0" w:color="auto"/>
            </w:tcBorders>
            <w:shd w:val="clear" w:color="auto" w:fill="auto"/>
            <w:noWrap/>
            <w:vAlign w:val="center"/>
            <w:hideMark/>
          </w:tcPr>
          <w:p w14:paraId="4EE5EFC5"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571</w:t>
            </w:r>
          </w:p>
        </w:tc>
        <w:tc>
          <w:tcPr>
            <w:tcW w:w="385" w:type="pct"/>
            <w:tcBorders>
              <w:top w:val="nil"/>
              <w:left w:val="nil"/>
              <w:bottom w:val="single" w:sz="4" w:space="0" w:color="auto"/>
              <w:right w:val="single" w:sz="4" w:space="0" w:color="auto"/>
            </w:tcBorders>
            <w:shd w:val="clear" w:color="auto" w:fill="auto"/>
            <w:noWrap/>
            <w:vAlign w:val="center"/>
            <w:hideMark/>
          </w:tcPr>
          <w:p w14:paraId="662C2E6F"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190</w:t>
            </w:r>
          </w:p>
        </w:tc>
        <w:tc>
          <w:tcPr>
            <w:tcW w:w="389" w:type="pct"/>
            <w:tcBorders>
              <w:top w:val="nil"/>
              <w:left w:val="nil"/>
              <w:bottom w:val="single" w:sz="4" w:space="0" w:color="auto"/>
              <w:right w:val="single" w:sz="4" w:space="0" w:color="auto"/>
            </w:tcBorders>
            <w:shd w:val="clear" w:color="auto" w:fill="auto"/>
            <w:noWrap/>
            <w:vAlign w:val="center"/>
            <w:hideMark/>
          </w:tcPr>
          <w:p w14:paraId="47FE384F"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322</w:t>
            </w:r>
          </w:p>
        </w:tc>
        <w:tc>
          <w:tcPr>
            <w:tcW w:w="389" w:type="pct"/>
            <w:tcBorders>
              <w:top w:val="nil"/>
              <w:left w:val="nil"/>
              <w:bottom w:val="single" w:sz="4" w:space="0" w:color="auto"/>
              <w:right w:val="single" w:sz="4" w:space="0" w:color="auto"/>
            </w:tcBorders>
            <w:shd w:val="clear" w:color="auto" w:fill="auto"/>
            <w:noWrap/>
            <w:vAlign w:val="center"/>
            <w:hideMark/>
          </w:tcPr>
          <w:p w14:paraId="7EC2FC52"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452</w:t>
            </w:r>
          </w:p>
        </w:tc>
        <w:tc>
          <w:tcPr>
            <w:tcW w:w="491" w:type="pct"/>
            <w:tcBorders>
              <w:top w:val="nil"/>
              <w:left w:val="nil"/>
              <w:bottom w:val="single" w:sz="4" w:space="0" w:color="auto"/>
              <w:right w:val="single" w:sz="4" w:space="0" w:color="auto"/>
            </w:tcBorders>
            <w:shd w:val="clear" w:color="auto" w:fill="auto"/>
            <w:vAlign w:val="center"/>
            <w:hideMark/>
          </w:tcPr>
          <w:p w14:paraId="1956DCE3"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91</w:t>
            </w:r>
          </w:p>
        </w:tc>
      </w:tr>
      <w:tr w:rsidR="00466E6F" w14:paraId="0980F30F"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16D2051E" w14:textId="77777777" w:rsidR="00466E6F" w:rsidRPr="0058014D" w:rsidRDefault="00466E6F" w:rsidP="001757EC">
            <w:pPr>
              <w:jc w:val="center"/>
              <w:rPr>
                <w:rFonts w:ascii="Calibri" w:eastAsia="Times New Roman" w:hAnsi="Calibri" w:cs="Calibri"/>
                <w:color w:val="000000"/>
                <w:sz w:val="20"/>
                <w:szCs w:val="20"/>
                <w:lang w:eastAsia="cs-CZ"/>
              </w:rPr>
            </w:pPr>
            <w:r w:rsidRPr="0058014D">
              <w:rPr>
                <w:rFonts w:ascii="Calibri" w:eastAsia="Times New Roman" w:hAnsi="Calibri" w:cs="Calibri"/>
                <w:color w:val="000000"/>
                <w:sz w:val="20"/>
                <w:szCs w:val="20"/>
                <w:lang w:eastAsia="cs-CZ"/>
              </w:rPr>
              <w:t>2000</w:t>
            </w:r>
          </w:p>
        </w:tc>
        <w:tc>
          <w:tcPr>
            <w:tcW w:w="451" w:type="pct"/>
            <w:tcBorders>
              <w:top w:val="nil"/>
              <w:left w:val="nil"/>
              <w:bottom w:val="single" w:sz="4" w:space="0" w:color="auto"/>
              <w:right w:val="single" w:sz="4" w:space="0" w:color="auto"/>
            </w:tcBorders>
            <w:shd w:val="clear" w:color="auto" w:fill="auto"/>
            <w:noWrap/>
            <w:vAlign w:val="center"/>
            <w:hideMark/>
          </w:tcPr>
          <w:p w14:paraId="121B161C"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233</w:t>
            </w:r>
          </w:p>
        </w:tc>
        <w:tc>
          <w:tcPr>
            <w:tcW w:w="494" w:type="pct"/>
            <w:tcBorders>
              <w:top w:val="nil"/>
              <w:left w:val="nil"/>
              <w:bottom w:val="single" w:sz="4" w:space="0" w:color="auto"/>
              <w:right w:val="single" w:sz="4" w:space="0" w:color="auto"/>
            </w:tcBorders>
            <w:shd w:val="clear" w:color="auto" w:fill="auto"/>
            <w:noWrap/>
            <w:vAlign w:val="center"/>
            <w:hideMark/>
          </w:tcPr>
          <w:p w14:paraId="342BEB37"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295</w:t>
            </w:r>
          </w:p>
        </w:tc>
        <w:tc>
          <w:tcPr>
            <w:tcW w:w="457" w:type="pct"/>
            <w:tcBorders>
              <w:top w:val="nil"/>
              <w:left w:val="nil"/>
              <w:bottom w:val="single" w:sz="4" w:space="0" w:color="auto"/>
              <w:right w:val="single" w:sz="4" w:space="0" w:color="auto"/>
            </w:tcBorders>
            <w:shd w:val="clear" w:color="auto" w:fill="auto"/>
            <w:noWrap/>
            <w:vAlign w:val="center"/>
            <w:hideMark/>
          </w:tcPr>
          <w:p w14:paraId="13EB7BEB"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302</w:t>
            </w:r>
          </w:p>
        </w:tc>
        <w:tc>
          <w:tcPr>
            <w:tcW w:w="385" w:type="pct"/>
            <w:tcBorders>
              <w:top w:val="nil"/>
              <w:left w:val="nil"/>
              <w:bottom w:val="single" w:sz="4" w:space="0" w:color="auto"/>
              <w:right w:val="single" w:sz="4" w:space="0" w:color="auto"/>
            </w:tcBorders>
            <w:shd w:val="clear" w:color="auto" w:fill="auto"/>
            <w:noWrap/>
            <w:vAlign w:val="center"/>
            <w:hideMark/>
          </w:tcPr>
          <w:p w14:paraId="4BFD9F2B"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87</w:t>
            </w:r>
          </w:p>
        </w:tc>
        <w:tc>
          <w:tcPr>
            <w:tcW w:w="389" w:type="pct"/>
            <w:tcBorders>
              <w:top w:val="nil"/>
              <w:left w:val="nil"/>
              <w:bottom w:val="single" w:sz="4" w:space="0" w:color="auto"/>
              <w:right w:val="single" w:sz="4" w:space="0" w:color="auto"/>
            </w:tcBorders>
            <w:shd w:val="clear" w:color="auto" w:fill="auto"/>
            <w:noWrap/>
            <w:vAlign w:val="center"/>
            <w:hideMark/>
          </w:tcPr>
          <w:p w14:paraId="5BD00252"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51</w:t>
            </w:r>
          </w:p>
        </w:tc>
        <w:tc>
          <w:tcPr>
            <w:tcW w:w="389" w:type="pct"/>
            <w:tcBorders>
              <w:top w:val="nil"/>
              <w:left w:val="nil"/>
              <w:bottom w:val="single" w:sz="4" w:space="0" w:color="auto"/>
              <w:right w:val="single" w:sz="4" w:space="0" w:color="auto"/>
            </w:tcBorders>
            <w:shd w:val="clear" w:color="auto" w:fill="auto"/>
            <w:noWrap/>
            <w:vAlign w:val="center"/>
            <w:hideMark/>
          </w:tcPr>
          <w:p w14:paraId="55F5EB7D"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70</w:t>
            </w:r>
          </w:p>
        </w:tc>
        <w:tc>
          <w:tcPr>
            <w:tcW w:w="491" w:type="pct"/>
            <w:tcBorders>
              <w:top w:val="nil"/>
              <w:left w:val="nil"/>
              <w:bottom w:val="single" w:sz="4" w:space="0" w:color="auto"/>
              <w:right w:val="single" w:sz="4" w:space="0" w:color="auto"/>
            </w:tcBorders>
            <w:shd w:val="clear" w:color="auto" w:fill="auto"/>
            <w:vAlign w:val="center"/>
            <w:hideMark/>
          </w:tcPr>
          <w:p w14:paraId="5658033C"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17</w:t>
            </w:r>
          </w:p>
        </w:tc>
      </w:tr>
      <w:tr w:rsidR="00466E6F" w14:paraId="29ACC251"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32F94D42" w14:textId="77777777" w:rsidR="00466E6F" w:rsidRPr="0058014D" w:rsidRDefault="00466E6F" w:rsidP="001757EC">
            <w:pPr>
              <w:jc w:val="center"/>
              <w:rPr>
                <w:rFonts w:ascii="Calibri" w:eastAsia="Times New Roman" w:hAnsi="Calibri" w:cs="Calibri"/>
                <w:color w:val="000000"/>
                <w:sz w:val="20"/>
                <w:szCs w:val="20"/>
                <w:lang w:eastAsia="cs-CZ"/>
              </w:rPr>
            </w:pPr>
            <w:r w:rsidRPr="0058014D">
              <w:rPr>
                <w:rFonts w:ascii="Calibri" w:eastAsia="Times New Roman" w:hAnsi="Calibri" w:cs="Calibri"/>
                <w:color w:val="000000"/>
                <w:sz w:val="20"/>
                <w:szCs w:val="20"/>
                <w:lang w:eastAsia="cs-CZ"/>
              </w:rPr>
              <w:t>2005</w:t>
            </w:r>
          </w:p>
        </w:tc>
        <w:tc>
          <w:tcPr>
            <w:tcW w:w="451" w:type="pct"/>
            <w:tcBorders>
              <w:top w:val="nil"/>
              <w:left w:val="nil"/>
              <w:bottom w:val="single" w:sz="4" w:space="0" w:color="auto"/>
              <w:right w:val="single" w:sz="4" w:space="0" w:color="auto"/>
            </w:tcBorders>
            <w:shd w:val="clear" w:color="auto" w:fill="auto"/>
            <w:vAlign w:val="center"/>
            <w:hideMark/>
          </w:tcPr>
          <w:p w14:paraId="2115A968"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208</w:t>
            </w:r>
          </w:p>
        </w:tc>
        <w:tc>
          <w:tcPr>
            <w:tcW w:w="494" w:type="pct"/>
            <w:tcBorders>
              <w:top w:val="nil"/>
              <w:left w:val="nil"/>
              <w:bottom w:val="single" w:sz="4" w:space="0" w:color="auto"/>
              <w:right w:val="single" w:sz="4" w:space="0" w:color="auto"/>
            </w:tcBorders>
            <w:shd w:val="clear" w:color="auto" w:fill="auto"/>
            <w:vAlign w:val="center"/>
            <w:hideMark/>
          </w:tcPr>
          <w:p w14:paraId="5710B8BF"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281</w:t>
            </w:r>
          </w:p>
        </w:tc>
        <w:tc>
          <w:tcPr>
            <w:tcW w:w="457" w:type="pct"/>
            <w:tcBorders>
              <w:top w:val="nil"/>
              <w:left w:val="nil"/>
              <w:bottom w:val="single" w:sz="4" w:space="0" w:color="auto"/>
              <w:right w:val="single" w:sz="4" w:space="0" w:color="auto"/>
            </w:tcBorders>
            <w:shd w:val="clear" w:color="auto" w:fill="auto"/>
            <w:vAlign w:val="center"/>
            <w:hideMark/>
          </w:tcPr>
          <w:p w14:paraId="378C598B"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267</w:t>
            </w:r>
          </w:p>
        </w:tc>
        <w:tc>
          <w:tcPr>
            <w:tcW w:w="385" w:type="pct"/>
            <w:tcBorders>
              <w:top w:val="nil"/>
              <w:left w:val="nil"/>
              <w:bottom w:val="single" w:sz="4" w:space="0" w:color="auto"/>
              <w:right w:val="single" w:sz="4" w:space="0" w:color="auto"/>
            </w:tcBorders>
            <w:shd w:val="clear" w:color="auto" w:fill="auto"/>
            <w:vAlign w:val="center"/>
            <w:hideMark/>
          </w:tcPr>
          <w:p w14:paraId="1E540164"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78</w:t>
            </w:r>
          </w:p>
        </w:tc>
        <w:tc>
          <w:tcPr>
            <w:tcW w:w="389" w:type="pct"/>
            <w:tcBorders>
              <w:top w:val="nil"/>
              <w:left w:val="nil"/>
              <w:bottom w:val="single" w:sz="4" w:space="0" w:color="auto"/>
              <w:right w:val="single" w:sz="4" w:space="0" w:color="auto"/>
            </w:tcBorders>
            <w:shd w:val="clear" w:color="auto" w:fill="auto"/>
            <w:vAlign w:val="center"/>
            <w:hideMark/>
          </w:tcPr>
          <w:p w14:paraId="17C60F47"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45</w:t>
            </w:r>
          </w:p>
        </w:tc>
        <w:tc>
          <w:tcPr>
            <w:tcW w:w="389" w:type="pct"/>
            <w:tcBorders>
              <w:top w:val="nil"/>
              <w:left w:val="nil"/>
              <w:bottom w:val="single" w:sz="4" w:space="0" w:color="auto"/>
              <w:right w:val="single" w:sz="4" w:space="0" w:color="auto"/>
            </w:tcBorders>
            <w:shd w:val="clear" w:color="auto" w:fill="auto"/>
            <w:vAlign w:val="center"/>
            <w:hideMark/>
          </w:tcPr>
          <w:p w14:paraId="2444E83E"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61</w:t>
            </w:r>
          </w:p>
        </w:tc>
        <w:tc>
          <w:tcPr>
            <w:tcW w:w="491" w:type="pct"/>
            <w:tcBorders>
              <w:top w:val="nil"/>
              <w:left w:val="nil"/>
              <w:bottom w:val="single" w:sz="4" w:space="0" w:color="auto"/>
              <w:right w:val="single" w:sz="4" w:space="0" w:color="auto"/>
            </w:tcBorders>
            <w:shd w:val="clear" w:color="auto" w:fill="auto"/>
            <w:vAlign w:val="center"/>
            <w:hideMark/>
          </w:tcPr>
          <w:p w14:paraId="028E5703"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14</w:t>
            </w:r>
          </w:p>
        </w:tc>
      </w:tr>
      <w:tr w:rsidR="00466E6F" w14:paraId="28540047"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63A7680E" w14:textId="77777777" w:rsidR="00466E6F" w:rsidRPr="0058014D" w:rsidRDefault="00466E6F" w:rsidP="001757EC">
            <w:pPr>
              <w:jc w:val="center"/>
              <w:rPr>
                <w:rFonts w:ascii="Calibri" w:eastAsia="Times New Roman" w:hAnsi="Calibri" w:cs="Calibri"/>
                <w:color w:val="000000"/>
                <w:sz w:val="20"/>
                <w:szCs w:val="20"/>
                <w:lang w:eastAsia="cs-CZ"/>
              </w:rPr>
            </w:pPr>
            <w:r w:rsidRPr="0058014D">
              <w:rPr>
                <w:rFonts w:ascii="Calibri" w:eastAsia="Times New Roman" w:hAnsi="Calibri" w:cs="Calibri"/>
                <w:color w:val="000000"/>
                <w:sz w:val="20"/>
                <w:szCs w:val="20"/>
                <w:lang w:eastAsia="cs-CZ"/>
              </w:rPr>
              <w:t>2010</w:t>
            </w:r>
          </w:p>
        </w:tc>
        <w:tc>
          <w:tcPr>
            <w:tcW w:w="451" w:type="pct"/>
            <w:tcBorders>
              <w:top w:val="nil"/>
              <w:left w:val="nil"/>
              <w:bottom w:val="single" w:sz="4" w:space="0" w:color="auto"/>
              <w:right w:val="single" w:sz="4" w:space="0" w:color="auto"/>
            </w:tcBorders>
            <w:shd w:val="clear" w:color="auto" w:fill="auto"/>
            <w:vAlign w:val="center"/>
            <w:hideMark/>
          </w:tcPr>
          <w:p w14:paraId="284FCEA2"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164</w:t>
            </w:r>
          </w:p>
        </w:tc>
        <w:tc>
          <w:tcPr>
            <w:tcW w:w="494" w:type="pct"/>
            <w:tcBorders>
              <w:top w:val="nil"/>
              <w:left w:val="nil"/>
              <w:bottom w:val="single" w:sz="4" w:space="0" w:color="auto"/>
              <w:right w:val="single" w:sz="4" w:space="0" w:color="auto"/>
            </w:tcBorders>
            <w:shd w:val="clear" w:color="auto" w:fill="auto"/>
            <w:vAlign w:val="center"/>
            <w:hideMark/>
          </w:tcPr>
          <w:p w14:paraId="18B6E5C2"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226</w:t>
            </w:r>
          </w:p>
        </w:tc>
        <w:tc>
          <w:tcPr>
            <w:tcW w:w="457" w:type="pct"/>
            <w:tcBorders>
              <w:top w:val="nil"/>
              <w:left w:val="nil"/>
              <w:bottom w:val="single" w:sz="4" w:space="0" w:color="auto"/>
              <w:right w:val="single" w:sz="4" w:space="0" w:color="auto"/>
            </w:tcBorders>
            <w:shd w:val="clear" w:color="auto" w:fill="auto"/>
            <w:vAlign w:val="center"/>
            <w:hideMark/>
          </w:tcPr>
          <w:p w14:paraId="3B991333"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242</w:t>
            </w:r>
          </w:p>
        </w:tc>
        <w:tc>
          <w:tcPr>
            <w:tcW w:w="385" w:type="pct"/>
            <w:tcBorders>
              <w:top w:val="nil"/>
              <w:left w:val="nil"/>
              <w:bottom w:val="single" w:sz="4" w:space="0" w:color="auto"/>
              <w:right w:val="single" w:sz="4" w:space="0" w:color="auto"/>
            </w:tcBorders>
            <w:shd w:val="clear" w:color="auto" w:fill="auto"/>
            <w:vAlign w:val="center"/>
            <w:hideMark/>
          </w:tcPr>
          <w:p w14:paraId="7A826F8E"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72</w:t>
            </w:r>
          </w:p>
        </w:tc>
        <w:tc>
          <w:tcPr>
            <w:tcW w:w="389" w:type="pct"/>
            <w:tcBorders>
              <w:top w:val="nil"/>
              <w:left w:val="nil"/>
              <w:bottom w:val="single" w:sz="4" w:space="0" w:color="auto"/>
              <w:right w:val="single" w:sz="4" w:space="0" w:color="auto"/>
            </w:tcBorders>
            <w:shd w:val="clear" w:color="auto" w:fill="auto"/>
            <w:vAlign w:val="center"/>
            <w:hideMark/>
          </w:tcPr>
          <w:p w14:paraId="78FE873B"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45</w:t>
            </w:r>
          </w:p>
        </w:tc>
        <w:tc>
          <w:tcPr>
            <w:tcW w:w="389" w:type="pct"/>
            <w:tcBorders>
              <w:top w:val="nil"/>
              <w:left w:val="nil"/>
              <w:bottom w:val="single" w:sz="4" w:space="0" w:color="auto"/>
              <w:right w:val="single" w:sz="4" w:space="0" w:color="auto"/>
            </w:tcBorders>
            <w:shd w:val="clear" w:color="auto" w:fill="auto"/>
            <w:vAlign w:val="center"/>
            <w:hideMark/>
          </w:tcPr>
          <w:p w14:paraId="5796CAF5"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59</w:t>
            </w:r>
          </w:p>
        </w:tc>
        <w:tc>
          <w:tcPr>
            <w:tcW w:w="491" w:type="pct"/>
            <w:tcBorders>
              <w:top w:val="nil"/>
              <w:left w:val="nil"/>
              <w:bottom w:val="single" w:sz="4" w:space="0" w:color="auto"/>
              <w:right w:val="single" w:sz="4" w:space="0" w:color="auto"/>
            </w:tcBorders>
            <w:shd w:val="clear" w:color="auto" w:fill="auto"/>
            <w:vAlign w:val="center"/>
            <w:hideMark/>
          </w:tcPr>
          <w:p w14:paraId="4EF501D4"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17</w:t>
            </w:r>
          </w:p>
        </w:tc>
      </w:tr>
      <w:tr w:rsidR="00466E6F" w14:paraId="79FB76A8"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399B6A9A" w14:textId="77777777" w:rsidR="00466E6F" w:rsidRPr="0058014D" w:rsidRDefault="00466E6F" w:rsidP="001757EC">
            <w:pPr>
              <w:jc w:val="center"/>
              <w:rPr>
                <w:rFonts w:ascii="Calibri" w:eastAsia="Times New Roman" w:hAnsi="Calibri" w:cs="Calibri"/>
                <w:color w:val="000000"/>
                <w:sz w:val="20"/>
                <w:szCs w:val="20"/>
                <w:lang w:eastAsia="cs-CZ"/>
              </w:rPr>
            </w:pPr>
            <w:r w:rsidRPr="0058014D">
              <w:rPr>
                <w:rFonts w:ascii="Calibri" w:eastAsia="Times New Roman" w:hAnsi="Calibri" w:cs="Calibri"/>
                <w:color w:val="000000"/>
                <w:sz w:val="20"/>
                <w:szCs w:val="20"/>
                <w:lang w:eastAsia="cs-CZ"/>
              </w:rPr>
              <w:t>2015</w:t>
            </w:r>
          </w:p>
        </w:tc>
        <w:tc>
          <w:tcPr>
            <w:tcW w:w="451" w:type="pct"/>
            <w:tcBorders>
              <w:top w:val="nil"/>
              <w:left w:val="nil"/>
              <w:bottom w:val="single" w:sz="4" w:space="0" w:color="auto"/>
              <w:right w:val="single" w:sz="4" w:space="0" w:color="auto"/>
            </w:tcBorders>
            <w:shd w:val="clear" w:color="auto" w:fill="auto"/>
            <w:vAlign w:val="center"/>
            <w:hideMark/>
          </w:tcPr>
          <w:p w14:paraId="1A556260"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133</w:t>
            </w:r>
          </w:p>
        </w:tc>
        <w:tc>
          <w:tcPr>
            <w:tcW w:w="494" w:type="pct"/>
            <w:tcBorders>
              <w:top w:val="nil"/>
              <w:left w:val="nil"/>
              <w:bottom w:val="single" w:sz="4" w:space="0" w:color="auto"/>
              <w:right w:val="single" w:sz="4" w:space="0" w:color="auto"/>
            </w:tcBorders>
            <w:shd w:val="clear" w:color="auto" w:fill="auto"/>
            <w:vAlign w:val="center"/>
            <w:hideMark/>
          </w:tcPr>
          <w:p w14:paraId="58ABBAD7"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174</w:t>
            </w:r>
          </w:p>
        </w:tc>
        <w:tc>
          <w:tcPr>
            <w:tcW w:w="457" w:type="pct"/>
            <w:tcBorders>
              <w:top w:val="nil"/>
              <w:left w:val="nil"/>
              <w:bottom w:val="single" w:sz="4" w:space="0" w:color="auto"/>
              <w:right w:val="single" w:sz="4" w:space="0" w:color="auto"/>
            </w:tcBorders>
            <w:shd w:val="clear" w:color="auto" w:fill="auto"/>
            <w:vAlign w:val="center"/>
            <w:hideMark/>
          </w:tcPr>
          <w:p w14:paraId="4F2BAC43"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216</w:t>
            </w:r>
          </w:p>
        </w:tc>
        <w:tc>
          <w:tcPr>
            <w:tcW w:w="385" w:type="pct"/>
            <w:tcBorders>
              <w:top w:val="nil"/>
              <w:left w:val="nil"/>
              <w:bottom w:val="single" w:sz="4" w:space="0" w:color="auto"/>
              <w:right w:val="single" w:sz="4" w:space="0" w:color="auto"/>
            </w:tcBorders>
            <w:shd w:val="clear" w:color="auto" w:fill="auto"/>
            <w:vAlign w:val="center"/>
            <w:hideMark/>
          </w:tcPr>
          <w:p w14:paraId="597C5E3B"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73</w:t>
            </w:r>
          </w:p>
        </w:tc>
        <w:tc>
          <w:tcPr>
            <w:tcW w:w="389" w:type="pct"/>
            <w:tcBorders>
              <w:top w:val="nil"/>
              <w:left w:val="nil"/>
              <w:bottom w:val="single" w:sz="4" w:space="0" w:color="auto"/>
              <w:right w:val="single" w:sz="4" w:space="0" w:color="auto"/>
            </w:tcBorders>
            <w:shd w:val="clear" w:color="auto" w:fill="auto"/>
            <w:vAlign w:val="center"/>
            <w:hideMark/>
          </w:tcPr>
          <w:p w14:paraId="1337D9C0"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40</w:t>
            </w:r>
          </w:p>
        </w:tc>
        <w:tc>
          <w:tcPr>
            <w:tcW w:w="389" w:type="pct"/>
            <w:tcBorders>
              <w:top w:val="nil"/>
              <w:left w:val="nil"/>
              <w:bottom w:val="single" w:sz="4" w:space="0" w:color="auto"/>
              <w:right w:val="single" w:sz="4" w:space="0" w:color="auto"/>
            </w:tcBorders>
            <w:shd w:val="clear" w:color="auto" w:fill="auto"/>
            <w:vAlign w:val="center"/>
            <w:hideMark/>
          </w:tcPr>
          <w:p w14:paraId="60A945D5"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53</w:t>
            </w:r>
          </w:p>
        </w:tc>
        <w:tc>
          <w:tcPr>
            <w:tcW w:w="491" w:type="pct"/>
            <w:tcBorders>
              <w:top w:val="nil"/>
              <w:left w:val="nil"/>
              <w:bottom w:val="single" w:sz="4" w:space="0" w:color="auto"/>
              <w:right w:val="single" w:sz="4" w:space="0" w:color="auto"/>
            </w:tcBorders>
            <w:shd w:val="clear" w:color="auto" w:fill="auto"/>
            <w:vAlign w:val="center"/>
            <w:hideMark/>
          </w:tcPr>
          <w:p w14:paraId="58E8E73A"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16</w:t>
            </w:r>
          </w:p>
        </w:tc>
      </w:tr>
      <w:tr w:rsidR="00466E6F" w14:paraId="53423C33"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3F03FC06" w14:textId="77777777" w:rsidR="00466E6F" w:rsidRPr="0058014D" w:rsidRDefault="00466E6F" w:rsidP="001757EC">
            <w:pPr>
              <w:jc w:val="center"/>
              <w:rPr>
                <w:rFonts w:ascii="Calibri" w:eastAsia="Times New Roman" w:hAnsi="Calibri" w:cs="Calibri"/>
                <w:color w:val="000000"/>
                <w:sz w:val="20"/>
                <w:szCs w:val="20"/>
                <w:lang w:eastAsia="cs-CZ"/>
              </w:rPr>
            </w:pPr>
            <w:r w:rsidRPr="0058014D">
              <w:rPr>
                <w:rFonts w:ascii="Calibri" w:eastAsia="Times New Roman" w:hAnsi="Calibri" w:cs="Calibri"/>
                <w:color w:val="000000"/>
                <w:sz w:val="20"/>
                <w:szCs w:val="20"/>
                <w:lang w:eastAsia="cs-CZ"/>
              </w:rPr>
              <w:t>2016</w:t>
            </w:r>
          </w:p>
        </w:tc>
        <w:tc>
          <w:tcPr>
            <w:tcW w:w="451" w:type="pct"/>
            <w:tcBorders>
              <w:top w:val="nil"/>
              <w:left w:val="nil"/>
              <w:bottom w:val="single" w:sz="4" w:space="0" w:color="auto"/>
              <w:right w:val="single" w:sz="4" w:space="0" w:color="auto"/>
            </w:tcBorders>
            <w:shd w:val="clear" w:color="auto" w:fill="auto"/>
            <w:vAlign w:val="center"/>
            <w:hideMark/>
          </w:tcPr>
          <w:p w14:paraId="16E848BA"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115</w:t>
            </w:r>
          </w:p>
        </w:tc>
        <w:tc>
          <w:tcPr>
            <w:tcW w:w="494" w:type="pct"/>
            <w:tcBorders>
              <w:top w:val="nil"/>
              <w:left w:val="nil"/>
              <w:bottom w:val="single" w:sz="4" w:space="0" w:color="auto"/>
              <w:right w:val="single" w:sz="4" w:space="0" w:color="auto"/>
            </w:tcBorders>
            <w:shd w:val="clear" w:color="auto" w:fill="auto"/>
            <w:vAlign w:val="center"/>
            <w:hideMark/>
          </w:tcPr>
          <w:p w14:paraId="683AB32D"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165</w:t>
            </w:r>
          </w:p>
        </w:tc>
        <w:tc>
          <w:tcPr>
            <w:tcW w:w="457" w:type="pct"/>
            <w:tcBorders>
              <w:top w:val="nil"/>
              <w:left w:val="nil"/>
              <w:bottom w:val="single" w:sz="4" w:space="0" w:color="auto"/>
              <w:right w:val="single" w:sz="4" w:space="0" w:color="auto"/>
            </w:tcBorders>
            <w:shd w:val="clear" w:color="auto" w:fill="auto"/>
            <w:vAlign w:val="center"/>
            <w:hideMark/>
          </w:tcPr>
          <w:p w14:paraId="2EF8BA9D"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213</w:t>
            </w:r>
          </w:p>
        </w:tc>
        <w:tc>
          <w:tcPr>
            <w:tcW w:w="385" w:type="pct"/>
            <w:tcBorders>
              <w:top w:val="nil"/>
              <w:left w:val="nil"/>
              <w:bottom w:val="single" w:sz="4" w:space="0" w:color="auto"/>
              <w:right w:val="single" w:sz="4" w:space="0" w:color="auto"/>
            </w:tcBorders>
            <w:shd w:val="clear" w:color="auto" w:fill="auto"/>
            <w:vAlign w:val="center"/>
            <w:hideMark/>
          </w:tcPr>
          <w:p w14:paraId="171BD6C7"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73</w:t>
            </w:r>
          </w:p>
        </w:tc>
        <w:tc>
          <w:tcPr>
            <w:tcW w:w="389" w:type="pct"/>
            <w:tcBorders>
              <w:top w:val="nil"/>
              <w:left w:val="nil"/>
              <w:bottom w:val="single" w:sz="4" w:space="0" w:color="auto"/>
              <w:right w:val="single" w:sz="4" w:space="0" w:color="auto"/>
            </w:tcBorders>
            <w:shd w:val="clear" w:color="auto" w:fill="auto"/>
            <w:vAlign w:val="center"/>
            <w:hideMark/>
          </w:tcPr>
          <w:p w14:paraId="220B5D8C"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39</w:t>
            </w:r>
          </w:p>
        </w:tc>
        <w:tc>
          <w:tcPr>
            <w:tcW w:w="389" w:type="pct"/>
            <w:tcBorders>
              <w:top w:val="nil"/>
              <w:left w:val="nil"/>
              <w:bottom w:val="single" w:sz="4" w:space="0" w:color="auto"/>
              <w:right w:val="single" w:sz="4" w:space="0" w:color="auto"/>
            </w:tcBorders>
            <w:shd w:val="clear" w:color="auto" w:fill="auto"/>
            <w:vAlign w:val="center"/>
            <w:hideMark/>
          </w:tcPr>
          <w:p w14:paraId="291081C0"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52</w:t>
            </w:r>
          </w:p>
        </w:tc>
        <w:tc>
          <w:tcPr>
            <w:tcW w:w="491" w:type="pct"/>
            <w:tcBorders>
              <w:top w:val="nil"/>
              <w:left w:val="nil"/>
              <w:bottom w:val="single" w:sz="4" w:space="0" w:color="auto"/>
              <w:right w:val="single" w:sz="4" w:space="0" w:color="auto"/>
            </w:tcBorders>
            <w:shd w:val="clear" w:color="auto" w:fill="auto"/>
            <w:vAlign w:val="center"/>
            <w:hideMark/>
          </w:tcPr>
          <w:p w14:paraId="794E7DEF" w14:textId="77777777" w:rsidR="00466E6F" w:rsidRPr="0058014D" w:rsidRDefault="00466E6F" w:rsidP="001757EC">
            <w:pPr>
              <w:jc w:val="center"/>
              <w:rPr>
                <w:rFonts w:ascii="Calibri" w:eastAsia="Times New Roman" w:hAnsi="Calibri" w:cs="Calibri"/>
                <w:sz w:val="20"/>
                <w:szCs w:val="20"/>
                <w:lang w:eastAsia="cs-CZ"/>
              </w:rPr>
            </w:pPr>
            <w:r w:rsidRPr="0058014D">
              <w:rPr>
                <w:rFonts w:ascii="Calibri" w:eastAsia="Times New Roman" w:hAnsi="Calibri" w:cs="Calibri"/>
                <w:sz w:val="20"/>
                <w:szCs w:val="20"/>
                <w:lang w:eastAsia="cs-CZ"/>
              </w:rPr>
              <w:t>16</w:t>
            </w:r>
          </w:p>
        </w:tc>
      </w:tr>
      <w:tr w:rsidR="00466E6F" w14:paraId="3BEEB5FA" w14:textId="77777777" w:rsidTr="001757EC">
        <w:trPr>
          <w:trHeight w:val="227"/>
        </w:trPr>
        <w:tc>
          <w:tcPr>
            <w:tcW w:w="1945" w:type="pct"/>
            <w:tcBorders>
              <w:top w:val="nil"/>
              <w:left w:val="single" w:sz="4" w:space="0" w:color="auto"/>
              <w:bottom w:val="single" w:sz="4" w:space="0" w:color="auto"/>
              <w:right w:val="single" w:sz="4" w:space="0" w:color="auto"/>
            </w:tcBorders>
            <w:shd w:val="clear" w:color="000000" w:fill="D9D9D9"/>
            <w:noWrap/>
            <w:vAlign w:val="center"/>
            <w:hideMark/>
          </w:tcPr>
          <w:p w14:paraId="2F0C4C77" w14:textId="77777777" w:rsidR="00466E6F" w:rsidRPr="0058014D" w:rsidRDefault="00466E6F" w:rsidP="001757EC">
            <w:pP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Snížení emisí mezi roky 1990 a 2010 (%)</w:t>
            </w:r>
          </w:p>
        </w:tc>
        <w:tc>
          <w:tcPr>
            <w:tcW w:w="451" w:type="pct"/>
            <w:tcBorders>
              <w:top w:val="nil"/>
              <w:left w:val="nil"/>
              <w:bottom w:val="single" w:sz="4" w:space="0" w:color="auto"/>
              <w:right w:val="single" w:sz="4" w:space="0" w:color="auto"/>
            </w:tcBorders>
            <w:shd w:val="clear" w:color="000000" w:fill="D9D9D9"/>
            <w:noWrap/>
            <w:vAlign w:val="center"/>
            <w:hideMark/>
          </w:tcPr>
          <w:p w14:paraId="05DE4634"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91</w:t>
            </w:r>
          </w:p>
        </w:tc>
        <w:tc>
          <w:tcPr>
            <w:tcW w:w="494" w:type="pct"/>
            <w:tcBorders>
              <w:top w:val="nil"/>
              <w:left w:val="nil"/>
              <w:bottom w:val="single" w:sz="4" w:space="0" w:color="auto"/>
              <w:right w:val="single" w:sz="4" w:space="0" w:color="auto"/>
            </w:tcBorders>
            <w:shd w:val="clear" w:color="000000" w:fill="D9D9D9"/>
            <w:noWrap/>
            <w:vAlign w:val="center"/>
            <w:hideMark/>
          </w:tcPr>
          <w:p w14:paraId="3B37EB9E"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72</w:t>
            </w:r>
          </w:p>
        </w:tc>
        <w:tc>
          <w:tcPr>
            <w:tcW w:w="457" w:type="pct"/>
            <w:tcBorders>
              <w:top w:val="nil"/>
              <w:left w:val="nil"/>
              <w:bottom w:val="single" w:sz="4" w:space="0" w:color="auto"/>
              <w:right w:val="single" w:sz="4" w:space="0" w:color="auto"/>
            </w:tcBorders>
            <w:shd w:val="clear" w:color="000000" w:fill="D9D9D9"/>
            <w:noWrap/>
            <w:vAlign w:val="center"/>
            <w:hideMark/>
          </w:tcPr>
          <w:p w14:paraId="6B56E51C"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58</w:t>
            </w:r>
          </w:p>
        </w:tc>
        <w:tc>
          <w:tcPr>
            <w:tcW w:w="385" w:type="pct"/>
            <w:tcBorders>
              <w:top w:val="nil"/>
              <w:left w:val="nil"/>
              <w:bottom w:val="single" w:sz="4" w:space="0" w:color="auto"/>
              <w:right w:val="single" w:sz="4" w:space="0" w:color="auto"/>
            </w:tcBorders>
            <w:shd w:val="clear" w:color="000000" w:fill="D9D9D9"/>
            <w:noWrap/>
            <w:vAlign w:val="center"/>
            <w:hideMark/>
          </w:tcPr>
          <w:p w14:paraId="7FA065C5"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62</w:t>
            </w:r>
          </w:p>
        </w:tc>
        <w:tc>
          <w:tcPr>
            <w:tcW w:w="389" w:type="pct"/>
            <w:tcBorders>
              <w:top w:val="nil"/>
              <w:left w:val="nil"/>
              <w:bottom w:val="single" w:sz="4" w:space="0" w:color="auto"/>
              <w:right w:val="single" w:sz="4" w:space="0" w:color="auto"/>
            </w:tcBorders>
            <w:shd w:val="clear" w:color="000000" w:fill="D9D9D9"/>
            <w:noWrap/>
            <w:vAlign w:val="center"/>
            <w:hideMark/>
          </w:tcPr>
          <w:p w14:paraId="476D277C"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86</w:t>
            </w:r>
          </w:p>
        </w:tc>
        <w:tc>
          <w:tcPr>
            <w:tcW w:w="389" w:type="pct"/>
            <w:tcBorders>
              <w:top w:val="nil"/>
              <w:left w:val="nil"/>
              <w:bottom w:val="single" w:sz="4" w:space="0" w:color="auto"/>
              <w:right w:val="single" w:sz="4" w:space="0" w:color="auto"/>
            </w:tcBorders>
            <w:shd w:val="clear" w:color="000000" w:fill="D9D9D9"/>
            <w:noWrap/>
            <w:vAlign w:val="center"/>
            <w:hideMark/>
          </w:tcPr>
          <w:p w14:paraId="41908FB2"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87</w:t>
            </w:r>
          </w:p>
        </w:tc>
        <w:tc>
          <w:tcPr>
            <w:tcW w:w="491" w:type="pct"/>
            <w:tcBorders>
              <w:top w:val="nil"/>
              <w:left w:val="nil"/>
              <w:bottom w:val="single" w:sz="4" w:space="0" w:color="auto"/>
              <w:right w:val="single" w:sz="4" w:space="0" w:color="auto"/>
            </w:tcBorders>
            <w:shd w:val="clear" w:color="000000" w:fill="D9D9D9"/>
            <w:noWrap/>
            <w:vAlign w:val="center"/>
            <w:hideMark/>
          </w:tcPr>
          <w:p w14:paraId="61E57CB9"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82</w:t>
            </w:r>
          </w:p>
        </w:tc>
      </w:tr>
      <w:tr w:rsidR="00466E6F" w14:paraId="474F8703" w14:textId="77777777" w:rsidTr="001757EC">
        <w:trPr>
          <w:trHeight w:val="227"/>
        </w:trPr>
        <w:tc>
          <w:tcPr>
            <w:tcW w:w="1945" w:type="pct"/>
            <w:tcBorders>
              <w:top w:val="nil"/>
              <w:left w:val="single" w:sz="4" w:space="0" w:color="auto"/>
              <w:bottom w:val="single" w:sz="4" w:space="0" w:color="auto"/>
              <w:right w:val="single" w:sz="4" w:space="0" w:color="auto"/>
            </w:tcBorders>
            <w:shd w:val="clear" w:color="000000" w:fill="D9D9D9"/>
            <w:noWrap/>
            <w:vAlign w:val="center"/>
            <w:hideMark/>
          </w:tcPr>
          <w:p w14:paraId="4FC7F975" w14:textId="77777777" w:rsidR="00466E6F" w:rsidRPr="0058014D" w:rsidRDefault="00466E6F" w:rsidP="001757EC">
            <w:pP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Snížení emisí mezi roky 1990 a 2016 (%)</w:t>
            </w:r>
          </w:p>
        </w:tc>
        <w:tc>
          <w:tcPr>
            <w:tcW w:w="451" w:type="pct"/>
            <w:tcBorders>
              <w:top w:val="nil"/>
              <w:left w:val="nil"/>
              <w:bottom w:val="single" w:sz="4" w:space="0" w:color="auto"/>
              <w:right w:val="single" w:sz="4" w:space="0" w:color="auto"/>
            </w:tcBorders>
            <w:shd w:val="clear" w:color="000000" w:fill="D9D9D9"/>
            <w:noWrap/>
            <w:vAlign w:val="center"/>
            <w:hideMark/>
          </w:tcPr>
          <w:p w14:paraId="45B9DBD7"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93</w:t>
            </w:r>
          </w:p>
        </w:tc>
        <w:tc>
          <w:tcPr>
            <w:tcW w:w="494" w:type="pct"/>
            <w:tcBorders>
              <w:top w:val="nil"/>
              <w:left w:val="nil"/>
              <w:bottom w:val="single" w:sz="4" w:space="0" w:color="auto"/>
              <w:right w:val="single" w:sz="4" w:space="0" w:color="auto"/>
            </w:tcBorders>
            <w:shd w:val="clear" w:color="000000" w:fill="D9D9D9"/>
            <w:noWrap/>
            <w:vAlign w:val="center"/>
            <w:hideMark/>
          </w:tcPr>
          <w:p w14:paraId="063394E3"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80</w:t>
            </w:r>
          </w:p>
        </w:tc>
        <w:tc>
          <w:tcPr>
            <w:tcW w:w="457" w:type="pct"/>
            <w:tcBorders>
              <w:top w:val="nil"/>
              <w:left w:val="nil"/>
              <w:bottom w:val="single" w:sz="4" w:space="0" w:color="auto"/>
              <w:right w:val="single" w:sz="4" w:space="0" w:color="auto"/>
            </w:tcBorders>
            <w:shd w:val="clear" w:color="000000" w:fill="D9D9D9"/>
            <w:noWrap/>
            <w:vAlign w:val="center"/>
            <w:hideMark/>
          </w:tcPr>
          <w:p w14:paraId="03E36A69"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63</w:t>
            </w:r>
          </w:p>
        </w:tc>
        <w:tc>
          <w:tcPr>
            <w:tcW w:w="385" w:type="pct"/>
            <w:tcBorders>
              <w:top w:val="nil"/>
              <w:left w:val="nil"/>
              <w:bottom w:val="single" w:sz="4" w:space="0" w:color="auto"/>
              <w:right w:val="single" w:sz="4" w:space="0" w:color="auto"/>
            </w:tcBorders>
            <w:shd w:val="clear" w:color="000000" w:fill="D9D9D9"/>
            <w:noWrap/>
            <w:vAlign w:val="center"/>
            <w:hideMark/>
          </w:tcPr>
          <w:p w14:paraId="4675FC7C"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62</w:t>
            </w:r>
          </w:p>
        </w:tc>
        <w:tc>
          <w:tcPr>
            <w:tcW w:w="389" w:type="pct"/>
            <w:tcBorders>
              <w:top w:val="nil"/>
              <w:left w:val="nil"/>
              <w:bottom w:val="single" w:sz="4" w:space="0" w:color="auto"/>
              <w:right w:val="single" w:sz="4" w:space="0" w:color="auto"/>
            </w:tcBorders>
            <w:shd w:val="clear" w:color="000000" w:fill="D9D9D9"/>
            <w:noWrap/>
            <w:vAlign w:val="center"/>
            <w:hideMark/>
          </w:tcPr>
          <w:p w14:paraId="3763FFAF"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88</w:t>
            </w:r>
          </w:p>
        </w:tc>
        <w:tc>
          <w:tcPr>
            <w:tcW w:w="389" w:type="pct"/>
            <w:tcBorders>
              <w:top w:val="nil"/>
              <w:left w:val="nil"/>
              <w:bottom w:val="single" w:sz="4" w:space="0" w:color="auto"/>
              <w:right w:val="single" w:sz="4" w:space="0" w:color="auto"/>
            </w:tcBorders>
            <w:shd w:val="clear" w:color="000000" w:fill="D9D9D9"/>
            <w:noWrap/>
            <w:vAlign w:val="center"/>
            <w:hideMark/>
          </w:tcPr>
          <w:p w14:paraId="12549FDD"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89</w:t>
            </w:r>
          </w:p>
        </w:tc>
        <w:tc>
          <w:tcPr>
            <w:tcW w:w="491" w:type="pct"/>
            <w:tcBorders>
              <w:top w:val="nil"/>
              <w:left w:val="nil"/>
              <w:bottom w:val="single" w:sz="4" w:space="0" w:color="auto"/>
              <w:right w:val="single" w:sz="4" w:space="0" w:color="auto"/>
            </w:tcBorders>
            <w:shd w:val="clear" w:color="000000" w:fill="D9D9D9"/>
            <w:noWrap/>
            <w:vAlign w:val="center"/>
            <w:hideMark/>
          </w:tcPr>
          <w:p w14:paraId="5385991B" w14:textId="77777777" w:rsidR="00466E6F" w:rsidRPr="0058014D" w:rsidRDefault="00466E6F" w:rsidP="001757EC">
            <w:pPr>
              <w:jc w:val="center"/>
              <w:rPr>
                <w:rFonts w:ascii="Calibri" w:eastAsia="Times New Roman" w:hAnsi="Calibri" w:cs="Calibri"/>
                <w:b/>
                <w:bCs/>
                <w:color w:val="000000"/>
                <w:sz w:val="20"/>
                <w:szCs w:val="20"/>
                <w:lang w:eastAsia="cs-CZ"/>
              </w:rPr>
            </w:pPr>
            <w:r w:rsidRPr="0058014D">
              <w:rPr>
                <w:rFonts w:ascii="Calibri" w:eastAsia="Times New Roman" w:hAnsi="Calibri" w:cs="Calibri"/>
                <w:b/>
                <w:bCs/>
                <w:color w:val="000000"/>
                <w:sz w:val="20"/>
                <w:szCs w:val="20"/>
                <w:lang w:eastAsia="cs-CZ"/>
              </w:rPr>
              <w:t>83</w:t>
            </w:r>
          </w:p>
        </w:tc>
      </w:tr>
    </w:tbl>
    <w:p w14:paraId="50FB4EA3" w14:textId="615DB11E" w:rsidR="00466E6F" w:rsidRPr="003110DE" w:rsidRDefault="00466E6F" w:rsidP="001757EC">
      <w:pPr>
        <w:pStyle w:val="Zdrojeapozn"/>
      </w:pPr>
      <w:r w:rsidRPr="00D24707">
        <w:rPr>
          <w:b/>
        </w:rPr>
        <w:t>Zdroj:</w:t>
      </w:r>
      <w:r w:rsidRPr="003110DE">
        <w:t xml:space="preserve"> </w:t>
      </w:r>
      <w:r w:rsidR="003B271C">
        <w:t>zpracoval NKÚ na základě dat z e</w:t>
      </w:r>
      <w:r w:rsidRPr="003110DE">
        <w:t>misní bilance (Reporting_2018_v_1-2_1990-2016)</w:t>
      </w:r>
      <w:r w:rsidR="003B271C">
        <w:t>.</w:t>
      </w:r>
    </w:p>
    <w:p w14:paraId="518E024C" w14:textId="4E853F65" w:rsidR="00141703" w:rsidRDefault="00466E6F" w:rsidP="001757EC">
      <w:pPr>
        <w:pStyle w:val="TextKP"/>
        <w:spacing w:after="120"/>
        <w:rPr>
          <w:b/>
        </w:rPr>
      </w:pPr>
      <w:r w:rsidRPr="00F2776A">
        <w:t>Zásadní význam pro snížení antropogenních emisí do ovzduší měla směrnice EU č. 2001/81/ES</w:t>
      </w:r>
      <w:r w:rsidRPr="00F2776A">
        <w:rPr>
          <w:rStyle w:val="Znakapoznpodarou"/>
        </w:rPr>
        <w:footnoteReference w:id="41"/>
      </w:r>
      <w:r w:rsidRPr="00F2776A">
        <w:t>, která pro období od roku 2010 stanovila členským státům EU stropy celkových ročních emisí</w:t>
      </w:r>
      <w:r w:rsidRPr="00F2776A">
        <w:rPr>
          <w:rStyle w:val="Znakapoznpodarou"/>
        </w:rPr>
        <w:footnoteReference w:id="42"/>
      </w:r>
      <w:r w:rsidRPr="00F2776A">
        <w:t xml:space="preserve"> oxidu siřičitého (SO</w:t>
      </w:r>
      <w:r w:rsidRPr="00F2776A">
        <w:rPr>
          <w:vertAlign w:val="subscript"/>
        </w:rPr>
        <w:t>2</w:t>
      </w:r>
      <w:r w:rsidRPr="00F2776A">
        <w:t>), oxidů dusíku (NO</w:t>
      </w:r>
      <w:r w:rsidRPr="00F2776A">
        <w:rPr>
          <w:vertAlign w:val="subscript"/>
        </w:rPr>
        <w:t>X</w:t>
      </w:r>
      <w:r w:rsidRPr="00F2776A">
        <w:t xml:space="preserve">), </w:t>
      </w:r>
      <w:proofErr w:type="spellStart"/>
      <w:r w:rsidRPr="00F2776A">
        <w:t>nemethanových</w:t>
      </w:r>
      <w:proofErr w:type="spellEnd"/>
      <w:r w:rsidRPr="00F2776A">
        <w:t xml:space="preserve"> těkavých organických látek (NMVOC) a amoniaku (NH</w:t>
      </w:r>
      <w:r w:rsidRPr="00F2776A">
        <w:rPr>
          <w:vertAlign w:val="subscript"/>
        </w:rPr>
        <w:t>3</w:t>
      </w:r>
      <w:r w:rsidRPr="00F2776A">
        <w:t xml:space="preserve">). Mezi lety 1990 a 2016 došlo v ČR ke snížení emisí oxidu siřičitého o 93 %, emisí oxidů dusíku o 80 %, emisí </w:t>
      </w:r>
      <w:proofErr w:type="spellStart"/>
      <w:r w:rsidRPr="00F2776A">
        <w:t>nemethanových</w:t>
      </w:r>
      <w:proofErr w:type="spellEnd"/>
      <w:r w:rsidRPr="00F2776A">
        <w:t xml:space="preserve"> těkavých organických látek o 63 % a emisí amoniaku o 62 %. Česká republika splnila stanovené emisní stropy</w:t>
      </w:r>
      <w:r w:rsidRPr="00F2776A">
        <w:rPr>
          <w:rStyle w:val="Znakapoznpodarou"/>
        </w:rPr>
        <w:footnoteReference w:id="43"/>
      </w:r>
      <w:r w:rsidRPr="00F2776A">
        <w:t xml:space="preserve"> a nadále je plní, stále však přetrvávají v souvislosti s kvalitou ovzduší v ČR významné negativní dopady na li</w:t>
      </w:r>
      <w:r w:rsidR="00627966">
        <w:t>dské zdraví a životní prostředí a rizika pro ně</w:t>
      </w:r>
      <w:r w:rsidRPr="00F2776A">
        <w:t>.</w:t>
      </w:r>
      <w:r w:rsidR="00141703">
        <w:br w:type="page"/>
      </w:r>
    </w:p>
    <w:p w14:paraId="4FFB0A1B" w14:textId="77777777" w:rsidR="00395345" w:rsidRPr="00CD31F9" w:rsidRDefault="00395345" w:rsidP="00395345">
      <w:pPr>
        <w:pStyle w:val="Nadpis1"/>
        <w:numPr>
          <w:ilvl w:val="0"/>
          <w:numId w:val="0"/>
        </w:numPr>
        <w:spacing w:before="0" w:after="0"/>
        <w:ind w:left="431" w:hanging="431"/>
        <w:rPr>
          <w:sz w:val="24"/>
        </w:rPr>
      </w:pPr>
      <w:r w:rsidRPr="00CD31F9">
        <w:rPr>
          <w:sz w:val="24"/>
        </w:rPr>
        <w:t>Příloha č. 3</w:t>
      </w:r>
    </w:p>
    <w:p w14:paraId="6CBF883F" w14:textId="77777777" w:rsidR="00395345" w:rsidRPr="00B1650A" w:rsidRDefault="00395345" w:rsidP="006D33D2">
      <w:pPr>
        <w:pStyle w:val="Text"/>
        <w:spacing w:before="0"/>
      </w:pPr>
      <w:r w:rsidRPr="0009686B">
        <w:rPr>
          <w:noProof/>
          <w:lang w:eastAsia="cs-CZ"/>
        </w:rPr>
        <mc:AlternateContent>
          <mc:Choice Requires="wps">
            <w:drawing>
              <wp:anchor distT="45720" distB="45720" distL="114300" distR="114300" simplePos="0" relativeHeight="251660288" behindDoc="0" locked="0" layoutInCell="1" allowOverlap="1" wp14:anchorId="4D56DD63" wp14:editId="3802DD4B">
                <wp:simplePos x="0" y="0"/>
                <wp:positionH relativeFrom="margin">
                  <wp:posOffset>0</wp:posOffset>
                </wp:positionH>
                <wp:positionV relativeFrom="paragraph">
                  <wp:posOffset>251142</wp:posOffset>
                </wp:positionV>
                <wp:extent cx="5742305" cy="2955925"/>
                <wp:effectExtent l="0" t="0" r="10795" b="1587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955925"/>
                        </a:xfrm>
                        <a:prstGeom prst="rect">
                          <a:avLst/>
                        </a:prstGeom>
                        <a:solidFill>
                          <a:srgbClr val="E5F1FF"/>
                        </a:solidFill>
                        <a:ln w="6350">
                          <a:solidFill>
                            <a:schemeClr val="tx1"/>
                          </a:solidFill>
                          <a:miter lim="800000"/>
                          <a:headEnd/>
                          <a:tailEnd/>
                        </a:ln>
                      </wps:spPr>
                      <wps:txbx>
                        <w:txbxContent>
                          <w:p w14:paraId="74F748BA" w14:textId="1D23C903" w:rsidR="00E80779" w:rsidRPr="003742A5" w:rsidRDefault="00E80779" w:rsidP="00395345">
                            <w:pPr>
                              <w:spacing w:before="60"/>
                              <w:jc w:val="both"/>
                              <w:rPr>
                                <w:b/>
                                <w:sz w:val="18"/>
                              </w:rPr>
                            </w:pPr>
                            <w:r w:rsidRPr="0012500F">
                              <w:rPr>
                                <w:b/>
                                <w:sz w:val="18"/>
                              </w:rPr>
                              <w:t>Suspendované částice</w:t>
                            </w:r>
                            <w:r w:rsidRPr="0012500F">
                              <w:rPr>
                                <w:sz w:val="18"/>
                              </w:rPr>
                              <w:t xml:space="preserve"> představují různorodou směs organických a anorganických částic kapalného a pevného skupenství, různé velikosti, složení a původu. Částice v ovzduší představují významný rizikový faktor s mnohočetným efektem na lidské zdraví. Na rozdíl od plynných látek nemají specifické složení (velikost i složení částic je ovlivněno zdrojem, ze kterého pochází), nýbrž představují směs látek s různými účinky. Současně působí i jako vektor pro plynné škodliviny. Suspendované částice dělíme na primární a  sekundární. Primární částice j</w:t>
                            </w:r>
                            <w:r>
                              <w:rPr>
                                <w:sz w:val="18"/>
                              </w:rPr>
                              <w:t>sou emitované přímo ze zdrojů a </w:t>
                            </w:r>
                            <w:r w:rsidRPr="0012500F">
                              <w:rPr>
                                <w:sz w:val="18"/>
                              </w:rPr>
                              <w:t>můžeme je dále dělit na ty, které pochází z  antropogenních zdrojů (spalování fosilních paliv, doprava, technologické procesy, antropogenní aktivity) a z přírodních zdrojů – mořský aerosol, sopečná činnost, kosmický spad</w:t>
                            </w:r>
                            <w:r>
                              <w:rPr>
                                <w:sz w:val="18"/>
                              </w:rPr>
                              <w:t>…</w:t>
                            </w:r>
                            <w:r w:rsidRPr="0012500F">
                              <w:rPr>
                                <w:sz w:val="18"/>
                              </w:rPr>
                              <w:t xml:space="preserve">). </w:t>
                            </w:r>
                          </w:p>
                          <w:p w14:paraId="4DAE0A78" w14:textId="00E3451F" w:rsidR="00E80779" w:rsidRPr="0012500F" w:rsidRDefault="00E80779" w:rsidP="00395345">
                            <w:pPr>
                              <w:spacing w:before="60"/>
                              <w:jc w:val="both"/>
                              <w:rPr>
                                <w:sz w:val="18"/>
                              </w:rPr>
                            </w:pPr>
                            <w:r w:rsidRPr="0012500F">
                              <w:rPr>
                                <w:sz w:val="18"/>
                              </w:rPr>
                              <w:t xml:space="preserve">Sekundární částice jsou ty, které vznikají v ovzduší na základě probíhajících chemických (chemické reakce) a  fyzikálních (nukleace, kondenzace) procesů a dále ty, které se do ovzduší dostávají </w:t>
                            </w:r>
                            <w:proofErr w:type="spellStart"/>
                            <w:r w:rsidRPr="0012500F">
                              <w:rPr>
                                <w:sz w:val="18"/>
                              </w:rPr>
                              <w:t>resuspenzí</w:t>
                            </w:r>
                            <w:proofErr w:type="spellEnd"/>
                            <w:r w:rsidRPr="0012500F">
                              <w:rPr>
                                <w:sz w:val="18"/>
                              </w:rPr>
                              <w:t xml:space="preserve"> (zvířením) v důsledku lidské činnosti (doprava</w:t>
                            </w:r>
                            <w:r>
                              <w:rPr>
                                <w:sz w:val="18"/>
                              </w:rPr>
                              <w:t>…</w:t>
                            </w:r>
                            <w:r w:rsidRPr="0012500F">
                              <w:rPr>
                                <w:sz w:val="18"/>
                              </w:rPr>
                              <w:t xml:space="preserve">) nebo meteorologických faktorů (vítr). </w:t>
                            </w:r>
                          </w:p>
                          <w:p w14:paraId="28D48406" w14:textId="77777777" w:rsidR="00E80779" w:rsidRPr="0012500F" w:rsidRDefault="00E80779" w:rsidP="00395345">
                            <w:pPr>
                              <w:spacing w:before="60"/>
                              <w:jc w:val="both"/>
                              <w:rPr>
                                <w:sz w:val="18"/>
                              </w:rPr>
                            </w:pPr>
                            <w:r w:rsidRPr="0012500F">
                              <w:rPr>
                                <w:sz w:val="18"/>
                              </w:rPr>
                              <w:t xml:space="preserve">Malé částice podléhají koagulaci a kondenzaci, zvětšují se, ale jejich konečná velikost </w:t>
                            </w:r>
                            <w:r>
                              <w:rPr>
                                <w:sz w:val="18"/>
                              </w:rPr>
                              <w:t>zpravidla nepřesáhne 2 µm. Tyto </w:t>
                            </w:r>
                            <w:r w:rsidRPr="0012500F">
                              <w:rPr>
                                <w:sz w:val="18"/>
                              </w:rPr>
                              <w:t xml:space="preserve">částice setrvávají v ovzduší relativně dlouho, udává se cca 7 až 30 dnů. Částice vzniklé mechanickým dispergováním jsou naopak obvykle větší než 2 µm a jejich životnost v ovzduší je kratší. </w:t>
                            </w:r>
                          </w:p>
                          <w:p w14:paraId="7BD99944" w14:textId="77777777" w:rsidR="00E80779" w:rsidRDefault="00E80779" w:rsidP="00395345">
                            <w:pPr>
                              <w:spacing w:before="60"/>
                              <w:rPr>
                                <w:sz w:val="18"/>
                              </w:rPr>
                            </w:pPr>
                            <w:r w:rsidRPr="0012500F">
                              <w:rPr>
                                <w:sz w:val="18"/>
                              </w:rPr>
                              <w:t xml:space="preserve">Z hlediska původu, složení i chování se jemná frakce částic do 2,5 µm a hrubší frakce většího průměru významně liší.  </w:t>
                            </w:r>
                          </w:p>
                          <w:p w14:paraId="65D9C3A8" w14:textId="4285A254" w:rsidR="00E80779" w:rsidRDefault="00E80779" w:rsidP="00141703">
                            <w:pPr>
                              <w:spacing w:before="60"/>
                              <w:jc w:val="both"/>
                              <w:rPr>
                                <w:sz w:val="18"/>
                              </w:rPr>
                            </w:pPr>
                            <w:r w:rsidRPr="0012500F">
                              <w:rPr>
                                <w:sz w:val="18"/>
                              </w:rPr>
                              <w:t>Účinek suspendovaných částic závisí na velikosti, tvaru a chemickém složení. Velikost částic je rozho</w:t>
                            </w:r>
                            <w:r>
                              <w:rPr>
                                <w:sz w:val="18"/>
                              </w:rPr>
                              <w:t>dující pro průnik a </w:t>
                            </w:r>
                            <w:r w:rsidRPr="0012500F">
                              <w:rPr>
                                <w:sz w:val="18"/>
                              </w:rPr>
                              <w:t xml:space="preserve">ukládání v dýchacím traktu. Suspendované částice </w:t>
                            </w:r>
                            <w:r w:rsidRPr="000F0BBD">
                              <w:rPr>
                                <w:b/>
                                <w:sz w:val="18"/>
                              </w:rPr>
                              <w:t>PM</w:t>
                            </w:r>
                            <w:r w:rsidRPr="000F0BBD">
                              <w:rPr>
                                <w:b/>
                                <w:sz w:val="18"/>
                                <w:vertAlign w:val="subscript"/>
                              </w:rPr>
                              <w:t>2,5</w:t>
                            </w:r>
                            <w:r w:rsidRPr="0012500F">
                              <w:rPr>
                                <w:sz w:val="18"/>
                              </w:rPr>
                              <w:t xml:space="preserve"> představují, vzhledem ke své </w:t>
                            </w:r>
                            <w:r>
                              <w:rPr>
                                <w:sz w:val="18"/>
                              </w:rPr>
                              <w:t>schopnosti pronikat hlouběji do </w:t>
                            </w:r>
                            <w:r w:rsidRPr="0012500F">
                              <w:rPr>
                                <w:sz w:val="18"/>
                              </w:rPr>
                              <w:t>lidského organismu (plicních sklípků) a proto</w:t>
                            </w:r>
                            <w:r>
                              <w:rPr>
                                <w:sz w:val="18"/>
                              </w:rPr>
                              <w:t>,</w:t>
                            </w:r>
                            <w:r w:rsidRPr="0012500F">
                              <w:rPr>
                                <w:sz w:val="18"/>
                              </w:rPr>
                              <w:t xml:space="preserve"> že jsou na ně navázány jak těžké kovy, tak i persistentní organické polutanty, výrazně vyšší zdravotní riziko, než je tomu u suspendovaných části </w:t>
                            </w:r>
                            <w:r w:rsidRPr="000F0BBD">
                              <w:rPr>
                                <w:b/>
                                <w:sz w:val="18"/>
                              </w:rPr>
                              <w:t>PM</w:t>
                            </w:r>
                            <w:r w:rsidRPr="000F0BBD">
                              <w:rPr>
                                <w:b/>
                                <w:sz w:val="18"/>
                                <w:vertAlign w:val="subscript"/>
                              </w:rPr>
                              <w:t>10</w:t>
                            </w:r>
                            <w:r w:rsidRPr="000F0BBD">
                              <w:rPr>
                                <w:sz w:val="18"/>
                              </w:rPr>
                              <w:t>,</w:t>
                            </w:r>
                            <w:r w:rsidRPr="0012500F">
                              <w:rPr>
                                <w:sz w:val="18"/>
                              </w:rPr>
                              <w:t xml:space="preserve"> které mohou vzhledem k vyšší hmotnosti navíc snáze sedimentovat.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D56DD63" id="_x0000_t202" coordsize="21600,21600" o:spt="202" path="m,l,21600r21600,l21600,xe">
                <v:stroke joinstyle="miter"/>
                <v:path gradientshapeok="t" o:connecttype="rect"/>
              </v:shapetype>
              <v:shape id="Textové pole 2" o:spid="_x0000_s1026" type="#_x0000_t202" style="position:absolute;left:0;text-align:left;margin-left:0;margin-top:19.75pt;width:452.15pt;height:23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" fillcolor="#e5f1ff" strokecolor="black [3213]" strokeweight=".5pt">
                <v:textbox>
                  <w:txbxContent>
                    <w:p w14:paraId="74F748BA" w14:textId="1D23C903" w:rsidR="00E80779" w:rsidRPr="003742A5" w:rsidRDefault="00E80779" w:rsidP="00395345">
                      <w:pPr>
                        <w:spacing w:before="60"/>
                        <w:jc w:val="both"/>
                        <w:rPr>
                          <w:b/>
                          <w:sz w:val="18"/>
                        </w:rPr>
                      </w:pPr>
                      <w:r w:rsidRPr="0012500F">
                        <w:rPr>
                          <w:b/>
                          <w:sz w:val="18"/>
                        </w:rPr>
                        <w:t>Suspendované částice</w:t>
                      </w:r>
                      <w:r w:rsidRPr="0012500F">
                        <w:rPr>
                          <w:sz w:val="18"/>
                        </w:rPr>
                        <w:t xml:space="preserve"> představují různorodou směs organických a anorganických částic kapalného a pevného skupenství, různé velikosti, složení a původu. Částice v ovzduší představují významný rizikový faktor s mnohočetným efektem na lidské zdraví. Na rozdíl od plynných látek nemají specifické složení (velikost i složení částic je ovlivněno zdrojem, ze kterého pochází), nýbrž představují směs látek s různými účinky. Současně působí i jako vektor pro plynné škodliviny. Suspendované částice dělíme na primární a  sekundární. Primární částice j</w:t>
                      </w:r>
                      <w:r>
                        <w:rPr>
                          <w:sz w:val="18"/>
                        </w:rPr>
                        <w:t>sou emitované přímo ze zdrojů a </w:t>
                      </w:r>
                      <w:r w:rsidRPr="0012500F">
                        <w:rPr>
                          <w:sz w:val="18"/>
                        </w:rPr>
                        <w:t>můžeme je dále dělit na ty, které pochází z  antropogenních zdrojů (spalování fosilních paliv, doprava, technologické procesy, antropogenní aktivity) a z přírodních zdrojů – mořský aerosol, sopečná činnost, kosmický spad</w:t>
                      </w:r>
                      <w:r>
                        <w:rPr>
                          <w:sz w:val="18"/>
                        </w:rPr>
                        <w:t>…</w:t>
                      </w:r>
                      <w:r w:rsidRPr="0012500F">
                        <w:rPr>
                          <w:sz w:val="18"/>
                        </w:rPr>
                        <w:t xml:space="preserve">). </w:t>
                      </w:r>
                    </w:p>
                    <w:p w14:paraId="4DAE0A78" w14:textId="00E3451F" w:rsidR="00E80779" w:rsidRPr="0012500F" w:rsidRDefault="00E80779" w:rsidP="00395345">
                      <w:pPr>
                        <w:spacing w:before="60"/>
                        <w:jc w:val="both"/>
                        <w:rPr>
                          <w:sz w:val="18"/>
                        </w:rPr>
                      </w:pPr>
                      <w:r w:rsidRPr="0012500F">
                        <w:rPr>
                          <w:sz w:val="18"/>
                        </w:rPr>
                        <w:t xml:space="preserve">Sekundární částice jsou ty, které vznikají v ovzduší na základě probíhajících chemických (chemické reakce) a  fyzikálních (nukleace, kondenzace) procesů a dále ty, které se do ovzduší dostávají </w:t>
                      </w:r>
                      <w:proofErr w:type="spellStart"/>
                      <w:r w:rsidRPr="0012500F">
                        <w:rPr>
                          <w:sz w:val="18"/>
                        </w:rPr>
                        <w:t>resuspenzí</w:t>
                      </w:r>
                      <w:proofErr w:type="spellEnd"/>
                      <w:r w:rsidRPr="0012500F">
                        <w:rPr>
                          <w:sz w:val="18"/>
                        </w:rPr>
                        <w:t xml:space="preserve"> (zvířením) v důsledku lidské činnosti (doprava</w:t>
                      </w:r>
                      <w:r>
                        <w:rPr>
                          <w:sz w:val="18"/>
                        </w:rPr>
                        <w:t>…</w:t>
                      </w:r>
                      <w:r w:rsidRPr="0012500F">
                        <w:rPr>
                          <w:sz w:val="18"/>
                        </w:rPr>
                        <w:t xml:space="preserve">) nebo meteorologických faktorů (vítr). </w:t>
                      </w:r>
                    </w:p>
                    <w:p w14:paraId="28D48406" w14:textId="77777777" w:rsidR="00E80779" w:rsidRPr="0012500F" w:rsidRDefault="00E80779" w:rsidP="00395345">
                      <w:pPr>
                        <w:spacing w:before="60"/>
                        <w:jc w:val="both"/>
                        <w:rPr>
                          <w:sz w:val="18"/>
                        </w:rPr>
                      </w:pPr>
                      <w:r w:rsidRPr="0012500F">
                        <w:rPr>
                          <w:sz w:val="18"/>
                        </w:rPr>
                        <w:t xml:space="preserve">Malé částice podléhají koagulaci a kondenzaci, zvětšují se, ale jejich konečná velikost </w:t>
                      </w:r>
                      <w:r>
                        <w:rPr>
                          <w:sz w:val="18"/>
                        </w:rPr>
                        <w:t>zpravidla nepřesáhne 2 µm. Tyto </w:t>
                      </w:r>
                      <w:r w:rsidRPr="0012500F">
                        <w:rPr>
                          <w:sz w:val="18"/>
                        </w:rPr>
                        <w:t xml:space="preserve">částice setrvávají v ovzduší relativně dlouho, udává se cca 7 až 30 dnů. Částice vzniklé mechanickým dispergováním jsou naopak obvykle větší než 2 µm a jejich životnost v ovzduší je kratší. </w:t>
                      </w:r>
                    </w:p>
                    <w:p w14:paraId="7BD99944" w14:textId="77777777" w:rsidR="00E80779" w:rsidRDefault="00E80779" w:rsidP="00395345">
                      <w:pPr>
                        <w:spacing w:before="60"/>
                        <w:rPr>
                          <w:sz w:val="18"/>
                        </w:rPr>
                      </w:pPr>
                      <w:r w:rsidRPr="0012500F">
                        <w:rPr>
                          <w:sz w:val="18"/>
                        </w:rPr>
                        <w:t xml:space="preserve">Z hlediska původu, složení i chování se jemná frakce částic do 2,5 µm a hrubší frakce většího průměru významně liší.  </w:t>
                      </w:r>
                    </w:p>
                    <w:p w14:paraId="65D9C3A8" w14:textId="4285A254" w:rsidR="00E80779" w:rsidRDefault="00E80779" w:rsidP="00141703">
                      <w:pPr>
                        <w:spacing w:before="60"/>
                        <w:jc w:val="both"/>
                        <w:rPr>
                          <w:sz w:val="18"/>
                        </w:rPr>
                      </w:pPr>
                      <w:r w:rsidRPr="0012500F">
                        <w:rPr>
                          <w:sz w:val="18"/>
                        </w:rPr>
                        <w:t>Účinek suspendovaných částic závisí na velikosti, tvaru a chemickém složení. Velikost částic je rozho</w:t>
                      </w:r>
                      <w:r>
                        <w:rPr>
                          <w:sz w:val="18"/>
                        </w:rPr>
                        <w:t>dující pro průnik a </w:t>
                      </w:r>
                      <w:r w:rsidRPr="0012500F">
                        <w:rPr>
                          <w:sz w:val="18"/>
                        </w:rPr>
                        <w:t xml:space="preserve">ukládání v dýchacím traktu. Suspendované částice </w:t>
                      </w:r>
                      <w:r w:rsidRPr="000F0BBD">
                        <w:rPr>
                          <w:b/>
                          <w:sz w:val="18"/>
                        </w:rPr>
                        <w:t>PM</w:t>
                      </w:r>
                      <w:r w:rsidRPr="000F0BBD">
                        <w:rPr>
                          <w:b/>
                          <w:sz w:val="18"/>
                          <w:vertAlign w:val="subscript"/>
                        </w:rPr>
                        <w:t>2,5</w:t>
                      </w:r>
                      <w:r w:rsidRPr="0012500F">
                        <w:rPr>
                          <w:sz w:val="18"/>
                        </w:rPr>
                        <w:t xml:space="preserve"> představují, vzhledem ke své </w:t>
                      </w:r>
                      <w:r>
                        <w:rPr>
                          <w:sz w:val="18"/>
                        </w:rPr>
                        <w:t>schopnosti pronikat hlouběji do </w:t>
                      </w:r>
                      <w:r w:rsidRPr="0012500F">
                        <w:rPr>
                          <w:sz w:val="18"/>
                        </w:rPr>
                        <w:t>lidského organismu (plicních sklípků) a proto</w:t>
                      </w:r>
                      <w:r>
                        <w:rPr>
                          <w:sz w:val="18"/>
                        </w:rPr>
                        <w:t>,</w:t>
                      </w:r>
                      <w:r w:rsidRPr="0012500F">
                        <w:rPr>
                          <w:sz w:val="18"/>
                        </w:rPr>
                        <w:t xml:space="preserve"> že jsou na ně navázány jak těžké kovy, tak i persistentní organické polutanty, výrazně vyšší zdravotní riziko, než je tomu u suspendovaných části </w:t>
                      </w:r>
                      <w:r w:rsidRPr="000F0BBD">
                        <w:rPr>
                          <w:b/>
                          <w:sz w:val="18"/>
                        </w:rPr>
                        <w:t>PM</w:t>
                      </w:r>
                      <w:r w:rsidRPr="000F0BBD">
                        <w:rPr>
                          <w:b/>
                          <w:sz w:val="18"/>
                          <w:vertAlign w:val="subscript"/>
                        </w:rPr>
                        <w:t>10</w:t>
                      </w:r>
                      <w:r w:rsidRPr="000F0BBD">
                        <w:rPr>
                          <w:sz w:val="18"/>
                        </w:rPr>
                        <w:t>,</w:t>
                      </w:r>
                      <w:r w:rsidRPr="0012500F">
                        <w:rPr>
                          <w:sz w:val="18"/>
                        </w:rPr>
                        <w:t xml:space="preserve"> které mohou vzhledem k vyšší hmotnosti navíc snáze sedimentovat.</w:t>
                      </w:r>
                    </w:p>
                  </w:txbxContent>
                </v:textbox>
                <w10:wrap type="topAndBottom" anchorx="margin"/>
              </v:shape>
            </w:pict>
          </mc:Fallback>
        </mc:AlternateContent>
      </w:r>
      <w:r w:rsidRPr="00B1650A">
        <w:rPr>
          <w:b/>
        </w:rPr>
        <w:t>Hlavní znečišťující látky</w:t>
      </w:r>
    </w:p>
    <w:p w14:paraId="0ADABBF2" w14:textId="7DC82B37" w:rsidR="00395345" w:rsidRDefault="00395345" w:rsidP="006D33D2">
      <w:pPr>
        <w:pStyle w:val="Zdrojapozn"/>
      </w:pPr>
      <w:r w:rsidRPr="00D24707">
        <w:rPr>
          <w:b/>
        </w:rPr>
        <w:t>Zdroj:</w:t>
      </w:r>
      <w:r>
        <w:t xml:space="preserve"> ČHMÚ a NPSE</w:t>
      </w:r>
      <w:r w:rsidR="0009686B">
        <w:t xml:space="preserve">, viz </w:t>
      </w:r>
    </w:p>
    <w:p w14:paraId="0468EB7D" w14:textId="55543353" w:rsidR="00395345" w:rsidRPr="00B1650A" w:rsidRDefault="00E80779" w:rsidP="00B60221">
      <w:pPr>
        <w:pStyle w:val="Zdrojapozn"/>
        <w:ind w:left="567"/>
        <w:rPr>
          <w:rStyle w:val="Hypertextovodkaz"/>
          <w:color w:val="000000" w:themeColor="text1"/>
          <w:sz w:val="18"/>
          <w:u w:val="none"/>
        </w:rPr>
      </w:pPr>
      <w:hyperlink r:id="rId11" w:history="1">
        <w:r w:rsidR="00395345" w:rsidRPr="00B60B3E">
          <w:rPr>
            <w:rStyle w:val="Hypertextovodkaz"/>
            <w:sz w:val="18"/>
          </w:rPr>
          <w:t>http://portal.chmi.cz/files/portal/docs/meteo/om/weather_links/Pocasi/Navody/Znecisteni/susp_castice.pdf</w:t>
        </w:r>
      </w:hyperlink>
      <w:r w:rsidR="0009686B">
        <w:rPr>
          <w:rStyle w:val="Hypertextovodkaz"/>
          <w:color w:val="000000" w:themeColor="text1"/>
          <w:sz w:val="18"/>
          <w:u w:val="none"/>
        </w:rPr>
        <w:t>.</w:t>
      </w:r>
    </w:p>
    <w:p w14:paraId="481ED335" w14:textId="77777777" w:rsidR="006D33D2" w:rsidRPr="006D33D2" w:rsidRDefault="006D33D2" w:rsidP="006D33D2">
      <w:pPr>
        <w:pStyle w:val="Text"/>
        <w:spacing w:before="0"/>
        <w:rPr>
          <w:lang w:eastAsia="cs-CZ"/>
        </w:rPr>
      </w:pPr>
    </w:p>
    <w:p w14:paraId="619965F4" w14:textId="5DE8E809" w:rsidR="00395345" w:rsidRDefault="00395345" w:rsidP="006D33D2">
      <w:pPr>
        <w:pStyle w:val="Text"/>
        <w:spacing w:before="0"/>
      </w:pPr>
      <w:r w:rsidRPr="001A523D">
        <w:rPr>
          <w:noProof/>
          <w:sz w:val="20"/>
          <w:lang w:eastAsia="cs-CZ"/>
        </w:rPr>
        <mc:AlternateContent>
          <mc:Choice Requires="wps">
            <w:drawing>
              <wp:anchor distT="45720" distB="45720" distL="114300" distR="114300" simplePos="0" relativeHeight="251662336" behindDoc="0" locked="0" layoutInCell="1" allowOverlap="1" wp14:anchorId="4CF58F7E" wp14:editId="038EA686">
                <wp:simplePos x="0" y="0"/>
                <wp:positionH relativeFrom="margin">
                  <wp:align>left</wp:align>
                </wp:positionH>
                <wp:positionV relativeFrom="paragraph">
                  <wp:posOffset>80497</wp:posOffset>
                </wp:positionV>
                <wp:extent cx="5742305" cy="1576358"/>
                <wp:effectExtent l="0" t="0" r="10795" b="24130"/>
                <wp:wrapTopAndBottom/>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576358"/>
                        </a:xfrm>
                        <a:prstGeom prst="rect">
                          <a:avLst/>
                        </a:prstGeom>
                        <a:solidFill>
                          <a:srgbClr val="E5F1FF"/>
                        </a:solidFill>
                        <a:ln w="9525">
                          <a:solidFill>
                            <a:srgbClr val="000000"/>
                          </a:solidFill>
                          <a:miter lim="800000"/>
                          <a:headEnd/>
                          <a:tailEnd/>
                        </a:ln>
                      </wps:spPr>
                      <wps:txbx>
                        <w:txbxContent>
                          <w:p w14:paraId="58C7AF2E" w14:textId="1BB13F6B" w:rsidR="00E80779" w:rsidRPr="0012500F" w:rsidRDefault="00E80779" w:rsidP="00395345">
                            <w:pPr>
                              <w:spacing w:before="60"/>
                              <w:jc w:val="both"/>
                              <w:rPr>
                                <w:b/>
                                <w:sz w:val="18"/>
                              </w:rPr>
                            </w:pPr>
                            <w:r w:rsidRPr="0012500F">
                              <w:rPr>
                                <w:b/>
                                <w:sz w:val="18"/>
                              </w:rPr>
                              <w:t xml:space="preserve">Polycyklické aromatické uhlovodíky (PAU) </w:t>
                            </w:r>
                            <w:r>
                              <w:rPr>
                                <w:b/>
                                <w:sz w:val="18"/>
                              </w:rPr>
                              <w:t>–</w:t>
                            </w:r>
                            <w:r w:rsidRPr="0012500F">
                              <w:rPr>
                                <w:b/>
                                <w:sz w:val="18"/>
                              </w:rPr>
                              <w:t xml:space="preserve"> </w:t>
                            </w:r>
                            <w:proofErr w:type="spellStart"/>
                            <w:r w:rsidRPr="0012500F">
                              <w:rPr>
                                <w:b/>
                                <w:sz w:val="18"/>
                              </w:rPr>
                              <w:t>benzo</w:t>
                            </w:r>
                            <w:proofErr w:type="spellEnd"/>
                            <w:r w:rsidRPr="0012500F">
                              <w:rPr>
                                <w:b/>
                                <w:sz w:val="18"/>
                              </w:rPr>
                              <w:t>[a]pyren (</w:t>
                            </w:r>
                            <w:proofErr w:type="spellStart"/>
                            <w:r w:rsidRPr="0012500F">
                              <w:rPr>
                                <w:b/>
                                <w:sz w:val="18"/>
                              </w:rPr>
                              <w:t>BaP</w:t>
                            </w:r>
                            <w:proofErr w:type="spellEnd"/>
                            <w:r w:rsidRPr="0012500F">
                              <w:rPr>
                                <w:b/>
                                <w:sz w:val="18"/>
                              </w:rPr>
                              <w:t>)</w:t>
                            </w:r>
                          </w:p>
                          <w:p w14:paraId="7F985CEF" w14:textId="54A9B949" w:rsidR="00E80779" w:rsidRPr="0012500F" w:rsidRDefault="00E80779" w:rsidP="00141703">
                            <w:pPr>
                              <w:spacing w:before="60"/>
                              <w:jc w:val="both"/>
                              <w:rPr>
                                <w:sz w:val="18"/>
                              </w:rPr>
                            </w:pPr>
                            <w:r w:rsidRPr="0012500F">
                              <w:rPr>
                                <w:sz w:val="18"/>
                              </w:rPr>
                              <w:t xml:space="preserve">PAU mají schopnost přetrvávat v prostředí, kumulují se v jeho složkách a v živých organismech, jsou lipofilní a řada </w:t>
                            </w:r>
                            <w:r w:rsidRPr="00113C82">
                              <w:rPr>
                                <w:sz w:val="18"/>
                              </w:rPr>
                              <w:t>z</w:t>
                            </w:r>
                            <w:r>
                              <w:rPr>
                                <w:sz w:val="18"/>
                              </w:rPr>
                              <w:t> n</w:t>
                            </w:r>
                            <w:r w:rsidRPr="00113C82">
                              <w:rPr>
                                <w:sz w:val="18"/>
                              </w:rPr>
                              <w:t>ich</w:t>
                            </w:r>
                            <w:r w:rsidRPr="0012500F">
                              <w:rPr>
                                <w:sz w:val="18"/>
                              </w:rPr>
                              <w:t xml:space="preserve"> má toxické, mutagenní či karcinogenní vlastnosti. Patří mezi endokrinní </w:t>
                            </w:r>
                            <w:proofErr w:type="spellStart"/>
                            <w:r w:rsidRPr="0012500F">
                              <w:rPr>
                                <w:sz w:val="18"/>
                              </w:rPr>
                              <w:t>disruptory</w:t>
                            </w:r>
                            <w:proofErr w:type="spellEnd"/>
                            <w:r w:rsidRPr="0012500F">
                              <w:rPr>
                                <w:sz w:val="18"/>
                              </w:rPr>
                              <w:t xml:space="preserve">, ovlivňují porodní váhu a růst plodu. Působí imunosupresivně, snížením hladin </w:t>
                            </w:r>
                            <w:r>
                              <w:rPr>
                                <w:sz w:val="18"/>
                              </w:rPr>
                              <w:t>i</w:t>
                            </w:r>
                            <w:r w:rsidRPr="0012500F">
                              <w:rPr>
                                <w:sz w:val="18"/>
                              </w:rPr>
                              <w:t>munoglobulin</w:t>
                            </w:r>
                            <w:r>
                              <w:rPr>
                                <w:sz w:val="18"/>
                              </w:rPr>
                              <w:t>u</w:t>
                            </w:r>
                            <w:r w:rsidRPr="0012500F">
                              <w:rPr>
                                <w:sz w:val="18"/>
                              </w:rPr>
                              <w:t xml:space="preserve"> G a </w:t>
                            </w:r>
                            <w:r>
                              <w:rPr>
                                <w:sz w:val="18"/>
                              </w:rPr>
                              <w:t>i</w:t>
                            </w:r>
                            <w:r w:rsidRPr="0012500F">
                              <w:rPr>
                                <w:sz w:val="18"/>
                              </w:rPr>
                              <w:t>munoglobulin</w:t>
                            </w:r>
                            <w:r>
                              <w:rPr>
                                <w:sz w:val="18"/>
                              </w:rPr>
                              <w:t>u</w:t>
                            </w:r>
                            <w:r w:rsidRPr="0012500F">
                              <w:rPr>
                                <w:sz w:val="18"/>
                              </w:rPr>
                              <w:t xml:space="preserve"> A. Ve vysokých koncentracích (převyšujících koncentrace nejen ve venkovním ovzduší, ale i v pracovním prostředí) mohou mít dráždivé účinky. PAU patří mezi nepřímo působící genotoxické sloučeniny. Vlivem biotransformačního systému organismu vznikají postupně metabolity s karcinogenním a mutagenním účinkem. Elektrofilní metabolity kovalentně vázané na DNA představují poté základ karcinogenního potenciálu PAU. V praxi je nejvíce používaným zástupcem PAU při posuzování </w:t>
                            </w:r>
                            <w:proofErr w:type="spellStart"/>
                            <w:r w:rsidRPr="0012500F">
                              <w:rPr>
                                <w:sz w:val="18"/>
                              </w:rPr>
                              <w:t>karcinogenity</w:t>
                            </w:r>
                            <w:proofErr w:type="spellEnd"/>
                            <w:r w:rsidRPr="0012500F">
                              <w:rPr>
                                <w:sz w:val="18"/>
                              </w:rPr>
                              <w:t xml:space="preserve"> </w:t>
                            </w:r>
                            <w:proofErr w:type="spellStart"/>
                            <w:r w:rsidRPr="0012500F">
                              <w:rPr>
                                <w:sz w:val="18"/>
                              </w:rPr>
                              <w:t>benzo</w:t>
                            </w:r>
                            <w:proofErr w:type="spellEnd"/>
                            <w:r w:rsidRPr="0012500F">
                              <w:rPr>
                                <w:sz w:val="18"/>
                              </w:rPr>
                              <w:t>[a]pyren (</w:t>
                            </w:r>
                            <w:proofErr w:type="spellStart"/>
                            <w:r w:rsidRPr="0012500F">
                              <w:rPr>
                                <w:sz w:val="18"/>
                              </w:rPr>
                              <w:t>BaP</w:t>
                            </w:r>
                            <w:proofErr w:type="spellEnd"/>
                            <w:r w:rsidRPr="0012500F">
                              <w:rPr>
                                <w:sz w:val="18"/>
                              </w:rPr>
                              <w:t xml:space="preserve">). </w:t>
                            </w:r>
                            <w:proofErr w:type="spellStart"/>
                            <w:r w:rsidRPr="0012500F">
                              <w:rPr>
                                <w:sz w:val="18"/>
                              </w:rPr>
                              <w:t>BaP</w:t>
                            </w:r>
                            <w:proofErr w:type="spellEnd"/>
                            <w:r w:rsidRPr="0012500F">
                              <w:rPr>
                                <w:sz w:val="18"/>
                              </w:rPr>
                              <w:t xml:space="preserve"> je z hlediska klasifikace </w:t>
                            </w:r>
                            <w:proofErr w:type="spellStart"/>
                            <w:r w:rsidRPr="0012500F">
                              <w:rPr>
                                <w:sz w:val="18"/>
                              </w:rPr>
                              <w:t>karcinogenity</w:t>
                            </w:r>
                            <w:proofErr w:type="spellEnd"/>
                            <w:r w:rsidRPr="0012500F">
                              <w:rPr>
                                <w:sz w:val="18"/>
                              </w:rPr>
                              <w:t xml:space="preserve"> od roku 2010 zařazen IARC do skupiny 1 – prokázaný karcinogen.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CF58F7E" id="_x0000_s1027" type="#_x0000_t202" style="position:absolute;left:0;text-align:left;margin-left:0;margin-top:6.35pt;width:452.15pt;height:124.1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" fillcolor="#e5f1ff">
                <v:textbox>
                  <w:txbxContent>
                    <w:p w14:paraId="58C7AF2E" w14:textId="1BB13F6B" w:rsidR="00E80779" w:rsidRPr="0012500F" w:rsidRDefault="00E80779" w:rsidP="00395345">
                      <w:pPr>
                        <w:spacing w:before="60"/>
                        <w:jc w:val="both"/>
                        <w:rPr>
                          <w:b/>
                          <w:sz w:val="18"/>
                        </w:rPr>
                      </w:pPr>
                      <w:r w:rsidRPr="0012500F">
                        <w:rPr>
                          <w:b/>
                          <w:sz w:val="18"/>
                        </w:rPr>
                        <w:t xml:space="preserve">Polycyklické aromatické uhlovodíky (PAU) </w:t>
                      </w:r>
                      <w:r>
                        <w:rPr>
                          <w:b/>
                          <w:sz w:val="18"/>
                        </w:rPr>
                        <w:t>–</w:t>
                      </w:r>
                      <w:r w:rsidRPr="0012500F">
                        <w:rPr>
                          <w:b/>
                          <w:sz w:val="18"/>
                        </w:rPr>
                        <w:t xml:space="preserve"> </w:t>
                      </w:r>
                      <w:proofErr w:type="spellStart"/>
                      <w:r w:rsidRPr="0012500F">
                        <w:rPr>
                          <w:b/>
                          <w:sz w:val="18"/>
                        </w:rPr>
                        <w:t>benzo</w:t>
                      </w:r>
                      <w:proofErr w:type="spellEnd"/>
                      <w:r w:rsidRPr="0012500F">
                        <w:rPr>
                          <w:b/>
                          <w:sz w:val="18"/>
                        </w:rPr>
                        <w:t>[a]pyren (</w:t>
                      </w:r>
                      <w:proofErr w:type="spellStart"/>
                      <w:r w:rsidRPr="0012500F">
                        <w:rPr>
                          <w:b/>
                          <w:sz w:val="18"/>
                        </w:rPr>
                        <w:t>BaP</w:t>
                      </w:r>
                      <w:proofErr w:type="spellEnd"/>
                      <w:r w:rsidRPr="0012500F">
                        <w:rPr>
                          <w:b/>
                          <w:sz w:val="18"/>
                        </w:rPr>
                        <w:t>)</w:t>
                      </w:r>
                    </w:p>
                    <w:p w14:paraId="7F985CEF" w14:textId="54A9B949" w:rsidR="00E80779" w:rsidRPr="0012500F" w:rsidRDefault="00E80779" w:rsidP="00141703">
                      <w:pPr>
                        <w:spacing w:before="60"/>
                        <w:jc w:val="both"/>
                        <w:rPr>
                          <w:sz w:val="18"/>
                        </w:rPr>
                      </w:pPr>
                      <w:r w:rsidRPr="0012500F">
                        <w:rPr>
                          <w:sz w:val="18"/>
                        </w:rPr>
                        <w:t xml:space="preserve">PAU mají schopnost přetrvávat v prostředí, kumulují se v jeho složkách a v živých organismech, jsou lipofilní a řada </w:t>
                      </w:r>
                      <w:r w:rsidRPr="00113C82">
                        <w:rPr>
                          <w:sz w:val="18"/>
                        </w:rPr>
                        <w:t>z</w:t>
                      </w:r>
                      <w:r>
                        <w:rPr>
                          <w:sz w:val="18"/>
                        </w:rPr>
                        <w:t> n</w:t>
                      </w:r>
                      <w:r w:rsidRPr="00113C82">
                        <w:rPr>
                          <w:sz w:val="18"/>
                        </w:rPr>
                        <w:t>ich</w:t>
                      </w:r>
                      <w:r w:rsidRPr="0012500F">
                        <w:rPr>
                          <w:sz w:val="18"/>
                        </w:rPr>
                        <w:t xml:space="preserve"> má toxické, mutagenní či karcinogenní vlastnosti. Patří mezi endokrinní </w:t>
                      </w:r>
                      <w:proofErr w:type="spellStart"/>
                      <w:r w:rsidRPr="0012500F">
                        <w:rPr>
                          <w:sz w:val="18"/>
                        </w:rPr>
                        <w:t>disruptory</w:t>
                      </w:r>
                      <w:proofErr w:type="spellEnd"/>
                      <w:r w:rsidRPr="0012500F">
                        <w:rPr>
                          <w:sz w:val="18"/>
                        </w:rPr>
                        <w:t xml:space="preserve">, ovlivňují porodní váhu a růst plodu. Působí imunosupresivně, snížením hladin </w:t>
                      </w:r>
                      <w:r>
                        <w:rPr>
                          <w:sz w:val="18"/>
                        </w:rPr>
                        <w:t>i</w:t>
                      </w:r>
                      <w:r w:rsidRPr="0012500F">
                        <w:rPr>
                          <w:sz w:val="18"/>
                        </w:rPr>
                        <w:t>munoglobulin</w:t>
                      </w:r>
                      <w:r>
                        <w:rPr>
                          <w:sz w:val="18"/>
                        </w:rPr>
                        <w:t>u</w:t>
                      </w:r>
                      <w:r w:rsidRPr="0012500F">
                        <w:rPr>
                          <w:sz w:val="18"/>
                        </w:rPr>
                        <w:t xml:space="preserve"> G a </w:t>
                      </w:r>
                      <w:r>
                        <w:rPr>
                          <w:sz w:val="18"/>
                        </w:rPr>
                        <w:t>i</w:t>
                      </w:r>
                      <w:r w:rsidRPr="0012500F">
                        <w:rPr>
                          <w:sz w:val="18"/>
                        </w:rPr>
                        <w:t>munoglobulin</w:t>
                      </w:r>
                      <w:r>
                        <w:rPr>
                          <w:sz w:val="18"/>
                        </w:rPr>
                        <w:t>u</w:t>
                      </w:r>
                      <w:r w:rsidRPr="0012500F">
                        <w:rPr>
                          <w:sz w:val="18"/>
                        </w:rPr>
                        <w:t xml:space="preserve"> A. Ve vysokých koncentracích (převyšujících koncentrace nejen ve venkovním ovzduší, ale i v pracovním prostředí) mohou mít dráždivé účinky. PAU patří mezi nepřímo působící genotoxické sloučeniny. Vlivem biotransformačního systému organismu vznikají postupně metabolity s karcinogenním a mutagenním účinkem. Elektrofilní metabolity kovalentně vázané na DNA představují poté základ karcinogenního potenciálu PAU. V praxi je nejvíce používaným zástupcem PAU při posuzování </w:t>
                      </w:r>
                      <w:proofErr w:type="spellStart"/>
                      <w:r w:rsidRPr="0012500F">
                        <w:rPr>
                          <w:sz w:val="18"/>
                        </w:rPr>
                        <w:t>karcinogenity</w:t>
                      </w:r>
                      <w:proofErr w:type="spellEnd"/>
                      <w:r w:rsidRPr="0012500F">
                        <w:rPr>
                          <w:sz w:val="18"/>
                        </w:rPr>
                        <w:t xml:space="preserve"> </w:t>
                      </w:r>
                      <w:proofErr w:type="spellStart"/>
                      <w:r w:rsidRPr="0012500F">
                        <w:rPr>
                          <w:sz w:val="18"/>
                        </w:rPr>
                        <w:t>benzo</w:t>
                      </w:r>
                      <w:proofErr w:type="spellEnd"/>
                      <w:r w:rsidRPr="0012500F">
                        <w:rPr>
                          <w:sz w:val="18"/>
                        </w:rPr>
                        <w:t>[a]pyren (</w:t>
                      </w:r>
                      <w:proofErr w:type="spellStart"/>
                      <w:r w:rsidRPr="0012500F">
                        <w:rPr>
                          <w:sz w:val="18"/>
                        </w:rPr>
                        <w:t>BaP</w:t>
                      </w:r>
                      <w:proofErr w:type="spellEnd"/>
                      <w:r w:rsidRPr="0012500F">
                        <w:rPr>
                          <w:sz w:val="18"/>
                        </w:rPr>
                        <w:t xml:space="preserve">). </w:t>
                      </w:r>
                      <w:proofErr w:type="spellStart"/>
                      <w:r w:rsidRPr="0012500F">
                        <w:rPr>
                          <w:sz w:val="18"/>
                        </w:rPr>
                        <w:t>BaP</w:t>
                      </w:r>
                      <w:proofErr w:type="spellEnd"/>
                      <w:r w:rsidRPr="0012500F">
                        <w:rPr>
                          <w:sz w:val="18"/>
                        </w:rPr>
                        <w:t xml:space="preserve"> je z hlediska klasifikace </w:t>
                      </w:r>
                      <w:proofErr w:type="spellStart"/>
                      <w:r w:rsidRPr="0012500F">
                        <w:rPr>
                          <w:sz w:val="18"/>
                        </w:rPr>
                        <w:t>karcinogenity</w:t>
                      </w:r>
                      <w:proofErr w:type="spellEnd"/>
                      <w:r w:rsidRPr="0012500F">
                        <w:rPr>
                          <w:sz w:val="18"/>
                        </w:rPr>
                        <w:t xml:space="preserve"> od roku 2010 zařazen IARC do skupiny 1 – prokázaný karcinogen.</w:t>
                      </w:r>
                    </w:p>
                  </w:txbxContent>
                </v:textbox>
                <w10:wrap type="topAndBottom" anchorx="margin"/>
              </v:shape>
            </w:pict>
          </mc:Fallback>
        </mc:AlternateContent>
      </w:r>
      <w:r w:rsidRPr="001A523D">
        <w:rPr>
          <w:b/>
          <w:sz w:val="20"/>
        </w:rPr>
        <w:t>Zdroj:</w:t>
      </w:r>
      <w:r w:rsidRPr="001A523D">
        <w:rPr>
          <w:sz w:val="20"/>
        </w:rPr>
        <w:t xml:space="preserve"> MŽP </w:t>
      </w:r>
      <w:r w:rsidR="0009686B">
        <w:rPr>
          <w:sz w:val="20"/>
        </w:rPr>
        <w:t>–</w:t>
      </w:r>
      <w:r w:rsidRPr="001A523D">
        <w:rPr>
          <w:sz w:val="20"/>
        </w:rPr>
        <w:t xml:space="preserve"> </w:t>
      </w:r>
      <w:r w:rsidR="0009686B">
        <w:rPr>
          <w:sz w:val="20"/>
        </w:rPr>
        <w:t>i</w:t>
      </w:r>
      <w:r w:rsidRPr="001A523D">
        <w:rPr>
          <w:sz w:val="20"/>
        </w:rPr>
        <w:t>nformace o zdravotních rizicích spojených s kvalitou ovzduší v roce 2016</w:t>
      </w:r>
      <w:r w:rsidR="0009686B">
        <w:rPr>
          <w:sz w:val="20"/>
        </w:rPr>
        <w:t xml:space="preserve">, viz </w:t>
      </w:r>
    </w:p>
    <w:p w14:paraId="54E92957" w14:textId="692C932B" w:rsidR="00395345" w:rsidRDefault="00E80779" w:rsidP="00B60221">
      <w:pPr>
        <w:pStyle w:val="Text"/>
        <w:spacing w:before="0"/>
        <w:ind w:left="567"/>
        <w:rPr>
          <w:rStyle w:val="Hypertextovodkaz"/>
          <w:sz w:val="18"/>
        </w:rPr>
      </w:pPr>
      <w:hyperlink r:id="rId12" w:history="1">
        <w:r w:rsidR="00395345" w:rsidRPr="0012500F">
          <w:rPr>
            <w:rStyle w:val="Hypertextovodkaz"/>
            <w:sz w:val="18"/>
          </w:rPr>
          <w:t>https://www.mzp.cz/cz/zdravotni_dusledky_znecisteni_ovzdusi</w:t>
        </w:r>
      </w:hyperlink>
      <w:r w:rsidR="0009686B">
        <w:rPr>
          <w:rStyle w:val="Hypertextovodkaz"/>
          <w:color w:val="000000" w:themeColor="text1"/>
          <w:sz w:val="18"/>
          <w:u w:val="none"/>
        </w:rPr>
        <w:t>.</w:t>
      </w:r>
    </w:p>
    <w:p w14:paraId="0FE3D76F" w14:textId="77777777" w:rsidR="006D33D2" w:rsidRPr="00527709" w:rsidRDefault="006D33D2" w:rsidP="006D33D2">
      <w:pPr>
        <w:pStyle w:val="Text"/>
        <w:spacing w:before="0"/>
        <w:rPr>
          <w:lang w:eastAsia="cs-CZ"/>
        </w:rPr>
      </w:pPr>
    </w:p>
    <w:p w14:paraId="32CC7539" w14:textId="48696B56" w:rsidR="00395345" w:rsidRPr="0009686B" w:rsidRDefault="00395345" w:rsidP="006D33D2">
      <w:pPr>
        <w:pStyle w:val="Text"/>
        <w:spacing w:before="0"/>
      </w:pPr>
      <w:r w:rsidRPr="001A523D">
        <w:rPr>
          <w:noProof/>
          <w:sz w:val="20"/>
          <w:lang w:eastAsia="cs-CZ"/>
        </w:rPr>
        <mc:AlternateContent>
          <mc:Choice Requires="wps">
            <w:drawing>
              <wp:anchor distT="45720" distB="45720" distL="114300" distR="114300" simplePos="0" relativeHeight="251689984" behindDoc="0" locked="0" layoutInCell="1" allowOverlap="1" wp14:anchorId="12971CAD" wp14:editId="4A33E2F4">
                <wp:simplePos x="0" y="0"/>
                <wp:positionH relativeFrom="margin">
                  <wp:align>left</wp:align>
                </wp:positionH>
                <wp:positionV relativeFrom="paragraph">
                  <wp:posOffset>76368</wp:posOffset>
                </wp:positionV>
                <wp:extent cx="5742305" cy="1974655"/>
                <wp:effectExtent l="0" t="0" r="10795" b="26035"/>
                <wp:wrapTopAndBottom/>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974655"/>
                        </a:xfrm>
                        <a:prstGeom prst="rect">
                          <a:avLst/>
                        </a:prstGeom>
                        <a:solidFill>
                          <a:srgbClr val="E5F1FF"/>
                        </a:solidFill>
                        <a:ln w="9525">
                          <a:solidFill>
                            <a:srgbClr val="000000"/>
                          </a:solidFill>
                          <a:miter lim="800000"/>
                          <a:headEnd/>
                          <a:tailEnd/>
                        </a:ln>
                      </wps:spPr>
                      <wps:txbx>
                        <w:txbxContent>
                          <w:p w14:paraId="0BA38D1D" w14:textId="77777777" w:rsidR="00E80779" w:rsidRPr="0012500F" w:rsidRDefault="00E80779" w:rsidP="00395345">
                            <w:pPr>
                              <w:spacing w:before="60"/>
                              <w:jc w:val="both"/>
                              <w:rPr>
                                <w:b/>
                                <w:sz w:val="18"/>
                              </w:rPr>
                            </w:pPr>
                            <w:r>
                              <w:rPr>
                                <w:b/>
                                <w:sz w:val="18"/>
                              </w:rPr>
                              <w:t>Oxid siřičitý (SO</w:t>
                            </w:r>
                            <w:r w:rsidRPr="000F0BBD">
                              <w:rPr>
                                <w:b/>
                                <w:sz w:val="18"/>
                                <w:vertAlign w:val="subscript"/>
                              </w:rPr>
                              <w:t>2</w:t>
                            </w:r>
                            <w:r>
                              <w:rPr>
                                <w:b/>
                                <w:sz w:val="18"/>
                              </w:rPr>
                              <w:t>)</w:t>
                            </w:r>
                          </w:p>
                          <w:p w14:paraId="1C6959EB" w14:textId="77777777" w:rsidR="00E80779" w:rsidRPr="0012500F" w:rsidRDefault="00E80779" w:rsidP="00395345">
                            <w:pPr>
                              <w:spacing w:before="60"/>
                              <w:jc w:val="both"/>
                              <w:rPr>
                                <w:sz w:val="18"/>
                              </w:rPr>
                            </w:pPr>
                            <w:r w:rsidRPr="000F0BBD">
                              <w:rPr>
                                <w:sz w:val="18"/>
                              </w:rPr>
                              <w:t>Do ovzduší se dostává především jako produkt spalování paliv s obsahem síry, je emitován řadou technologií.</w:t>
                            </w:r>
                            <w:r>
                              <w:rPr>
                                <w:sz w:val="18"/>
                              </w:rPr>
                              <w:t xml:space="preserve"> </w:t>
                            </w:r>
                            <w:r w:rsidRPr="000F0BBD">
                              <w:rPr>
                                <w:sz w:val="18"/>
                              </w:rPr>
                              <w:t>Významným přírodním zdrojem je vulkanická činnost. Oxid siřičitý během určité doby v</w:t>
                            </w:r>
                            <w:r>
                              <w:rPr>
                                <w:sz w:val="18"/>
                              </w:rPr>
                              <w:t> </w:t>
                            </w:r>
                            <w:r w:rsidRPr="000F0BBD">
                              <w:rPr>
                                <w:sz w:val="18"/>
                              </w:rPr>
                              <w:t>ovzduší</w:t>
                            </w:r>
                            <w:r>
                              <w:rPr>
                                <w:sz w:val="18"/>
                              </w:rPr>
                              <w:t xml:space="preserve"> </w:t>
                            </w:r>
                            <w:r w:rsidRPr="000F0BBD">
                              <w:rPr>
                                <w:sz w:val="18"/>
                              </w:rPr>
                              <w:t>přechází fotochemickou nebo katalytickou reakcí na oxid sírový, který je dále hydratován vzdušnou vlhkostí</w:t>
                            </w:r>
                            <w:r>
                              <w:rPr>
                                <w:sz w:val="18"/>
                              </w:rPr>
                              <w:t xml:space="preserve"> </w:t>
                            </w:r>
                            <w:r w:rsidRPr="000F0BBD">
                              <w:rPr>
                                <w:sz w:val="18"/>
                              </w:rPr>
                              <w:t>na aerosol kyseliny sírové. Rychlost oxidace závisí na povětrnostních podmínkách, teplotě, slunečním</w:t>
                            </w:r>
                            <w:r>
                              <w:rPr>
                                <w:sz w:val="18"/>
                              </w:rPr>
                              <w:t xml:space="preserve"> </w:t>
                            </w:r>
                            <w:r w:rsidRPr="000F0BBD">
                              <w:rPr>
                                <w:sz w:val="18"/>
                              </w:rPr>
                              <w:t>svitu, přítomnosti katalyzujících částic atd. Běžně se během jedné hodiny odstraní 0,1 až 2 % přítomného</w:t>
                            </w:r>
                            <w:r>
                              <w:rPr>
                                <w:sz w:val="18"/>
                              </w:rPr>
                              <w:t xml:space="preserve"> </w:t>
                            </w:r>
                            <w:r w:rsidRPr="000F0BBD">
                              <w:rPr>
                                <w:sz w:val="18"/>
                              </w:rPr>
                              <w:t>SO</w:t>
                            </w:r>
                            <w:r w:rsidRPr="00221B3C">
                              <w:rPr>
                                <w:sz w:val="18"/>
                                <w:vertAlign w:val="subscript"/>
                              </w:rPr>
                              <w:t>2</w:t>
                            </w:r>
                            <w:r w:rsidRPr="000F0BBD">
                              <w:rPr>
                                <w:sz w:val="18"/>
                              </w:rPr>
                              <w:t>. Vzniklá kyselina sírová může reagovat s alkalickými částicemi prašného aerosolu za vzniku síranů,</w:t>
                            </w:r>
                            <w:r>
                              <w:rPr>
                                <w:sz w:val="18"/>
                              </w:rPr>
                              <w:t xml:space="preserve"> </w:t>
                            </w:r>
                            <w:r w:rsidRPr="000F0BBD">
                              <w:rPr>
                                <w:sz w:val="18"/>
                              </w:rPr>
                              <w:t>v důsledku čehož se zvyšují koncentrace suspendovaných částic</w:t>
                            </w:r>
                            <w:r>
                              <w:rPr>
                                <w:sz w:val="18"/>
                              </w:rPr>
                              <w:t>. Sírany se postupně usazují na </w:t>
                            </w:r>
                            <w:r w:rsidRPr="000F0BBD">
                              <w:rPr>
                                <w:sz w:val="18"/>
                              </w:rPr>
                              <w:t>zemský</w:t>
                            </w:r>
                            <w:r>
                              <w:rPr>
                                <w:sz w:val="18"/>
                              </w:rPr>
                              <w:t xml:space="preserve"> </w:t>
                            </w:r>
                            <w:r w:rsidRPr="000F0BBD">
                              <w:rPr>
                                <w:sz w:val="18"/>
                              </w:rPr>
                              <w:t xml:space="preserve">povrch nebo jsou z ovzduší vymývány srážkami. </w:t>
                            </w:r>
                            <w:r w:rsidRPr="0003764F">
                              <w:rPr>
                                <w:sz w:val="18"/>
                              </w:rPr>
                              <w:t>Při nedostatku alkalických částic v ovzduší dochází k oky</w:t>
                            </w:r>
                            <w:r w:rsidRPr="000F0BBD">
                              <w:rPr>
                                <w:sz w:val="18"/>
                              </w:rPr>
                              <w:t>selení srážkových vod až na pH &lt; 4. Tímto způsobem oxidy síry společně s oxidy dusíku tvoří takzvané</w:t>
                            </w:r>
                            <w:r>
                              <w:rPr>
                                <w:sz w:val="18"/>
                              </w:rPr>
                              <w:t xml:space="preserve"> </w:t>
                            </w:r>
                            <w:r w:rsidRPr="000F0BBD">
                              <w:rPr>
                                <w:sz w:val="18"/>
                              </w:rPr>
                              <w:t>kyselé deště. Kyselé deště způsobují značná poškození lesních porostů i průmyslových plodin tím, že uvolňují</w:t>
                            </w:r>
                            <w:r>
                              <w:rPr>
                                <w:sz w:val="18"/>
                              </w:rPr>
                              <w:t xml:space="preserve"> </w:t>
                            </w:r>
                            <w:r w:rsidRPr="000F0BBD">
                              <w:rPr>
                                <w:sz w:val="18"/>
                              </w:rPr>
                              <w:t>z půdy kovové ionty, poškozují, mikroorganismy, znehodnocují kvalitu vody a mohou způsobit úhyn</w:t>
                            </w:r>
                            <w:r>
                              <w:rPr>
                                <w:sz w:val="18"/>
                              </w:rPr>
                              <w:t xml:space="preserve"> </w:t>
                            </w:r>
                            <w:r w:rsidRPr="000F0BBD">
                              <w:rPr>
                                <w:sz w:val="18"/>
                              </w:rPr>
                              <w:t>ryb. Bylo rovněž zaznamenáno významné poškození zejména historických staveb a uměleckých děl, neboť</w:t>
                            </w:r>
                            <w:r>
                              <w:rPr>
                                <w:sz w:val="18"/>
                              </w:rPr>
                              <w:t xml:space="preserve"> </w:t>
                            </w:r>
                            <w:r w:rsidRPr="000F0BBD">
                              <w:rPr>
                                <w:sz w:val="18"/>
                              </w:rPr>
                              <w:t>kyselé deště rozpouštějí některé druhy zdiva a způsobují větrání kamene.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2971CAD" id="_x0000_s1028" type="#_x0000_t202" style="position:absolute;left:0;text-align:left;margin-left:0;margin-top:6pt;width:452.15pt;height:155.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" fillcolor="#e5f1ff">
                <v:textbox>
                  <w:txbxContent>
                    <w:p w14:paraId="0BA38D1D" w14:textId="77777777" w:rsidR="00E80779" w:rsidRPr="0012500F" w:rsidRDefault="00E80779" w:rsidP="00395345">
                      <w:pPr>
                        <w:spacing w:before="60"/>
                        <w:jc w:val="both"/>
                        <w:rPr>
                          <w:b/>
                          <w:sz w:val="18"/>
                        </w:rPr>
                      </w:pPr>
                      <w:r>
                        <w:rPr>
                          <w:b/>
                          <w:sz w:val="18"/>
                        </w:rPr>
                        <w:t>Oxid siřičitý (SO</w:t>
                      </w:r>
                      <w:r w:rsidRPr="000F0BBD">
                        <w:rPr>
                          <w:b/>
                          <w:sz w:val="18"/>
                          <w:vertAlign w:val="subscript"/>
                        </w:rPr>
                        <w:t>2</w:t>
                      </w:r>
                      <w:r>
                        <w:rPr>
                          <w:b/>
                          <w:sz w:val="18"/>
                        </w:rPr>
                        <w:t>)</w:t>
                      </w:r>
                    </w:p>
                    <w:p w14:paraId="1C6959EB" w14:textId="77777777" w:rsidR="00E80779" w:rsidRPr="0012500F" w:rsidRDefault="00E80779" w:rsidP="00395345">
                      <w:pPr>
                        <w:spacing w:before="60"/>
                        <w:jc w:val="both"/>
                        <w:rPr>
                          <w:sz w:val="18"/>
                        </w:rPr>
                      </w:pPr>
                      <w:r w:rsidRPr="000F0BBD">
                        <w:rPr>
                          <w:sz w:val="18"/>
                        </w:rPr>
                        <w:t>Do ovzduší se dostává především jako produkt spalování paliv s obsahem síry, je emitován řadou technologií.</w:t>
                      </w:r>
                      <w:r>
                        <w:rPr>
                          <w:sz w:val="18"/>
                        </w:rPr>
                        <w:t xml:space="preserve"> </w:t>
                      </w:r>
                      <w:r w:rsidRPr="000F0BBD">
                        <w:rPr>
                          <w:sz w:val="18"/>
                        </w:rPr>
                        <w:t>Významným přírodním zdrojem je vulkanická činnost. Oxid siřičitý během určité doby v</w:t>
                      </w:r>
                      <w:r>
                        <w:rPr>
                          <w:sz w:val="18"/>
                        </w:rPr>
                        <w:t> </w:t>
                      </w:r>
                      <w:r w:rsidRPr="000F0BBD">
                        <w:rPr>
                          <w:sz w:val="18"/>
                        </w:rPr>
                        <w:t>ovzduší</w:t>
                      </w:r>
                      <w:r>
                        <w:rPr>
                          <w:sz w:val="18"/>
                        </w:rPr>
                        <w:t xml:space="preserve"> </w:t>
                      </w:r>
                      <w:r w:rsidRPr="000F0BBD">
                        <w:rPr>
                          <w:sz w:val="18"/>
                        </w:rPr>
                        <w:t>přechází fotochemickou nebo katalytickou reakcí na oxid sírový, který je dále hydratován vzdušnou vlhkostí</w:t>
                      </w:r>
                      <w:r>
                        <w:rPr>
                          <w:sz w:val="18"/>
                        </w:rPr>
                        <w:t xml:space="preserve"> </w:t>
                      </w:r>
                      <w:r w:rsidRPr="000F0BBD">
                        <w:rPr>
                          <w:sz w:val="18"/>
                        </w:rPr>
                        <w:t>na aerosol kyseliny sírové. Rychlost oxidace závisí na povětrnostních podmínkách, teplotě, slunečním</w:t>
                      </w:r>
                      <w:r>
                        <w:rPr>
                          <w:sz w:val="18"/>
                        </w:rPr>
                        <w:t xml:space="preserve"> </w:t>
                      </w:r>
                      <w:r w:rsidRPr="000F0BBD">
                        <w:rPr>
                          <w:sz w:val="18"/>
                        </w:rPr>
                        <w:t>svitu, přítomnosti katalyzujících částic atd. Běžně se během jedné hodiny odstraní 0,1 až 2 % přítomného</w:t>
                      </w:r>
                      <w:r>
                        <w:rPr>
                          <w:sz w:val="18"/>
                        </w:rPr>
                        <w:t xml:space="preserve"> </w:t>
                      </w:r>
                      <w:r w:rsidRPr="000F0BBD">
                        <w:rPr>
                          <w:sz w:val="18"/>
                        </w:rPr>
                        <w:t>SO</w:t>
                      </w:r>
                      <w:r w:rsidRPr="00221B3C">
                        <w:rPr>
                          <w:sz w:val="18"/>
                          <w:vertAlign w:val="subscript"/>
                        </w:rPr>
                        <w:t>2</w:t>
                      </w:r>
                      <w:r w:rsidRPr="000F0BBD">
                        <w:rPr>
                          <w:sz w:val="18"/>
                        </w:rPr>
                        <w:t>. Vzniklá kyselina sírová může reagovat s alkalickými částicemi prašného aerosolu za vzniku síranů,</w:t>
                      </w:r>
                      <w:r>
                        <w:rPr>
                          <w:sz w:val="18"/>
                        </w:rPr>
                        <w:t xml:space="preserve"> </w:t>
                      </w:r>
                      <w:r w:rsidRPr="000F0BBD">
                        <w:rPr>
                          <w:sz w:val="18"/>
                        </w:rPr>
                        <w:t>v důsledku čehož se zvyšují koncentrace suspendovaných částic</w:t>
                      </w:r>
                      <w:r>
                        <w:rPr>
                          <w:sz w:val="18"/>
                        </w:rPr>
                        <w:t>. Sírany se postupně usazují na </w:t>
                      </w:r>
                      <w:r w:rsidRPr="000F0BBD">
                        <w:rPr>
                          <w:sz w:val="18"/>
                        </w:rPr>
                        <w:t>zemský</w:t>
                      </w:r>
                      <w:r>
                        <w:rPr>
                          <w:sz w:val="18"/>
                        </w:rPr>
                        <w:t xml:space="preserve"> </w:t>
                      </w:r>
                      <w:r w:rsidRPr="000F0BBD">
                        <w:rPr>
                          <w:sz w:val="18"/>
                        </w:rPr>
                        <w:t xml:space="preserve">povrch nebo jsou z ovzduší vymývány srážkami. </w:t>
                      </w:r>
                      <w:r w:rsidRPr="0003764F">
                        <w:rPr>
                          <w:sz w:val="18"/>
                        </w:rPr>
                        <w:t>Při nedostatku alkalických částic v ovzduší dochází k oky</w:t>
                      </w:r>
                      <w:r w:rsidRPr="000F0BBD">
                        <w:rPr>
                          <w:sz w:val="18"/>
                        </w:rPr>
                        <w:t>selení srážkových vod až na pH &lt; 4. Tímto způsobem oxidy síry společně s oxidy dusíku tvoří takzvané</w:t>
                      </w:r>
                      <w:r>
                        <w:rPr>
                          <w:sz w:val="18"/>
                        </w:rPr>
                        <w:t xml:space="preserve"> </w:t>
                      </w:r>
                      <w:r w:rsidRPr="000F0BBD">
                        <w:rPr>
                          <w:sz w:val="18"/>
                        </w:rPr>
                        <w:t>kyselé deště. Kyselé deště způsobují značná poškození lesních porostů i průmyslových plodin tím, že uvolňují</w:t>
                      </w:r>
                      <w:r>
                        <w:rPr>
                          <w:sz w:val="18"/>
                        </w:rPr>
                        <w:t xml:space="preserve"> </w:t>
                      </w:r>
                      <w:r w:rsidRPr="000F0BBD">
                        <w:rPr>
                          <w:sz w:val="18"/>
                        </w:rPr>
                        <w:t>z půdy kovové ionty, poškozují, mikroorganismy, znehodnocují kvalitu vody a mohou způsobit úhyn</w:t>
                      </w:r>
                      <w:r>
                        <w:rPr>
                          <w:sz w:val="18"/>
                        </w:rPr>
                        <w:t xml:space="preserve"> </w:t>
                      </w:r>
                      <w:r w:rsidRPr="000F0BBD">
                        <w:rPr>
                          <w:sz w:val="18"/>
                        </w:rPr>
                        <w:t>ryb. Bylo rovněž zaznamenáno významné poškození zejména historických staveb a uměleckých děl, neboť</w:t>
                      </w:r>
                      <w:r>
                        <w:rPr>
                          <w:sz w:val="18"/>
                        </w:rPr>
                        <w:t xml:space="preserve"> </w:t>
                      </w:r>
                      <w:r w:rsidRPr="000F0BBD">
                        <w:rPr>
                          <w:sz w:val="18"/>
                        </w:rPr>
                        <w:t>kyselé deště rozpouštějí některé druhy zdiva a způsobují větrání kamene.</w:t>
                      </w:r>
                    </w:p>
                  </w:txbxContent>
                </v:textbox>
                <w10:wrap type="topAndBottom" anchorx="margin"/>
              </v:shape>
            </w:pict>
          </mc:Fallback>
        </mc:AlternateContent>
      </w:r>
      <w:r w:rsidRPr="001A523D">
        <w:rPr>
          <w:b/>
          <w:sz w:val="20"/>
        </w:rPr>
        <w:t>Zdroj:</w:t>
      </w:r>
      <w:r w:rsidRPr="001A523D">
        <w:rPr>
          <w:sz w:val="20"/>
        </w:rPr>
        <w:t xml:space="preserve"> MŽP – </w:t>
      </w:r>
      <w:r w:rsidRPr="00B1650A">
        <w:rPr>
          <w:i/>
          <w:sz w:val="20"/>
        </w:rPr>
        <w:t>Příručka ochrany kvality ovzduší</w:t>
      </w:r>
      <w:r w:rsidR="0009686B">
        <w:rPr>
          <w:sz w:val="20"/>
        </w:rPr>
        <w:t xml:space="preserve">, viz </w:t>
      </w:r>
    </w:p>
    <w:p w14:paraId="68B9D283" w14:textId="5E17444F" w:rsidR="00395345" w:rsidRDefault="00E80779" w:rsidP="00B60221">
      <w:pPr>
        <w:pStyle w:val="Zdrojapozn"/>
        <w:ind w:left="567"/>
        <w:rPr>
          <w:rStyle w:val="Hypertextovodkaz"/>
        </w:rPr>
      </w:pPr>
      <w:hyperlink r:id="rId13" w:history="1">
        <w:r w:rsidR="00395345" w:rsidRPr="00F65D69">
          <w:rPr>
            <w:rStyle w:val="Hypertextovodkaz"/>
          </w:rPr>
          <w:t>https://www.mzp.cz/C1257458002F0DC7/cz/prirucka_ochrany_kvality_ovzdusi/$FILE/OOO-prirucka_OPLZZ_komplet-20140408.pdf</w:t>
        </w:r>
      </w:hyperlink>
      <w:r w:rsidR="0009686B">
        <w:rPr>
          <w:rStyle w:val="Hypertextovodkaz"/>
          <w:color w:val="000000" w:themeColor="text1"/>
          <w:sz w:val="18"/>
          <w:u w:val="none"/>
        </w:rPr>
        <w:t>.</w:t>
      </w:r>
    </w:p>
    <w:p w14:paraId="3BCDDE61" w14:textId="77777777" w:rsidR="006D33D2" w:rsidRPr="006D33D2" w:rsidRDefault="00AE7F44" w:rsidP="006D33D2">
      <w:pPr>
        <w:pStyle w:val="Text"/>
        <w:rPr>
          <w:lang w:eastAsia="cs-CZ"/>
        </w:rPr>
      </w:pPr>
      <w:r w:rsidRPr="001A523D">
        <w:rPr>
          <w:noProof/>
          <w:sz w:val="20"/>
          <w:lang w:eastAsia="cs-CZ"/>
        </w:rPr>
        <mc:AlternateContent>
          <mc:Choice Requires="wps">
            <w:drawing>
              <wp:anchor distT="45720" distB="45720" distL="114300" distR="114300" simplePos="0" relativeHeight="251692032" behindDoc="0" locked="0" layoutInCell="1" allowOverlap="1" wp14:anchorId="43314257" wp14:editId="53CAE0AA">
                <wp:simplePos x="0" y="0"/>
                <wp:positionH relativeFrom="margin">
                  <wp:posOffset>-4445</wp:posOffset>
                </wp:positionH>
                <wp:positionV relativeFrom="paragraph">
                  <wp:posOffset>270827</wp:posOffset>
                </wp:positionV>
                <wp:extent cx="5742305" cy="1593850"/>
                <wp:effectExtent l="0" t="0" r="10795" b="25400"/>
                <wp:wrapTopAndBottom/>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593850"/>
                        </a:xfrm>
                        <a:prstGeom prst="rect">
                          <a:avLst/>
                        </a:prstGeom>
                        <a:solidFill>
                          <a:srgbClr val="E5F1FF"/>
                        </a:solidFill>
                        <a:ln w="9525">
                          <a:solidFill>
                            <a:srgbClr val="000000"/>
                          </a:solidFill>
                          <a:miter lim="800000"/>
                          <a:headEnd/>
                          <a:tailEnd/>
                        </a:ln>
                      </wps:spPr>
                      <wps:txbx>
                        <w:txbxContent>
                          <w:p w14:paraId="17695ABA" w14:textId="77777777" w:rsidR="00E80779" w:rsidRPr="0012500F" w:rsidRDefault="00E80779" w:rsidP="00395345">
                            <w:pPr>
                              <w:spacing w:before="60"/>
                              <w:jc w:val="both"/>
                              <w:rPr>
                                <w:b/>
                                <w:sz w:val="18"/>
                              </w:rPr>
                            </w:pPr>
                            <w:r>
                              <w:rPr>
                                <w:b/>
                                <w:sz w:val="18"/>
                              </w:rPr>
                              <w:t>Oxidy dusíku (NO</w:t>
                            </w:r>
                            <w:r w:rsidRPr="0003764F">
                              <w:rPr>
                                <w:b/>
                                <w:sz w:val="18"/>
                                <w:vertAlign w:val="subscript"/>
                              </w:rPr>
                              <w:t>X</w:t>
                            </w:r>
                            <w:r>
                              <w:rPr>
                                <w:b/>
                                <w:sz w:val="18"/>
                              </w:rPr>
                              <w:t>)</w:t>
                            </w:r>
                          </w:p>
                          <w:p w14:paraId="3FCA553B" w14:textId="77777777" w:rsidR="00E80779" w:rsidRPr="0012500F" w:rsidRDefault="00E80779" w:rsidP="00395345">
                            <w:pPr>
                              <w:spacing w:before="60"/>
                              <w:jc w:val="both"/>
                              <w:rPr>
                                <w:sz w:val="18"/>
                              </w:rPr>
                            </w:pPr>
                            <w:r w:rsidRPr="0003764F">
                              <w:rPr>
                                <w:sz w:val="18"/>
                              </w:rPr>
                              <w:t>K oxidům dusíku řadíme oxid dusný, dusnatý, dusičitý a dusičný a ve směsi jsou označovány jako NO</w:t>
                            </w:r>
                            <w:r>
                              <w:rPr>
                                <w:sz w:val="18"/>
                                <w:vertAlign w:val="subscript"/>
                              </w:rPr>
                              <w:t>X</w:t>
                            </w:r>
                            <w:r w:rsidRPr="0003764F">
                              <w:rPr>
                                <w:sz w:val="18"/>
                              </w:rPr>
                              <w:t>.</w:t>
                            </w:r>
                            <w:r>
                              <w:rPr>
                                <w:sz w:val="18"/>
                              </w:rPr>
                              <w:t xml:space="preserve"> </w:t>
                            </w:r>
                            <w:r w:rsidRPr="0003764F">
                              <w:rPr>
                                <w:sz w:val="18"/>
                              </w:rPr>
                              <w:t>Hlavními antropogenními zdroji oxidů dusíku jsou emise z dopravy a ze spalovacích procesů, především</w:t>
                            </w:r>
                            <w:r>
                              <w:rPr>
                                <w:sz w:val="18"/>
                              </w:rPr>
                              <w:t xml:space="preserve"> </w:t>
                            </w:r>
                            <w:r w:rsidRPr="0003764F">
                              <w:rPr>
                                <w:sz w:val="18"/>
                              </w:rPr>
                              <w:t>z velkých zdrojů. Oxidy dusíku v ovzduší postupně přecházejí na kyselinu dusičnou, která reaguje s</w:t>
                            </w:r>
                            <w:r>
                              <w:rPr>
                                <w:sz w:val="18"/>
                              </w:rPr>
                              <w:t> </w:t>
                            </w:r>
                            <w:r w:rsidRPr="0003764F">
                              <w:rPr>
                                <w:sz w:val="18"/>
                              </w:rPr>
                              <w:t>prachovými</w:t>
                            </w:r>
                            <w:r>
                              <w:rPr>
                                <w:sz w:val="18"/>
                              </w:rPr>
                              <w:t xml:space="preserve"> </w:t>
                            </w:r>
                            <w:r w:rsidRPr="0003764F">
                              <w:rPr>
                                <w:sz w:val="18"/>
                              </w:rPr>
                              <w:t>částicemi a například s oxidy hořčíku a vápníku či s amoniakem za vzniku tuhých částic. Tyto částice</w:t>
                            </w:r>
                            <w:r>
                              <w:rPr>
                                <w:sz w:val="18"/>
                              </w:rPr>
                              <w:t xml:space="preserve"> </w:t>
                            </w:r>
                            <w:r w:rsidRPr="0003764F">
                              <w:rPr>
                                <w:sz w:val="18"/>
                              </w:rPr>
                              <w:t>jsou z atmosféry odstraňovány jednak sedimentací, jednak vymýváním srážkovou činností. Dusičnanové</w:t>
                            </w:r>
                            <w:r>
                              <w:rPr>
                                <w:sz w:val="18"/>
                              </w:rPr>
                              <w:t xml:space="preserve"> </w:t>
                            </w:r>
                            <w:r w:rsidRPr="0003764F">
                              <w:rPr>
                                <w:sz w:val="18"/>
                              </w:rPr>
                              <w:t>ionty, které se tímto mechanizmem dostávají do půdy a vod, sice působí příznivě na růst rostlin, avšak při</w:t>
                            </w:r>
                            <w:r>
                              <w:rPr>
                                <w:sz w:val="18"/>
                              </w:rPr>
                              <w:t xml:space="preserve"> </w:t>
                            </w:r>
                            <w:r w:rsidRPr="0003764F">
                              <w:rPr>
                                <w:sz w:val="18"/>
                              </w:rPr>
                              <w:t>vyšších koncentracích může docházet i k úhynu ryb a nežádoucímu nárůstu vodních rostlin (tzv. eutrofizace</w:t>
                            </w:r>
                            <w:r>
                              <w:rPr>
                                <w:sz w:val="18"/>
                              </w:rPr>
                              <w:t xml:space="preserve"> </w:t>
                            </w:r>
                            <w:r w:rsidRPr="0003764F">
                              <w:rPr>
                                <w:sz w:val="18"/>
                              </w:rPr>
                              <w:t>vod). Oxid dusičitý (NO</w:t>
                            </w:r>
                            <w:r w:rsidRPr="0003764F">
                              <w:rPr>
                                <w:sz w:val="18"/>
                                <w:vertAlign w:val="subscript"/>
                              </w:rPr>
                              <w:t>2</w:t>
                            </w:r>
                            <w:r w:rsidRPr="0003764F">
                              <w:rPr>
                                <w:sz w:val="18"/>
                              </w:rPr>
                              <w:t>) společně s kyslíkem a těkavými organickými látkami (</w:t>
                            </w:r>
                            <w:r>
                              <w:rPr>
                                <w:sz w:val="18"/>
                              </w:rPr>
                              <w:t>NM</w:t>
                            </w:r>
                            <w:r w:rsidRPr="0003764F">
                              <w:rPr>
                                <w:sz w:val="18"/>
                              </w:rPr>
                              <w:t>VOC) přispívá za podpory</w:t>
                            </w:r>
                            <w:r>
                              <w:rPr>
                                <w:sz w:val="18"/>
                              </w:rPr>
                              <w:t xml:space="preserve"> </w:t>
                            </w:r>
                            <w:r w:rsidRPr="0003764F">
                              <w:rPr>
                                <w:sz w:val="18"/>
                              </w:rPr>
                              <w:t>ultrafialového záření k tvorbě přízemního ozonu a vzniku tzv. fotochemického smogu. Vysoké koncentrace</w:t>
                            </w:r>
                            <w:r>
                              <w:rPr>
                                <w:sz w:val="18"/>
                              </w:rPr>
                              <w:t xml:space="preserve"> </w:t>
                            </w:r>
                            <w:r w:rsidRPr="0003764F">
                              <w:rPr>
                                <w:sz w:val="18"/>
                              </w:rPr>
                              <w:t>přízemního ozonu poškozují živé rostliny včetně mnohých zemědělských plodin.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3314257" id="_x0000_s1029" type="#_x0000_t202" style="position:absolute;left:0;text-align:left;margin-left:-.35pt;margin-top:21.3pt;width:452.15pt;height:12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" fillcolor="#e5f1ff">
                <v:textbox>
                  <w:txbxContent>
                    <w:p w14:paraId="17695ABA" w14:textId="77777777" w:rsidR="00E80779" w:rsidRPr="0012500F" w:rsidRDefault="00E80779" w:rsidP="00395345">
                      <w:pPr>
                        <w:spacing w:before="60"/>
                        <w:jc w:val="both"/>
                        <w:rPr>
                          <w:b/>
                          <w:sz w:val="18"/>
                        </w:rPr>
                      </w:pPr>
                      <w:r>
                        <w:rPr>
                          <w:b/>
                          <w:sz w:val="18"/>
                        </w:rPr>
                        <w:t>Oxidy dusíku (NO</w:t>
                      </w:r>
                      <w:r w:rsidRPr="0003764F">
                        <w:rPr>
                          <w:b/>
                          <w:sz w:val="18"/>
                          <w:vertAlign w:val="subscript"/>
                        </w:rPr>
                        <w:t>X</w:t>
                      </w:r>
                      <w:r>
                        <w:rPr>
                          <w:b/>
                          <w:sz w:val="18"/>
                        </w:rPr>
                        <w:t>)</w:t>
                      </w:r>
                    </w:p>
                    <w:p w14:paraId="3FCA553B" w14:textId="77777777" w:rsidR="00E80779" w:rsidRPr="0012500F" w:rsidRDefault="00E80779" w:rsidP="00395345">
                      <w:pPr>
                        <w:spacing w:before="60"/>
                        <w:jc w:val="both"/>
                        <w:rPr>
                          <w:sz w:val="18"/>
                        </w:rPr>
                      </w:pPr>
                      <w:r w:rsidRPr="0003764F">
                        <w:rPr>
                          <w:sz w:val="18"/>
                        </w:rPr>
                        <w:t>K oxidům dusíku řadíme oxid dusný, dusnatý, dusičitý a dusičný a ve směsi jsou označovány jako NO</w:t>
                      </w:r>
                      <w:r>
                        <w:rPr>
                          <w:sz w:val="18"/>
                          <w:vertAlign w:val="subscript"/>
                        </w:rPr>
                        <w:t>X</w:t>
                      </w:r>
                      <w:r w:rsidRPr="0003764F">
                        <w:rPr>
                          <w:sz w:val="18"/>
                        </w:rPr>
                        <w:t>.</w:t>
                      </w:r>
                      <w:r>
                        <w:rPr>
                          <w:sz w:val="18"/>
                        </w:rPr>
                        <w:t xml:space="preserve"> </w:t>
                      </w:r>
                      <w:r w:rsidRPr="0003764F">
                        <w:rPr>
                          <w:sz w:val="18"/>
                        </w:rPr>
                        <w:t>Hlavními antropogenními zdroji oxidů dusíku jsou emise z dopravy a ze spalovacích procesů, především</w:t>
                      </w:r>
                      <w:r>
                        <w:rPr>
                          <w:sz w:val="18"/>
                        </w:rPr>
                        <w:t xml:space="preserve"> </w:t>
                      </w:r>
                      <w:r w:rsidRPr="0003764F">
                        <w:rPr>
                          <w:sz w:val="18"/>
                        </w:rPr>
                        <w:t>z velkých zdrojů. Oxidy dusíku v ovzduší postupně přecházejí na kyselinu dusičnou, která reaguje s</w:t>
                      </w:r>
                      <w:r>
                        <w:rPr>
                          <w:sz w:val="18"/>
                        </w:rPr>
                        <w:t> </w:t>
                      </w:r>
                      <w:r w:rsidRPr="0003764F">
                        <w:rPr>
                          <w:sz w:val="18"/>
                        </w:rPr>
                        <w:t>prachovými</w:t>
                      </w:r>
                      <w:r>
                        <w:rPr>
                          <w:sz w:val="18"/>
                        </w:rPr>
                        <w:t xml:space="preserve"> </w:t>
                      </w:r>
                      <w:r w:rsidRPr="0003764F">
                        <w:rPr>
                          <w:sz w:val="18"/>
                        </w:rPr>
                        <w:t>částicemi a například s oxidy hořčíku a vápníku či s amoniakem za vzniku tuhých částic. Tyto částice</w:t>
                      </w:r>
                      <w:r>
                        <w:rPr>
                          <w:sz w:val="18"/>
                        </w:rPr>
                        <w:t xml:space="preserve"> </w:t>
                      </w:r>
                      <w:r w:rsidRPr="0003764F">
                        <w:rPr>
                          <w:sz w:val="18"/>
                        </w:rPr>
                        <w:t>jsou z atmosféry odstraňovány jednak sedimentací, jednak vymýváním srážkovou činností. Dusičnanové</w:t>
                      </w:r>
                      <w:r>
                        <w:rPr>
                          <w:sz w:val="18"/>
                        </w:rPr>
                        <w:t xml:space="preserve"> </w:t>
                      </w:r>
                      <w:r w:rsidRPr="0003764F">
                        <w:rPr>
                          <w:sz w:val="18"/>
                        </w:rPr>
                        <w:t>ionty, které se tímto mechanizmem dostávají do půdy a vod, sice působí příznivě na růst rostlin, avšak při</w:t>
                      </w:r>
                      <w:r>
                        <w:rPr>
                          <w:sz w:val="18"/>
                        </w:rPr>
                        <w:t xml:space="preserve"> </w:t>
                      </w:r>
                      <w:r w:rsidRPr="0003764F">
                        <w:rPr>
                          <w:sz w:val="18"/>
                        </w:rPr>
                        <w:t>vyšších koncentracích může docházet i k úhynu ryb a nežádoucímu nárůstu vodních rostlin (tzv. eutrofizace</w:t>
                      </w:r>
                      <w:r>
                        <w:rPr>
                          <w:sz w:val="18"/>
                        </w:rPr>
                        <w:t xml:space="preserve"> </w:t>
                      </w:r>
                      <w:r w:rsidRPr="0003764F">
                        <w:rPr>
                          <w:sz w:val="18"/>
                        </w:rPr>
                        <w:t>vod). Oxid dusičitý (NO</w:t>
                      </w:r>
                      <w:r w:rsidRPr="0003764F">
                        <w:rPr>
                          <w:sz w:val="18"/>
                          <w:vertAlign w:val="subscript"/>
                        </w:rPr>
                        <w:t>2</w:t>
                      </w:r>
                      <w:r w:rsidRPr="0003764F">
                        <w:rPr>
                          <w:sz w:val="18"/>
                        </w:rPr>
                        <w:t>) společně s kyslíkem a těkavými organickými látkami (</w:t>
                      </w:r>
                      <w:r>
                        <w:rPr>
                          <w:sz w:val="18"/>
                        </w:rPr>
                        <w:t>NM</w:t>
                      </w:r>
                      <w:r w:rsidRPr="0003764F">
                        <w:rPr>
                          <w:sz w:val="18"/>
                        </w:rPr>
                        <w:t>VOC) přispívá za podpory</w:t>
                      </w:r>
                      <w:r>
                        <w:rPr>
                          <w:sz w:val="18"/>
                        </w:rPr>
                        <w:t xml:space="preserve"> </w:t>
                      </w:r>
                      <w:r w:rsidRPr="0003764F">
                        <w:rPr>
                          <w:sz w:val="18"/>
                        </w:rPr>
                        <w:t>ultrafialového záření k tvorbě přízemního ozonu a vzniku tzv. fotochemického smogu. Vysoké koncentrace</w:t>
                      </w:r>
                      <w:r>
                        <w:rPr>
                          <w:sz w:val="18"/>
                        </w:rPr>
                        <w:t xml:space="preserve"> </w:t>
                      </w:r>
                      <w:r w:rsidRPr="0003764F">
                        <w:rPr>
                          <w:sz w:val="18"/>
                        </w:rPr>
                        <w:t>přízemního ozonu poškozují živé rostliny včetně mnohých zemědělských plodin.</w:t>
                      </w:r>
                    </w:p>
                  </w:txbxContent>
                </v:textbox>
                <w10:wrap type="topAndBottom" anchorx="margin"/>
              </v:shape>
            </w:pict>
          </mc:Fallback>
        </mc:AlternateContent>
      </w:r>
    </w:p>
    <w:p w14:paraId="63D91391" w14:textId="443ED94D" w:rsidR="00395345" w:rsidRPr="0009686B" w:rsidRDefault="00395345" w:rsidP="001A523D">
      <w:pPr>
        <w:pStyle w:val="Text"/>
      </w:pPr>
      <w:r w:rsidRPr="001A523D">
        <w:rPr>
          <w:b/>
          <w:sz w:val="20"/>
        </w:rPr>
        <w:t>Zdroj:</w:t>
      </w:r>
      <w:r w:rsidRPr="001A523D">
        <w:rPr>
          <w:sz w:val="20"/>
        </w:rPr>
        <w:t xml:space="preserve"> MŽP – </w:t>
      </w:r>
      <w:r w:rsidRPr="00B1650A">
        <w:rPr>
          <w:i/>
          <w:sz w:val="20"/>
        </w:rPr>
        <w:t>Příručka ochrany kvality ovzduší</w:t>
      </w:r>
      <w:r w:rsidR="0009686B">
        <w:rPr>
          <w:sz w:val="20"/>
        </w:rPr>
        <w:t xml:space="preserve">, viz </w:t>
      </w:r>
    </w:p>
    <w:p w14:paraId="19D083D6" w14:textId="4C438818" w:rsidR="00395345" w:rsidRDefault="00E80779" w:rsidP="00B60221">
      <w:pPr>
        <w:pStyle w:val="Zdrojapozn"/>
        <w:ind w:left="567"/>
        <w:rPr>
          <w:rStyle w:val="Hypertextovodkaz"/>
        </w:rPr>
      </w:pPr>
      <w:hyperlink r:id="rId14" w:history="1">
        <w:r w:rsidR="00395345" w:rsidRPr="00F65D69">
          <w:rPr>
            <w:rStyle w:val="Hypertextovodkaz"/>
          </w:rPr>
          <w:t>https://www.mzp.cz/C1257458002F0DC7/cz/prirucka_ochrany_kvality_ovzdusi/$FILE/OOO-prirucka_OPLZZ_komplet-20140408.pdf</w:t>
        </w:r>
      </w:hyperlink>
      <w:r w:rsidR="0009686B" w:rsidRPr="00701CF4">
        <w:rPr>
          <w:rStyle w:val="Hypertextovodkaz"/>
          <w:color w:val="000000" w:themeColor="text1"/>
          <w:sz w:val="18"/>
          <w:u w:val="none"/>
        </w:rPr>
        <w:t>.</w:t>
      </w:r>
    </w:p>
    <w:p w14:paraId="6F5E5A44" w14:textId="77777777" w:rsidR="00AE7F44" w:rsidRPr="00AE7F44" w:rsidRDefault="00AE7F44" w:rsidP="00AE7F44">
      <w:pPr>
        <w:pStyle w:val="Text"/>
        <w:rPr>
          <w:lang w:eastAsia="cs-CZ"/>
        </w:rPr>
      </w:pPr>
    </w:p>
    <w:p w14:paraId="11B9E562" w14:textId="7F14FDA2" w:rsidR="00395345" w:rsidRPr="0009686B" w:rsidRDefault="00395345" w:rsidP="001A523D">
      <w:pPr>
        <w:pStyle w:val="Text"/>
      </w:pPr>
      <w:r w:rsidRPr="001A523D">
        <w:rPr>
          <w:noProof/>
          <w:sz w:val="20"/>
          <w:lang w:eastAsia="cs-CZ"/>
        </w:rPr>
        <mc:AlternateContent>
          <mc:Choice Requires="wps">
            <w:drawing>
              <wp:anchor distT="45720" distB="45720" distL="114300" distR="114300" simplePos="0" relativeHeight="251694080" behindDoc="0" locked="0" layoutInCell="1" allowOverlap="1" wp14:anchorId="7140AE74" wp14:editId="5971950B">
                <wp:simplePos x="0" y="0"/>
                <wp:positionH relativeFrom="margin">
                  <wp:align>left</wp:align>
                </wp:positionH>
                <wp:positionV relativeFrom="paragraph">
                  <wp:posOffset>149518</wp:posOffset>
                </wp:positionV>
                <wp:extent cx="5742305" cy="1357952"/>
                <wp:effectExtent l="0" t="0" r="10795" b="13970"/>
                <wp:wrapTopAndBottom/>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357952"/>
                        </a:xfrm>
                        <a:prstGeom prst="rect">
                          <a:avLst/>
                        </a:prstGeom>
                        <a:solidFill>
                          <a:srgbClr val="E5F1FF"/>
                        </a:solidFill>
                        <a:ln w="9525">
                          <a:solidFill>
                            <a:srgbClr val="000000"/>
                          </a:solidFill>
                          <a:miter lim="800000"/>
                          <a:headEnd/>
                          <a:tailEnd/>
                        </a:ln>
                      </wps:spPr>
                      <wps:txbx>
                        <w:txbxContent>
                          <w:p w14:paraId="0BFBF7AF" w14:textId="77777777" w:rsidR="00E80779" w:rsidRPr="0012500F" w:rsidRDefault="00E80779" w:rsidP="00395345">
                            <w:pPr>
                              <w:spacing w:before="60"/>
                              <w:jc w:val="both"/>
                              <w:rPr>
                                <w:b/>
                                <w:sz w:val="18"/>
                              </w:rPr>
                            </w:pPr>
                            <w:r>
                              <w:rPr>
                                <w:b/>
                                <w:sz w:val="18"/>
                              </w:rPr>
                              <w:t>Těkavé organické látky (NMVOC)</w:t>
                            </w:r>
                          </w:p>
                          <w:p w14:paraId="5C59A0A1" w14:textId="77777777" w:rsidR="00E80779" w:rsidRPr="00397C76" w:rsidRDefault="00E80779" w:rsidP="00395345">
                            <w:pPr>
                              <w:spacing w:before="60"/>
                              <w:jc w:val="both"/>
                              <w:rPr>
                                <w:sz w:val="18"/>
                              </w:rPr>
                            </w:pPr>
                            <w:r w:rsidRPr="00397C76">
                              <w:rPr>
                                <w:sz w:val="18"/>
                              </w:rPr>
                              <w:t>Nemetanové těkavé organické látky označované jako NMVOC (</w:t>
                            </w:r>
                            <w:proofErr w:type="spellStart"/>
                            <w:r w:rsidRPr="00397C76">
                              <w:rPr>
                                <w:sz w:val="18"/>
                              </w:rPr>
                              <w:t>Volatile</w:t>
                            </w:r>
                            <w:proofErr w:type="spellEnd"/>
                            <w:r w:rsidRPr="00397C76">
                              <w:rPr>
                                <w:sz w:val="18"/>
                              </w:rPr>
                              <w:t xml:space="preserve"> </w:t>
                            </w:r>
                            <w:proofErr w:type="spellStart"/>
                            <w:r w:rsidRPr="00397C76">
                              <w:rPr>
                                <w:sz w:val="18"/>
                              </w:rPr>
                              <w:t>Organic</w:t>
                            </w:r>
                            <w:proofErr w:type="spellEnd"/>
                            <w:r w:rsidRPr="00397C76">
                              <w:rPr>
                                <w:sz w:val="18"/>
                              </w:rPr>
                              <w:t xml:space="preserve"> </w:t>
                            </w:r>
                            <w:proofErr w:type="spellStart"/>
                            <w:r w:rsidRPr="00397C76">
                              <w:rPr>
                                <w:sz w:val="18"/>
                              </w:rPr>
                              <w:t>Compounds</w:t>
                            </w:r>
                            <w:proofErr w:type="spellEnd"/>
                            <w:r w:rsidRPr="00397C76">
                              <w:rPr>
                                <w:sz w:val="18"/>
                              </w:rPr>
                              <w:t xml:space="preserve">) představují organické sloučeniny nebo směsi organických sloučenin, s výjimkou metanu, které mají při teplotě 20 ˚C tlak par 0,01 </w:t>
                            </w:r>
                            <w:proofErr w:type="spellStart"/>
                            <w:r w:rsidRPr="00397C76">
                              <w:rPr>
                                <w:sz w:val="18"/>
                              </w:rPr>
                              <w:t>kPa</w:t>
                            </w:r>
                            <w:proofErr w:type="spellEnd"/>
                            <w:r w:rsidRPr="00397C76">
                              <w:rPr>
                                <w:sz w:val="18"/>
                              </w:rPr>
                              <w:t xml:space="preserve"> nebo více nebo mají odpovídající těkavost za konkr</w:t>
                            </w:r>
                            <w:r>
                              <w:rPr>
                                <w:sz w:val="18"/>
                              </w:rPr>
                              <w:t>étních podmínek jejich použití.</w:t>
                            </w:r>
                          </w:p>
                          <w:p w14:paraId="75743932" w14:textId="77777777" w:rsidR="00E80779" w:rsidRPr="00397C76" w:rsidRDefault="00E80779" w:rsidP="00395345">
                            <w:pPr>
                              <w:spacing w:before="60"/>
                              <w:jc w:val="both"/>
                              <w:rPr>
                                <w:sz w:val="18"/>
                              </w:rPr>
                            </w:pPr>
                            <w:r w:rsidRPr="00397C76">
                              <w:rPr>
                                <w:sz w:val="18"/>
                              </w:rPr>
                              <w:t>Nejvýznamnějším zdrojem emisí NMVOC je sektor užití a apl</w:t>
                            </w:r>
                            <w:r>
                              <w:rPr>
                                <w:sz w:val="18"/>
                              </w:rPr>
                              <w:t>ikace organických rozpouštědel. Jedná se především o </w:t>
                            </w:r>
                            <w:r w:rsidRPr="00397C76">
                              <w:rPr>
                                <w:sz w:val="18"/>
                              </w:rPr>
                              <w:t>aplikaci nátěrových hmot, odmašťování, čištění, tiskárenský průmysl a výrobu a zpracování chemických produktů.</w:t>
                            </w:r>
                          </w:p>
                          <w:p w14:paraId="06C324E9" w14:textId="77777777" w:rsidR="00E80779" w:rsidRDefault="00E80779" w:rsidP="00395345">
                            <w:pPr>
                              <w:spacing w:before="60"/>
                              <w:jc w:val="both"/>
                            </w:pPr>
                            <w:r w:rsidRPr="00397C76">
                              <w:rPr>
                                <w:sz w:val="18"/>
                              </w:rPr>
                              <w:t>Emise NMVOC vznikají také při nedokonalém spalování fosilních paliv. Jedná se především o spa</w:t>
                            </w:r>
                            <w:r>
                              <w:rPr>
                                <w:sz w:val="18"/>
                              </w:rPr>
                              <w:t>lování pohonných hmot v dopravě</w:t>
                            </w:r>
                            <w:r w:rsidRPr="00397C76">
                              <w:rPr>
                                <w:sz w:val="18"/>
                              </w:rPr>
                              <w:t>. Mezi další zdroje emisí NMVOC patří lokální vytápění domácností a veřejná energetika a výroba tepla.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140AE74" id="_x0000_s1030" type="#_x0000_t202" style="position:absolute;left:0;text-align:left;margin-left:0;margin-top:11.75pt;width:452.15pt;height:106.9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" fillcolor="#e5f1ff">
                <v:textbox>
                  <w:txbxContent>
                    <w:p w14:paraId="0BFBF7AF" w14:textId="77777777" w:rsidR="00E80779" w:rsidRPr="0012500F" w:rsidRDefault="00E80779" w:rsidP="00395345">
                      <w:pPr>
                        <w:spacing w:before="60"/>
                        <w:jc w:val="both"/>
                        <w:rPr>
                          <w:b/>
                          <w:sz w:val="18"/>
                        </w:rPr>
                      </w:pPr>
                      <w:r>
                        <w:rPr>
                          <w:b/>
                          <w:sz w:val="18"/>
                        </w:rPr>
                        <w:t>Těkavé organické látky (NMVOC)</w:t>
                      </w:r>
                    </w:p>
                    <w:p w14:paraId="5C59A0A1" w14:textId="77777777" w:rsidR="00E80779" w:rsidRPr="00397C76" w:rsidRDefault="00E80779" w:rsidP="00395345">
                      <w:pPr>
                        <w:spacing w:before="60"/>
                        <w:jc w:val="both"/>
                        <w:rPr>
                          <w:sz w:val="18"/>
                        </w:rPr>
                      </w:pPr>
                      <w:r w:rsidRPr="00397C76">
                        <w:rPr>
                          <w:sz w:val="18"/>
                        </w:rPr>
                        <w:t>Nemetanové těkavé organické látky označované jako NMVOC (</w:t>
                      </w:r>
                      <w:proofErr w:type="spellStart"/>
                      <w:r w:rsidRPr="00397C76">
                        <w:rPr>
                          <w:sz w:val="18"/>
                        </w:rPr>
                        <w:t>Volatile</w:t>
                      </w:r>
                      <w:proofErr w:type="spellEnd"/>
                      <w:r w:rsidRPr="00397C76">
                        <w:rPr>
                          <w:sz w:val="18"/>
                        </w:rPr>
                        <w:t xml:space="preserve"> </w:t>
                      </w:r>
                      <w:proofErr w:type="spellStart"/>
                      <w:r w:rsidRPr="00397C76">
                        <w:rPr>
                          <w:sz w:val="18"/>
                        </w:rPr>
                        <w:t>Organic</w:t>
                      </w:r>
                      <w:proofErr w:type="spellEnd"/>
                      <w:r w:rsidRPr="00397C76">
                        <w:rPr>
                          <w:sz w:val="18"/>
                        </w:rPr>
                        <w:t xml:space="preserve"> </w:t>
                      </w:r>
                      <w:proofErr w:type="spellStart"/>
                      <w:r w:rsidRPr="00397C76">
                        <w:rPr>
                          <w:sz w:val="18"/>
                        </w:rPr>
                        <w:t>Compounds</w:t>
                      </w:r>
                      <w:proofErr w:type="spellEnd"/>
                      <w:r w:rsidRPr="00397C76">
                        <w:rPr>
                          <w:sz w:val="18"/>
                        </w:rPr>
                        <w:t xml:space="preserve">) představují organické sloučeniny nebo směsi organických sloučenin, s výjimkou metanu, které mají při teplotě 20 ˚C tlak par 0,01 </w:t>
                      </w:r>
                      <w:proofErr w:type="spellStart"/>
                      <w:r w:rsidRPr="00397C76">
                        <w:rPr>
                          <w:sz w:val="18"/>
                        </w:rPr>
                        <w:t>kPa</w:t>
                      </w:r>
                      <w:proofErr w:type="spellEnd"/>
                      <w:r w:rsidRPr="00397C76">
                        <w:rPr>
                          <w:sz w:val="18"/>
                        </w:rPr>
                        <w:t xml:space="preserve"> nebo více nebo mají odpovídající těkavost za konkr</w:t>
                      </w:r>
                      <w:r>
                        <w:rPr>
                          <w:sz w:val="18"/>
                        </w:rPr>
                        <w:t>étních podmínek jejich použití.</w:t>
                      </w:r>
                    </w:p>
                    <w:p w14:paraId="75743932" w14:textId="77777777" w:rsidR="00E80779" w:rsidRPr="00397C76" w:rsidRDefault="00E80779" w:rsidP="00395345">
                      <w:pPr>
                        <w:spacing w:before="60"/>
                        <w:jc w:val="both"/>
                        <w:rPr>
                          <w:sz w:val="18"/>
                        </w:rPr>
                      </w:pPr>
                      <w:r w:rsidRPr="00397C76">
                        <w:rPr>
                          <w:sz w:val="18"/>
                        </w:rPr>
                        <w:t>Nejvýznamnějším zdrojem emisí NMVOC je sektor užití a apl</w:t>
                      </w:r>
                      <w:r>
                        <w:rPr>
                          <w:sz w:val="18"/>
                        </w:rPr>
                        <w:t>ikace organických rozpouštědel. Jedná se především o </w:t>
                      </w:r>
                      <w:r w:rsidRPr="00397C76">
                        <w:rPr>
                          <w:sz w:val="18"/>
                        </w:rPr>
                        <w:t>aplikaci nátěrových hmot, odmašťování, čištění, tiskárenský průmysl a výrobu a zpracování chemických produktů.</w:t>
                      </w:r>
                    </w:p>
                    <w:p w14:paraId="06C324E9" w14:textId="77777777" w:rsidR="00E80779" w:rsidRDefault="00E80779" w:rsidP="00395345">
                      <w:pPr>
                        <w:spacing w:before="60"/>
                        <w:jc w:val="both"/>
                      </w:pPr>
                      <w:r w:rsidRPr="00397C76">
                        <w:rPr>
                          <w:sz w:val="18"/>
                        </w:rPr>
                        <w:t>Emise NMVOC vznikají také při nedokonalém spalování fosilních paliv. Jedná se především o spa</w:t>
                      </w:r>
                      <w:r>
                        <w:rPr>
                          <w:sz w:val="18"/>
                        </w:rPr>
                        <w:t>lování pohonných hmot v dopravě</w:t>
                      </w:r>
                      <w:r w:rsidRPr="00397C76">
                        <w:rPr>
                          <w:sz w:val="18"/>
                        </w:rPr>
                        <w:t>. Mezi další zdroje emisí NMVOC patří lokální vytápění domácností a veřejná energetika a výroba tepla.</w:t>
                      </w:r>
                    </w:p>
                  </w:txbxContent>
                </v:textbox>
                <w10:wrap type="topAndBottom" anchorx="margin"/>
              </v:shape>
            </w:pict>
          </mc:Fallback>
        </mc:AlternateContent>
      </w:r>
      <w:r w:rsidRPr="001A523D">
        <w:rPr>
          <w:b/>
          <w:sz w:val="20"/>
        </w:rPr>
        <w:t>Zdroj:</w:t>
      </w:r>
      <w:r w:rsidRPr="001A523D">
        <w:rPr>
          <w:sz w:val="20"/>
        </w:rPr>
        <w:t xml:space="preserve"> MŽP – </w:t>
      </w:r>
      <w:r w:rsidRPr="00B1650A">
        <w:rPr>
          <w:i/>
          <w:sz w:val="20"/>
        </w:rPr>
        <w:t>Příručka ochrany kvality ovzduší</w:t>
      </w:r>
      <w:r w:rsidR="0009686B">
        <w:rPr>
          <w:sz w:val="20"/>
        </w:rPr>
        <w:t xml:space="preserve">, viz </w:t>
      </w:r>
    </w:p>
    <w:p w14:paraId="23A18BB0" w14:textId="4BAE77A4" w:rsidR="00395345" w:rsidRDefault="00E80779" w:rsidP="00B60221">
      <w:pPr>
        <w:pStyle w:val="Zdrojapozn"/>
        <w:ind w:left="567"/>
      </w:pPr>
      <w:hyperlink r:id="rId15" w:history="1">
        <w:r w:rsidR="00395345" w:rsidRPr="00F65D69">
          <w:rPr>
            <w:rStyle w:val="Hypertextovodkaz"/>
          </w:rPr>
          <w:t>https://www.mzp.cz/C1257458002F0DC7/cz/prirucka_ochrany_kvality_ovzdusi/$FILE/OOO-prirucka_OPLZZ_komplet-20140408.pdf</w:t>
        </w:r>
      </w:hyperlink>
      <w:r w:rsidR="0009686B" w:rsidRPr="00BD5CDC">
        <w:rPr>
          <w:rStyle w:val="Hypertextovodkaz"/>
          <w:color w:val="000000" w:themeColor="text1"/>
          <w:u w:val="none"/>
        </w:rPr>
        <w:t>.</w:t>
      </w:r>
    </w:p>
    <w:p w14:paraId="0778A36D" w14:textId="77777777" w:rsidR="00395345" w:rsidRDefault="00395345" w:rsidP="00395345">
      <w:pPr>
        <w:pStyle w:val="Zdrojapozn"/>
      </w:pPr>
    </w:p>
    <w:p w14:paraId="3A2240D3" w14:textId="77777777" w:rsidR="00395345" w:rsidRDefault="00395345" w:rsidP="00395345">
      <w:pPr>
        <w:pStyle w:val="Text"/>
      </w:pPr>
      <w:r>
        <w:br w:type="page"/>
      </w:r>
    </w:p>
    <w:p w14:paraId="4F1DA948" w14:textId="77777777" w:rsidR="00395345" w:rsidRPr="00CD31F9" w:rsidRDefault="00395345" w:rsidP="007734B4">
      <w:pPr>
        <w:pStyle w:val="Nadpis1"/>
        <w:numPr>
          <w:ilvl w:val="0"/>
          <w:numId w:val="0"/>
        </w:numPr>
        <w:spacing w:before="0" w:after="0"/>
        <w:ind w:left="-227"/>
        <w:rPr>
          <w:sz w:val="24"/>
        </w:rPr>
      </w:pPr>
      <w:r w:rsidRPr="00CD31F9">
        <w:rPr>
          <w:sz w:val="24"/>
        </w:rPr>
        <w:t>Příloha č. 4</w:t>
      </w:r>
    </w:p>
    <w:p w14:paraId="3FF405B3" w14:textId="5D53F734" w:rsidR="00395345" w:rsidRPr="00B1650A" w:rsidRDefault="00723B6D" w:rsidP="007734B4">
      <w:pPr>
        <w:pStyle w:val="Titulek"/>
        <w:spacing w:after="40"/>
        <w:ind w:left="-227"/>
        <w:rPr>
          <w:b/>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10</w:t>
      </w:r>
      <w:r w:rsidR="00A36661" w:rsidRPr="00B1650A">
        <w:rPr>
          <w:b/>
          <w:noProof/>
        </w:rPr>
        <w:fldChar w:fldCharType="end"/>
      </w:r>
      <w:r w:rsidRPr="00B1650A">
        <w:rPr>
          <w:b/>
        </w:rPr>
        <w:t>:</w:t>
      </w:r>
      <w:r w:rsidR="00395345" w:rsidRPr="00B1650A">
        <w:rPr>
          <w:b/>
        </w:rPr>
        <w:t xml:space="preserve"> Stav plnění opatření NPSE – porovnání hodnocení MŽP a NKÚ</w:t>
      </w:r>
    </w:p>
    <w:tbl>
      <w:tblPr>
        <w:tblW w:w="5346"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567"/>
        <w:gridCol w:w="3345"/>
        <w:gridCol w:w="1646"/>
        <w:gridCol w:w="4135"/>
      </w:tblGrid>
      <w:tr w:rsidR="007734B4" w:rsidRPr="00AE7F44" w14:paraId="33A20D32" w14:textId="77777777" w:rsidTr="00BD5CDC">
        <w:trPr>
          <w:trHeight w:val="227"/>
          <w:jc w:val="center"/>
        </w:trPr>
        <w:tc>
          <w:tcPr>
            <w:tcW w:w="292" w:type="pct"/>
            <w:shd w:val="clear" w:color="000000" w:fill="E5F1FF"/>
            <w:noWrap/>
            <w:vAlign w:val="center"/>
            <w:hideMark/>
          </w:tcPr>
          <w:p w14:paraId="0F8B7601" w14:textId="77777777" w:rsidR="00395345" w:rsidRPr="00AE7F44" w:rsidRDefault="00395345" w:rsidP="007734B4">
            <w:pPr>
              <w:ind w:right="-57"/>
              <w:jc w:val="center"/>
              <w:rPr>
                <w:rFonts w:ascii="Calibri" w:hAnsi="Calibri" w:cs="Calibri"/>
                <w:sz w:val="20"/>
                <w:szCs w:val="20"/>
                <w:lang w:eastAsia="cs-CZ"/>
              </w:rPr>
            </w:pPr>
            <w:r w:rsidRPr="00AE7F44">
              <w:rPr>
                <w:rFonts w:ascii="Calibri" w:hAnsi="Calibri" w:cs="Calibri"/>
                <w:b/>
                <w:bCs/>
                <w:sz w:val="20"/>
                <w:szCs w:val="20"/>
                <w:lang w:eastAsia="cs-CZ"/>
              </w:rPr>
              <w:t>Kód</w:t>
            </w:r>
          </w:p>
        </w:tc>
        <w:tc>
          <w:tcPr>
            <w:tcW w:w="1725" w:type="pct"/>
            <w:shd w:val="clear" w:color="000000" w:fill="E5F1FF"/>
            <w:noWrap/>
            <w:vAlign w:val="center"/>
            <w:hideMark/>
          </w:tcPr>
          <w:p w14:paraId="743AACE6" w14:textId="77777777" w:rsidR="00395345" w:rsidRPr="00AE7F44" w:rsidRDefault="00395345" w:rsidP="00395345">
            <w:pPr>
              <w:jc w:val="center"/>
              <w:rPr>
                <w:rFonts w:ascii="Calibri" w:hAnsi="Calibri" w:cs="Calibri"/>
                <w:sz w:val="20"/>
                <w:szCs w:val="20"/>
                <w:lang w:eastAsia="cs-CZ"/>
              </w:rPr>
            </w:pPr>
            <w:r w:rsidRPr="00AE7F44">
              <w:rPr>
                <w:rFonts w:ascii="Calibri" w:hAnsi="Calibri" w:cs="Calibri"/>
                <w:b/>
                <w:bCs/>
                <w:sz w:val="20"/>
                <w:szCs w:val="20"/>
                <w:lang w:eastAsia="cs-CZ"/>
              </w:rPr>
              <w:t>Prioritní opatření</w:t>
            </w:r>
          </w:p>
        </w:tc>
        <w:tc>
          <w:tcPr>
            <w:tcW w:w="849" w:type="pct"/>
            <w:shd w:val="clear" w:color="000000" w:fill="E5F1FF"/>
            <w:vAlign w:val="center"/>
            <w:hideMark/>
          </w:tcPr>
          <w:p w14:paraId="0A07D7AA" w14:textId="492E7C88" w:rsidR="00395345" w:rsidRPr="00AE7F44" w:rsidRDefault="00395345" w:rsidP="00395345">
            <w:pPr>
              <w:jc w:val="center"/>
              <w:rPr>
                <w:rFonts w:ascii="Calibri" w:hAnsi="Calibri" w:cs="Calibri"/>
                <w:b/>
                <w:bCs/>
                <w:sz w:val="20"/>
                <w:szCs w:val="20"/>
                <w:lang w:eastAsia="cs-CZ"/>
              </w:rPr>
            </w:pPr>
            <w:r w:rsidRPr="00AE7F44">
              <w:rPr>
                <w:rFonts w:ascii="Calibri" w:hAnsi="Calibri" w:cs="Calibri"/>
                <w:b/>
                <w:bCs/>
                <w:sz w:val="20"/>
                <w:szCs w:val="20"/>
                <w:lang w:eastAsia="cs-CZ"/>
              </w:rPr>
              <w:t xml:space="preserve">Stav plnění </w:t>
            </w:r>
            <w:r w:rsidR="009B2D08">
              <w:rPr>
                <w:rFonts w:ascii="Calibri" w:hAnsi="Calibri" w:cs="Calibri"/>
                <w:b/>
                <w:bCs/>
                <w:sz w:val="20"/>
                <w:szCs w:val="20"/>
                <w:lang w:eastAsia="cs-CZ"/>
              </w:rPr>
              <w:br/>
            </w:r>
            <w:proofErr w:type="spellStart"/>
            <w:r w:rsidRPr="00AE7F44">
              <w:rPr>
                <w:rFonts w:ascii="Calibri" w:hAnsi="Calibri" w:cs="Calibri"/>
                <w:b/>
                <w:bCs/>
                <w:sz w:val="20"/>
                <w:szCs w:val="20"/>
                <w:lang w:eastAsia="cs-CZ"/>
              </w:rPr>
              <w:t>ZoŽP</w:t>
            </w:r>
            <w:proofErr w:type="spellEnd"/>
            <w:r w:rsidRPr="00AE7F44">
              <w:rPr>
                <w:rFonts w:ascii="Calibri" w:hAnsi="Calibri" w:cs="Calibri"/>
                <w:b/>
                <w:bCs/>
                <w:sz w:val="20"/>
                <w:szCs w:val="20"/>
                <w:lang w:eastAsia="cs-CZ"/>
              </w:rPr>
              <w:t xml:space="preserve"> 2016</w:t>
            </w:r>
          </w:p>
        </w:tc>
        <w:tc>
          <w:tcPr>
            <w:tcW w:w="2133" w:type="pct"/>
            <w:shd w:val="clear" w:color="000000" w:fill="E5F1FF"/>
            <w:vAlign w:val="center"/>
            <w:hideMark/>
          </w:tcPr>
          <w:p w14:paraId="69E93BA5" w14:textId="77777777" w:rsidR="00395345" w:rsidRPr="00AE7F44" w:rsidRDefault="00395345" w:rsidP="00395345">
            <w:pPr>
              <w:jc w:val="center"/>
              <w:rPr>
                <w:rFonts w:ascii="Calibri" w:hAnsi="Calibri" w:cs="Calibri"/>
                <w:b/>
                <w:bCs/>
                <w:sz w:val="20"/>
                <w:szCs w:val="20"/>
                <w:lang w:eastAsia="cs-CZ"/>
              </w:rPr>
            </w:pPr>
            <w:r w:rsidRPr="00AE7F44">
              <w:rPr>
                <w:rFonts w:ascii="Calibri" w:hAnsi="Calibri" w:cs="Calibri"/>
                <w:b/>
                <w:bCs/>
                <w:sz w:val="20"/>
                <w:szCs w:val="20"/>
                <w:lang w:eastAsia="cs-CZ"/>
              </w:rPr>
              <w:t>Stav plnění – analýza NKÚ</w:t>
            </w:r>
          </w:p>
        </w:tc>
      </w:tr>
      <w:tr w:rsidR="007734B4" w:rsidRPr="00AE7F44" w14:paraId="1FD9BC29" w14:textId="77777777" w:rsidTr="00BD5CDC">
        <w:trPr>
          <w:trHeight w:val="227"/>
          <w:jc w:val="center"/>
        </w:trPr>
        <w:tc>
          <w:tcPr>
            <w:tcW w:w="292" w:type="pct"/>
            <w:shd w:val="clear" w:color="auto" w:fill="auto"/>
            <w:noWrap/>
            <w:vAlign w:val="center"/>
            <w:hideMark/>
          </w:tcPr>
          <w:p w14:paraId="6AE11259"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AA3</w:t>
            </w:r>
          </w:p>
        </w:tc>
        <w:tc>
          <w:tcPr>
            <w:tcW w:w="1725" w:type="pct"/>
            <w:shd w:val="clear" w:color="auto" w:fill="auto"/>
            <w:vAlign w:val="center"/>
            <w:hideMark/>
          </w:tcPr>
          <w:p w14:paraId="5789E2B5"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Podpora urychlení obměny vozového parku osobních vozidel</w:t>
            </w:r>
          </w:p>
        </w:tc>
        <w:tc>
          <w:tcPr>
            <w:tcW w:w="849" w:type="pct"/>
            <w:shd w:val="clear" w:color="000000" w:fill="FFC7CE"/>
            <w:vAlign w:val="center"/>
            <w:hideMark/>
          </w:tcPr>
          <w:p w14:paraId="5FCB15B0" w14:textId="77777777" w:rsidR="00395345" w:rsidRPr="00AE7F44" w:rsidRDefault="00395345" w:rsidP="00395345">
            <w:pPr>
              <w:jc w:val="center"/>
              <w:rPr>
                <w:rFonts w:ascii="Calibri" w:hAnsi="Calibri" w:cs="Calibri"/>
                <w:b/>
                <w:bCs/>
                <w:color w:val="9C0006"/>
                <w:sz w:val="20"/>
                <w:szCs w:val="20"/>
                <w:lang w:eastAsia="cs-CZ"/>
              </w:rPr>
            </w:pPr>
            <w:r w:rsidRPr="00AE7F44">
              <w:rPr>
                <w:rFonts w:ascii="Calibri" w:hAnsi="Calibri" w:cs="Calibri"/>
                <w:b/>
                <w:bCs/>
                <w:color w:val="9C0006"/>
                <w:sz w:val="20"/>
                <w:szCs w:val="20"/>
                <w:lang w:eastAsia="cs-CZ"/>
              </w:rPr>
              <w:t>Nesplněno</w:t>
            </w:r>
          </w:p>
        </w:tc>
        <w:tc>
          <w:tcPr>
            <w:tcW w:w="2133" w:type="pct"/>
            <w:shd w:val="clear" w:color="000000" w:fill="FFC7CE"/>
            <w:vAlign w:val="center"/>
            <w:hideMark/>
          </w:tcPr>
          <w:p w14:paraId="0D0BFC46" w14:textId="77777777" w:rsidR="00395345" w:rsidRPr="00AE7F44" w:rsidRDefault="00395345" w:rsidP="00395345">
            <w:pPr>
              <w:jc w:val="center"/>
              <w:rPr>
                <w:rFonts w:ascii="Calibri" w:hAnsi="Calibri" w:cs="Calibri"/>
                <w:b/>
                <w:bCs/>
                <w:color w:val="9C0006"/>
                <w:sz w:val="20"/>
                <w:szCs w:val="20"/>
                <w:lang w:eastAsia="cs-CZ"/>
              </w:rPr>
            </w:pPr>
            <w:r w:rsidRPr="00AE7F44">
              <w:rPr>
                <w:rFonts w:ascii="Calibri" w:hAnsi="Calibri" w:cs="Calibri"/>
                <w:b/>
                <w:bCs/>
                <w:color w:val="9C0006"/>
                <w:sz w:val="20"/>
                <w:szCs w:val="20"/>
                <w:lang w:eastAsia="cs-CZ"/>
              </w:rPr>
              <w:t>Nesplněno</w:t>
            </w:r>
          </w:p>
        </w:tc>
      </w:tr>
      <w:tr w:rsidR="007734B4" w:rsidRPr="00AE7F44" w14:paraId="28A2049E" w14:textId="77777777" w:rsidTr="00BD5CDC">
        <w:trPr>
          <w:trHeight w:val="227"/>
          <w:jc w:val="center"/>
        </w:trPr>
        <w:tc>
          <w:tcPr>
            <w:tcW w:w="292" w:type="pct"/>
            <w:shd w:val="clear" w:color="auto" w:fill="auto"/>
            <w:noWrap/>
            <w:vAlign w:val="center"/>
            <w:hideMark/>
          </w:tcPr>
          <w:p w14:paraId="7F14233E"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AA5</w:t>
            </w:r>
          </w:p>
        </w:tc>
        <w:tc>
          <w:tcPr>
            <w:tcW w:w="1725" w:type="pct"/>
            <w:shd w:val="clear" w:color="auto" w:fill="auto"/>
            <w:vAlign w:val="center"/>
            <w:hideMark/>
          </w:tcPr>
          <w:p w14:paraId="42990420" w14:textId="54C20CFC" w:rsidR="00395345" w:rsidRPr="00AE7F44" w:rsidRDefault="00395345" w:rsidP="00701CF4">
            <w:pPr>
              <w:rPr>
                <w:rFonts w:ascii="Calibri" w:hAnsi="Calibri" w:cs="Calibri"/>
                <w:sz w:val="20"/>
                <w:szCs w:val="20"/>
                <w:lang w:eastAsia="cs-CZ"/>
              </w:rPr>
            </w:pPr>
            <w:r w:rsidRPr="00AE7F44">
              <w:rPr>
                <w:rFonts w:ascii="Calibri" w:hAnsi="Calibri" w:cs="Calibri"/>
                <w:sz w:val="20"/>
                <w:szCs w:val="20"/>
                <w:lang w:eastAsia="cs-CZ"/>
              </w:rPr>
              <w:t>Stimulace využívání alternativních pohonů v</w:t>
            </w:r>
            <w:r w:rsidR="007734B4" w:rsidRPr="00AE7F44">
              <w:rPr>
                <w:rFonts w:ascii="Calibri" w:hAnsi="Calibri" w:cs="Calibri"/>
                <w:sz w:val="20"/>
                <w:szCs w:val="20"/>
                <w:lang w:eastAsia="cs-CZ"/>
              </w:rPr>
              <w:t> </w:t>
            </w:r>
            <w:r w:rsidRPr="00AE7F44">
              <w:rPr>
                <w:rFonts w:ascii="Calibri" w:hAnsi="Calibri" w:cs="Calibri"/>
                <w:sz w:val="20"/>
                <w:szCs w:val="20"/>
                <w:lang w:eastAsia="cs-CZ"/>
              </w:rPr>
              <w:t>silniční nákladní dopravě prostřednictvím snížené sazby silniční daně</w:t>
            </w:r>
          </w:p>
        </w:tc>
        <w:tc>
          <w:tcPr>
            <w:tcW w:w="849" w:type="pct"/>
            <w:shd w:val="clear" w:color="000000" w:fill="FFEB9C"/>
            <w:vAlign w:val="center"/>
            <w:hideMark/>
          </w:tcPr>
          <w:p w14:paraId="03400A2F" w14:textId="77777777" w:rsidR="00395345" w:rsidRPr="00AE7F44" w:rsidRDefault="00395345" w:rsidP="00395345">
            <w:pPr>
              <w:jc w:val="center"/>
              <w:rPr>
                <w:rFonts w:ascii="Calibri" w:hAnsi="Calibri" w:cs="Calibri"/>
                <w:color w:val="9C6500"/>
                <w:sz w:val="20"/>
                <w:szCs w:val="20"/>
                <w:lang w:eastAsia="cs-CZ"/>
              </w:rPr>
            </w:pPr>
            <w:r w:rsidRPr="00AE7F44">
              <w:rPr>
                <w:rFonts w:ascii="Calibri" w:hAnsi="Calibri" w:cs="Calibri"/>
                <w:color w:val="9C6500"/>
                <w:sz w:val="20"/>
                <w:szCs w:val="20"/>
                <w:lang w:eastAsia="cs-CZ"/>
              </w:rPr>
              <w:t xml:space="preserve">Problematika je řešena NAP </w:t>
            </w:r>
            <w:r w:rsidRPr="00B1650A">
              <w:rPr>
                <w:rFonts w:ascii="Calibri" w:hAnsi="Calibri" w:cs="Calibri"/>
                <w:i/>
                <w:color w:val="9C6500"/>
                <w:sz w:val="20"/>
                <w:szCs w:val="20"/>
                <w:lang w:eastAsia="cs-CZ"/>
              </w:rPr>
              <w:t>Čistá mobilita</w:t>
            </w:r>
          </w:p>
        </w:tc>
        <w:tc>
          <w:tcPr>
            <w:tcW w:w="2133" w:type="pct"/>
            <w:shd w:val="clear" w:color="000000" w:fill="FFC7CE"/>
            <w:vAlign w:val="center"/>
            <w:hideMark/>
          </w:tcPr>
          <w:p w14:paraId="4AD35649" w14:textId="77777777" w:rsidR="00395345" w:rsidRPr="00AE7F44" w:rsidRDefault="00395345" w:rsidP="00395345">
            <w:pPr>
              <w:jc w:val="center"/>
              <w:rPr>
                <w:rFonts w:ascii="Calibri" w:hAnsi="Calibri" w:cs="Calibri"/>
                <w:b/>
                <w:bCs/>
                <w:color w:val="9C0006"/>
                <w:sz w:val="20"/>
                <w:szCs w:val="20"/>
                <w:lang w:eastAsia="cs-CZ"/>
              </w:rPr>
            </w:pPr>
            <w:r w:rsidRPr="00AE7F44">
              <w:rPr>
                <w:rFonts w:ascii="Calibri" w:hAnsi="Calibri" w:cs="Calibri"/>
                <w:b/>
                <w:bCs/>
                <w:color w:val="9C0006"/>
                <w:sz w:val="20"/>
                <w:szCs w:val="20"/>
                <w:lang w:eastAsia="cs-CZ"/>
              </w:rPr>
              <w:t>Nesplněno</w:t>
            </w:r>
          </w:p>
        </w:tc>
      </w:tr>
      <w:tr w:rsidR="007734B4" w:rsidRPr="00AE7F44" w14:paraId="52F27723" w14:textId="77777777" w:rsidTr="00BD5CDC">
        <w:trPr>
          <w:trHeight w:val="227"/>
          <w:jc w:val="center"/>
        </w:trPr>
        <w:tc>
          <w:tcPr>
            <w:tcW w:w="292" w:type="pct"/>
            <w:shd w:val="clear" w:color="auto" w:fill="auto"/>
            <w:noWrap/>
            <w:vAlign w:val="center"/>
            <w:hideMark/>
          </w:tcPr>
          <w:p w14:paraId="6A97E090"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AA6</w:t>
            </w:r>
          </w:p>
        </w:tc>
        <w:tc>
          <w:tcPr>
            <w:tcW w:w="1725" w:type="pct"/>
            <w:shd w:val="clear" w:color="auto" w:fill="auto"/>
            <w:vAlign w:val="center"/>
            <w:hideMark/>
          </w:tcPr>
          <w:p w14:paraId="5F8ED2DF" w14:textId="0D5AC22B" w:rsidR="00395345" w:rsidRPr="00AE7F44" w:rsidRDefault="009B2D08" w:rsidP="00395345">
            <w:pPr>
              <w:rPr>
                <w:rFonts w:ascii="Calibri" w:hAnsi="Calibri" w:cs="Calibri"/>
                <w:sz w:val="20"/>
                <w:szCs w:val="20"/>
                <w:lang w:eastAsia="cs-CZ"/>
              </w:rPr>
            </w:pPr>
            <w:r>
              <w:rPr>
                <w:rFonts w:ascii="Calibri" w:hAnsi="Calibri" w:cs="Calibri"/>
                <w:sz w:val="20"/>
                <w:szCs w:val="20"/>
                <w:lang w:eastAsia="cs-CZ"/>
              </w:rPr>
              <w:t>Podpora nákupu vozidel s </w:t>
            </w:r>
            <w:r w:rsidR="00395345" w:rsidRPr="00AE7F44">
              <w:rPr>
                <w:rFonts w:ascii="Calibri" w:hAnsi="Calibri" w:cs="Calibri"/>
                <w:sz w:val="20"/>
                <w:szCs w:val="20"/>
                <w:lang w:eastAsia="cs-CZ"/>
              </w:rPr>
              <w:t>alternativním pohonem pro veřejnou osobní dopravu</w:t>
            </w:r>
          </w:p>
        </w:tc>
        <w:tc>
          <w:tcPr>
            <w:tcW w:w="849" w:type="pct"/>
            <w:shd w:val="clear" w:color="000000" w:fill="C6EFCE"/>
            <w:vAlign w:val="center"/>
            <w:hideMark/>
          </w:tcPr>
          <w:p w14:paraId="053C97B2"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c>
          <w:tcPr>
            <w:tcW w:w="2133" w:type="pct"/>
            <w:shd w:val="clear" w:color="000000" w:fill="FFEB9C"/>
            <w:vAlign w:val="center"/>
            <w:hideMark/>
          </w:tcPr>
          <w:p w14:paraId="0094439C" w14:textId="7718863D" w:rsidR="00395345" w:rsidRPr="00AE7F44" w:rsidRDefault="00395345" w:rsidP="00395345">
            <w:pPr>
              <w:jc w:val="center"/>
              <w:rPr>
                <w:rFonts w:ascii="Calibri" w:hAnsi="Calibri" w:cs="Calibri"/>
                <w:color w:val="9C6500"/>
                <w:sz w:val="20"/>
                <w:szCs w:val="20"/>
                <w:lang w:eastAsia="cs-CZ"/>
              </w:rPr>
            </w:pPr>
            <w:r w:rsidRPr="00AE7F44">
              <w:rPr>
                <w:rFonts w:ascii="Calibri" w:hAnsi="Calibri" w:cs="Calibri"/>
                <w:color w:val="9C6500"/>
                <w:sz w:val="20"/>
                <w:szCs w:val="20"/>
                <w:lang w:eastAsia="cs-CZ"/>
              </w:rPr>
              <w:t>Opatření nebylo předmětem kontroly NKÚ</w:t>
            </w:r>
            <w:r w:rsidR="009B2D08">
              <w:rPr>
                <w:rFonts w:ascii="Calibri" w:hAnsi="Calibri" w:cs="Calibri"/>
                <w:color w:val="9C6500"/>
                <w:sz w:val="20"/>
                <w:szCs w:val="20"/>
                <w:lang w:eastAsia="cs-CZ"/>
              </w:rPr>
              <w:t>.</w:t>
            </w:r>
            <w:r w:rsidRPr="00AE7F44">
              <w:rPr>
                <w:rFonts w:ascii="Calibri" w:hAnsi="Calibri" w:cs="Calibri"/>
                <w:color w:val="9C6500"/>
                <w:sz w:val="20"/>
                <w:szCs w:val="20"/>
                <w:lang w:eastAsia="cs-CZ"/>
              </w:rPr>
              <w:br/>
            </w:r>
            <w:r w:rsidRPr="00AE7F44">
              <w:rPr>
                <w:rFonts w:ascii="Calibri" w:hAnsi="Calibri" w:cs="Calibri"/>
                <w:b/>
                <w:bCs/>
                <w:color w:val="9C6500"/>
                <w:sz w:val="20"/>
                <w:szCs w:val="20"/>
                <w:lang w:eastAsia="cs-CZ"/>
              </w:rPr>
              <w:t>Plněno průběžně</w:t>
            </w:r>
            <w:r w:rsidRPr="00AE7F44">
              <w:rPr>
                <w:rFonts w:ascii="Calibri" w:hAnsi="Calibri" w:cs="Calibri"/>
                <w:color w:val="9C6500"/>
                <w:sz w:val="20"/>
                <w:szCs w:val="20"/>
                <w:lang w:eastAsia="cs-CZ"/>
              </w:rPr>
              <w:t xml:space="preserve"> v rámci podpory z IROP.</w:t>
            </w:r>
          </w:p>
        </w:tc>
      </w:tr>
      <w:tr w:rsidR="007734B4" w:rsidRPr="00AE7F44" w14:paraId="60D2CF3D" w14:textId="77777777" w:rsidTr="00BD5CDC">
        <w:trPr>
          <w:trHeight w:val="227"/>
          <w:jc w:val="center"/>
        </w:trPr>
        <w:tc>
          <w:tcPr>
            <w:tcW w:w="292" w:type="pct"/>
            <w:shd w:val="clear" w:color="auto" w:fill="auto"/>
            <w:noWrap/>
            <w:vAlign w:val="center"/>
            <w:hideMark/>
          </w:tcPr>
          <w:p w14:paraId="3AD14DC9"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AA7</w:t>
            </w:r>
          </w:p>
        </w:tc>
        <w:tc>
          <w:tcPr>
            <w:tcW w:w="1725" w:type="pct"/>
            <w:shd w:val="clear" w:color="auto" w:fill="auto"/>
            <w:vAlign w:val="center"/>
            <w:hideMark/>
          </w:tcPr>
          <w:p w14:paraId="0AA1F5AF"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Podpora výstavby čerpací a dobíjecí infrastruktury pro alternativní pohony v dopravě</w:t>
            </w:r>
          </w:p>
        </w:tc>
        <w:tc>
          <w:tcPr>
            <w:tcW w:w="849" w:type="pct"/>
            <w:shd w:val="clear" w:color="000000" w:fill="C6EFCE"/>
            <w:vAlign w:val="center"/>
            <w:hideMark/>
          </w:tcPr>
          <w:p w14:paraId="025AF001"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c>
          <w:tcPr>
            <w:tcW w:w="2133" w:type="pct"/>
            <w:shd w:val="clear" w:color="000000" w:fill="FFEB9C"/>
            <w:vAlign w:val="center"/>
            <w:hideMark/>
          </w:tcPr>
          <w:p w14:paraId="75B5F707" w14:textId="2F2A6429" w:rsidR="00395345" w:rsidRPr="00AE7F44" w:rsidRDefault="00395345" w:rsidP="00395345">
            <w:pPr>
              <w:jc w:val="center"/>
              <w:rPr>
                <w:rFonts w:ascii="Calibri" w:hAnsi="Calibri" w:cs="Calibri"/>
                <w:color w:val="9C6500"/>
                <w:sz w:val="20"/>
                <w:szCs w:val="20"/>
                <w:lang w:eastAsia="cs-CZ"/>
              </w:rPr>
            </w:pPr>
            <w:r w:rsidRPr="00AE7F44">
              <w:rPr>
                <w:rFonts w:ascii="Calibri" w:hAnsi="Calibri" w:cs="Calibri"/>
                <w:color w:val="9C6500"/>
                <w:sz w:val="20"/>
                <w:szCs w:val="20"/>
                <w:lang w:eastAsia="cs-CZ"/>
              </w:rPr>
              <w:t>Opatření nebylo předmětem kontroly NKÚ</w:t>
            </w:r>
            <w:r w:rsidR="009B2D08">
              <w:rPr>
                <w:rFonts w:ascii="Calibri" w:hAnsi="Calibri" w:cs="Calibri"/>
                <w:color w:val="9C6500"/>
                <w:sz w:val="20"/>
                <w:szCs w:val="20"/>
                <w:lang w:eastAsia="cs-CZ"/>
              </w:rPr>
              <w:t>.</w:t>
            </w:r>
            <w:r w:rsidRPr="00AE7F44">
              <w:rPr>
                <w:rFonts w:ascii="Calibri" w:hAnsi="Calibri" w:cs="Calibri"/>
                <w:color w:val="9C6500"/>
                <w:sz w:val="20"/>
                <w:szCs w:val="20"/>
                <w:lang w:eastAsia="cs-CZ"/>
              </w:rPr>
              <w:br/>
            </w:r>
            <w:r w:rsidRPr="00AE7F44">
              <w:rPr>
                <w:rFonts w:ascii="Calibri" w:hAnsi="Calibri" w:cs="Calibri"/>
                <w:b/>
                <w:bCs/>
                <w:color w:val="9C6500"/>
                <w:sz w:val="20"/>
                <w:szCs w:val="20"/>
                <w:lang w:eastAsia="cs-CZ"/>
              </w:rPr>
              <w:t>Plněno průběžně</w:t>
            </w:r>
            <w:r w:rsidRPr="00AE7F44">
              <w:rPr>
                <w:rFonts w:ascii="Calibri" w:hAnsi="Calibri" w:cs="Calibri"/>
                <w:color w:val="9C6500"/>
                <w:sz w:val="20"/>
                <w:szCs w:val="20"/>
                <w:lang w:eastAsia="cs-CZ"/>
              </w:rPr>
              <w:t xml:space="preserve"> v rámci podpory z OPD.</w:t>
            </w:r>
          </w:p>
        </w:tc>
      </w:tr>
      <w:tr w:rsidR="007734B4" w:rsidRPr="00AE7F44" w14:paraId="48D58DC1" w14:textId="77777777" w:rsidTr="00BD5CDC">
        <w:trPr>
          <w:trHeight w:val="227"/>
          <w:jc w:val="center"/>
        </w:trPr>
        <w:tc>
          <w:tcPr>
            <w:tcW w:w="292" w:type="pct"/>
            <w:shd w:val="clear" w:color="auto" w:fill="auto"/>
            <w:noWrap/>
            <w:vAlign w:val="center"/>
            <w:hideMark/>
          </w:tcPr>
          <w:p w14:paraId="12654622"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AA8</w:t>
            </w:r>
          </w:p>
        </w:tc>
        <w:tc>
          <w:tcPr>
            <w:tcW w:w="1725" w:type="pct"/>
            <w:shd w:val="clear" w:color="auto" w:fill="auto"/>
            <w:vAlign w:val="center"/>
            <w:hideMark/>
          </w:tcPr>
          <w:p w14:paraId="52403A33"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Podpora nákupu osobních vozidel šetrných k životnímu prostředí</w:t>
            </w:r>
          </w:p>
        </w:tc>
        <w:tc>
          <w:tcPr>
            <w:tcW w:w="849" w:type="pct"/>
            <w:shd w:val="clear" w:color="000000" w:fill="C6EFCE"/>
            <w:vAlign w:val="center"/>
            <w:hideMark/>
          </w:tcPr>
          <w:p w14:paraId="0505AB0B"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Splněno</w:t>
            </w:r>
          </w:p>
        </w:tc>
        <w:tc>
          <w:tcPr>
            <w:tcW w:w="2133" w:type="pct"/>
            <w:shd w:val="clear" w:color="000000" w:fill="FFC7CE"/>
            <w:vAlign w:val="center"/>
            <w:hideMark/>
          </w:tcPr>
          <w:p w14:paraId="457F89C8" w14:textId="77777777" w:rsidR="00395345" w:rsidRPr="00AE7F44" w:rsidRDefault="00395345" w:rsidP="00395345">
            <w:pPr>
              <w:jc w:val="center"/>
              <w:rPr>
                <w:rFonts w:ascii="Calibri" w:hAnsi="Calibri" w:cs="Calibri"/>
                <w:b/>
                <w:bCs/>
                <w:color w:val="9C0006"/>
                <w:sz w:val="20"/>
                <w:szCs w:val="20"/>
                <w:lang w:eastAsia="cs-CZ"/>
              </w:rPr>
            </w:pPr>
            <w:r w:rsidRPr="00AE7F44">
              <w:rPr>
                <w:rFonts w:ascii="Calibri" w:hAnsi="Calibri" w:cs="Calibri"/>
                <w:b/>
                <w:bCs/>
                <w:color w:val="9C0006"/>
                <w:sz w:val="20"/>
                <w:szCs w:val="20"/>
                <w:lang w:eastAsia="cs-CZ"/>
              </w:rPr>
              <w:t>Nesplněno</w:t>
            </w:r>
          </w:p>
        </w:tc>
      </w:tr>
      <w:tr w:rsidR="007734B4" w:rsidRPr="00AE7F44" w14:paraId="19BE7FBF" w14:textId="77777777" w:rsidTr="00BD5CDC">
        <w:trPr>
          <w:trHeight w:val="227"/>
          <w:jc w:val="center"/>
        </w:trPr>
        <w:tc>
          <w:tcPr>
            <w:tcW w:w="292" w:type="pct"/>
            <w:shd w:val="clear" w:color="auto" w:fill="auto"/>
            <w:noWrap/>
            <w:vAlign w:val="center"/>
            <w:hideMark/>
          </w:tcPr>
          <w:p w14:paraId="43AC059F"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AA9</w:t>
            </w:r>
          </w:p>
        </w:tc>
        <w:tc>
          <w:tcPr>
            <w:tcW w:w="1725" w:type="pct"/>
            <w:shd w:val="clear" w:color="auto" w:fill="auto"/>
            <w:vAlign w:val="center"/>
            <w:hideMark/>
          </w:tcPr>
          <w:p w14:paraId="39607CCE" w14:textId="77777777" w:rsidR="00395345" w:rsidRPr="00AE7F44" w:rsidRDefault="00395345" w:rsidP="007734B4">
            <w:pPr>
              <w:rPr>
                <w:rFonts w:ascii="Calibri" w:hAnsi="Calibri" w:cs="Calibri"/>
                <w:sz w:val="20"/>
                <w:szCs w:val="20"/>
                <w:lang w:eastAsia="cs-CZ"/>
              </w:rPr>
            </w:pPr>
            <w:r w:rsidRPr="00AE7F44">
              <w:rPr>
                <w:rFonts w:ascii="Calibri" w:hAnsi="Calibri" w:cs="Calibri"/>
                <w:sz w:val="20"/>
                <w:szCs w:val="20"/>
                <w:lang w:eastAsia="cs-CZ"/>
              </w:rPr>
              <w:t>Zvýšení maximální hranice poplatku za povolení k vjezdu motorových vozidel do vybraných míst a</w:t>
            </w:r>
            <w:r w:rsidR="007734B4" w:rsidRPr="00AE7F44">
              <w:rPr>
                <w:rFonts w:ascii="Calibri" w:hAnsi="Calibri" w:cs="Calibri"/>
                <w:sz w:val="20"/>
                <w:szCs w:val="20"/>
                <w:lang w:eastAsia="cs-CZ"/>
              </w:rPr>
              <w:t> </w:t>
            </w:r>
            <w:r w:rsidRPr="00AE7F44">
              <w:rPr>
                <w:rFonts w:ascii="Calibri" w:hAnsi="Calibri" w:cs="Calibri"/>
                <w:sz w:val="20"/>
                <w:szCs w:val="20"/>
                <w:lang w:eastAsia="cs-CZ"/>
              </w:rPr>
              <w:t>částí měst</w:t>
            </w:r>
          </w:p>
        </w:tc>
        <w:tc>
          <w:tcPr>
            <w:tcW w:w="849" w:type="pct"/>
            <w:shd w:val="clear" w:color="000000" w:fill="C6EFCE"/>
            <w:vAlign w:val="center"/>
            <w:hideMark/>
          </w:tcPr>
          <w:p w14:paraId="45A0AEB9"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Splněno</w:t>
            </w:r>
          </w:p>
        </w:tc>
        <w:tc>
          <w:tcPr>
            <w:tcW w:w="2133" w:type="pct"/>
            <w:shd w:val="clear" w:color="000000" w:fill="C6EFCE"/>
            <w:vAlign w:val="center"/>
            <w:hideMark/>
          </w:tcPr>
          <w:p w14:paraId="405BB86A"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Splněno</w:t>
            </w:r>
          </w:p>
        </w:tc>
      </w:tr>
      <w:tr w:rsidR="007734B4" w:rsidRPr="00AE7F44" w14:paraId="4F60C821" w14:textId="77777777" w:rsidTr="00BD5CDC">
        <w:trPr>
          <w:trHeight w:val="227"/>
          <w:jc w:val="center"/>
        </w:trPr>
        <w:tc>
          <w:tcPr>
            <w:tcW w:w="292" w:type="pct"/>
            <w:shd w:val="clear" w:color="auto" w:fill="auto"/>
            <w:noWrap/>
            <w:vAlign w:val="center"/>
            <w:hideMark/>
          </w:tcPr>
          <w:p w14:paraId="3C376F92"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AA10</w:t>
            </w:r>
          </w:p>
        </w:tc>
        <w:tc>
          <w:tcPr>
            <w:tcW w:w="1725" w:type="pct"/>
            <w:shd w:val="clear" w:color="auto" w:fill="auto"/>
            <w:noWrap/>
            <w:vAlign w:val="center"/>
            <w:hideMark/>
          </w:tcPr>
          <w:p w14:paraId="35BFFBD2"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 xml:space="preserve">Podpora zavádění </w:t>
            </w:r>
            <w:proofErr w:type="spellStart"/>
            <w:r w:rsidRPr="00AE7F44">
              <w:rPr>
                <w:rFonts w:ascii="Calibri" w:hAnsi="Calibri" w:cs="Calibri"/>
                <w:sz w:val="20"/>
                <w:szCs w:val="20"/>
                <w:lang w:eastAsia="cs-CZ"/>
              </w:rPr>
              <w:t>nízkoemisních</w:t>
            </w:r>
            <w:proofErr w:type="spellEnd"/>
            <w:r w:rsidRPr="00AE7F44">
              <w:rPr>
                <w:rFonts w:ascii="Calibri" w:hAnsi="Calibri" w:cs="Calibri"/>
                <w:sz w:val="20"/>
                <w:szCs w:val="20"/>
                <w:lang w:eastAsia="cs-CZ"/>
              </w:rPr>
              <w:t xml:space="preserve"> zón</w:t>
            </w:r>
          </w:p>
        </w:tc>
        <w:tc>
          <w:tcPr>
            <w:tcW w:w="849" w:type="pct"/>
            <w:shd w:val="clear" w:color="000000" w:fill="C6EFCE"/>
            <w:vAlign w:val="center"/>
            <w:hideMark/>
          </w:tcPr>
          <w:p w14:paraId="212C8194"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c>
          <w:tcPr>
            <w:tcW w:w="2133" w:type="pct"/>
            <w:shd w:val="clear" w:color="auto" w:fill="C6EFCE"/>
            <w:vAlign w:val="center"/>
            <w:hideMark/>
          </w:tcPr>
          <w:p w14:paraId="4373DFE2" w14:textId="5961D02C" w:rsidR="00395345" w:rsidRPr="00AE7F44" w:rsidRDefault="00395345" w:rsidP="00395345">
            <w:pPr>
              <w:jc w:val="center"/>
              <w:rPr>
                <w:rFonts w:ascii="Calibri" w:hAnsi="Calibri" w:cs="Calibri"/>
                <w:color w:val="9C0006"/>
                <w:sz w:val="20"/>
                <w:szCs w:val="20"/>
                <w:lang w:eastAsia="cs-CZ"/>
              </w:rPr>
            </w:pPr>
            <w:r w:rsidRPr="00AE7F44">
              <w:rPr>
                <w:rFonts w:ascii="Calibri" w:hAnsi="Calibri" w:cs="Calibri"/>
                <w:b/>
                <w:bCs/>
                <w:color w:val="FF0000"/>
                <w:sz w:val="20"/>
                <w:szCs w:val="20"/>
                <w:lang w:eastAsia="cs-CZ"/>
              </w:rPr>
              <w:t>Plněno průběžně</w:t>
            </w:r>
            <w:r w:rsidR="009B2D08">
              <w:rPr>
                <w:rFonts w:ascii="Calibri" w:hAnsi="Calibri" w:cs="Calibri"/>
                <w:b/>
                <w:bCs/>
                <w:color w:val="FF0000"/>
                <w:sz w:val="20"/>
                <w:szCs w:val="20"/>
                <w:lang w:eastAsia="cs-CZ"/>
              </w:rPr>
              <w:t>.</w:t>
            </w:r>
            <w:r w:rsidRPr="00AE7F44">
              <w:rPr>
                <w:rFonts w:ascii="Calibri" w:hAnsi="Calibri" w:cs="Calibri"/>
                <w:color w:val="FF0000"/>
                <w:sz w:val="20"/>
                <w:szCs w:val="20"/>
                <w:lang w:eastAsia="cs-CZ"/>
              </w:rPr>
              <w:br/>
              <w:t xml:space="preserve">(Zatím však nebyla zavedená žádná </w:t>
            </w:r>
            <w:proofErr w:type="spellStart"/>
            <w:r w:rsidRPr="00AE7F44">
              <w:rPr>
                <w:rFonts w:ascii="Calibri" w:hAnsi="Calibri" w:cs="Calibri"/>
                <w:color w:val="FF0000"/>
                <w:sz w:val="20"/>
                <w:szCs w:val="20"/>
                <w:lang w:eastAsia="cs-CZ"/>
              </w:rPr>
              <w:t>nízkoemisní</w:t>
            </w:r>
            <w:proofErr w:type="spellEnd"/>
            <w:r w:rsidRPr="00AE7F44">
              <w:rPr>
                <w:rFonts w:ascii="Calibri" w:hAnsi="Calibri" w:cs="Calibri"/>
                <w:color w:val="FF0000"/>
                <w:sz w:val="20"/>
                <w:szCs w:val="20"/>
                <w:lang w:eastAsia="cs-CZ"/>
              </w:rPr>
              <w:t xml:space="preserve"> zóna</w:t>
            </w:r>
            <w:r w:rsidR="009B2D08">
              <w:rPr>
                <w:rFonts w:ascii="Calibri" w:hAnsi="Calibri" w:cs="Calibri"/>
                <w:color w:val="FF0000"/>
                <w:sz w:val="20"/>
                <w:szCs w:val="20"/>
                <w:lang w:eastAsia="cs-CZ"/>
              </w:rPr>
              <w:t>.</w:t>
            </w:r>
            <w:r w:rsidRPr="00AE7F44">
              <w:rPr>
                <w:rFonts w:ascii="Calibri" w:hAnsi="Calibri" w:cs="Calibri"/>
                <w:color w:val="FF0000"/>
                <w:sz w:val="20"/>
                <w:szCs w:val="20"/>
                <w:lang w:eastAsia="cs-CZ"/>
              </w:rPr>
              <w:t>)</w:t>
            </w:r>
          </w:p>
        </w:tc>
      </w:tr>
      <w:tr w:rsidR="007734B4" w:rsidRPr="00AE7F44" w14:paraId="6A4E01A6" w14:textId="77777777" w:rsidTr="00BD5CDC">
        <w:trPr>
          <w:trHeight w:val="227"/>
          <w:jc w:val="center"/>
        </w:trPr>
        <w:tc>
          <w:tcPr>
            <w:tcW w:w="292" w:type="pct"/>
            <w:shd w:val="clear" w:color="auto" w:fill="auto"/>
            <w:noWrap/>
            <w:vAlign w:val="center"/>
            <w:hideMark/>
          </w:tcPr>
          <w:p w14:paraId="4EEA6A76"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AA11</w:t>
            </w:r>
          </w:p>
        </w:tc>
        <w:tc>
          <w:tcPr>
            <w:tcW w:w="1725" w:type="pct"/>
            <w:shd w:val="clear" w:color="auto" w:fill="auto"/>
            <w:vAlign w:val="center"/>
            <w:hideMark/>
          </w:tcPr>
          <w:p w14:paraId="12030DDB" w14:textId="606FB7A6" w:rsidR="00395345" w:rsidRPr="00AE7F44" w:rsidRDefault="00395345" w:rsidP="009B2D08">
            <w:pPr>
              <w:rPr>
                <w:rFonts w:ascii="Calibri" w:hAnsi="Calibri" w:cs="Calibri"/>
                <w:sz w:val="20"/>
                <w:szCs w:val="20"/>
                <w:lang w:eastAsia="cs-CZ"/>
              </w:rPr>
            </w:pPr>
            <w:r w:rsidRPr="00AE7F44">
              <w:rPr>
                <w:rFonts w:ascii="Calibri" w:hAnsi="Calibri" w:cs="Calibri"/>
                <w:sz w:val="20"/>
                <w:szCs w:val="20"/>
                <w:lang w:eastAsia="cs-CZ"/>
              </w:rPr>
              <w:t>Racionalizace zpoplatnění komunikací s</w:t>
            </w:r>
            <w:r w:rsidR="009B2D08">
              <w:rPr>
                <w:rFonts w:ascii="Calibri" w:hAnsi="Calibri" w:cs="Calibri"/>
                <w:sz w:val="20"/>
                <w:szCs w:val="20"/>
                <w:lang w:eastAsia="cs-CZ"/>
              </w:rPr>
              <w:t> </w:t>
            </w:r>
            <w:r w:rsidRPr="00AE7F44">
              <w:rPr>
                <w:rFonts w:ascii="Calibri" w:hAnsi="Calibri" w:cs="Calibri"/>
                <w:sz w:val="20"/>
                <w:szCs w:val="20"/>
                <w:lang w:eastAsia="cs-CZ"/>
              </w:rPr>
              <w:t>ohledem na dopady dopravy na kvalitu ovzduší v dané lokalitě</w:t>
            </w:r>
          </w:p>
        </w:tc>
        <w:tc>
          <w:tcPr>
            <w:tcW w:w="849" w:type="pct"/>
            <w:shd w:val="clear" w:color="000000" w:fill="C6EFCE"/>
            <w:vAlign w:val="center"/>
            <w:hideMark/>
          </w:tcPr>
          <w:p w14:paraId="1A374DFF"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Splněno</w:t>
            </w:r>
          </w:p>
        </w:tc>
        <w:tc>
          <w:tcPr>
            <w:tcW w:w="2133" w:type="pct"/>
            <w:shd w:val="clear" w:color="000000" w:fill="C6EFCE"/>
            <w:vAlign w:val="center"/>
            <w:hideMark/>
          </w:tcPr>
          <w:p w14:paraId="56B7F565"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Splněno</w:t>
            </w:r>
          </w:p>
        </w:tc>
      </w:tr>
      <w:tr w:rsidR="007734B4" w:rsidRPr="00AE7F44" w14:paraId="7627EBC3" w14:textId="77777777" w:rsidTr="00BD5CDC">
        <w:trPr>
          <w:trHeight w:val="227"/>
          <w:jc w:val="center"/>
        </w:trPr>
        <w:tc>
          <w:tcPr>
            <w:tcW w:w="292" w:type="pct"/>
            <w:shd w:val="clear" w:color="auto" w:fill="auto"/>
            <w:vAlign w:val="center"/>
            <w:hideMark/>
          </w:tcPr>
          <w:p w14:paraId="4DA234F7"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BA1 CA1</w:t>
            </w:r>
          </w:p>
        </w:tc>
        <w:tc>
          <w:tcPr>
            <w:tcW w:w="1725" w:type="pct"/>
            <w:shd w:val="clear" w:color="auto" w:fill="auto"/>
            <w:vAlign w:val="center"/>
            <w:hideMark/>
          </w:tcPr>
          <w:p w14:paraId="62D6C4A4" w14:textId="313C5ECF" w:rsidR="00395345" w:rsidRPr="00AE7F44" w:rsidRDefault="00395345" w:rsidP="009B2D08">
            <w:pPr>
              <w:rPr>
                <w:rFonts w:ascii="Calibri" w:hAnsi="Calibri" w:cs="Calibri"/>
                <w:sz w:val="20"/>
                <w:szCs w:val="20"/>
                <w:lang w:eastAsia="cs-CZ"/>
              </w:rPr>
            </w:pPr>
            <w:r w:rsidRPr="00AE7F44">
              <w:rPr>
                <w:rFonts w:ascii="Calibri" w:hAnsi="Calibri" w:cs="Calibri"/>
                <w:sz w:val="20"/>
                <w:szCs w:val="20"/>
                <w:lang w:eastAsia="cs-CZ"/>
              </w:rPr>
              <w:t>Podpora prioritní realizace opatření ke snižování emisí ze stacionárních zdrojů v sektoru energetika, průmysl a</w:t>
            </w:r>
            <w:r w:rsidR="009B2D08">
              <w:rPr>
                <w:rFonts w:ascii="Calibri" w:hAnsi="Calibri" w:cs="Calibri"/>
                <w:sz w:val="20"/>
                <w:szCs w:val="20"/>
                <w:lang w:eastAsia="cs-CZ"/>
              </w:rPr>
              <w:t> </w:t>
            </w:r>
            <w:r w:rsidRPr="00AE7F44">
              <w:rPr>
                <w:rFonts w:ascii="Calibri" w:hAnsi="Calibri" w:cs="Calibri"/>
                <w:sz w:val="20"/>
                <w:szCs w:val="20"/>
                <w:lang w:eastAsia="cs-CZ"/>
              </w:rPr>
              <w:t>zemědělství</w:t>
            </w:r>
          </w:p>
        </w:tc>
        <w:tc>
          <w:tcPr>
            <w:tcW w:w="849" w:type="pct"/>
            <w:shd w:val="clear" w:color="000000" w:fill="C6EFCE"/>
            <w:vAlign w:val="center"/>
            <w:hideMark/>
          </w:tcPr>
          <w:p w14:paraId="6442AA68"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c>
          <w:tcPr>
            <w:tcW w:w="2133" w:type="pct"/>
            <w:shd w:val="clear" w:color="000000" w:fill="C6EFCE"/>
            <w:vAlign w:val="center"/>
            <w:hideMark/>
          </w:tcPr>
          <w:p w14:paraId="6C904805"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r>
      <w:tr w:rsidR="007734B4" w:rsidRPr="00AE7F44" w14:paraId="2344106C" w14:textId="77777777" w:rsidTr="00BD5CDC">
        <w:trPr>
          <w:trHeight w:val="227"/>
          <w:jc w:val="center"/>
        </w:trPr>
        <w:tc>
          <w:tcPr>
            <w:tcW w:w="292" w:type="pct"/>
            <w:shd w:val="clear" w:color="auto" w:fill="auto"/>
            <w:noWrap/>
            <w:vAlign w:val="center"/>
            <w:hideMark/>
          </w:tcPr>
          <w:p w14:paraId="748C9318"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BA2</w:t>
            </w:r>
          </w:p>
        </w:tc>
        <w:tc>
          <w:tcPr>
            <w:tcW w:w="1725" w:type="pct"/>
            <w:shd w:val="clear" w:color="auto" w:fill="auto"/>
            <w:vAlign w:val="center"/>
            <w:hideMark/>
          </w:tcPr>
          <w:p w14:paraId="4FF3F847"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Podpora realizace opatření ke snížení spotřeby energie a ke zvýšení energetické účinnosti</w:t>
            </w:r>
          </w:p>
        </w:tc>
        <w:tc>
          <w:tcPr>
            <w:tcW w:w="849" w:type="pct"/>
            <w:shd w:val="clear" w:color="000000" w:fill="C6EFCE"/>
            <w:vAlign w:val="center"/>
            <w:hideMark/>
          </w:tcPr>
          <w:p w14:paraId="5D889FAC"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c>
          <w:tcPr>
            <w:tcW w:w="2133" w:type="pct"/>
            <w:shd w:val="clear" w:color="000000" w:fill="C6EFCE"/>
            <w:vAlign w:val="center"/>
            <w:hideMark/>
          </w:tcPr>
          <w:p w14:paraId="5D626831" w14:textId="102ACDBB" w:rsidR="00395345" w:rsidRPr="00AE7F44" w:rsidRDefault="00395345" w:rsidP="009B2D08">
            <w:pPr>
              <w:jc w:val="center"/>
              <w:rPr>
                <w:rFonts w:ascii="Calibri" w:hAnsi="Calibri" w:cs="Calibri"/>
                <w:color w:val="FF0000"/>
                <w:sz w:val="20"/>
                <w:szCs w:val="20"/>
                <w:lang w:eastAsia="cs-CZ"/>
              </w:rPr>
            </w:pPr>
            <w:r w:rsidRPr="00AE7F44">
              <w:rPr>
                <w:rFonts w:ascii="Calibri" w:hAnsi="Calibri" w:cs="Calibri"/>
                <w:b/>
                <w:bCs/>
                <w:color w:val="FF0000"/>
                <w:sz w:val="20"/>
                <w:szCs w:val="20"/>
                <w:lang w:eastAsia="cs-CZ"/>
              </w:rPr>
              <w:t>Plněno průběžně</w:t>
            </w:r>
            <w:r w:rsidRPr="00AE7F44">
              <w:rPr>
                <w:rFonts w:ascii="Calibri" w:hAnsi="Calibri" w:cs="Calibri"/>
                <w:color w:val="FF0000"/>
                <w:sz w:val="20"/>
                <w:szCs w:val="20"/>
                <w:lang w:eastAsia="cs-CZ"/>
              </w:rPr>
              <w:br/>
              <w:t>mj. v rámci podpory z PO5 OPŽP a z PO3 OPPIK, v</w:t>
            </w:r>
            <w:r w:rsidR="009B2D08">
              <w:rPr>
                <w:rFonts w:ascii="Calibri" w:hAnsi="Calibri" w:cs="Calibri"/>
                <w:color w:val="FF0000"/>
                <w:sz w:val="20"/>
                <w:szCs w:val="20"/>
                <w:lang w:eastAsia="cs-CZ"/>
              </w:rPr>
              <w:t> </w:t>
            </w:r>
            <w:r w:rsidRPr="00AE7F44">
              <w:rPr>
                <w:rFonts w:ascii="Calibri" w:hAnsi="Calibri" w:cs="Calibri"/>
                <w:color w:val="FF0000"/>
                <w:sz w:val="20"/>
                <w:szCs w:val="20"/>
                <w:lang w:eastAsia="cs-CZ"/>
              </w:rPr>
              <w:t>obou případech</w:t>
            </w:r>
            <w:r w:rsidRPr="00AE7F44">
              <w:rPr>
                <w:rFonts w:ascii="Calibri" w:hAnsi="Calibri" w:cs="Calibri"/>
                <w:b/>
                <w:bCs/>
                <w:color w:val="FF0000"/>
                <w:sz w:val="20"/>
                <w:szCs w:val="20"/>
                <w:lang w:eastAsia="cs-CZ"/>
              </w:rPr>
              <w:t xml:space="preserve"> s významnými riziky v</w:t>
            </w:r>
            <w:r w:rsidR="009B2D08">
              <w:rPr>
                <w:rFonts w:ascii="Calibri" w:hAnsi="Calibri" w:cs="Calibri"/>
                <w:b/>
                <w:bCs/>
                <w:color w:val="FF0000"/>
                <w:sz w:val="20"/>
                <w:szCs w:val="20"/>
                <w:lang w:eastAsia="cs-CZ"/>
              </w:rPr>
              <w:t> </w:t>
            </w:r>
            <w:r w:rsidRPr="00AE7F44">
              <w:rPr>
                <w:rFonts w:ascii="Calibri" w:hAnsi="Calibri" w:cs="Calibri"/>
                <w:b/>
                <w:bCs/>
                <w:color w:val="FF0000"/>
                <w:sz w:val="20"/>
                <w:szCs w:val="20"/>
                <w:lang w:eastAsia="cs-CZ"/>
              </w:rPr>
              <w:t>čerpání</w:t>
            </w:r>
            <w:r w:rsidR="009B2D08">
              <w:rPr>
                <w:rFonts w:ascii="Calibri" w:hAnsi="Calibri" w:cs="Calibri"/>
                <w:b/>
                <w:bCs/>
                <w:color w:val="FF0000"/>
                <w:sz w:val="20"/>
                <w:szCs w:val="20"/>
                <w:lang w:eastAsia="cs-CZ"/>
              </w:rPr>
              <w:t>.</w:t>
            </w:r>
          </w:p>
        </w:tc>
      </w:tr>
      <w:tr w:rsidR="007734B4" w:rsidRPr="00AE7F44" w14:paraId="3985F577" w14:textId="77777777" w:rsidTr="00BD5CDC">
        <w:trPr>
          <w:trHeight w:val="227"/>
          <w:jc w:val="center"/>
        </w:trPr>
        <w:tc>
          <w:tcPr>
            <w:tcW w:w="292" w:type="pct"/>
            <w:shd w:val="clear" w:color="auto" w:fill="auto"/>
            <w:noWrap/>
            <w:vAlign w:val="center"/>
            <w:hideMark/>
          </w:tcPr>
          <w:p w14:paraId="0536B2F0"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BA3</w:t>
            </w:r>
          </w:p>
        </w:tc>
        <w:tc>
          <w:tcPr>
            <w:tcW w:w="1725" w:type="pct"/>
            <w:shd w:val="clear" w:color="auto" w:fill="auto"/>
            <w:vAlign w:val="center"/>
            <w:hideMark/>
          </w:tcPr>
          <w:p w14:paraId="1E7B6167"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Snížení podílu pevných fosilních paliv ve spalovacích stacionárních zdrojích nespadajících pod systém EU ETS</w:t>
            </w:r>
          </w:p>
        </w:tc>
        <w:tc>
          <w:tcPr>
            <w:tcW w:w="849" w:type="pct"/>
            <w:shd w:val="clear" w:color="000000" w:fill="C6EFCE"/>
            <w:vAlign w:val="center"/>
            <w:hideMark/>
          </w:tcPr>
          <w:p w14:paraId="7E547971"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Splněno částečně</w:t>
            </w:r>
          </w:p>
        </w:tc>
        <w:tc>
          <w:tcPr>
            <w:tcW w:w="2133" w:type="pct"/>
            <w:shd w:val="clear" w:color="000000" w:fill="FFC7CE"/>
            <w:vAlign w:val="center"/>
            <w:hideMark/>
          </w:tcPr>
          <w:p w14:paraId="09C3D9C4" w14:textId="77777777" w:rsidR="00395345" w:rsidRPr="00AE7F44" w:rsidRDefault="00395345" w:rsidP="00395345">
            <w:pPr>
              <w:jc w:val="center"/>
              <w:rPr>
                <w:rFonts w:ascii="Calibri" w:hAnsi="Calibri" w:cs="Calibri"/>
                <w:color w:val="9C0006"/>
                <w:sz w:val="20"/>
                <w:szCs w:val="20"/>
                <w:lang w:eastAsia="cs-CZ"/>
              </w:rPr>
            </w:pPr>
            <w:r w:rsidRPr="00AE7F44">
              <w:rPr>
                <w:rFonts w:ascii="Calibri" w:hAnsi="Calibri" w:cs="Calibri"/>
                <w:b/>
                <w:bCs/>
                <w:color w:val="9C0006"/>
                <w:sz w:val="20"/>
                <w:szCs w:val="20"/>
                <w:lang w:eastAsia="cs-CZ"/>
              </w:rPr>
              <w:t>Nesplněno</w:t>
            </w:r>
            <w:r w:rsidRPr="00AE7F44">
              <w:rPr>
                <w:rFonts w:ascii="Calibri" w:hAnsi="Calibri" w:cs="Calibri"/>
                <w:color w:val="9C0006"/>
                <w:sz w:val="20"/>
                <w:szCs w:val="20"/>
                <w:lang w:eastAsia="cs-CZ"/>
              </w:rPr>
              <w:br/>
              <w:t>(uloženo vypracování podrobnější analýzy do 31. 12. 2018 a předpoklad implementace není znám)</w:t>
            </w:r>
          </w:p>
        </w:tc>
      </w:tr>
      <w:tr w:rsidR="007734B4" w:rsidRPr="00AE7F44" w14:paraId="243B4FE1" w14:textId="77777777" w:rsidTr="00BD5CDC">
        <w:trPr>
          <w:trHeight w:val="227"/>
          <w:jc w:val="center"/>
        </w:trPr>
        <w:tc>
          <w:tcPr>
            <w:tcW w:w="292" w:type="pct"/>
            <w:shd w:val="clear" w:color="auto" w:fill="auto"/>
            <w:noWrap/>
            <w:vAlign w:val="center"/>
            <w:hideMark/>
          </w:tcPr>
          <w:p w14:paraId="6326B816"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DA1</w:t>
            </w:r>
          </w:p>
        </w:tc>
        <w:tc>
          <w:tcPr>
            <w:tcW w:w="1725" w:type="pct"/>
            <w:shd w:val="clear" w:color="auto" w:fill="auto"/>
            <w:vAlign w:val="center"/>
            <w:hideMark/>
          </w:tcPr>
          <w:p w14:paraId="5F71065F" w14:textId="77777777" w:rsidR="00395345" w:rsidRPr="00AE7F44" w:rsidRDefault="00395345" w:rsidP="007734B4">
            <w:pPr>
              <w:rPr>
                <w:rFonts w:ascii="Calibri" w:hAnsi="Calibri" w:cs="Calibri"/>
                <w:sz w:val="20"/>
                <w:szCs w:val="20"/>
                <w:lang w:eastAsia="cs-CZ"/>
              </w:rPr>
            </w:pPr>
            <w:r w:rsidRPr="00AE7F44">
              <w:rPr>
                <w:rFonts w:ascii="Calibri" w:hAnsi="Calibri" w:cs="Calibri"/>
                <w:sz w:val="20"/>
                <w:szCs w:val="20"/>
                <w:lang w:eastAsia="cs-CZ"/>
              </w:rPr>
              <w:t>Podpora urychlení obměny zdrojů tepla v</w:t>
            </w:r>
            <w:r w:rsidR="007734B4" w:rsidRPr="00AE7F44">
              <w:rPr>
                <w:rFonts w:ascii="Calibri" w:hAnsi="Calibri" w:cs="Calibri"/>
                <w:sz w:val="20"/>
                <w:szCs w:val="20"/>
                <w:lang w:eastAsia="cs-CZ"/>
              </w:rPr>
              <w:t> </w:t>
            </w:r>
            <w:r w:rsidRPr="00AE7F44">
              <w:rPr>
                <w:rFonts w:ascii="Calibri" w:hAnsi="Calibri" w:cs="Calibri"/>
                <w:sz w:val="20"/>
                <w:szCs w:val="20"/>
                <w:lang w:eastAsia="cs-CZ"/>
              </w:rPr>
              <w:t>sektoru lokálního vytápění domácností</w:t>
            </w:r>
          </w:p>
        </w:tc>
        <w:tc>
          <w:tcPr>
            <w:tcW w:w="849" w:type="pct"/>
            <w:shd w:val="clear" w:color="000000" w:fill="C6EFCE"/>
            <w:vAlign w:val="center"/>
            <w:hideMark/>
          </w:tcPr>
          <w:p w14:paraId="0E0E5750"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c>
          <w:tcPr>
            <w:tcW w:w="2133" w:type="pct"/>
            <w:shd w:val="clear" w:color="000000" w:fill="C6EFCE"/>
            <w:vAlign w:val="center"/>
            <w:hideMark/>
          </w:tcPr>
          <w:p w14:paraId="573841A6"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r>
      <w:tr w:rsidR="007734B4" w:rsidRPr="00AE7F44" w14:paraId="2DB17456" w14:textId="77777777" w:rsidTr="00BD5CDC">
        <w:trPr>
          <w:trHeight w:val="227"/>
          <w:jc w:val="center"/>
        </w:trPr>
        <w:tc>
          <w:tcPr>
            <w:tcW w:w="292" w:type="pct"/>
            <w:shd w:val="clear" w:color="auto" w:fill="auto"/>
            <w:noWrap/>
            <w:vAlign w:val="center"/>
            <w:hideMark/>
          </w:tcPr>
          <w:p w14:paraId="127424A9"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AB1</w:t>
            </w:r>
          </w:p>
        </w:tc>
        <w:tc>
          <w:tcPr>
            <w:tcW w:w="1725" w:type="pct"/>
            <w:shd w:val="clear" w:color="auto" w:fill="auto"/>
            <w:vAlign w:val="center"/>
            <w:hideMark/>
          </w:tcPr>
          <w:p w14:paraId="0CAF2A89"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Výstavba páteřní sítě kapacitních komunikací pro automobilovou dopravu</w:t>
            </w:r>
          </w:p>
        </w:tc>
        <w:tc>
          <w:tcPr>
            <w:tcW w:w="849" w:type="pct"/>
            <w:vMerge w:val="restart"/>
            <w:shd w:val="clear" w:color="000000" w:fill="C6EFCE"/>
            <w:vAlign w:val="center"/>
            <w:hideMark/>
          </w:tcPr>
          <w:p w14:paraId="36FF73A8"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Plněna průběžně</w:t>
            </w:r>
          </w:p>
        </w:tc>
        <w:tc>
          <w:tcPr>
            <w:tcW w:w="2133" w:type="pct"/>
            <w:vMerge w:val="restart"/>
            <w:shd w:val="clear" w:color="000000" w:fill="C6EFCE"/>
            <w:vAlign w:val="center"/>
            <w:hideMark/>
          </w:tcPr>
          <w:p w14:paraId="0104BC1E" w14:textId="4B1A77E3" w:rsidR="00395345" w:rsidRPr="00AE7F44" w:rsidRDefault="00395345" w:rsidP="009B2D08">
            <w:pPr>
              <w:jc w:val="center"/>
              <w:rPr>
                <w:rFonts w:ascii="Calibri" w:hAnsi="Calibri" w:cs="Calibri"/>
                <w:color w:val="FF0000"/>
                <w:sz w:val="20"/>
                <w:szCs w:val="20"/>
                <w:lang w:eastAsia="cs-CZ"/>
              </w:rPr>
            </w:pPr>
            <w:r w:rsidRPr="00AE7F44">
              <w:rPr>
                <w:rFonts w:ascii="Calibri" w:hAnsi="Calibri" w:cs="Calibri"/>
                <w:b/>
                <w:bCs/>
                <w:color w:val="FF0000"/>
                <w:sz w:val="20"/>
                <w:szCs w:val="20"/>
                <w:lang w:eastAsia="cs-CZ"/>
              </w:rPr>
              <w:t>Plněna průběžně</w:t>
            </w:r>
            <w:r w:rsidR="009B2D08">
              <w:rPr>
                <w:rFonts w:ascii="Calibri" w:hAnsi="Calibri" w:cs="Calibri"/>
                <w:b/>
                <w:bCs/>
                <w:color w:val="FF0000"/>
                <w:sz w:val="20"/>
                <w:szCs w:val="20"/>
                <w:lang w:eastAsia="cs-CZ"/>
              </w:rPr>
              <w:t>.</w:t>
            </w:r>
            <w:r w:rsidRPr="00AE7F44">
              <w:rPr>
                <w:rFonts w:ascii="Calibri" w:hAnsi="Calibri" w:cs="Calibri"/>
                <w:color w:val="FF0000"/>
                <w:sz w:val="20"/>
                <w:szCs w:val="20"/>
                <w:lang w:eastAsia="cs-CZ"/>
              </w:rPr>
              <w:br/>
              <w:t>Jediná z prioritních staveb byla uvedena do provozu, několik prioritních staveb je v realizaci, ale většina je stále vedena jen v plánech ŘSD se začátkem realizace 2018</w:t>
            </w:r>
            <w:r w:rsidR="009B2D08">
              <w:rPr>
                <w:rFonts w:ascii="Calibri" w:hAnsi="Calibri" w:cs="Calibri"/>
                <w:color w:val="FF0000"/>
                <w:sz w:val="20"/>
                <w:szCs w:val="20"/>
                <w:lang w:eastAsia="cs-CZ"/>
              </w:rPr>
              <w:t>–</w:t>
            </w:r>
            <w:r w:rsidRPr="00AE7F44">
              <w:rPr>
                <w:rFonts w:ascii="Calibri" w:hAnsi="Calibri" w:cs="Calibri"/>
                <w:color w:val="FF0000"/>
                <w:sz w:val="20"/>
                <w:szCs w:val="20"/>
                <w:lang w:eastAsia="cs-CZ"/>
              </w:rPr>
              <w:t>2020 a jedna prioritní stavba je zatím jen ve stádiu přípravy projektu</w:t>
            </w:r>
            <w:r w:rsidR="009B2D08">
              <w:rPr>
                <w:rFonts w:ascii="Calibri" w:hAnsi="Calibri" w:cs="Calibri"/>
                <w:color w:val="FF0000"/>
                <w:sz w:val="20"/>
                <w:szCs w:val="20"/>
                <w:lang w:eastAsia="cs-CZ"/>
              </w:rPr>
              <w:t>.</w:t>
            </w:r>
          </w:p>
        </w:tc>
      </w:tr>
      <w:tr w:rsidR="007734B4" w:rsidRPr="00AE7F44" w14:paraId="1D778595" w14:textId="77777777" w:rsidTr="00BD5CDC">
        <w:trPr>
          <w:trHeight w:val="227"/>
          <w:jc w:val="center"/>
        </w:trPr>
        <w:tc>
          <w:tcPr>
            <w:tcW w:w="292" w:type="pct"/>
            <w:shd w:val="clear" w:color="auto" w:fill="auto"/>
            <w:noWrap/>
            <w:vAlign w:val="center"/>
            <w:hideMark/>
          </w:tcPr>
          <w:p w14:paraId="0BC8CBE2"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AB2</w:t>
            </w:r>
          </w:p>
        </w:tc>
        <w:tc>
          <w:tcPr>
            <w:tcW w:w="1725" w:type="pct"/>
            <w:shd w:val="clear" w:color="auto" w:fill="auto"/>
            <w:noWrap/>
            <w:vAlign w:val="center"/>
            <w:hideMark/>
          </w:tcPr>
          <w:p w14:paraId="31424467"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Prioritní výstavba obchvatů měst a obcí</w:t>
            </w:r>
          </w:p>
        </w:tc>
        <w:tc>
          <w:tcPr>
            <w:tcW w:w="849" w:type="pct"/>
            <w:vMerge/>
            <w:vAlign w:val="center"/>
            <w:hideMark/>
          </w:tcPr>
          <w:p w14:paraId="5646F474" w14:textId="77777777" w:rsidR="00395345" w:rsidRPr="00AE7F44" w:rsidRDefault="00395345" w:rsidP="00395345">
            <w:pPr>
              <w:jc w:val="center"/>
              <w:rPr>
                <w:rFonts w:ascii="Calibri" w:hAnsi="Calibri" w:cs="Calibri"/>
                <w:b/>
                <w:bCs/>
                <w:color w:val="006100"/>
                <w:sz w:val="20"/>
                <w:szCs w:val="20"/>
                <w:lang w:eastAsia="cs-CZ"/>
              </w:rPr>
            </w:pPr>
          </w:p>
        </w:tc>
        <w:tc>
          <w:tcPr>
            <w:tcW w:w="2133" w:type="pct"/>
            <w:vMerge/>
            <w:vAlign w:val="center"/>
            <w:hideMark/>
          </w:tcPr>
          <w:p w14:paraId="7B1CDDD7" w14:textId="77777777" w:rsidR="00395345" w:rsidRPr="00AE7F44" w:rsidRDefault="00395345" w:rsidP="00395345">
            <w:pPr>
              <w:jc w:val="center"/>
              <w:rPr>
                <w:rFonts w:ascii="Calibri" w:hAnsi="Calibri" w:cs="Calibri"/>
                <w:color w:val="FF0000"/>
                <w:sz w:val="20"/>
                <w:szCs w:val="20"/>
                <w:lang w:eastAsia="cs-CZ"/>
              </w:rPr>
            </w:pPr>
          </w:p>
        </w:tc>
      </w:tr>
      <w:tr w:rsidR="007734B4" w:rsidRPr="00AE7F44" w14:paraId="796B94CE" w14:textId="77777777" w:rsidTr="00BD5CDC">
        <w:trPr>
          <w:trHeight w:val="227"/>
          <w:jc w:val="center"/>
        </w:trPr>
        <w:tc>
          <w:tcPr>
            <w:tcW w:w="292" w:type="pct"/>
            <w:shd w:val="clear" w:color="auto" w:fill="auto"/>
            <w:noWrap/>
            <w:vAlign w:val="center"/>
            <w:hideMark/>
          </w:tcPr>
          <w:p w14:paraId="0D4C5E01"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AB21</w:t>
            </w:r>
          </w:p>
        </w:tc>
        <w:tc>
          <w:tcPr>
            <w:tcW w:w="1725" w:type="pct"/>
            <w:shd w:val="clear" w:color="auto" w:fill="auto"/>
            <w:vAlign w:val="center"/>
            <w:hideMark/>
          </w:tcPr>
          <w:p w14:paraId="45BEFAAB"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Obměna vozového parku veřejné správy za vozidla s alternativním pohonem</w:t>
            </w:r>
          </w:p>
        </w:tc>
        <w:tc>
          <w:tcPr>
            <w:tcW w:w="849" w:type="pct"/>
            <w:shd w:val="clear" w:color="000000" w:fill="C6EFCE"/>
            <w:vAlign w:val="center"/>
            <w:hideMark/>
          </w:tcPr>
          <w:p w14:paraId="4AA355B3"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c>
          <w:tcPr>
            <w:tcW w:w="2133" w:type="pct"/>
            <w:shd w:val="clear" w:color="000000" w:fill="FFC7CE"/>
            <w:vAlign w:val="center"/>
            <w:hideMark/>
          </w:tcPr>
          <w:p w14:paraId="771B9D39" w14:textId="77777777" w:rsidR="00395345" w:rsidRPr="00AE7F44" w:rsidRDefault="00395345" w:rsidP="00395345">
            <w:pPr>
              <w:jc w:val="center"/>
              <w:rPr>
                <w:rFonts w:ascii="Calibri" w:hAnsi="Calibri" w:cs="Calibri"/>
                <w:b/>
                <w:bCs/>
                <w:color w:val="9C0006"/>
                <w:sz w:val="20"/>
                <w:szCs w:val="20"/>
                <w:lang w:eastAsia="cs-CZ"/>
              </w:rPr>
            </w:pPr>
            <w:r w:rsidRPr="00AE7F44">
              <w:rPr>
                <w:rFonts w:ascii="Calibri" w:hAnsi="Calibri" w:cs="Calibri"/>
                <w:b/>
                <w:bCs/>
                <w:color w:val="9C0006"/>
                <w:sz w:val="20"/>
                <w:szCs w:val="20"/>
                <w:lang w:eastAsia="cs-CZ"/>
              </w:rPr>
              <w:t>Nesplněno</w:t>
            </w:r>
          </w:p>
        </w:tc>
      </w:tr>
      <w:tr w:rsidR="007734B4" w:rsidRPr="00AE7F44" w14:paraId="66A94A29" w14:textId="77777777" w:rsidTr="00BD5CDC">
        <w:trPr>
          <w:trHeight w:val="227"/>
          <w:jc w:val="center"/>
        </w:trPr>
        <w:tc>
          <w:tcPr>
            <w:tcW w:w="292" w:type="pct"/>
            <w:shd w:val="clear" w:color="auto" w:fill="auto"/>
            <w:noWrap/>
            <w:vAlign w:val="center"/>
            <w:hideMark/>
          </w:tcPr>
          <w:p w14:paraId="2F38A1D7"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AB22</w:t>
            </w:r>
          </w:p>
        </w:tc>
        <w:tc>
          <w:tcPr>
            <w:tcW w:w="1725" w:type="pct"/>
            <w:shd w:val="clear" w:color="auto" w:fill="auto"/>
            <w:vAlign w:val="center"/>
            <w:hideMark/>
          </w:tcPr>
          <w:p w14:paraId="2AA58A73"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Zlepšení funkčnosti systému pravidelných technických kontrol vozidel</w:t>
            </w:r>
          </w:p>
        </w:tc>
        <w:tc>
          <w:tcPr>
            <w:tcW w:w="849" w:type="pct"/>
            <w:shd w:val="clear" w:color="000000" w:fill="C6EFCE"/>
            <w:vAlign w:val="center"/>
            <w:hideMark/>
          </w:tcPr>
          <w:p w14:paraId="2BBD3359" w14:textId="77777777" w:rsidR="00395345" w:rsidRPr="00AE7F44" w:rsidRDefault="00395345" w:rsidP="00395345">
            <w:pPr>
              <w:jc w:val="center"/>
              <w:rPr>
                <w:rFonts w:ascii="Calibri" w:hAnsi="Calibri" w:cs="Calibri"/>
                <w:color w:val="006100"/>
                <w:sz w:val="20"/>
                <w:szCs w:val="20"/>
                <w:lang w:eastAsia="cs-CZ"/>
              </w:rPr>
            </w:pPr>
            <w:r w:rsidRPr="00AE7F44">
              <w:rPr>
                <w:rFonts w:ascii="Calibri" w:hAnsi="Calibri" w:cs="Calibri"/>
                <w:color w:val="006100"/>
                <w:sz w:val="20"/>
                <w:szCs w:val="20"/>
                <w:lang w:eastAsia="cs-CZ"/>
              </w:rPr>
              <w:t>Splněno</w:t>
            </w:r>
          </w:p>
        </w:tc>
        <w:tc>
          <w:tcPr>
            <w:tcW w:w="2133" w:type="pct"/>
            <w:shd w:val="clear" w:color="000000" w:fill="C6EFCE"/>
            <w:vAlign w:val="center"/>
            <w:hideMark/>
          </w:tcPr>
          <w:p w14:paraId="1467A172" w14:textId="58B946A1" w:rsidR="00395345" w:rsidRPr="00AE7F44" w:rsidRDefault="00395345" w:rsidP="00395345">
            <w:pPr>
              <w:jc w:val="center"/>
              <w:rPr>
                <w:rFonts w:ascii="Calibri" w:hAnsi="Calibri" w:cs="Calibri"/>
                <w:color w:val="006100"/>
                <w:sz w:val="20"/>
                <w:szCs w:val="20"/>
                <w:lang w:eastAsia="cs-CZ"/>
              </w:rPr>
            </w:pPr>
            <w:r w:rsidRPr="00AE7F44">
              <w:rPr>
                <w:rFonts w:ascii="Calibri" w:hAnsi="Calibri" w:cs="Calibri"/>
                <w:b/>
                <w:bCs/>
                <w:color w:val="FF0000"/>
                <w:sz w:val="20"/>
                <w:szCs w:val="20"/>
                <w:lang w:eastAsia="cs-CZ"/>
              </w:rPr>
              <w:t>Plněno průběžně</w:t>
            </w:r>
            <w:r w:rsidR="009B2D08">
              <w:rPr>
                <w:rFonts w:ascii="Calibri" w:hAnsi="Calibri" w:cs="Calibri"/>
                <w:b/>
                <w:bCs/>
                <w:color w:val="FF0000"/>
                <w:sz w:val="20"/>
                <w:szCs w:val="20"/>
                <w:lang w:eastAsia="cs-CZ"/>
              </w:rPr>
              <w:t>.</w:t>
            </w:r>
            <w:r w:rsidRPr="00AE7F44">
              <w:rPr>
                <w:rFonts w:ascii="Calibri" w:hAnsi="Calibri" w:cs="Calibri"/>
                <w:color w:val="006100"/>
                <w:sz w:val="20"/>
                <w:szCs w:val="20"/>
                <w:lang w:eastAsia="cs-CZ"/>
              </w:rPr>
              <w:br/>
            </w:r>
            <w:r w:rsidRPr="00AE7F44">
              <w:rPr>
                <w:rFonts w:ascii="Calibri" w:hAnsi="Calibri" w:cs="Calibri"/>
                <w:color w:val="FF0000"/>
                <w:sz w:val="20"/>
                <w:szCs w:val="20"/>
                <w:lang w:eastAsia="cs-CZ"/>
              </w:rPr>
              <w:t>Nejnovější vědecké poznatky doporučují rozsáhlejší úpravu legislativy</w:t>
            </w:r>
            <w:r w:rsidR="009B2D08">
              <w:rPr>
                <w:rFonts w:ascii="Calibri" w:hAnsi="Calibri" w:cs="Calibri"/>
                <w:color w:val="FF0000"/>
                <w:sz w:val="20"/>
                <w:szCs w:val="20"/>
                <w:lang w:eastAsia="cs-CZ"/>
              </w:rPr>
              <w:t>.</w:t>
            </w:r>
          </w:p>
        </w:tc>
      </w:tr>
      <w:tr w:rsidR="007734B4" w:rsidRPr="00AE7F44" w14:paraId="3B21FEC0" w14:textId="77777777" w:rsidTr="00BD5CDC">
        <w:trPr>
          <w:trHeight w:val="227"/>
          <w:jc w:val="center"/>
        </w:trPr>
        <w:tc>
          <w:tcPr>
            <w:tcW w:w="292" w:type="pct"/>
            <w:shd w:val="clear" w:color="auto" w:fill="auto"/>
            <w:noWrap/>
            <w:vAlign w:val="center"/>
            <w:hideMark/>
          </w:tcPr>
          <w:p w14:paraId="078EE622" w14:textId="77777777" w:rsidR="00395345" w:rsidRPr="00AE7F44" w:rsidRDefault="00395345" w:rsidP="001757EC">
            <w:pPr>
              <w:keepLines/>
              <w:ind w:right="-57"/>
              <w:rPr>
                <w:rFonts w:ascii="Calibri" w:hAnsi="Calibri" w:cs="Calibri"/>
                <w:sz w:val="20"/>
                <w:szCs w:val="20"/>
                <w:lang w:eastAsia="cs-CZ"/>
              </w:rPr>
            </w:pPr>
            <w:r w:rsidRPr="00AE7F44">
              <w:rPr>
                <w:rFonts w:ascii="Calibri" w:hAnsi="Calibri" w:cs="Calibri"/>
                <w:sz w:val="20"/>
                <w:szCs w:val="20"/>
                <w:lang w:eastAsia="cs-CZ"/>
              </w:rPr>
              <w:t>AB23</w:t>
            </w:r>
          </w:p>
        </w:tc>
        <w:tc>
          <w:tcPr>
            <w:tcW w:w="1725" w:type="pct"/>
            <w:shd w:val="clear" w:color="auto" w:fill="auto"/>
            <w:vAlign w:val="center"/>
            <w:hideMark/>
          </w:tcPr>
          <w:p w14:paraId="101F54A9" w14:textId="77777777" w:rsidR="00395345" w:rsidRPr="00AE7F44" w:rsidRDefault="00395345" w:rsidP="001757EC">
            <w:pPr>
              <w:keepLines/>
              <w:rPr>
                <w:rFonts w:ascii="Calibri" w:hAnsi="Calibri" w:cs="Calibri"/>
                <w:sz w:val="20"/>
                <w:szCs w:val="20"/>
                <w:lang w:eastAsia="cs-CZ"/>
              </w:rPr>
            </w:pPr>
            <w:r w:rsidRPr="00AE7F44">
              <w:rPr>
                <w:rFonts w:ascii="Calibri" w:hAnsi="Calibri" w:cs="Calibri"/>
                <w:sz w:val="20"/>
                <w:szCs w:val="20"/>
                <w:lang w:eastAsia="cs-CZ"/>
              </w:rPr>
              <w:t>Přesun přepravních výkonů nákladní dopravy ze silnic na železnici</w:t>
            </w:r>
          </w:p>
        </w:tc>
        <w:tc>
          <w:tcPr>
            <w:tcW w:w="849" w:type="pct"/>
            <w:shd w:val="clear" w:color="000000" w:fill="C6EFCE"/>
            <w:vAlign w:val="center"/>
            <w:hideMark/>
          </w:tcPr>
          <w:p w14:paraId="1CFF949D" w14:textId="77777777" w:rsidR="00395345" w:rsidRPr="00AE7F44" w:rsidRDefault="00395345" w:rsidP="001757EC">
            <w:pPr>
              <w:keepLines/>
              <w:jc w:val="center"/>
              <w:rPr>
                <w:rFonts w:ascii="Calibri" w:hAnsi="Calibri" w:cs="Calibri"/>
                <w:color w:val="006100"/>
                <w:sz w:val="20"/>
                <w:szCs w:val="20"/>
                <w:lang w:eastAsia="cs-CZ"/>
              </w:rPr>
            </w:pPr>
            <w:r w:rsidRPr="00AE7F44">
              <w:rPr>
                <w:rFonts w:ascii="Calibri" w:hAnsi="Calibri" w:cs="Calibri"/>
                <w:color w:val="006100"/>
                <w:sz w:val="20"/>
                <w:szCs w:val="20"/>
                <w:lang w:eastAsia="cs-CZ"/>
              </w:rPr>
              <w:t>Splněno částečně</w:t>
            </w:r>
          </w:p>
        </w:tc>
        <w:tc>
          <w:tcPr>
            <w:tcW w:w="2133" w:type="pct"/>
            <w:shd w:val="clear" w:color="000000" w:fill="C6EFCE"/>
            <w:vAlign w:val="center"/>
            <w:hideMark/>
          </w:tcPr>
          <w:p w14:paraId="13F50DE0" w14:textId="77777777" w:rsidR="00395345" w:rsidRPr="00AE7F44" w:rsidRDefault="00395345" w:rsidP="001757EC">
            <w:pPr>
              <w:keepLines/>
              <w:jc w:val="center"/>
              <w:rPr>
                <w:rFonts w:ascii="Calibri" w:hAnsi="Calibri" w:cs="Calibri"/>
                <w:b/>
                <w:bCs/>
                <w:color w:val="FF0000"/>
                <w:sz w:val="20"/>
                <w:szCs w:val="20"/>
                <w:lang w:eastAsia="cs-CZ"/>
              </w:rPr>
            </w:pPr>
            <w:r w:rsidRPr="00AE7F44">
              <w:rPr>
                <w:rFonts w:ascii="Calibri" w:hAnsi="Calibri" w:cs="Calibri"/>
                <w:b/>
                <w:bCs/>
                <w:color w:val="FF0000"/>
                <w:sz w:val="20"/>
                <w:szCs w:val="20"/>
                <w:lang w:eastAsia="cs-CZ"/>
              </w:rPr>
              <w:t>Plněno průběžně</w:t>
            </w:r>
            <w:r w:rsidRPr="00AE7F44">
              <w:rPr>
                <w:rFonts w:ascii="Calibri" w:hAnsi="Calibri" w:cs="Calibri"/>
                <w:b/>
                <w:bCs/>
                <w:color w:val="FF0000"/>
                <w:sz w:val="20"/>
                <w:szCs w:val="20"/>
                <w:lang w:eastAsia="cs-CZ"/>
              </w:rPr>
              <w:br/>
            </w:r>
            <w:r w:rsidRPr="00AE7F44">
              <w:rPr>
                <w:rFonts w:ascii="Calibri" w:hAnsi="Calibri" w:cs="Calibri"/>
                <w:color w:val="FF0000"/>
                <w:sz w:val="20"/>
                <w:szCs w:val="20"/>
                <w:lang w:eastAsia="cs-CZ"/>
              </w:rPr>
              <w:t>vzhledem k charakteru opatření, plnění indikátoru v rámci PO1 OPD a výsledkům zpracované analýzy existují významná rizika nesplnění opatření v plném rozsahu a včas.</w:t>
            </w:r>
          </w:p>
        </w:tc>
      </w:tr>
      <w:tr w:rsidR="007734B4" w:rsidRPr="00AE7F44" w14:paraId="5B3732B3" w14:textId="77777777" w:rsidTr="00BD5CDC">
        <w:trPr>
          <w:trHeight w:val="227"/>
          <w:jc w:val="center"/>
        </w:trPr>
        <w:tc>
          <w:tcPr>
            <w:tcW w:w="292" w:type="pct"/>
            <w:shd w:val="clear" w:color="auto" w:fill="auto"/>
            <w:noWrap/>
            <w:vAlign w:val="center"/>
            <w:hideMark/>
          </w:tcPr>
          <w:p w14:paraId="2236E451"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AB24</w:t>
            </w:r>
          </w:p>
        </w:tc>
        <w:tc>
          <w:tcPr>
            <w:tcW w:w="1725" w:type="pct"/>
            <w:shd w:val="clear" w:color="auto" w:fill="auto"/>
            <w:noWrap/>
            <w:vAlign w:val="center"/>
            <w:hideMark/>
          </w:tcPr>
          <w:p w14:paraId="2EE1C5BA"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Stanovování podmínek provozu stavebních strojů</w:t>
            </w:r>
          </w:p>
        </w:tc>
        <w:tc>
          <w:tcPr>
            <w:tcW w:w="849" w:type="pct"/>
            <w:shd w:val="clear" w:color="000000" w:fill="FFC7CE"/>
            <w:vAlign w:val="center"/>
            <w:hideMark/>
          </w:tcPr>
          <w:p w14:paraId="266B434B" w14:textId="77777777" w:rsidR="00395345" w:rsidRPr="00AE7F44" w:rsidRDefault="00395345" w:rsidP="001A523D">
            <w:pPr>
              <w:jc w:val="center"/>
              <w:rPr>
                <w:rFonts w:ascii="Calibri" w:hAnsi="Calibri" w:cs="Calibri"/>
                <w:color w:val="9C0006"/>
                <w:sz w:val="20"/>
                <w:szCs w:val="20"/>
                <w:lang w:eastAsia="cs-CZ"/>
              </w:rPr>
            </w:pPr>
            <w:r w:rsidRPr="00AE7F44">
              <w:rPr>
                <w:rFonts w:ascii="Calibri" w:hAnsi="Calibri" w:cs="Calibri"/>
                <w:b/>
                <w:bCs/>
                <w:color w:val="9C0006"/>
                <w:sz w:val="20"/>
                <w:szCs w:val="20"/>
                <w:lang w:eastAsia="cs-CZ"/>
              </w:rPr>
              <w:t>Nesplněno v</w:t>
            </w:r>
            <w:r w:rsidR="001A523D" w:rsidRPr="00AE7F44">
              <w:rPr>
                <w:rFonts w:ascii="Calibri" w:hAnsi="Calibri" w:cs="Calibri"/>
                <w:b/>
                <w:bCs/>
                <w:color w:val="9C0006"/>
                <w:sz w:val="20"/>
                <w:szCs w:val="20"/>
                <w:lang w:eastAsia="cs-CZ"/>
              </w:rPr>
              <w:t> </w:t>
            </w:r>
            <w:r w:rsidRPr="00AE7F44">
              <w:rPr>
                <w:rFonts w:ascii="Calibri" w:hAnsi="Calibri" w:cs="Calibri"/>
                <w:b/>
                <w:bCs/>
                <w:color w:val="9C0006"/>
                <w:sz w:val="20"/>
                <w:szCs w:val="20"/>
                <w:lang w:eastAsia="cs-CZ"/>
              </w:rPr>
              <w:t>termínu</w:t>
            </w:r>
            <w:r w:rsidR="001A523D" w:rsidRPr="00AE7F44">
              <w:rPr>
                <w:rFonts w:ascii="Calibri" w:hAnsi="Calibri" w:cs="Calibri"/>
                <w:b/>
                <w:bCs/>
                <w:color w:val="9C0006"/>
                <w:sz w:val="20"/>
                <w:szCs w:val="20"/>
                <w:lang w:eastAsia="cs-CZ"/>
              </w:rPr>
              <w:t xml:space="preserve"> </w:t>
            </w:r>
            <w:r w:rsidRPr="00AE7F44">
              <w:rPr>
                <w:rFonts w:ascii="Calibri" w:hAnsi="Calibri" w:cs="Calibri"/>
                <w:color w:val="9C0006"/>
                <w:sz w:val="20"/>
                <w:szCs w:val="20"/>
                <w:lang w:eastAsia="cs-CZ"/>
              </w:rPr>
              <w:t>splnění se předpokládá do konce roku 2017</w:t>
            </w:r>
          </w:p>
        </w:tc>
        <w:tc>
          <w:tcPr>
            <w:tcW w:w="2133" w:type="pct"/>
            <w:shd w:val="clear" w:color="000000" w:fill="FFC7CE"/>
            <w:vAlign w:val="center"/>
            <w:hideMark/>
          </w:tcPr>
          <w:p w14:paraId="7C015C19" w14:textId="77777777" w:rsidR="00395345" w:rsidRPr="00AE7F44" w:rsidRDefault="00395345" w:rsidP="00395345">
            <w:pPr>
              <w:jc w:val="center"/>
              <w:rPr>
                <w:rFonts w:ascii="Calibri" w:hAnsi="Calibri" w:cs="Calibri"/>
                <w:color w:val="9C0006"/>
                <w:sz w:val="20"/>
                <w:szCs w:val="20"/>
                <w:lang w:eastAsia="cs-CZ"/>
              </w:rPr>
            </w:pPr>
            <w:r w:rsidRPr="00AE7F44">
              <w:rPr>
                <w:rFonts w:ascii="Calibri" w:hAnsi="Calibri" w:cs="Calibri"/>
                <w:b/>
                <w:bCs/>
                <w:color w:val="9C0006"/>
                <w:sz w:val="20"/>
                <w:szCs w:val="20"/>
                <w:lang w:eastAsia="cs-CZ"/>
              </w:rPr>
              <w:t>Nesplněno v termínu</w:t>
            </w:r>
            <w:r w:rsidRPr="00AE7F44">
              <w:rPr>
                <w:rFonts w:ascii="Calibri" w:hAnsi="Calibri" w:cs="Calibri"/>
                <w:b/>
                <w:bCs/>
                <w:color w:val="9C0006"/>
                <w:sz w:val="20"/>
                <w:szCs w:val="20"/>
                <w:lang w:eastAsia="cs-CZ"/>
              </w:rPr>
              <w:br/>
              <w:t>(opětovně)</w:t>
            </w:r>
            <w:r w:rsidRPr="00AE7F44">
              <w:rPr>
                <w:rFonts w:ascii="Calibri" w:hAnsi="Calibri" w:cs="Calibri"/>
                <w:color w:val="9C0006"/>
                <w:sz w:val="20"/>
                <w:szCs w:val="20"/>
                <w:lang w:eastAsia="cs-CZ"/>
              </w:rPr>
              <w:br/>
              <w:t>splnění se předpokládá do konce roku 2018</w:t>
            </w:r>
          </w:p>
        </w:tc>
      </w:tr>
      <w:tr w:rsidR="007734B4" w:rsidRPr="00AE7F44" w14:paraId="313105FF" w14:textId="77777777" w:rsidTr="00BD5CDC">
        <w:trPr>
          <w:trHeight w:val="227"/>
          <w:jc w:val="center"/>
        </w:trPr>
        <w:tc>
          <w:tcPr>
            <w:tcW w:w="292" w:type="pct"/>
            <w:shd w:val="clear" w:color="auto" w:fill="auto"/>
            <w:noWrap/>
            <w:vAlign w:val="center"/>
            <w:hideMark/>
          </w:tcPr>
          <w:p w14:paraId="6FA0F489"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AB25</w:t>
            </w:r>
          </w:p>
        </w:tc>
        <w:tc>
          <w:tcPr>
            <w:tcW w:w="1725" w:type="pct"/>
            <w:shd w:val="clear" w:color="auto" w:fill="auto"/>
            <w:vAlign w:val="center"/>
            <w:hideMark/>
          </w:tcPr>
          <w:p w14:paraId="0CD2211C"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Zmocnění obcí k vydání vyhlášky upravující podmínky přepravy sypkých materiálů nákladními vozidly</w:t>
            </w:r>
          </w:p>
        </w:tc>
        <w:tc>
          <w:tcPr>
            <w:tcW w:w="849" w:type="pct"/>
            <w:shd w:val="clear" w:color="000000" w:fill="FFEB9C"/>
            <w:vAlign w:val="center"/>
            <w:hideMark/>
          </w:tcPr>
          <w:p w14:paraId="744CF407" w14:textId="77777777" w:rsidR="00395345" w:rsidRPr="00AE7F44" w:rsidRDefault="00395345" w:rsidP="001A523D">
            <w:pPr>
              <w:jc w:val="center"/>
              <w:rPr>
                <w:rFonts w:ascii="Calibri" w:hAnsi="Calibri" w:cs="Calibri"/>
                <w:color w:val="FF0000"/>
                <w:sz w:val="20"/>
                <w:szCs w:val="20"/>
                <w:lang w:eastAsia="cs-CZ"/>
              </w:rPr>
            </w:pPr>
            <w:r w:rsidRPr="00AE7F44">
              <w:rPr>
                <w:rFonts w:ascii="Calibri" w:hAnsi="Calibri" w:cs="Calibri"/>
                <w:b/>
                <w:bCs/>
                <w:color w:val="FF0000"/>
                <w:sz w:val="20"/>
                <w:szCs w:val="20"/>
                <w:lang w:eastAsia="cs-CZ"/>
              </w:rPr>
              <w:t>Nelze splnit</w:t>
            </w:r>
            <w:r w:rsidRPr="00AE7F44">
              <w:rPr>
                <w:rFonts w:ascii="Calibri" w:hAnsi="Calibri" w:cs="Calibri"/>
                <w:color w:val="FF0000"/>
                <w:sz w:val="20"/>
                <w:szCs w:val="20"/>
                <w:lang w:eastAsia="cs-CZ"/>
              </w:rPr>
              <w:t xml:space="preserve"> </w:t>
            </w:r>
            <w:r w:rsidR="001A523D" w:rsidRPr="00AE7F44">
              <w:rPr>
                <w:rFonts w:ascii="Calibri" w:hAnsi="Calibri" w:cs="Calibri"/>
                <w:color w:val="FF0000"/>
                <w:sz w:val="20"/>
                <w:szCs w:val="20"/>
                <w:lang w:eastAsia="cs-CZ"/>
              </w:rPr>
              <w:br/>
            </w:r>
            <w:r w:rsidRPr="00AE7F44">
              <w:rPr>
                <w:rFonts w:ascii="Calibri" w:hAnsi="Calibri" w:cs="Calibri"/>
                <w:color w:val="FF0000"/>
                <w:sz w:val="20"/>
                <w:szCs w:val="20"/>
                <w:lang w:eastAsia="cs-CZ"/>
              </w:rPr>
              <w:t>na základě nálezu Ústavního soudu</w:t>
            </w:r>
          </w:p>
        </w:tc>
        <w:tc>
          <w:tcPr>
            <w:tcW w:w="2133" w:type="pct"/>
            <w:shd w:val="clear" w:color="000000" w:fill="FFC7CE"/>
            <w:vAlign w:val="center"/>
            <w:hideMark/>
          </w:tcPr>
          <w:p w14:paraId="473AADF9" w14:textId="77777777" w:rsidR="00395345" w:rsidRPr="00AE7F44" w:rsidRDefault="00395345" w:rsidP="00395345">
            <w:pPr>
              <w:jc w:val="center"/>
              <w:rPr>
                <w:rFonts w:ascii="Calibri" w:hAnsi="Calibri" w:cs="Calibri"/>
                <w:color w:val="9C0006"/>
                <w:sz w:val="20"/>
                <w:szCs w:val="20"/>
                <w:lang w:eastAsia="cs-CZ"/>
              </w:rPr>
            </w:pPr>
            <w:r w:rsidRPr="00AE7F44">
              <w:rPr>
                <w:rFonts w:ascii="Calibri" w:hAnsi="Calibri" w:cs="Calibri"/>
                <w:b/>
                <w:bCs/>
                <w:color w:val="9C0006"/>
                <w:sz w:val="20"/>
                <w:szCs w:val="20"/>
                <w:lang w:eastAsia="cs-CZ"/>
              </w:rPr>
              <w:t>Nesplněno</w:t>
            </w:r>
            <w:r w:rsidRPr="00AE7F44">
              <w:rPr>
                <w:rFonts w:ascii="Calibri" w:hAnsi="Calibri" w:cs="Calibri"/>
                <w:color w:val="9C0006"/>
                <w:sz w:val="20"/>
                <w:szCs w:val="20"/>
                <w:lang w:eastAsia="cs-CZ"/>
              </w:rPr>
              <w:br/>
              <w:t>nelze splnit na základě nálezu Ústavního soudu</w:t>
            </w:r>
          </w:p>
        </w:tc>
      </w:tr>
      <w:tr w:rsidR="007734B4" w:rsidRPr="00AE7F44" w14:paraId="1E313B00" w14:textId="77777777" w:rsidTr="00BD5CDC">
        <w:trPr>
          <w:trHeight w:val="227"/>
          <w:jc w:val="center"/>
        </w:trPr>
        <w:tc>
          <w:tcPr>
            <w:tcW w:w="292" w:type="pct"/>
            <w:shd w:val="clear" w:color="auto" w:fill="auto"/>
            <w:noWrap/>
            <w:vAlign w:val="center"/>
            <w:hideMark/>
          </w:tcPr>
          <w:p w14:paraId="40BFC7A0"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CB1</w:t>
            </w:r>
          </w:p>
        </w:tc>
        <w:tc>
          <w:tcPr>
            <w:tcW w:w="1725" w:type="pct"/>
            <w:shd w:val="clear" w:color="auto" w:fill="auto"/>
            <w:vAlign w:val="center"/>
            <w:hideMark/>
          </w:tcPr>
          <w:p w14:paraId="185A239D"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Snížení emisí amoniaku z aplikace hnojiva do orné půdy a z živočišné výroby nad rámec minimálních požadavků Zásad správné zemědělské praxe</w:t>
            </w:r>
          </w:p>
        </w:tc>
        <w:tc>
          <w:tcPr>
            <w:tcW w:w="849" w:type="pct"/>
            <w:shd w:val="clear" w:color="000000" w:fill="C6EFCE"/>
            <w:vAlign w:val="center"/>
            <w:hideMark/>
          </w:tcPr>
          <w:p w14:paraId="5514F362"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Plněno průběžně</w:t>
            </w:r>
          </w:p>
        </w:tc>
        <w:tc>
          <w:tcPr>
            <w:tcW w:w="2133" w:type="pct"/>
            <w:shd w:val="clear" w:color="000000" w:fill="C6EFCE"/>
            <w:vAlign w:val="center"/>
            <w:hideMark/>
          </w:tcPr>
          <w:p w14:paraId="1FC9DD08" w14:textId="7C064132" w:rsidR="00395345" w:rsidRPr="00AE7F44" w:rsidRDefault="00395345" w:rsidP="00395345">
            <w:pPr>
              <w:jc w:val="center"/>
              <w:rPr>
                <w:rFonts w:ascii="Calibri" w:hAnsi="Calibri" w:cs="Calibri"/>
                <w:color w:val="006100"/>
                <w:sz w:val="20"/>
                <w:szCs w:val="20"/>
                <w:lang w:eastAsia="cs-CZ"/>
              </w:rPr>
            </w:pPr>
            <w:r w:rsidRPr="00AE7F44">
              <w:rPr>
                <w:rFonts w:ascii="Calibri" w:hAnsi="Calibri" w:cs="Calibri"/>
                <w:b/>
                <w:bCs/>
                <w:color w:val="006100"/>
                <w:sz w:val="20"/>
                <w:szCs w:val="20"/>
                <w:lang w:eastAsia="cs-CZ"/>
              </w:rPr>
              <w:t>Plněno průběžně</w:t>
            </w:r>
            <w:r w:rsidR="009B2D08">
              <w:rPr>
                <w:rFonts w:ascii="Calibri" w:hAnsi="Calibri" w:cs="Calibri"/>
                <w:b/>
                <w:bCs/>
                <w:color w:val="006100"/>
                <w:sz w:val="20"/>
                <w:szCs w:val="20"/>
                <w:lang w:eastAsia="cs-CZ"/>
              </w:rPr>
              <w:t>.</w:t>
            </w:r>
            <w:r w:rsidRPr="00AE7F44">
              <w:rPr>
                <w:rFonts w:ascii="Calibri" w:hAnsi="Calibri" w:cs="Calibri"/>
                <w:color w:val="006100"/>
                <w:sz w:val="20"/>
                <w:szCs w:val="20"/>
                <w:lang w:eastAsia="cs-CZ"/>
              </w:rPr>
              <w:br/>
              <w:t>Opatření bylo podporováno v rámci SC 2.2 PO2 OPŽP</w:t>
            </w:r>
            <w:r w:rsidRPr="00AE7F44">
              <w:rPr>
                <w:rFonts w:ascii="Calibri" w:hAnsi="Calibri" w:cs="Calibri"/>
                <w:color w:val="006100"/>
                <w:sz w:val="20"/>
                <w:szCs w:val="20"/>
                <w:lang w:eastAsia="cs-CZ"/>
              </w:rPr>
              <w:br/>
            </w:r>
            <w:r w:rsidRPr="00AE7F44">
              <w:rPr>
                <w:rFonts w:ascii="Calibri" w:hAnsi="Calibri" w:cs="Calibri"/>
                <w:color w:val="9C6500"/>
                <w:sz w:val="20"/>
                <w:szCs w:val="20"/>
                <w:lang w:eastAsia="cs-CZ"/>
              </w:rPr>
              <w:t>dále již je podporováno z PRV, který nebyl kontrolou sledován</w:t>
            </w:r>
            <w:r w:rsidR="009B2D08">
              <w:rPr>
                <w:rFonts w:ascii="Calibri" w:hAnsi="Calibri" w:cs="Calibri"/>
                <w:color w:val="9C6500"/>
                <w:sz w:val="20"/>
                <w:szCs w:val="20"/>
                <w:lang w:eastAsia="cs-CZ"/>
              </w:rPr>
              <w:t>.</w:t>
            </w:r>
          </w:p>
        </w:tc>
      </w:tr>
      <w:tr w:rsidR="007734B4" w:rsidRPr="00AE7F44" w14:paraId="5C374D61" w14:textId="77777777" w:rsidTr="00BD5CDC">
        <w:trPr>
          <w:trHeight w:val="227"/>
          <w:jc w:val="center"/>
        </w:trPr>
        <w:tc>
          <w:tcPr>
            <w:tcW w:w="292" w:type="pct"/>
            <w:shd w:val="clear" w:color="auto" w:fill="auto"/>
            <w:noWrap/>
            <w:vAlign w:val="center"/>
            <w:hideMark/>
          </w:tcPr>
          <w:p w14:paraId="61B1203A"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CB7</w:t>
            </w:r>
          </w:p>
        </w:tc>
        <w:tc>
          <w:tcPr>
            <w:tcW w:w="1725" w:type="pct"/>
            <w:shd w:val="clear" w:color="auto" w:fill="auto"/>
            <w:noWrap/>
            <w:vAlign w:val="center"/>
            <w:hideMark/>
          </w:tcPr>
          <w:p w14:paraId="632E37DF" w14:textId="77777777" w:rsidR="00395345" w:rsidRPr="00AE7F44" w:rsidRDefault="00395345" w:rsidP="00395345">
            <w:pPr>
              <w:rPr>
                <w:rFonts w:ascii="Calibri" w:hAnsi="Calibri" w:cs="Calibri"/>
                <w:sz w:val="20"/>
                <w:szCs w:val="20"/>
                <w:lang w:eastAsia="cs-CZ"/>
              </w:rPr>
            </w:pPr>
            <w:r w:rsidRPr="00AE7F44">
              <w:rPr>
                <w:rFonts w:ascii="Calibri" w:hAnsi="Calibri" w:cs="Calibri"/>
                <w:sz w:val="20"/>
                <w:szCs w:val="20"/>
                <w:lang w:eastAsia="cs-CZ"/>
              </w:rPr>
              <w:t>Snížení emisí amoniaku z aplikace minerálních hnojiv</w:t>
            </w:r>
          </w:p>
        </w:tc>
        <w:tc>
          <w:tcPr>
            <w:tcW w:w="849" w:type="pct"/>
            <w:shd w:val="clear" w:color="000000" w:fill="C6EFCE"/>
            <w:vAlign w:val="center"/>
            <w:hideMark/>
          </w:tcPr>
          <w:p w14:paraId="7F2247F1" w14:textId="77777777" w:rsidR="00395345" w:rsidRPr="00AE7F44" w:rsidRDefault="00395345" w:rsidP="007734B4">
            <w:pPr>
              <w:jc w:val="center"/>
              <w:rPr>
                <w:rFonts w:ascii="Calibri" w:hAnsi="Calibri" w:cs="Calibri"/>
                <w:color w:val="006100"/>
                <w:sz w:val="20"/>
                <w:szCs w:val="20"/>
                <w:lang w:eastAsia="cs-CZ"/>
              </w:rPr>
            </w:pPr>
            <w:r w:rsidRPr="00AE7F44">
              <w:rPr>
                <w:rFonts w:ascii="Calibri" w:hAnsi="Calibri" w:cs="Calibri"/>
                <w:b/>
                <w:bCs/>
                <w:color w:val="006100"/>
                <w:sz w:val="20"/>
                <w:szCs w:val="20"/>
                <w:lang w:eastAsia="cs-CZ"/>
              </w:rPr>
              <w:t>Bude splněno</w:t>
            </w:r>
            <w:r w:rsidR="001A523D" w:rsidRPr="00AE7F44">
              <w:rPr>
                <w:rFonts w:ascii="Calibri" w:hAnsi="Calibri" w:cs="Calibri"/>
                <w:b/>
                <w:bCs/>
                <w:color w:val="006100"/>
                <w:sz w:val="20"/>
                <w:szCs w:val="20"/>
                <w:lang w:eastAsia="cs-CZ"/>
              </w:rPr>
              <w:t xml:space="preserve"> </w:t>
            </w:r>
            <w:r w:rsidR="001A523D" w:rsidRPr="00AE7F44">
              <w:rPr>
                <w:rFonts w:ascii="Calibri" w:hAnsi="Calibri" w:cs="Calibri"/>
                <w:b/>
                <w:bCs/>
                <w:color w:val="006100"/>
                <w:sz w:val="20"/>
                <w:szCs w:val="20"/>
                <w:lang w:eastAsia="cs-CZ"/>
              </w:rPr>
              <w:br/>
            </w:r>
            <w:r w:rsidRPr="00AE7F44">
              <w:rPr>
                <w:rFonts w:ascii="Calibri" w:hAnsi="Calibri" w:cs="Calibri"/>
                <w:color w:val="006100"/>
                <w:sz w:val="20"/>
                <w:szCs w:val="20"/>
                <w:lang w:eastAsia="cs-CZ"/>
              </w:rPr>
              <w:t>novelou vyhlášky č.</w:t>
            </w:r>
            <w:r w:rsidR="007734B4" w:rsidRPr="00AE7F44">
              <w:rPr>
                <w:rFonts w:ascii="Calibri" w:hAnsi="Calibri" w:cs="Calibri"/>
                <w:color w:val="006100"/>
                <w:sz w:val="20"/>
                <w:szCs w:val="20"/>
                <w:lang w:eastAsia="cs-CZ"/>
              </w:rPr>
              <w:t> </w:t>
            </w:r>
            <w:r w:rsidRPr="00AE7F44">
              <w:rPr>
                <w:rFonts w:ascii="Calibri" w:hAnsi="Calibri" w:cs="Calibri"/>
                <w:color w:val="006100"/>
                <w:sz w:val="20"/>
                <w:szCs w:val="20"/>
                <w:lang w:eastAsia="cs-CZ"/>
              </w:rPr>
              <w:t>377/2013</w:t>
            </w:r>
          </w:p>
        </w:tc>
        <w:tc>
          <w:tcPr>
            <w:tcW w:w="2133" w:type="pct"/>
            <w:shd w:val="clear" w:color="000000" w:fill="C6EFCE"/>
            <w:vAlign w:val="center"/>
            <w:hideMark/>
          </w:tcPr>
          <w:p w14:paraId="612ED1E6" w14:textId="0BF937D5" w:rsidR="00395345" w:rsidRPr="00AE7F44" w:rsidRDefault="00395345" w:rsidP="00395345">
            <w:pPr>
              <w:jc w:val="center"/>
              <w:rPr>
                <w:rFonts w:ascii="Calibri" w:hAnsi="Calibri" w:cs="Calibri"/>
                <w:color w:val="006100"/>
                <w:sz w:val="20"/>
                <w:szCs w:val="20"/>
                <w:lang w:eastAsia="cs-CZ"/>
              </w:rPr>
            </w:pPr>
            <w:r w:rsidRPr="00AE7F44">
              <w:rPr>
                <w:rFonts w:ascii="Calibri" w:hAnsi="Calibri" w:cs="Calibri"/>
                <w:b/>
                <w:bCs/>
                <w:color w:val="006100"/>
                <w:sz w:val="20"/>
                <w:szCs w:val="20"/>
                <w:lang w:eastAsia="cs-CZ"/>
              </w:rPr>
              <w:t>Bude splněno</w:t>
            </w:r>
            <w:r w:rsidRPr="00AE7F44">
              <w:rPr>
                <w:rFonts w:ascii="Calibri" w:hAnsi="Calibri" w:cs="Calibri"/>
                <w:color w:val="006100"/>
                <w:sz w:val="20"/>
                <w:szCs w:val="20"/>
                <w:lang w:eastAsia="cs-CZ"/>
              </w:rPr>
              <w:br/>
              <w:t>novelou vyhlášky č. 377/2013</w:t>
            </w:r>
            <w:r w:rsidR="009B2D08">
              <w:rPr>
                <w:rFonts w:ascii="Calibri" w:hAnsi="Calibri" w:cs="Calibri"/>
                <w:color w:val="006100"/>
                <w:sz w:val="20"/>
                <w:szCs w:val="20"/>
                <w:lang w:eastAsia="cs-CZ"/>
              </w:rPr>
              <w:t>.</w:t>
            </w:r>
            <w:r w:rsidRPr="00AE7F44">
              <w:rPr>
                <w:rFonts w:ascii="Calibri" w:hAnsi="Calibri" w:cs="Calibri"/>
                <w:color w:val="006100"/>
                <w:sz w:val="20"/>
                <w:szCs w:val="20"/>
                <w:lang w:eastAsia="cs-CZ"/>
              </w:rPr>
              <w:br/>
            </w:r>
            <w:r w:rsidR="00CB584B" w:rsidRPr="00AE7F44">
              <w:rPr>
                <w:rFonts w:ascii="Calibri" w:hAnsi="Calibri" w:cs="Calibri"/>
                <w:color w:val="FF0000"/>
                <w:sz w:val="20"/>
                <w:szCs w:val="20"/>
                <w:lang w:eastAsia="cs-CZ"/>
              </w:rPr>
              <w:t>Do ukončení kontrolní akce</w:t>
            </w:r>
            <w:r w:rsidRPr="00AE7F44">
              <w:rPr>
                <w:rFonts w:ascii="Calibri" w:hAnsi="Calibri" w:cs="Calibri"/>
                <w:color w:val="FF0000"/>
                <w:sz w:val="20"/>
                <w:szCs w:val="20"/>
                <w:lang w:eastAsia="cs-CZ"/>
              </w:rPr>
              <w:t xml:space="preserve"> NKÚ nebyla novela schválena</w:t>
            </w:r>
            <w:r w:rsidR="009B2D08">
              <w:rPr>
                <w:rFonts w:ascii="Calibri" w:hAnsi="Calibri" w:cs="Calibri"/>
                <w:color w:val="FF0000"/>
                <w:sz w:val="20"/>
                <w:szCs w:val="20"/>
                <w:lang w:eastAsia="cs-CZ"/>
              </w:rPr>
              <w:t>.</w:t>
            </w:r>
          </w:p>
        </w:tc>
      </w:tr>
      <w:tr w:rsidR="007734B4" w:rsidRPr="00AE7F44" w14:paraId="6BDD29CB" w14:textId="77777777" w:rsidTr="00BD5CDC">
        <w:trPr>
          <w:trHeight w:val="227"/>
          <w:jc w:val="center"/>
        </w:trPr>
        <w:tc>
          <w:tcPr>
            <w:tcW w:w="292" w:type="pct"/>
            <w:shd w:val="clear" w:color="auto" w:fill="auto"/>
            <w:noWrap/>
            <w:vAlign w:val="center"/>
            <w:hideMark/>
          </w:tcPr>
          <w:p w14:paraId="50A0607F"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DB9</w:t>
            </w:r>
          </w:p>
        </w:tc>
        <w:tc>
          <w:tcPr>
            <w:tcW w:w="1725" w:type="pct"/>
            <w:shd w:val="clear" w:color="auto" w:fill="auto"/>
            <w:vAlign w:val="center"/>
            <w:hideMark/>
          </w:tcPr>
          <w:p w14:paraId="33A2D54F" w14:textId="503FB825" w:rsidR="00395345" w:rsidRPr="00AE7F44" w:rsidRDefault="00395345" w:rsidP="009B2D08">
            <w:pPr>
              <w:rPr>
                <w:rFonts w:ascii="Calibri" w:hAnsi="Calibri" w:cs="Calibri"/>
                <w:sz w:val="20"/>
                <w:szCs w:val="20"/>
                <w:lang w:eastAsia="cs-CZ"/>
              </w:rPr>
            </w:pPr>
            <w:r w:rsidRPr="00AE7F44">
              <w:rPr>
                <w:rFonts w:ascii="Calibri" w:hAnsi="Calibri" w:cs="Calibri"/>
                <w:sz w:val="20"/>
                <w:szCs w:val="20"/>
                <w:lang w:eastAsia="cs-CZ"/>
              </w:rPr>
              <w:t>Urychlení vstupu v platnost a případné další zpřísnění parametrů pro účinnost a emise topidel obsažených v</w:t>
            </w:r>
            <w:r w:rsidR="009B2D08">
              <w:rPr>
                <w:rFonts w:ascii="Calibri" w:hAnsi="Calibri" w:cs="Calibri"/>
                <w:sz w:val="20"/>
                <w:szCs w:val="20"/>
                <w:lang w:eastAsia="cs-CZ"/>
              </w:rPr>
              <w:t> </w:t>
            </w:r>
            <w:r w:rsidRPr="00AE7F44">
              <w:rPr>
                <w:rFonts w:ascii="Calibri" w:hAnsi="Calibri" w:cs="Calibri"/>
                <w:sz w:val="20"/>
                <w:szCs w:val="20"/>
                <w:lang w:eastAsia="cs-CZ"/>
              </w:rPr>
              <w:t xml:space="preserve">prováděcím nařízení ke směrnici 2009/125/ES o </w:t>
            </w:r>
            <w:proofErr w:type="spellStart"/>
            <w:r w:rsidRPr="00AE7F44">
              <w:rPr>
                <w:rFonts w:ascii="Calibri" w:hAnsi="Calibri" w:cs="Calibri"/>
                <w:sz w:val="20"/>
                <w:szCs w:val="20"/>
                <w:lang w:eastAsia="cs-CZ"/>
              </w:rPr>
              <w:t>ekodesignu</w:t>
            </w:r>
            <w:proofErr w:type="spellEnd"/>
          </w:p>
        </w:tc>
        <w:tc>
          <w:tcPr>
            <w:tcW w:w="849" w:type="pct"/>
            <w:shd w:val="clear" w:color="000000" w:fill="C6EFCE"/>
            <w:vAlign w:val="center"/>
            <w:hideMark/>
          </w:tcPr>
          <w:p w14:paraId="08DE0421"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Splněno</w:t>
            </w:r>
          </w:p>
        </w:tc>
        <w:tc>
          <w:tcPr>
            <w:tcW w:w="2133" w:type="pct"/>
            <w:shd w:val="clear" w:color="000000" w:fill="C6EFCE"/>
            <w:vAlign w:val="center"/>
            <w:hideMark/>
          </w:tcPr>
          <w:p w14:paraId="485123F4" w14:textId="77777777" w:rsidR="00395345" w:rsidRPr="00AE7F44" w:rsidRDefault="00395345" w:rsidP="00395345">
            <w:pPr>
              <w:jc w:val="center"/>
              <w:rPr>
                <w:rFonts w:ascii="Calibri" w:hAnsi="Calibri" w:cs="Calibri"/>
                <w:b/>
                <w:bCs/>
                <w:color w:val="006100"/>
                <w:sz w:val="20"/>
                <w:szCs w:val="20"/>
                <w:lang w:eastAsia="cs-CZ"/>
              </w:rPr>
            </w:pPr>
            <w:r w:rsidRPr="00AE7F44">
              <w:rPr>
                <w:rFonts w:ascii="Calibri" w:hAnsi="Calibri" w:cs="Calibri"/>
                <w:b/>
                <w:bCs/>
                <w:color w:val="006100"/>
                <w:sz w:val="20"/>
                <w:szCs w:val="20"/>
                <w:lang w:eastAsia="cs-CZ"/>
              </w:rPr>
              <w:t>Splněno</w:t>
            </w:r>
          </w:p>
        </w:tc>
      </w:tr>
      <w:tr w:rsidR="007734B4" w:rsidRPr="00AE7F44" w14:paraId="01E79AC6" w14:textId="77777777" w:rsidTr="00BD5CDC">
        <w:trPr>
          <w:trHeight w:val="227"/>
          <w:jc w:val="center"/>
        </w:trPr>
        <w:tc>
          <w:tcPr>
            <w:tcW w:w="292" w:type="pct"/>
            <w:shd w:val="clear" w:color="auto" w:fill="auto"/>
            <w:noWrap/>
            <w:vAlign w:val="center"/>
            <w:hideMark/>
          </w:tcPr>
          <w:p w14:paraId="1E994F01" w14:textId="77777777" w:rsidR="00395345" w:rsidRPr="00AE7F44" w:rsidRDefault="00395345" w:rsidP="007734B4">
            <w:pPr>
              <w:ind w:right="-57"/>
              <w:rPr>
                <w:rFonts w:ascii="Calibri" w:hAnsi="Calibri" w:cs="Calibri"/>
                <w:sz w:val="20"/>
                <w:szCs w:val="20"/>
                <w:lang w:eastAsia="cs-CZ"/>
              </w:rPr>
            </w:pPr>
            <w:r w:rsidRPr="00AE7F44">
              <w:rPr>
                <w:rFonts w:ascii="Calibri" w:hAnsi="Calibri" w:cs="Calibri"/>
                <w:sz w:val="20"/>
                <w:szCs w:val="20"/>
                <w:lang w:eastAsia="cs-CZ"/>
              </w:rPr>
              <w:t>DB10</w:t>
            </w:r>
          </w:p>
        </w:tc>
        <w:tc>
          <w:tcPr>
            <w:tcW w:w="1725" w:type="pct"/>
            <w:shd w:val="clear" w:color="auto" w:fill="auto"/>
            <w:vAlign w:val="center"/>
            <w:hideMark/>
          </w:tcPr>
          <w:p w14:paraId="7A788F62" w14:textId="3378F617" w:rsidR="00395345" w:rsidRPr="00AE7F44" w:rsidRDefault="00395345" w:rsidP="00701CF4">
            <w:pPr>
              <w:rPr>
                <w:rFonts w:ascii="Calibri" w:hAnsi="Calibri" w:cs="Calibri"/>
                <w:sz w:val="20"/>
                <w:szCs w:val="20"/>
                <w:lang w:eastAsia="cs-CZ"/>
              </w:rPr>
            </w:pPr>
            <w:r w:rsidRPr="00AE7F44">
              <w:rPr>
                <w:rFonts w:ascii="Calibri" w:hAnsi="Calibri" w:cs="Calibri"/>
                <w:sz w:val="20"/>
                <w:szCs w:val="20"/>
                <w:lang w:eastAsia="cs-CZ"/>
              </w:rPr>
              <w:t>Omezení dostupnosti spalovacích stacionárních zdrojů o jmenovitém tepelném příkonu nižším než 300 kW určených ke spalování uhlí</w:t>
            </w:r>
          </w:p>
        </w:tc>
        <w:tc>
          <w:tcPr>
            <w:tcW w:w="849" w:type="pct"/>
            <w:shd w:val="clear" w:color="000000" w:fill="FFEB9C"/>
            <w:vAlign w:val="center"/>
            <w:hideMark/>
          </w:tcPr>
          <w:p w14:paraId="7E21A160" w14:textId="77777777" w:rsidR="00395345" w:rsidRPr="00AE7F44" w:rsidRDefault="00395345" w:rsidP="00395345">
            <w:pPr>
              <w:jc w:val="center"/>
              <w:rPr>
                <w:rFonts w:ascii="Calibri" w:hAnsi="Calibri" w:cs="Calibri"/>
                <w:b/>
                <w:bCs/>
                <w:color w:val="9C6500"/>
                <w:sz w:val="20"/>
                <w:szCs w:val="20"/>
                <w:lang w:eastAsia="cs-CZ"/>
              </w:rPr>
            </w:pPr>
            <w:r w:rsidRPr="00AE7F44">
              <w:rPr>
                <w:rFonts w:ascii="Calibri" w:hAnsi="Calibri" w:cs="Calibri"/>
                <w:b/>
                <w:bCs/>
                <w:color w:val="9C6500"/>
                <w:sz w:val="20"/>
                <w:szCs w:val="20"/>
                <w:lang w:eastAsia="cs-CZ"/>
              </w:rPr>
              <w:t>Probíhá příprava</w:t>
            </w:r>
          </w:p>
        </w:tc>
        <w:tc>
          <w:tcPr>
            <w:tcW w:w="2133" w:type="pct"/>
            <w:shd w:val="clear" w:color="000000" w:fill="FFEB9C"/>
            <w:vAlign w:val="center"/>
            <w:hideMark/>
          </w:tcPr>
          <w:p w14:paraId="6B38ECF6" w14:textId="77777777" w:rsidR="00395345" w:rsidRPr="00AE7F44" w:rsidRDefault="00395345" w:rsidP="00395345">
            <w:pPr>
              <w:jc w:val="center"/>
              <w:rPr>
                <w:rFonts w:ascii="Calibri" w:hAnsi="Calibri" w:cs="Calibri"/>
                <w:b/>
                <w:bCs/>
                <w:color w:val="9C6500"/>
                <w:sz w:val="20"/>
                <w:szCs w:val="20"/>
                <w:lang w:eastAsia="cs-CZ"/>
              </w:rPr>
            </w:pPr>
            <w:r w:rsidRPr="00AE7F44">
              <w:rPr>
                <w:rFonts w:ascii="Calibri" w:hAnsi="Calibri" w:cs="Calibri"/>
                <w:b/>
                <w:bCs/>
                <w:color w:val="9C6500"/>
                <w:sz w:val="20"/>
                <w:szCs w:val="20"/>
                <w:lang w:eastAsia="cs-CZ"/>
              </w:rPr>
              <w:t>Probíhá příprava</w:t>
            </w:r>
          </w:p>
        </w:tc>
      </w:tr>
    </w:tbl>
    <w:p w14:paraId="2D2945B8" w14:textId="51761867" w:rsidR="00723B6D" w:rsidRDefault="00395345" w:rsidP="007734B4">
      <w:pPr>
        <w:pStyle w:val="Zdrojapozn"/>
        <w:spacing w:before="40"/>
        <w:ind w:left="-227"/>
      </w:pPr>
      <w:r w:rsidRPr="00D24707">
        <w:rPr>
          <w:b/>
        </w:rPr>
        <w:t>Zdroj:</w:t>
      </w:r>
      <w:r w:rsidRPr="006F6BF4">
        <w:t xml:space="preserve"> </w:t>
      </w:r>
      <w:r w:rsidR="009B2D08">
        <w:t xml:space="preserve">vypracoval NKÚ na základě </w:t>
      </w:r>
      <w:proofErr w:type="spellStart"/>
      <w:r w:rsidRPr="006F6BF4">
        <w:t>ZoŽP</w:t>
      </w:r>
      <w:proofErr w:type="spellEnd"/>
      <w:r>
        <w:t xml:space="preserve"> ČR za rok 2016.</w:t>
      </w:r>
      <w:r w:rsidR="00723B6D">
        <w:br w:type="page"/>
      </w:r>
    </w:p>
    <w:p w14:paraId="236468A2" w14:textId="77777777" w:rsidR="00723B6D" w:rsidRDefault="00723B6D" w:rsidP="00723B6D">
      <w:pPr>
        <w:pStyle w:val="Nadpis1"/>
        <w:numPr>
          <w:ilvl w:val="0"/>
          <w:numId w:val="0"/>
        </w:numPr>
        <w:spacing w:before="0" w:after="0"/>
        <w:ind w:left="431" w:hanging="431"/>
        <w:rPr>
          <w:sz w:val="24"/>
        </w:rPr>
      </w:pPr>
      <w:r>
        <w:rPr>
          <w:sz w:val="24"/>
        </w:rPr>
        <w:t>Příloha č. 5</w:t>
      </w:r>
    </w:p>
    <w:p w14:paraId="5E0ECF97" w14:textId="196FDC78" w:rsidR="00723B6D" w:rsidRPr="00B1650A" w:rsidRDefault="00723B6D" w:rsidP="00805103">
      <w:pPr>
        <w:pStyle w:val="Titulek"/>
        <w:tabs>
          <w:tab w:val="clear" w:pos="7938"/>
          <w:tab w:val="right" w:pos="9072"/>
        </w:tabs>
        <w:spacing w:after="40"/>
        <w:rPr>
          <w:b/>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11</w:t>
      </w:r>
      <w:r w:rsidR="00A36661" w:rsidRPr="00B1650A">
        <w:rPr>
          <w:b/>
          <w:noProof/>
        </w:rPr>
        <w:fldChar w:fldCharType="end"/>
      </w:r>
      <w:r w:rsidRPr="00B1650A">
        <w:rPr>
          <w:b/>
        </w:rPr>
        <w:t>: Kontrolované projekty v rámci PO2 OPŽP</w:t>
      </w:r>
      <w:r w:rsidR="00C12E5A" w:rsidRPr="00B1650A">
        <w:rPr>
          <w:b/>
        </w:rPr>
        <w:tab/>
        <w:t>(v Kč)</w:t>
      </w:r>
    </w:p>
    <w:tbl>
      <w:tblPr>
        <w:tblW w:w="5000" w:type="pct"/>
        <w:tblCellMar>
          <w:left w:w="70" w:type="dxa"/>
          <w:right w:w="70" w:type="dxa"/>
        </w:tblCellMar>
        <w:tblLook w:val="04A0" w:firstRow="1" w:lastRow="0" w:firstColumn="1" w:lastColumn="0" w:noHBand="0" w:noVBand="1"/>
      </w:tblPr>
      <w:tblGrid>
        <w:gridCol w:w="2416"/>
        <w:gridCol w:w="394"/>
        <w:gridCol w:w="3131"/>
        <w:gridCol w:w="1544"/>
        <w:gridCol w:w="1567"/>
      </w:tblGrid>
      <w:tr w:rsidR="00723B6D" w:rsidRPr="00723B6D" w14:paraId="4D042815" w14:textId="77777777" w:rsidTr="00AA4206">
        <w:trPr>
          <w:trHeight w:val="227"/>
        </w:trPr>
        <w:tc>
          <w:tcPr>
            <w:tcW w:w="1335" w:type="pct"/>
            <w:tcBorders>
              <w:top w:val="single" w:sz="4" w:space="0" w:color="auto"/>
              <w:left w:val="single" w:sz="8" w:space="0" w:color="auto"/>
              <w:bottom w:val="single" w:sz="4" w:space="0" w:color="auto"/>
              <w:right w:val="single" w:sz="4" w:space="0" w:color="auto"/>
            </w:tcBorders>
            <w:shd w:val="clear" w:color="000000" w:fill="E5F1FF"/>
            <w:vAlign w:val="center"/>
            <w:hideMark/>
          </w:tcPr>
          <w:p w14:paraId="793EAB4B"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Kontrolovaná osoba</w:t>
            </w:r>
          </w:p>
        </w:tc>
        <w:tc>
          <w:tcPr>
            <w:tcW w:w="218" w:type="pct"/>
            <w:tcBorders>
              <w:top w:val="single" w:sz="4" w:space="0" w:color="auto"/>
              <w:left w:val="nil"/>
              <w:bottom w:val="single" w:sz="4" w:space="0" w:color="auto"/>
              <w:right w:val="single" w:sz="4" w:space="0" w:color="auto"/>
            </w:tcBorders>
            <w:shd w:val="clear" w:color="000000" w:fill="E5F1FF"/>
            <w:vAlign w:val="center"/>
            <w:hideMark/>
          </w:tcPr>
          <w:p w14:paraId="743E5B79" w14:textId="77777777" w:rsidR="00723B6D" w:rsidRPr="00723B6D" w:rsidRDefault="00723B6D" w:rsidP="00723B6D">
            <w:pPr>
              <w:jc w:val="center"/>
              <w:rPr>
                <w:rFonts w:ascii="Calibri" w:eastAsia="Times New Roman" w:hAnsi="Calibri" w:cs="Calibri"/>
                <w:b/>
                <w:bCs/>
                <w:sz w:val="20"/>
                <w:szCs w:val="20"/>
                <w:lang w:eastAsia="cs-CZ"/>
              </w:rPr>
            </w:pPr>
            <w:r w:rsidRPr="00723B6D">
              <w:rPr>
                <w:rFonts w:ascii="Calibri" w:eastAsia="Times New Roman" w:hAnsi="Calibri" w:cs="Calibri"/>
                <w:b/>
                <w:bCs/>
                <w:sz w:val="20"/>
                <w:szCs w:val="20"/>
                <w:lang w:eastAsia="cs-CZ"/>
              </w:rPr>
              <w:t>SC</w:t>
            </w:r>
          </w:p>
        </w:tc>
        <w:tc>
          <w:tcPr>
            <w:tcW w:w="1729" w:type="pct"/>
            <w:tcBorders>
              <w:top w:val="single" w:sz="4" w:space="0" w:color="auto"/>
              <w:left w:val="nil"/>
              <w:bottom w:val="single" w:sz="4" w:space="0" w:color="auto"/>
              <w:right w:val="single" w:sz="4" w:space="0" w:color="auto"/>
            </w:tcBorders>
            <w:shd w:val="clear" w:color="000000" w:fill="E5F1FF"/>
            <w:vAlign w:val="center"/>
            <w:hideMark/>
          </w:tcPr>
          <w:p w14:paraId="17481B48" w14:textId="3A93188F" w:rsidR="00723B6D" w:rsidRPr="00723B6D" w:rsidRDefault="00723B6D" w:rsidP="00D25553">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xml:space="preserve">Projekt </w:t>
            </w:r>
            <w:r w:rsidR="00D25553">
              <w:rPr>
                <w:rFonts w:ascii="Calibri" w:eastAsia="Times New Roman" w:hAnsi="Calibri" w:cs="Calibri"/>
                <w:b/>
                <w:bCs/>
                <w:color w:val="000000"/>
                <w:sz w:val="20"/>
                <w:szCs w:val="20"/>
                <w:lang w:eastAsia="cs-CZ"/>
              </w:rPr>
              <w:t>–</w:t>
            </w:r>
            <w:r w:rsidRPr="00723B6D">
              <w:rPr>
                <w:rFonts w:ascii="Calibri" w:eastAsia="Times New Roman" w:hAnsi="Calibri" w:cs="Calibri"/>
                <w:b/>
                <w:bCs/>
                <w:color w:val="000000"/>
                <w:sz w:val="20"/>
                <w:szCs w:val="20"/>
                <w:lang w:eastAsia="cs-CZ"/>
              </w:rPr>
              <w:t xml:space="preserve"> číslo</w:t>
            </w:r>
          </w:p>
        </w:tc>
        <w:tc>
          <w:tcPr>
            <w:tcW w:w="853" w:type="pct"/>
            <w:tcBorders>
              <w:top w:val="single" w:sz="4" w:space="0" w:color="auto"/>
              <w:left w:val="nil"/>
              <w:bottom w:val="single" w:sz="4" w:space="0" w:color="auto"/>
              <w:right w:val="single" w:sz="4" w:space="0" w:color="auto"/>
            </w:tcBorders>
            <w:shd w:val="clear" w:color="000000" w:fill="E5F1FF"/>
            <w:vAlign w:val="center"/>
            <w:hideMark/>
          </w:tcPr>
          <w:p w14:paraId="444B6968"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Dotace (</w:t>
            </w:r>
            <w:proofErr w:type="spellStart"/>
            <w:r w:rsidRPr="00723B6D">
              <w:rPr>
                <w:rFonts w:ascii="Calibri" w:eastAsia="Times New Roman" w:hAnsi="Calibri" w:cs="Calibri"/>
                <w:b/>
                <w:bCs/>
                <w:color w:val="000000"/>
                <w:sz w:val="20"/>
                <w:szCs w:val="20"/>
                <w:lang w:eastAsia="cs-CZ"/>
              </w:rPr>
              <w:t>RoPD</w:t>
            </w:r>
            <w:proofErr w:type="spellEnd"/>
            <w:r w:rsidRPr="00723B6D">
              <w:rPr>
                <w:rFonts w:ascii="Calibri" w:eastAsia="Times New Roman" w:hAnsi="Calibri" w:cs="Calibri"/>
                <w:b/>
                <w:bCs/>
                <w:color w:val="000000"/>
                <w:sz w:val="20"/>
                <w:szCs w:val="20"/>
                <w:lang w:eastAsia="cs-CZ"/>
              </w:rPr>
              <w:t>)</w:t>
            </w:r>
          </w:p>
        </w:tc>
        <w:tc>
          <w:tcPr>
            <w:tcW w:w="866" w:type="pct"/>
            <w:tcBorders>
              <w:top w:val="single" w:sz="4" w:space="0" w:color="auto"/>
              <w:left w:val="nil"/>
              <w:bottom w:val="single" w:sz="4" w:space="0" w:color="auto"/>
              <w:right w:val="single" w:sz="8" w:space="0" w:color="auto"/>
            </w:tcBorders>
            <w:shd w:val="clear" w:color="000000" w:fill="E5F1FF"/>
            <w:vAlign w:val="center"/>
            <w:hideMark/>
          </w:tcPr>
          <w:p w14:paraId="1C1782DD" w14:textId="77777777" w:rsidR="00723B6D" w:rsidRPr="00723B6D" w:rsidRDefault="00C12E5A"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Plnění</w:t>
            </w:r>
            <w:r w:rsidR="00723B6D" w:rsidRPr="00723B6D">
              <w:rPr>
                <w:rFonts w:ascii="Calibri" w:eastAsia="Times New Roman" w:hAnsi="Calibri" w:cs="Calibri"/>
                <w:b/>
                <w:bCs/>
                <w:color w:val="000000"/>
                <w:sz w:val="20"/>
                <w:szCs w:val="20"/>
                <w:lang w:eastAsia="cs-CZ"/>
              </w:rPr>
              <w:t xml:space="preserve"> indikátorů projektů</w:t>
            </w:r>
          </w:p>
        </w:tc>
      </w:tr>
      <w:tr w:rsidR="007A26DE" w:rsidRPr="00723B6D" w14:paraId="34261AA7" w14:textId="77777777" w:rsidTr="00AA4206">
        <w:trPr>
          <w:trHeight w:val="227"/>
        </w:trPr>
        <w:tc>
          <w:tcPr>
            <w:tcW w:w="5000" w:type="pct"/>
            <w:gridSpan w:val="5"/>
            <w:tcBorders>
              <w:top w:val="nil"/>
              <w:left w:val="single" w:sz="8" w:space="0" w:color="auto"/>
              <w:bottom w:val="single" w:sz="4" w:space="0" w:color="auto"/>
              <w:right w:val="single" w:sz="8" w:space="0" w:color="auto"/>
            </w:tcBorders>
            <w:shd w:val="clear" w:color="auto" w:fill="E5F1FF"/>
            <w:vAlign w:val="center"/>
          </w:tcPr>
          <w:p w14:paraId="338298A1" w14:textId="77777777" w:rsidR="007A26DE" w:rsidRPr="00723B6D" w:rsidRDefault="007A26DE" w:rsidP="007A26DE">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SEKTOR LOKÁLNÍHO VYTÁPĚNÍ (DOMÁCNOSTI)</w:t>
            </w:r>
          </w:p>
        </w:tc>
      </w:tr>
      <w:tr w:rsidR="00723B6D" w:rsidRPr="00723B6D" w14:paraId="747901A3"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4D93B0E"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Ústecký kraj</w:t>
            </w:r>
          </w:p>
        </w:tc>
        <w:tc>
          <w:tcPr>
            <w:tcW w:w="218" w:type="pct"/>
            <w:tcBorders>
              <w:top w:val="nil"/>
              <w:left w:val="nil"/>
              <w:bottom w:val="single" w:sz="4" w:space="0" w:color="auto"/>
              <w:right w:val="single" w:sz="4" w:space="0" w:color="auto"/>
            </w:tcBorders>
            <w:shd w:val="clear" w:color="auto" w:fill="auto"/>
            <w:noWrap/>
            <w:vAlign w:val="center"/>
            <w:hideMark/>
          </w:tcPr>
          <w:p w14:paraId="0CBB5F61"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0B46D72C"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CZ.05.2.32/0.0/0.0/15_016/0000006</w:t>
            </w:r>
          </w:p>
        </w:tc>
        <w:tc>
          <w:tcPr>
            <w:tcW w:w="853" w:type="pct"/>
            <w:tcBorders>
              <w:top w:val="nil"/>
              <w:left w:val="nil"/>
              <w:bottom w:val="single" w:sz="4" w:space="0" w:color="auto"/>
              <w:right w:val="single" w:sz="4" w:space="0" w:color="auto"/>
            </w:tcBorders>
            <w:shd w:val="clear" w:color="auto" w:fill="auto"/>
            <w:vAlign w:val="center"/>
            <w:hideMark/>
          </w:tcPr>
          <w:p w14:paraId="37B958AD"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178 200 000,00</w:t>
            </w:r>
          </w:p>
        </w:tc>
        <w:tc>
          <w:tcPr>
            <w:tcW w:w="866" w:type="pct"/>
            <w:tcBorders>
              <w:top w:val="nil"/>
              <w:left w:val="nil"/>
              <w:bottom w:val="single" w:sz="4" w:space="0" w:color="auto"/>
              <w:right w:val="single" w:sz="8" w:space="0" w:color="auto"/>
            </w:tcBorders>
            <w:shd w:val="clear" w:color="auto" w:fill="auto"/>
            <w:noWrap/>
            <w:vAlign w:val="center"/>
            <w:hideMark/>
          </w:tcPr>
          <w:p w14:paraId="5C8BA655"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4E5899D6"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6140C698"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Ústecký kraj</w:t>
            </w:r>
          </w:p>
        </w:tc>
        <w:tc>
          <w:tcPr>
            <w:tcW w:w="218" w:type="pct"/>
            <w:tcBorders>
              <w:top w:val="nil"/>
              <w:left w:val="nil"/>
              <w:bottom w:val="single" w:sz="4" w:space="0" w:color="auto"/>
              <w:right w:val="single" w:sz="4" w:space="0" w:color="auto"/>
            </w:tcBorders>
            <w:shd w:val="clear" w:color="auto" w:fill="auto"/>
            <w:noWrap/>
            <w:vAlign w:val="center"/>
            <w:hideMark/>
          </w:tcPr>
          <w:p w14:paraId="0D0FA324"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2BF26177"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CZ.05.2.32/0.0/0.0/17_067/0005159</w:t>
            </w:r>
          </w:p>
        </w:tc>
        <w:tc>
          <w:tcPr>
            <w:tcW w:w="853" w:type="pct"/>
            <w:tcBorders>
              <w:top w:val="nil"/>
              <w:left w:val="nil"/>
              <w:bottom w:val="single" w:sz="4" w:space="0" w:color="auto"/>
              <w:right w:val="single" w:sz="4" w:space="0" w:color="auto"/>
            </w:tcBorders>
            <w:shd w:val="clear" w:color="auto" w:fill="auto"/>
            <w:vAlign w:val="center"/>
            <w:hideMark/>
          </w:tcPr>
          <w:p w14:paraId="0C91CD5A"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161 700 000,00</w:t>
            </w:r>
          </w:p>
        </w:tc>
        <w:tc>
          <w:tcPr>
            <w:tcW w:w="866" w:type="pct"/>
            <w:tcBorders>
              <w:top w:val="nil"/>
              <w:left w:val="nil"/>
              <w:bottom w:val="single" w:sz="4" w:space="0" w:color="auto"/>
              <w:right w:val="single" w:sz="8" w:space="0" w:color="auto"/>
            </w:tcBorders>
            <w:shd w:val="clear" w:color="auto" w:fill="auto"/>
            <w:noWrap/>
            <w:vAlign w:val="center"/>
            <w:hideMark/>
          </w:tcPr>
          <w:p w14:paraId="507FB53C"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307962A3"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81274D1"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Středočeský kraj</w:t>
            </w:r>
          </w:p>
        </w:tc>
        <w:tc>
          <w:tcPr>
            <w:tcW w:w="218" w:type="pct"/>
            <w:tcBorders>
              <w:top w:val="nil"/>
              <w:left w:val="nil"/>
              <w:bottom w:val="single" w:sz="4" w:space="0" w:color="auto"/>
              <w:right w:val="single" w:sz="4" w:space="0" w:color="auto"/>
            </w:tcBorders>
            <w:shd w:val="clear" w:color="auto" w:fill="auto"/>
            <w:noWrap/>
            <w:vAlign w:val="center"/>
            <w:hideMark/>
          </w:tcPr>
          <w:p w14:paraId="37185A1B"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3C459207"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CZ.05.2.32/0.0/0.0/15_016/0000013</w:t>
            </w:r>
          </w:p>
        </w:tc>
        <w:tc>
          <w:tcPr>
            <w:tcW w:w="853" w:type="pct"/>
            <w:tcBorders>
              <w:top w:val="nil"/>
              <w:left w:val="nil"/>
              <w:bottom w:val="single" w:sz="4" w:space="0" w:color="auto"/>
              <w:right w:val="single" w:sz="4" w:space="0" w:color="auto"/>
            </w:tcBorders>
            <w:shd w:val="clear" w:color="auto" w:fill="auto"/>
            <w:vAlign w:val="center"/>
            <w:hideMark/>
          </w:tcPr>
          <w:p w14:paraId="53FFF6AD"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569 580 000,00</w:t>
            </w:r>
          </w:p>
        </w:tc>
        <w:tc>
          <w:tcPr>
            <w:tcW w:w="866" w:type="pct"/>
            <w:tcBorders>
              <w:top w:val="nil"/>
              <w:left w:val="nil"/>
              <w:bottom w:val="single" w:sz="4" w:space="0" w:color="auto"/>
              <w:right w:val="single" w:sz="8" w:space="0" w:color="auto"/>
            </w:tcBorders>
            <w:shd w:val="clear" w:color="auto" w:fill="auto"/>
            <w:noWrap/>
            <w:vAlign w:val="center"/>
            <w:hideMark/>
          </w:tcPr>
          <w:p w14:paraId="1DA7266A"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23610914"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BC9CE8C"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Středočeský kraj</w:t>
            </w:r>
          </w:p>
        </w:tc>
        <w:tc>
          <w:tcPr>
            <w:tcW w:w="218" w:type="pct"/>
            <w:tcBorders>
              <w:top w:val="nil"/>
              <w:left w:val="nil"/>
              <w:bottom w:val="single" w:sz="4" w:space="0" w:color="auto"/>
              <w:right w:val="single" w:sz="4" w:space="0" w:color="auto"/>
            </w:tcBorders>
            <w:shd w:val="clear" w:color="auto" w:fill="auto"/>
            <w:noWrap/>
            <w:vAlign w:val="center"/>
            <w:hideMark/>
          </w:tcPr>
          <w:p w14:paraId="4805A7B3"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1BFF6BE0"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CZ.05.2.32/0.0/0.0/17_067/0005165</w:t>
            </w:r>
          </w:p>
        </w:tc>
        <w:tc>
          <w:tcPr>
            <w:tcW w:w="853" w:type="pct"/>
            <w:tcBorders>
              <w:top w:val="nil"/>
              <w:left w:val="nil"/>
              <w:bottom w:val="single" w:sz="4" w:space="0" w:color="auto"/>
              <w:right w:val="single" w:sz="4" w:space="0" w:color="auto"/>
            </w:tcBorders>
            <w:shd w:val="clear" w:color="auto" w:fill="auto"/>
            <w:noWrap/>
            <w:vAlign w:val="center"/>
            <w:hideMark/>
          </w:tcPr>
          <w:p w14:paraId="30DA2ECB"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517 800 000,00</w:t>
            </w:r>
          </w:p>
        </w:tc>
        <w:tc>
          <w:tcPr>
            <w:tcW w:w="866" w:type="pct"/>
            <w:tcBorders>
              <w:top w:val="nil"/>
              <w:left w:val="nil"/>
              <w:bottom w:val="single" w:sz="4" w:space="0" w:color="auto"/>
              <w:right w:val="single" w:sz="8" w:space="0" w:color="auto"/>
            </w:tcBorders>
            <w:shd w:val="clear" w:color="auto" w:fill="auto"/>
            <w:noWrap/>
            <w:vAlign w:val="center"/>
            <w:hideMark/>
          </w:tcPr>
          <w:p w14:paraId="3D41E0FC"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77404F01"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5CA5FC76"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Moravskoslezský kraj</w:t>
            </w:r>
          </w:p>
        </w:tc>
        <w:tc>
          <w:tcPr>
            <w:tcW w:w="218" w:type="pct"/>
            <w:tcBorders>
              <w:top w:val="nil"/>
              <w:left w:val="nil"/>
              <w:bottom w:val="single" w:sz="4" w:space="0" w:color="auto"/>
              <w:right w:val="single" w:sz="4" w:space="0" w:color="auto"/>
            </w:tcBorders>
            <w:shd w:val="clear" w:color="auto" w:fill="auto"/>
            <w:noWrap/>
            <w:vAlign w:val="center"/>
            <w:hideMark/>
          </w:tcPr>
          <w:p w14:paraId="66D31D8C"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4C21662A"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CZ.05.2.32/0.0/0.0/15_016/0000010</w:t>
            </w:r>
          </w:p>
        </w:tc>
        <w:tc>
          <w:tcPr>
            <w:tcW w:w="853" w:type="pct"/>
            <w:tcBorders>
              <w:top w:val="nil"/>
              <w:left w:val="nil"/>
              <w:bottom w:val="single" w:sz="4" w:space="0" w:color="auto"/>
              <w:right w:val="single" w:sz="4" w:space="0" w:color="auto"/>
            </w:tcBorders>
            <w:shd w:val="clear" w:color="auto" w:fill="auto"/>
            <w:noWrap/>
            <w:vAlign w:val="center"/>
            <w:hideMark/>
          </w:tcPr>
          <w:p w14:paraId="38593F16"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516 120 000,00</w:t>
            </w:r>
          </w:p>
        </w:tc>
        <w:tc>
          <w:tcPr>
            <w:tcW w:w="866" w:type="pct"/>
            <w:tcBorders>
              <w:top w:val="nil"/>
              <w:left w:val="nil"/>
              <w:bottom w:val="single" w:sz="4" w:space="0" w:color="auto"/>
              <w:right w:val="single" w:sz="8" w:space="0" w:color="auto"/>
            </w:tcBorders>
            <w:shd w:val="clear" w:color="auto" w:fill="auto"/>
            <w:noWrap/>
            <w:vAlign w:val="center"/>
            <w:hideMark/>
          </w:tcPr>
          <w:p w14:paraId="52D60310"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179458E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7923E387"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Moravskoslezský kraj</w:t>
            </w:r>
          </w:p>
        </w:tc>
        <w:tc>
          <w:tcPr>
            <w:tcW w:w="218" w:type="pct"/>
            <w:tcBorders>
              <w:top w:val="nil"/>
              <w:left w:val="nil"/>
              <w:bottom w:val="single" w:sz="4" w:space="0" w:color="auto"/>
              <w:right w:val="single" w:sz="4" w:space="0" w:color="auto"/>
            </w:tcBorders>
            <w:shd w:val="clear" w:color="auto" w:fill="auto"/>
            <w:noWrap/>
            <w:vAlign w:val="center"/>
            <w:hideMark/>
          </w:tcPr>
          <w:p w14:paraId="70DCB025"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5D5E7041"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CZ.05.2.32/0.0/0.0/17_067/0005161</w:t>
            </w:r>
          </w:p>
        </w:tc>
        <w:tc>
          <w:tcPr>
            <w:tcW w:w="853" w:type="pct"/>
            <w:tcBorders>
              <w:top w:val="nil"/>
              <w:left w:val="nil"/>
              <w:bottom w:val="single" w:sz="4" w:space="0" w:color="auto"/>
              <w:right w:val="single" w:sz="4" w:space="0" w:color="auto"/>
            </w:tcBorders>
            <w:shd w:val="clear" w:color="auto" w:fill="auto"/>
            <w:noWrap/>
            <w:vAlign w:val="center"/>
            <w:hideMark/>
          </w:tcPr>
          <w:p w14:paraId="0B054E59"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891 480 000,00</w:t>
            </w:r>
          </w:p>
        </w:tc>
        <w:tc>
          <w:tcPr>
            <w:tcW w:w="866" w:type="pct"/>
            <w:tcBorders>
              <w:top w:val="nil"/>
              <w:left w:val="nil"/>
              <w:bottom w:val="single" w:sz="4" w:space="0" w:color="auto"/>
              <w:right w:val="single" w:sz="8" w:space="0" w:color="auto"/>
            </w:tcBorders>
            <w:shd w:val="clear" w:color="auto" w:fill="auto"/>
            <w:noWrap/>
            <w:vAlign w:val="center"/>
            <w:hideMark/>
          </w:tcPr>
          <w:p w14:paraId="659B72EA"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756009A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1231386"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Jihočeský kraj</w:t>
            </w:r>
          </w:p>
        </w:tc>
        <w:tc>
          <w:tcPr>
            <w:tcW w:w="218" w:type="pct"/>
            <w:tcBorders>
              <w:top w:val="nil"/>
              <w:left w:val="nil"/>
              <w:bottom w:val="single" w:sz="4" w:space="0" w:color="auto"/>
              <w:right w:val="single" w:sz="4" w:space="0" w:color="auto"/>
            </w:tcBorders>
            <w:shd w:val="clear" w:color="auto" w:fill="auto"/>
            <w:noWrap/>
            <w:vAlign w:val="center"/>
            <w:hideMark/>
          </w:tcPr>
          <w:p w14:paraId="29B0B65A"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7B5056C9"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CZ.05.2.32/0.0/0.0/15_016/0000003</w:t>
            </w:r>
          </w:p>
        </w:tc>
        <w:tc>
          <w:tcPr>
            <w:tcW w:w="853" w:type="pct"/>
            <w:tcBorders>
              <w:top w:val="nil"/>
              <w:left w:val="nil"/>
              <w:bottom w:val="single" w:sz="4" w:space="0" w:color="auto"/>
              <w:right w:val="single" w:sz="4" w:space="0" w:color="auto"/>
            </w:tcBorders>
            <w:shd w:val="clear" w:color="auto" w:fill="auto"/>
            <w:noWrap/>
            <w:vAlign w:val="center"/>
            <w:hideMark/>
          </w:tcPr>
          <w:p w14:paraId="541E50C8"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320 000 000,00</w:t>
            </w:r>
          </w:p>
        </w:tc>
        <w:tc>
          <w:tcPr>
            <w:tcW w:w="866" w:type="pct"/>
            <w:tcBorders>
              <w:top w:val="nil"/>
              <w:left w:val="nil"/>
              <w:bottom w:val="single" w:sz="4" w:space="0" w:color="auto"/>
              <w:right w:val="single" w:sz="8" w:space="0" w:color="auto"/>
            </w:tcBorders>
            <w:shd w:val="clear" w:color="auto" w:fill="auto"/>
            <w:noWrap/>
            <w:vAlign w:val="center"/>
            <w:hideMark/>
          </w:tcPr>
          <w:p w14:paraId="2A0DFAEC"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7DE24A00"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005EFDF3"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Jihočeský kraj</w:t>
            </w:r>
          </w:p>
        </w:tc>
        <w:tc>
          <w:tcPr>
            <w:tcW w:w="218" w:type="pct"/>
            <w:tcBorders>
              <w:top w:val="nil"/>
              <w:left w:val="nil"/>
              <w:bottom w:val="single" w:sz="4" w:space="0" w:color="auto"/>
              <w:right w:val="single" w:sz="4" w:space="0" w:color="auto"/>
            </w:tcBorders>
            <w:shd w:val="clear" w:color="auto" w:fill="auto"/>
            <w:noWrap/>
            <w:vAlign w:val="center"/>
            <w:hideMark/>
          </w:tcPr>
          <w:p w14:paraId="57410242"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7400738B"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CZ.05.2.32/0.0/0.0/17_067/0005153</w:t>
            </w:r>
          </w:p>
        </w:tc>
        <w:tc>
          <w:tcPr>
            <w:tcW w:w="853" w:type="pct"/>
            <w:tcBorders>
              <w:top w:val="nil"/>
              <w:left w:val="nil"/>
              <w:bottom w:val="single" w:sz="4" w:space="0" w:color="auto"/>
              <w:right w:val="single" w:sz="4" w:space="0" w:color="auto"/>
            </w:tcBorders>
            <w:shd w:val="clear" w:color="auto" w:fill="auto"/>
            <w:noWrap/>
            <w:vAlign w:val="center"/>
            <w:hideMark/>
          </w:tcPr>
          <w:p w14:paraId="505D945B"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303 000 000,00</w:t>
            </w:r>
          </w:p>
        </w:tc>
        <w:tc>
          <w:tcPr>
            <w:tcW w:w="866" w:type="pct"/>
            <w:tcBorders>
              <w:top w:val="nil"/>
              <w:left w:val="nil"/>
              <w:bottom w:val="single" w:sz="4" w:space="0" w:color="auto"/>
              <w:right w:val="single" w:sz="8" w:space="0" w:color="auto"/>
            </w:tcBorders>
            <w:shd w:val="clear" w:color="auto" w:fill="auto"/>
            <w:noWrap/>
            <w:vAlign w:val="center"/>
            <w:hideMark/>
          </w:tcPr>
          <w:p w14:paraId="31114073"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3435AA55"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6D3DD41D" w14:textId="77777777" w:rsidR="00723B6D" w:rsidRPr="00723B6D" w:rsidRDefault="00723B6D" w:rsidP="00723B6D">
            <w:pP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C</w:t>
            </w:r>
            <w:r>
              <w:rPr>
                <w:rFonts w:ascii="Calibri" w:eastAsia="Times New Roman" w:hAnsi="Calibri" w:cs="Calibri"/>
                <w:b/>
                <w:bCs/>
                <w:color w:val="000000"/>
                <w:sz w:val="20"/>
                <w:szCs w:val="20"/>
                <w:lang w:eastAsia="cs-CZ"/>
              </w:rPr>
              <w:t xml:space="preserve">elkem </w:t>
            </w:r>
            <w:r w:rsidRPr="00723B6D">
              <w:rPr>
                <w:rFonts w:ascii="Calibri" w:eastAsia="Times New Roman" w:hAnsi="Calibri" w:cs="Calibri"/>
                <w:b/>
                <w:bCs/>
                <w:color w:val="000000"/>
                <w:sz w:val="20"/>
                <w:szCs w:val="20"/>
                <w:lang w:eastAsia="cs-CZ"/>
              </w:rPr>
              <w:t>SC 2.1 u krajů</w:t>
            </w:r>
          </w:p>
        </w:tc>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77FF4EF3"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3 457 880 000,00</w:t>
            </w:r>
          </w:p>
        </w:tc>
        <w:tc>
          <w:tcPr>
            <w:tcW w:w="866" w:type="pct"/>
            <w:tcBorders>
              <w:top w:val="nil"/>
              <w:left w:val="nil"/>
              <w:bottom w:val="single" w:sz="4" w:space="0" w:color="auto"/>
              <w:right w:val="single" w:sz="8" w:space="0" w:color="auto"/>
            </w:tcBorders>
            <w:shd w:val="clear" w:color="auto" w:fill="auto"/>
            <w:noWrap/>
            <w:vAlign w:val="center"/>
            <w:hideMark/>
          </w:tcPr>
          <w:p w14:paraId="1884A835"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23B6D" w:rsidRPr="00723B6D" w14:paraId="3FF7E890"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09D457BF"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3236FE33"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02C2ACC5"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CZ.05.2.32/0.0/0.0/15_016/0000219</w:t>
            </w:r>
          </w:p>
        </w:tc>
        <w:tc>
          <w:tcPr>
            <w:tcW w:w="853" w:type="pct"/>
            <w:tcBorders>
              <w:top w:val="nil"/>
              <w:left w:val="nil"/>
              <w:bottom w:val="single" w:sz="4" w:space="0" w:color="auto"/>
              <w:right w:val="single" w:sz="4" w:space="0" w:color="auto"/>
            </w:tcBorders>
            <w:shd w:val="clear" w:color="auto" w:fill="auto"/>
            <w:vAlign w:val="center"/>
            <w:hideMark/>
          </w:tcPr>
          <w:p w14:paraId="016AA490"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23 700 000,00</w:t>
            </w:r>
          </w:p>
        </w:tc>
        <w:tc>
          <w:tcPr>
            <w:tcW w:w="866" w:type="pct"/>
            <w:tcBorders>
              <w:top w:val="nil"/>
              <w:left w:val="nil"/>
              <w:bottom w:val="single" w:sz="4" w:space="0" w:color="auto"/>
              <w:right w:val="single" w:sz="8" w:space="0" w:color="auto"/>
            </w:tcBorders>
            <w:shd w:val="clear" w:color="auto" w:fill="auto"/>
            <w:noWrap/>
            <w:vAlign w:val="center"/>
            <w:hideMark/>
          </w:tcPr>
          <w:p w14:paraId="7337D51F"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28CBA9E8"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4A1AF1C"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69C793FF"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28857AC6"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CZ.05.2.32/0.0/0.0/17_067/0005160</w:t>
            </w:r>
          </w:p>
        </w:tc>
        <w:tc>
          <w:tcPr>
            <w:tcW w:w="853" w:type="pct"/>
            <w:tcBorders>
              <w:top w:val="nil"/>
              <w:left w:val="nil"/>
              <w:bottom w:val="single" w:sz="4" w:space="0" w:color="auto"/>
              <w:right w:val="single" w:sz="4" w:space="0" w:color="auto"/>
            </w:tcBorders>
            <w:shd w:val="clear" w:color="auto" w:fill="auto"/>
            <w:vAlign w:val="center"/>
            <w:hideMark/>
          </w:tcPr>
          <w:p w14:paraId="23C3CF4E"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23 700 000,00</w:t>
            </w:r>
          </w:p>
        </w:tc>
        <w:tc>
          <w:tcPr>
            <w:tcW w:w="866" w:type="pct"/>
            <w:tcBorders>
              <w:top w:val="nil"/>
              <w:left w:val="nil"/>
              <w:bottom w:val="single" w:sz="4" w:space="0" w:color="auto"/>
              <w:right w:val="single" w:sz="8" w:space="0" w:color="auto"/>
            </w:tcBorders>
            <w:shd w:val="clear" w:color="auto" w:fill="auto"/>
            <w:noWrap/>
            <w:vAlign w:val="center"/>
            <w:hideMark/>
          </w:tcPr>
          <w:p w14:paraId="29F4A0DB"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47BF402A"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841F389"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0528A8D6"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03E1D9F6"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CZ.05.2.32/0.0/0.0/15_016/0000007</w:t>
            </w:r>
          </w:p>
        </w:tc>
        <w:tc>
          <w:tcPr>
            <w:tcW w:w="853" w:type="pct"/>
            <w:tcBorders>
              <w:top w:val="nil"/>
              <w:left w:val="nil"/>
              <w:bottom w:val="single" w:sz="4" w:space="0" w:color="auto"/>
              <w:right w:val="single" w:sz="4" w:space="0" w:color="auto"/>
            </w:tcBorders>
            <w:shd w:val="clear" w:color="auto" w:fill="auto"/>
            <w:vAlign w:val="center"/>
            <w:hideMark/>
          </w:tcPr>
          <w:p w14:paraId="0A735909"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195 800 000,00</w:t>
            </w:r>
          </w:p>
        </w:tc>
        <w:tc>
          <w:tcPr>
            <w:tcW w:w="866" w:type="pct"/>
            <w:tcBorders>
              <w:top w:val="nil"/>
              <w:left w:val="nil"/>
              <w:bottom w:val="single" w:sz="4" w:space="0" w:color="auto"/>
              <w:right w:val="single" w:sz="8" w:space="0" w:color="auto"/>
            </w:tcBorders>
            <w:shd w:val="clear" w:color="auto" w:fill="auto"/>
            <w:noWrap/>
            <w:vAlign w:val="center"/>
            <w:hideMark/>
          </w:tcPr>
          <w:p w14:paraId="062B5742"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289C519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0F0D6626"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10147FF2"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2.1</w:t>
            </w:r>
          </w:p>
        </w:tc>
        <w:tc>
          <w:tcPr>
            <w:tcW w:w="1729" w:type="pct"/>
            <w:tcBorders>
              <w:top w:val="nil"/>
              <w:left w:val="nil"/>
              <w:bottom w:val="single" w:sz="4" w:space="0" w:color="auto"/>
              <w:right w:val="single" w:sz="4" w:space="0" w:color="auto"/>
            </w:tcBorders>
            <w:shd w:val="clear" w:color="auto" w:fill="auto"/>
            <w:vAlign w:val="center"/>
            <w:hideMark/>
          </w:tcPr>
          <w:p w14:paraId="7D7D2CF8"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CZ.05.2.32/0.0/0.0/17_067/0005155</w:t>
            </w:r>
          </w:p>
        </w:tc>
        <w:tc>
          <w:tcPr>
            <w:tcW w:w="853" w:type="pct"/>
            <w:tcBorders>
              <w:top w:val="nil"/>
              <w:left w:val="nil"/>
              <w:bottom w:val="single" w:sz="4" w:space="0" w:color="auto"/>
              <w:right w:val="single" w:sz="4" w:space="0" w:color="auto"/>
            </w:tcBorders>
            <w:shd w:val="clear" w:color="auto" w:fill="auto"/>
            <w:vAlign w:val="center"/>
            <w:hideMark/>
          </w:tcPr>
          <w:p w14:paraId="46331FED"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177 900 000,00</w:t>
            </w:r>
          </w:p>
        </w:tc>
        <w:tc>
          <w:tcPr>
            <w:tcW w:w="866" w:type="pct"/>
            <w:tcBorders>
              <w:top w:val="nil"/>
              <w:left w:val="nil"/>
              <w:bottom w:val="single" w:sz="4" w:space="0" w:color="auto"/>
              <w:right w:val="single" w:sz="8" w:space="0" w:color="auto"/>
            </w:tcBorders>
            <w:shd w:val="clear" w:color="auto" w:fill="auto"/>
            <w:noWrap/>
            <w:vAlign w:val="center"/>
            <w:hideMark/>
          </w:tcPr>
          <w:p w14:paraId="325CAE6D"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Průběžně plněno</w:t>
            </w:r>
          </w:p>
        </w:tc>
      </w:tr>
      <w:tr w:rsidR="00723B6D" w:rsidRPr="00723B6D" w14:paraId="3E543E5A"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0FF28DA2" w14:textId="77777777" w:rsidR="00723B6D" w:rsidRPr="00723B6D" w:rsidRDefault="00723B6D" w:rsidP="00723B6D">
            <w:pP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Celkem</w:t>
            </w:r>
            <w:r w:rsidRPr="00723B6D">
              <w:rPr>
                <w:rFonts w:ascii="Calibri" w:eastAsia="Times New Roman" w:hAnsi="Calibri" w:cs="Calibri"/>
                <w:b/>
                <w:bCs/>
                <w:color w:val="000000"/>
                <w:sz w:val="20"/>
                <w:szCs w:val="20"/>
                <w:lang w:eastAsia="cs-CZ"/>
              </w:rPr>
              <w:t xml:space="preserve"> SC 2.1 u SFŽP</w:t>
            </w:r>
          </w:p>
        </w:tc>
        <w:tc>
          <w:tcPr>
            <w:tcW w:w="853" w:type="pct"/>
            <w:tcBorders>
              <w:top w:val="nil"/>
              <w:left w:val="single" w:sz="4" w:space="0" w:color="auto"/>
              <w:bottom w:val="single" w:sz="4" w:space="0" w:color="auto"/>
              <w:right w:val="single" w:sz="4" w:space="0" w:color="auto"/>
            </w:tcBorders>
            <w:shd w:val="clear" w:color="auto" w:fill="auto"/>
            <w:vAlign w:val="center"/>
            <w:hideMark/>
          </w:tcPr>
          <w:p w14:paraId="673044C9"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421 100 000,00</w:t>
            </w:r>
          </w:p>
        </w:tc>
        <w:tc>
          <w:tcPr>
            <w:tcW w:w="866" w:type="pct"/>
            <w:tcBorders>
              <w:top w:val="nil"/>
              <w:left w:val="nil"/>
              <w:bottom w:val="single" w:sz="4" w:space="0" w:color="auto"/>
              <w:right w:val="single" w:sz="8" w:space="0" w:color="auto"/>
            </w:tcBorders>
            <w:shd w:val="clear" w:color="auto" w:fill="auto"/>
            <w:noWrap/>
            <w:vAlign w:val="center"/>
            <w:hideMark/>
          </w:tcPr>
          <w:p w14:paraId="41CBB10E"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23B6D" w:rsidRPr="00723B6D" w14:paraId="09C32F71"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D9D9D9"/>
            <w:vAlign w:val="center"/>
            <w:hideMark/>
          </w:tcPr>
          <w:p w14:paraId="40E8DB7C" w14:textId="77777777" w:rsidR="00723B6D" w:rsidRPr="00723B6D" w:rsidRDefault="00723B6D" w:rsidP="00723B6D">
            <w:pP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CELKEM</w:t>
            </w:r>
            <w:r w:rsidRPr="00723B6D">
              <w:rPr>
                <w:rFonts w:ascii="Calibri" w:eastAsia="Times New Roman" w:hAnsi="Calibri" w:cs="Calibri"/>
                <w:b/>
                <w:bCs/>
                <w:color w:val="000000"/>
                <w:sz w:val="20"/>
                <w:szCs w:val="20"/>
                <w:lang w:eastAsia="cs-CZ"/>
              </w:rPr>
              <w:t xml:space="preserve"> SC 2.1</w:t>
            </w:r>
          </w:p>
        </w:tc>
        <w:tc>
          <w:tcPr>
            <w:tcW w:w="853" w:type="pct"/>
            <w:tcBorders>
              <w:top w:val="nil"/>
              <w:left w:val="single" w:sz="4" w:space="0" w:color="auto"/>
              <w:bottom w:val="single" w:sz="4" w:space="0" w:color="auto"/>
              <w:right w:val="single" w:sz="4" w:space="0" w:color="auto"/>
            </w:tcBorders>
            <w:shd w:val="clear" w:color="auto" w:fill="D9D9D9"/>
            <w:vAlign w:val="center"/>
            <w:hideMark/>
          </w:tcPr>
          <w:p w14:paraId="40390741"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3 878 980 000,00</w:t>
            </w:r>
          </w:p>
        </w:tc>
        <w:tc>
          <w:tcPr>
            <w:tcW w:w="866" w:type="pct"/>
            <w:tcBorders>
              <w:top w:val="nil"/>
              <w:left w:val="nil"/>
              <w:bottom w:val="single" w:sz="4" w:space="0" w:color="auto"/>
              <w:right w:val="single" w:sz="8" w:space="0" w:color="auto"/>
            </w:tcBorders>
            <w:shd w:val="clear" w:color="auto" w:fill="D9D9D9"/>
            <w:noWrap/>
            <w:vAlign w:val="center"/>
            <w:hideMark/>
          </w:tcPr>
          <w:p w14:paraId="66D80EF8"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A26DE" w:rsidRPr="00723B6D" w14:paraId="2F6B1326" w14:textId="77777777" w:rsidTr="00AA4206">
        <w:trPr>
          <w:trHeight w:val="227"/>
        </w:trPr>
        <w:tc>
          <w:tcPr>
            <w:tcW w:w="5000" w:type="pct"/>
            <w:gridSpan w:val="5"/>
            <w:tcBorders>
              <w:top w:val="nil"/>
              <w:left w:val="single" w:sz="8" w:space="0" w:color="auto"/>
              <w:bottom w:val="single" w:sz="4" w:space="0" w:color="auto"/>
              <w:right w:val="single" w:sz="8" w:space="0" w:color="auto"/>
            </w:tcBorders>
            <w:shd w:val="clear" w:color="auto" w:fill="E5F1FF"/>
            <w:vAlign w:val="center"/>
          </w:tcPr>
          <w:p w14:paraId="1FFFB262" w14:textId="77777777" w:rsidR="007A26DE" w:rsidRPr="00723B6D" w:rsidRDefault="007A26DE" w:rsidP="00723B6D">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SEKTOR PRŮMYSLU</w:t>
            </w:r>
          </w:p>
        </w:tc>
      </w:tr>
      <w:tr w:rsidR="00723B6D" w:rsidRPr="00723B6D" w14:paraId="74DC5BB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9CA5F76"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Cement Hranice, akciová společnost</w:t>
            </w:r>
          </w:p>
        </w:tc>
        <w:tc>
          <w:tcPr>
            <w:tcW w:w="218" w:type="pct"/>
            <w:tcBorders>
              <w:top w:val="nil"/>
              <w:left w:val="nil"/>
              <w:bottom w:val="single" w:sz="4" w:space="0" w:color="auto"/>
              <w:right w:val="single" w:sz="4" w:space="0" w:color="auto"/>
            </w:tcBorders>
            <w:shd w:val="clear" w:color="auto" w:fill="auto"/>
            <w:noWrap/>
            <w:vAlign w:val="center"/>
            <w:hideMark/>
          </w:tcPr>
          <w:p w14:paraId="23BD16B9"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2.2</w:t>
            </w:r>
          </w:p>
        </w:tc>
        <w:tc>
          <w:tcPr>
            <w:tcW w:w="1729" w:type="pct"/>
            <w:tcBorders>
              <w:top w:val="nil"/>
              <w:left w:val="nil"/>
              <w:bottom w:val="single" w:sz="4" w:space="0" w:color="auto"/>
              <w:right w:val="single" w:sz="4" w:space="0" w:color="auto"/>
            </w:tcBorders>
            <w:shd w:val="clear" w:color="auto" w:fill="auto"/>
            <w:vAlign w:val="center"/>
            <w:hideMark/>
          </w:tcPr>
          <w:p w14:paraId="281D7D6B"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CZ.05.2.32/0.0/0.0/15_008/0000710</w:t>
            </w:r>
          </w:p>
        </w:tc>
        <w:tc>
          <w:tcPr>
            <w:tcW w:w="853" w:type="pct"/>
            <w:tcBorders>
              <w:top w:val="nil"/>
              <w:left w:val="nil"/>
              <w:bottom w:val="single" w:sz="4" w:space="0" w:color="auto"/>
              <w:right w:val="single" w:sz="4" w:space="0" w:color="auto"/>
            </w:tcBorders>
            <w:shd w:val="clear" w:color="auto" w:fill="auto"/>
            <w:vAlign w:val="center"/>
            <w:hideMark/>
          </w:tcPr>
          <w:p w14:paraId="0E612CEB"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39 581 275,80</w:t>
            </w:r>
          </w:p>
        </w:tc>
        <w:tc>
          <w:tcPr>
            <w:tcW w:w="866" w:type="pct"/>
            <w:tcBorders>
              <w:top w:val="nil"/>
              <w:left w:val="nil"/>
              <w:bottom w:val="single" w:sz="4" w:space="0" w:color="auto"/>
              <w:right w:val="single" w:sz="8" w:space="0" w:color="auto"/>
            </w:tcBorders>
            <w:shd w:val="clear" w:color="auto" w:fill="auto"/>
            <w:noWrap/>
            <w:vAlign w:val="center"/>
            <w:hideMark/>
          </w:tcPr>
          <w:p w14:paraId="4104EBF1"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Splněno</w:t>
            </w:r>
          </w:p>
        </w:tc>
      </w:tr>
      <w:tr w:rsidR="00723B6D" w:rsidRPr="00723B6D" w14:paraId="56DEDA58"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44B722D1"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METAZ Týnec a.s.</w:t>
            </w:r>
          </w:p>
        </w:tc>
        <w:tc>
          <w:tcPr>
            <w:tcW w:w="218" w:type="pct"/>
            <w:tcBorders>
              <w:top w:val="nil"/>
              <w:left w:val="nil"/>
              <w:bottom w:val="single" w:sz="4" w:space="0" w:color="auto"/>
              <w:right w:val="single" w:sz="4" w:space="0" w:color="auto"/>
            </w:tcBorders>
            <w:shd w:val="clear" w:color="auto" w:fill="auto"/>
            <w:noWrap/>
            <w:vAlign w:val="center"/>
            <w:hideMark/>
          </w:tcPr>
          <w:p w14:paraId="40BF93B4"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2.2</w:t>
            </w:r>
          </w:p>
        </w:tc>
        <w:tc>
          <w:tcPr>
            <w:tcW w:w="1729" w:type="pct"/>
            <w:tcBorders>
              <w:top w:val="nil"/>
              <w:left w:val="nil"/>
              <w:bottom w:val="single" w:sz="4" w:space="0" w:color="auto"/>
              <w:right w:val="single" w:sz="4" w:space="0" w:color="auto"/>
            </w:tcBorders>
            <w:shd w:val="clear" w:color="auto" w:fill="auto"/>
            <w:vAlign w:val="center"/>
            <w:hideMark/>
          </w:tcPr>
          <w:p w14:paraId="109229D3"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CZ.05.2.32/0.0/0.0/15_008/0001064</w:t>
            </w:r>
          </w:p>
        </w:tc>
        <w:tc>
          <w:tcPr>
            <w:tcW w:w="853" w:type="pct"/>
            <w:tcBorders>
              <w:top w:val="nil"/>
              <w:left w:val="nil"/>
              <w:bottom w:val="single" w:sz="4" w:space="0" w:color="auto"/>
              <w:right w:val="single" w:sz="4" w:space="0" w:color="auto"/>
            </w:tcBorders>
            <w:shd w:val="clear" w:color="auto" w:fill="auto"/>
            <w:vAlign w:val="center"/>
            <w:hideMark/>
          </w:tcPr>
          <w:p w14:paraId="525B376D"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95 856 227,35</w:t>
            </w:r>
          </w:p>
        </w:tc>
        <w:tc>
          <w:tcPr>
            <w:tcW w:w="866" w:type="pct"/>
            <w:tcBorders>
              <w:top w:val="nil"/>
              <w:left w:val="nil"/>
              <w:bottom w:val="single" w:sz="4" w:space="0" w:color="auto"/>
              <w:right w:val="single" w:sz="8" w:space="0" w:color="auto"/>
            </w:tcBorders>
            <w:shd w:val="clear" w:color="auto" w:fill="auto"/>
            <w:noWrap/>
            <w:vAlign w:val="center"/>
            <w:hideMark/>
          </w:tcPr>
          <w:p w14:paraId="106A3E25"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Splněno</w:t>
            </w:r>
          </w:p>
        </w:tc>
      </w:tr>
      <w:tr w:rsidR="00723B6D" w:rsidRPr="00723B6D" w14:paraId="3AD8DF5F"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E6B580E"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Severočeské doly a.s.</w:t>
            </w:r>
          </w:p>
        </w:tc>
        <w:tc>
          <w:tcPr>
            <w:tcW w:w="218" w:type="pct"/>
            <w:tcBorders>
              <w:top w:val="nil"/>
              <w:left w:val="nil"/>
              <w:bottom w:val="single" w:sz="4" w:space="0" w:color="auto"/>
              <w:right w:val="single" w:sz="4" w:space="0" w:color="auto"/>
            </w:tcBorders>
            <w:shd w:val="clear" w:color="auto" w:fill="auto"/>
            <w:noWrap/>
            <w:vAlign w:val="center"/>
            <w:hideMark/>
          </w:tcPr>
          <w:p w14:paraId="371DF51E"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2.2</w:t>
            </w:r>
          </w:p>
        </w:tc>
        <w:tc>
          <w:tcPr>
            <w:tcW w:w="1729" w:type="pct"/>
            <w:tcBorders>
              <w:top w:val="nil"/>
              <w:left w:val="nil"/>
              <w:bottom w:val="single" w:sz="4" w:space="0" w:color="auto"/>
              <w:right w:val="single" w:sz="4" w:space="0" w:color="auto"/>
            </w:tcBorders>
            <w:shd w:val="clear" w:color="auto" w:fill="auto"/>
            <w:vAlign w:val="center"/>
            <w:hideMark/>
          </w:tcPr>
          <w:p w14:paraId="1351462F"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CZ.05.2.32/0.0/0.0/15_008/0001045</w:t>
            </w:r>
          </w:p>
        </w:tc>
        <w:tc>
          <w:tcPr>
            <w:tcW w:w="853" w:type="pct"/>
            <w:tcBorders>
              <w:top w:val="nil"/>
              <w:left w:val="nil"/>
              <w:bottom w:val="single" w:sz="4" w:space="0" w:color="auto"/>
              <w:right w:val="single" w:sz="4" w:space="0" w:color="auto"/>
            </w:tcBorders>
            <w:shd w:val="clear" w:color="auto" w:fill="auto"/>
            <w:vAlign w:val="center"/>
            <w:hideMark/>
          </w:tcPr>
          <w:p w14:paraId="2FFE3B16"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11 323 874,65</w:t>
            </w:r>
          </w:p>
        </w:tc>
        <w:tc>
          <w:tcPr>
            <w:tcW w:w="866" w:type="pct"/>
            <w:tcBorders>
              <w:top w:val="nil"/>
              <w:left w:val="nil"/>
              <w:bottom w:val="single" w:sz="4" w:space="0" w:color="auto"/>
              <w:right w:val="single" w:sz="8" w:space="0" w:color="auto"/>
            </w:tcBorders>
            <w:shd w:val="clear" w:color="auto" w:fill="auto"/>
            <w:noWrap/>
            <w:vAlign w:val="center"/>
            <w:hideMark/>
          </w:tcPr>
          <w:p w14:paraId="472D95CE"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Projekt v realizaci</w:t>
            </w:r>
          </w:p>
        </w:tc>
      </w:tr>
      <w:tr w:rsidR="00723B6D" w:rsidRPr="00723B6D" w14:paraId="18E6E5E2"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CFE09B1" w14:textId="77777777" w:rsidR="00723B6D" w:rsidRPr="00723B6D" w:rsidRDefault="00723B6D" w:rsidP="00723B6D">
            <w:pPr>
              <w:rPr>
                <w:rFonts w:ascii="Calibri" w:eastAsia="Times New Roman" w:hAnsi="Calibri" w:cs="Calibri"/>
                <w:color w:val="000000"/>
                <w:sz w:val="20"/>
                <w:szCs w:val="20"/>
                <w:lang w:eastAsia="cs-CZ"/>
              </w:rPr>
            </w:pPr>
            <w:proofErr w:type="spellStart"/>
            <w:r w:rsidRPr="00723B6D">
              <w:rPr>
                <w:rFonts w:ascii="Calibri" w:eastAsia="Times New Roman" w:hAnsi="Calibri" w:cs="Calibri"/>
                <w:color w:val="000000"/>
                <w:sz w:val="20"/>
                <w:szCs w:val="20"/>
                <w:lang w:eastAsia="cs-CZ"/>
              </w:rPr>
              <w:t>Wotan</w:t>
            </w:r>
            <w:proofErr w:type="spellEnd"/>
            <w:r w:rsidRPr="00723B6D">
              <w:rPr>
                <w:rFonts w:ascii="Calibri" w:eastAsia="Times New Roman" w:hAnsi="Calibri" w:cs="Calibri"/>
                <w:color w:val="000000"/>
                <w:sz w:val="20"/>
                <w:szCs w:val="20"/>
                <w:lang w:eastAsia="cs-CZ"/>
              </w:rPr>
              <w:t xml:space="preserve"> </w:t>
            </w:r>
            <w:proofErr w:type="spellStart"/>
            <w:r w:rsidRPr="00723B6D">
              <w:rPr>
                <w:rFonts w:ascii="Calibri" w:eastAsia="Times New Roman" w:hAnsi="Calibri" w:cs="Calibri"/>
                <w:color w:val="000000"/>
                <w:sz w:val="20"/>
                <w:szCs w:val="20"/>
                <w:lang w:eastAsia="cs-CZ"/>
              </w:rPr>
              <w:t>Forest</w:t>
            </w:r>
            <w:proofErr w:type="spellEnd"/>
            <w:r w:rsidRPr="00723B6D">
              <w:rPr>
                <w:rFonts w:ascii="Calibri" w:eastAsia="Times New Roman" w:hAnsi="Calibri" w:cs="Calibri"/>
                <w:color w:val="000000"/>
                <w:sz w:val="20"/>
                <w:szCs w:val="20"/>
                <w:lang w:eastAsia="cs-CZ"/>
              </w:rPr>
              <w:t>, a.s.</w:t>
            </w:r>
          </w:p>
        </w:tc>
        <w:tc>
          <w:tcPr>
            <w:tcW w:w="218" w:type="pct"/>
            <w:tcBorders>
              <w:top w:val="nil"/>
              <w:left w:val="nil"/>
              <w:bottom w:val="single" w:sz="4" w:space="0" w:color="auto"/>
              <w:right w:val="single" w:sz="4" w:space="0" w:color="auto"/>
            </w:tcBorders>
            <w:shd w:val="clear" w:color="auto" w:fill="auto"/>
            <w:noWrap/>
            <w:vAlign w:val="center"/>
            <w:hideMark/>
          </w:tcPr>
          <w:p w14:paraId="28C69E66"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2.2</w:t>
            </w:r>
          </w:p>
        </w:tc>
        <w:tc>
          <w:tcPr>
            <w:tcW w:w="1729" w:type="pct"/>
            <w:tcBorders>
              <w:top w:val="nil"/>
              <w:left w:val="nil"/>
              <w:bottom w:val="single" w:sz="4" w:space="0" w:color="auto"/>
              <w:right w:val="single" w:sz="4" w:space="0" w:color="auto"/>
            </w:tcBorders>
            <w:shd w:val="clear" w:color="auto" w:fill="auto"/>
            <w:vAlign w:val="center"/>
            <w:hideMark/>
          </w:tcPr>
          <w:p w14:paraId="66B77363"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CZ.05.2.32/0.0/0.0/15_008/0001081</w:t>
            </w:r>
          </w:p>
        </w:tc>
        <w:tc>
          <w:tcPr>
            <w:tcW w:w="853" w:type="pct"/>
            <w:tcBorders>
              <w:top w:val="nil"/>
              <w:left w:val="nil"/>
              <w:bottom w:val="single" w:sz="4" w:space="0" w:color="auto"/>
              <w:right w:val="single" w:sz="4" w:space="0" w:color="auto"/>
            </w:tcBorders>
            <w:shd w:val="clear" w:color="auto" w:fill="auto"/>
            <w:vAlign w:val="center"/>
            <w:hideMark/>
          </w:tcPr>
          <w:p w14:paraId="26D28FFB"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61 358 162,80</w:t>
            </w:r>
          </w:p>
        </w:tc>
        <w:tc>
          <w:tcPr>
            <w:tcW w:w="866" w:type="pct"/>
            <w:tcBorders>
              <w:top w:val="nil"/>
              <w:left w:val="nil"/>
              <w:bottom w:val="single" w:sz="4" w:space="0" w:color="auto"/>
              <w:right w:val="single" w:sz="8" w:space="0" w:color="auto"/>
            </w:tcBorders>
            <w:shd w:val="clear" w:color="auto" w:fill="auto"/>
            <w:vAlign w:val="center"/>
            <w:hideMark/>
          </w:tcPr>
          <w:p w14:paraId="76EA630D"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Projekt v realizaci</w:t>
            </w:r>
          </w:p>
        </w:tc>
      </w:tr>
      <w:tr w:rsidR="00723B6D" w:rsidRPr="00723B6D" w14:paraId="66768676"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6D0DC1D3" w14:textId="77777777" w:rsidR="00723B6D" w:rsidRPr="00723B6D" w:rsidRDefault="00723B6D" w:rsidP="00723B6D">
            <w:pP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Celkem</w:t>
            </w:r>
            <w:r w:rsidRPr="00723B6D">
              <w:rPr>
                <w:rFonts w:ascii="Calibri" w:eastAsia="Times New Roman" w:hAnsi="Calibri" w:cs="Calibri"/>
                <w:b/>
                <w:bCs/>
                <w:color w:val="000000"/>
                <w:sz w:val="20"/>
                <w:szCs w:val="20"/>
                <w:lang w:eastAsia="cs-CZ"/>
              </w:rPr>
              <w:t xml:space="preserve"> SC 2.2</w:t>
            </w:r>
            <w:r>
              <w:rPr>
                <w:rFonts w:ascii="Calibri" w:eastAsia="Times New Roman" w:hAnsi="Calibri" w:cs="Calibri"/>
                <w:b/>
                <w:bCs/>
                <w:color w:val="000000"/>
                <w:sz w:val="20"/>
                <w:szCs w:val="20"/>
                <w:lang w:eastAsia="cs-CZ"/>
              </w:rPr>
              <w:t xml:space="preserve"> u</w:t>
            </w:r>
            <w:r w:rsidRPr="00723B6D">
              <w:rPr>
                <w:rFonts w:ascii="Calibri" w:eastAsia="Times New Roman" w:hAnsi="Calibri" w:cs="Calibri"/>
                <w:b/>
                <w:bCs/>
                <w:color w:val="000000"/>
                <w:sz w:val="20"/>
                <w:szCs w:val="20"/>
                <w:lang w:eastAsia="cs-CZ"/>
              </w:rPr>
              <w:t xml:space="preserve"> konečn</w:t>
            </w:r>
            <w:r>
              <w:rPr>
                <w:rFonts w:ascii="Calibri" w:eastAsia="Times New Roman" w:hAnsi="Calibri" w:cs="Calibri"/>
                <w:b/>
                <w:bCs/>
                <w:color w:val="000000"/>
                <w:sz w:val="20"/>
                <w:szCs w:val="20"/>
                <w:lang w:eastAsia="cs-CZ"/>
              </w:rPr>
              <w:t>ých</w:t>
            </w:r>
            <w:r w:rsidRPr="00723B6D">
              <w:rPr>
                <w:rFonts w:ascii="Calibri" w:eastAsia="Times New Roman" w:hAnsi="Calibri" w:cs="Calibri"/>
                <w:b/>
                <w:bCs/>
                <w:color w:val="000000"/>
                <w:sz w:val="20"/>
                <w:szCs w:val="20"/>
                <w:lang w:eastAsia="cs-CZ"/>
              </w:rPr>
              <w:t xml:space="preserve"> příjemc</w:t>
            </w:r>
            <w:r>
              <w:rPr>
                <w:rFonts w:ascii="Calibri" w:eastAsia="Times New Roman" w:hAnsi="Calibri" w:cs="Calibri"/>
                <w:b/>
                <w:bCs/>
                <w:color w:val="000000"/>
                <w:sz w:val="20"/>
                <w:szCs w:val="20"/>
                <w:lang w:eastAsia="cs-CZ"/>
              </w:rPr>
              <w:t>ů</w:t>
            </w:r>
          </w:p>
        </w:tc>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43D1BABB"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208 119 540,60</w:t>
            </w:r>
          </w:p>
        </w:tc>
        <w:tc>
          <w:tcPr>
            <w:tcW w:w="866" w:type="pct"/>
            <w:tcBorders>
              <w:top w:val="nil"/>
              <w:left w:val="nil"/>
              <w:bottom w:val="single" w:sz="4" w:space="0" w:color="auto"/>
              <w:right w:val="single" w:sz="8" w:space="0" w:color="auto"/>
            </w:tcBorders>
            <w:shd w:val="clear" w:color="auto" w:fill="auto"/>
            <w:noWrap/>
            <w:vAlign w:val="center"/>
            <w:hideMark/>
          </w:tcPr>
          <w:p w14:paraId="5FF5742B"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23B6D" w:rsidRPr="00723B6D" w14:paraId="606AA414"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6C114BD5"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6E972AF4"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2.2</w:t>
            </w:r>
          </w:p>
        </w:tc>
        <w:tc>
          <w:tcPr>
            <w:tcW w:w="1729" w:type="pct"/>
            <w:tcBorders>
              <w:top w:val="nil"/>
              <w:left w:val="nil"/>
              <w:bottom w:val="single" w:sz="4" w:space="0" w:color="auto"/>
              <w:right w:val="single" w:sz="4" w:space="0" w:color="auto"/>
            </w:tcBorders>
            <w:shd w:val="clear" w:color="auto" w:fill="auto"/>
            <w:vAlign w:val="center"/>
            <w:hideMark/>
          </w:tcPr>
          <w:p w14:paraId="3857C728"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CZ.05.2.32/0.0/0.0/15_008/0000001</w:t>
            </w:r>
          </w:p>
        </w:tc>
        <w:tc>
          <w:tcPr>
            <w:tcW w:w="853" w:type="pct"/>
            <w:tcBorders>
              <w:top w:val="nil"/>
              <w:left w:val="nil"/>
              <w:bottom w:val="single" w:sz="4" w:space="0" w:color="auto"/>
              <w:right w:val="single" w:sz="4" w:space="0" w:color="auto"/>
            </w:tcBorders>
            <w:shd w:val="clear" w:color="auto" w:fill="auto"/>
            <w:vAlign w:val="center"/>
            <w:hideMark/>
          </w:tcPr>
          <w:p w14:paraId="1A800E65"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19 255 679,00</w:t>
            </w:r>
          </w:p>
        </w:tc>
        <w:tc>
          <w:tcPr>
            <w:tcW w:w="866" w:type="pct"/>
            <w:tcBorders>
              <w:top w:val="nil"/>
              <w:left w:val="nil"/>
              <w:bottom w:val="single" w:sz="4" w:space="0" w:color="auto"/>
              <w:right w:val="single" w:sz="8" w:space="0" w:color="auto"/>
            </w:tcBorders>
            <w:shd w:val="clear" w:color="auto" w:fill="auto"/>
            <w:noWrap/>
            <w:vAlign w:val="center"/>
            <w:hideMark/>
          </w:tcPr>
          <w:p w14:paraId="3DB4E965"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Splněno</w:t>
            </w:r>
          </w:p>
        </w:tc>
      </w:tr>
      <w:tr w:rsidR="00723B6D" w:rsidRPr="00723B6D" w14:paraId="6136E3B9"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76256BAE"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14A0D8F1"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2.2</w:t>
            </w:r>
          </w:p>
        </w:tc>
        <w:tc>
          <w:tcPr>
            <w:tcW w:w="1729" w:type="pct"/>
            <w:tcBorders>
              <w:top w:val="nil"/>
              <w:left w:val="nil"/>
              <w:bottom w:val="single" w:sz="4" w:space="0" w:color="auto"/>
              <w:right w:val="single" w:sz="4" w:space="0" w:color="auto"/>
            </w:tcBorders>
            <w:shd w:val="clear" w:color="auto" w:fill="auto"/>
            <w:vAlign w:val="center"/>
            <w:hideMark/>
          </w:tcPr>
          <w:p w14:paraId="79AF4A39"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CZ.05.2.32/0.0/0.0/15_008/0000227</w:t>
            </w:r>
          </w:p>
        </w:tc>
        <w:tc>
          <w:tcPr>
            <w:tcW w:w="853" w:type="pct"/>
            <w:tcBorders>
              <w:top w:val="nil"/>
              <w:left w:val="nil"/>
              <w:bottom w:val="single" w:sz="4" w:space="0" w:color="auto"/>
              <w:right w:val="single" w:sz="4" w:space="0" w:color="auto"/>
            </w:tcBorders>
            <w:shd w:val="clear" w:color="auto" w:fill="auto"/>
            <w:vAlign w:val="center"/>
            <w:hideMark/>
          </w:tcPr>
          <w:p w14:paraId="54BF6125"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6 074 750,00</w:t>
            </w:r>
          </w:p>
        </w:tc>
        <w:tc>
          <w:tcPr>
            <w:tcW w:w="866" w:type="pct"/>
            <w:tcBorders>
              <w:top w:val="nil"/>
              <w:left w:val="nil"/>
              <w:bottom w:val="single" w:sz="4" w:space="0" w:color="auto"/>
              <w:right w:val="single" w:sz="8" w:space="0" w:color="auto"/>
            </w:tcBorders>
            <w:shd w:val="clear" w:color="auto" w:fill="auto"/>
            <w:noWrap/>
            <w:vAlign w:val="center"/>
            <w:hideMark/>
          </w:tcPr>
          <w:p w14:paraId="4CFEACC5"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Projekt v realizaci</w:t>
            </w:r>
          </w:p>
        </w:tc>
      </w:tr>
      <w:tr w:rsidR="00723B6D" w:rsidRPr="00723B6D" w14:paraId="777A468B"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11CB081A"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35028365"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2.2</w:t>
            </w:r>
          </w:p>
        </w:tc>
        <w:tc>
          <w:tcPr>
            <w:tcW w:w="1729" w:type="pct"/>
            <w:tcBorders>
              <w:top w:val="nil"/>
              <w:left w:val="nil"/>
              <w:bottom w:val="single" w:sz="4" w:space="0" w:color="auto"/>
              <w:right w:val="single" w:sz="4" w:space="0" w:color="auto"/>
            </w:tcBorders>
            <w:shd w:val="clear" w:color="auto" w:fill="auto"/>
            <w:vAlign w:val="center"/>
            <w:hideMark/>
          </w:tcPr>
          <w:p w14:paraId="3C778B24"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CZ.05.2.32/0.0/0.0/15_008/0000970</w:t>
            </w:r>
          </w:p>
        </w:tc>
        <w:tc>
          <w:tcPr>
            <w:tcW w:w="853" w:type="pct"/>
            <w:tcBorders>
              <w:top w:val="nil"/>
              <w:left w:val="nil"/>
              <w:bottom w:val="single" w:sz="4" w:space="0" w:color="auto"/>
              <w:right w:val="single" w:sz="4" w:space="0" w:color="auto"/>
            </w:tcBorders>
            <w:shd w:val="clear" w:color="auto" w:fill="auto"/>
            <w:vAlign w:val="center"/>
            <w:hideMark/>
          </w:tcPr>
          <w:p w14:paraId="5121A890"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30 624 750,00</w:t>
            </w:r>
          </w:p>
        </w:tc>
        <w:tc>
          <w:tcPr>
            <w:tcW w:w="866" w:type="pct"/>
            <w:tcBorders>
              <w:top w:val="nil"/>
              <w:left w:val="nil"/>
              <w:bottom w:val="single" w:sz="4" w:space="0" w:color="auto"/>
              <w:right w:val="single" w:sz="8" w:space="0" w:color="auto"/>
            </w:tcBorders>
            <w:shd w:val="clear" w:color="auto" w:fill="auto"/>
            <w:noWrap/>
            <w:vAlign w:val="center"/>
            <w:hideMark/>
          </w:tcPr>
          <w:p w14:paraId="134C76E7"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Splněno</w:t>
            </w:r>
          </w:p>
        </w:tc>
      </w:tr>
      <w:tr w:rsidR="00723B6D" w:rsidRPr="00723B6D" w14:paraId="59B10210"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28F13F67" w14:textId="77777777" w:rsidR="00723B6D" w:rsidRPr="00723B6D" w:rsidRDefault="00723B6D" w:rsidP="00723B6D">
            <w:pP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Celkem</w:t>
            </w:r>
            <w:r w:rsidRPr="00723B6D">
              <w:rPr>
                <w:rFonts w:ascii="Calibri" w:eastAsia="Times New Roman" w:hAnsi="Calibri" w:cs="Calibri"/>
                <w:b/>
                <w:bCs/>
                <w:color w:val="000000"/>
                <w:sz w:val="20"/>
                <w:szCs w:val="20"/>
                <w:lang w:eastAsia="cs-CZ"/>
              </w:rPr>
              <w:t xml:space="preserve"> SC 2.2 </w:t>
            </w:r>
            <w:r>
              <w:rPr>
                <w:rFonts w:ascii="Calibri" w:eastAsia="Times New Roman" w:hAnsi="Calibri" w:cs="Calibri"/>
                <w:b/>
                <w:bCs/>
                <w:color w:val="000000"/>
                <w:sz w:val="20"/>
                <w:szCs w:val="20"/>
                <w:lang w:eastAsia="cs-CZ"/>
              </w:rPr>
              <w:t xml:space="preserve">u </w:t>
            </w:r>
            <w:r w:rsidRPr="00723B6D">
              <w:rPr>
                <w:rFonts w:ascii="Calibri" w:eastAsia="Times New Roman" w:hAnsi="Calibri" w:cs="Calibri"/>
                <w:b/>
                <w:bCs/>
                <w:color w:val="000000"/>
                <w:sz w:val="20"/>
                <w:szCs w:val="20"/>
                <w:lang w:eastAsia="cs-CZ"/>
              </w:rPr>
              <w:t>SFŽP</w:t>
            </w:r>
          </w:p>
        </w:tc>
        <w:tc>
          <w:tcPr>
            <w:tcW w:w="853" w:type="pct"/>
            <w:tcBorders>
              <w:top w:val="nil"/>
              <w:left w:val="single" w:sz="4" w:space="0" w:color="auto"/>
              <w:bottom w:val="single" w:sz="4" w:space="0" w:color="auto"/>
              <w:right w:val="single" w:sz="4" w:space="0" w:color="auto"/>
            </w:tcBorders>
            <w:shd w:val="clear" w:color="auto" w:fill="auto"/>
            <w:vAlign w:val="center"/>
            <w:hideMark/>
          </w:tcPr>
          <w:p w14:paraId="4A1A2477"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55 955 179,00</w:t>
            </w:r>
          </w:p>
        </w:tc>
        <w:tc>
          <w:tcPr>
            <w:tcW w:w="866" w:type="pct"/>
            <w:tcBorders>
              <w:top w:val="nil"/>
              <w:left w:val="nil"/>
              <w:bottom w:val="single" w:sz="4" w:space="0" w:color="auto"/>
              <w:right w:val="single" w:sz="8" w:space="0" w:color="auto"/>
            </w:tcBorders>
            <w:shd w:val="clear" w:color="auto" w:fill="auto"/>
            <w:noWrap/>
            <w:vAlign w:val="center"/>
            <w:hideMark/>
          </w:tcPr>
          <w:p w14:paraId="67F5BF19"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23B6D" w:rsidRPr="00723B6D" w14:paraId="4235CA80"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D9D9D9"/>
            <w:vAlign w:val="center"/>
            <w:hideMark/>
          </w:tcPr>
          <w:p w14:paraId="76A913CC" w14:textId="77777777" w:rsidR="00723B6D" w:rsidRPr="00723B6D" w:rsidRDefault="00723B6D" w:rsidP="00723B6D">
            <w:pP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CELKEM SC 2.2</w:t>
            </w:r>
          </w:p>
        </w:tc>
        <w:tc>
          <w:tcPr>
            <w:tcW w:w="853" w:type="pct"/>
            <w:tcBorders>
              <w:top w:val="nil"/>
              <w:left w:val="single" w:sz="4" w:space="0" w:color="auto"/>
              <w:bottom w:val="single" w:sz="4" w:space="0" w:color="auto"/>
              <w:right w:val="single" w:sz="4" w:space="0" w:color="auto"/>
            </w:tcBorders>
            <w:shd w:val="clear" w:color="auto" w:fill="D9D9D9"/>
            <w:vAlign w:val="center"/>
            <w:hideMark/>
          </w:tcPr>
          <w:p w14:paraId="4F698034"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264 074 719,60</w:t>
            </w:r>
          </w:p>
        </w:tc>
        <w:tc>
          <w:tcPr>
            <w:tcW w:w="866" w:type="pct"/>
            <w:tcBorders>
              <w:top w:val="nil"/>
              <w:left w:val="nil"/>
              <w:bottom w:val="single" w:sz="4" w:space="0" w:color="auto"/>
              <w:right w:val="single" w:sz="8" w:space="0" w:color="auto"/>
            </w:tcBorders>
            <w:shd w:val="clear" w:color="auto" w:fill="D9D9D9"/>
            <w:noWrap/>
            <w:vAlign w:val="center"/>
            <w:hideMark/>
          </w:tcPr>
          <w:p w14:paraId="1D6837EA"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A26DE" w:rsidRPr="00723B6D" w14:paraId="1C593F2A" w14:textId="77777777" w:rsidTr="00AA4206">
        <w:trPr>
          <w:trHeight w:val="227"/>
        </w:trPr>
        <w:tc>
          <w:tcPr>
            <w:tcW w:w="1" w:type="pct"/>
            <w:gridSpan w:val="5"/>
            <w:tcBorders>
              <w:top w:val="nil"/>
              <w:left w:val="single" w:sz="8" w:space="0" w:color="auto"/>
              <w:bottom w:val="single" w:sz="4" w:space="0" w:color="auto"/>
              <w:right w:val="single" w:sz="8" w:space="0" w:color="auto"/>
            </w:tcBorders>
            <w:shd w:val="clear" w:color="auto" w:fill="E5F1FF"/>
            <w:vAlign w:val="center"/>
          </w:tcPr>
          <w:p w14:paraId="24A656B6" w14:textId="77777777" w:rsidR="007A26DE" w:rsidRPr="00723B6D" w:rsidRDefault="007A26DE" w:rsidP="00723B6D">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OBLAST MONITORINGU</w:t>
            </w:r>
          </w:p>
        </w:tc>
      </w:tr>
      <w:tr w:rsidR="00723B6D" w:rsidRPr="00723B6D" w14:paraId="7EDCC5B0"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6D8E6D5"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ČHMÚ</w:t>
            </w:r>
          </w:p>
        </w:tc>
        <w:tc>
          <w:tcPr>
            <w:tcW w:w="218" w:type="pct"/>
            <w:tcBorders>
              <w:top w:val="nil"/>
              <w:left w:val="nil"/>
              <w:bottom w:val="single" w:sz="4" w:space="0" w:color="auto"/>
              <w:right w:val="single" w:sz="4" w:space="0" w:color="auto"/>
            </w:tcBorders>
            <w:shd w:val="clear" w:color="auto" w:fill="auto"/>
            <w:noWrap/>
            <w:vAlign w:val="center"/>
            <w:hideMark/>
          </w:tcPr>
          <w:p w14:paraId="6A1C322C"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2.3</w:t>
            </w:r>
          </w:p>
        </w:tc>
        <w:tc>
          <w:tcPr>
            <w:tcW w:w="1729" w:type="pct"/>
            <w:tcBorders>
              <w:top w:val="nil"/>
              <w:left w:val="nil"/>
              <w:bottom w:val="single" w:sz="4" w:space="0" w:color="auto"/>
              <w:right w:val="single" w:sz="4" w:space="0" w:color="auto"/>
            </w:tcBorders>
            <w:shd w:val="clear" w:color="auto" w:fill="auto"/>
            <w:vAlign w:val="center"/>
            <w:hideMark/>
          </w:tcPr>
          <w:p w14:paraId="56BDB60C"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CZ.05.2.32/0.0/0.0/15_017/0002594</w:t>
            </w:r>
          </w:p>
        </w:tc>
        <w:tc>
          <w:tcPr>
            <w:tcW w:w="853" w:type="pct"/>
            <w:tcBorders>
              <w:top w:val="nil"/>
              <w:left w:val="nil"/>
              <w:bottom w:val="single" w:sz="4" w:space="0" w:color="auto"/>
              <w:right w:val="single" w:sz="4" w:space="0" w:color="auto"/>
            </w:tcBorders>
            <w:shd w:val="clear" w:color="auto" w:fill="auto"/>
            <w:vAlign w:val="center"/>
            <w:hideMark/>
          </w:tcPr>
          <w:p w14:paraId="46FDD20F"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55 101 620,09</w:t>
            </w:r>
          </w:p>
        </w:tc>
        <w:tc>
          <w:tcPr>
            <w:tcW w:w="866" w:type="pct"/>
            <w:tcBorders>
              <w:top w:val="nil"/>
              <w:left w:val="nil"/>
              <w:bottom w:val="single" w:sz="4" w:space="0" w:color="auto"/>
              <w:right w:val="single" w:sz="8" w:space="0" w:color="auto"/>
            </w:tcBorders>
            <w:shd w:val="clear" w:color="auto" w:fill="auto"/>
            <w:vAlign w:val="center"/>
            <w:hideMark/>
          </w:tcPr>
          <w:p w14:paraId="12707247"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Splněno</w:t>
            </w:r>
          </w:p>
        </w:tc>
      </w:tr>
      <w:tr w:rsidR="00723B6D" w:rsidRPr="00723B6D" w14:paraId="38F868AB"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7698DE1B"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ČHMÚ</w:t>
            </w:r>
          </w:p>
        </w:tc>
        <w:tc>
          <w:tcPr>
            <w:tcW w:w="218" w:type="pct"/>
            <w:tcBorders>
              <w:top w:val="nil"/>
              <w:left w:val="nil"/>
              <w:bottom w:val="single" w:sz="4" w:space="0" w:color="auto"/>
              <w:right w:val="single" w:sz="4" w:space="0" w:color="auto"/>
            </w:tcBorders>
            <w:shd w:val="clear" w:color="auto" w:fill="auto"/>
            <w:noWrap/>
            <w:vAlign w:val="center"/>
            <w:hideMark/>
          </w:tcPr>
          <w:p w14:paraId="618DA4AC"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2.3</w:t>
            </w:r>
          </w:p>
        </w:tc>
        <w:tc>
          <w:tcPr>
            <w:tcW w:w="1729" w:type="pct"/>
            <w:tcBorders>
              <w:top w:val="nil"/>
              <w:left w:val="nil"/>
              <w:bottom w:val="single" w:sz="4" w:space="0" w:color="auto"/>
              <w:right w:val="single" w:sz="4" w:space="0" w:color="auto"/>
            </w:tcBorders>
            <w:shd w:val="clear" w:color="auto" w:fill="auto"/>
            <w:vAlign w:val="center"/>
            <w:hideMark/>
          </w:tcPr>
          <w:p w14:paraId="11F345DC"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CZ.05.2.32/0.0/0.0/15_017/0002616</w:t>
            </w:r>
          </w:p>
        </w:tc>
        <w:tc>
          <w:tcPr>
            <w:tcW w:w="853" w:type="pct"/>
            <w:tcBorders>
              <w:top w:val="nil"/>
              <w:left w:val="nil"/>
              <w:bottom w:val="single" w:sz="4" w:space="0" w:color="auto"/>
              <w:right w:val="single" w:sz="4" w:space="0" w:color="auto"/>
            </w:tcBorders>
            <w:shd w:val="clear" w:color="auto" w:fill="auto"/>
            <w:vAlign w:val="center"/>
            <w:hideMark/>
          </w:tcPr>
          <w:p w14:paraId="3CCBC790"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21 480 754,23</w:t>
            </w:r>
          </w:p>
        </w:tc>
        <w:tc>
          <w:tcPr>
            <w:tcW w:w="866" w:type="pct"/>
            <w:tcBorders>
              <w:top w:val="nil"/>
              <w:left w:val="nil"/>
              <w:bottom w:val="single" w:sz="4" w:space="0" w:color="auto"/>
              <w:right w:val="single" w:sz="8" w:space="0" w:color="auto"/>
            </w:tcBorders>
            <w:shd w:val="clear" w:color="auto" w:fill="auto"/>
            <w:vAlign w:val="center"/>
            <w:hideMark/>
          </w:tcPr>
          <w:p w14:paraId="70B3B374"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Projekt v realizaci</w:t>
            </w:r>
          </w:p>
        </w:tc>
      </w:tr>
      <w:tr w:rsidR="00723B6D" w:rsidRPr="00723B6D" w14:paraId="29769657"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CD447F5"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ČHMÚ</w:t>
            </w:r>
          </w:p>
        </w:tc>
        <w:tc>
          <w:tcPr>
            <w:tcW w:w="218" w:type="pct"/>
            <w:tcBorders>
              <w:top w:val="nil"/>
              <w:left w:val="nil"/>
              <w:bottom w:val="single" w:sz="4" w:space="0" w:color="auto"/>
              <w:right w:val="single" w:sz="4" w:space="0" w:color="auto"/>
            </w:tcBorders>
            <w:shd w:val="clear" w:color="auto" w:fill="auto"/>
            <w:noWrap/>
            <w:vAlign w:val="center"/>
            <w:hideMark/>
          </w:tcPr>
          <w:p w14:paraId="66D941B1"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2.3</w:t>
            </w:r>
          </w:p>
        </w:tc>
        <w:tc>
          <w:tcPr>
            <w:tcW w:w="1729" w:type="pct"/>
            <w:tcBorders>
              <w:top w:val="nil"/>
              <w:left w:val="nil"/>
              <w:bottom w:val="single" w:sz="4" w:space="0" w:color="auto"/>
              <w:right w:val="single" w:sz="4" w:space="0" w:color="auto"/>
            </w:tcBorders>
            <w:shd w:val="clear" w:color="auto" w:fill="auto"/>
            <w:vAlign w:val="center"/>
            <w:hideMark/>
          </w:tcPr>
          <w:p w14:paraId="37BA0C47"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CZ.05.2.32/0.0/0.0/15_017/0002640</w:t>
            </w:r>
          </w:p>
        </w:tc>
        <w:tc>
          <w:tcPr>
            <w:tcW w:w="853" w:type="pct"/>
            <w:tcBorders>
              <w:top w:val="nil"/>
              <w:left w:val="nil"/>
              <w:bottom w:val="single" w:sz="4" w:space="0" w:color="auto"/>
              <w:right w:val="single" w:sz="4" w:space="0" w:color="auto"/>
            </w:tcBorders>
            <w:shd w:val="clear" w:color="auto" w:fill="auto"/>
            <w:vAlign w:val="center"/>
            <w:hideMark/>
          </w:tcPr>
          <w:p w14:paraId="7775C5A0"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16 573 952,59</w:t>
            </w:r>
          </w:p>
        </w:tc>
        <w:tc>
          <w:tcPr>
            <w:tcW w:w="866" w:type="pct"/>
            <w:tcBorders>
              <w:top w:val="nil"/>
              <w:left w:val="nil"/>
              <w:bottom w:val="single" w:sz="4" w:space="0" w:color="auto"/>
              <w:right w:val="single" w:sz="8" w:space="0" w:color="auto"/>
            </w:tcBorders>
            <w:shd w:val="clear" w:color="auto" w:fill="auto"/>
            <w:vAlign w:val="center"/>
            <w:hideMark/>
          </w:tcPr>
          <w:p w14:paraId="7C2B700D"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Projekt v realizaci</w:t>
            </w:r>
          </w:p>
        </w:tc>
      </w:tr>
      <w:tr w:rsidR="00723B6D" w:rsidRPr="00723B6D" w14:paraId="20B2AA6D"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45724592"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ČHMÚ</w:t>
            </w:r>
          </w:p>
        </w:tc>
        <w:tc>
          <w:tcPr>
            <w:tcW w:w="218" w:type="pct"/>
            <w:tcBorders>
              <w:top w:val="nil"/>
              <w:left w:val="nil"/>
              <w:bottom w:val="single" w:sz="4" w:space="0" w:color="auto"/>
              <w:right w:val="single" w:sz="4" w:space="0" w:color="auto"/>
            </w:tcBorders>
            <w:shd w:val="clear" w:color="auto" w:fill="auto"/>
            <w:noWrap/>
            <w:vAlign w:val="center"/>
            <w:hideMark/>
          </w:tcPr>
          <w:p w14:paraId="4BE3D432"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2.3</w:t>
            </w:r>
          </w:p>
        </w:tc>
        <w:tc>
          <w:tcPr>
            <w:tcW w:w="1729" w:type="pct"/>
            <w:tcBorders>
              <w:top w:val="nil"/>
              <w:left w:val="nil"/>
              <w:bottom w:val="single" w:sz="4" w:space="0" w:color="auto"/>
              <w:right w:val="single" w:sz="4" w:space="0" w:color="auto"/>
            </w:tcBorders>
            <w:shd w:val="clear" w:color="auto" w:fill="auto"/>
            <w:vAlign w:val="center"/>
            <w:hideMark/>
          </w:tcPr>
          <w:p w14:paraId="7E505A0D"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CZ.05.2.32/0.0/0.0/15_017/0002641</w:t>
            </w:r>
          </w:p>
        </w:tc>
        <w:tc>
          <w:tcPr>
            <w:tcW w:w="853" w:type="pct"/>
            <w:tcBorders>
              <w:top w:val="nil"/>
              <w:left w:val="nil"/>
              <w:bottom w:val="single" w:sz="4" w:space="0" w:color="auto"/>
              <w:right w:val="single" w:sz="4" w:space="0" w:color="auto"/>
            </w:tcBorders>
            <w:shd w:val="clear" w:color="auto" w:fill="auto"/>
            <w:vAlign w:val="center"/>
            <w:hideMark/>
          </w:tcPr>
          <w:p w14:paraId="6B9BA765"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31 648 604,97</w:t>
            </w:r>
          </w:p>
        </w:tc>
        <w:tc>
          <w:tcPr>
            <w:tcW w:w="866" w:type="pct"/>
            <w:tcBorders>
              <w:top w:val="nil"/>
              <w:left w:val="nil"/>
              <w:bottom w:val="single" w:sz="4" w:space="0" w:color="auto"/>
              <w:right w:val="single" w:sz="8" w:space="0" w:color="auto"/>
            </w:tcBorders>
            <w:shd w:val="clear" w:color="auto" w:fill="auto"/>
            <w:vAlign w:val="center"/>
            <w:hideMark/>
          </w:tcPr>
          <w:p w14:paraId="4D71C580"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Projekt v realizaci</w:t>
            </w:r>
          </w:p>
        </w:tc>
      </w:tr>
      <w:tr w:rsidR="00723B6D" w:rsidRPr="00723B6D" w14:paraId="35C2C31C"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0140D2CC"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ČHMÚ</w:t>
            </w:r>
          </w:p>
        </w:tc>
        <w:tc>
          <w:tcPr>
            <w:tcW w:w="218" w:type="pct"/>
            <w:tcBorders>
              <w:top w:val="nil"/>
              <w:left w:val="nil"/>
              <w:bottom w:val="single" w:sz="4" w:space="0" w:color="auto"/>
              <w:right w:val="single" w:sz="4" w:space="0" w:color="auto"/>
            </w:tcBorders>
            <w:shd w:val="clear" w:color="auto" w:fill="auto"/>
            <w:noWrap/>
            <w:vAlign w:val="center"/>
            <w:hideMark/>
          </w:tcPr>
          <w:p w14:paraId="2EE37C41"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2.3</w:t>
            </w:r>
          </w:p>
        </w:tc>
        <w:tc>
          <w:tcPr>
            <w:tcW w:w="1729" w:type="pct"/>
            <w:tcBorders>
              <w:top w:val="nil"/>
              <w:left w:val="nil"/>
              <w:bottom w:val="single" w:sz="4" w:space="0" w:color="auto"/>
              <w:right w:val="single" w:sz="4" w:space="0" w:color="auto"/>
            </w:tcBorders>
            <w:shd w:val="clear" w:color="auto" w:fill="auto"/>
            <w:vAlign w:val="center"/>
            <w:hideMark/>
          </w:tcPr>
          <w:p w14:paraId="6822A087"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CZ.05.2.32/0.0/0.0/15_017/0002642</w:t>
            </w:r>
          </w:p>
        </w:tc>
        <w:tc>
          <w:tcPr>
            <w:tcW w:w="853" w:type="pct"/>
            <w:tcBorders>
              <w:top w:val="nil"/>
              <w:left w:val="nil"/>
              <w:bottom w:val="single" w:sz="4" w:space="0" w:color="auto"/>
              <w:right w:val="single" w:sz="4" w:space="0" w:color="auto"/>
            </w:tcBorders>
            <w:shd w:val="clear" w:color="auto" w:fill="auto"/>
            <w:vAlign w:val="center"/>
            <w:hideMark/>
          </w:tcPr>
          <w:p w14:paraId="13755B5C"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10 260 697,65</w:t>
            </w:r>
          </w:p>
        </w:tc>
        <w:tc>
          <w:tcPr>
            <w:tcW w:w="866" w:type="pct"/>
            <w:tcBorders>
              <w:top w:val="nil"/>
              <w:left w:val="nil"/>
              <w:bottom w:val="single" w:sz="4" w:space="0" w:color="auto"/>
              <w:right w:val="single" w:sz="8" w:space="0" w:color="auto"/>
            </w:tcBorders>
            <w:shd w:val="clear" w:color="auto" w:fill="auto"/>
            <w:vAlign w:val="center"/>
            <w:hideMark/>
          </w:tcPr>
          <w:p w14:paraId="183EA168"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Projekt v realizaci</w:t>
            </w:r>
          </w:p>
        </w:tc>
      </w:tr>
      <w:tr w:rsidR="00723B6D" w:rsidRPr="00723B6D" w14:paraId="64F9633B"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0BC3E915" w14:textId="77777777" w:rsidR="00723B6D" w:rsidRPr="00723B6D" w:rsidRDefault="00C12E5A" w:rsidP="00723B6D">
            <w:pP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Celkem</w:t>
            </w:r>
            <w:r w:rsidR="00723B6D" w:rsidRPr="00723B6D">
              <w:rPr>
                <w:rFonts w:ascii="Calibri" w:eastAsia="Times New Roman" w:hAnsi="Calibri" w:cs="Calibri"/>
                <w:b/>
                <w:bCs/>
                <w:color w:val="000000"/>
                <w:sz w:val="20"/>
                <w:szCs w:val="20"/>
                <w:lang w:eastAsia="cs-CZ"/>
              </w:rPr>
              <w:t xml:space="preserve"> SC 2.3</w:t>
            </w:r>
            <w:r>
              <w:rPr>
                <w:rFonts w:ascii="Calibri" w:eastAsia="Times New Roman" w:hAnsi="Calibri" w:cs="Calibri"/>
                <w:b/>
                <w:bCs/>
                <w:color w:val="000000"/>
                <w:sz w:val="20"/>
                <w:szCs w:val="20"/>
                <w:lang w:eastAsia="cs-CZ"/>
              </w:rPr>
              <w:t xml:space="preserve"> u</w:t>
            </w:r>
            <w:r w:rsidR="00723B6D" w:rsidRPr="00723B6D">
              <w:rPr>
                <w:rFonts w:ascii="Calibri" w:eastAsia="Times New Roman" w:hAnsi="Calibri" w:cs="Calibri"/>
                <w:b/>
                <w:bCs/>
                <w:color w:val="000000"/>
                <w:sz w:val="20"/>
                <w:szCs w:val="20"/>
                <w:lang w:eastAsia="cs-CZ"/>
              </w:rPr>
              <w:t xml:space="preserve"> ČHMÚ</w:t>
            </w:r>
          </w:p>
        </w:tc>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75D19149"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135 065 629,53</w:t>
            </w:r>
          </w:p>
        </w:tc>
        <w:tc>
          <w:tcPr>
            <w:tcW w:w="866" w:type="pct"/>
            <w:tcBorders>
              <w:top w:val="nil"/>
              <w:left w:val="nil"/>
              <w:bottom w:val="single" w:sz="4" w:space="0" w:color="auto"/>
              <w:right w:val="single" w:sz="8" w:space="0" w:color="auto"/>
            </w:tcBorders>
            <w:shd w:val="clear" w:color="auto" w:fill="auto"/>
            <w:noWrap/>
            <w:vAlign w:val="center"/>
            <w:hideMark/>
          </w:tcPr>
          <w:p w14:paraId="03BF8261"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23B6D" w:rsidRPr="00723B6D" w14:paraId="38A427F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4E60BDC7"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705D51FB"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2.3</w:t>
            </w:r>
          </w:p>
        </w:tc>
        <w:tc>
          <w:tcPr>
            <w:tcW w:w="1729" w:type="pct"/>
            <w:tcBorders>
              <w:top w:val="nil"/>
              <w:left w:val="nil"/>
              <w:bottom w:val="single" w:sz="4" w:space="0" w:color="auto"/>
              <w:right w:val="single" w:sz="4" w:space="0" w:color="auto"/>
            </w:tcBorders>
            <w:shd w:val="clear" w:color="auto" w:fill="auto"/>
            <w:vAlign w:val="center"/>
            <w:hideMark/>
          </w:tcPr>
          <w:p w14:paraId="471F1074"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CZ.05.2.32/0.0/0.0/15_017/0001433</w:t>
            </w:r>
          </w:p>
        </w:tc>
        <w:tc>
          <w:tcPr>
            <w:tcW w:w="853" w:type="pct"/>
            <w:tcBorders>
              <w:top w:val="nil"/>
              <w:left w:val="nil"/>
              <w:bottom w:val="single" w:sz="4" w:space="0" w:color="auto"/>
              <w:right w:val="single" w:sz="4" w:space="0" w:color="auto"/>
            </w:tcBorders>
            <w:shd w:val="clear" w:color="auto" w:fill="auto"/>
            <w:vAlign w:val="center"/>
            <w:hideMark/>
          </w:tcPr>
          <w:p w14:paraId="0DC71F2A"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5 877 878,00</w:t>
            </w:r>
          </w:p>
        </w:tc>
        <w:tc>
          <w:tcPr>
            <w:tcW w:w="866" w:type="pct"/>
            <w:tcBorders>
              <w:top w:val="nil"/>
              <w:left w:val="nil"/>
              <w:bottom w:val="single" w:sz="4" w:space="0" w:color="auto"/>
              <w:right w:val="single" w:sz="8" w:space="0" w:color="auto"/>
            </w:tcBorders>
            <w:shd w:val="clear" w:color="auto" w:fill="auto"/>
            <w:noWrap/>
            <w:vAlign w:val="center"/>
            <w:hideMark/>
          </w:tcPr>
          <w:p w14:paraId="2B034CC0"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Projekt v realizaci</w:t>
            </w:r>
          </w:p>
        </w:tc>
      </w:tr>
      <w:tr w:rsidR="00723B6D" w:rsidRPr="00723B6D" w14:paraId="767DE18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0C9DC36A"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1B5E7215"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2.3</w:t>
            </w:r>
          </w:p>
        </w:tc>
        <w:tc>
          <w:tcPr>
            <w:tcW w:w="1729" w:type="pct"/>
            <w:tcBorders>
              <w:top w:val="nil"/>
              <w:left w:val="nil"/>
              <w:bottom w:val="single" w:sz="4" w:space="0" w:color="auto"/>
              <w:right w:val="single" w:sz="4" w:space="0" w:color="auto"/>
            </w:tcBorders>
            <w:shd w:val="clear" w:color="auto" w:fill="auto"/>
            <w:vAlign w:val="center"/>
            <w:hideMark/>
          </w:tcPr>
          <w:p w14:paraId="114B486D"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CZ.05.2.32/0.0/0.0/15_017/0002123</w:t>
            </w:r>
          </w:p>
        </w:tc>
        <w:tc>
          <w:tcPr>
            <w:tcW w:w="853" w:type="pct"/>
            <w:tcBorders>
              <w:top w:val="nil"/>
              <w:left w:val="nil"/>
              <w:bottom w:val="single" w:sz="4" w:space="0" w:color="auto"/>
              <w:right w:val="single" w:sz="4" w:space="0" w:color="auto"/>
            </w:tcBorders>
            <w:shd w:val="clear" w:color="auto" w:fill="auto"/>
            <w:vAlign w:val="center"/>
            <w:hideMark/>
          </w:tcPr>
          <w:p w14:paraId="10264B4D"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1 769 323,00</w:t>
            </w:r>
          </w:p>
        </w:tc>
        <w:tc>
          <w:tcPr>
            <w:tcW w:w="866" w:type="pct"/>
            <w:tcBorders>
              <w:top w:val="nil"/>
              <w:left w:val="nil"/>
              <w:bottom w:val="single" w:sz="4" w:space="0" w:color="auto"/>
              <w:right w:val="single" w:sz="8" w:space="0" w:color="auto"/>
            </w:tcBorders>
            <w:shd w:val="clear" w:color="auto" w:fill="auto"/>
            <w:noWrap/>
            <w:vAlign w:val="center"/>
            <w:hideMark/>
          </w:tcPr>
          <w:p w14:paraId="28238A50"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Splněno</w:t>
            </w:r>
          </w:p>
        </w:tc>
      </w:tr>
      <w:tr w:rsidR="00723B6D" w:rsidRPr="00723B6D" w14:paraId="0856855B"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5641AFF0"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SFŽP</w:t>
            </w:r>
          </w:p>
        </w:tc>
        <w:tc>
          <w:tcPr>
            <w:tcW w:w="218" w:type="pct"/>
            <w:tcBorders>
              <w:top w:val="nil"/>
              <w:left w:val="nil"/>
              <w:bottom w:val="single" w:sz="4" w:space="0" w:color="auto"/>
              <w:right w:val="single" w:sz="4" w:space="0" w:color="auto"/>
            </w:tcBorders>
            <w:shd w:val="clear" w:color="auto" w:fill="auto"/>
            <w:vAlign w:val="center"/>
            <w:hideMark/>
          </w:tcPr>
          <w:p w14:paraId="31077782" w14:textId="77777777" w:rsidR="00723B6D" w:rsidRPr="00723B6D" w:rsidRDefault="00723B6D" w:rsidP="00723B6D">
            <w:pPr>
              <w:jc w:val="center"/>
              <w:rPr>
                <w:rFonts w:ascii="Calibri" w:eastAsia="Times New Roman" w:hAnsi="Calibri" w:cs="Calibri"/>
                <w:sz w:val="20"/>
                <w:szCs w:val="20"/>
                <w:lang w:eastAsia="cs-CZ"/>
              </w:rPr>
            </w:pPr>
            <w:r w:rsidRPr="00723B6D">
              <w:rPr>
                <w:rFonts w:ascii="Calibri" w:eastAsia="Times New Roman" w:hAnsi="Calibri" w:cs="Calibri"/>
                <w:sz w:val="20"/>
                <w:szCs w:val="20"/>
                <w:lang w:eastAsia="cs-CZ"/>
              </w:rPr>
              <w:t>2.3</w:t>
            </w:r>
          </w:p>
        </w:tc>
        <w:tc>
          <w:tcPr>
            <w:tcW w:w="1729" w:type="pct"/>
            <w:tcBorders>
              <w:top w:val="nil"/>
              <w:left w:val="nil"/>
              <w:bottom w:val="single" w:sz="4" w:space="0" w:color="auto"/>
              <w:right w:val="single" w:sz="4" w:space="0" w:color="auto"/>
            </w:tcBorders>
            <w:shd w:val="clear" w:color="auto" w:fill="auto"/>
            <w:vAlign w:val="center"/>
            <w:hideMark/>
          </w:tcPr>
          <w:p w14:paraId="06809098" w14:textId="77777777" w:rsidR="00723B6D" w:rsidRPr="00723B6D" w:rsidRDefault="00723B6D" w:rsidP="00723B6D">
            <w:pP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CZ.05.2.32/0.0/0.0/15_017/0002542</w:t>
            </w:r>
          </w:p>
        </w:tc>
        <w:tc>
          <w:tcPr>
            <w:tcW w:w="853" w:type="pct"/>
            <w:tcBorders>
              <w:top w:val="nil"/>
              <w:left w:val="nil"/>
              <w:bottom w:val="single" w:sz="4" w:space="0" w:color="auto"/>
              <w:right w:val="single" w:sz="4" w:space="0" w:color="auto"/>
            </w:tcBorders>
            <w:shd w:val="clear" w:color="auto" w:fill="auto"/>
            <w:vAlign w:val="center"/>
            <w:hideMark/>
          </w:tcPr>
          <w:p w14:paraId="0D37CCF2" w14:textId="77777777" w:rsidR="00723B6D" w:rsidRPr="00723B6D" w:rsidRDefault="00723B6D" w:rsidP="00723B6D">
            <w:pPr>
              <w:jc w:val="right"/>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2 532 340,00</w:t>
            </w:r>
          </w:p>
        </w:tc>
        <w:tc>
          <w:tcPr>
            <w:tcW w:w="866" w:type="pct"/>
            <w:tcBorders>
              <w:top w:val="nil"/>
              <w:left w:val="nil"/>
              <w:bottom w:val="single" w:sz="4" w:space="0" w:color="auto"/>
              <w:right w:val="single" w:sz="8" w:space="0" w:color="auto"/>
            </w:tcBorders>
            <w:shd w:val="clear" w:color="auto" w:fill="auto"/>
            <w:noWrap/>
            <w:vAlign w:val="center"/>
            <w:hideMark/>
          </w:tcPr>
          <w:p w14:paraId="30BE1C75" w14:textId="77777777" w:rsidR="00723B6D" w:rsidRPr="00723B6D" w:rsidRDefault="00723B6D" w:rsidP="00723B6D">
            <w:pPr>
              <w:jc w:val="center"/>
              <w:rPr>
                <w:rFonts w:ascii="Calibri" w:eastAsia="Times New Roman" w:hAnsi="Calibri" w:cs="Calibri"/>
                <w:color w:val="000000"/>
                <w:sz w:val="20"/>
                <w:szCs w:val="20"/>
                <w:lang w:eastAsia="cs-CZ"/>
              </w:rPr>
            </w:pPr>
            <w:r w:rsidRPr="00723B6D">
              <w:rPr>
                <w:rFonts w:ascii="Calibri" w:eastAsia="Times New Roman" w:hAnsi="Calibri" w:cs="Calibri"/>
                <w:color w:val="000000"/>
                <w:sz w:val="20"/>
                <w:szCs w:val="20"/>
                <w:lang w:eastAsia="cs-CZ"/>
              </w:rPr>
              <w:t>Splněno</w:t>
            </w:r>
          </w:p>
        </w:tc>
      </w:tr>
      <w:tr w:rsidR="00723B6D" w:rsidRPr="00723B6D" w14:paraId="5DE1D822"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7A46A728" w14:textId="77777777" w:rsidR="00723B6D" w:rsidRPr="00723B6D" w:rsidRDefault="00C12E5A" w:rsidP="00723B6D">
            <w:pP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 xml:space="preserve">Celkem </w:t>
            </w:r>
            <w:r w:rsidR="00723B6D" w:rsidRPr="00723B6D">
              <w:rPr>
                <w:rFonts w:ascii="Calibri" w:eastAsia="Times New Roman" w:hAnsi="Calibri" w:cs="Calibri"/>
                <w:b/>
                <w:bCs/>
                <w:color w:val="000000"/>
                <w:sz w:val="20"/>
                <w:szCs w:val="20"/>
                <w:lang w:eastAsia="cs-CZ"/>
              </w:rPr>
              <w:t>SC 2.3</w:t>
            </w:r>
            <w:r>
              <w:rPr>
                <w:rFonts w:ascii="Calibri" w:eastAsia="Times New Roman" w:hAnsi="Calibri" w:cs="Calibri"/>
                <w:b/>
                <w:bCs/>
                <w:color w:val="000000"/>
                <w:sz w:val="20"/>
                <w:szCs w:val="20"/>
                <w:lang w:eastAsia="cs-CZ"/>
              </w:rPr>
              <w:t xml:space="preserve"> u</w:t>
            </w:r>
            <w:r w:rsidR="00723B6D" w:rsidRPr="00723B6D">
              <w:rPr>
                <w:rFonts w:ascii="Calibri" w:eastAsia="Times New Roman" w:hAnsi="Calibri" w:cs="Calibri"/>
                <w:b/>
                <w:bCs/>
                <w:color w:val="000000"/>
                <w:sz w:val="20"/>
                <w:szCs w:val="20"/>
                <w:lang w:eastAsia="cs-CZ"/>
              </w:rPr>
              <w:t xml:space="preserve"> SFŽP</w:t>
            </w:r>
          </w:p>
        </w:tc>
        <w:tc>
          <w:tcPr>
            <w:tcW w:w="853" w:type="pct"/>
            <w:tcBorders>
              <w:top w:val="nil"/>
              <w:left w:val="single" w:sz="4" w:space="0" w:color="auto"/>
              <w:bottom w:val="single" w:sz="4" w:space="0" w:color="auto"/>
              <w:right w:val="single" w:sz="4" w:space="0" w:color="auto"/>
            </w:tcBorders>
            <w:shd w:val="clear" w:color="auto" w:fill="auto"/>
            <w:vAlign w:val="center"/>
            <w:hideMark/>
          </w:tcPr>
          <w:p w14:paraId="0387A518"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10 179 541,00</w:t>
            </w:r>
          </w:p>
        </w:tc>
        <w:tc>
          <w:tcPr>
            <w:tcW w:w="866" w:type="pct"/>
            <w:tcBorders>
              <w:top w:val="nil"/>
              <w:left w:val="nil"/>
              <w:bottom w:val="single" w:sz="4" w:space="0" w:color="auto"/>
              <w:right w:val="single" w:sz="8" w:space="0" w:color="auto"/>
            </w:tcBorders>
            <w:shd w:val="clear" w:color="auto" w:fill="auto"/>
            <w:noWrap/>
            <w:vAlign w:val="center"/>
            <w:hideMark/>
          </w:tcPr>
          <w:p w14:paraId="05D52B11"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23B6D" w:rsidRPr="00723B6D" w14:paraId="360714F0"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D9D9D9"/>
            <w:vAlign w:val="center"/>
            <w:hideMark/>
          </w:tcPr>
          <w:p w14:paraId="3C2D6997" w14:textId="77777777" w:rsidR="00723B6D" w:rsidRPr="00723B6D" w:rsidRDefault="00723B6D" w:rsidP="00723B6D">
            <w:pP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CELKEM SC 2.3</w:t>
            </w:r>
          </w:p>
        </w:tc>
        <w:tc>
          <w:tcPr>
            <w:tcW w:w="853" w:type="pct"/>
            <w:tcBorders>
              <w:top w:val="nil"/>
              <w:left w:val="single" w:sz="4" w:space="0" w:color="auto"/>
              <w:bottom w:val="single" w:sz="4" w:space="0" w:color="auto"/>
              <w:right w:val="single" w:sz="4" w:space="0" w:color="auto"/>
            </w:tcBorders>
            <w:shd w:val="clear" w:color="auto" w:fill="D9D9D9"/>
            <w:noWrap/>
            <w:vAlign w:val="center"/>
            <w:hideMark/>
          </w:tcPr>
          <w:p w14:paraId="3538AC82"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145 245 170,53</w:t>
            </w:r>
          </w:p>
        </w:tc>
        <w:tc>
          <w:tcPr>
            <w:tcW w:w="866" w:type="pct"/>
            <w:tcBorders>
              <w:top w:val="nil"/>
              <w:left w:val="nil"/>
              <w:bottom w:val="single" w:sz="4" w:space="0" w:color="auto"/>
              <w:right w:val="single" w:sz="8" w:space="0" w:color="auto"/>
            </w:tcBorders>
            <w:shd w:val="clear" w:color="auto" w:fill="D9D9D9"/>
            <w:noWrap/>
            <w:vAlign w:val="center"/>
            <w:hideMark/>
          </w:tcPr>
          <w:p w14:paraId="5A3ECB38"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r w:rsidR="00723B6D" w:rsidRPr="00723B6D" w14:paraId="66719B0A" w14:textId="77777777" w:rsidTr="00AA4206">
        <w:trPr>
          <w:trHeight w:val="227"/>
        </w:trPr>
        <w:tc>
          <w:tcPr>
            <w:tcW w:w="3282" w:type="pct"/>
            <w:gridSpan w:val="3"/>
            <w:tcBorders>
              <w:top w:val="single" w:sz="4" w:space="0" w:color="auto"/>
              <w:left w:val="single" w:sz="8" w:space="0" w:color="auto"/>
              <w:bottom w:val="single" w:sz="8" w:space="0" w:color="auto"/>
              <w:right w:val="nil"/>
            </w:tcBorders>
            <w:shd w:val="clear" w:color="auto" w:fill="F2C6C9"/>
            <w:vAlign w:val="center"/>
            <w:hideMark/>
          </w:tcPr>
          <w:p w14:paraId="48BAFCC0" w14:textId="77777777" w:rsidR="00723B6D" w:rsidRPr="00723B6D" w:rsidRDefault="00723B6D" w:rsidP="00723B6D">
            <w:pP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CELKEM OPŽP</w:t>
            </w:r>
          </w:p>
        </w:tc>
        <w:tc>
          <w:tcPr>
            <w:tcW w:w="853" w:type="pct"/>
            <w:tcBorders>
              <w:top w:val="nil"/>
              <w:left w:val="single" w:sz="4" w:space="0" w:color="auto"/>
              <w:bottom w:val="single" w:sz="8" w:space="0" w:color="auto"/>
              <w:right w:val="single" w:sz="4" w:space="0" w:color="auto"/>
            </w:tcBorders>
            <w:shd w:val="clear" w:color="auto" w:fill="F2C6C9"/>
            <w:noWrap/>
            <w:vAlign w:val="center"/>
            <w:hideMark/>
          </w:tcPr>
          <w:p w14:paraId="487F291E" w14:textId="77777777" w:rsidR="00723B6D" w:rsidRPr="00723B6D" w:rsidRDefault="00723B6D" w:rsidP="00723B6D">
            <w:pPr>
              <w:jc w:val="right"/>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4 288 299 890,13</w:t>
            </w:r>
          </w:p>
        </w:tc>
        <w:tc>
          <w:tcPr>
            <w:tcW w:w="866" w:type="pct"/>
            <w:tcBorders>
              <w:top w:val="nil"/>
              <w:left w:val="nil"/>
              <w:bottom w:val="single" w:sz="8" w:space="0" w:color="auto"/>
              <w:right w:val="single" w:sz="8" w:space="0" w:color="auto"/>
            </w:tcBorders>
            <w:shd w:val="clear" w:color="auto" w:fill="F2C6C9"/>
            <w:noWrap/>
            <w:vAlign w:val="center"/>
            <w:hideMark/>
          </w:tcPr>
          <w:p w14:paraId="515935CB" w14:textId="77777777" w:rsidR="00723B6D" w:rsidRPr="00723B6D" w:rsidRDefault="00723B6D" w:rsidP="00723B6D">
            <w:pPr>
              <w:jc w:val="center"/>
              <w:rPr>
                <w:rFonts w:ascii="Calibri" w:eastAsia="Times New Roman" w:hAnsi="Calibri" w:cs="Calibri"/>
                <w:b/>
                <w:bCs/>
                <w:color w:val="000000"/>
                <w:sz w:val="20"/>
                <w:szCs w:val="20"/>
                <w:lang w:eastAsia="cs-CZ"/>
              </w:rPr>
            </w:pPr>
            <w:r w:rsidRPr="00723B6D">
              <w:rPr>
                <w:rFonts w:ascii="Calibri" w:eastAsia="Times New Roman" w:hAnsi="Calibri" w:cs="Calibri"/>
                <w:b/>
                <w:bCs/>
                <w:color w:val="000000"/>
                <w:sz w:val="20"/>
                <w:szCs w:val="20"/>
                <w:lang w:eastAsia="cs-CZ"/>
              </w:rPr>
              <w:t> </w:t>
            </w:r>
          </w:p>
        </w:tc>
      </w:tr>
    </w:tbl>
    <w:p w14:paraId="2F55B6DC" w14:textId="38220A6E" w:rsidR="00395345" w:rsidRDefault="00D24707" w:rsidP="00805103">
      <w:pPr>
        <w:pStyle w:val="Zdrojapozn"/>
        <w:spacing w:before="40"/>
      </w:pPr>
      <w:r w:rsidRPr="00D24707">
        <w:rPr>
          <w:b/>
        </w:rPr>
        <w:t>Zdroj:</w:t>
      </w:r>
      <w:r>
        <w:t xml:space="preserve"> </w:t>
      </w:r>
      <w:r w:rsidR="00D25553">
        <w:t xml:space="preserve">vypracoval NKÚ na základě </w:t>
      </w:r>
      <w:r>
        <w:t>dokumentace projektů</w:t>
      </w:r>
      <w:r w:rsidR="00D25553">
        <w:t>.</w:t>
      </w:r>
    </w:p>
    <w:p w14:paraId="3F823BFF" w14:textId="0CF6E7B2" w:rsidR="00D25553" w:rsidRDefault="00D25553" w:rsidP="00D25553">
      <w:pPr>
        <w:pStyle w:val="Zdrojapozn"/>
      </w:pPr>
      <w:r>
        <w:rPr>
          <w:b/>
        </w:rPr>
        <w:t>Vysvětlivky</w:t>
      </w:r>
      <w:r w:rsidR="007A26DE" w:rsidRPr="007A26DE">
        <w:rPr>
          <w:b/>
        </w:rPr>
        <w:t>:</w:t>
      </w:r>
      <w:r w:rsidR="007A26DE">
        <w:t xml:space="preserve"> </w:t>
      </w:r>
    </w:p>
    <w:p w14:paraId="0654E2CD" w14:textId="1AB8F779" w:rsidR="003940F4" w:rsidRDefault="00D25553" w:rsidP="00D25553">
      <w:pPr>
        <w:pStyle w:val="Zdrojapozn"/>
      </w:pPr>
      <w:r>
        <w:t>H</w:t>
      </w:r>
      <w:r w:rsidR="007A26DE">
        <w:t xml:space="preserve">odnocení „SPLNĚNO“ </w:t>
      </w:r>
      <w:r>
        <w:t>–</w:t>
      </w:r>
      <w:r w:rsidR="007A26DE">
        <w:t xml:space="preserve"> </w:t>
      </w:r>
      <w:r>
        <w:t>a</w:t>
      </w:r>
      <w:r w:rsidR="007A26DE" w:rsidRPr="007A26DE">
        <w:t>kce deklaruje splně</w:t>
      </w:r>
      <w:r w:rsidR="007A26DE">
        <w:t>ní indikátorů</w:t>
      </w:r>
      <w:r>
        <w:t>.</w:t>
      </w:r>
    </w:p>
    <w:p w14:paraId="018D93E4" w14:textId="71DE1E71" w:rsidR="003940F4" w:rsidRDefault="00D25553" w:rsidP="00D25553">
      <w:pPr>
        <w:pStyle w:val="Zdrojapozn"/>
      </w:pPr>
      <w:r>
        <w:t>H</w:t>
      </w:r>
      <w:r w:rsidR="007A26DE">
        <w:t>odnocení „</w:t>
      </w:r>
      <w:r w:rsidR="003940F4">
        <w:t xml:space="preserve">PRŮBĚŽNĚ PLNĚNO“ </w:t>
      </w:r>
      <w:r>
        <w:t>–</w:t>
      </w:r>
      <w:r w:rsidR="003940F4">
        <w:t xml:space="preserve"> </w:t>
      </w:r>
      <w:r>
        <w:t>n</w:t>
      </w:r>
      <w:r w:rsidR="003940F4" w:rsidRPr="003940F4">
        <w:t>a základě dostupných průběžných hodnoce</w:t>
      </w:r>
      <w:r w:rsidR="003940F4">
        <w:t>ní projektu lze usuzovat, že</w:t>
      </w:r>
      <w:r>
        <w:t xml:space="preserve"> </w:t>
      </w:r>
      <w:r w:rsidR="003940F4">
        <w:t>po</w:t>
      </w:r>
      <w:r>
        <w:t xml:space="preserve"> </w:t>
      </w:r>
      <w:r w:rsidR="003940F4" w:rsidRPr="003940F4">
        <w:t>ukončení projektu budou indikátory splněny</w:t>
      </w:r>
      <w:r>
        <w:t>.</w:t>
      </w:r>
    </w:p>
    <w:p w14:paraId="2F6F34E5" w14:textId="1EF2404A" w:rsidR="00C12E5A" w:rsidRDefault="00D25553" w:rsidP="00D25553">
      <w:pPr>
        <w:pStyle w:val="Zdrojapozn"/>
      </w:pPr>
      <w:r>
        <w:t>H</w:t>
      </w:r>
      <w:r w:rsidR="003940F4">
        <w:t xml:space="preserve">odnocení „PROJEKT V REALIZACI“ </w:t>
      </w:r>
      <w:r>
        <w:t>–</w:t>
      </w:r>
      <w:r w:rsidR="003940F4">
        <w:t xml:space="preserve"> </w:t>
      </w:r>
      <w:r>
        <w:t>k</w:t>
      </w:r>
      <w:r w:rsidR="003940F4" w:rsidRPr="003940F4">
        <w:t xml:space="preserve"> datu ukončení kontrolní akce nebyly projekty ve fázi umožňující posouzení plnění indikátoru</w:t>
      </w:r>
      <w:r w:rsidR="003940F4">
        <w:t>.</w:t>
      </w:r>
      <w:r w:rsidR="00C12E5A">
        <w:br w:type="page"/>
      </w:r>
    </w:p>
    <w:p w14:paraId="584D0F55" w14:textId="7B96F699" w:rsidR="00C12E5A" w:rsidRPr="00B1650A" w:rsidRDefault="00C12E5A" w:rsidP="00805103">
      <w:pPr>
        <w:pStyle w:val="Titulek"/>
        <w:tabs>
          <w:tab w:val="clear" w:pos="7938"/>
          <w:tab w:val="right" w:pos="9072"/>
        </w:tabs>
        <w:spacing w:after="40"/>
        <w:rPr>
          <w:b/>
        </w:rPr>
      </w:pPr>
      <w:r w:rsidRPr="00B1650A">
        <w:rPr>
          <w:b/>
        </w:rPr>
        <w:t xml:space="preserve">Tabulka č. </w:t>
      </w:r>
      <w:r w:rsidR="00A36661" w:rsidRPr="00B1650A">
        <w:rPr>
          <w:b/>
        </w:rPr>
        <w:fldChar w:fldCharType="begin"/>
      </w:r>
      <w:r w:rsidR="00A36661" w:rsidRPr="00B1650A">
        <w:rPr>
          <w:b/>
        </w:rPr>
        <w:instrText xml:space="preserve"> SEQ Tabulka_č. \* ARABIC </w:instrText>
      </w:r>
      <w:r w:rsidR="00A36661" w:rsidRPr="00B1650A">
        <w:rPr>
          <w:b/>
        </w:rPr>
        <w:fldChar w:fldCharType="separate"/>
      </w:r>
      <w:r w:rsidR="00E80779">
        <w:rPr>
          <w:b/>
          <w:noProof/>
        </w:rPr>
        <w:t>12</w:t>
      </w:r>
      <w:r w:rsidR="00A36661" w:rsidRPr="00B1650A">
        <w:rPr>
          <w:b/>
          <w:noProof/>
        </w:rPr>
        <w:fldChar w:fldCharType="end"/>
      </w:r>
      <w:r w:rsidRPr="00B1650A">
        <w:rPr>
          <w:b/>
        </w:rPr>
        <w:t>: Kontrolované projekty v rámci NPŽP</w:t>
      </w:r>
      <w:r w:rsidRPr="00B1650A">
        <w:rPr>
          <w:b/>
        </w:rPr>
        <w:tab/>
        <w:t>(v Kč)</w:t>
      </w:r>
    </w:p>
    <w:tbl>
      <w:tblPr>
        <w:tblW w:w="5000" w:type="pct"/>
        <w:tblCellMar>
          <w:left w:w="70" w:type="dxa"/>
          <w:right w:w="70" w:type="dxa"/>
        </w:tblCellMar>
        <w:tblLook w:val="04A0" w:firstRow="1" w:lastRow="0" w:firstColumn="1" w:lastColumn="0" w:noHBand="0" w:noVBand="1"/>
      </w:tblPr>
      <w:tblGrid>
        <w:gridCol w:w="2821"/>
        <w:gridCol w:w="1705"/>
        <w:gridCol w:w="1419"/>
        <w:gridCol w:w="1418"/>
        <w:gridCol w:w="1689"/>
      </w:tblGrid>
      <w:tr w:rsidR="00C12E5A" w:rsidRPr="00C12E5A" w14:paraId="690BB32C" w14:textId="77777777" w:rsidTr="00AA4206">
        <w:trPr>
          <w:trHeight w:val="227"/>
        </w:trPr>
        <w:tc>
          <w:tcPr>
            <w:tcW w:w="1558" w:type="pct"/>
            <w:tcBorders>
              <w:top w:val="single" w:sz="4" w:space="0" w:color="auto"/>
              <w:left w:val="single" w:sz="8" w:space="0" w:color="auto"/>
              <w:bottom w:val="single" w:sz="4" w:space="0" w:color="auto"/>
              <w:right w:val="single" w:sz="4" w:space="0" w:color="auto"/>
            </w:tcBorders>
            <w:shd w:val="clear" w:color="000000" w:fill="E5F1FF"/>
            <w:noWrap/>
            <w:vAlign w:val="center"/>
            <w:hideMark/>
          </w:tcPr>
          <w:p w14:paraId="1F520291" w14:textId="77777777" w:rsidR="00C12E5A" w:rsidRPr="00C12E5A" w:rsidRDefault="00C12E5A" w:rsidP="00C12E5A">
            <w:pPr>
              <w:jc w:val="center"/>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Kontrolovaná osoba</w:t>
            </w:r>
          </w:p>
        </w:tc>
        <w:tc>
          <w:tcPr>
            <w:tcW w:w="942" w:type="pct"/>
            <w:tcBorders>
              <w:top w:val="single" w:sz="4" w:space="0" w:color="auto"/>
              <w:left w:val="nil"/>
              <w:bottom w:val="single" w:sz="4" w:space="0" w:color="auto"/>
              <w:right w:val="single" w:sz="4" w:space="0" w:color="auto"/>
            </w:tcBorders>
            <w:shd w:val="clear" w:color="000000" w:fill="E5F1FF"/>
            <w:vAlign w:val="center"/>
            <w:hideMark/>
          </w:tcPr>
          <w:p w14:paraId="283925D5" w14:textId="77777777" w:rsidR="00C12E5A" w:rsidRPr="00C12E5A" w:rsidRDefault="00C12E5A" w:rsidP="00C12E5A">
            <w:pPr>
              <w:jc w:val="center"/>
              <w:rPr>
                <w:rFonts w:ascii="Calibri" w:eastAsia="Times New Roman" w:hAnsi="Calibri" w:cs="Calibri"/>
                <w:b/>
                <w:bCs/>
                <w:sz w:val="20"/>
                <w:szCs w:val="20"/>
                <w:lang w:eastAsia="cs-CZ"/>
              </w:rPr>
            </w:pPr>
            <w:r w:rsidRPr="00C12E5A">
              <w:rPr>
                <w:rFonts w:ascii="Calibri" w:eastAsia="Times New Roman" w:hAnsi="Calibri" w:cs="Calibri"/>
                <w:b/>
                <w:bCs/>
                <w:sz w:val="20"/>
                <w:szCs w:val="20"/>
                <w:lang w:eastAsia="cs-CZ"/>
              </w:rPr>
              <w:t>Prioritní podoblast</w:t>
            </w:r>
          </w:p>
        </w:tc>
        <w:tc>
          <w:tcPr>
            <w:tcW w:w="784" w:type="pct"/>
            <w:tcBorders>
              <w:top w:val="single" w:sz="4" w:space="0" w:color="auto"/>
              <w:left w:val="nil"/>
              <w:bottom w:val="single" w:sz="4" w:space="0" w:color="auto"/>
              <w:right w:val="single" w:sz="4" w:space="0" w:color="auto"/>
            </w:tcBorders>
            <w:shd w:val="clear" w:color="000000" w:fill="E5F1FF"/>
            <w:vAlign w:val="center"/>
            <w:hideMark/>
          </w:tcPr>
          <w:p w14:paraId="336D15DA" w14:textId="4E991CDE" w:rsidR="00C12E5A" w:rsidRPr="00C12E5A" w:rsidRDefault="00C12E5A" w:rsidP="00D25553">
            <w:pPr>
              <w:jc w:val="center"/>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 xml:space="preserve">Projekt </w:t>
            </w:r>
            <w:r w:rsidR="00D25553">
              <w:rPr>
                <w:rFonts w:ascii="Calibri" w:eastAsia="Times New Roman" w:hAnsi="Calibri" w:cs="Calibri"/>
                <w:b/>
                <w:bCs/>
                <w:color w:val="000000"/>
                <w:sz w:val="20"/>
                <w:szCs w:val="20"/>
                <w:lang w:eastAsia="cs-CZ"/>
              </w:rPr>
              <w:t>–</w:t>
            </w:r>
            <w:r w:rsidRPr="00C12E5A">
              <w:rPr>
                <w:rFonts w:ascii="Calibri" w:eastAsia="Times New Roman" w:hAnsi="Calibri" w:cs="Calibri"/>
                <w:b/>
                <w:bCs/>
                <w:color w:val="000000"/>
                <w:sz w:val="20"/>
                <w:szCs w:val="20"/>
                <w:lang w:eastAsia="cs-CZ"/>
              </w:rPr>
              <w:t xml:space="preserve"> číslo</w:t>
            </w:r>
          </w:p>
        </w:tc>
        <w:tc>
          <w:tcPr>
            <w:tcW w:w="783" w:type="pct"/>
            <w:tcBorders>
              <w:top w:val="single" w:sz="4" w:space="0" w:color="auto"/>
              <w:left w:val="nil"/>
              <w:bottom w:val="single" w:sz="4" w:space="0" w:color="auto"/>
              <w:right w:val="single" w:sz="4" w:space="0" w:color="auto"/>
            </w:tcBorders>
            <w:shd w:val="clear" w:color="000000" w:fill="E5F1FF"/>
            <w:vAlign w:val="center"/>
            <w:hideMark/>
          </w:tcPr>
          <w:p w14:paraId="7AEC0BE2" w14:textId="77777777" w:rsidR="00C12E5A" w:rsidRPr="00C12E5A" w:rsidRDefault="00C12E5A" w:rsidP="00C12E5A">
            <w:pPr>
              <w:jc w:val="center"/>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Dotace (</w:t>
            </w:r>
            <w:proofErr w:type="spellStart"/>
            <w:r w:rsidRPr="00C12E5A">
              <w:rPr>
                <w:rFonts w:ascii="Calibri" w:eastAsia="Times New Roman" w:hAnsi="Calibri" w:cs="Calibri"/>
                <w:b/>
                <w:bCs/>
                <w:color w:val="000000"/>
                <w:sz w:val="20"/>
                <w:szCs w:val="20"/>
                <w:lang w:eastAsia="cs-CZ"/>
              </w:rPr>
              <w:t>RoPD</w:t>
            </w:r>
            <w:proofErr w:type="spellEnd"/>
            <w:r w:rsidRPr="00C12E5A">
              <w:rPr>
                <w:rFonts w:ascii="Calibri" w:eastAsia="Times New Roman" w:hAnsi="Calibri" w:cs="Calibri"/>
                <w:b/>
                <w:bCs/>
                <w:color w:val="000000"/>
                <w:sz w:val="20"/>
                <w:szCs w:val="20"/>
                <w:lang w:eastAsia="cs-CZ"/>
              </w:rPr>
              <w:t>)</w:t>
            </w:r>
          </w:p>
        </w:tc>
        <w:tc>
          <w:tcPr>
            <w:tcW w:w="934" w:type="pct"/>
            <w:tcBorders>
              <w:top w:val="single" w:sz="4" w:space="0" w:color="auto"/>
              <w:left w:val="nil"/>
              <w:bottom w:val="single" w:sz="4" w:space="0" w:color="auto"/>
              <w:right w:val="single" w:sz="8" w:space="0" w:color="auto"/>
            </w:tcBorders>
            <w:shd w:val="clear" w:color="000000" w:fill="E5F1FF"/>
            <w:vAlign w:val="center"/>
            <w:hideMark/>
          </w:tcPr>
          <w:p w14:paraId="4C90C613" w14:textId="77777777" w:rsidR="00C12E5A" w:rsidRPr="00C12E5A" w:rsidRDefault="00C12E5A" w:rsidP="00C12E5A">
            <w:pPr>
              <w:jc w:val="center"/>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Plnění indikátorů projektů</w:t>
            </w:r>
          </w:p>
        </w:tc>
      </w:tr>
      <w:tr w:rsidR="007A26DE" w:rsidRPr="00C12E5A" w14:paraId="010DC929" w14:textId="77777777" w:rsidTr="00AA4206">
        <w:trPr>
          <w:trHeight w:val="227"/>
        </w:trPr>
        <w:tc>
          <w:tcPr>
            <w:tcW w:w="5000" w:type="pct"/>
            <w:gridSpan w:val="5"/>
            <w:tcBorders>
              <w:top w:val="nil"/>
              <w:left w:val="single" w:sz="8" w:space="0" w:color="auto"/>
              <w:bottom w:val="single" w:sz="4" w:space="0" w:color="auto"/>
              <w:right w:val="single" w:sz="8" w:space="0" w:color="auto"/>
            </w:tcBorders>
            <w:shd w:val="clear" w:color="auto" w:fill="E5F1FF"/>
            <w:vAlign w:val="center"/>
          </w:tcPr>
          <w:p w14:paraId="00E58AE3" w14:textId="77777777" w:rsidR="007A26DE" w:rsidRPr="00C12E5A" w:rsidRDefault="007A26DE" w:rsidP="00C12E5A">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SEKTOR PRŮMYSLU</w:t>
            </w:r>
          </w:p>
        </w:tc>
      </w:tr>
      <w:tr w:rsidR="00C12E5A" w:rsidRPr="00C12E5A" w14:paraId="62DBAFDC"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08EAE132"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ADM Olomouc s.r.o.</w:t>
            </w:r>
          </w:p>
        </w:tc>
        <w:tc>
          <w:tcPr>
            <w:tcW w:w="942" w:type="pct"/>
            <w:tcBorders>
              <w:top w:val="nil"/>
              <w:left w:val="nil"/>
              <w:bottom w:val="single" w:sz="4" w:space="0" w:color="auto"/>
              <w:right w:val="single" w:sz="4" w:space="0" w:color="auto"/>
            </w:tcBorders>
            <w:shd w:val="clear" w:color="auto" w:fill="auto"/>
            <w:noWrap/>
            <w:vAlign w:val="center"/>
            <w:hideMark/>
          </w:tcPr>
          <w:p w14:paraId="35CDFC17" w14:textId="77777777" w:rsidR="00C12E5A" w:rsidRPr="00C12E5A" w:rsidRDefault="00C12E5A" w:rsidP="00C12E5A">
            <w:pPr>
              <w:jc w:val="center"/>
              <w:rPr>
                <w:rFonts w:ascii="Calibri" w:eastAsia="Times New Roman" w:hAnsi="Calibri" w:cs="Calibri"/>
                <w:sz w:val="20"/>
                <w:szCs w:val="20"/>
                <w:lang w:eastAsia="cs-CZ"/>
              </w:rPr>
            </w:pPr>
            <w:r w:rsidRPr="00C12E5A">
              <w:rPr>
                <w:rFonts w:ascii="Calibri" w:eastAsia="Times New Roman" w:hAnsi="Calibri" w:cs="Calibri"/>
                <w:sz w:val="20"/>
                <w:szCs w:val="20"/>
                <w:lang w:eastAsia="cs-CZ"/>
              </w:rPr>
              <w:t>2.1</w:t>
            </w:r>
          </w:p>
        </w:tc>
        <w:tc>
          <w:tcPr>
            <w:tcW w:w="784" w:type="pct"/>
            <w:tcBorders>
              <w:top w:val="nil"/>
              <w:left w:val="nil"/>
              <w:bottom w:val="single" w:sz="4" w:space="0" w:color="auto"/>
              <w:right w:val="single" w:sz="4" w:space="0" w:color="auto"/>
            </w:tcBorders>
            <w:shd w:val="clear" w:color="auto" w:fill="auto"/>
            <w:vAlign w:val="center"/>
            <w:hideMark/>
          </w:tcPr>
          <w:p w14:paraId="3A4CBD0B"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01591621</w:t>
            </w:r>
          </w:p>
        </w:tc>
        <w:tc>
          <w:tcPr>
            <w:tcW w:w="783" w:type="pct"/>
            <w:tcBorders>
              <w:top w:val="nil"/>
              <w:left w:val="nil"/>
              <w:bottom w:val="single" w:sz="4" w:space="0" w:color="auto"/>
              <w:right w:val="single" w:sz="4" w:space="0" w:color="auto"/>
            </w:tcBorders>
            <w:shd w:val="clear" w:color="auto" w:fill="auto"/>
            <w:vAlign w:val="center"/>
            <w:hideMark/>
          </w:tcPr>
          <w:p w14:paraId="2CFD22B1" w14:textId="77777777" w:rsidR="00C12E5A" w:rsidRPr="00C12E5A" w:rsidRDefault="00C12E5A" w:rsidP="00C12E5A">
            <w:pPr>
              <w:jc w:val="right"/>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2 249 854,00</w:t>
            </w:r>
          </w:p>
        </w:tc>
        <w:tc>
          <w:tcPr>
            <w:tcW w:w="934" w:type="pct"/>
            <w:tcBorders>
              <w:top w:val="nil"/>
              <w:left w:val="nil"/>
              <w:bottom w:val="single" w:sz="4" w:space="0" w:color="auto"/>
              <w:right w:val="single" w:sz="8" w:space="0" w:color="auto"/>
            </w:tcBorders>
            <w:shd w:val="clear" w:color="auto" w:fill="auto"/>
            <w:noWrap/>
            <w:vAlign w:val="center"/>
            <w:hideMark/>
          </w:tcPr>
          <w:p w14:paraId="0628B606" w14:textId="77777777" w:rsidR="00C12E5A" w:rsidRPr="00C12E5A" w:rsidRDefault="00C12E5A" w:rsidP="00C12E5A">
            <w:pPr>
              <w:jc w:val="cente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Projekt v realizaci</w:t>
            </w:r>
          </w:p>
        </w:tc>
      </w:tr>
      <w:tr w:rsidR="00C12E5A" w:rsidRPr="00C12E5A" w14:paraId="225A6797"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20F68728"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BPS Pacov s.r.o.</w:t>
            </w:r>
          </w:p>
        </w:tc>
        <w:tc>
          <w:tcPr>
            <w:tcW w:w="942" w:type="pct"/>
            <w:tcBorders>
              <w:top w:val="nil"/>
              <w:left w:val="nil"/>
              <w:bottom w:val="single" w:sz="4" w:space="0" w:color="auto"/>
              <w:right w:val="single" w:sz="4" w:space="0" w:color="auto"/>
            </w:tcBorders>
            <w:shd w:val="clear" w:color="auto" w:fill="auto"/>
            <w:noWrap/>
            <w:vAlign w:val="center"/>
            <w:hideMark/>
          </w:tcPr>
          <w:p w14:paraId="2CABC327" w14:textId="77777777" w:rsidR="00C12E5A" w:rsidRPr="00C12E5A" w:rsidRDefault="00C12E5A" w:rsidP="00C12E5A">
            <w:pPr>
              <w:jc w:val="center"/>
              <w:rPr>
                <w:rFonts w:ascii="Calibri" w:eastAsia="Times New Roman" w:hAnsi="Calibri" w:cs="Calibri"/>
                <w:sz w:val="20"/>
                <w:szCs w:val="20"/>
                <w:lang w:eastAsia="cs-CZ"/>
              </w:rPr>
            </w:pPr>
            <w:r w:rsidRPr="00C12E5A">
              <w:rPr>
                <w:rFonts w:ascii="Calibri" w:eastAsia="Times New Roman" w:hAnsi="Calibri" w:cs="Calibri"/>
                <w:sz w:val="20"/>
                <w:szCs w:val="20"/>
                <w:lang w:eastAsia="cs-CZ"/>
              </w:rPr>
              <w:t>2.1</w:t>
            </w:r>
          </w:p>
        </w:tc>
        <w:tc>
          <w:tcPr>
            <w:tcW w:w="784" w:type="pct"/>
            <w:tcBorders>
              <w:top w:val="nil"/>
              <w:left w:val="nil"/>
              <w:bottom w:val="single" w:sz="4" w:space="0" w:color="auto"/>
              <w:right w:val="single" w:sz="4" w:space="0" w:color="auto"/>
            </w:tcBorders>
            <w:shd w:val="clear" w:color="auto" w:fill="auto"/>
            <w:vAlign w:val="center"/>
            <w:hideMark/>
          </w:tcPr>
          <w:p w14:paraId="546A7CCB"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01491621</w:t>
            </w:r>
          </w:p>
        </w:tc>
        <w:tc>
          <w:tcPr>
            <w:tcW w:w="783" w:type="pct"/>
            <w:tcBorders>
              <w:top w:val="nil"/>
              <w:left w:val="nil"/>
              <w:bottom w:val="single" w:sz="4" w:space="0" w:color="auto"/>
              <w:right w:val="single" w:sz="4" w:space="0" w:color="auto"/>
            </w:tcBorders>
            <w:shd w:val="clear" w:color="auto" w:fill="auto"/>
            <w:vAlign w:val="center"/>
            <w:hideMark/>
          </w:tcPr>
          <w:p w14:paraId="1442587B" w14:textId="77777777" w:rsidR="00C12E5A" w:rsidRPr="00C12E5A" w:rsidRDefault="00C12E5A" w:rsidP="00C12E5A">
            <w:pPr>
              <w:jc w:val="right"/>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1 530 600,00</w:t>
            </w:r>
          </w:p>
        </w:tc>
        <w:tc>
          <w:tcPr>
            <w:tcW w:w="934" w:type="pct"/>
            <w:tcBorders>
              <w:top w:val="nil"/>
              <w:left w:val="nil"/>
              <w:bottom w:val="single" w:sz="4" w:space="0" w:color="auto"/>
              <w:right w:val="single" w:sz="8" w:space="0" w:color="auto"/>
            </w:tcBorders>
            <w:shd w:val="clear" w:color="auto" w:fill="auto"/>
            <w:noWrap/>
            <w:vAlign w:val="center"/>
            <w:hideMark/>
          </w:tcPr>
          <w:p w14:paraId="50492D44" w14:textId="77777777" w:rsidR="00C12E5A" w:rsidRPr="00C12E5A" w:rsidRDefault="00C12E5A" w:rsidP="00C12E5A">
            <w:pPr>
              <w:jc w:val="cente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Projekt v realizaci</w:t>
            </w:r>
          </w:p>
        </w:tc>
      </w:tr>
      <w:tr w:rsidR="00C12E5A" w:rsidRPr="00C12E5A" w14:paraId="5134826E"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0144D630"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Elektrárny Opatovice, a.s.</w:t>
            </w:r>
          </w:p>
        </w:tc>
        <w:tc>
          <w:tcPr>
            <w:tcW w:w="942" w:type="pct"/>
            <w:tcBorders>
              <w:top w:val="nil"/>
              <w:left w:val="nil"/>
              <w:bottom w:val="single" w:sz="4" w:space="0" w:color="auto"/>
              <w:right w:val="single" w:sz="4" w:space="0" w:color="auto"/>
            </w:tcBorders>
            <w:shd w:val="clear" w:color="auto" w:fill="auto"/>
            <w:noWrap/>
            <w:vAlign w:val="center"/>
            <w:hideMark/>
          </w:tcPr>
          <w:p w14:paraId="48D9AA1B" w14:textId="77777777" w:rsidR="00C12E5A" w:rsidRPr="00C12E5A" w:rsidRDefault="00C12E5A" w:rsidP="00C12E5A">
            <w:pPr>
              <w:jc w:val="center"/>
              <w:rPr>
                <w:rFonts w:ascii="Calibri" w:eastAsia="Times New Roman" w:hAnsi="Calibri" w:cs="Calibri"/>
                <w:sz w:val="20"/>
                <w:szCs w:val="20"/>
                <w:lang w:eastAsia="cs-CZ"/>
              </w:rPr>
            </w:pPr>
            <w:r w:rsidRPr="00C12E5A">
              <w:rPr>
                <w:rFonts w:ascii="Calibri" w:eastAsia="Times New Roman" w:hAnsi="Calibri" w:cs="Calibri"/>
                <w:sz w:val="20"/>
                <w:szCs w:val="20"/>
                <w:lang w:eastAsia="cs-CZ"/>
              </w:rPr>
              <w:t>2.1</w:t>
            </w:r>
          </w:p>
        </w:tc>
        <w:tc>
          <w:tcPr>
            <w:tcW w:w="784" w:type="pct"/>
            <w:tcBorders>
              <w:top w:val="nil"/>
              <w:left w:val="nil"/>
              <w:bottom w:val="single" w:sz="4" w:space="0" w:color="auto"/>
              <w:right w:val="single" w:sz="4" w:space="0" w:color="auto"/>
            </w:tcBorders>
            <w:shd w:val="clear" w:color="auto" w:fill="auto"/>
            <w:vAlign w:val="center"/>
            <w:hideMark/>
          </w:tcPr>
          <w:p w14:paraId="615FB044"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01521621</w:t>
            </w:r>
          </w:p>
        </w:tc>
        <w:tc>
          <w:tcPr>
            <w:tcW w:w="783" w:type="pct"/>
            <w:tcBorders>
              <w:top w:val="nil"/>
              <w:left w:val="nil"/>
              <w:bottom w:val="single" w:sz="4" w:space="0" w:color="auto"/>
              <w:right w:val="single" w:sz="4" w:space="0" w:color="auto"/>
            </w:tcBorders>
            <w:shd w:val="clear" w:color="auto" w:fill="auto"/>
            <w:vAlign w:val="center"/>
            <w:hideMark/>
          </w:tcPr>
          <w:p w14:paraId="2EF9F992" w14:textId="77777777" w:rsidR="00C12E5A" w:rsidRPr="00C12E5A" w:rsidRDefault="00C12E5A" w:rsidP="00C12E5A">
            <w:pPr>
              <w:jc w:val="right"/>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10 000 000,00</w:t>
            </w:r>
          </w:p>
        </w:tc>
        <w:tc>
          <w:tcPr>
            <w:tcW w:w="934" w:type="pct"/>
            <w:tcBorders>
              <w:top w:val="nil"/>
              <w:left w:val="nil"/>
              <w:bottom w:val="single" w:sz="4" w:space="0" w:color="auto"/>
              <w:right w:val="single" w:sz="8" w:space="0" w:color="auto"/>
            </w:tcBorders>
            <w:shd w:val="clear" w:color="auto" w:fill="auto"/>
            <w:noWrap/>
            <w:vAlign w:val="center"/>
            <w:hideMark/>
          </w:tcPr>
          <w:p w14:paraId="46E819D9" w14:textId="77777777" w:rsidR="00C12E5A" w:rsidRPr="00C12E5A" w:rsidRDefault="00C12E5A" w:rsidP="00C12E5A">
            <w:pPr>
              <w:jc w:val="cente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Projekt v realizaci</w:t>
            </w:r>
          </w:p>
        </w:tc>
      </w:tr>
      <w:tr w:rsidR="00C12E5A" w:rsidRPr="00C12E5A" w14:paraId="1741F279"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667CA5AD"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PRECIOSA ORNELA, a.s.</w:t>
            </w:r>
          </w:p>
        </w:tc>
        <w:tc>
          <w:tcPr>
            <w:tcW w:w="942" w:type="pct"/>
            <w:tcBorders>
              <w:top w:val="nil"/>
              <w:left w:val="nil"/>
              <w:bottom w:val="single" w:sz="4" w:space="0" w:color="auto"/>
              <w:right w:val="single" w:sz="4" w:space="0" w:color="auto"/>
            </w:tcBorders>
            <w:shd w:val="clear" w:color="auto" w:fill="auto"/>
            <w:noWrap/>
            <w:vAlign w:val="center"/>
            <w:hideMark/>
          </w:tcPr>
          <w:p w14:paraId="56ECD761" w14:textId="77777777" w:rsidR="00C12E5A" w:rsidRPr="00C12E5A" w:rsidRDefault="00C12E5A" w:rsidP="00C12E5A">
            <w:pPr>
              <w:jc w:val="center"/>
              <w:rPr>
                <w:rFonts w:ascii="Calibri" w:eastAsia="Times New Roman" w:hAnsi="Calibri" w:cs="Calibri"/>
                <w:sz w:val="20"/>
                <w:szCs w:val="20"/>
                <w:lang w:eastAsia="cs-CZ"/>
              </w:rPr>
            </w:pPr>
            <w:r w:rsidRPr="00C12E5A">
              <w:rPr>
                <w:rFonts w:ascii="Calibri" w:eastAsia="Times New Roman" w:hAnsi="Calibri" w:cs="Calibri"/>
                <w:sz w:val="20"/>
                <w:szCs w:val="20"/>
                <w:lang w:eastAsia="cs-CZ"/>
              </w:rPr>
              <w:t>2.1</w:t>
            </w:r>
          </w:p>
        </w:tc>
        <w:tc>
          <w:tcPr>
            <w:tcW w:w="784" w:type="pct"/>
            <w:tcBorders>
              <w:top w:val="nil"/>
              <w:left w:val="nil"/>
              <w:bottom w:val="single" w:sz="4" w:space="0" w:color="auto"/>
              <w:right w:val="single" w:sz="4" w:space="0" w:color="auto"/>
            </w:tcBorders>
            <w:shd w:val="clear" w:color="auto" w:fill="auto"/>
            <w:vAlign w:val="center"/>
            <w:hideMark/>
          </w:tcPr>
          <w:p w14:paraId="570F95E7"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01571621</w:t>
            </w:r>
          </w:p>
        </w:tc>
        <w:tc>
          <w:tcPr>
            <w:tcW w:w="783" w:type="pct"/>
            <w:tcBorders>
              <w:top w:val="nil"/>
              <w:left w:val="nil"/>
              <w:bottom w:val="single" w:sz="4" w:space="0" w:color="auto"/>
              <w:right w:val="single" w:sz="4" w:space="0" w:color="auto"/>
            </w:tcBorders>
            <w:shd w:val="clear" w:color="auto" w:fill="auto"/>
            <w:vAlign w:val="center"/>
            <w:hideMark/>
          </w:tcPr>
          <w:p w14:paraId="0BF6ADD1" w14:textId="77777777" w:rsidR="00C12E5A" w:rsidRPr="00C12E5A" w:rsidRDefault="00C12E5A" w:rsidP="00C12E5A">
            <w:pPr>
              <w:jc w:val="right"/>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2 414 563,00</w:t>
            </w:r>
          </w:p>
        </w:tc>
        <w:tc>
          <w:tcPr>
            <w:tcW w:w="934" w:type="pct"/>
            <w:tcBorders>
              <w:top w:val="nil"/>
              <w:left w:val="nil"/>
              <w:bottom w:val="single" w:sz="4" w:space="0" w:color="auto"/>
              <w:right w:val="single" w:sz="8" w:space="0" w:color="auto"/>
            </w:tcBorders>
            <w:shd w:val="clear" w:color="auto" w:fill="auto"/>
            <w:noWrap/>
            <w:vAlign w:val="center"/>
            <w:hideMark/>
          </w:tcPr>
          <w:p w14:paraId="1176D7D0" w14:textId="77777777" w:rsidR="00C12E5A" w:rsidRPr="00C12E5A" w:rsidRDefault="00C12E5A" w:rsidP="00C12E5A">
            <w:pPr>
              <w:jc w:val="cente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Projekt v realizaci</w:t>
            </w:r>
          </w:p>
        </w:tc>
      </w:tr>
      <w:tr w:rsidR="00C12E5A" w:rsidRPr="00C12E5A" w14:paraId="41967E98" w14:textId="77777777" w:rsidTr="00AA4206">
        <w:trPr>
          <w:trHeight w:val="227"/>
        </w:trPr>
        <w:tc>
          <w:tcPr>
            <w:tcW w:w="3283" w:type="pct"/>
            <w:gridSpan w:val="3"/>
            <w:tcBorders>
              <w:top w:val="single" w:sz="4" w:space="0" w:color="auto"/>
              <w:left w:val="single" w:sz="8" w:space="0" w:color="auto"/>
              <w:bottom w:val="single" w:sz="4" w:space="0" w:color="auto"/>
              <w:right w:val="single" w:sz="4" w:space="0" w:color="000000"/>
            </w:tcBorders>
            <w:shd w:val="clear" w:color="auto" w:fill="D9D9D9"/>
            <w:vAlign w:val="center"/>
            <w:hideMark/>
          </w:tcPr>
          <w:p w14:paraId="57FFD05E" w14:textId="77777777" w:rsidR="00C12E5A" w:rsidRPr="00C12E5A" w:rsidRDefault="00C12E5A" w:rsidP="00C12E5A">
            <w:pPr>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C</w:t>
            </w:r>
            <w:r>
              <w:rPr>
                <w:rFonts w:ascii="Calibri" w:eastAsia="Times New Roman" w:hAnsi="Calibri" w:cs="Calibri"/>
                <w:b/>
                <w:bCs/>
                <w:color w:val="000000"/>
                <w:sz w:val="20"/>
                <w:szCs w:val="20"/>
                <w:lang w:eastAsia="cs-CZ"/>
              </w:rPr>
              <w:t>elkem</w:t>
            </w:r>
            <w:r w:rsidRPr="00C12E5A">
              <w:rPr>
                <w:rFonts w:ascii="Calibri" w:eastAsia="Times New Roman" w:hAnsi="Calibri" w:cs="Calibri"/>
                <w:b/>
                <w:bCs/>
                <w:color w:val="000000"/>
                <w:sz w:val="20"/>
                <w:szCs w:val="20"/>
                <w:lang w:eastAsia="cs-CZ"/>
              </w:rPr>
              <w:t xml:space="preserve"> NPŽP </w:t>
            </w:r>
            <w:r>
              <w:rPr>
                <w:rFonts w:ascii="Calibri" w:eastAsia="Times New Roman" w:hAnsi="Calibri" w:cs="Calibri"/>
                <w:b/>
                <w:bCs/>
                <w:color w:val="000000"/>
                <w:sz w:val="20"/>
                <w:szCs w:val="20"/>
                <w:lang w:eastAsia="cs-CZ"/>
              </w:rPr>
              <w:t>u konečných</w:t>
            </w:r>
            <w:r w:rsidRPr="00C12E5A">
              <w:rPr>
                <w:rFonts w:ascii="Calibri" w:eastAsia="Times New Roman" w:hAnsi="Calibri" w:cs="Calibri"/>
                <w:b/>
                <w:bCs/>
                <w:color w:val="000000"/>
                <w:sz w:val="20"/>
                <w:szCs w:val="20"/>
                <w:lang w:eastAsia="cs-CZ"/>
              </w:rPr>
              <w:t xml:space="preserve"> příjemc</w:t>
            </w:r>
            <w:r>
              <w:rPr>
                <w:rFonts w:ascii="Calibri" w:eastAsia="Times New Roman" w:hAnsi="Calibri" w:cs="Calibri"/>
                <w:b/>
                <w:bCs/>
                <w:color w:val="000000"/>
                <w:sz w:val="20"/>
                <w:szCs w:val="20"/>
                <w:lang w:eastAsia="cs-CZ"/>
              </w:rPr>
              <w:t>ů</w:t>
            </w:r>
          </w:p>
        </w:tc>
        <w:tc>
          <w:tcPr>
            <w:tcW w:w="783" w:type="pct"/>
            <w:tcBorders>
              <w:top w:val="nil"/>
              <w:left w:val="nil"/>
              <w:bottom w:val="single" w:sz="4" w:space="0" w:color="auto"/>
              <w:right w:val="single" w:sz="4" w:space="0" w:color="auto"/>
            </w:tcBorders>
            <w:shd w:val="clear" w:color="auto" w:fill="D9D9D9"/>
            <w:noWrap/>
            <w:vAlign w:val="center"/>
            <w:hideMark/>
          </w:tcPr>
          <w:p w14:paraId="0BE979C6" w14:textId="77777777" w:rsidR="00C12E5A" w:rsidRPr="00C12E5A" w:rsidRDefault="00C12E5A" w:rsidP="00C12E5A">
            <w:pPr>
              <w:jc w:val="right"/>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16 195 017,00</w:t>
            </w:r>
          </w:p>
        </w:tc>
        <w:tc>
          <w:tcPr>
            <w:tcW w:w="934" w:type="pct"/>
            <w:tcBorders>
              <w:top w:val="nil"/>
              <w:left w:val="nil"/>
              <w:bottom w:val="single" w:sz="4" w:space="0" w:color="auto"/>
              <w:right w:val="single" w:sz="8" w:space="0" w:color="auto"/>
            </w:tcBorders>
            <w:shd w:val="clear" w:color="auto" w:fill="D9D9D9"/>
            <w:noWrap/>
            <w:vAlign w:val="center"/>
            <w:hideMark/>
          </w:tcPr>
          <w:p w14:paraId="16F14952" w14:textId="77777777" w:rsidR="00C12E5A" w:rsidRPr="00C12E5A" w:rsidRDefault="00C12E5A" w:rsidP="00C12E5A">
            <w:pPr>
              <w:jc w:val="center"/>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 </w:t>
            </w:r>
          </w:p>
        </w:tc>
      </w:tr>
      <w:tr w:rsidR="00C12E5A" w:rsidRPr="00C12E5A" w14:paraId="2BB83952"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458362B6"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SFŽP</w:t>
            </w:r>
          </w:p>
        </w:tc>
        <w:tc>
          <w:tcPr>
            <w:tcW w:w="942" w:type="pct"/>
            <w:tcBorders>
              <w:top w:val="nil"/>
              <w:left w:val="nil"/>
              <w:bottom w:val="single" w:sz="4" w:space="0" w:color="auto"/>
              <w:right w:val="single" w:sz="4" w:space="0" w:color="auto"/>
            </w:tcBorders>
            <w:shd w:val="clear" w:color="auto" w:fill="auto"/>
            <w:vAlign w:val="center"/>
            <w:hideMark/>
          </w:tcPr>
          <w:p w14:paraId="5C6EC39F" w14:textId="77777777" w:rsidR="00C12E5A" w:rsidRPr="00C12E5A" w:rsidRDefault="00C12E5A" w:rsidP="00C12E5A">
            <w:pPr>
              <w:jc w:val="center"/>
              <w:rPr>
                <w:rFonts w:ascii="Calibri" w:eastAsia="Times New Roman" w:hAnsi="Calibri" w:cs="Calibri"/>
                <w:sz w:val="20"/>
                <w:szCs w:val="20"/>
                <w:lang w:eastAsia="cs-CZ"/>
              </w:rPr>
            </w:pPr>
            <w:r w:rsidRPr="00C12E5A">
              <w:rPr>
                <w:rFonts w:ascii="Calibri" w:eastAsia="Times New Roman" w:hAnsi="Calibri" w:cs="Calibri"/>
                <w:sz w:val="20"/>
                <w:szCs w:val="20"/>
                <w:lang w:eastAsia="cs-CZ"/>
              </w:rPr>
              <w:t>2.2</w:t>
            </w:r>
          </w:p>
        </w:tc>
        <w:tc>
          <w:tcPr>
            <w:tcW w:w="784" w:type="pct"/>
            <w:tcBorders>
              <w:top w:val="nil"/>
              <w:left w:val="nil"/>
              <w:bottom w:val="single" w:sz="4" w:space="0" w:color="auto"/>
              <w:right w:val="single" w:sz="4" w:space="0" w:color="auto"/>
            </w:tcBorders>
            <w:shd w:val="clear" w:color="auto" w:fill="auto"/>
            <w:vAlign w:val="center"/>
            <w:hideMark/>
          </w:tcPr>
          <w:p w14:paraId="20538CFF"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08561522</w:t>
            </w:r>
          </w:p>
        </w:tc>
        <w:tc>
          <w:tcPr>
            <w:tcW w:w="783" w:type="pct"/>
            <w:tcBorders>
              <w:top w:val="nil"/>
              <w:left w:val="nil"/>
              <w:bottom w:val="single" w:sz="4" w:space="0" w:color="auto"/>
              <w:right w:val="single" w:sz="4" w:space="0" w:color="auto"/>
            </w:tcBorders>
            <w:shd w:val="clear" w:color="auto" w:fill="auto"/>
            <w:vAlign w:val="center"/>
            <w:hideMark/>
          </w:tcPr>
          <w:p w14:paraId="4054CB22" w14:textId="77777777" w:rsidR="00C12E5A" w:rsidRPr="00C12E5A" w:rsidRDefault="00C12E5A" w:rsidP="00C12E5A">
            <w:pPr>
              <w:jc w:val="right"/>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180 000,00</w:t>
            </w:r>
          </w:p>
        </w:tc>
        <w:tc>
          <w:tcPr>
            <w:tcW w:w="934" w:type="pct"/>
            <w:tcBorders>
              <w:top w:val="nil"/>
              <w:left w:val="nil"/>
              <w:bottom w:val="single" w:sz="4" w:space="0" w:color="auto"/>
              <w:right w:val="single" w:sz="8" w:space="0" w:color="auto"/>
            </w:tcBorders>
            <w:shd w:val="clear" w:color="auto" w:fill="auto"/>
            <w:noWrap/>
            <w:vAlign w:val="center"/>
            <w:hideMark/>
          </w:tcPr>
          <w:p w14:paraId="1001AF8C" w14:textId="77777777" w:rsidR="00C12E5A" w:rsidRPr="00C12E5A" w:rsidRDefault="00C12E5A" w:rsidP="00C12E5A">
            <w:pPr>
              <w:jc w:val="cente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Splněno</w:t>
            </w:r>
          </w:p>
        </w:tc>
      </w:tr>
      <w:tr w:rsidR="00C12E5A" w:rsidRPr="00C12E5A" w14:paraId="2DE8F91E"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557BBFC0"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SFŽP</w:t>
            </w:r>
          </w:p>
        </w:tc>
        <w:tc>
          <w:tcPr>
            <w:tcW w:w="942" w:type="pct"/>
            <w:tcBorders>
              <w:top w:val="nil"/>
              <w:left w:val="nil"/>
              <w:bottom w:val="single" w:sz="4" w:space="0" w:color="auto"/>
              <w:right w:val="single" w:sz="4" w:space="0" w:color="auto"/>
            </w:tcBorders>
            <w:shd w:val="clear" w:color="auto" w:fill="auto"/>
            <w:vAlign w:val="center"/>
            <w:hideMark/>
          </w:tcPr>
          <w:p w14:paraId="0778151A" w14:textId="77777777" w:rsidR="00C12E5A" w:rsidRPr="00C12E5A" w:rsidRDefault="00C12E5A" w:rsidP="00C12E5A">
            <w:pPr>
              <w:jc w:val="center"/>
              <w:rPr>
                <w:rFonts w:ascii="Calibri" w:eastAsia="Times New Roman" w:hAnsi="Calibri" w:cs="Calibri"/>
                <w:sz w:val="20"/>
                <w:szCs w:val="20"/>
                <w:lang w:eastAsia="cs-CZ"/>
              </w:rPr>
            </w:pPr>
            <w:r w:rsidRPr="00C12E5A">
              <w:rPr>
                <w:rFonts w:ascii="Calibri" w:eastAsia="Times New Roman" w:hAnsi="Calibri" w:cs="Calibri"/>
                <w:sz w:val="20"/>
                <w:szCs w:val="20"/>
                <w:lang w:eastAsia="cs-CZ"/>
              </w:rPr>
              <w:t>2.2</w:t>
            </w:r>
          </w:p>
        </w:tc>
        <w:tc>
          <w:tcPr>
            <w:tcW w:w="784" w:type="pct"/>
            <w:tcBorders>
              <w:top w:val="nil"/>
              <w:left w:val="nil"/>
              <w:bottom w:val="single" w:sz="4" w:space="0" w:color="auto"/>
              <w:right w:val="single" w:sz="4" w:space="0" w:color="auto"/>
            </w:tcBorders>
            <w:shd w:val="clear" w:color="auto" w:fill="auto"/>
            <w:vAlign w:val="center"/>
            <w:hideMark/>
          </w:tcPr>
          <w:p w14:paraId="24CE2C96"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08571521</w:t>
            </w:r>
          </w:p>
        </w:tc>
        <w:tc>
          <w:tcPr>
            <w:tcW w:w="783" w:type="pct"/>
            <w:tcBorders>
              <w:top w:val="nil"/>
              <w:left w:val="nil"/>
              <w:bottom w:val="single" w:sz="4" w:space="0" w:color="auto"/>
              <w:right w:val="single" w:sz="4" w:space="0" w:color="auto"/>
            </w:tcBorders>
            <w:shd w:val="clear" w:color="auto" w:fill="auto"/>
            <w:vAlign w:val="center"/>
            <w:hideMark/>
          </w:tcPr>
          <w:p w14:paraId="14913B6E" w14:textId="77777777" w:rsidR="00C12E5A" w:rsidRPr="00C12E5A" w:rsidRDefault="00C12E5A" w:rsidP="00C12E5A">
            <w:pPr>
              <w:jc w:val="right"/>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317 628,00</w:t>
            </w:r>
          </w:p>
        </w:tc>
        <w:tc>
          <w:tcPr>
            <w:tcW w:w="934" w:type="pct"/>
            <w:tcBorders>
              <w:top w:val="nil"/>
              <w:left w:val="nil"/>
              <w:bottom w:val="single" w:sz="4" w:space="0" w:color="auto"/>
              <w:right w:val="single" w:sz="8" w:space="0" w:color="auto"/>
            </w:tcBorders>
            <w:shd w:val="clear" w:color="auto" w:fill="auto"/>
            <w:noWrap/>
            <w:vAlign w:val="center"/>
            <w:hideMark/>
          </w:tcPr>
          <w:p w14:paraId="22A1A2A3" w14:textId="77777777" w:rsidR="00C12E5A" w:rsidRPr="00C12E5A" w:rsidRDefault="00C12E5A" w:rsidP="00C12E5A">
            <w:pPr>
              <w:jc w:val="cente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Projekt v realizaci</w:t>
            </w:r>
          </w:p>
        </w:tc>
      </w:tr>
      <w:tr w:rsidR="00C12E5A" w:rsidRPr="00C12E5A" w14:paraId="2484904A"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5DA9CCB0"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SFŽP</w:t>
            </w:r>
          </w:p>
        </w:tc>
        <w:tc>
          <w:tcPr>
            <w:tcW w:w="942" w:type="pct"/>
            <w:tcBorders>
              <w:top w:val="nil"/>
              <w:left w:val="nil"/>
              <w:bottom w:val="single" w:sz="4" w:space="0" w:color="auto"/>
              <w:right w:val="single" w:sz="4" w:space="0" w:color="auto"/>
            </w:tcBorders>
            <w:shd w:val="clear" w:color="auto" w:fill="auto"/>
            <w:vAlign w:val="center"/>
            <w:hideMark/>
          </w:tcPr>
          <w:p w14:paraId="561E5F24" w14:textId="77777777" w:rsidR="00C12E5A" w:rsidRPr="00C12E5A" w:rsidRDefault="00C12E5A" w:rsidP="00C12E5A">
            <w:pPr>
              <w:jc w:val="center"/>
              <w:rPr>
                <w:rFonts w:ascii="Calibri" w:eastAsia="Times New Roman" w:hAnsi="Calibri" w:cs="Calibri"/>
                <w:sz w:val="20"/>
                <w:szCs w:val="20"/>
                <w:lang w:eastAsia="cs-CZ"/>
              </w:rPr>
            </w:pPr>
            <w:r w:rsidRPr="00C12E5A">
              <w:rPr>
                <w:rFonts w:ascii="Calibri" w:eastAsia="Times New Roman" w:hAnsi="Calibri" w:cs="Calibri"/>
                <w:sz w:val="20"/>
                <w:szCs w:val="20"/>
                <w:lang w:eastAsia="cs-CZ"/>
              </w:rPr>
              <w:t>2.1</w:t>
            </w:r>
          </w:p>
        </w:tc>
        <w:tc>
          <w:tcPr>
            <w:tcW w:w="784" w:type="pct"/>
            <w:tcBorders>
              <w:top w:val="nil"/>
              <w:left w:val="nil"/>
              <w:bottom w:val="single" w:sz="4" w:space="0" w:color="auto"/>
              <w:right w:val="single" w:sz="4" w:space="0" w:color="auto"/>
            </w:tcBorders>
            <w:shd w:val="clear" w:color="auto" w:fill="auto"/>
            <w:vAlign w:val="center"/>
            <w:hideMark/>
          </w:tcPr>
          <w:p w14:paraId="6634D4CC"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00511628</w:t>
            </w:r>
          </w:p>
        </w:tc>
        <w:tc>
          <w:tcPr>
            <w:tcW w:w="783" w:type="pct"/>
            <w:tcBorders>
              <w:top w:val="nil"/>
              <w:left w:val="nil"/>
              <w:bottom w:val="single" w:sz="4" w:space="0" w:color="auto"/>
              <w:right w:val="single" w:sz="4" w:space="0" w:color="auto"/>
            </w:tcBorders>
            <w:shd w:val="clear" w:color="auto" w:fill="auto"/>
            <w:vAlign w:val="center"/>
            <w:hideMark/>
          </w:tcPr>
          <w:p w14:paraId="13D48575" w14:textId="77777777" w:rsidR="00C12E5A" w:rsidRPr="00C12E5A" w:rsidRDefault="00C12E5A" w:rsidP="00C12E5A">
            <w:pPr>
              <w:jc w:val="right"/>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8 415 000,00</w:t>
            </w:r>
          </w:p>
        </w:tc>
        <w:tc>
          <w:tcPr>
            <w:tcW w:w="934" w:type="pct"/>
            <w:tcBorders>
              <w:top w:val="nil"/>
              <w:left w:val="nil"/>
              <w:bottom w:val="single" w:sz="4" w:space="0" w:color="auto"/>
              <w:right w:val="single" w:sz="8" w:space="0" w:color="auto"/>
            </w:tcBorders>
            <w:shd w:val="clear" w:color="auto" w:fill="auto"/>
            <w:noWrap/>
            <w:vAlign w:val="center"/>
            <w:hideMark/>
          </w:tcPr>
          <w:p w14:paraId="5B1089D5" w14:textId="77777777" w:rsidR="00C12E5A" w:rsidRPr="00C12E5A" w:rsidRDefault="00C12E5A" w:rsidP="00C12E5A">
            <w:pPr>
              <w:jc w:val="cente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Projekt v realizaci</w:t>
            </w:r>
          </w:p>
        </w:tc>
      </w:tr>
      <w:tr w:rsidR="00C12E5A" w:rsidRPr="00C12E5A" w14:paraId="3C013E1E"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0CA02D8B"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SFŽP</w:t>
            </w:r>
          </w:p>
        </w:tc>
        <w:tc>
          <w:tcPr>
            <w:tcW w:w="942" w:type="pct"/>
            <w:tcBorders>
              <w:top w:val="nil"/>
              <w:left w:val="nil"/>
              <w:bottom w:val="single" w:sz="4" w:space="0" w:color="auto"/>
              <w:right w:val="single" w:sz="4" w:space="0" w:color="auto"/>
            </w:tcBorders>
            <w:shd w:val="clear" w:color="auto" w:fill="auto"/>
            <w:vAlign w:val="center"/>
            <w:hideMark/>
          </w:tcPr>
          <w:p w14:paraId="77FFEBFC" w14:textId="77777777" w:rsidR="00C12E5A" w:rsidRPr="00C12E5A" w:rsidRDefault="00C12E5A" w:rsidP="00C12E5A">
            <w:pPr>
              <w:jc w:val="center"/>
              <w:rPr>
                <w:rFonts w:ascii="Calibri" w:eastAsia="Times New Roman" w:hAnsi="Calibri" w:cs="Calibri"/>
                <w:sz w:val="20"/>
                <w:szCs w:val="20"/>
                <w:lang w:eastAsia="cs-CZ"/>
              </w:rPr>
            </w:pPr>
            <w:r w:rsidRPr="00C12E5A">
              <w:rPr>
                <w:rFonts w:ascii="Calibri" w:eastAsia="Times New Roman" w:hAnsi="Calibri" w:cs="Calibri"/>
                <w:sz w:val="20"/>
                <w:szCs w:val="20"/>
                <w:lang w:eastAsia="cs-CZ"/>
              </w:rPr>
              <w:t>5.2</w:t>
            </w:r>
          </w:p>
        </w:tc>
        <w:tc>
          <w:tcPr>
            <w:tcW w:w="784" w:type="pct"/>
            <w:tcBorders>
              <w:top w:val="nil"/>
              <w:left w:val="nil"/>
              <w:bottom w:val="single" w:sz="4" w:space="0" w:color="auto"/>
              <w:right w:val="single" w:sz="4" w:space="0" w:color="auto"/>
            </w:tcBorders>
            <w:shd w:val="clear" w:color="auto" w:fill="auto"/>
            <w:vAlign w:val="center"/>
            <w:hideMark/>
          </w:tcPr>
          <w:p w14:paraId="300D0F1F"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00111721</w:t>
            </w:r>
          </w:p>
        </w:tc>
        <w:tc>
          <w:tcPr>
            <w:tcW w:w="783" w:type="pct"/>
            <w:tcBorders>
              <w:top w:val="nil"/>
              <w:left w:val="nil"/>
              <w:bottom w:val="single" w:sz="4" w:space="0" w:color="auto"/>
              <w:right w:val="single" w:sz="4" w:space="0" w:color="auto"/>
            </w:tcBorders>
            <w:shd w:val="clear" w:color="auto" w:fill="auto"/>
            <w:vAlign w:val="center"/>
            <w:hideMark/>
          </w:tcPr>
          <w:p w14:paraId="0009D362" w14:textId="77777777" w:rsidR="00C12E5A" w:rsidRPr="00C12E5A" w:rsidRDefault="00C12E5A" w:rsidP="00C12E5A">
            <w:pPr>
              <w:jc w:val="right"/>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418 000,00</w:t>
            </w:r>
          </w:p>
        </w:tc>
        <w:tc>
          <w:tcPr>
            <w:tcW w:w="934" w:type="pct"/>
            <w:tcBorders>
              <w:top w:val="nil"/>
              <w:left w:val="nil"/>
              <w:bottom w:val="single" w:sz="4" w:space="0" w:color="auto"/>
              <w:right w:val="single" w:sz="8" w:space="0" w:color="auto"/>
            </w:tcBorders>
            <w:shd w:val="clear" w:color="auto" w:fill="auto"/>
            <w:noWrap/>
            <w:vAlign w:val="center"/>
            <w:hideMark/>
          </w:tcPr>
          <w:p w14:paraId="13FF1625" w14:textId="77777777" w:rsidR="00C12E5A" w:rsidRPr="00C12E5A" w:rsidRDefault="00C12E5A" w:rsidP="00C12E5A">
            <w:pPr>
              <w:jc w:val="cente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Splněno</w:t>
            </w:r>
          </w:p>
        </w:tc>
      </w:tr>
      <w:tr w:rsidR="00C12E5A" w:rsidRPr="00C12E5A" w14:paraId="7F498BEF" w14:textId="77777777" w:rsidTr="00AA4206">
        <w:trPr>
          <w:trHeight w:val="227"/>
        </w:trPr>
        <w:tc>
          <w:tcPr>
            <w:tcW w:w="3283" w:type="pct"/>
            <w:gridSpan w:val="3"/>
            <w:tcBorders>
              <w:top w:val="single" w:sz="4" w:space="0" w:color="auto"/>
              <w:left w:val="single" w:sz="8" w:space="0" w:color="auto"/>
              <w:bottom w:val="single" w:sz="4" w:space="0" w:color="auto"/>
              <w:right w:val="nil"/>
            </w:tcBorders>
            <w:shd w:val="clear" w:color="auto" w:fill="D9D9D9"/>
            <w:vAlign w:val="center"/>
            <w:hideMark/>
          </w:tcPr>
          <w:p w14:paraId="16B8E0A2" w14:textId="77777777" w:rsidR="00C12E5A" w:rsidRPr="00C12E5A" w:rsidRDefault="00C12E5A" w:rsidP="00C12E5A">
            <w:pP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Celkem</w:t>
            </w:r>
            <w:r w:rsidRPr="00C12E5A">
              <w:rPr>
                <w:rFonts w:ascii="Calibri" w:eastAsia="Times New Roman" w:hAnsi="Calibri" w:cs="Calibri"/>
                <w:b/>
                <w:bCs/>
                <w:color w:val="000000"/>
                <w:sz w:val="20"/>
                <w:szCs w:val="20"/>
                <w:lang w:eastAsia="cs-CZ"/>
              </w:rPr>
              <w:t xml:space="preserve"> NPŽP</w:t>
            </w:r>
            <w:r>
              <w:rPr>
                <w:rFonts w:ascii="Calibri" w:eastAsia="Times New Roman" w:hAnsi="Calibri" w:cs="Calibri"/>
                <w:b/>
                <w:bCs/>
                <w:color w:val="000000"/>
                <w:sz w:val="20"/>
                <w:szCs w:val="20"/>
                <w:lang w:eastAsia="cs-CZ"/>
              </w:rPr>
              <w:t xml:space="preserve"> u</w:t>
            </w:r>
            <w:r w:rsidRPr="00C12E5A">
              <w:rPr>
                <w:rFonts w:ascii="Calibri" w:eastAsia="Times New Roman" w:hAnsi="Calibri" w:cs="Calibri"/>
                <w:b/>
                <w:bCs/>
                <w:color w:val="000000"/>
                <w:sz w:val="20"/>
                <w:szCs w:val="20"/>
                <w:lang w:eastAsia="cs-CZ"/>
              </w:rPr>
              <w:t xml:space="preserve"> SFŽP</w:t>
            </w:r>
          </w:p>
        </w:tc>
        <w:tc>
          <w:tcPr>
            <w:tcW w:w="783" w:type="pct"/>
            <w:tcBorders>
              <w:top w:val="nil"/>
              <w:left w:val="single" w:sz="4" w:space="0" w:color="auto"/>
              <w:bottom w:val="single" w:sz="4" w:space="0" w:color="auto"/>
              <w:right w:val="single" w:sz="4" w:space="0" w:color="auto"/>
            </w:tcBorders>
            <w:shd w:val="clear" w:color="auto" w:fill="D9D9D9"/>
            <w:vAlign w:val="center"/>
            <w:hideMark/>
          </w:tcPr>
          <w:p w14:paraId="4D8E5F0C" w14:textId="77777777" w:rsidR="00C12E5A" w:rsidRPr="00C12E5A" w:rsidRDefault="00C12E5A" w:rsidP="00C12E5A">
            <w:pPr>
              <w:jc w:val="right"/>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9 330 628,00</w:t>
            </w:r>
          </w:p>
        </w:tc>
        <w:tc>
          <w:tcPr>
            <w:tcW w:w="934" w:type="pct"/>
            <w:tcBorders>
              <w:top w:val="nil"/>
              <w:left w:val="nil"/>
              <w:bottom w:val="single" w:sz="4" w:space="0" w:color="auto"/>
              <w:right w:val="single" w:sz="8" w:space="0" w:color="auto"/>
            </w:tcBorders>
            <w:shd w:val="clear" w:color="auto" w:fill="D9D9D9"/>
            <w:noWrap/>
            <w:vAlign w:val="center"/>
            <w:hideMark/>
          </w:tcPr>
          <w:p w14:paraId="69E1320A" w14:textId="77777777" w:rsidR="00C12E5A" w:rsidRPr="00C12E5A" w:rsidRDefault="00C12E5A" w:rsidP="00C12E5A">
            <w:pPr>
              <w:rPr>
                <w:rFonts w:ascii="Calibri" w:eastAsia="Times New Roman" w:hAnsi="Calibri" w:cs="Calibri"/>
                <w:color w:val="000000"/>
                <w:sz w:val="20"/>
                <w:szCs w:val="20"/>
                <w:lang w:eastAsia="cs-CZ"/>
              </w:rPr>
            </w:pPr>
            <w:r w:rsidRPr="00C12E5A">
              <w:rPr>
                <w:rFonts w:ascii="Calibri" w:eastAsia="Times New Roman" w:hAnsi="Calibri" w:cs="Calibri"/>
                <w:color w:val="000000"/>
                <w:sz w:val="20"/>
                <w:szCs w:val="20"/>
                <w:lang w:eastAsia="cs-CZ"/>
              </w:rPr>
              <w:t> </w:t>
            </w:r>
          </w:p>
        </w:tc>
      </w:tr>
      <w:tr w:rsidR="00C12E5A" w:rsidRPr="00C12E5A" w14:paraId="7E23CE11" w14:textId="77777777" w:rsidTr="00AA4206">
        <w:trPr>
          <w:trHeight w:val="227"/>
        </w:trPr>
        <w:tc>
          <w:tcPr>
            <w:tcW w:w="3283" w:type="pct"/>
            <w:gridSpan w:val="3"/>
            <w:tcBorders>
              <w:top w:val="single" w:sz="4" w:space="0" w:color="auto"/>
              <w:left w:val="single" w:sz="8" w:space="0" w:color="auto"/>
              <w:bottom w:val="single" w:sz="8" w:space="0" w:color="auto"/>
              <w:right w:val="nil"/>
            </w:tcBorders>
            <w:shd w:val="clear" w:color="auto" w:fill="F2C6C9"/>
            <w:vAlign w:val="center"/>
            <w:hideMark/>
          </w:tcPr>
          <w:p w14:paraId="438A5C04" w14:textId="77777777" w:rsidR="00C12E5A" w:rsidRPr="00C12E5A" w:rsidRDefault="00C12E5A" w:rsidP="00C12E5A">
            <w:pPr>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CEKEM NPŽP</w:t>
            </w:r>
          </w:p>
        </w:tc>
        <w:tc>
          <w:tcPr>
            <w:tcW w:w="783" w:type="pct"/>
            <w:tcBorders>
              <w:top w:val="nil"/>
              <w:left w:val="single" w:sz="4" w:space="0" w:color="auto"/>
              <w:bottom w:val="single" w:sz="8" w:space="0" w:color="auto"/>
              <w:right w:val="single" w:sz="4" w:space="0" w:color="auto"/>
            </w:tcBorders>
            <w:shd w:val="clear" w:color="auto" w:fill="F2C6C9"/>
            <w:noWrap/>
            <w:vAlign w:val="center"/>
            <w:hideMark/>
          </w:tcPr>
          <w:p w14:paraId="2DF8D999" w14:textId="77777777" w:rsidR="00C12E5A" w:rsidRPr="00C12E5A" w:rsidRDefault="00C12E5A" w:rsidP="00C12E5A">
            <w:pPr>
              <w:jc w:val="right"/>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25 525 645,00</w:t>
            </w:r>
          </w:p>
        </w:tc>
        <w:tc>
          <w:tcPr>
            <w:tcW w:w="934" w:type="pct"/>
            <w:tcBorders>
              <w:top w:val="nil"/>
              <w:left w:val="nil"/>
              <w:bottom w:val="single" w:sz="8" w:space="0" w:color="auto"/>
              <w:right w:val="single" w:sz="8" w:space="0" w:color="auto"/>
            </w:tcBorders>
            <w:shd w:val="clear" w:color="auto" w:fill="F2C6C9"/>
            <w:noWrap/>
            <w:vAlign w:val="center"/>
            <w:hideMark/>
          </w:tcPr>
          <w:p w14:paraId="3EC09BBF" w14:textId="77777777" w:rsidR="00C12E5A" w:rsidRPr="00C12E5A" w:rsidRDefault="00C12E5A" w:rsidP="00C12E5A">
            <w:pPr>
              <w:rPr>
                <w:rFonts w:ascii="Calibri" w:eastAsia="Times New Roman" w:hAnsi="Calibri" w:cs="Calibri"/>
                <w:b/>
                <w:bCs/>
                <w:color w:val="000000"/>
                <w:sz w:val="20"/>
                <w:szCs w:val="20"/>
                <w:lang w:eastAsia="cs-CZ"/>
              </w:rPr>
            </w:pPr>
            <w:r w:rsidRPr="00C12E5A">
              <w:rPr>
                <w:rFonts w:ascii="Calibri" w:eastAsia="Times New Roman" w:hAnsi="Calibri" w:cs="Calibri"/>
                <w:b/>
                <w:bCs/>
                <w:color w:val="000000"/>
                <w:sz w:val="20"/>
                <w:szCs w:val="20"/>
                <w:lang w:eastAsia="cs-CZ"/>
              </w:rPr>
              <w:t> </w:t>
            </w:r>
          </w:p>
        </w:tc>
      </w:tr>
    </w:tbl>
    <w:p w14:paraId="3EA560A8" w14:textId="7537C619" w:rsidR="00D24707" w:rsidRDefault="00D24707" w:rsidP="00805103">
      <w:pPr>
        <w:pStyle w:val="Zdrojapozn"/>
        <w:spacing w:before="40"/>
      </w:pPr>
      <w:r w:rsidRPr="00D24707">
        <w:rPr>
          <w:b/>
        </w:rPr>
        <w:t>Zdroj:</w:t>
      </w:r>
      <w:r>
        <w:t xml:space="preserve"> </w:t>
      </w:r>
      <w:r w:rsidR="00D25553">
        <w:t xml:space="preserve">zpracoval NKÚ na základě </w:t>
      </w:r>
      <w:r>
        <w:t>dokumentace projektů</w:t>
      </w:r>
      <w:r w:rsidR="00D25553">
        <w:t>.</w:t>
      </w:r>
    </w:p>
    <w:p w14:paraId="6940AB1A" w14:textId="77B7B17A" w:rsidR="00D25553" w:rsidRDefault="00D25553" w:rsidP="00C12E5A">
      <w:pPr>
        <w:pStyle w:val="Zdrojapozn"/>
      </w:pPr>
      <w:r>
        <w:rPr>
          <w:b/>
        </w:rPr>
        <w:t>Vysvětlivky</w:t>
      </w:r>
      <w:r w:rsidR="003940F4" w:rsidRPr="007A26DE">
        <w:rPr>
          <w:b/>
        </w:rPr>
        <w:t>:</w:t>
      </w:r>
      <w:r w:rsidR="003940F4">
        <w:t xml:space="preserve"> </w:t>
      </w:r>
    </w:p>
    <w:p w14:paraId="6979D7E2" w14:textId="4E62FD0D" w:rsidR="003940F4" w:rsidRDefault="00D25553" w:rsidP="00C12E5A">
      <w:pPr>
        <w:pStyle w:val="Zdrojapozn"/>
      </w:pPr>
      <w:r>
        <w:t>H</w:t>
      </w:r>
      <w:r w:rsidR="003940F4">
        <w:t xml:space="preserve">odnocení „SPLNĚNO“ </w:t>
      </w:r>
      <w:r>
        <w:t>–</w:t>
      </w:r>
      <w:r w:rsidR="003940F4">
        <w:t xml:space="preserve"> </w:t>
      </w:r>
      <w:r>
        <w:t>a</w:t>
      </w:r>
      <w:r w:rsidR="003940F4" w:rsidRPr="007A26DE">
        <w:t>kce deklaruje splně</w:t>
      </w:r>
      <w:r w:rsidR="003940F4">
        <w:t>ní indikátorů</w:t>
      </w:r>
      <w:r>
        <w:t>.</w:t>
      </w:r>
    </w:p>
    <w:p w14:paraId="025BE48E" w14:textId="5EE3C226" w:rsidR="00C12E5A" w:rsidRPr="00C12E5A" w:rsidRDefault="00D25553" w:rsidP="00C12E5A">
      <w:pPr>
        <w:pStyle w:val="Zdrojapozn"/>
      </w:pPr>
      <w:r>
        <w:t>H</w:t>
      </w:r>
      <w:r w:rsidR="003940F4">
        <w:t xml:space="preserve">odnocení „PROJEKT V REALIZACI“ </w:t>
      </w:r>
      <w:r>
        <w:t>–</w:t>
      </w:r>
      <w:r w:rsidR="003940F4">
        <w:t xml:space="preserve"> </w:t>
      </w:r>
      <w:r>
        <w:t>k</w:t>
      </w:r>
      <w:r w:rsidR="003940F4" w:rsidRPr="003940F4">
        <w:t xml:space="preserve"> datu ukončení kontrolní akce nebyly projekty ve fázi umožňující posouzení plnění indikátoru</w:t>
      </w:r>
      <w:r w:rsidR="003940F4">
        <w:t>.</w:t>
      </w:r>
    </w:p>
    <w:sectPr w:rsidR="00C12E5A" w:rsidRPr="00C12E5A" w:rsidSect="00BF5DA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6468D" w14:textId="77777777" w:rsidR="00E80779" w:rsidRDefault="00E80779">
      <w:r>
        <w:separator/>
      </w:r>
    </w:p>
  </w:endnote>
  <w:endnote w:type="continuationSeparator" w:id="0">
    <w:p w14:paraId="76D08A01" w14:textId="77777777" w:rsidR="00E80779" w:rsidRDefault="00E80779">
      <w:r>
        <w:continuationSeparator/>
      </w:r>
    </w:p>
  </w:endnote>
  <w:endnote w:type="continuationNotice" w:id="1">
    <w:p w14:paraId="540C8470" w14:textId="77777777" w:rsidR="00E80779" w:rsidRDefault="00E80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4BA8" w14:textId="77777777" w:rsidR="00E80779" w:rsidRDefault="00E807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417663"/>
      <w:docPartObj>
        <w:docPartGallery w:val="Page Numbers (Bottom of Page)"/>
        <w:docPartUnique/>
      </w:docPartObj>
    </w:sdtPr>
    <w:sdtContent>
      <w:p w14:paraId="170C415C" w14:textId="570EA1E7" w:rsidR="00E80779" w:rsidRDefault="00E80779" w:rsidP="006E3B89">
        <w:pPr>
          <w:pStyle w:val="Zpat"/>
          <w:jc w:val="center"/>
        </w:pPr>
        <w:r>
          <w:fldChar w:fldCharType="begin"/>
        </w:r>
        <w:r>
          <w:instrText>PAGE   \* MERGEFORMAT</w:instrText>
        </w:r>
        <w:r>
          <w:fldChar w:fldCharType="separate"/>
        </w:r>
        <w:r w:rsidR="00A871C7">
          <w:rPr>
            <w:noProof/>
          </w:rPr>
          <w:t>32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44EC" w14:textId="77777777" w:rsidR="00E80779" w:rsidRDefault="00E807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4D26D" w14:textId="77777777" w:rsidR="00E80779" w:rsidRDefault="00E80779" w:rsidP="00395345">
      <w:r>
        <w:separator/>
      </w:r>
    </w:p>
  </w:footnote>
  <w:footnote w:type="continuationSeparator" w:id="0">
    <w:p w14:paraId="5A5B47DB" w14:textId="77777777" w:rsidR="00E80779" w:rsidRDefault="00E80779" w:rsidP="00395345">
      <w:r>
        <w:continuationSeparator/>
      </w:r>
    </w:p>
  </w:footnote>
  <w:footnote w:type="continuationNotice" w:id="1">
    <w:p w14:paraId="37B4D692" w14:textId="77777777" w:rsidR="00E80779" w:rsidRDefault="00E80779"/>
  </w:footnote>
  <w:footnote w:id="2">
    <w:p w14:paraId="10151362" w14:textId="629C0917" w:rsidR="00E80779" w:rsidRPr="003742A5" w:rsidRDefault="00E80779" w:rsidP="00572D07">
      <w:pPr>
        <w:pStyle w:val="Textpoznpodarou"/>
        <w:ind w:left="284" w:hanging="284"/>
        <w:jc w:val="both"/>
      </w:pPr>
      <w:r w:rsidRPr="003742A5">
        <w:rPr>
          <w:rStyle w:val="Znakapoznpodarou"/>
        </w:rPr>
        <w:footnoteRef/>
      </w:r>
      <w:r w:rsidRPr="003742A5">
        <w:t xml:space="preserve"> </w:t>
      </w:r>
      <w:r>
        <w:tab/>
      </w:r>
      <w:r w:rsidRPr="003742A5">
        <w:t xml:space="preserve">Jedná se zejména o suspendované částice PM </w:t>
      </w:r>
      <w:r>
        <w:t>(</w:t>
      </w:r>
      <w:r w:rsidRPr="003742A5">
        <w:t>v závislosti na</w:t>
      </w:r>
      <w:r>
        <w:t xml:space="preserve"> </w:t>
      </w:r>
      <w:r w:rsidRPr="003742A5">
        <w:t>velikosti se PM dělí na hrubé částice (PM</w:t>
      </w:r>
      <w:r w:rsidRPr="003742A5">
        <w:rPr>
          <w:vertAlign w:val="subscript"/>
        </w:rPr>
        <w:t>10</w:t>
      </w:r>
      <w:r w:rsidRPr="003742A5">
        <w:t>) a jemné částice (PM</w:t>
      </w:r>
      <w:r w:rsidRPr="003742A5">
        <w:rPr>
          <w:vertAlign w:val="subscript"/>
        </w:rPr>
        <w:t>2,5</w:t>
      </w:r>
      <w:r w:rsidRPr="003742A5">
        <w:t>)</w:t>
      </w:r>
      <w:r>
        <w:t>)</w:t>
      </w:r>
      <w:r w:rsidRPr="003742A5">
        <w:t xml:space="preserve">; </w:t>
      </w:r>
      <w:proofErr w:type="spellStart"/>
      <w:proofErr w:type="gramStart"/>
      <w:r w:rsidRPr="003742A5">
        <w:t>benzo</w:t>
      </w:r>
      <w:proofErr w:type="spellEnd"/>
      <w:r w:rsidRPr="003742A5">
        <w:t>(a)pyren</w:t>
      </w:r>
      <w:proofErr w:type="gramEnd"/>
      <w:r w:rsidRPr="003742A5">
        <w:t xml:space="preserve"> (</w:t>
      </w:r>
      <w:proofErr w:type="spellStart"/>
      <w:r w:rsidRPr="003742A5">
        <w:t>BaP</w:t>
      </w:r>
      <w:proofErr w:type="spellEnd"/>
      <w:r w:rsidRPr="003742A5">
        <w:t>) a oxid dusičitý (NO</w:t>
      </w:r>
      <w:r w:rsidRPr="003742A5">
        <w:rPr>
          <w:vertAlign w:val="subscript"/>
        </w:rPr>
        <w:t>2</w:t>
      </w:r>
      <w:r w:rsidRPr="003742A5">
        <w:t xml:space="preserve">). Přehled hlavních znečišťujících látek je uveden v příloze č. 3 </w:t>
      </w:r>
      <w:r>
        <w:t xml:space="preserve">tohoto </w:t>
      </w:r>
      <w:r w:rsidRPr="003742A5">
        <w:t>kontrolního závěru.</w:t>
      </w:r>
    </w:p>
  </w:footnote>
  <w:footnote w:id="3">
    <w:p w14:paraId="139553F9" w14:textId="77777777" w:rsidR="00E80779" w:rsidRPr="003742A5" w:rsidRDefault="00E80779" w:rsidP="00572D07">
      <w:pPr>
        <w:pStyle w:val="Textpoznpodarou"/>
        <w:ind w:left="284" w:hanging="284"/>
        <w:jc w:val="both"/>
      </w:pPr>
      <w:r w:rsidRPr="003742A5">
        <w:rPr>
          <w:rStyle w:val="Znakapoznpodarou"/>
        </w:rPr>
        <w:footnoteRef/>
      </w:r>
      <w:r w:rsidRPr="003742A5">
        <w:t xml:space="preserve"> </w:t>
      </w:r>
      <w:r>
        <w:tab/>
      </w:r>
      <w:r w:rsidRPr="003742A5">
        <w:t>Zákon č. 201/2012 Sb., o ochraně ovzduší</w:t>
      </w:r>
      <w:r>
        <w:t xml:space="preserve"> (dále také „zákon“).</w:t>
      </w:r>
    </w:p>
  </w:footnote>
  <w:footnote w:id="4">
    <w:p w14:paraId="62C321DD" w14:textId="77777777" w:rsidR="00E80779" w:rsidRPr="003742A5" w:rsidRDefault="00E80779" w:rsidP="00572D07">
      <w:pPr>
        <w:pStyle w:val="Textpoznpodarou"/>
        <w:ind w:left="284" w:hanging="284"/>
        <w:jc w:val="both"/>
      </w:pPr>
      <w:r w:rsidRPr="003742A5">
        <w:rPr>
          <w:rStyle w:val="Znakapoznpodarou"/>
        </w:rPr>
        <w:footnoteRef/>
      </w:r>
      <w:r w:rsidRPr="003742A5">
        <w:t xml:space="preserve"> </w:t>
      </w:r>
      <w:r>
        <w:tab/>
      </w:r>
      <w:r w:rsidRPr="003742A5">
        <w:t xml:space="preserve">Imisní limit je nejvyšší přípustná úroveň znečištění ovzduší, vyjádřená v jednotkách hmotnostní koncentrace. Vybrané platné imisní limity jsou uvedeny v příloze č. 1 </w:t>
      </w:r>
      <w:r>
        <w:t xml:space="preserve">tohoto </w:t>
      </w:r>
      <w:r w:rsidRPr="003742A5">
        <w:t>kontrolního závěru.</w:t>
      </w:r>
    </w:p>
  </w:footnote>
  <w:footnote w:id="5">
    <w:p w14:paraId="72F71424" w14:textId="171596AB" w:rsidR="00E80779" w:rsidRPr="003742A5" w:rsidRDefault="00E80779" w:rsidP="00572D07">
      <w:pPr>
        <w:pStyle w:val="Textpoznpodarou"/>
        <w:ind w:left="284" w:hanging="284"/>
        <w:jc w:val="both"/>
      </w:pPr>
      <w:r w:rsidRPr="003742A5">
        <w:rPr>
          <w:rStyle w:val="Znakapoznpodarou"/>
        </w:rPr>
        <w:footnoteRef/>
      </w:r>
      <w:r w:rsidRPr="003742A5">
        <w:t xml:space="preserve"> </w:t>
      </w:r>
      <w:r>
        <w:tab/>
      </w:r>
      <w:r w:rsidRPr="003742A5">
        <w:t>Emisí se rozumí vnášení látek do ovzduší vyjádřené v hmotnostních jednotkách. Vývoj národních emisí je</w:t>
      </w:r>
      <w:r>
        <w:t xml:space="preserve"> </w:t>
      </w:r>
      <w:r w:rsidRPr="003742A5">
        <w:t xml:space="preserve">uveden v příloze č. 2 </w:t>
      </w:r>
      <w:r>
        <w:t xml:space="preserve">tohoto </w:t>
      </w:r>
      <w:r w:rsidRPr="003742A5">
        <w:t>kontrolního závěru.</w:t>
      </w:r>
    </w:p>
  </w:footnote>
  <w:footnote w:id="6">
    <w:p w14:paraId="0BCCA8C2" w14:textId="77777777" w:rsidR="00E80779" w:rsidRPr="003742A5" w:rsidRDefault="00E80779" w:rsidP="00572D07">
      <w:pPr>
        <w:pStyle w:val="Textpoznpodarou"/>
        <w:ind w:left="284" w:hanging="284"/>
        <w:jc w:val="both"/>
      </w:pPr>
      <w:r w:rsidRPr="003742A5">
        <w:rPr>
          <w:rStyle w:val="Znakapoznpodarou"/>
        </w:rPr>
        <w:footnoteRef/>
      </w:r>
      <w:r w:rsidRPr="003742A5">
        <w:t xml:space="preserve"> </w:t>
      </w:r>
      <w:r>
        <w:tab/>
      </w:r>
      <w:r w:rsidRPr="003742A5">
        <w:t>Kotle 1. a 2. emisní třídy dle ČSN EN 305-1</w:t>
      </w:r>
      <w:r>
        <w:t>, jejichž provoz bude na základě zákona č. 201/2012 Sb. s účinnosti od 1. 9. 2022 v ČR zakázán.</w:t>
      </w:r>
    </w:p>
  </w:footnote>
  <w:footnote w:id="7">
    <w:p w14:paraId="4572E1BC" w14:textId="77777777" w:rsidR="00E80779" w:rsidRDefault="00E80779" w:rsidP="00572D07">
      <w:pPr>
        <w:pStyle w:val="Textpoznpodarou"/>
        <w:ind w:left="284" w:hanging="284"/>
        <w:jc w:val="both"/>
      </w:pPr>
      <w:r>
        <w:rPr>
          <w:rStyle w:val="Znakapoznpodarou"/>
        </w:rPr>
        <w:footnoteRef/>
      </w:r>
      <w:r>
        <w:t xml:space="preserve"> </w:t>
      </w:r>
      <w:r>
        <w:tab/>
        <w:t>V příloze č. 5 tohoto kontrolního závěru je uveden přehled všech kontrolovaných projektů zaměřených na snižování emisí z lokálního vytápění a z průmyslu podpořených z PO2 OPŽP či NPŽP.</w:t>
      </w:r>
    </w:p>
  </w:footnote>
  <w:footnote w:id="8">
    <w:p w14:paraId="634AB92B" w14:textId="3241D365" w:rsidR="00E80779" w:rsidRPr="003742A5" w:rsidRDefault="00E80779" w:rsidP="00572D07">
      <w:pPr>
        <w:pStyle w:val="Textpoznpodarou"/>
        <w:ind w:left="284" w:hanging="284"/>
        <w:jc w:val="both"/>
      </w:pPr>
      <w:r w:rsidRPr="003742A5">
        <w:rPr>
          <w:rStyle w:val="Znakapoznpodarou"/>
        </w:rPr>
        <w:footnoteRef/>
      </w:r>
      <w:r w:rsidRPr="00E84804">
        <w:t xml:space="preserve"> </w:t>
      </w:r>
      <w:r>
        <w:tab/>
      </w:r>
      <w:r w:rsidRPr="003742A5">
        <w:t>Česká republika si stanovila opakovaně za cíl dosáhnout souladu s imisními limity stanovenými v zákoně, tentokráte do roku 2020</w:t>
      </w:r>
      <w:r>
        <w:t>,</w:t>
      </w:r>
      <w:r w:rsidRPr="003742A5">
        <w:t xml:space="preserve"> a to prostřednictvím opatře</w:t>
      </w:r>
      <w:r>
        <w:t>ní na národní úrovni stanovených</w:t>
      </w:r>
      <w:r w:rsidRPr="003742A5">
        <w:t xml:space="preserve"> v </w:t>
      </w:r>
      <w:r w:rsidRPr="00B1650A">
        <w:rPr>
          <w:i/>
        </w:rPr>
        <w:t>Národním programu snižování emisí České republiky</w:t>
      </w:r>
      <w:r w:rsidRPr="003742A5">
        <w:t xml:space="preserve"> (dále také „NPSE“)</w:t>
      </w:r>
      <w:r>
        <w:t>,</w:t>
      </w:r>
      <w:r w:rsidRPr="003742A5">
        <w:t xml:space="preserve"> </w:t>
      </w:r>
      <w:r>
        <w:t>schváleném na konci roku 2015, a na regionální úrovni v p</w:t>
      </w:r>
      <w:r w:rsidRPr="003742A5">
        <w:t>rogramech zlepšování kvality ovzduší (dále také „PZKO“)</w:t>
      </w:r>
      <w:r>
        <w:t xml:space="preserve"> vydaných MŽP v průběhu první poloviny roku 2016.</w:t>
      </w:r>
    </w:p>
  </w:footnote>
  <w:footnote w:id="9">
    <w:p w14:paraId="44AE9896" w14:textId="77777777" w:rsidR="00E80779" w:rsidRDefault="00E80779" w:rsidP="00572D07">
      <w:pPr>
        <w:pStyle w:val="Textpoznpodarou"/>
        <w:ind w:left="284" w:hanging="284"/>
        <w:jc w:val="both"/>
      </w:pPr>
      <w:r>
        <w:rPr>
          <w:rStyle w:val="Znakapoznpodarou"/>
        </w:rPr>
        <w:footnoteRef/>
      </w:r>
      <w:r>
        <w:t xml:space="preserve"> </w:t>
      </w:r>
      <w:r>
        <w:tab/>
        <w:t>Jedná se např. o opatření zaměřená na podporu urychlení obměny vozového parku osobních vozidel (gesce MŽP) a stimulaci využívání alternativních pohonů v silniční nákladní dopravě prostřednictvím snížené sazby silniční daně či snížení podílu pevných fosilních paliv ve spalovacích stacionárních zdrojích nespadajících pod systém EU ETS (např. lokální vytápění domácností).</w:t>
      </w:r>
    </w:p>
  </w:footnote>
  <w:footnote w:id="10">
    <w:p w14:paraId="792096E5" w14:textId="79786074" w:rsidR="00E80779" w:rsidRDefault="00E80779" w:rsidP="00572D07">
      <w:pPr>
        <w:pStyle w:val="Textpoznpodarou"/>
        <w:ind w:left="284" w:hanging="284"/>
        <w:jc w:val="both"/>
      </w:pPr>
      <w:r>
        <w:rPr>
          <w:rStyle w:val="Znakapoznpodarou"/>
        </w:rPr>
        <w:footnoteRef/>
      </w:r>
      <w:r>
        <w:t xml:space="preserve"> </w:t>
      </w:r>
      <w:r>
        <w:tab/>
        <w:t xml:space="preserve">Jedná se např. o přesun nákladní dopravy ze silnic na železnici, realizaci opatření ke snížení spotřeby energie a ke zvýšení energetické účinnosti, výstavbu páteřní sítě kapacitních komunikací pro automobilovou dopravu či prioritní výstavbu obchvatů měst a obcí a s tím spojenou možnost zavádění </w:t>
      </w:r>
      <w:proofErr w:type="spellStart"/>
      <w:r>
        <w:t>nízkoemisních</w:t>
      </w:r>
      <w:proofErr w:type="spellEnd"/>
      <w:r>
        <w:t xml:space="preserve"> zón ve městech.</w:t>
      </w:r>
    </w:p>
  </w:footnote>
  <w:footnote w:id="11">
    <w:p w14:paraId="7249B850" w14:textId="77777777" w:rsidR="00E80779" w:rsidRDefault="00E80779" w:rsidP="00572D07">
      <w:pPr>
        <w:pStyle w:val="Textpoznpodarou"/>
        <w:ind w:left="284" w:hanging="284"/>
        <w:jc w:val="both"/>
      </w:pPr>
      <w:r>
        <w:rPr>
          <w:rStyle w:val="Znakapoznpodarou"/>
        </w:rPr>
        <w:footnoteRef/>
      </w:r>
      <w:r>
        <w:t xml:space="preserve"> </w:t>
      </w:r>
      <w:r>
        <w:tab/>
      </w:r>
      <w:r w:rsidRPr="00D6284E">
        <w:t xml:space="preserve">MŽP </w:t>
      </w:r>
      <w:r>
        <w:t xml:space="preserve">v roce 2018 předložilo první </w:t>
      </w:r>
      <w:r w:rsidRPr="00D6284E">
        <w:t>průběžná vyhodnocení PZKO za rok 2016</w:t>
      </w:r>
      <w:r>
        <w:t>.</w:t>
      </w:r>
    </w:p>
  </w:footnote>
  <w:footnote w:id="12">
    <w:p w14:paraId="1130CF46" w14:textId="52CBA17A" w:rsidR="00E80779" w:rsidRDefault="00E80779" w:rsidP="00572D07">
      <w:pPr>
        <w:pStyle w:val="Textpoznpodarou"/>
        <w:ind w:left="284" w:hanging="284"/>
        <w:jc w:val="both"/>
      </w:pPr>
      <w:r>
        <w:rPr>
          <w:rStyle w:val="Znakapoznpodarou"/>
        </w:rPr>
        <w:footnoteRef/>
      </w:r>
      <w:r>
        <w:t xml:space="preserve"> </w:t>
      </w:r>
      <w:r>
        <w:tab/>
        <w:t xml:space="preserve">Na konci roku 2017 a v průběhu první poloviny roku 2018 Nejvyšší správní soud a Městský soud v Praze rozhodly o čtyřech napadených PZKO, viz rozsudky Nejvyššího správního soudu čj.: </w:t>
      </w:r>
      <w:r w:rsidRPr="00E86B33">
        <w:t>6 As 288/2016</w:t>
      </w:r>
      <w:r>
        <w:t>-</w:t>
      </w:r>
      <w:r w:rsidRPr="00E86B33">
        <w:t>146</w:t>
      </w:r>
      <w:r>
        <w:t>, 4 As </w:t>
      </w:r>
      <w:r w:rsidRPr="00E86B33">
        <w:t>250/2016</w:t>
      </w:r>
      <w:r>
        <w:t xml:space="preserve">-156, </w:t>
      </w:r>
      <w:r w:rsidRPr="00E86B33">
        <w:t>9 As 17/2017-98</w:t>
      </w:r>
      <w:r>
        <w:t xml:space="preserve"> a rozsudek Městského soudu v Praze čj.: </w:t>
      </w:r>
      <w:r w:rsidRPr="00621F1A">
        <w:t>10A 173/2016</w:t>
      </w:r>
      <w:r>
        <w:t>-</w:t>
      </w:r>
      <w:r w:rsidRPr="00621F1A">
        <w:t>119</w:t>
      </w:r>
      <w:r>
        <w:t>.</w:t>
      </w:r>
    </w:p>
  </w:footnote>
  <w:footnote w:id="13">
    <w:p w14:paraId="188C6DCC" w14:textId="77777777" w:rsidR="00E80779" w:rsidRDefault="00E80779" w:rsidP="00572D07">
      <w:pPr>
        <w:pStyle w:val="Textpoznpodarou"/>
        <w:ind w:left="284" w:hanging="284"/>
        <w:jc w:val="both"/>
      </w:pPr>
      <w:r>
        <w:rPr>
          <w:rStyle w:val="Znakapoznpodarou"/>
        </w:rPr>
        <w:footnoteRef/>
      </w:r>
      <w:r>
        <w:t xml:space="preserve"> </w:t>
      </w:r>
      <w:r>
        <w:tab/>
      </w:r>
      <w:r>
        <w:rPr>
          <w:lang w:eastAsia="cs-CZ"/>
        </w:rPr>
        <w:t>Jedná se o částice PM</w:t>
      </w:r>
      <w:r>
        <w:rPr>
          <w:vertAlign w:val="subscript"/>
          <w:lang w:eastAsia="cs-CZ"/>
        </w:rPr>
        <w:t>2,5</w:t>
      </w:r>
      <w:r>
        <w:rPr>
          <w:lang w:eastAsia="cs-CZ"/>
        </w:rPr>
        <w:t xml:space="preserve">. Cíl </w:t>
      </w:r>
      <w:r w:rsidRPr="00AF2894">
        <w:rPr>
          <w:lang w:eastAsia="cs-CZ"/>
        </w:rPr>
        <w:t>byl k roku 2015 stanoven jednotně pro všechny členské státy</w:t>
      </w:r>
      <w:r w:rsidRPr="00AF2894">
        <w:t xml:space="preserve"> </w:t>
      </w:r>
      <w:r w:rsidRPr="00AF2894">
        <w:rPr>
          <w:lang w:eastAsia="cs-CZ"/>
        </w:rPr>
        <w:t>na hodnotu 20</w:t>
      </w:r>
      <w:r>
        <w:rPr>
          <w:lang w:eastAsia="cs-CZ"/>
        </w:rPr>
        <w:t> </w:t>
      </w:r>
      <w:r w:rsidRPr="00AF2894">
        <w:rPr>
          <w:lang w:eastAsia="cs-CZ"/>
        </w:rPr>
        <w:t>µg/m</w:t>
      </w:r>
      <w:r w:rsidRPr="005852A3">
        <w:rPr>
          <w:vertAlign w:val="superscript"/>
          <w:lang w:eastAsia="cs-CZ"/>
        </w:rPr>
        <w:t>3</w:t>
      </w:r>
      <w:r w:rsidRPr="00AF2894">
        <w:rPr>
          <w:lang w:eastAsia="cs-CZ"/>
        </w:rPr>
        <w:t>.</w:t>
      </w:r>
    </w:p>
  </w:footnote>
  <w:footnote w:id="14">
    <w:p w14:paraId="5E5CFBE1" w14:textId="77777777" w:rsidR="00E80779" w:rsidRDefault="00E80779" w:rsidP="00572D07">
      <w:pPr>
        <w:pStyle w:val="Textpoznpodarou"/>
        <w:ind w:left="284" w:hanging="284"/>
        <w:jc w:val="both"/>
      </w:pPr>
      <w:r>
        <w:rPr>
          <w:rStyle w:val="Znakapoznpodarou"/>
        </w:rPr>
        <w:footnoteRef/>
      </w:r>
      <w:r>
        <w:t xml:space="preserve"> </w:t>
      </w:r>
      <w:r>
        <w:tab/>
      </w:r>
      <w:r w:rsidRPr="00E84804">
        <w:t xml:space="preserve">Městské </w:t>
      </w:r>
      <w:proofErr w:type="spellStart"/>
      <w:r w:rsidRPr="00E84804">
        <w:t>pozaďové</w:t>
      </w:r>
      <w:proofErr w:type="spellEnd"/>
      <w:r w:rsidRPr="00E84804">
        <w:t xml:space="preserve"> </w:t>
      </w:r>
      <w:r>
        <w:t>stanice</w:t>
      </w:r>
      <w:r w:rsidRPr="00E84804">
        <w:t xml:space="preserve"> jsou v městských oblastech, kde jsou patrné úrovně reprezentativní pro expozici městského obyvatelstva obecně. </w:t>
      </w:r>
      <w:r w:rsidRPr="00D6284E">
        <w:t xml:space="preserve">Městské </w:t>
      </w:r>
      <w:proofErr w:type="spellStart"/>
      <w:r w:rsidRPr="00D6284E">
        <w:t>pozaďové</w:t>
      </w:r>
      <w:proofErr w:type="spellEnd"/>
      <w:r w:rsidRPr="00D6284E">
        <w:t xml:space="preserve"> </w:t>
      </w:r>
      <w:r>
        <w:t>stanice</w:t>
      </w:r>
      <w:r w:rsidRPr="00D6284E">
        <w:t xml:space="preserve"> by měly být umístěny tak, aby na úroveň znečištění v místě působily společně veškeré zdroje u</w:t>
      </w:r>
      <w:r>
        <w:t>místěné proti větru od stanice.</w:t>
      </w:r>
    </w:p>
  </w:footnote>
  <w:footnote w:id="15">
    <w:p w14:paraId="3037DF99" w14:textId="2DD47868" w:rsidR="00E80779" w:rsidRPr="00BB7916" w:rsidRDefault="00E80779" w:rsidP="00572D07">
      <w:pPr>
        <w:pStyle w:val="Textpoznpodarou"/>
        <w:ind w:left="284" w:hanging="284"/>
        <w:jc w:val="both"/>
      </w:pPr>
      <w:r>
        <w:rPr>
          <w:rStyle w:val="Znakapoznpodarou"/>
        </w:rPr>
        <w:footnoteRef/>
      </w:r>
      <w:r>
        <w:t xml:space="preserve"> </w:t>
      </w:r>
      <w:r>
        <w:tab/>
        <w:t xml:space="preserve">Významný vliv přeshraničního přenosu na znečištění ovzduší mezi ČR a Polskem potvrdil např. projekt </w:t>
      </w:r>
      <w:r w:rsidRPr="003F437D">
        <w:t xml:space="preserve">Air </w:t>
      </w:r>
      <w:proofErr w:type="spellStart"/>
      <w:r w:rsidRPr="003F437D">
        <w:t>Silesia</w:t>
      </w:r>
      <w:proofErr w:type="spellEnd"/>
      <w:r w:rsidRPr="003F437D">
        <w:t xml:space="preserve"> (2010</w:t>
      </w:r>
      <w:r>
        <w:t>–</w:t>
      </w:r>
      <w:r w:rsidRPr="003F437D">
        <w:t xml:space="preserve">2013) </w:t>
      </w:r>
      <w:r>
        <w:t xml:space="preserve">s názvem </w:t>
      </w:r>
      <w:r w:rsidRPr="00B1650A">
        <w:rPr>
          <w:i/>
        </w:rPr>
        <w:t>Informační systém kvality ovzduší v oblasti Polsko‐Českého pohraničí ve Slezském a Moravskoslezském regionu (CZ.3.22/1.2.00/09.01610)</w:t>
      </w:r>
      <w:r>
        <w:t>, který</w:t>
      </w:r>
      <w:r w:rsidRPr="00BB7916">
        <w:t xml:space="preserve"> probíhal od 1. 7. 2010 do 30.</w:t>
      </w:r>
      <w:r>
        <w:t> </w:t>
      </w:r>
      <w:r w:rsidRPr="00BB7916">
        <w:t>6.</w:t>
      </w:r>
      <w:r>
        <w:t> </w:t>
      </w:r>
      <w:r w:rsidRPr="00BB7916">
        <w:t xml:space="preserve">2013. Kompletními výsledky projektu jsou dostupné na internetových stránkách </w:t>
      </w:r>
      <w:hyperlink r:id="rId1" w:history="1">
        <w:r>
          <w:rPr>
            <w:rStyle w:val="Hypertextovodkaz"/>
          </w:rPr>
          <w:t>www.air-silesia.eu</w:t>
        </w:r>
      </w:hyperlink>
      <w:r w:rsidRPr="00BB7916">
        <w:t>.</w:t>
      </w:r>
    </w:p>
  </w:footnote>
  <w:footnote w:id="16">
    <w:p w14:paraId="6A89C9E5" w14:textId="77777777" w:rsidR="00E80779" w:rsidRDefault="00E80779" w:rsidP="00572D07">
      <w:pPr>
        <w:pStyle w:val="Textpoznpodarou"/>
        <w:ind w:left="284" w:hanging="284"/>
        <w:jc w:val="both"/>
      </w:pPr>
      <w:r>
        <w:rPr>
          <w:rStyle w:val="Znakapoznpodarou"/>
        </w:rPr>
        <w:footnoteRef/>
      </w:r>
      <w:r>
        <w:t xml:space="preserve"> </w:t>
      </w:r>
      <w:r>
        <w:tab/>
        <w:t>Podle článku 6 odst. 2 směrnice EU č. 2016/2284 mají členské státy při vypracovávání, přijímání a provádění národních programů omezování znečištění ovzduší posoudit, do jaké míry mohou národní zdroje emisí ovlivnit kvalitu ovzduší na jejich území a na území sousedních členských států, a v případě potřeby provést přeshraniční konzultace.</w:t>
      </w:r>
    </w:p>
  </w:footnote>
  <w:footnote w:id="17">
    <w:p w14:paraId="431343D0" w14:textId="77777777" w:rsidR="00E80779" w:rsidRDefault="00E80779" w:rsidP="00613D37">
      <w:pPr>
        <w:pStyle w:val="Textpoznpodarou"/>
        <w:ind w:left="284" w:hanging="284"/>
        <w:jc w:val="both"/>
      </w:pPr>
      <w:r>
        <w:rPr>
          <w:rStyle w:val="Znakapoznpodarou"/>
        </w:rPr>
        <w:footnoteRef/>
      </w:r>
      <w:r>
        <w:tab/>
      </w:r>
      <w:r w:rsidRPr="00D03627">
        <w:rPr>
          <w:spacing w:val="-3"/>
        </w:rPr>
        <w:t>V rámci ESIF byly identifikovány zdroje z OPŽP, Operačního programu doprava (dále také „OPD“), Operačního programu podnikání a inovace pro konkurenceschopnost (dále také „OPPIK“), Integrovaného regionálního programu (dále také „IROP“), Operačního programu Praha – pól růstu ČR a Programu rozvoje venkova (dále také „PRV“).</w:t>
      </w:r>
    </w:p>
  </w:footnote>
  <w:footnote w:id="18">
    <w:p w14:paraId="551D526F" w14:textId="77777777" w:rsidR="00E80779" w:rsidRDefault="00E80779" w:rsidP="00613D37">
      <w:pPr>
        <w:pStyle w:val="Textpoznpodarou"/>
        <w:ind w:left="284" w:hanging="284"/>
      </w:pPr>
      <w:r>
        <w:rPr>
          <w:rStyle w:val="Znakapoznpodarou"/>
        </w:rPr>
        <w:footnoteRef/>
      </w:r>
      <w:r>
        <w:t xml:space="preserve"> </w:t>
      </w:r>
      <w:r>
        <w:tab/>
        <w:t>Data za rok 2012.</w:t>
      </w:r>
    </w:p>
  </w:footnote>
  <w:footnote w:id="19">
    <w:p w14:paraId="60F05E4A" w14:textId="4B1BF004" w:rsidR="00E80779" w:rsidRDefault="00E80779" w:rsidP="00613D37">
      <w:pPr>
        <w:pStyle w:val="Textpoznpodarou"/>
        <w:ind w:left="284" w:hanging="284"/>
        <w:jc w:val="both"/>
      </w:pPr>
      <w:r>
        <w:rPr>
          <w:rStyle w:val="Znakapoznpodarou"/>
        </w:rPr>
        <w:footnoteRef/>
      </w:r>
      <w:r>
        <w:t xml:space="preserve"> </w:t>
      </w:r>
      <w:r>
        <w:tab/>
        <w:t xml:space="preserve">Jedná se o podporu zaměřenou na snižování emisí znečišťujících látek z průmyslu, popřípadě zemědělství. </w:t>
      </w:r>
    </w:p>
  </w:footnote>
  <w:footnote w:id="20">
    <w:p w14:paraId="005E214A" w14:textId="77777777" w:rsidR="00E80779" w:rsidRDefault="00E80779" w:rsidP="00613D37">
      <w:pPr>
        <w:pStyle w:val="Textpoznpodarou"/>
        <w:ind w:left="284" w:hanging="284"/>
        <w:jc w:val="both"/>
      </w:pPr>
      <w:r>
        <w:rPr>
          <w:rStyle w:val="Znakapoznpodarou"/>
        </w:rPr>
        <w:footnoteRef/>
      </w:r>
      <w:r>
        <w:t xml:space="preserve"> </w:t>
      </w:r>
      <w:r>
        <w:tab/>
        <w:t xml:space="preserve">Primární částice jsou emitované do ovzduší přímo ze zdrojů, sekundární částice se mohou do ovzduší dostávat také </w:t>
      </w:r>
      <w:proofErr w:type="spellStart"/>
      <w:r>
        <w:t>resuspenzí</w:t>
      </w:r>
      <w:proofErr w:type="spellEnd"/>
      <w:r>
        <w:t>, tj. zvířením v důsledku lidské činnosti (doprava) nebo vlivem meteorologických faktorů (vítr).</w:t>
      </w:r>
    </w:p>
  </w:footnote>
  <w:footnote w:id="21">
    <w:p w14:paraId="362FD6A5" w14:textId="77777777" w:rsidR="00E80779" w:rsidRDefault="00E80779" w:rsidP="00613D37">
      <w:pPr>
        <w:pStyle w:val="Textpoznpodarou"/>
        <w:ind w:left="284" w:hanging="284"/>
        <w:jc w:val="both"/>
      </w:pPr>
      <w:r>
        <w:rPr>
          <w:rStyle w:val="Znakapoznpodarou"/>
        </w:rPr>
        <w:footnoteRef/>
      </w:r>
      <w:r>
        <w:t xml:space="preserve"> </w:t>
      </w:r>
      <w:r>
        <w:tab/>
        <w:t>Zákon č. 320/2001 Sb.,</w:t>
      </w:r>
      <w:r w:rsidRPr="00B34540">
        <w:t xml:space="preserve"> o finanční kontrole ve veřejné správě a o změně některých zákonů (zákon o finanční kontrole)</w:t>
      </w:r>
    </w:p>
  </w:footnote>
  <w:footnote w:id="22">
    <w:p w14:paraId="644A4BB6" w14:textId="6ECACDF7" w:rsidR="00E80779" w:rsidRDefault="00E80779" w:rsidP="00613D37">
      <w:pPr>
        <w:pStyle w:val="Textpoznpodarou"/>
        <w:ind w:left="284" w:hanging="284"/>
        <w:jc w:val="both"/>
      </w:pPr>
      <w:r>
        <w:rPr>
          <w:rStyle w:val="Znakapoznpodarou"/>
        </w:rPr>
        <w:footnoteRef/>
      </w:r>
      <w:r>
        <w:t xml:space="preserve"> </w:t>
      </w:r>
      <w:r>
        <w:tab/>
      </w:r>
      <w:r w:rsidRPr="00D022E5">
        <w:t>Směrnice</w:t>
      </w:r>
      <w:r>
        <w:t xml:space="preserve"> MŽP</w:t>
      </w:r>
      <w:r w:rsidRPr="00D022E5">
        <w:t xml:space="preserve"> č. 4/2015</w:t>
      </w:r>
      <w:r>
        <w:t>,</w:t>
      </w:r>
      <w:r w:rsidRPr="00D022E5">
        <w:t xml:space="preserve"> </w:t>
      </w:r>
      <w:r w:rsidRPr="00B1650A">
        <w:rPr>
          <w:i/>
        </w:rPr>
        <w:t>o poskytování finančních prostředků ze Státního fondu životního prostředí České republiky prostřednictvím Národního programu Životní prostředí</w:t>
      </w:r>
      <w:r w:rsidRPr="00D022E5">
        <w:t>.</w:t>
      </w:r>
    </w:p>
  </w:footnote>
  <w:footnote w:id="23">
    <w:p w14:paraId="11477031" w14:textId="454A2475" w:rsidR="00E80779" w:rsidRDefault="00E80779" w:rsidP="00613D37">
      <w:pPr>
        <w:pStyle w:val="Textpoznpodarou"/>
        <w:ind w:left="284" w:hanging="284"/>
        <w:jc w:val="both"/>
      </w:pPr>
      <w:r>
        <w:rPr>
          <w:rStyle w:val="Znakapoznpodarou"/>
        </w:rPr>
        <w:footnoteRef/>
      </w:r>
      <w:r>
        <w:t xml:space="preserve"> </w:t>
      </w:r>
      <w:r>
        <w:tab/>
      </w:r>
      <w:r w:rsidRPr="00D73A0A">
        <w:t>Nařízení</w:t>
      </w:r>
      <w:r>
        <w:t xml:space="preserve"> Evropského parlamentu a R</w:t>
      </w:r>
      <w:r w:rsidRPr="00D73A0A">
        <w:t>ady (EU) č. 1293/2013 ze dne 11. prosince 2013</w:t>
      </w:r>
      <w:r>
        <w:t>,</w:t>
      </w:r>
      <w:r w:rsidRPr="00D73A0A">
        <w:t xml:space="preserve"> </w:t>
      </w:r>
      <w:r w:rsidRPr="00B1650A">
        <w:rPr>
          <w:i/>
        </w:rPr>
        <w:t>o zřízení programu pro životní prostředí a oblast klimatu (LIFE) a o zrušení nařízení (ES) č. 614/2007</w:t>
      </w:r>
      <w:r>
        <w:t>.</w:t>
      </w:r>
    </w:p>
  </w:footnote>
  <w:footnote w:id="24">
    <w:p w14:paraId="7CA7D0ED" w14:textId="1A73A028" w:rsidR="00E80779" w:rsidRDefault="00E80779" w:rsidP="00613D37">
      <w:pPr>
        <w:pStyle w:val="Textpoznpodarou"/>
        <w:ind w:left="284" w:hanging="284"/>
        <w:jc w:val="both"/>
      </w:pPr>
      <w:r>
        <w:rPr>
          <w:rStyle w:val="Znakapoznpodarou"/>
        </w:rPr>
        <w:footnoteRef/>
      </w:r>
      <w:r>
        <w:t xml:space="preserve"> </w:t>
      </w:r>
      <w:r>
        <w:tab/>
        <w:t>S</w:t>
      </w:r>
      <w:r w:rsidRPr="00997AB0">
        <w:t>měrnice MŽP č. 4/2016</w:t>
      </w:r>
      <w:r>
        <w:t>,</w:t>
      </w:r>
      <w:r w:rsidRPr="00997AB0">
        <w:t xml:space="preserve"> </w:t>
      </w:r>
      <w:r w:rsidRPr="00B1650A">
        <w:rPr>
          <w:i/>
        </w:rPr>
        <w:t>o poskytování finančních prostředků na podporu projektů realizovaných v rámci komunitárního programu LIFE v období 2014</w:t>
      </w:r>
      <w:r>
        <w:rPr>
          <w:i/>
        </w:rPr>
        <w:t>–</w:t>
      </w:r>
      <w:r w:rsidRPr="00B1650A">
        <w:rPr>
          <w:i/>
        </w:rPr>
        <w:t>2020 z rozpočtu kapitoly 315-MŽP</w:t>
      </w:r>
      <w:r>
        <w:t>.</w:t>
      </w:r>
    </w:p>
  </w:footnote>
  <w:footnote w:id="25">
    <w:p w14:paraId="4D071F17" w14:textId="0486F18B" w:rsidR="00E80779" w:rsidRDefault="00E80779" w:rsidP="00613D37">
      <w:pPr>
        <w:pStyle w:val="Textpoznpodarou"/>
        <w:ind w:left="284" w:hanging="284"/>
        <w:jc w:val="both"/>
      </w:pPr>
      <w:r>
        <w:rPr>
          <w:rStyle w:val="Znakapoznpodarou"/>
        </w:rPr>
        <w:footnoteRef/>
      </w:r>
      <w:r>
        <w:t xml:space="preserve"> </w:t>
      </w:r>
      <w:r>
        <w:tab/>
        <w:t>S</w:t>
      </w:r>
      <w:r w:rsidRPr="00627966">
        <w:t xml:space="preserve">měrnice </w:t>
      </w:r>
      <w:r>
        <w:t>E</w:t>
      </w:r>
      <w:r w:rsidRPr="00627966">
        <w:t xml:space="preserve">vropského parlamentu a </w:t>
      </w:r>
      <w:r>
        <w:t>R</w:t>
      </w:r>
      <w:r w:rsidRPr="00627966">
        <w:t>ady (EU) 2016/2284 ze dne 14. prosince 2016</w:t>
      </w:r>
      <w:r>
        <w:t>,</w:t>
      </w:r>
      <w:r w:rsidRPr="00627966">
        <w:t xml:space="preserve"> </w:t>
      </w:r>
      <w:r w:rsidRPr="00B1650A">
        <w:rPr>
          <w:i/>
        </w:rPr>
        <w:t>o snížení národních emisí některých látek znečišťujících ovzduší, o změně směrnice 2003/35/ES a o zrušení směrnice 2001/81/ES</w:t>
      </w:r>
      <w:r>
        <w:t>.</w:t>
      </w:r>
    </w:p>
  </w:footnote>
  <w:footnote w:id="26">
    <w:p w14:paraId="67B9299F" w14:textId="2316F60E" w:rsidR="00E80779" w:rsidRDefault="00E80779" w:rsidP="0011199F">
      <w:pPr>
        <w:pStyle w:val="Textpoznpodarou"/>
        <w:ind w:left="284" w:hanging="284"/>
      </w:pPr>
      <w:r>
        <w:rPr>
          <w:rStyle w:val="Znakapoznpodarou"/>
        </w:rPr>
        <w:footnoteRef/>
      </w:r>
      <w:r>
        <w:tab/>
        <w:t>Göteborský protokol =</w:t>
      </w:r>
      <w:r w:rsidRPr="007E3BD9">
        <w:rPr>
          <w:i/>
        </w:rPr>
        <w:t xml:space="preserve"> </w:t>
      </w:r>
      <w:r w:rsidRPr="00B1650A">
        <w:t>protokol o omezování acidifikace, eutrofizace a přízemního ozonu</w:t>
      </w:r>
      <w:r w:rsidRPr="007E3BD9">
        <w:rPr>
          <w:i/>
        </w:rPr>
        <w:t xml:space="preserve"> </w:t>
      </w:r>
      <w:r>
        <w:t>z roku 1999, který byl dále revidován v roce 2012.</w:t>
      </w:r>
    </w:p>
  </w:footnote>
  <w:footnote w:id="27">
    <w:p w14:paraId="25408D19" w14:textId="638F4C02" w:rsidR="00E80779" w:rsidRPr="00CD5C6B" w:rsidRDefault="00E80779" w:rsidP="00613D37">
      <w:pPr>
        <w:pStyle w:val="Textpoznpodarou"/>
        <w:ind w:left="284" w:hanging="284"/>
      </w:pPr>
      <w:r>
        <w:rPr>
          <w:rStyle w:val="Znakapoznpodarou"/>
        </w:rPr>
        <w:footnoteRef/>
      </w:r>
      <w:r>
        <w:t xml:space="preserve"> </w:t>
      </w:r>
      <w:r>
        <w:tab/>
      </w:r>
      <w:r w:rsidRPr="00CD5C6B">
        <w:t>Reporting_2018_v_1-2_1990-2016</w:t>
      </w:r>
      <w:r>
        <w:t xml:space="preserve"> (reporting dostupný na webové adrese: </w:t>
      </w:r>
      <w:hyperlink r:id="rId2" w:history="1">
        <w:r w:rsidRPr="007B6B70">
          <w:rPr>
            <w:rStyle w:val="Hypertextovodkaz"/>
          </w:rPr>
          <w:t>http://webdab1.umweltbundesamt.at/download/submissions2018/CZ_NFR2018.zip?cgiproxy_skip=1</w:t>
        </w:r>
      </w:hyperlink>
      <w:r w:rsidRPr="00B1650A">
        <w:rPr>
          <w:rStyle w:val="Hypertextovodkaz"/>
          <w:color w:val="000000" w:themeColor="text1"/>
          <w:u w:val="none"/>
        </w:rPr>
        <w:t>.</w:t>
      </w:r>
    </w:p>
  </w:footnote>
  <w:footnote w:id="28">
    <w:p w14:paraId="3871C675" w14:textId="77777777" w:rsidR="00E80779" w:rsidRDefault="00E80779" w:rsidP="00613D37">
      <w:pPr>
        <w:pStyle w:val="Textpoznpodarou"/>
        <w:ind w:left="284" w:hanging="284"/>
        <w:jc w:val="both"/>
      </w:pPr>
      <w:r>
        <w:rPr>
          <w:rStyle w:val="Znakapoznpodarou"/>
        </w:rPr>
        <w:footnoteRef/>
      </w:r>
      <w:r>
        <w:t xml:space="preserve"> </w:t>
      </w:r>
      <w:r>
        <w:tab/>
      </w:r>
      <w:r w:rsidRPr="0076291B">
        <w:t>V tabulce jsou v řádku č. 1 a 2 uvedeny celkové národní emise znečišťujících látek, pro které jsou stanoveny závazky k roku 2020, pro výchozí rok 2005 a poslední dostupný rok 2016. Z aktuálních údajů pro rok 2005 jsou v řádku č. 5 a 7 vypočteny emisní stropy k roku 2020 na základě procentuálního vyjádření závazků snížení emisí oproti roku 2005 (uvedených v řádcích č. 4 a 6). Červeně jsou zvýrazněny emisní stropy, které nejsou zatím plněny. V řádku č. 8 je vypočtena potřeba dodatečného snížení emisí ke splnění nepřekročitelných hodnot národních emisí k roku 2020 oproti roku 2016.</w:t>
      </w:r>
    </w:p>
  </w:footnote>
  <w:footnote w:id="29">
    <w:p w14:paraId="7FD75031" w14:textId="169D7397" w:rsidR="00E80779" w:rsidRDefault="00E80779" w:rsidP="00613D37">
      <w:pPr>
        <w:pStyle w:val="Textpoznpodarou"/>
        <w:ind w:left="284" w:hanging="284"/>
        <w:jc w:val="both"/>
      </w:pPr>
      <w:r>
        <w:rPr>
          <w:rStyle w:val="Znakapoznpodarou"/>
        </w:rPr>
        <w:footnoteRef/>
      </w:r>
      <w:r>
        <w:t xml:space="preserve"> </w:t>
      </w:r>
      <w:r>
        <w:tab/>
      </w:r>
      <w:r w:rsidRPr="00DA424B">
        <w:t xml:space="preserve">Příkladem může být dopravní opatření </w:t>
      </w:r>
      <w:r>
        <w:t xml:space="preserve">AB2 </w:t>
      </w:r>
      <w:r w:rsidRPr="00DA424B">
        <w:t>zaměřené na prioritní výstavbu ob</w:t>
      </w:r>
      <w:r>
        <w:t xml:space="preserve">chvatů měst a obcí (AB2), které </w:t>
      </w:r>
      <w:r w:rsidRPr="00DA424B">
        <w:t>zahrnuje až 427 investičních akcí.</w:t>
      </w:r>
      <w:r>
        <w:t xml:space="preserve"> </w:t>
      </w:r>
      <w:r w:rsidRPr="00DA424B">
        <w:t>Budování obchvatů měst a obcí je sledováno s omezením na obce nad 10</w:t>
      </w:r>
      <w:r>
        <w:t> </w:t>
      </w:r>
      <w:r w:rsidRPr="00DA424B">
        <w:t>tis.</w:t>
      </w:r>
      <w:r>
        <w:t> </w:t>
      </w:r>
      <w:r w:rsidRPr="00DA424B">
        <w:t xml:space="preserve">obyvatel. Tento indikátor zveřejněný ve </w:t>
      </w:r>
      <w:r w:rsidRPr="00B1650A">
        <w:rPr>
          <w:i/>
        </w:rPr>
        <w:t>Statistické ročence životního prostředí za rok 2016</w:t>
      </w:r>
      <w:r w:rsidRPr="00DA424B">
        <w:t xml:space="preserve"> uvádí v</w:t>
      </w:r>
      <w:r>
        <w:t> </w:t>
      </w:r>
      <w:r w:rsidRPr="00DA424B">
        <w:t xml:space="preserve">letech 2015 a 2016 shodně počet 3. </w:t>
      </w:r>
      <w:r>
        <w:t>MŽP však hodnotí plnění opatření pozitivně, neboť je „plněno průběžně“.</w:t>
      </w:r>
      <w:r w:rsidRPr="00DA424B">
        <w:t xml:space="preserve"> </w:t>
      </w:r>
      <w:r>
        <w:t>Stejně tak MŽP hodnotí stav plnění některých opatření financovaných z ESIF,</w:t>
      </w:r>
      <w:r w:rsidRPr="00DA424B">
        <w:t xml:space="preserve"> </w:t>
      </w:r>
      <w:r>
        <w:t>u nichž existují rizika</w:t>
      </w:r>
      <w:r w:rsidRPr="00DA424B">
        <w:t xml:space="preserve"> spoje</w:t>
      </w:r>
      <w:r>
        <w:t>ná s </w:t>
      </w:r>
      <w:r w:rsidRPr="00DA424B">
        <w:t>čerpáním peněžních prostředků, což implikuje</w:t>
      </w:r>
      <w:r>
        <w:t xml:space="preserve"> </w:t>
      </w:r>
      <w:r w:rsidRPr="00DA424B">
        <w:t>rizika nesplnění indikátorů a opoždění realizace těchto opatření.</w:t>
      </w:r>
    </w:p>
  </w:footnote>
  <w:footnote w:id="30">
    <w:p w14:paraId="022C51E7" w14:textId="77777777" w:rsidR="00E80779" w:rsidRDefault="00E80779" w:rsidP="00AD74E7">
      <w:pPr>
        <w:pStyle w:val="Textpoznpodarou"/>
        <w:ind w:left="284" w:hanging="284"/>
        <w:jc w:val="both"/>
      </w:pPr>
      <w:r>
        <w:rPr>
          <w:rStyle w:val="Znakapoznpodarou"/>
        </w:rPr>
        <w:footnoteRef/>
      </w:r>
      <w:r>
        <w:t xml:space="preserve"> </w:t>
      </w:r>
      <w:r>
        <w:tab/>
        <w:t>Z</w:t>
      </w:r>
      <w:r w:rsidRPr="00C57EA6">
        <w:t>ákon č. 172/2018 Sb., kterým se mění zákon č. 201/2012 Sb.</w:t>
      </w:r>
      <w:r>
        <w:t>,</w:t>
      </w:r>
      <w:r w:rsidRPr="00C57EA6">
        <w:t xml:space="preserve"> o ochraně ovzduší, ve znění pozdějších předpisů s účinností od 1. 9. 2018</w:t>
      </w:r>
    </w:p>
  </w:footnote>
  <w:footnote w:id="31">
    <w:p w14:paraId="794EC62F" w14:textId="732573AC" w:rsidR="00E80779" w:rsidRDefault="00E80779" w:rsidP="00AD74E7">
      <w:pPr>
        <w:pStyle w:val="Textpoznpodarou"/>
        <w:ind w:left="284" w:hanging="284"/>
        <w:jc w:val="both"/>
      </w:pPr>
      <w:r>
        <w:rPr>
          <w:rStyle w:val="Znakapoznpodarou"/>
        </w:rPr>
        <w:footnoteRef/>
      </w:r>
      <w:r>
        <w:t xml:space="preserve"> </w:t>
      </w:r>
      <w:r>
        <w:tab/>
      </w:r>
      <w:r w:rsidRPr="00C07AD2">
        <w:t>Směrnice Evropského parlamentu a Rady 2008/50/ES ze dne 21. května 2008</w:t>
      </w:r>
      <w:r>
        <w:t>,</w:t>
      </w:r>
      <w:r w:rsidRPr="00C07AD2">
        <w:t xml:space="preserve"> </w:t>
      </w:r>
      <w:r w:rsidRPr="00B1650A">
        <w:rPr>
          <w:i/>
        </w:rPr>
        <w:t>o kvalitě vnějšího ovzduší a čistším ovzduší pro Evropu</w:t>
      </w:r>
      <w:r w:rsidRPr="00C07AD2">
        <w:t>.</w:t>
      </w:r>
    </w:p>
  </w:footnote>
  <w:footnote w:id="32">
    <w:p w14:paraId="5E15ECEA" w14:textId="7ED3861E" w:rsidR="00E80779" w:rsidRDefault="00E80779" w:rsidP="00AD74E7">
      <w:pPr>
        <w:pStyle w:val="Textpoznpodarou"/>
        <w:ind w:left="284" w:hanging="284"/>
        <w:jc w:val="both"/>
      </w:pPr>
      <w:r>
        <w:rPr>
          <w:rStyle w:val="Znakapoznpodarou"/>
        </w:rPr>
        <w:footnoteRef/>
      </w:r>
      <w:r>
        <w:t xml:space="preserve"> </w:t>
      </w:r>
      <w:r>
        <w:tab/>
      </w:r>
      <w:r w:rsidRPr="007E3EBA">
        <w:t>Data jsou reportována prostřednictvím portálu</w:t>
      </w:r>
      <w:r>
        <w:t xml:space="preserve"> Evropské agentury pro životní prostředí (dále také „</w:t>
      </w:r>
      <w:r w:rsidRPr="007E3EBA">
        <w:t>EEA</w:t>
      </w:r>
      <w:r>
        <w:t xml:space="preserve">“), přičemž dle </w:t>
      </w:r>
      <w:r w:rsidRPr="007E3EBA">
        <w:t>vyjádření ČHMÚ došlo k technické chybě při nahrávání dat u toho</w:t>
      </w:r>
      <w:r>
        <w:t>to údaje, tato položka nebyla v </w:t>
      </w:r>
      <w:r w:rsidRPr="007E3EBA">
        <w:t xml:space="preserve">systému hlášení chyb definována jako povinná a systém umožnil nahrání </w:t>
      </w:r>
      <w:proofErr w:type="spellStart"/>
      <w:r w:rsidRPr="007E3EBA">
        <w:t>datasetu</w:t>
      </w:r>
      <w:proofErr w:type="spellEnd"/>
      <w:r w:rsidRPr="007E3EBA">
        <w:t xml:space="preserve"> bez tohoto údaje.</w:t>
      </w:r>
    </w:p>
  </w:footnote>
  <w:footnote w:id="33">
    <w:p w14:paraId="0A2EB6E3" w14:textId="77777777" w:rsidR="00E80779" w:rsidRDefault="00E80779" w:rsidP="00AD74E7">
      <w:pPr>
        <w:pStyle w:val="Textpoznpodarou"/>
        <w:ind w:left="284" w:hanging="284"/>
        <w:jc w:val="both"/>
      </w:pPr>
      <w:r>
        <w:rPr>
          <w:rStyle w:val="Znakapoznpodarou"/>
        </w:rPr>
        <w:footnoteRef/>
      </w:r>
      <w:r>
        <w:t> </w:t>
      </w:r>
      <w:r>
        <w:tab/>
        <w:t xml:space="preserve">Vyhláška č. 330/2012 Sb., </w:t>
      </w:r>
      <w:r w:rsidRPr="004C3110">
        <w:t>o způsobu posuzování a vyhodnocení úrovně znečištění, rozsahu informování veřejnosti o úrovni znečištění a při smogových situacích</w:t>
      </w:r>
      <w:r>
        <w:t>.</w:t>
      </w:r>
    </w:p>
  </w:footnote>
  <w:footnote w:id="34">
    <w:p w14:paraId="3D2AC8D4" w14:textId="143EB111" w:rsidR="00E80779" w:rsidRDefault="00E80779" w:rsidP="00AD74E7">
      <w:pPr>
        <w:pStyle w:val="Textpoznpodarou"/>
        <w:ind w:left="284" w:hanging="284"/>
        <w:jc w:val="both"/>
      </w:pPr>
      <w:r>
        <w:rPr>
          <w:rStyle w:val="Znakapoznpodarou"/>
        </w:rPr>
        <w:footnoteRef/>
      </w:r>
      <w:r>
        <w:t xml:space="preserve"> </w:t>
      </w:r>
      <w:r>
        <w:tab/>
      </w:r>
      <w:r w:rsidRPr="00C57EA6">
        <w:t>Opatření č. 17/17 Ministerstva životního prostředí o vydání úplného znění zřizovací listiny státní příspěvkové organizace Český hydrometeorologický ústav</w:t>
      </w:r>
    </w:p>
  </w:footnote>
  <w:footnote w:id="35">
    <w:p w14:paraId="2D6746DB" w14:textId="77777777" w:rsidR="00E80779" w:rsidRDefault="00E80779" w:rsidP="00AD74E7">
      <w:pPr>
        <w:pStyle w:val="Textpoznpodarou"/>
        <w:ind w:left="284" w:hanging="284"/>
        <w:jc w:val="both"/>
      </w:pPr>
      <w:r>
        <w:rPr>
          <w:rStyle w:val="Znakapoznpodarou"/>
        </w:rPr>
        <w:footnoteRef/>
      </w:r>
      <w:r>
        <w:t xml:space="preserve"> </w:t>
      </w:r>
      <w:r>
        <w:tab/>
        <w:t>Zákon č. 134/2016 Sb., o zadávání veřejných zakázek.</w:t>
      </w:r>
    </w:p>
  </w:footnote>
  <w:footnote w:id="36">
    <w:p w14:paraId="6E16113A" w14:textId="3E17B4EC" w:rsidR="00E80779" w:rsidRDefault="00E80779" w:rsidP="00AD74E7">
      <w:pPr>
        <w:pStyle w:val="Textpoznpodarou"/>
        <w:ind w:left="284" w:hanging="284"/>
        <w:jc w:val="both"/>
      </w:pPr>
      <w:r>
        <w:rPr>
          <w:rStyle w:val="Znakapoznpodarou"/>
        </w:rPr>
        <w:footnoteRef/>
      </w:r>
      <w:r>
        <w:t xml:space="preserve"> </w:t>
      </w:r>
      <w:r>
        <w:tab/>
        <w:t>V</w:t>
      </w:r>
      <w:r w:rsidRPr="00F22C8E">
        <w:t>ícelet</w:t>
      </w:r>
      <w:r>
        <w:t xml:space="preserve">ý </w:t>
      </w:r>
      <w:r w:rsidRPr="00F22C8E">
        <w:t>pracovní</w:t>
      </w:r>
      <w:r>
        <w:t xml:space="preserve"> </w:t>
      </w:r>
      <w:r w:rsidRPr="00F22C8E">
        <w:t>program</w:t>
      </w:r>
      <w:r>
        <w:t xml:space="preserve"> byl stanoven pro období 2014–2017 a měl přidělenou alokaci </w:t>
      </w:r>
      <w:r w:rsidRPr="00F22C8E">
        <w:t>1 796 242 000 eur</w:t>
      </w:r>
      <w:r>
        <w:t>. D</w:t>
      </w:r>
      <w:r w:rsidRPr="00916297">
        <w:t>ata za rok 2017 nebyl</w:t>
      </w:r>
      <w:r>
        <w:t>a</w:t>
      </w:r>
      <w:r w:rsidRPr="00916297">
        <w:t xml:space="preserve"> do data ukončení kontrolní akce k</w:t>
      </w:r>
      <w:r>
        <w:t> </w:t>
      </w:r>
      <w:r w:rsidRPr="00916297">
        <w:t>dispozici</w:t>
      </w:r>
      <w:r>
        <w:t>.</w:t>
      </w:r>
    </w:p>
  </w:footnote>
  <w:footnote w:id="37">
    <w:p w14:paraId="5F9FDDD2" w14:textId="2E76DD6A" w:rsidR="00E80779" w:rsidRDefault="00E80779" w:rsidP="00AD74E7">
      <w:pPr>
        <w:pStyle w:val="Textpoznpodarou"/>
        <w:ind w:left="284" w:hanging="284"/>
        <w:jc w:val="both"/>
      </w:pPr>
      <w:r>
        <w:rPr>
          <w:rStyle w:val="Znakapoznpodarou"/>
        </w:rPr>
        <w:footnoteRef/>
      </w:r>
      <w:r>
        <w:t xml:space="preserve"> </w:t>
      </w:r>
      <w:r>
        <w:tab/>
      </w:r>
      <w:r w:rsidRPr="009778B2">
        <w:t>Cílem projektu bylo mj. vybudovat společnou česko-polsko-slovenskou emisně-imisní databázi. MŽP vystupuje jako partner tohoto projektu a zpracovává v rámci projektu model kvality ovzduší projektového území. Rozpočet MŽP dle projektové žádosti byl 50 367 eur, z toho příspěvek EK 20 109 eur</w:t>
      </w:r>
      <w:r>
        <w:t>.</w:t>
      </w:r>
    </w:p>
  </w:footnote>
  <w:footnote w:id="38">
    <w:p w14:paraId="130DB5F5" w14:textId="77777777" w:rsidR="00E80779" w:rsidRDefault="00E80779" w:rsidP="006D33D2">
      <w:pPr>
        <w:pStyle w:val="Text"/>
        <w:spacing w:before="0"/>
        <w:ind w:left="284" w:hanging="284"/>
      </w:pPr>
      <w:r w:rsidRPr="00AE2306">
        <w:rPr>
          <w:rStyle w:val="Znakapoznpodarou"/>
          <w:sz w:val="20"/>
        </w:rPr>
        <w:footnoteRef/>
      </w:r>
      <w:r>
        <w:t xml:space="preserve"> </w:t>
      </w:r>
      <w:r>
        <w:tab/>
      </w:r>
      <w:r w:rsidRPr="00AE2306">
        <w:rPr>
          <w:sz w:val="20"/>
        </w:rPr>
        <w:t>Imisní limity pro PM</w:t>
      </w:r>
      <w:r w:rsidRPr="00AE2306">
        <w:rPr>
          <w:sz w:val="20"/>
          <w:vertAlign w:val="subscript"/>
        </w:rPr>
        <w:t>10</w:t>
      </w:r>
      <w:r w:rsidRPr="00AE2306">
        <w:rPr>
          <w:sz w:val="20"/>
        </w:rPr>
        <w:t xml:space="preserve"> jsou v platnosti již od 1. 1. 2005. Imisního limitu pro NO</w:t>
      </w:r>
      <w:r w:rsidRPr="00AE2306">
        <w:rPr>
          <w:sz w:val="20"/>
          <w:vertAlign w:val="subscript"/>
        </w:rPr>
        <w:t>2</w:t>
      </w:r>
      <w:r w:rsidRPr="00AE2306">
        <w:rPr>
          <w:sz w:val="20"/>
        </w:rPr>
        <w:t xml:space="preserve"> mělo být dosaženo k 1. 1.</w:t>
      </w:r>
      <w:r>
        <w:rPr>
          <w:sz w:val="20"/>
        </w:rPr>
        <w:t> </w:t>
      </w:r>
      <w:r w:rsidRPr="00AE2306">
        <w:rPr>
          <w:sz w:val="20"/>
        </w:rPr>
        <w:t>2010. Česká republika požádala v letech 2009 a 2011 orgány EU o výjimky z dosažení mezních hodnot pro PM</w:t>
      </w:r>
      <w:r w:rsidRPr="00AE2306">
        <w:rPr>
          <w:sz w:val="20"/>
          <w:vertAlign w:val="subscript"/>
        </w:rPr>
        <w:t>10</w:t>
      </w:r>
      <w:r w:rsidRPr="00AE2306">
        <w:rPr>
          <w:sz w:val="20"/>
        </w:rPr>
        <w:t xml:space="preserve"> a</w:t>
      </w:r>
      <w:r>
        <w:rPr>
          <w:sz w:val="20"/>
        </w:rPr>
        <w:t> </w:t>
      </w:r>
      <w:r w:rsidRPr="00AE2306">
        <w:rPr>
          <w:sz w:val="20"/>
        </w:rPr>
        <w:t>NO</w:t>
      </w:r>
      <w:r w:rsidRPr="00AE2306">
        <w:rPr>
          <w:sz w:val="20"/>
          <w:vertAlign w:val="subscript"/>
        </w:rPr>
        <w:t>2</w:t>
      </w:r>
      <w:r w:rsidRPr="00AE2306">
        <w:rPr>
          <w:sz w:val="20"/>
        </w:rPr>
        <w:t xml:space="preserve"> s odůvodněním, že jich nebylo možné v ČR dosáhnout v požadované lhůtě kvůli specifickým rozptylovým vlastnostem ČR a nepříznivému vlivu klimatických podmínek. Zjištěná p</w:t>
      </w:r>
      <w:r>
        <w:rPr>
          <w:sz w:val="20"/>
        </w:rPr>
        <w:t>řekročení mezních hodnot jsou v </w:t>
      </w:r>
      <w:r w:rsidRPr="00AE2306">
        <w:rPr>
          <w:sz w:val="20"/>
        </w:rPr>
        <w:t>současnosti předmětem řízení o nesplnění povinnosti. Toto řízení stále probíhá.</w:t>
      </w:r>
    </w:p>
  </w:footnote>
  <w:footnote w:id="39">
    <w:p w14:paraId="100A245D" w14:textId="77777777" w:rsidR="00E80779" w:rsidRDefault="00E80779" w:rsidP="00AD74E7">
      <w:pPr>
        <w:pStyle w:val="Textpoznpodarou"/>
        <w:ind w:left="284" w:hanging="284"/>
        <w:jc w:val="both"/>
      </w:pPr>
      <w:r>
        <w:rPr>
          <w:rStyle w:val="Znakapoznpodarou"/>
        </w:rPr>
        <w:footnoteRef/>
      </w:r>
      <w:r>
        <w:t xml:space="preserve"> </w:t>
      </w:r>
      <w:r>
        <w:tab/>
        <w:t xml:space="preserve">Při interpretaci dat o </w:t>
      </w:r>
      <w:proofErr w:type="spellStart"/>
      <w:r>
        <w:t>BaP</w:t>
      </w:r>
      <w:proofErr w:type="spellEnd"/>
      <w:r>
        <w:t xml:space="preserve"> je nutno vzít v potaz nízkou hustotu monitorovacích stanic. Odhad ročních průměrných koncentrací </w:t>
      </w:r>
      <w:proofErr w:type="spellStart"/>
      <w:r>
        <w:t>BaP</w:t>
      </w:r>
      <w:proofErr w:type="spellEnd"/>
      <w:r>
        <w:t xml:space="preserve"> je zatížen výrazně většími nejistotami ve srovnání s ostatními mapovanými látkami.</w:t>
      </w:r>
      <w:r w:rsidRPr="00DE5B0D">
        <w:t xml:space="preserve"> Nedostatečný počet měření nedovoluje blíže konstatovat výši koncentrací </w:t>
      </w:r>
      <w:proofErr w:type="spellStart"/>
      <w:r>
        <w:t>BaP</w:t>
      </w:r>
      <w:proofErr w:type="spellEnd"/>
      <w:r w:rsidRPr="00DE5B0D">
        <w:t xml:space="preserve"> v menších sídlech, nicméně na základě skladby zdrojů emisí a některých studií lze předpokládat, že i zde jsou koncentrace nadlimitní.</w:t>
      </w:r>
    </w:p>
  </w:footnote>
  <w:footnote w:id="40">
    <w:p w14:paraId="7021CBA4" w14:textId="3760D088" w:rsidR="00E80779" w:rsidRPr="001757EC" w:rsidRDefault="00E80779" w:rsidP="00AD74E7">
      <w:pPr>
        <w:pStyle w:val="Textpoznpodarou"/>
        <w:ind w:left="284" w:hanging="284"/>
        <w:jc w:val="both"/>
        <w:rPr>
          <w:spacing w:val="-4"/>
        </w:rPr>
      </w:pPr>
      <w:r w:rsidRPr="001757EC">
        <w:rPr>
          <w:rStyle w:val="Znakapoznpodarou"/>
          <w:spacing w:val="-4"/>
        </w:rPr>
        <w:footnoteRef/>
      </w:r>
      <w:r w:rsidRPr="001757EC">
        <w:rPr>
          <w:spacing w:val="-4"/>
        </w:rPr>
        <w:t xml:space="preserve"> </w:t>
      </w:r>
      <w:r w:rsidRPr="001757EC">
        <w:rPr>
          <w:spacing w:val="-4"/>
        </w:rPr>
        <w:tab/>
        <w:t>ČHMÚ odpovídá za přípravu a odeslání emisních inventur podle směrnice EU č. 2016/2284. Emise se vykazují podle metodik stanovených v </w:t>
      </w:r>
      <w:r w:rsidRPr="001757EC">
        <w:rPr>
          <w:i/>
          <w:spacing w:val="-4"/>
        </w:rPr>
        <w:t>úmluvě o dálkovém znečišťování ovzduší přecházejícím hranice státu</w:t>
      </w:r>
      <w:r w:rsidRPr="001757EC">
        <w:rPr>
          <w:spacing w:val="-4"/>
        </w:rPr>
        <w:t xml:space="preserve"> (CLRTAP) a podle příručky EMEP/EEA pro inventury emisí látek znečišťujících ovzduší. Emisní inventury jsou reportovány k 15. 2., za rok R-2 a </w:t>
      </w:r>
      <w:proofErr w:type="gramStart"/>
      <w:r w:rsidRPr="001757EC">
        <w:rPr>
          <w:spacing w:val="-4"/>
        </w:rPr>
        <w:t>jsou</w:t>
      </w:r>
      <w:proofErr w:type="gramEnd"/>
      <w:r w:rsidRPr="001757EC">
        <w:rPr>
          <w:spacing w:val="-4"/>
        </w:rPr>
        <w:t xml:space="preserve"> dostupné na internetových stránkách </w:t>
      </w:r>
      <w:proofErr w:type="gramStart"/>
      <w:r w:rsidRPr="001757EC">
        <w:rPr>
          <w:spacing w:val="-4"/>
        </w:rPr>
        <w:t>Centre</w:t>
      </w:r>
      <w:proofErr w:type="gramEnd"/>
      <w:r w:rsidRPr="001757EC">
        <w:rPr>
          <w:spacing w:val="-4"/>
        </w:rPr>
        <w:t xml:space="preserve"> on </w:t>
      </w:r>
      <w:proofErr w:type="spellStart"/>
      <w:r w:rsidRPr="001757EC">
        <w:rPr>
          <w:spacing w:val="-4"/>
        </w:rPr>
        <w:t>Emission</w:t>
      </w:r>
      <w:proofErr w:type="spellEnd"/>
      <w:r w:rsidRPr="001757EC">
        <w:rPr>
          <w:spacing w:val="-4"/>
        </w:rPr>
        <w:t xml:space="preserve"> </w:t>
      </w:r>
      <w:proofErr w:type="spellStart"/>
      <w:r w:rsidRPr="001757EC">
        <w:rPr>
          <w:spacing w:val="-4"/>
        </w:rPr>
        <w:t>Inventories</w:t>
      </w:r>
      <w:proofErr w:type="spellEnd"/>
      <w:r w:rsidRPr="001757EC">
        <w:rPr>
          <w:spacing w:val="-4"/>
        </w:rPr>
        <w:t xml:space="preserve"> and </w:t>
      </w:r>
      <w:proofErr w:type="spellStart"/>
      <w:r w:rsidRPr="001757EC">
        <w:rPr>
          <w:spacing w:val="-4"/>
        </w:rPr>
        <w:t>Projections</w:t>
      </w:r>
      <w:proofErr w:type="spellEnd"/>
      <w:r w:rsidRPr="001757EC">
        <w:rPr>
          <w:spacing w:val="-4"/>
        </w:rPr>
        <w:t xml:space="preserve"> (www.ceip.at).</w:t>
      </w:r>
    </w:p>
  </w:footnote>
  <w:footnote w:id="41">
    <w:p w14:paraId="5B8E33D5" w14:textId="35BAC1B7" w:rsidR="00E80779" w:rsidRPr="001757EC" w:rsidRDefault="00E80779" w:rsidP="00AD74E7">
      <w:pPr>
        <w:pStyle w:val="Textpoznpodarou"/>
        <w:ind w:left="284" w:hanging="284"/>
        <w:jc w:val="both"/>
        <w:rPr>
          <w:spacing w:val="-4"/>
        </w:rPr>
      </w:pPr>
      <w:r w:rsidRPr="001757EC">
        <w:rPr>
          <w:rStyle w:val="Znakapoznpodarou"/>
          <w:spacing w:val="-4"/>
        </w:rPr>
        <w:footnoteRef/>
      </w:r>
      <w:r w:rsidRPr="001757EC">
        <w:rPr>
          <w:spacing w:val="-4"/>
        </w:rPr>
        <w:t xml:space="preserve"> </w:t>
      </w:r>
      <w:r w:rsidRPr="001757EC">
        <w:rPr>
          <w:spacing w:val="-4"/>
        </w:rPr>
        <w:tab/>
        <w:t>Směrnice Evropského parlamentu a Rady č. 2001/81/ES ze dne 23. října 2001, o národních emisních stropech pro některé látky znečisťující ovzduší.</w:t>
      </w:r>
    </w:p>
  </w:footnote>
  <w:footnote w:id="42">
    <w:p w14:paraId="796769E3" w14:textId="41EF873B" w:rsidR="00E80779" w:rsidRPr="001757EC" w:rsidRDefault="00E80779" w:rsidP="00AD74E7">
      <w:pPr>
        <w:pStyle w:val="Textpoznpodarou"/>
        <w:ind w:left="284" w:hanging="284"/>
        <w:jc w:val="both"/>
        <w:rPr>
          <w:spacing w:val="-4"/>
        </w:rPr>
      </w:pPr>
      <w:r w:rsidRPr="001757EC">
        <w:rPr>
          <w:rStyle w:val="Znakapoznpodarou"/>
          <w:spacing w:val="-4"/>
        </w:rPr>
        <w:footnoteRef/>
      </w:r>
      <w:r w:rsidRPr="001757EC">
        <w:rPr>
          <w:spacing w:val="-4"/>
        </w:rPr>
        <w:t xml:space="preserve"> </w:t>
      </w:r>
      <w:r w:rsidRPr="001757EC">
        <w:rPr>
          <w:spacing w:val="-4"/>
        </w:rPr>
        <w:tab/>
        <w:t xml:space="preserve">Národní emisní stropy platné od roku 2010 vycházejí z </w:t>
      </w:r>
      <w:r w:rsidRPr="001757EC">
        <w:rPr>
          <w:i/>
          <w:spacing w:val="-4"/>
        </w:rPr>
        <w:t>úmluvy o dálkovém znečišťování ovzduší přecházejícím hranice státu</w:t>
      </w:r>
      <w:r w:rsidRPr="001757EC">
        <w:rPr>
          <w:spacing w:val="-4"/>
        </w:rPr>
        <w:t xml:space="preserve"> (CLRTAP) z roku 1979, která je hlavním mezinárodním rámcem pro spolupráci a opatření k omezení, postupnému snižování a prevenci znečišťování ovzduší, včetně rozšiřujícího </w:t>
      </w:r>
      <w:r w:rsidRPr="001757EC">
        <w:rPr>
          <w:i/>
          <w:spacing w:val="-4"/>
        </w:rPr>
        <w:t xml:space="preserve">protokolu o omezování acidifikace, eutrofizace a přízemního ozonu </w:t>
      </w:r>
      <w:r w:rsidRPr="001757EC">
        <w:rPr>
          <w:spacing w:val="-4"/>
        </w:rPr>
        <w:t>z roku 1999, který byl dále revidován v roce 2012 („Göteborský protokol“).</w:t>
      </w:r>
    </w:p>
  </w:footnote>
  <w:footnote w:id="43">
    <w:p w14:paraId="0F561ECE" w14:textId="21A32BDC" w:rsidR="00E80779" w:rsidRDefault="00E80779" w:rsidP="00AD74E7">
      <w:pPr>
        <w:pStyle w:val="Textpoznpodarou"/>
        <w:ind w:left="284" w:hanging="284"/>
        <w:jc w:val="both"/>
      </w:pPr>
      <w:r>
        <w:rPr>
          <w:rStyle w:val="Znakapoznpodarou"/>
        </w:rPr>
        <w:footnoteRef/>
      </w:r>
      <w:r>
        <w:tab/>
        <w:t>S</w:t>
      </w:r>
      <w:r w:rsidRPr="007E3BD9">
        <w:t xml:space="preserve">měrnice </w:t>
      </w:r>
      <w:r>
        <w:t xml:space="preserve">č. 2001/81/ES </w:t>
      </w:r>
      <w:r w:rsidRPr="007E3BD9">
        <w:t>stanovila pro ČR závazek, resp. národní emisní stropy pro SO</w:t>
      </w:r>
      <w:r w:rsidRPr="007E3BD9">
        <w:rPr>
          <w:vertAlign w:val="subscript"/>
        </w:rPr>
        <w:t>2</w:t>
      </w:r>
      <w:r w:rsidRPr="007E3BD9">
        <w:t xml:space="preserve"> (265 </w:t>
      </w:r>
      <w:proofErr w:type="spellStart"/>
      <w:r w:rsidRPr="007E3BD9">
        <w:t>kt</w:t>
      </w:r>
      <w:proofErr w:type="spellEnd"/>
      <w:r w:rsidRPr="007E3BD9">
        <w:t>), NO</w:t>
      </w:r>
      <w:r w:rsidRPr="007E3BD9">
        <w:rPr>
          <w:vertAlign w:val="subscript"/>
        </w:rPr>
        <w:t>X</w:t>
      </w:r>
      <w:r w:rsidRPr="007E3BD9">
        <w:t xml:space="preserve"> (286 </w:t>
      </w:r>
      <w:proofErr w:type="spellStart"/>
      <w:r w:rsidRPr="007E3BD9">
        <w:t>kt</w:t>
      </w:r>
      <w:proofErr w:type="spellEnd"/>
      <w:r w:rsidRPr="007E3BD9">
        <w:t xml:space="preserve">), </w:t>
      </w:r>
      <w:r>
        <w:t>NM</w:t>
      </w:r>
      <w:r w:rsidRPr="007E3BD9">
        <w:t xml:space="preserve">VOC (220 </w:t>
      </w:r>
      <w:proofErr w:type="spellStart"/>
      <w:r w:rsidRPr="007E3BD9">
        <w:t>kt</w:t>
      </w:r>
      <w:proofErr w:type="spellEnd"/>
      <w:r w:rsidRPr="007E3BD9">
        <w:t>) a NH</w:t>
      </w:r>
      <w:r w:rsidRPr="007E3BD9">
        <w:rPr>
          <w:vertAlign w:val="subscript"/>
        </w:rPr>
        <w:t>3</w:t>
      </w:r>
      <w:r w:rsidRPr="007E3BD9">
        <w:t xml:space="preserve"> (80 </w:t>
      </w:r>
      <w:proofErr w:type="spellStart"/>
      <w:r w:rsidRPr="007E3BD9">
        <w:t>kt</w:t>
      </w:r>
      <w:proofErr w:type="spellEnd"/>
      <w:r w:rsidRPr="007E3BD9">
        <w:t>), kterých mělo být dosaženo do roku 2010</w:t>
      </w:r>
      <w:r>
        <w:t>,</w:t>
      </w:r>
      <w:r w:rsidRPr="007E3BD9">
        <w:t xml:space="preserve"> a současně závazek, aby tyto emisní stropy nebyly překroč</w:t>
      </w:r>
      <w:r>
        <w:t>eny v žádném následujícím roce.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9FD0" w14:textId="77777777" w:rsidR="00E80779" w:rsidRDefault="00E807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2C8F" w14:textId="77777777" w:rsidR="00E80779" w:rsidRDefault="00E807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6DED" w14:textId="77777777" w:rsidR="00E80779" w:rsidRDefault="00E807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50"/>
    <w:multiLevelType w:val="hybridMultilevel"/>
    <w:tmpl w:val="B022BF98"/>
    <w:lvl w:ilvl="0" w:tplc="0FE4DD8C">
      <w:start w:val="1"/>
      <w:numFmt w:val="decimal"/>
      <w:lvlText w:val="%1)"/>
      <w:lvlJc w:val="left"/>
      <w:pPr>
        <w:ind w:left="720" w:hanging="360"/>
      </w:pPr>
      <w:rPr>
        <w:rFonts w:hint="default"/>
      </w:rPr>
    </w:lvl>
    <w:lvl w:ilvl="1" w:tplc="CF14BE80" w:tentative="1">
      <w:start w:val="1"/>
      <w:numFmt w:val="lowerLetter"/>
      <w:lvlText w:val="%2."/>
      <w:lvlJc w:val="left"/>
      <w:pPr>
        <w:ind w:left="1440" w:hanging="360"/>
      </w:pPr>
    </w:lvl>
    <w:lvl w:ilvl="2" w:tplc="C728DA56" w:tentative="1">
      <w:start w:val="1"/>
      <w:numFmt w:val="lowerRoman"/>
      <w:lvlText w:val="%3."/>
      <w:lvlJc w:val="right"/>
      <w:pPr>
        <w:ind w:left="2160" w:hanging="180"/>
      </w:pPr>
    </w:lvl>
    <w:lvl w:ilvl="3" w:tplc="9E42EEB2" w:tentative="1">
      <w:start w:val="1"/>
      <w:numFmt w:val="decimal"/>
      <w:lvlText w:val="%4."/>
      <w:lvlJc w:val="left"/>
      <w:pPr>
        <w:ind w:left="2880" w:hanging="360"/>
      </w:pPr>
    </w:lvl>
    <w:lvl w:ilvl="4" w:tplc="B98E049C" w:tentative="1">
      <w:start w:val="1"/>
      <w:numFmt w:val="lowerLetter"/>
      <w:lvlText w:val="%5."/>
      <w:lvlJc w:val="left"/>
      <w:pPr>
        <w:ind w:left="3600" w:hanging="360"/>
      </w:pPr>
    </w:lvl>
    <w:lvl w:ilvl="5" w:tplc="0DD02E6C" w:tentative="1">
      <w:start w:val="1"/>
      <w:numFmt w:val="lowerRoman"/>
      <w:lvlText w:val="%6."/>
      <w:lvlJc w:val="right"/>
      <w:pPr>
        <w:ind w:left="4320" w:hanging="180"/>
      </w:pPr>
    </w:lvl>
    <w:lvl w:ilvl="6" w:tplc="5EF07130" w:tentative="1">
      <w:start w:val="1"/>
      <w:numFmt w:val="decimal"/>
      <w:lvlText w:val="%7."/>
      <w:lvlJc w:val="left"/>
      <w:pPr>
        <w:ind w:left="5040" w:hanging="360"/>
      </w:pPr>
    </w:lvl>
    <w:lvl w:ilvl="7" w:tplc="C4940A3A" w:tentative="1">
      <w:start w:val="1"/>
      <w:numFmt w:val="lowerLetter"/>
      <w:lvlText w:val="%8."/>
      <w:lvlJc w:val="left"/>
      <w:pPr>
        <w:ind w:left="5760" w:hanging="360"/>
      </w:pPr>
    </w:lvl>
    <w:lvl w:ilvl="8" w:tplc="BB7632E0" w:tentative="1">
      <w:start w:val="1"/>
      <w:numFmt w:val="lowerRoman"/>
      <w:lvlText w:val="%9."/>
      <w:lvlJc w:val="right"/>
      <w:pPr>
        <w:ind w:left="6480" w:hanging="180"/>
      </w:pPr>
    </w:lvl>
  </w:abstractNum>
  <w:abstractNum w:abstractNumId="1" w15:restartNumberingAfterBreak="0">
    <w:nsid w:val="01D16193"/>
    <w:multiLevelType w:val="hybridMultilevel"/>
    <w:tmpl w:val="2730E17E"/>
    <w:lvl w:ilvl="0" w:tplc="161EE4E8">
      <w:start w:val="1"/>
      <w:numFmt w:val="bullet"/>
      <w:lvlText w:val=""/>
      <w:lvlJc w:val="left"/>
      <w:pPr>
        <w:ind w:left="720" w:hanging="360"/>
      </w:pPr>
      <w:rPr>
        <w:rFonts w:ascii="Symbol" w:hAnsi="Symbol" w:hint="default"/>
      </w:rPr>
    </w:lvl>
    <w:lvl w:ilvl="1" w:tplc="2E5A92AC" w:tentative="1">
      <w:start w:val="1"/>
      <w:numFmt w:val="bullet"/>
      <w:lvlText w:val="o"/>
      <w:lvlJc w:val="left"/>
      <w:pPr>
        <w:ind w:left="1440" w:hanging="360"/>
      </w:pPr>
      <w:rPr>
        <w:rFonts w:ascii="Courier New" w:hAnsi="Courier New" w:cs="Courier New" w:hint="default"/>
      </w:rPr>
    </w:lvl>
    <w:lvl w:ilvl="2" w:tplc="4D1CBCAC" w:tentative="1">
      <w:start w:val="1"/>
      <w:numFmt w:val="bullet"/>
      <w:lvlText w:val=""/>
      <w:lvlJc w:val="left"/>
      <w:pPr>
        <w:ind w:left="2160" w:hanging="360"/>
      </w:pPr>
      <w:rPr>
        <w:rFonts w:ascii="Wingdings" w:hAnsi="Wingdings" w:hint="default"/>
      </w:rPr>
    </w:lvl>
    <w:lvl w:ilvl="3" w:tplc="9EA83CC6" w:tentative="1">
      <w:start w:val="1"/>
      <w:numFmt w:val="bullet"/>
      <w:lvlText w:val=""/>
      <w:lvlJc w:val="left"/>
      <w:pPr>
        <w:ind w:left="2880" w:hanging="360"/>
      </w:pPr>
      <w:rPr>
        <w:rFonts w:ascii="Symbol" w:hAnsi="Symbol" w:hint="default"/>
      </w:rPr>
    </w:lvl>
    <w:lvl w:ilvl="4" w:tplc="DBC0F660" w:tentative="1">
      <w:start w:val="1"/>
      <w:numFmt w:val="bullet"/>
      <w:lvlText w:val="o"/>
      <w:lvlJc w:val="left"/>
      <w:pPr>
        <w:ind w:left="3600" w:hanging="360"/>
      </w:pPr>
      <w:rPr>
        <w:rFonts w:ascii="Courier New" w:hAnsi="Courier New" w:cs="Courier New" w:hint="default"/>
      </w:rPr>
    </w:lvl>
    <w:lvl w:ilvl="5" w:tplc="5A46C5DE" w:tentative="1">
      <w:start w:val="1"/>
      <w:numFmt w:val="bullet"/>
      <w:lvlText w:val=""/>
      <w:lvlJc w:val="left"/>
      <w:pPr>
        <w:ind w:left="4320" w:hanging="360"/>
      </w:pPr>
      <w:rPr>
        <w:rFonts w:ascii="Wingdings" w:hAnsi="Wingdings" w:hint="default"/>
      </w:rPr>
    </w:lvl>
    <w:lvl w:ilvl="6" w:tplc="6F22E4E0" w:tentative="1">
      <w:start w:val="1"/>
      <w:numFmt w:val="bullet"/>
      <w:lvlText w:val=""/>
      <w:lvlJc w:val="left"/>
      <w:pPr>
        <w:ind w:left="5040" w:hanging="360"/>
      </w:pPr>
      <w:rPr>
        <w:rFonts w:ascii="Symbol" w:hAnsi="Symbol" w:hint="default"/>
      </w:rPr>
    </w:lvl>
    <w:lvl w:ilvl="7" w:tplc="EEAE5130" w:tentative="1">
      <w:start w:val="1"/>
      <w:numFmt w:val="bullet"/>
      <w:lvlText w:val="o"/>
      <w:lvlJc w:val="left"/>
      <w:pPr>
        <w:ind w:left="5760" w:hanging="360"/>
      </w:pPr>
      <w:rPr>
        <w:rFonts w:ascii="Courier New" w:hAnsi="Courier New" w:cs="Courier New" w:hint="default"/>
      </w:rPr>
    </w:lvl>
    <w:lvl w:ilvl="8" w:tplc="0316D50A" w:tentative="1">
      <w:start w:val="1"/>
      <w:numFmt w:val="bullet"/>
      <w:lvlText w:val=""/>
      <w:lvlJc w:val="left"/>
      <w:pPr>
        <w:ind w:left="6480" w:hanging="360"/>
      </w:pPr>
      <w:rPr>
        <w:rFonts w:ascii="Wingdings" w:hAnsi="Wingdings" w:hint="default"/>
      </w:rPr>
    </w:lvl>
  </w:abstractNum>
  <w:abstractNum w:abstractNumId="2" w15:restartNumberingAfterBreak="0">
    <w:nsid w:val="0BC77E75"/>
    <w:multiLevelType w:val="hybridMultilevel"/>
    <w:tmpl w:val="1018B4EE"/>
    <w:lvl w:ilvl="0" w:tplc="81C49B0E">
      <w:start w:val="1"/>
      <w:numFmt w:val="decimal"/>
      <w:lvlText w:val="%1."/>
      <w:lvlJc w:val="left"/>
      <w:pPr>
        <w:ind w:left="780" w:hanging="360"/>
      </w:pPr>
      <w:rPr>
        <w:rFonts w:hint="default"/>
      </w:rPr>
    </w:lvl>
    <w:lvl w:ilvl="1" w:tplc="1478A85C">
      <w:start w:val="1"/>
      <w:numFmt w:val="bullet"/>
      <w:lvlText w:val="o"/>
      <w:lvlJc w:val="left"/>
      <w:pPr>
        <w:ind w:left="1500" w:hanging="360"/>
      </w:pPr>
      <w:rPr>
        <w:rFonts w:ascii="Courier New" w:hAnsi="Courier New" w:cs="Courier New" w:hint="default"/>
      </w:rPr>
    </w:lvl>
    <w:lvl w:ilvl="2" w:tplc="56767040" w:tentative="1">
      <w:start w:val="1"/>
      <w:numFmt w:val="bullet"/>
      <w:lvlText w:val=""/>
      <w:lvlJc w:val="left"/>
      <w:pPr>
        <w:ind w:left="2220" w:hanging="360"/>
      </w:pPr>
      <w:rPr>
        <w:rFonts w:ascii="Wingdings" w:hAnsi="Wingdings" w:hint="default"/>
      </w:rPr>
    </w:lvl>
    <w:lvl w:ilvl="3" w:tplc="E0829E38" w:tentative="1">
      <w:start w:val="1"/>
      <w:numFmt w:val="bullet"/>
      <w:lvlText w:val=""/>
      <w:lvlJc w:val="left"/>
      <w:pPr>
        <w:ind w:left="2940" w:hanging="360"/>
      </w:pPr>
      <w:rPr>
        <w:rFonts w:ascii="Symbol" w:hAnsi="Symbol" w:hint="default"/>
      </w:rPr>
    </w:lvl>
    <w:lvl w:ilvl="4" w:tplc="38E62B86" w:tentative="1">
      <w:start w:val="1"/>
      <w:numFmt w:val="bullet"/>
      <w:lvlText w:val="o"/>
      <w:lvlJc w:val="left"/>
      <w:pPr>
        <w:ind w:left="3660" w:hanging="360"/>
      </w:pPr>
      <w:rPr>
        <w:rFonts w:ascii="Courier New" w:hAnsi="Courier New" w:cs="Courier New" w:hint="default"/>
      </w:rPr>
    </w:lvl>
    <w:lvl w:ilvl="5" w:tplc="341A45DE" w:tentative="1">
      <w:start w:val="1"/>
      <w:numFmt w:val="bullet"/>
      <w:lvlText w:val=""/>
      <w:lvlJc w:val="left"/>
      <w:pPr>
        <w:ind w:left="4380" w:hanging="360"/>
      </w:pPr>
      <w:rPr>
        <w:rFonts w:ascii="Wingdings" w:hAnsi="Wingdings" w:hint="default"/>
      </w:rPr>
    </w:lvl>
    <w:lvl w:ilvl="6" w:tplc="BCA6D1F2" w:tentative="1">
      <w:start w:val="1"/>
      <w:numFmt w:val="bullet"/>
      <w:lvlText w:val=""/>
      <w:lvlJc w:val="left"/>
      <w:pPr>
        <w:ind w:left="5100" w:hanging="360"/>
      </w:pPr>
      <w:rPr>
        <w:rFonts w:ascii="Symbol" w:hAnsi="Symbol" w:hint="default"/>
      </w:rPr>
    </w:lvl>
    <w:lvl w:ilvl="7" w:tplc="A824154E" w:tentative="1">
      <w:start w:val="1"/>
      <w:numFmt w:val="bullet"/>
      <w:lvlText w:val="o"/>
      <w:lvlJc w:val="left"/>
      <w:pPr>
        <w:ind w:left="5820" w:hanging="360"/>
      </w:pPr>
      <w:rPr>
        <w:rFonts w:ascii="Courier New" w:hAnsi="Courier New" w:cs="Courier New" w:hint="default"/>
      </w:rPr>
    </w:lvl>
    <w:lvl w:ilvl="8" w:tplc="B930FEA8" w:tentative="1">
      <w:start w:val="1"/>
      <w:numFmt w:val="bullet"/>
      <w:lvlText w:val=""/>
      <w:lvlJc w:val="left"/>
      <w:pPr>
        <w:ind w:left="6540" w:hanging="360"/>
      </w:pPr>
      <w:rPr>
        <w:rFonts w:ascii="Wingdings" w:hAnsi="Wingdings" w:hint="default"/>
      </w:rPr>
    </w:lvl>
  </w:abstractNum>
  <w:abstractNum w:abstractNumId="3" w15:restartNumberingAfterBreak="0">
    <w:nsid w:val="0E075578"/>
    <w:multiLevelType w:val="hybridMultilevel"/>
    <w:tmpl w:val="47EED878"/>
    <w:lvl w:ilvl="0" w:tplc="BCA6B402">
      <w:start w:val="1"/>
      <w:numFmt w:val="decimal"/>
      <w:lvlText w:val="%1."/>
      <w:lvlJc w:val="left"/>
      <w:pPr>
        <w:ind w:left="780" w:hanging="360"/>
      </w:pPr>
      <w:rPr>
        <w:rFonts w:hint="default"/>
      </w:rPr>
    </w:lvl>
    <w:lvl w:ilvl="1" w:tplc="444A39B2">
      <w:start w:val="1"/>
      <w:numFmt w:val="bullet"/>
      <w:lvlText w:val=""/>
      <w:lvlJc w:val="left"/>
      <w:pPr>
        <w:ind w:left="1500" w:hanging="360"/>
      </w:pPr>
      <w:rPr>
        <w:rFonts w:ascii="Wingdings" w:hAnsi="Wingdings" w:hint="default"/>
      </w:rPr>
    </w:lvl>
    <w:lvl w:ilvl="2" w:tplc="EE748DCC" w:tentative="1">
      <w:start w:val="1"/>
      <w:numFmt w:val="bullet"/>
      <w:lvlText w:val=""/>
      <w:lvlJc w:val="left"/>
      <w:pPr>
        <w:ind w:left="2220" w:hanging="360"/>
      </w:pPr>
      <w:rPr>
        <w:rFonts w:ascii="Wingdings" w:hAnsi="Wingdings" w:hint="default"/>
      </w:rPr>
    </w:lvl>
    <w:lvl w:ilvl="3" w:tplc="38C8C32A" w:tentative="1">
      <w:start w:val="1"/>
      <w:numFmt w:val="bullet"/>
      <w:lvlText w:val=""/>
      <w:lvlJc w:val="left"/>
      <w:pPr>
        <w:ind w:left="2940" w:hanging="360"/>
      </w:pPr>
      <w:rPr>
        <w:rFonts w:ascii="Symbol" w:hAnsi="Symbol" w:hint="default"/>
      </w:rPr>
    </w:lvl>
    <w:lvl w:ilvl="4" w:tplc="CB5E7EB2" w:tentative="1">
      <w:start w:val="1"/>
      <w:numFmt w:val="bullet"/>
      <w:lvlText w:val="o"/>
      <w:lvlJc w:val="left"/>
      <w:pPr>
        <w:ind w:left="3660" w:hanging="360"/>
      </w:pPr>
      <w:rPr>
        <w:rFonts w:ascii="Courier New" w:hAnsi="Courier New" w:cs="Courier New" w:hint="default"/>
      </w:rPr>
    </w:lvl>
    <w:lvl w:ilvl="5" w:tplc="D9C4BEE6" w:tentative="1">
      <w:start w:val="1"/>
      <w:numFmt w:val="bullet"/>
      <w:lvlText w:val=""/>
      <w:lvlJc w:val="left"/>
      <w:pPr>
        <w:ind w:left="4380" w:hanging="360"/>
      </w:pPr>
      <w:rPr>
        <w:rFonts w:ascii="Wingdings" w:hAnsi="Wingdings" w:hint="default"/>
      </w:rPr>
    </w:lvl>
    <w:lvl w:ilvl="6" w:tplc="01B24BA8" w:tentative="1">
      <w:start w:val="1"/>
      <w:numFmt w:val="bullet"/>
      <w:lvlText w:val=""/>
      <w:lvlJc w:val="left"/>
      <w:pPr>
        <w:ind w:left="5100" w:hanging="360"/>
      </w:pPr>
      <w:rPr>
        <w:rFonts w:ascii="Symbol" w:hAnsi="Symbol" w:hint="default"/>
      </w:rPr>
    </w:lvl>
    <w:lvl w:ilvl="7" w:tplc="E57EA95A" w:tentative="1">
      <w:start w:val="1"/>
      <w:numFmt w:val="bullet"/>
      <w:lvlText w:val="o"/>
      <w:lvlJc w:val="left"/>
      <w:pPr>
        <w:ind w:left="5820" w:hanging="360"/>
      </w:pPr>
      <w:rPr>
        <w:rFonts w:ascii="Courier New" w:hAnsi="Courier New" w:cs="Courier New" w:hint="default"/>
      </w:rPr>
    </w:lvl>
    <w:lvl w:ilvl="8" w:tplc="744C2960" w:tentative="1">
      <w:start w:val="1"/>
      <w:numFmt w:val="bullet"/>
      <w:lvlText w:val=""/>
      <w:lvlJc w:val="left"/>
      <w:pPr>
        <w:ind w:left="6540" w:hanging="360"/>
      </w:pPr>
      <w:rPr>
        <w:rFonts w:ascii="Wingdings" w:hAnsi="Wingdings" w:hint="default"/>
      </w:rPr>
    </w:lvl>
  </w:abstractNum>
  <w:abstractNum w:abstractNumId="4" w15:restartNumberingAfterBreak="0">
    <w:nsid w:val="0F875BAC"/>
    <w:multiLevelType w:val="hybridMultilevel"/>
    <w:tmpl w:val="1A464B4C"/>
    <w:lvl w:ilvl="0" w:tplc="E1DA0314">
      <w:start w:val="1"/>
      <w:numFmt w:val="decimal"/>
      <w:lvlText w:val="%1."/>
      <w:lvlJc w:val="left"/>
      <w:pPr>
        <w:ind w:left="1287" w:hanging="360"/>
      </w:pPr>
    </w:lvl>
    <w:lvl w:ilvl="1" w:tplc="99BA038E">
      <w:start w:val="1"/>
      <w:numFmt w:val="decimal"/>
      <w:lvlText w:val="%2."/>
      <w:lvlJc w:val="left"/>
      <w:pPr>
        <w:ind w:left="2007" w:hanging="360"/>
      </w:pPr>
    </w:lvl>
    <w:lvl w:ilvl="2" w:tplc="AC4A43F4" w:tentative="1">
      <w:start w:val="1"/>
      <w:numFmt w:val="lowerRoman"/>
      <w:lvlText w:val="%3."/>
      <w:lvlJc w:val="right"/>
      <w:pPr>
        <w:ind w:left="2727" w:hanging="180"/>
      </w:pPr>
    </w:lvl>
    <w:lvl w:ilvl="3" w:tplc="567E7CFC" w:tentative="1">
      <w:start w:val="1"/>
      <w:numFmt w:val="decimal"/>
      <w:lvlText w:val="%4."/>
      <w:lvlJc w:val="left"/>
      <w:pPr>
        <w:ind w:left="3447" w:hanging="360"/>
      </w:pPr>
    </w:lvl>
    <w:lvl w:ilvl="4" w:tplc="33EAEA10" w:tentative="1">
      <w:start w:val="1"/>
      <w:numFmt w:val="lowerLetter"/>
      <w:lvlText w:val="%5."/>
      <w:lvlJc w:val="left"/>
      <w:pPr>
        <w:ind w:left="4167" w:hanging="360"/>
      </w:pPr>
    </w:lvl>
    <w:lvl w:ilvl="5" w:tplc="2EE2F96A" w:tentative="1">
      <w:start w:val="1"/>
      <w:numFmt w:val="lowerRoman"/>
      <w:lvlText w:val="%6."/>
      <w:lvlJc w:val="right"/>
      <w:pPr>
        <w:ind w:left="4887" w:hanging="180"/>
      </w:pPr>
    </w:lvl>
    <w:lvl w:ilvl="6" w:tplc="D8F0038A" w:tentative="1">
      <w:start w:val="1"/>
      <w:numFmt w:val="decimal"/>
      <w:lvlText w:val="%7."/>
      <w:lvlJc w:val="left"/>
      <w:pPr>
        <w:ind w:left="5607" w:hanging="360"/>
      </w:pPr>
    </w:lvl>
    <w:lvl w:ilvl="7" w:tplc="2712247C" w:tentative="1">
      <w:start w:val="1"/>
      <w:numFmt w:val="lowerLetter"/>
      <w:lvlText w:val="%8."/>
      <w:lvlJc w:val="left"/>
      <w:pPr>
        <w:ind w:left="6327" w:hanging="360"/>
      </w:pPr>
    </w:lvl>
    <w:lvl w:ilvl="8" w:tplc="EC82CF9E" w:tentative="1">
      <w:start w:val="1"/>
      <w:numFmt w:val="lowerRoman"/>
      <w:lvlText w:val="%9."/>
      <w:lvlJc w:val="right"/>
      <w:pPr>
        <w:ind w:left="7047" w:hanging="180"/>
      </w:pPr>
    </w:lvl>
  </w:abstractNum>
  <w:abstractNum w:abstractNumId="5" w15:restartNumberingAfterBreak="0">
    <w:nsid w:val="1716499D"/>
    <w:multiLevelType w:val="hybridMultilevel"/>
    <w:tmpl w:val="4AA65450"/>
    <w:lvl w:ilvl="0" w:tplc="41B66232">
      <w:start w:val="1"/>
      <w:numFmt w:val="decimal"/>
      <w:lvlText w:val="%1."/>
      <w:lvlJc w:val="left"/>
      <w:pPr>
        <w:ind w:left="720" w:hanging="360"/>
      </w:pPr>
      <w:rPr>
        <w:rFonts w:hint="default"/>
      </w:rPr>
    </w:lvl>
    <w:lvl w:ilvl="1" w:tplc="8E528142" w:tentative="1">
      <w:start w:val="1"/>
      <w:numFmt w:val="lowerLetter"/>
      <w:lvlText w:val="%2."/>
      <w:lvlJc w:val="left"/>
      <w:pPr>
        <w:ind w:left="1440" w:hanging="360"/>
      </w:pPr>
    </w:lvl>
    <w:lvl w:ilvl="2" w:tplc="4E4C2CDE" w:tentative="1">
      <w:start w:val="1"/>
      <w:numFmt w:val="lowerRoman"/>
      <w:lvlText w:val="%3."/>
      <w:lvlJc w:val="right"/>
      <w:pPr>
        <w:ind w:left="2160" w:hanging="180"/>
      </w:pPr>
    </w:lvl>
    <w:lvl w:ilvl="3" w:tplc="91A036BE" w:tentative="1">
      <w:start w:val="1"/>
      <w:numFmt w:val="decimal"/>
      <w:lvlText w:val="%4."/>
      <w:lvlJc w:val="left"/>
      <w:pPr>
        <w:ind w:left="2880" w:hanging="360"/>
      </w:pPr>
    </w:lvl>
    <w:lvl w:ilvl="4" w:tplc="9DB00650" w:tentative="1">
      <w:start w:val="1"/>
      <w:numFmt w:val="lowerLetter"/>
      <w:lvlText w:val="%5."/>
      <w:lvlJc w:val="left"/>
      <w:pPr>
        <w:ind w:left="3600" w:hanging="360"/>
      </w:pPr>
    </w:lvl>
    <w:lvl w:ilvl="5" w:tplc="83C211A4" w:tentative="1">
      <w:start w:val="1"/>
      <w:numFmt w:val="lowerRoman"/>
      <w:lvlText w:val="%6."/>
      <w:lvlJc w:val="right"/>
      <w:pPr>
        <w:ind w:left="4320" w:hanging="180"/>
      </w:pPr>
    </w:lvl>
    <w:lvl w:ilvl="6" w:tplc="02863EF4" w:tentative="1">
      <w:start w:val="1"/>
      <w:numFmt w:val="decimal"/>
      <w:lvlText w:val="%7."/>
      <w:lvlJc w:val="left"/>
      <w:pPr>
        <w:ind w:left="5040" w:hanging="360"/>
      </w:pPr>
    </w:lvl>
    <w:lvl w:ilvl="7" w:tplc="6EE81388" w:tentative="1">
      <w:start w:val="1"/>
      <w:numFmt w:val="lowerLetter"/>
      <w:lvlText w:val="%8."/>
      <w:lvlJc w:val="left"/>
      <w:pPr>
        <w:ind w:left="5760" w:hanging="360"/>
      </w:pPr>
    </w:lvl>
    <w:lvl w:ilvl="8" w:tplc="ABBCBD38" w:tentative="1">
      <w:start w:val="1"/>
      <w:numFmt w:val="lowerRoman"/>
      <w:lvlText w:val="%9."/>
      <w:lvlJc w:val="right"/>
      <w:pPr>
        <w:ind w:left="6480" w:hanging="180"/>
      </w:pPr>
    </w:lvl>
  </w:abstractNum>
  <w:abstractNum w:abstractNumId="6" w15:restartNumberingAfterBreak="0">
    <w:nsid w:val="17D45173"/>
    <w:multiLevelType w:val="hybridMultilevel"/>
    <w:tmpl w:val="0804DD56"/>
    <w:lvl w:ilvl="0" w:tplc="AEFC9E20">
      <w:start w:val="1"/>
      <w:numFmt w:val="decimal"/>
      <w:lvlText w:val="%1)"/>
      <w:lvlJc w:val="left"/>
      <w:pPr>
        <w:ind w:left="360" w:hanging="360"/>
      </w:pPr>
    </w:lvl>
    <w:lvl w:ilvl="1" w:tplc="B4023AFC">
      <w:start w:val="1"/>
      <w:numFmt w:val="bullet"/>
      <w:lvlText w:val=""/>
      <w:lvlJc w:val="left"/>
      <w:pPr>
        <w:ind w:left="1440" w:hanging="360"/>
      </w:pPr>
      <w:rPr>
        <w:rFonts w:ascii="Symbol" w:hAnsi="Symbol" w:hint="default"/>
      </w:rPr>
    </w:lvl>
    <w:lvl w:ilvl="2" w:tplc="69BAA050" w:tentative="1">
      <w:start w:val="1"/>
      <w:numFmt w:val="lowerRoman"/>
      <w:lvlText w:val="%3."/>
      <w:lvlJc w:val="right"/>
      <w:pPr>
        <w:ind w:left="2160" w:hanging="180"/>
      </w:pPr>
    </w:lvl>
    <w:lvl w:ilvl="3" w:tplc="8DE8872E" w:tentative="1">
      <w:start w:val="1"/>
      <w:numFmt w:val="decimal"/>
      <w:lvlText w:val="%4."/>
      <w:lvlJc w:val="left"/>
      <w:pPr>
        <w:ind w:left="2880" w:hanging="360"/>
      </w:pPr>
    </w:lvl>
    <w:lvl w:ilvl="4" w:tplc="536024A2" w:tentative="1">
      <w:start w:val="1"/>
      <w:numFmt w:val="lowerLetter"/>
      <w:lvlText w:val="%5."/>
      <w:lvlJc w:val="left"/>
      <w:pPr>
        <w:ind w:left="3600" w:hanging="360"/>
      </w:pPr>
    </w:lvl>
    <w:lvl w:ilvl="5" w:tplc="C818CEF0" w:tentative="1">
      <w:start w:val="1"/>
      <w:numFmt w:val="lowerRoman"/>
      <w:lvlText w:val="%6."/>
      <w:lvlJc w:val="right"/>
      <w:pPr>
        <w:ind w:left="4320" w:hanging="180"/>
      </w:pPr>
    </w:lvl>
    <w:lvl w:ilvl="6" w:tplc="8436B1D4" w:tentative="1">
      <w:start w:val="1"/>
      <w:numFmt w:val="decimal"/>
      <w:lvlText w:val="%7."/>
      <w:lvlJc w:val="left"/>
      <w:pPr>
        <w:ind w:left="5040" w:hanging="360"/>
      </w:pPr>
    </w:lvl>
    <w:lvl w:ilvl="7" w:tplc="C22ED4CE" w:tentative="1">
      <w:start w:val="1"/>
      <w:numFmt w:val="lowerLetter"/>
      <w:lvlText w:val="%8."/>
      <w:lvlJc w:val="left"/>
      <w:pPr>
        <w:ind w:left="5760" w:hanging="360"/>
      </w:pPr>
    </w:lvl>
    <w:lvl w:ilvl="8" w:tplc="59F230A8" w:tentative="1">
      <w:start w:val="1"/>
      <w:numFmt w:val="lowerRoman"/>
      <w:lvlText w:val="%9."/>
      <w:lvlJc w:val="right"/>
      <w:pPr>
        <w:ind w:left="6480" w:hanging="180"/>
      </w:pPr>
    </w:lvl>
  </w:abstractNum>
  <w:abstractNum w:abstractNumId="7" w15:restartNumberingAfterBreak="0">
    <w:nsid w:val="186D5187"/>
    <w:multiLevelType w:val="hybridMultilevel"/>
    <w:tmpl w:val="EC16B36E"/>
    <w:lvl w:ilvl="0" w:tplc="76CE1E8E">
      <w:start w:val="1"/>
      <w:numFmt w:val="bullet"/>
      <w:lvlText w:val=""/>
      <w:lvlJc w:val="left"/>
      <w:pPr>
        <w:ind w:left="720" w:hanging="360"/>
      </w:pPr>
      <w:rPr>
        <w:rFonts w:ascii="Wingdings" w:hAnsi="Wingdings" w:hint="default"/>
      </w:rPr>
    </w:lvl>
    <w:lvl w:ilvl="1" w:tplc="87809BBC" w:tentative="1">
      <w:start w:val="1"/>
      <w:numFmt w:val="bullet"/>
      <w:lvlText w:val="o"/>
      <w:lvlJc w:val="left"/>
      <w:pPr>
        <w:ind w:left="1440" w:hanging="360"/>
      </w:pPr>
      <w:rPr>
        <w:rFonts w:ascii="Courier New" w:hAnsi="Courier New" w:cs="Courier New" w:hint="default"/>
      </w:rPr>
    </w:lvl>
    <w:lvl w:ilvl="2" w:tplc="13C862A2" w:tentative="1">
      <w:start w:val="1"/>
      <w:numFmt w:val="bullet"/>
      <w:lvlText w:val=""/>
      <w:lvlJc w:val="left"/>
      <w:pPr>
        <w:ind w:left="2160" w:hanging="360"/>
      </w:pPr>
      <w:rPr>
        <w:rFonts w:ascii="Wingdings" w:hAnsi="Wingdings" w:hint="default"/>
      </w:rPr>
    </w:lvl>
    <w:lvl w:ilvl="3" w:tplc="5448CC50" w:tentative="1">
      <w:start w:val="1"/>
      <w:numFmt w:val="bullet"/>
      <w:lvlText w:val=""/>
      <w:lvlJc w:val="left"/>
      <w:pPr>
        <w:ind w:left="2880" w:hanging="360"/>
      </w:pPr>
      <w:rPr>
        <w:rFonts w:ascii="Symbol" w:hAnsi="Symbol" w:hint="default"/>
      </w:rPr>
    </w:lvl>
    <w:lvl w:ilvl="4" w:tplc="9FFE64A4" w:tentative="1">
      <w:start w:val="1"/>
      <w:numFmt w:val="bullet"/>
      <w:lvlText w:val="o"/>
      <w:lvlJc w:val="left"/>
      <w:pPr>
        <w:ind w:left="3600" w:hanging="360"/>
      </w:pPr>
      <w:rPr>
        <w:rFonts w:ascii="Courier New" w:hAnsi="Courier New" w:cs="Courier New" w:hint="default"/>
      </w:rPr>
    </w:lvl>
    <w:lvl w:ilvl="5" w:tplc="806C4A28" w:tentative="1">
      <w:start w:val="1"/>
      <w:numFmt w:val="bullet"/>
      <w:lvlText w:val=""/>
      <w:lvlJc w:val="left"/>
      <w:pPr>
        <w:ind w:left="4320" w:hanging="360"/>
      </w:pPr>
      <w:rPr>
        <w:rFonts w:ascii="Wingdings" w:hAnsi="Wingdings" w:hint="default"/>
      </w:rPr>
    </w:lvl>
    <w:lvl w:ilvl="6" w:tplc="6C2C2E12" w:tentative="1">
      <w:start w:val="1"/>
      <w:numFmt w:val="bullet"/>
      <w:lvlText w:val=""/>
      <w:lvlJc w:val="left"/>
      <w:pPr>
        <w:ind w:left="5040" w:hanging="360"/>
      </w:pPr>
      <w:rPr>
        <w:rFonts w:ascii="Symbol" w:hAnsi="Symbol" w:hint="default"/>
      </w:rPr>
    </w:lvl>
    <w:lvl w:ilvl="7" w:tplc="B240AFE8" w:tentative="1">
      <w:start w:val="1"/>
      <w:numFmt w:val="bullet"/>
      <w:lvlText w:val="o"/>
      <w:lvlJc w:val="left"/>
      <w:pPr>
        <w:ind w:left="5760" w:hanging="360"/>
      </w:pPr>
      <w:rPr>
        <w:rFonts w:ascii="Courier New" w:hAnsi="Courier New" w:cs="Courier New" w:hint="default"/>
      </w:rPr>
    </w:lvl>
    <w:lvl w:ilvl="8" w:tplc="EAC4F9A6" w:tentative="1">
      <w:start w:val="1"/>
      <w:numFmt w:val="bullet"/>
      <w:lvlText w:val=""/>
      <w:lvlJc w:val="left"/>
      <w:pPr>
        <w:ind w:left="6480" w:hanging="360"/>
      </w:pPr>
      <w:rPr>
        <w:rFonts w:ascii="Wingdings" w:hAnsi="Wingdings" w:hint="default"/>
      </w:rPr>
    </w:lvl>
  </w:abstractNum>
  <w:abstractNum w:abstractNumId="8" w15:restartNumberingAfterBreak="0">
    <w:nsid w:val="1F6F1973"/>
    <w:multiLevelType w:val="hybridMultilevel"/>
    <w:tmpl w:val="4F922664"/>
    <w:lvl w:ilvl="0" w:tplc="0405000F">
      <w:start w:val="1"/>
      <w:numFmt w:val="decimal"/>
      <w:lvlText w:val="%1."/>
      <w:lvlJc w:val="left"/>
      <w:pPr>
        <w:ind w:left="720" w:hanging="360"/>
      </w:pPr>
      <w:rPr>
        <w:rFonts w:hint="default"/>
      </w:rPr>
    </w:lvl>
    <w:lvl w:ilvl="1" w:tplc="3CDC535E" w:tentative="1">
      <w:start w:val="1"/>
      <w:numFmt w:val="lowerLetter"/>
      <w:lvlText w:val="%2."/>
      <w:lvlJc w:val="left"/>
      <w:pPr>
        <w:ind w:left="1440" w:hanging="360"/>
      </w:pPr>
    </w:lvl>
    <w:lvl w:ilvl="2" w:tplc="8E48EE44" w:tentative="1">
      <w:start w:val="1"/>
      <w:numFmt w:val="lowerRoman"/>
      <w:lvlText w:val="%3."/>
      <w:lvlJc w:val="right"/>
      <w:pPr>
        <w:ind w:left="2160" w:hanging="180"/>
      </w:pPr>
    </w:lvl>
    <w:lvl w:ilvl="3" w:tplc="4B36E63C" w:tentative="1">
      <w:start w:val="1"/>
      <w:numFmt w:val="decimal"/>
      <w:lvlText w:val="%4."/>
      <w:lvlJc w:val="left"/>
      <w:pPr>
        <w:ind w:left="2880" w:hanging="360"/>
      </w:pPr>
    </w:lvl>
    <w:lvl w:ilvl="4" w:tplc="2834CABE" w:tentative="1">
      <w:start w:val="1"/>
      <w:numFmt w:val="lowerLetter"/>
      <w:lvlText w:val="%5."/>
      <w:lvlJc w:val="left"/>
      <w:pPr>
        <w:ind w:left="3600" w:hanging="360"/>
      </w:pPr>
    </w:lvl>
    <w:lvl w:ilvl="5" w:tplc="5262E2F6" w:tentative="1">
      <w:start w:val="1"/>
      <w:numFmt w:val="lowerRoman"/>
      <w:lvlText w:val="%6."/>
      <w:lvlJc w:val="right"/>
      <w:pPr>
        <w:ind w:left="4320" w:hanging="180"/>
      </w:pPr>
    </w:lvl>
    <w:lvl w:ilvl="6" w:tplc="94B6A2CC" w:tentative="1">
      <w:start w:val="1"/>
      <w:numFmt w:val="decimal"/>
      <w:lvlText w:val="%7."/>
      <w:lvlJc w:val="left"/>
      <w:pPr>
        <w:ind w:left="5040" w:hanging="360"/>
      </w:pPr>
    </w:lvl>
    <w:lvl w:ilvl="7" w:tplc="0180039A" w:tentative="1">
      <w:start w:val="1"/>
      <w:numFmt w:val="lowerLetter"/>
      <w:lvlText w:val="%8."/>
      <w:lvlJc w:val="left"/>
      <w:pPr>
        <w:ind w:left="5760" w:hanging="360"/>
      </w:pPr>
    </w:lvl>
    <w:lvl w:ilvl="8" w:tplc="9D8443FA" w:tentative="1">
      <w:start w:val="1"/>
      <w:numFmt w:val="lowerRoman"/>
      <w:lvlText w:val="%9."/>
      <w:lvlJc w:val="right"/>
      <w:pPr>
        <w:ind w:left="6480" w:hanging="180"/>
      </w:pPr>
    </w:lvl>
  </w:abstractNum>
  <w:abstractNum w:abstractNumId="9" w15:restartNumberingAfterBreak="0">
    <w:nsid w:val="204B1F1B"/>
    <w:multiLevelType w:val="hybridMultilevel"/>
    <w:tmpl w:val="1FB6037C"/>
    <w:lvl w:ilvl="0" w:tplc="C808858C">
      <w:start w:val="1"/>
      <w:numFmt w:val="decimal"/>
      <w:lvlText w:val="%1."/>
      <w:lvlJc w:val="left"/>
      <w:pPr>
        <w:ind w:left="720" w:hanging="360"/>
      </w:pPr>
    </w:lvl>
    <w:lvl w:ilvl="1" w:tplc="E0E8B4E4">
      <w:start w:val="1"/>
      <w:numFmt w:val="decimal"/>
      <w:lvlText w:val="%2."/>
      <w:lvlJc w:val="left"/>
      <w:pPr>
        <w:ind w:left="1440" w:hanging="360"/>
      </w:pPr>
    </w:lvl>
    <w:lvl w:ilvl="2" w:tplc="15EC48D6" w:tentative="1">
      <w:start w:val="1"/>
      <w:numFmt w:val="lowerRoman"/>
      <w:lvlText w:val="%3."/>
      <w:lvlJc w:val="right"/>
      <w:pPr>
        <w:ind w:left="2160" w:hanging="180"/>
      </w:pPr>
    </w:lvl>
    <w:lvl w:ilvl="3" w:tplc="AADEA53C" w:tentative="1">
      <w:start w:val="1"/>
      <w:numFmt w:val="decimal"/>
      <w:lvlText w:val="%4."/>
      <w:lvlJc w:val="left"/>
      <w:pPr>
        <w:ind w:left="2880" w:hanging="360"/>
      </w:pPr>
    </w:lvl>
    <w:lvl w:ilvl="4" w:tplc="7AA6963C" w:tentative="1">
      <w:start w:val="1"/>
      <w:numFmt w:val="lowerLetter"/>
      <w:lvlText w:val="%5."/>
      <w:lvlJc w:val="left"/>
      <w:pPr>
        <w:ind w:left="3600" w:hanging="360"/>
      </w:pPr>
    </w:lvl>
    <w:lvl w:ilvl="5" w:tplc="295E4D02" w:tentative="1">
      <w:start w:val="1"/>
      <w:numFmt w:val="lowerRoman"/>
      <w:lvlText w:val="%6."/>
      <w:lvlJc w:val="right"/>
      <w:pPr>
        <w:ind w:left="4320" w:hanging="180"/>
      </w:pPr>
    </w:lvl>
    <w:lvl w:ilvl="6" w:tplc="9438CFCE" w:tentative="1">
      <w:start w:val="1"/>
      <w:numFmt w:val="decimal"/>
      <w:lvlText w:val="%7."/>
      <w:lvlJc w:val="left"/>
      <w:pPr>
        <w:ind w:left="5040" w:hanging="360"/>
      </w:pPr>
    </w:lvl>
    <w:lvl w:ilvl="7" w:tplc="BB6A76B2" w:tentative="1">
      <w:start w:val="1"/>
      <w:numFmt w:val="lowerLetter"/>
      <w:lvlText w:val="%8."/>
      <w:lvlJc w:val="left"/>
      <w:pPr>
        <w:ind w:left="5760" w:hanging="360"/>
      </w:pPr>
    </w:lvl>
    <w:lvl w:ilvl="8" w:tplc="07E40F40" w:tentative="1">
      <w:start w:val="1"/>
      <w:numFmt w:val="lowerRoman"/>
      <w:lvlText w:val="%9."/>
      <w:lvlJc w:val="right"/>
      <w:pPr>
        <w:ind w:left="6480" w:hanging="180"/>
      </w:pPr>
    </w:lvl>
  </w:abstractNum>
  <w:abstractNum w:abstractNumId="10" w15:restartNumberingAfterBreak="0">
    <w:nsid w:val="22E96C0D"/>
    <w:multiLevelType w:val="hybridMultilevel"/>
    <w:tmpl w:val="0E8ECEF2"/>
    <w:lvl w:ilvl="0" w:tplc="283E2182">
      <w:start w:val="1"/>
      <w:numFmt w:val="bullet"/>
      <w:lvlText w:val=""/>
      <w:lvlJc w:val="left"/>
      <w:pPr>
        <w:ind w:left="720" w:hanging="360"/>
      </w:pPr>
      <w:rPr>
        <w:rFonts w:ascii="Symbol" w:hAnsi="Symbol" w:hint="default"/>
      </w:rPr>
    </w:lvl>
    <w:lvl w:ilvl="1" w:tplc="FA9E1398" w:tentative="1">
      <w:start w:val="1"/>
      <w:numFmt w:val="bullet"/>
      <w:lvlText w:val="o"/>
      <w:lvlJc w:val="left"/>
      <w:pPr>
        <w:ind w:left="1440" w:hanging="360"/>
      </w:pPr>
      <w:rPr>
        <w:rFonts w:ascii="Courier New" w:hAnsi="Courier New" w:cs="Courier New" w:hint="default"/>
      </w:rPr>
    </w:lvl>
    <w:lvl w:ilvl="2" w:tplc="2982C00C" w:tentative="1">
      <w:start w:val="1"/>
      <w:numFmt w:val="bullet"/>
      <w:lvlText w:val=""/>
      <w:lvlJc w:val="left"/>
      <w:pPr>
        <w:ind w:left="2160" w:hanging="360"/>
      </w:pPr>
      <w:rPr>
        <w:rFonts w:ascii="Wingdings" w:hAnsi="Wingdings" w:hint="default"/>
      </w:rPr>
    </w:lvl>
    <w:lvl w:ilvl="3" w:tplc="FCBEB6C4" w:tentative="1">
      <w:start w:val="1"/>
      <w:numFmt w:val="bullet"/>
      <w:lvlText w:val=""/>
      <w:lvlJc w:val="left"/>
      <w:pPr>
        <w:ind w:left="2880" w:hanging="360"/>
      </w:pPr>
      <w:rPr>
        <w:rFonts w:ascii="Symbol" w:hAnsi="Symbol" w:hint="default"/>
      </w:rPr>
    </w:lvl>
    <w:lvl w:ilvl="4" w:tplc="0C046FDA" w:tentative="1">
      <w:start w:val="1"/>
      <w:numFmt w:val="bullet"/>
      <w:lvlText w:val="o"/>
      <w:lvlJc w:val="left"/>
      <w:pPr>
        <w:ind w:left="3600" w:hanging="360"/>
      </w:pPr>
      <w:rPr>
        <w:rFonts w:ascii="Courier New" w:hAnsi="Courier New" w:cs="Courier New" w:hint="default"/>
      </w:rPr>
    </w:lvl>
    <w:lvl w:ilvl="5" w:tplc="9FAACCBA" w:tentative="1">
      <w:start w:val="1"/>
      <w:numFmt w:val="bullet"/>
      <w:lvlText w:val=""/>
      <w:lvlJc w:val="left"/>
      <w:pPr>
        <w:ind w:left="4320" w:hanging="360"/>
      </w:pPr>
      <w:rPr>
        <w:rFonts w:ascii="Wingdings" w:hAnsi="Wingdings" w:hint="default"/>
      </w:rPr>
    </w:lvl>
    <w:lvl w:ilvl="6" w:tplc="7D6E7402" w:tentative="1">
      <w:start w:val="1"/>
      <w:numFmt w:val="bullet"/>
      <w:lvlText w:val=""/>
      <w:lvlJc w:val="left"/>
      <w:pPr>
        <w:ind w:left="5040" w:hanging="360"/>
      </w:pPr>
      <w:rPr>
        <w:rFonts w:ascii="Symbol" w:hAnsi="Symbol" w:hint="default"/>
      </w:rPr>
    </w:lvl>
    <w:lvl w:ilvl="7" w:tplc="FDECE23E" w:tentative="1">
      <w:start w:val="1"/>
      <w:numFmt w:val="bullet"/>
      <w:lvlText w:val="o"/>
      <w:lvlJc w:val="left"/>
      <w:pPr>
        <w:ind w:left="5760" w:hanging="360"/>
      </w:pPr>
      <w:rPr>
        <w:rFonts w:ascii="Courier New" w:hAnsi="Courier New" w:cs="Courier New" w:hint="default"/>
      </w:rPr>
    </w:lvl>
    <w:lvl w:ilvl="8" w:tplc="F5984CBE" w:tentative="1">
      <w:start w:val="1"/>
      <w:numFmt w:val="bullet"/>
      <w:lvlText w:val=""/>
      <w:lvlJc w:val="left"/>
      <w:pPr>
        <w:ind w:left="6480" w:hanging="360"/>
      </w:pPr>
      <w:rPr>
        <w:rFonts w:ascii="Wingdings" w:hAnsi="Wingdings" w:hint="default"/>
      </w:rPr>
    </w:lvl>
  </w:abstractNum>
  <w:abstractNum w:abstractNumId="11" w15:restartNumberingAfterBreak="0">
    <w:nsid w:val="283404ED"/>
    <w:multiLevelType w:val="hybridMultilevel"/>
    <w:tmpl w:val="43F0CC5E"/>
    <w:lvl w:ilvl="0" w:tplc="6F323F2A">
      <w:start w:val="1"/>
      <w:numFmt w:val="bullet"/>
      <w:lvlText w:val=""/>
      <w:lvlJc w:val="left"/>
      <w:pPr>
        <w:ind w:left="720" w:hanging="360"/>
      </w:pPr>
      <w:rPr>
        <w:rFonts w:ascii="Symbol" w:hAnsi="Symbol" w:hint="default"/>
      </w:rPr>
    </w:lvl>
    <w:lvl w:ilvl="1" w:tplc="93107170" w:tentative="1">
      <w:start w:val="1"/>
      <w:numFmt w:val="bullet"/>
      <w:lvlText w:val="o"/>
      <w:lvlJc w:val="left"/>
      <w:pPr>
        <w:ind w:left="1440" w:hanging="360"/>
      </w:pPr>
      <w:rPr>
        <w:rFonts w:ascii="Courier New" w:hAnsi="Courier New" w:cs="Courier New" w:hint="default"/>
      </w:rPr>
    </w:lvl>
    <w:lvl w:ilvl="2" w:tplc="3BDA9D14" w:tentative="1">
      <w:start w:val="1"/>
      <w:numFmt w:val="bullet"/>
      <w:lvlText w:val=""/>
      <w:lvlJc w:val="left"/>
      <w:pPr>
        <w:ind w:left="2160" w:hanging="360"/>
      </w:pPr>
      <w:rPr>
        <w:rFonts w:ascii="Wingdings" w:hAnsi="Wingdings" w:hint="default"/>
      </w:rPr>
    </w:lvl>
    <w:lvl w:ilvl="3" w:tplc="7CB0EF0C" w:tentative="1">
      <w:start w:val="1"/>
      <w:numFmt w:val="bullet"/>
      <w:lvlText w:val=""/>
      <w:lvlJc w:val="left"/>
      <w:pPr>
        <w:ind w:left="2880" w:hanging="360"/>
      </w:pPr>
      <w:rPr>
        <w:rFonts w:ascii="Symbol" w:hAnsi="Symbol" w:hint="default"/>
      </w:rPr>
    </w:lvl>
    <w:lvl w:ilvl="4" w:tplc="516AEA60" w:tentative="1">
      <w:start w:val="1"/>
      <w:numFmt w:val="bullet"/>
      <w:lvlText w:val="o"/>
      <w:lvlJc w:val="left"/>
      <w:pPr>
        <w:ind w:left="3600" w:hanging="360"/>
      </w:pPr>
      <w:rPr>
        <w:rFonts w:ascii="Courier New" w:hAnsi="Courier New" w:cs="Courier New" w:hint="default"/>
      </w:rPr>
    </w:lvl>
    <w:lvl w:ilvl="5" w:tplc="0A92DCCC" w:tentative="1">
      <w:start w:val="1"/>
      <w:numFmt w:val="bullet"/>
      <w:lvlText w:val=""/>
      <w:lvlJc w:val="left"/>
      <w:pPr>
        <w:ind w:left="4320" w:hanging="360"/>
      </w:pPr>
      <w:rPr>
        <w:rFonts w:ascii="Wingdings" w:hAnsi="Wingdings" w:hint="default"/>
      </w:rPr>
    </w:lvl>
    <w:lvl w:ilvl="6" w:tplc="2C8C507E" w:tentative="1">
      <w:start w:val="1"/>
      <w:numFmt w:val="bullet"/>
      <w:lvlText w:val=""/>
      <w:lvlJc w:val="left"/>
      <w:pPr>
        <w:ind w:left="5040" w:hanging="360"/>
      </w:pPr>
      <w:rPr>
        <w:rFonts w:ascii="Symbol" w:hAnsi="Symbol" w:hint="default"/>
      </w:rPr>
    </w:lvl>
    <w:lvl w:ilvl="7" w:tplc="6F78B884" w:tentative="1">
      <w:start w:val="1"/>
      <w:numFmt w:val="bullet"/>
      <w:lvlText w:val="o"/>
      <w:lvlJc w:val="left"/>
      <w:pPr>
        <w:ind w:left="5760" w:hanging="360"/>
      </w:pPr>
      <w:rPr>
        <w:rFonts w:ascii="Courier New" w:hAnsi="Courier New" w:cs="Courier New" w:hint="default"/>
      </w:rPr>
    </w:lvl>
    <w:lvl w:ilvl="8" w:tplc="4D0AE14E" w:tentative="1">
      <w:start w:val="1"/>
      <w:numFmt w:val="bullet"/>
      <w:lvlText w:val=""/>
      <w:lvlJc w:val="left"/>
      <w:pPr>
        <w:ind w:left="6480" w:hanging="360"/>
      </w:pPr>
      <w:rPr>
        <w:rFonts w:ascii="Wingdings" w:hAnsi="Wingdings" w:hint="default"/>
      </w:rPr>
    </w:lvl>
  </w:abstractNum>
  <w:abstractNum w:abstractNumId="12" w15:restartNumberingAfterBreak="0">
    <w:nsid w:val="29987366"/>
    <w:multiLevelType w:val="hybridMultilevel"/>
    <w:tmpl w:val="AE22DFCE"/>
    <w:lvl w:ilvl="0" w:tplc="B64AD2C6">
      <w:start w:val="1"/>
      <w:numFmt w:val="bullet"/>
      <w:lvlText w:val=""/>
      <w:lvlJc w:val="left"/>
      <w:pPr>
        <w:ind w:left="360" w:hanging="360"/>
      </w:pPr>
      <w:rPr>
        <w:rFonts w:ascii="Wingdings" w:hAnsi="Wingdings" w:hint="default"/>
      </w:rPr>
    </w:lvl>
    <w:lvl w:ilvl="1" w:tplc="7F461B00">
      <w:start w:val="1"/>
      <w:numFmt w:val="bullet"/>
      <w:lvlText w:val="o"/>
      <w:lvlJc w:val="left"/>
      <w:pPr>
        <w:ind w:left="1080" w:hanging="360"/>
      </w:pPr>
      <w:rPr>
        <w:rFonts w:ascii="Courier New" w:hAnsi="Courier New" w:cs="Courier New" w:hint="default"/>
      </w:rPr>
    </w:lvl>
    <w:lvl w:ilvl="2" w:tplc="15CA3872">
      <w:start w:val="1"/>
      <w:numFmt w:val="bullet"/>
      <w:lvlText w:val=""/>
      <w:lvlJc w:val="left"/>
      <w:pPr>
        <w:ind w:left="1800" w:hanging="360"/>
      </w:pPr>
      <w:rPr>
        <w:rFonts w:ascii="Wingdings" w:hAnsi="Wingdings" w:hint="default"/>
      </w:rPr>
    </w:lvl>
    <w:lvl w:ilvl="3" w:tplc="D40ED458">
      <w:start w:val="1"/>
      <w:numFmt w:val="bullet"/>
      <w:lvlText w:val=""/>
      <w:lvlJc w:val="left"/>
      <w:pPr>
        <w:ind w:left="2520" w:hanging="360"/>
      </w:pPr>
      <w:rPr>
        <w:rFonts w:ascii="Symbol" w:hAnsi="Symbol" w:hint="default"/>
      </w:rPr>
    </w:lvl>
    <w:lvl w:ilvl="4" w:tplc="C7EC595A">
      <w:start w:val="1"/>
      <w:numFmt w:val="bullet"/>
      <w:lvlText w:val="o"/>
      <w:lvlJc w:val="left"/>
      <w:pPr>
        <w:ind w:left="3240" w:hanging="360"/>
      </w:pPr>
      <w:rPr>
        <w:rFonts w:ascii="Courier New" w:hAnsi="Courier New" w:cs="Courier New" w:hint="default"/>
      </w:rPr>
    </w:lvl>
    <w:lvl w:ilvl="5" w:tplc="22A6B94C">
      <w:start w:val="1"/>
      <w:numFmt w:val="bullet"/>
      <w:lvlText w:val=""/>
      <w:lvlJc w:val="left"/>
      <w:pPr>
        <w:ind w:left="3960" w:hanging="360"/>
      </w:pPr>
      <w:rPr>
        <w:rFonts w:ascii="Wingdings" w:hAnsi="Wingdings" w:hint="default"/>
      </w:rPr>
    </w:lvl>
    <w:lvl w:ilvl="6" w:tplc="36720F56">
      <w:start w:val="1"/>
      <w:numFmt w:val="bullet"/>
      <w:lvlText w:val=""/>
      <w:lvlJc w:val="left"/>
      <w:pPr>
        <w:ind w:left="4680" w:hanging="360"/>
      </w:pPr>
      <w:rPr>
        <w:rFonts w:ascii="Symbol" w:hAnsi="Symbol" w:hint="default"/>
      </w:rPr>
    </w:lvl>
    <w:lvl w:ilvl="7" w:tplc="A8D2FDA4">
      <w:start w:val="1"/>
      <w:numFmt w:val="bullet"/>
      <w:lvlText w:val="o"/>
      <w:lvlJc w:val="left"/>
      <w:pPr>
        <w:ind w:left="5400" w:hanging="360"/>
      </w:pPr>
      <w:rPr>
        <w:rFonts w:ascii="Courier New" w:hAnsi="Courier New" w:cs="Courier New" w:hint="default"/>
      </w:rPr>
    </w:lvl>
    <w:lvl w:ilvl="8" w:tplc="43101C28">
      <w:start w:val="1"/>
      <w:numFmt w:val="bullet"/>
      <w:lvlText w:val=""/>
      <w:lvlJc w:val="left"/>
      <w:pPr>
        <w:ind w:left="6120" w:hanging="360"/>
      </w:pPr>
      <w:rPr>
        <w:rFonts w:ascii="Wingdings" w:hAnsi="Wingdings" w:hint="default"/>
      </w:rPr>
    </w:lvl>
  </w:abstractNum>
  <w:abstractNum w:abstractNumId="13" w15:restartNumberingAfterBreak="0">
    <w:nsid w:val="2AA237A2"/>
    <w:multiLevelType w:val="hybridMultilevel"/>
    <w:tmpl w:val="FF6A4548"/>
    <w:lvl w:ilvl="0" w:tplc="E7C2949A">
      <w:start w:val="1"/>
      <w:numFmt w:val="bullet"/>
      <w:lvlText w:val=""/>
      <w:lvlJc w:val="left"/>
      <w:pPr>
        <w:ind w:left="720" w:hanging="360"/>
      </w:pPr>
      <w:rPr>
        <w:rFonts w:ascii="Symbol" w:hAnsi="Symbol" w:hint="default"/>
      </w:rPr>
    </w:lvl>
    <w:lvl w:ilvl="1" w:tplc="3F10C202" w:tentative="1">
      <w:start w:val="1"/>
      <w:numFmt w:val="bullet"/>
      <w:lvlText w:val="o"/>
      <w:lvlJc w:val="left"/>
      <w:pPr>
        <w:ind w:left="1440" w:hanging="360"/>
      </w:pPr>
      <w:rPr>
        <w:rFonts w:ascii="Courier New" w:hAnsi="Courier New" w:cs="Courier New" w:hint="default"/>
      </w:rPr>
    </w:lvl>
    <w:lvl w:ilvl="2" w:tplc="59908372" w:tentative="1">
      <w:start w:val="1"/>
      <w:numFmt w:val="bullet"/>
      <w:lvlText w:val=""/>
      <w:lvlJc w:val="left"/>
      <w:pPr>
        <w:ind w:left="2160" w:hanging="360"/>
      </w:pPr>
      <w:rPr>
        <w:rFonts w:ascii="Wingdings" w:hAnsi="Wingdings" w:hint="default"/>
      </w:rPr>
    </w:lvl>
    <w:lvl w:ilvl="3" w:tplc="0C9291A6" w:tentative="1">
      <w:start w:val="1"/>
      <w:numFmt w:val="bullet"/>
      <w:lvlText w:val=""/>
      <w:lvlJc w:val="left"/>
      <w:pPr>
        <w:ind w:left="2880" w:hanging="360"/>
      </w:pPr>
      <w:rPr>
        <w:rFonts w:ascii="Symbol" w:hAnsi="Symbol" w:hint="default"/>
      </w:rPr>
    </w:lvl>
    <w:lvl w:ilvl="4" w:tplc="2E549B3A" w:tentative="1">
      <w:start w:val="1"/>
      <w:numFmt w:val="bullet"/>
      <w:lvlText w:val="o"/>
      <w:lvlJc w:val="left"/>
      <w:pPr>
        <w:ind w:left="3600" w:hanging="360"/>
      </w:pPr>
      <w:rPr>
        <w:rFonts w:ascii="Courier New" w:hAnsi="Courier New" w:cs="Courier New" w:hint="default"/>
      </w:rPr>
    </w:lvl>
    <w:lvl w:ilvl="5" w:tplc="9CC257E8" w:tentative="1">
      <w:start w:val="1"/>
      <w:numFmt w:val="bullet"/>
      <w:lvlText w:val=""/>
      <w:lvlJc w:val="left"/>
      <w:pPr>
        <w:ind w:left="4320" w:hanging="360"/>
      </w:pPr>
      <w:rPr>
        <w:rFonts w:ascii="Wingdings" w:hAnsi="Wingdings" w:hint="default"/>
      </w:rPr>
    </w:lvl>
    <w:lvl w:ilvl="6" w:tplc="FBB4DBA8" w:tentative="1">
      <w:start w:val="1"/>
      <w:numFmt w:val="bullet"/>
      <w:lvlText w:val=""/>
      <w:lvlJc w:val="left"/>
      <w:pPr>
        <w:ind w:left="5040" w:hanging="360"/>
      </w:pPr>
      <w:rPr>
        <w:rFonts w:ascii="Symbol" w:hAnsi="Symbol" w:hint="default"/>
      </w:rPr>
    </w:lvl>
    <w:lvl w:ilvl="7" w:tplc="4D2868A4" w:tentative="1">
      <w:start w:val="1"/>
      <w:numFmt w:val="bullet"/>
      <w:lvlText w:val="o"/>
      <w:lvlJc w:val="left"/>
      <w:pPr>
        <w:ind w:left="5760" w:hanging="360"/>
      </w:pPr>
      <w:rPr>
        <w:rFonts w:ascii="Courier New" w:hAnsi="Courier New" w:cs="Courier New" w:hint="default"/>
      </w:rPr>
    </w:lvl>
    <w:lvl w:ilvl="8" w:tplc="EED4C390" w:tentative="1">
      <w:start w:val="1"/>
      <w:numFmt w:val="bullet"/>
      <w:lvlText w:val=""/>
      <w:lvlJc w:val="left"/>
      <w:pPr>
        <w:ind w:left="6480" w:hanging="360"/>
      </w:pPr>
      <w:rPr>
        <w:rFonts w:ascii="Wingdings" w:hAnsi="Wingdings" w:hint="default"/>
      </w:rPr>
    </w:lvl>
  </w:abstractNum>
  <w:abstractNum w:abstractNumId="14" w15:restartNumberingAfterBreak="0">
    <w:nsid w:val="2F190E16"/>
    <w:multiLevelType w:val="hybridMultilevel"/>
    <w:tmpl w:val="D804B30A"/>
    <w:lvl w:ilvl="0" w:tplc="AF1C41F4">
      <w:start w:val="1"/>
      <w:numFmt w:val="bullet"/>
      <w:lvlText w:val=""/>
      <w:lvlJc w:val="left"/>
      <w:pPr>
        <w:ind w:left="720" w:hanging="360"/>
      </w:pPr>
      <w:rPr>
        <w:rFonts w:ascii="Symbol" w:hAnsi="Symbol" w:hint="default"/>
      </w:rPr>
    </w:lvl>
    <w:lvl w:ilvl="1" w:tplc="A5FE6A9C" w:tentative="1">
      <w:start w:val="1"/>
      <w:numFmt w:val="bullet"/>
      <w:lvlText w:val="o"/>
      <w:lvlJc w:val="left"/>
      <w:pPr>
        <w:ind w:left="1440" w:hanging="360"/>
      </w:pPr>
      <w:rPr>
        <w:rFonts w:ascii="Courier New" w:hAnsi="Courier New" w:cs="Courier New" w:hint="default"/>
      </w:rPr>
    </w:lvl>
    <w:lvl w:ilvl="2" w:tplc="53D8E830" w:tentative="1">
      <w:start w:val="1"/>
      <w:numFmt w:val="bullet"/>
      <w:lvlText w:val=""/>
      <w:lvlJc w:val="left"/>
      <w:pPr>
        <w:ind w:left="2160" w:hanging="360"/>
      </w:pPr>
      <w:rPr>
        <w:rFonts w:ascii="Wingdings" w:hAnsi="Wingdings" w:hint="default"/>
      </w:rPr>
    </w:lvl>
    <w:lvl w:ilvl="3" w:tplc="3E1E577A" w:tentative="1">
      <w:start w:val="1"/>
      <w:numFmt w:val="bullet"/>
      <w:lvlText w:val=""/>
      <w:lvlJc w:val="left"/>
      <w:pPr>
        <w:ind w:left="2880" w:hanging="360"/>
      </w:pPr>
      <w:rPr>
        <w:rFonts w:ascii="Symbol" w:hAnsi="Symbol" w:hint="default"/>
      </w:rPr>
    </w:lvl>
    <w:lvl w:ilvl="4" w:tplc="57689DC6" w:tentative="1">
      <w:start w:val="1"/>
      <w:numFmt w:val="bullet"/>
      <w:lvlText w:val="o"/>
      <w:lvlJc w:val="left"/>
      <w:pPr>
        <w:ind w:left="3600" w:hanging="360"/>
      </w:pPr>
      <w:rPr>
        <w:rFonts w:ascii="Courier New" w:hAnsi="Courier New" w:cs="Courier New" w:hint="default"/>
      </w:rPr>
    </w:lvl>
    <w:lvl w:ilvl="5" w:tplc="21344EA0" w:tentative="1">
      <w:start w:val="1"/>
      <w:numFmt w:val="bullet"/>
      <w:lvlText w:val=""/>
      <w:lvlJc w:val="left"/>
      <w:pPr>
        <w:ind w:left="4320" w:hanging="360"/>
      </w:pPr>
      <w:rPr>
        <w:rFonts w:ascii="Wingdings" w:hAnsi="Wingdings" w:hint="default"/>
      </w:rPr>
    </w:lvl>
    <w:lvl w:ilvl="6" w:tplc="C9265536" w:tentative="1">
      <w:start w:val="1"/>
      <w:numFmt w:val="bullet"/>
      <w:lvlText w:val=""/>
      <w:lvlJc w:val="left"/>
      <w:pPr>
        <w:ind w:left="5040" w:hanging="360"/>
      </w:pPr>
      <w:rPr>
        <w:rFonts w:ascii="Symbol" w:hAnsi="Symbol" w:hint="default"/>
      </w:rPr>
    </w:lvl>
    <w:lvl w:ilvl="7" w:tplc="8FCE3AFA" w:tentative="1">
      <w:start w:val="1"/>
      <w:numFmt w:val="bullet"/>
      <w:lvlText w:val="o"/>
      <w:lvlJc w:val="left"/>
      <w:pPr>
        <w:ind w:left="5760" w:hanging="360"/>
      </w:pPr>
      <w:rPr>
        <w:rFonts w:ascii="Courier New" w:hAnsi="Courier New" w:cs="Courier New" w:hint="default"/>
      </w:rPr>
    </w:lvl>
    <w:lvl w:ilvl="8" w:tplc="16D41C40" w:tentative="1">
      <w:start w:val="1"/>
      <w:numFmt w:val="bullet"/>
      <w:lvlText w:val=""/>
      <w:lvlJc w:val="left"/>
      <w:pPr>
        <w:ind w:left="6480" w:hanging="360"/>
      </w:pPr>
      <w:rPr>
        <w:rFonts w:ascii="Wingdings" w:hAnsi="Wingdings" w:hint="default"/>
      </w:rPr>
    </w:lvl>
  </w:abstractNum>
  <w:abstractNum w:abstractNumId="15" w15:restartNumberingAfterBreak="0">
    <w:nsid w:val="33ED4D11"/>
    <w:multiLevelType w:val="hybridMultilevel"/>
    <w:tmpl w:val="BBCE72B0"/>
    <w:lvl w:ilvl="0" w:tplc="EF043678">
      <w:start w:val="1"/>
      <w:numFmt w:val="upperLetter"/>
      <w:lvlText w:val="%1)"/>
      <w:lvlJc w:val="left"/>
      <w:pPr>
        <w:ind w:left="720" w:hanging="360"/>
      </w:pPr>
      <w:rPr>
        <w:rFonts w:hint="default"/>
      </w:rPr>
    </w:lvl>
    <w:lvl w:ilvl="1" w:tplc="E556D8CC" w:tentative="1">
      <w:start w:val="1"/>
      <w:numFmt w:val="lowerLetter"/>
      <w:lvlText w:val="%2."/>
      <w:lvlJc w:val="left"/>
      <w:pPr>
        <w:ind w:left="1440" w:hanging="360"/>
      </w:pPr>
    </w:lvl>
    <w:lvl w:ilvl="2" w:tplc="8558214A" w:tentative="1">
      <w:start w:val="1"/>
      <w:numFmt w:val="lowerRoman"/>
      <w:lvlText w:val="%3."/>
      <w:lvlJc w:val="right"/>
      <w:pPr>
        <w:ind w:left="2160" w:hanging="180"/>
      </w:pPr>
    </w:lvl>
    <w:lvl w:ilvl="3" w:tplc="8E584464" w:tentative="1">
      <w:start w:val="1"/>
      <w:numFmt w:val="decimal"/>
      <w:lvlText w:val="%4."/>
      <w:lvlJc w:val="left"/>
      <w:pPr>
        <w:ind w:left="2880" w:hanging="360"/>
      </w:pPr>
    </w:lvl>
    <w:lvl w:ilvl="4" w:tplc="187212CA" w:tentative="1">
      <w:start w:val="1"/>
      <w:numFmt w:val="lowerLetter"/>
      <w:lvlText w:val="%5."/>
      <w:lvlJc w:val="left"/>
      <w:pPr>
        <w:ind w:left="3600" w:hanging="360"/>
      </w:pPr>
    </w:lvl>
    <w:lvl w:ilvl="5" w:tplc="1E341F72" w:tentative="1">
      <w:start w:val="1"/>
      <w:numFmt w:val="lowerRoman"/>
      <w:lvlText w:val="%6."/>
      <w:lvlJc w:val="right"/>
      <w:pPr>
        <w:ind w:left="4320" w:hanging="180"/>
      </w:pPr>
    </w:lvl>
    <w:lvl w:ilvl="6" w:tplc="D4FC82C8" w:tentative="1">
      <w:start w:val="1"/>
      <w:numFmt w:val="decimal"/>
      <w:lvlText w:val="%7."/>
      <w:lvlJc w:val="left"/>
      <w:pPr>
        <w:ind w:left="5040" w:hanging="360"/>
      </w:pPr>
    </w:lvl>
    <w:lvl w:ilvl="7" w:tplc="9046797E" w:tentative="1">
      <w:start w:val="1"/>
      <w:numFmt w:val="lowerLetter"/>
      <w:lvlText w:val="%8."/>
      <w:lvlJc w:val="left"/>
      <w:pPr>
        <w:ind w:left="5760" w:hanging="360"/>
      </w:pPr>
    </w:lvl>
    <w:lvl w:ilvl="8" w:tplc="59941F36" w:tentative="1">
      <w:start w:val="1"/>
      <w:numFmt w:val="lowerRoman"/>
      <w:lvlText w:val="%9."/>
      <w:lvlJc w:val="right"/>
      <w:pPr>
        <w:ind w:left="6480" w:hanging="180"/>
      </w:pPr>
    </w:lvl>
  </w:abstractNum>
  <w:abstractNum w:abstractNumId="16" w15:restartNumberingAfterBreak="0">
    <w:nsid w:val="340A2B7F"/>
    <w:multiLevelType w:val="multilevel"/>
    <w:tmpl w:val="65FE4E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0A7BA7"/>
    <w:multiLevelType w:val="hybridMultilevel"/>
    <w:tmpl w:val="0A5604CA"/>
    <w:lvl w:ilvl="0" w:tplc="28CECC30">
      <w:start w:val="1"/>
      <w:numFmt w:val="bullet"/>
      <w:lvlText w:val=""/>
      <w:lvlJc w:val="left"/>
      <w:pPr>
        <w:ind w:left="720" w:hanging="360"/>
      </w:pPr>
      <w:rPr>
        <w:rFonts w:ascii="Symbol" w:hAnsi="Symbol" w:hint="default"/>
      </w:rPr>
    </w:lvl>
    <w:lvl w:ilvl="1" w:tplc="ED3499CE" w:tentative="1">
      <w:start w:val="1"/>
      <w:numFmt w:val="bullet"/>
      <w:lvlText w:val="o"/>
      <w:lvlJc w:val="left"/>
      <w:pPr>
        <w:ind w:left="1440" w:hanging="360"/>
      </w:pPr>
      <w:rPr>
        <w:rFonts w:ascii="Courier New" w:hAnsi="Courier New" w:cs="Courier New" w:hint="default"/>
      </w:rPr>
    </w:lvl>
    <w:lvl w:ilvl="2" w:tplc="1F00AE84" w:tentative="1">
      <w:start w:val="1"/>
      <w:numFmt w:val="bullet"/>
      <w:lvlText w:val=""/>
      <w:lvlJc w:val="left"/>
      <w:pPr>
        <w:ind w:left="2160" w:hanging="360"/>
      </w:pPr>
      <w:rPr>
        <w:rFonts w:ascii="Wingdings" w:hAnsi="Wingdings" w:hint="default"/>
      </w:rPr>
    </w:lvl>
    <w:lvl w:ilvl="3" w:tplc="AE989AFA" w:tentative="1">
      <w:start w:val="1"/>
      <w:numFmt w:val="bullet"/>
      <w:lvlText w:val=""/>
      <w:lvlJc w:val="left"/>
      <w:pPr>
        <w:ind w:left="2880" w:hanging="360"/>
      </w:pPr>
      <w:rPr>
        <w:rFonts w:ascii="Symbol" w:hAnsi="Symbol" w:hint="default"/>
      </w:rPr>
    </w:lvl>
    <w:lvl w:ilvl="4" w:tplc="023ADA8E" w:tentative="1">
      <w:start w:val="1"/>
      <w:numFmt w:val="bullet"/>
      <w:lvlText w:val="o"/>
      <w:lvlJc w:val="left"/>
      <w:pPr>
        <w:ind w:left="3600" w:hanging="360"/>
      </w:pPr>
      <w:rPr>
        <w:rFonts w:ascii="Courier New" w:hAnsi="Courier New" w:cs="Courier New" w:hint="default"/>
      </w:rPr>
    </w:lvl>
    <w:lvl w:ilvl="5" w:tplc="0B66B6DA" w:tentative="1">
      <w:start w:val="1"/>
      <w:numFmt w:val="bullet"/>
      <w:lvlText w:val=""/>
      <w:lvlJc w:val="left"/>
      <w:pPr>
        <w:ind w:left="4320" w:hanging="360"/>
      </w:pPr>
      <w:rPr>
        <w:rFonts w:ascii="Wingdings" w:hAnsi="Wingdings" w:hint="default"/>
      </w:rPr>
    </w:lvl>
    <w:lvl w:ilvl="6" w:tplc="7FB26004" w:tentative="1">
      <w:start w:val="1"/>
      <w:numFmt w:val="bullet"/>
      <w:lvlText w:val=""/>
      <w:lvlJc w:val="left"/>
      <w:pPr>
        <w:ind w:left="5040" w:hanging="360"/>
      </w:pPr>
      <w:rPr>
        <w:rFonts w:ascii="Symbol" w:hAnsi="Symbol" w:hint="default"/>
      </w:rPr>
    </w:lvl>
    <w:lvl w:ilvl="7" w:tplc="D3F6FB5C" w:tentative="1">
      <w:start w:val="1"/>
      <w:numFmt w:val="bullet"/>
      <w:lvlText w:val="o"/>
      <w:lvlJc w:val="left"/>
      <w:pPr>
        <w:ind w:left="5760" w:hanging="360"/>
      </w:pPr>
      <w:rPr>
        <w:rFonts w:ascii="Courier New" w:hAnsi="Courier New" w:cs="Courier New" w:hint="default"/>
      </w:rPr>
    </w:lvl>
    <w:lvl w:ilvl="8" w:tplc="9924AAB6" w:tentative="1">
      <w:start w:val="1"/>
      <w:numFmt w:val="bullet"/>
      <w:lvlText w:val=""/>
      <w:lvlJc w:val="left"/>
      <w:pPr>
        <w:ind w:left="6480" w:hanging="360"/>
      </w:pPr>
      <w:rPr>
        <w:rFonts w:ascii="Wingdings" w:hAnsi="Wingdings" w:hint="default"/>
      </w:rPr>
    </w:lvl>
  </w:abstractNum>
  <w:abstractNum w:abstractNumId="18" w15:restartNumberingAfterBreak="0">
    <w:nsid w:val="365C2033"/>
    <w:multiLevelType w:val="hybridMultilevel"/>
    <w:tmpl w:val="05F6FD10"/>
    <w:lvl w:ilvl="0" w:tplc="5688FEF2">
      <w:start w:val="1"/>
      <w:numFmt w:val="bullet"/>
      <w:lvlText w:val=""/>
      <w:lvlJc w:val="left"/>
      <w:pPr>
        <w:ind w:left="720" w:hanging="360"/>
      </w:pPr>
      <w:rPr>
        <w:rFonts w:ascii="Symbol" w:hAnsi="Symbol" w:hint="default"/>
      </w:rPr>
    </w:lvl>
    <w:lvl w:ilvl="1" w:tplc="4C48FE52" w:tentative="1">
      <w:start w:val="1"/>
      <w:numFmt w:val="bullet"/>
      <w:lvlText w:val="o"/>
      <w:lvlJc w:val="left"/>
      <w:pPr>
        <w:ind w:left="1440" w:hanging="360"/>
      </w:pPr>
      <w:rPr>
        <w:rFonts w:ascii="Courier New" w:hAnsi="Courier New" w:cs="Courier New" w:hint="default"/>
      </w:rPr>
    </w:lvl>
    <w:lvl w:ilvl="2" w:tplc="13920B5A" w:tentative="1">
      <w:start w:val="1"/>
      <w:numFmt w:val="bullet"/>
      <w:lvlText w:val=""/>
      <w:lvlJc w:val="left"/>
      <w:pPr>
        <w:ind w:left="2160" w:hanging="360"/>
      </w:pPr>
      <w:rPr>
        <w:rFonts w:ascii="Wingdings" w:hAnsi="Wingdings" w:hint="default"/>
      </w:rPr>
    </w:lvl>
    <w:lvl w:ilvl="3" w:tplc="CE2A9600" w:tentative="1">
      <w:start w:val="1"/>
      <w:numFmt w:val="bullet"/>
      <w:lvlText w:val=""/>
      <w:lvlJc w:val="left"/>
      <w:pPr>
        <w:ind w:left="2880" w:hanging="360"/>
      </w:pPr>
      <w:rPr>
        <w:rFonts w:ascii="Symbol" w:hAnsi="Symbol" w:hint="default"/>
      </w:rPr>
    </w:lvl>
    <w:lvl w:ilvl="4" w:tplc="13341D28" w:tentative="1">
      <w:start w:val="1"/>
      <w:numFmt w:val="bullet"/>
      <w:lvlText w:val="o"/>
      <w:lvlJc w:val="left"/>
      <w:pPr>
        <w:ind w:left="3600" w:hanging="360"/>
      </w:pPr>
      <w:rPr>
        <w:rFonts w:ascii="Courier New" w:hAnsi="Courier New" w:cs="Courier New" w:hint="default"/>
      </w:rPr>
    </w:lvl>
    <w:lvl w:ilvl="5" w:tplc="F73A3564" w:tentative="1">
      <w:start w:val="1"/>
      <w:numFmt w:val="bullet"/>
      <w:lvlText w:val=""/>
      <w:lvlJc w:val="left"/>
      <w:pPr>
        <w:ind w:left="4320" w:hanging="360"/>
      </w:pPr>
      <w:rPr>
        <w:rFonts w:ascii="Wingdings" w:hAnsi="Wingdings" w:hint="default"/>
      </w:rPr>
    </w:lvl>
    <w:lvl w:ilvl="6" w:tplc="B798D260" w:tentative="1">
      <w:start w:val="1"/>
      <w:numFmt w:val="bullet"/>
      <w:lvlText w:val=""/>
      <w:lvlJc w:val="left"/>
      <w:pPr>
        <w:ind w:left="5040" w:hanging="360"/>
      </w:pPr>
      <w:rPr>
        <w:rFonts w:ascii="Symbol" w:hAnsi="Symbol" w:hint="default"/>
      </w:rPr>
    </w:lvl>
    <w:lvl w:ilvl="7" w:tplc="582E76CA" w:tentative="1">
      <w:start w:val="1"/>
      <w:numFmt w:val="bullet"/>
      <w:lvlText w:val="o"/>
      <w:lvlJc w:val="left"/>
      <w:pPr>
        <w:ind w:left="5760" w:hanging="360"/>
      </w:pPr>
      <w:rPr>
        <w:rFonts w:ascii="Courier New" w:hAnsi="Courier New" w:cs="Courier New" w:hint="default"/>
      </w:rPr>
    </w:lvl>
    <w:lvl w:ilvl="8" w:tplc="A4D28DA6" w:tentative="1">
      <w:start w:val="1"/>
      <w:numFmt w:val="bullet"/>
      <w:lvlText w:val=""/>
      <w:lvlJc w:val="left"/>
      <w:pPr>
        <w:ind w:left="6480" w:hanging="360"/>
      </w:pPr>
      <w:rPr>
        <w:rFonts w:ascii="Wingdings" w:hAnsi="Wingdings" w:hint="default"/>
      </w:rPr>
    </w:lvl>
  </w:abstractNum>
  <w:abstractNum w:abstractNumId="19" w15:restartNumberingAfterBreak="0">
    <w:nsid w:val="3B4C135B"/>
    <w:multiLevelType w:val="hybridMultilevel"/>
    <w:tmpl w:val="5A40E0F4"/>
    <w:lvl w:ilvl="0" w:tplc="B74A1C02">
      <w:start w:val="1"/>
      <w:numFmt w:val="bullet"/>
      <w:lvlText w:val=""/>
      <w:lvlJc w:val="left"/>
      <w:pPr>
        <w:ind w:left="720" w:hanging="360"/>
      </w:pPr>
      <w:rPr>
        <w:rFonts w:ascii="Symbol" w:hAnsi="Symbol" w:hint="default"/>
      </w:rPr>
    </w:lvl>
    <w:lvl w:ilvl="1" w:tplc="C5B4050C" w:tentative="1">
      <w:start w:val="1"/>
      <w:numFmt w:val="bullet"/>
      <w:lvlText w:val="o"/>
      <w:lvlJc w:val="left"/>
      <w:pPr>
        <w:ind w:left="1440" w:hanging="360"/>
      </w:pPr>
      <w:rPr>
        <w:rFonts w:ascii="Courier New" w:hAnsi="Courier New" w:cs="Courier New" w:hint="default"/>
      </w:rPr>
    </w:lvl>
    <w:lvl w:ilvl="2" w:tplc="EECC8BFE" w:tentative="1">
      <w:start w:val="1"/>
      <w:numFmt w:val="bullet"/>
      <w:lvlText w:val=""/>
      <w:lvlJc w:val="left"/>
      <w:pPr>
        <w:ind w:left="2160" w:hanging="360"/>
      </w:pPr>
      <w:rPr>
        <w:rFonts w:ascii="Wingdings" w:hAnsi="Wingdings" w:hint="default"/>
      </w:rPr>
    </w:lvl>
    <w:lvl w:ilvl="3" w:tplc="2D5C907A" w:tentative="1">
      <w:start w:val="1"/>
      <w:numFmt w:val="bullet"/>
      <w:lvlText w:val=""/>
      <w:lvlJc w:val="left"/>
      <w:pPr>
        <w:ind w:left="2880" w:hanging="360"/>
      </w:pPr>
      <w:rPr>
        <w:rFonts w:ascii="Symbol" w:hAnsi="Symbol" w:hint="default"/>
      </w:rPr>
    </w:lvl>
    <w:lvl w:ilvl="4" w:tplc="367C8194" w:tentative="1">
      <w:start w:val="1"/>
      <w:numFmt w:val="bullet"/>
      <w:lvlText w:val="o"/>
      <w:lvlJc w:val="left"/>
      <w:pPr>
        <w:ind w:left="3600" w:hanging="360"/>
      </w:pPr>
      <w:rPr>
        <w:rFonts w:ascii="Courier New" w:hAnsi="Courier New" w:cs="Courier New" w:hint="default"/>
      </w:rPr>
    </w:lvl>
    <w:lvl w:ilvl="5" w:tplc="6B7E3770" w:tentative="1">
      <w:start w:val="1"/>
      <w:numFmt w:val="bullet"/>
      <w:lvlText w:val=""/>
      <w:lvlJc w:val="left"/>
      <w:pPr>
        <w:ind w:left="4320" w:hanging="360"/>
      </w:pPr>
      <w:rPr>
        <w:rFonts w:ascii="Wingdings" w:hAnsi="Wingdings" w:hint="default"/>
      </w:rPr>
    </w:lvl>
    <w:lvl w:ilvl="6" w:tplc="2A1E45A8" w:tentative="1">
      <w:start w:val="1"/>
      <w:numFmt w:val="bullet"/>
      <w:lvlText w:val=""/>
      <w:lvlJc w:val="left"/>
      <w:pPr>
        <w:ind w:left="5040" w:hanging="360"/>
      </w:pPr>
      <w:rPr>
        <w:rFonts w:ascii="Symbol" w:hAnsi="Symbol" w:hint="default"/>
      </w:rPr>
    </w:lvl>
    <w:lvl w:ilvl="7" w:tplc="C778DFD4" w:tentative="1">
      <w:start w:val="1"/>
      <w:numFmt w:val="bullet"/>
      <w:lvlText w:val="o"/>
      <w:lvlJc w:val="left"/>
      <w:pPr>
        <w:ind w:left="5760" w:hanging="360"/>
      </w:pPr>
      <w:rPr>
        <w:rFonts w:ascii="Courier New" w:hAnsi="Courier New" w:cs="Courier New" w:hint="default"/>
      </w:rPr>
    </w:lvl>
    <w:lvl w:ilvl="8" w:tplc="597688DC" w:tentative="1">
      <w:start w:val="1"/>
      <w:numFmt w:val="bullet"/>
      <w:lvlText w:val=""/>
      <w:lvlJc w:val="left"/>
      <w:pPr>
        <w:ind w:left="6480" w:hanging="360"/>
      </w:pPr>
      <w:rPr>
        <w:rFonts w:ascii="Wingdings" w:hAnsi="Wingdings" w:hint="default"/>
      </w:rPr>
    </w:lvl>
  </w:abstractNum>
  <w:abstractNum w:abstractNumId="20" w15:restartNumberingAfterBreak="0">
    <w:nsid w:val="3E4C216E"/>
    <w:multiLevelType w:val="hybridMultilevel"/>
    <w:tmpl w:val="A1FA8FA2"/>
    <w:lvl w:ilvl="0" w:tplc="EB06D8F8">
      <w:start w:val="1"/>
      <w:numFmt w:val="bullet"/>
      <w:lvlText w:val=""/>
      <w:lvlJc w:val="left"/>
      <w:pPr>
        <w:ind w:left="720" w:hanging="360"/>
      </w:pPr>
      <w:rPr>
        <w:rFonts w:ascii="Wingdings" w:hAnsi="Wingdings" w:hint="default"/>
      </w:rPr>
    </w:lvl>
    <w:lvl w:ilvl="1" w:tplc="634CB506" w:tentative="1">
      <w:start w:val="1"/>
      <w:numFmt w:val="bullet"/>
      <w:lvlText w:val="o"/>
      <w:lvlJc w:val="left"/>
      <w:pPr>
        <w:ind w:left="1440" w:hanging="360"/>
      </w:pPr>
      <w:rPr>
        <w:rFonts w:ascii="Courier New" w:hAnsi="Courier New" w:cs="Courier New" w:hint="default"/>
      </w:rPr>
    </w:lvl>
    <w:lvl w:ilvl="2" w:tplc="4C7CC20E" w:tentative="1">
      <w:start w:val="1"/>
      <w:numFmt w:val="bullet"/>
      <w:lvlText w:val=""/>
      <w:lvlJc w:val="left"/>
      <w:pPr>
        <w:ind w:left="2160" w:hanging="360"/>
      </w:pPr>
      <w:rPr>
        <w:rFonts w:ascii="Wingdings" w:hAnsi="Wingdings" w:hint="default"/>
      </w:rPr>
    </w:lvl>
    <w:lvl w:ilvl="3" w:tplc="0C5A423A" w:tentative="1">
      <w:start w:val="1"/>
      <w:numFmt w:val="bullet"/>
      <w:lvlText w:val=""/>
      <w:lvlJc w:val="left"/>
      <w:pPr>
        <w:ind w:left="2880" w:hanging="360"/>
      </w:pPr>
      <w:rPr>
        <w:rFonts w:ascii="Symbol" w:hAnsi="Symbol" w:hint="default"/>
      </w:rPr>
    </w:lvl>
    <w:lvl w:ilvl="4" w:tplc="29FC1802" w:tentative="1">
      <w:start w:val="1"/>
      <w:numFmt w:val="bullet"/>
      <w:lvlText w:val="o"/>
      <w:lvlJc w:val="left"/>
      <w:pPr>
        <w:ind w:left="3600" w:hanging="360"/>
      </w:pPr>
      <w:rPr>
        <w:rFonts w:ascii="Courier New" w:hAnsi="Courier New" w:cs="Courier New" w:hint="default"/>
      </w:rPr>
    </w:lvl>
    <w:lvl w:ilvl="5" w:tplc="6E5071D0" w:tentative="1">
      <w:start w:val="1"/>
      <w:numFmt w:val="bullet"/>
      <w:lvlText w:val=""/>
      <w:lvlJc w:val="left"/>
      <w:pPr>
        <w:ind w:left="4320" w:hanging="360"/>
      </w:pPr>
      <w:rPr>
        <w:rFonts w:ascii="Wingdings" w:hAnsi="Wingdings" w:hint="default"/>
      </w:rPr>
    </w:lvl>
    <w:lvl w:ilvl="6" w:tplc="BEC896F4" w:tentative="1">
      <w:start w:val="1"/>
      <w:numFmt w:val="bullet"/>
      <w:lvlText w:val=""/>
      <w:lvlJc w:val="left"/>
      <w:pPr>
        <w:ind w:left="5040" w:hanging="360"/>
      </w:pPr>
      <w:rPr>
        <w:rFonts w:ascii="Symbol" w:hAnsi="Symbol" w:hint="default"/>
      </w:rPr>
    </w:lvl>
    <w:lvl w:ilvl="7" w:tplc="B3BCCF7E" w:tentative="1">
      <w:start w:val="1"/>
      <w:numFmt w:val="bullet"/>
      <w:lvlText w:val="o"/>
      <w:lvlJc w:val="left"/>
      <w:pPr>
        <w:ind w:left="5760" w:hanging="360"/>
      </w:pPr>
      <w:rPr>
        <w:rFonts w:ascii="Courier New" w:hAnsi="Courier New" w:cs="Courier New" w:hint="default"/>
      </w:rPr>
    </w:lvl>
    <w:lvl w:ilvl="8" w:tplc="95BA6668" w:tentative="1">
      <w:start w:val="1"/>
      <w:numFmt w:val="bullet"/>
      <w:lvlText w:val=""/>
      <w:lvlJc w:val="left"/>
      <w:pPr>
        <w:ind w:left="6480" w:hanging="360"/>
      </w:pPr>
      <w:rPr>
        <w:rFonts w:ascii="Wingdings" w:hAnsi="Wingdings" w:hint="default"/>
      </w:rPr>
    </w:lvl>
  </w:abstractNum>
  <w:abstractNum w:abstractNumId="21" w15:restartNumberingAfterBreak="0">
    <w:nsid w:val="403B46C0"/>
    <w:multiLevelType w:val="hybridMultilevel"/>
    <w:tmpl w:val="BC60498E"/>
    <w:lvl w:ilvl="0" w:tplc="4ADEB060">
      <w:start w:val="1"/>
      <w:numFmt w:val="decimal"/>
      <w:lvlText w:val="%1)"/>
      <w:lvlJc w:val="left"/>
      <w:pPr>
        <w:ind w:left="720" w:hanging="360"/>
      </w:pPr>
      <w:rPr>
        <w:rFonts w:hint="default"/>
      </w:rPr>
    </w:lvl>
    <w:lvl w:ilvl="1" w:tplc="FFCCDF20" w:tentative="1">
      <w:start w:val="1"/>
      <w:numFmt w:val="lowerLetter"/>
      <w:lvlText w:val="%2."/>
      <w:lvlJc w:val="left"/>
      <w:pPr>
        <w:ind w:left="1440" w:hanging="360"/>
      </w:pPr>
    </w:lvl>
    <w:lvl w:ilvl="2" w:tplc="588A035A" w:tentative="1">
      <w:start w:val="1"/>
      <w:numFmt w:val="lowerRoman"/>
      <w:lvlText w:val="%3."/>
      <w:lvlJc w:val="right"/>
      <w:pPr>
        <w:ind w:left="2160" w:hanging="180"/>
      </w:pPr>
    </w:lvl>
    <w:lvl w:ilvl="3" w:tplc="03C02614" w:tentative="1">
      <w:start w:val="1"/>
      <w:numFmt w:val="decimal"/>
      <w:lvlText w:val="%4."/>
      <w:lvlJc w:val="left"/>
      <w:pPr>
        <w:ind w:left="2880" w:hanging="360"/>
      </w:pPr>
    </w:lvl>
    <w:lvl w:ilvl="4" w:tplc="1FEA948A" w:tentative="1">
      <w:start w:val="1"/>
      <w:numFmt w:val="lowerLetter"/>
      <w:lvlText w:val="%5."/>
      <w:lvlJc w:val="left"/>
      <w:pPr>
        <w:ind w:left="3600" w:hanging="360"/>
      </w:pPr>
    </w:lvl>
    <w:lvl w:ilvl="5" w:tplc="1486E09E" w:tentative="1">
      <w:start w:val="1"/>
      <w:numFmt w:val="lowerRoman"/>
      <w:lvlText w:val="%6."/>
      <w:lvlJc w:val="right"/>
      <w:pPr>
        <w:ind w:left="4320" w:hanging="180"/>
      </w:pPr>
    </w:lvl>
    <w:lvl w:ilvl="6" w:tplc="9776FD30" w:tentative="1">
      <w:start w:val="1"/>
      <w:numFmt w:val="decimal"/>
      <w:lvlText w:val="%7."/>
      <w:lvlJc w:val="left"/>
      <w:pPr>
        <w:ind w:left="5040" w:hanging="360"/>
      </w:pPr>
    </w:lvl>
    <w:lvl w:ilvl="7" w:tplc="E738115E" w:tentative="1">
      <w:start w:val="1"/>
      <w:numFmt w:val="lowerLetter"/>
      <w:lvlText w:val="%8."/>
      <w:lvlJc w:val="left"/>
      <w:pPr>
        <w:ind w:left="5760" w:hanging="360"/>
      </w:pPr>
    </w:lvl>
    <w:lvl w:ilvl="8" w:tplc="91BA34B2" w:tentative="1">
      <w:start w:val="1"/>
      <w:numFmt w:val="lowerRoman"/>
      <w:lvlText w:val="%9."/>
      <w:lvlJc w:val="right"/>
      <w:pPr>
        <w:ind w:left="6480" w:hanging="180"/>
      </w:pPr>
    </w:lvl>
  </w:abstractNum>
  <w:abstractNum w:abstractNumId="22" w15:restartNumberingAfterBreak="0">
    <w:nsid w:val="42F90849"/>
    <w:multiLevelType w:val="hybridMultilevel"/>
    <w:tmpl w:val="E110BB46"/>
    <w:lvl w:ilvl="0" w:tplc="0F441D18">
      <w:start w:val="1"/>
      <w:numFmt w:val="upperRoman"/>
      <w:lvlText w:val="%1."/>
      <w:lvlJc w:val="left"/>
      <w:pPr>
        <w:ind w:left="1080" w:hanging="720"/>
      </w:pPr>
      <w:rPr>
        <w:rFonts w:hint="default"/>
      </w:rPr>
    </w:lvl>
    <w:lvl w:ilvl="1" w:tplc="9B164BFC" w:tentative="1">
      <w:start w:val="1"/>
      <w:numFmt w:val="lowerLetter"/>
      <w:lvlText w:val="%2."/>
      <w:lvlJc w:val="left"/>
      <w:pPr>
        <w:ind w:left="1440" w:hanging="360"/>
      </w:pPr>
    </w:lvl>
    <w:lvl w:ilvl="2" w:tplc="9126DEFA" w:tentative="1">
      <w:start w:val="1"/>
      <w:numFmt w:val="lowerRoman"/>
      <w:lvlText w:val="%3."/>
      <w:lvlJc w:val="right"/>
      <w:pPr>
        <w:ind w:left="2160" w:hanging="180"/>
      </w:pPr>
    </w:lvl>
    <w:lvl w:ilvl="3" w:tplc="D8E8E0A2" w:tentative="1">
      <w:start w:val="1"/>
      <w:numFmt w:val="decimal"/>
      <w:lvlText w:val="%4."/>
      <w:lvlJc w:val="left"/>
      <w:pPr>
        <w:ind w:left="2880" w:hanging="360"/>
      </w:pPr>
    </w:lvl>
    <w:lvl w:ilvl="4" w:tplc="24F63A72" w:tentative="1">
      <w:start w:val="1"/>
      <w:numFmt w:val="lowerLetter"/>
      <w:lvlText w:val="%5."/>
      <w:lvlJc w:val="left"/>
      <w:pPr>
        <w:ind w:left="3600" w:hanging="360"/>
      </w:pPr>
    </w:lvl>
    <w:lvl w:ilvl="5" w:tplc="923EFC78" w:tentative="1">
      <w:start w:val="1"/>
      <w:numFmt w:val="lowerRoman"/>
      <w:lvlText w:val="%6."/>
      <w:lvlJc w:val="right"/>
      <w:pPr>
        <w:ind w:left="4320" w:hanging="180"/>
      </w:pPr>
    </w:lvl>
    <w:lvl w:ilvl="6" w:tplc="2BBE5C34" w:tentative="1">
      <w:start w:val="1"/>
      <w:numFmt w:val="decimal"/>
      <w:lvlText w:val="%7."/>
      <w:lvlJc w:val="left"/>
      <w:pPr>
        <w:ind w:left="5040" w:hanging="360"/>
      </w:pPr>
    </w:lvl>
    <w:lvl w:ilvl="7" w:tplc="AA725938" w:tentative="1">
      <w:start w:val="1"/>
      <w:numFmt w:val="lowerLetter"/>
      <w:lvlText w:val="%8."/>
      <w:lvlJc w:val="left"/>
      <w:pPr>
        <w:ind w:left="5760" w:hanging="360"/>
      </w:pPr>
    </w:lvl>
    <w:lvl w:ilvl="8" w:tplc="31169B28" w:tentative="1">
      <w:start w:val="1"/>
      <w:numFmt w:val="lowerRoman"/>
      <w:lvlText w:val="%9."/>
      <w:lvlJc w:val="right"/>
      <w:pPr>
        <w:ind w:left="6480" w:hanging="180"/>
      </w:pPr>
    </w:lvl>
  </w:abstractNum>
  <w:abstractNum w:abstractNumId="23" w15:restartNumberingAfterBreak="0">
    <w:nsid w:val="44594255"/>
    <w:multiLevelType w:val="hybridMultilevel"/>
    <w:tmpl w:val="E94217B2"/>
    <w:lvl w:ilvl="0" w:tplc="F3885568">
      <w:start w:val="1"/>
      <w:numFmt w:val="decimal"/>
      <w:lvlText w:val="%1."/>
      <w:lvlJc w:val="left"/>
      <w:pPr>
        <w:ind w:left="1287" w:hanging="360"/>
      </w:pPr>
    </w:lvl>
    <w:lvl w:ilvl="1" w:tplc="CB3676CC">
      <w:start w:val="1"/>
      <w:numFmt w:val="decimal"/>
      <w:lvlText w:val="%2."/>
      <w:lvlJc w:val="left"/>
      <w:pPr>
        <w:ind w:left="2007" w:hanging="360"/>
      </w:pPr>
    </w:lvl>
    <w:lvl w:ilvl="2" w:tplc="12967304" w:tentative="1">
      <w:start w:val="1"/>
      <w:numFmt w:val="lowerRoman"/>
      <w:lvlText w:val="%3."/>
      <w:lvlJc w:val="right"/>
      <w:pPr>
        <w:ind w:left="2727" w:hanging="180"/>
      </w:pPr>
    </w:lvl>
    <w:lvl w:ilvl="3" w:tplc="C38C6E90" w:tentative="1">
      <w:start w:val="1"/>
      <w:numFmt w:val="decimal"/>
      <w:lvlText w:val="%4."/>
      <w:lvlJc w:val="left"/>
      <w:pPr>
        <w:ind w:left="3447" w:hanging="360"/>
      </w:pPr>
    </w:lvl>
    <w:lvl w:ilvl="4" w:tplc="23F83DB0" w:tentative="1">
      <w:start w:val="1"/>
      <w:numFmt w:val="lowerLetter"/>
      <w:lvlText w:val="%5."/>
      <w:lvlJc w:val="left"/>
      <w:pPr>
        <w:ind w:left="4167" w:hanging="360"/>
      </w:pPr>
    </w:lvl>
    <w:lvl w:ilvl="5" w:tplc="166233CC" w:tentative="1">
      <w:start w:val="1"/>
      <w:numFmt w:val="lowerRoman"/>
      <w:lvlText w:val="%6."/>
      <w:lvlJc w:val="right"/>
      <w:pPr>
        <w:ind w:left="4887" w:hanging="180"/>
      </w:pPr>
    </w:lvl>
    <w:lvl w:ilvl="6" w:tplc="83A492E2" w:tentative="1">
      <w:start w:val="1"/>
      <w:numFmt w:val="decimal"/>
      <w:lvlText w:val="%7."/>
      <w:lvlJc w:val="left"/>
      <w:pPr>
        <w:ind w:left="5607" w:hanging="360"/>
      </w:pPr>
    </w:lvl>
    <w:lvl w:ilvl="7" w:tplc="4A9CD820" w:tentative="1">
      <w:start w:val="1"/>
      <w:numFmt w:val="lowerLetter"/>
      <w:lvlText w:val="%8."/>
      <w:lvlJc w:val="left"/>
      <w:pPr>
        <w:ind w:left="6327" w:hanging="360"/>
      </w:pPr>
    </w:lvl>
    <w:lvl w:ilvl="8" w:tplc="BF92BEB4" w:tentative="1">
      <w:start w:val="1"/>
      <w:numFmt w:val="lowerRoman"/>
      <w:lvlText w:val="%9."/>
      <w:lvlJc w:val="right"/>
      <w:pPr>
        <w:ind w:left="7047" w:hanging="180"/>
      </w:pPr>
    </w:lvl>
  </w:abstractNum>
  <w:abstractNum w:abstractNumId="24" w15:restartNumberingAfterBreak="0">
    <w:nsid w:val="4820273F"/>
    <w:multiLevelType w:val="hybridMultilevel"/>
    <w:tmpl w:val="A6F6C694"/>
    <w:lvl w:ilvl="0" w:tplc="60286E3C">
      <w:numFmt w:val="bullet"/>
      <w:lvlText w:val="-"/>
      <w:lvlJc w:val="left"/>
      <w:pPr>
        <w:ind w:left="720" w:hanging="360"/>
      </w:pPr>
      <w:rPr>
        <w:rFonts w:ascii="Arial" w:eastAsia="Times New Roman" w:hAnsi="Arial" w:hint="default"/>
      </w:rPr>
    </w:lvl>
    <w:lvl w:ilvl="1" w:tplc="5B484D86" w:tentative="1">
      <w:start w:val="1"/>
      <w:numFmt w:val="bullet"/>
      <w:lvlText w:val="o"/>
      <w:lvlJc w:val="left"/>
      <w:pPr>
        <w:ind w:left="1440" w:hanging="360"/>
      </w:pPr>
      <w:rPr>
        <w:rFonts w:ascii="Courier New" w:hAnsi="Courier New" w:cs="Courier New" w:hint="default"/>
      </w:rPr>
    </w:lvl>
    <w:lvl w:ilvl="2" w:tplc="6F9065EE" w:tentative="1">
      <w:start w:val="1"/>
      <w:numFmt w:val="bullet"/>
      <w:lvlText w:val=""/>
      <w:lvlJc w:val="left"/>
      <w:pPr>
        <w:ind w:left="2160" w:hanging="360"/>
      </w:pPr>
      <w:rPr>
        <w:rFonts w:ascii="Wingdings" w:hAnsi="Wingdings" w:hint="default"/>
      </w:rPr>
    </w:lvl>
    <w:lvl w:ilvl="3" w:tplc="C1CC38C6" w:tentative="1">
      <w:start w:val="1"/>
      <w:numFmt w:val="bullet"/>
      <w:lvlText w:val=""/>
      <w:lvlJc w:val="left"/>
      <w:pPr>
        <w:ind w:left="2880" w:hanging="360"/>
      </w:pPr>
      <w:rPr>
        <w:rFonts w:ascii="Symbol" w:hAnsi="Symbol" w:hint="default"/>
      </w:rPr>
    </w:lvl>
    <w:lvl w:ilvl="4" w:tplc="520ABF2A" w:tentative="1">
      <w:start w:val="1"/>
      <w:numFmt w:val="bullet"/>
      <w:lvlText w:val="o"/>
      <w:lvlJc w:val="left"/>
      <w:pPr>
        <w:ind w:left="3600" w:hanging="360"/>
      </w:pPr>
      <w:rPr>
        <w:rFonts w:ascii="Courier New" w:hAnsi="Courier New" w:cs="Courier New" w:hint="default"/>
      </w:rPr>
    </w:lvl>
    <w:lvl w:ilvl="5" w:tplc="23D4DE8A" w:tentative="1">
      <w:start w:val="1"/>
      <w:numFmt w:val="bullet"/>
      <w:lvlText w:val=""/>
      <w:lvlJc w:val="left"/>
      <w:pPr>
        <w:ind w:left="4320" w:hanging="360"/>
      </w:pPr>
      <w:rPr>
        <w:rFonts w:ascii="Wingdings" w:hAnsi="Wingdings" w:hint="default"/>
      </w:rPr>
    </w:lvl>
    <w:lvl w:ilvl="6" w:tplc="D7241F8A" w:tentative="1">
      <w:start w:val="1"/>
      <w:numFmt w:val="bullet"/>
      <w:lvlText w:val=""/>
      <w:lvlJc w:val="left"/>
      <w:pPr>
        <w:ind w:left="5040" w:hanging="360"/>
      </w:pPr>
      <w:rPr>
        <w:rFonts w:ascii="Symbol" w:hAnsi="Symbol" w:hint="default"/>
      </w:rPr>
    </w:lvl>
    <w:lvl w:ilvl="7" w:tplc="5AAA9648" w:tentative="1">
      <w:start w:val="1"/>
      <w:numFmt w:val="bullet"/>
      <w:lvlText w:val="o"/>
      <w:lvlJc w:val="left"/>
      <w:pPr>
        <w:ind w:left="5760" w:hanging="360"/>
      </w:pPr>
      <w:rPr>
        <w:rFonts w:ascii="Courier New" w:hAnsi="Courier New" w:cs="Courier New" w:hint="default"/>
      </w:rPr>
    </w:lvl>
    <w:lvl w:ilvl="8" w:tplc="B4720328" w:tentative="1">
      <w:start w:val="1"/>
      <w:numFmt w:val="bullet"/>
      <w:lvlText w:val=""/>
      <w:lvlJc w:val="left"/>
      <w:pPr>
        <w:ind w:left="6480" w:hanging="360"/>
      </w:pPr>
      <w:rPr>
        <w:rFonts w:ascii="Wingdings" w:hAnsi="Wingdings" w:hint="default"/>
      </w:rPr>
    </w:lvl>
  </w:abstractNum>
  <w:abstractNum w:abstractNumId="25" w15:restartNumberingAfterBreak="0">
    <w:nsid w:val="497014F4"/>
    <w:multiLevelType w:val="hybridMultilevel"/>
    <w:tmpl w:val="682CFE42"/>
    <w:lvl w:ilvl="0" w:tplc="DEB2D128">
      <w:start w:val="1"/>
      <w:numFmt w:val="decimal"/>
      <w:lvlText w:val="%1."/>
      <w:lvlJc w:val="left"/>
      <w:pPr>
        <w:ind w:left="720" w:hanging="360"/>
      </w:pPr>
      <w:rPr>
        <w:rFonts w:hint="default"/>
        <w:i w:val="0"/>
      </w:rPr>
    </w:lvl>
    <w:lvl w:ilvl="1" w:tplc="AB1A9674" w:tentative="1">
      <w:start w:val="1"/>
      <w:numFmt w:val="lowerLetter"/>
      <w:lvlText w:val="%2."/>
      <w:lvlJc w:val="left"/>
      <w:pPr>
        <w:ind w:left="1440" w:hanging="360"/>
      </w:pPr>
    </w:lvl>
    <w:lvl w:ilvl="2" w:tplc="70E69E10" w:tentative="1">
      <w:start w:val="1"/>
      <w:numFmt w:val="lowerRoman"/>
      <w:lvlText w:val="%3."/>
      <w:lvlJc w:val="right"/>
      <w:pPr>
        <w:ind w:left="2160" w:hanging="180"/>
      </w:pPr>
    </w:lvl>
    <w:lvl w:ilvl="3" w:tplc="38B6193E" w:tentative="1">
      <w:start w:val="1"/>
      <w:numFmt w:val="decimal"/>
      <w:lvlText w:val="%4."/>
      <w:lvlJc w:val="left"/>
      <w:pPr>
        <w:ind w:left="2880" w:hanging="360"/>
      </w:pPr>
    </w:lvl>
    <w:lvl w:ilvl="4" w:tplc="C9B4B2E4" w:tentative="1">
      <w:start w:val="1"/>
      <w:numFmt w:val="lowerLetter"/>
      <w:lvlText w:val="%5."/>
      <w:lvlJc w:val="left"/>
      <w:pPr>
        <w:ind w:left="3600" w:hanging="360"/>
      </w:pPr>
    </w:lvl>
    <w:lvl w:ilvl="5" w:tplc="4720F380" w:tentative="1">
      <w:start w:val="1"/>
      <w:numFmt w:val="lowerRoman"/>
      <w:lvlText w:val="%6."/>
      <w:lvlJc w:val="right"/>
      <w:pPr>
        <w:ind w:left="4320" w:hanging="180"/>
      </w:pPr>
    </w:lvl>
    <w:lvl w:ilvl="6" w:tplc="07686E80" w:tentative="1">
      <w:start w:val="1"/>
      <w:numFmt w:val="decimal"/>
      <w:lvlText w:val="%7."/>
      <w:lvlJc w:val="left"/>
      <w:pPr>
        <w:ind w:left="5040" w:hanging="360"/>
      </w:pPr>
    </w:lvl>
    <w:lvl w:ilvl="7" w:tplc="A07AE02C" w:tentative="1">
      <w:start w:val="1"/>
      <w:numFmt w:val="lowerLetter"/>
      <w:lvlText w:val="%8."/>
      <w:lvlJc w:val="left"/>
      <w:pPr>
        <w:ind w:left="5760" w:hanging="360"/>
      </w:pPr>
    </w:lvl>
    <w:lvl w:ilvl="8" w:tplc="7778CB78" w:tentative="1">
      <w:start w:val="1"/>
      <w:numFmt w:val="lowerRoman"/>
      <w:lvlText w:val="%9."/>
      <w:lvlJc w:val="right"/>
      <w:pPr>
        <w:ind w:left="6480" w:hanging="180"/>
      </w:pPr>
    </w:lvl>
  </w:abstractNum>
  <w:abstractNum w:abstractNumId="26" w15:restartNumberingAfterBreak="0">
    <w:nsid w:val="563F0454"/>
    <w:multiLevelType w:val="hybridMultilevel"/>
    <w:tmpl w:val="55CE5B2E"/>
    <w:lvl w:ilvl="0" w:tplc="618C9206">
      <w:start w:val="1"/>
      <w:numFmt w:val="bullet"/>
      <w:lvlText w:val=""/>
      <w:lvlJc w:val="left"/>
      <w:pPr>
        <w:ind w:left="720" w:hanging="360"/>
      </w:pPr>
      <w:rPr>
        <w:rFonts w:ascii="Symbol" w:hAnsi="Symbol" w:hint="default"/>
      </w:rPr>
    </w:lvl>
    <w:lvl w:ilvl="1" w:tplc="99DE74E0" w:tentative="1">
      <w:start w:val="1"/>
      <w:numFmt w:val="bullet"/>
      <w:lvlText w:val="o"/>
      <w:lvlJc w:val="left"/>
      <w:pPr>
        <w:ind w:left="1440" w:hanging="360"/>
      </w:pPr>
      <w:rPr>
        <w:rFonts w:ascii="Courier New" w:hAnsi="Courier New" w:cs="Courier New" w:hint="default"/>
      </w:rPr>
    </w:lvl>
    <w:lvl w:ilvl="2" w:tplc="53FA322E" w:tentative="1">
      <w:start w:val="1"/>
      <w:numFmt w:val="bullet"/>
      <w:lvlText w:val=""/>
      <w:lvlJc w:val="left"/>
      <w:pPr>
        <w:ind w:left="2160" w:hanging="360"/>
      </w:pPr>
      <w:rPr>
        <w:rFonts w:ascii="Wingdings" w:hAnsi="Wingdings" w:hint="default"/>
      </w:rPr>
    </w:lvl>
    <w:lvl w:ilvl="3" w:tplc="67A6B6C6" w:tentative="1">
      <w:start w:val="1"/>
      <w:numFmt w:val="bullet"/>
      <w:lvlText w:val=""/>
      <w:lvlJc w:val="left"/>
      <w:pPr>
        <w:ind w:left="2880" w:hanging="360"/>
      </w:pPr>
      <w:rPr>
        <w:rFonts w:ascii="Symbol" w:hAnsi="Symbol" w:hint="default"/>
      </w:rPr>
    </w:lvl>
    <w:lvl w:ilvl="4" w:tplc="3F423036" w:tentative="1">
      <w:start w:val="1"/>
      <w:numFmt w:val="bullet"/>
      <w:lvlText w:val="o"/>
      <w:lvlJc w:val="left"/>
      <w:pPr>
        <w:ind w:left="3600" w:hanging="360"/>
      </w:pPr>
      <w:rPr>
        <w:rFonts w:ascii="Courier New" w:hAnsi="Courier New" w:cs="Courier New" w:hint="default"/>
      </w:rPr>
    </w:lvl>
    <w:lvl w:ilvl="5" w:tplc="D924B1E4" w:tentative="1">
      <w:start w:val="1"/>
      <w:numFmt w:val="bullet"/>
      <w:lvlText w:val=""/>
      <w:lvlJc w:val="left"/>
      <w:pPr>
        <w:ind w:left="4320" w:hanging="360"/>
      </w:pPr>
      <w:rPr>
        <w:rFonts w:ascii="Wingdings" w:hAnsi="Wingdings" w:hint="default"/>
      </w:rPr>
    </w:lvl>
    <w:lvl w:ilvl="6" w:tplc="FBDE3104" w:tentative="1">
      <w:start w:val="1"/>
      <w:numFmt w:val="bullet"/>
      <w:lvlText w:val=""/>
      <w:lvlJc w:val="left"/>
      <w:pPr>
        <w:ind w:left="5040" w:hanging="360"/>
      </w:pPr>
      <w:rPr>
        <w:rFonts w:ascii="Symbol" w:hAnsi="Symbol" w:hint="default"/>
      </w:rPr>
    </w:lvl>
    <w:lvl w:ilvl="7" w:tplc="D9345B84" w:tentative="1">
      <w:start w:val="1"/>
      <w:numFmt w:val="bullet"/>
      <w:lvlText w:val="o"/>
      <w:lvlJc w:val="left"/>
      <w:pPr>
        <w:ind w:left="5760" w:hanging="360"/>
      </w:pPr>
      <w:rPr>
        <w:rFonts w:ascii="Courier New" w:hAnsi="Courier New" w:cs="Courier New" w:hint="default"/>
      </w:rPr>
    </w:lvl>
    <w:lvl w:ilvl="8" w:tplc="69B0EE54" w:tentative="1">
      <w:start w:val="1"/>
      <w:numFmt w:val="bullet"/>
      <w:lvlText w:val=""/>
      <w:lvlJc w:val="left"/>
      <w:pPr>
        <w:ind w:left="6480" w:hanging="360"/>
      </w:pPr>
      <w:rPr>
        <w:rFonts w:ascii="Wingdings" w:hAnsi="Wingdings" w:hint="default"/>
      </w:rPr>
    </w:lvl>
  </w:abstractNum>
  <w:abstractNum w:abstractNumId="27" w15:restartNumberingAfterBreak="0">
    <w:nsid w:val="57C72E22"/>
    <w:multiLevelType w:val="hybridMultilevel"/>
    <w:tmpl w:val="174AF5C6"/>
    <w:lvl w:ilvl="0" w:tplc="61021324">
      <w:start w:val="1"/>
      <w:numFmt w:val="lowerLetter"/>
      <w:lvlText w:val="%1)"/>
      <w:lvlJc w:val="left"/>
      <w:pPr>
        <w:ind w:left="720" w:hanging="360"/>
      </w:pPr>
    </w:lvl>
    <w:lvl w:ilvl="1" w:tplc="9CC6DAC8" w:tentative="1">
      <w:start w:val="1"/>
      <w:numFmt w:val="lowerLetter"/>
      <w:lvlText w:val="%2."/>
      <w:lvlJc w:val="left"/>
      <w:pPr>
        <w:ind w:left="1440" w:hanging="360"/>
      </w:pPr>
    </w:lvl>
    <w:lvl w:ilvl="2" w:tplc="BE9855B4" w:tentative="1">
      <w:start w:val="1"/>
      <w:numFmt w:val="lowerRoman"/>
      <w:lvlText w:val="%3."/>
      <w:lvlJc w:val="right"/>
      <w:pPr>
        <w:ind w:left="2160" w:hanging="180"/>
      </w:pPr>
    </w:lvl>
    <w:lvl w:ilvl="3" w:tplc="6CEAEF82" w:tentative="1">
      <w:start w:val="1"/>
      <w:numFmt w:val="decimal"/>
      <w:lvlText w:val="%4."/>
      <w:lvlJc w:val="left"/>
      <w:pPr>
        <w:ind w:left="2880" w:hanging="360"/>
      </w:pPr>
    </w:lvl>
    <w:lvl w:ilvl="4" w:tplc="0C7A099C" w:tentative="1">
      <w:start w:val="1"/>
      <w:numFmt w:val="lowerLetter"/>
      <w:lvlText w:val="%5."/>
      <w:lvlJc w:val="left"/>
      <w:pPr>
        <w:ind w:left="3600" w:hanging="360"/>
      </w:pPr>
    </w:lvl>
    <w:lvl w:ilvl="5" w:tplc="0296A270" w:tentative="1">
      <w:start w:val="1"/>
      <w:numFmt w:val="lowerRoman"/>
      <w:lvlText w:val="%6."/>
      <w:lvlJc w:val="right"/>
      <w:pPr>
        <w:ind w:left="4320" w:hanging="180"/>
      </w:pPr>
    </w:lvl>
    <w:lvl w:ilvl="6" w:tplc="37AC3606" w:tentative="1">
      <w:start w:val="1"/>
      <w:numFmt w:val="decimal"/>
      <w:lvlText w:val="%7."/>
      <w:lvlJc w:val="left"/>
      <w:pPr>
        <w:ind w:left="5040" w:hanging="360"/>
      </w:pPr>
    </w:lvl>
    <w:lvl w:ilvl="7" w:tplc="DA1CEFFA" w:tentative="1">
      <w:start w:val="1"/>
      <w:numFmt w:val="lowerLetter"/>
      <w:lvlText w:val="%8."/>
      <w:lvlJc w:val="left"/>
      <w:pPr>
        <w:ind w:left="5760" w:hanging="360"/>
      </w:pPr>
    </w:lvl>
    <w:lvl w:ilvl="8" w:tplc="F174732C" w:tentative="1">
      <w:start w:val="1"/>
      <w:numFmt w:val="lowerRoman"/>
      <w:lvlText w:val="%9."/>
      <w:lvlJc w:val="right"/>
      <w:pPr>
        <w:ind w:left="6480" w:hanging="180"/>
      </w:pPr>
    </w:lvl>
  </w:abstractNum>
  <w:abstractNum w:abstractNumId="28" w15:restartNumberingAfterBreak="0">
    <w:nsid w:val="57DC4F62"/>
    <w:multiLevelType w:val="hybridMultilevel"/>
    <w:tmpl w:val="3B1AB040"/>
    <w:lvl w:ilvl="0" w:tplc="164A56AE">
      <w:start w:val="1"/>
      <w:numFmt w:val="decimal"/>
      <w:lvlText w:val="%1)"/>
      <w:lvlJc w:val="left"/>
      <w:pPr>
        <w:ind w:left="360" w:hanging="360"/>
      </w:pPr>
    </w:lvl>
    <w:lvl w:ilvl="1" w:tplc="C6A68A80">
      <w:start w:val="1"/>
      <w:numFmt w:val="bullet"/>
      <w:lvlText w:val=""/>
      <w:lvlJc w:val="left"/>
      <w:pPr>
        <w:ind w:left="1440" w:hanging="360"/>
      </w:pPr>
      <w:rPr>
        <w:rFonts w:ascii="Symbol" w:hAnsi="Symbol" w:hint="default"/>
      </w:rPr>
    </w:lvl>
    <w:lvl w:ilvl="2" w:tplc="F6024092" w:tentative="1">
      <w:start w:val="1"/>
      <w:numFmt w:val="lowerRoman"/>
      <w:lvlText w:val="%3."/>
      <w:lvlJc w:val="right"/>
      <w:pPr>
        <w:ind w:left="2160" w:hanging="180"/>
      </w:pPr>
    </w:lvl>
    <w:lvl w:ilvl="3" w:tplc="A5120C70" w:tentative="1">
      <w:start w:val="1"/>
      <w:numFmt w:val="decimal"/>
      <w:lvlText w:val="%4."/>
      <w:lvlJc w:val="left"/>
      <w:pPr>
        <w:ind w:left="2880" w:hanging="360"/>
      </w:pPr>
    </w:lvl>
    <w:lvl w:ilvl="4" w:tplc="8DF2E610" w:tentative="1">
      <w:start w:val="1"/>
      <w:numFmt w:val="lowerLetter"/>
      <w:lvlText w:val="%5."/>
      <w:lvlJc w:val="left"/>
      <w:pPr>
        <w:ind w:left="3600" w:hanging="360"/>
      </w:pPr>
    </w:lvl>
    <w:lvl w:ilvl="5" w:tplc="951836A8" w:tentative="1">
      <w:start w:val="1"/>
      <w:numFmt w:val="lowerRoman"/>
      <w:lvlText w:val="%6."/>
      <w:lvlJc w:val="right"/>
      <w:pPr>
        <w:ind w:left="4320" w:hanging="180"/>
      </w:pPr>
    </w:lvl>
    <w:lvl w:ilvl="6" w:tplc="2E62E80E" w:tentative="1">
      <w:start w:val="1"/>
      <w:numFmt w:val="decimal"/>
      <w:lvlText w:val="%7."/>
      <w:lvlJc w:val="left"/>
      <w:pPr>
        <w:ind w:left="5040" w:hanging="360"/>
      </w:pPr>
    </w:lvl>
    <w:lvl w:ilvl="7" w:tplc="0E82EFB6" w:tentative="1">
      <w:start w:val="1"/>
      <w:numFmt w:val="lowerLetter"/>
      <w:lvlText w:val="%8."/>
      <w:lvlJc w:val="left"/>
      <w:pPr>
        <w:ind w:left="5760" w:hanging="360"/>
      </w:pPr>
    </w:lvl>
    <w:lvl w:ilvl="8" w:tplc="9852F526" w:tentative="1">
      <w:start w:val="1"/>
      <w:numFmt w:val="lowerRoman"/>
      <w:lvlText w:val="%9."/>
      <w:lvlJc w:val="right"/>
      <w:pPr>
        <w:ind w:left="6480" w:hanging="180"/>
      </w:pPr>
    </w:lvl>
  </w:abstractNum>
  <w:abstractNum w:abstractNumId="29" w15:restartNumberingAfterBreak="0">
    <w:nsid w:val="58044E78"/>
    <w:multiLevelType w:val="hybridMultilevel"/>
    <w:tmpl w:val="215C4FEE"/>
    <w:lvl w:ilvl="0" w:tplc="A2D2E8F6">
      <w:start w:val="1"/>
      <w:numFmt w:val="bullet"/>
      <w:lvlText w:val=""/>
      <w:lvlJc w:val="left"/>
      <w:pPr>
        <w:ind w:left="720" w:hanging="360"/>
      </w:pPr>
      <w:rPr>
        <w:rFonts w:ascii="Wingdings" w:hAnsi="Wingdings" w:hint="default"/>
      </w:rPr>
    </w:lvl>
    <w:lvl w:ilvl="1" w:tplc="B366C7E0" w:tentative="1">
      <w:start w:val="1"/>
      <w:numFmt w:val="bullet"/>
      <w:lvlText w:val="o"/>
      <w:lvlJc w:val="left"/>
      <w:pPr>
        <w:ind w:left="1440" w:hanging="360"/>
      </w:pPr>
      <w:rPr>
        <w:rFonts w:ascii="Courier New" w:hAnsi="Courier New" w:cs="Courier New" w:hint="default"/>
      </w:rPr>
    </w:lvl>
    <w:lvl w:ilvl="2" w:tplc="59FC961E" w:tentative="1">
      <w:start w:val="1"/>
      <w:numFmt w:val="bullet"/>
      <w:lvlText w:val=""/>
      <w:lvlJc w:val="left"/>
      <w:pPr>
        <w:ind w:left="2160" w:hanging="360"/>
      </w:pPr>
      <w:rPr>
        <w:rFonts w:ascii="Wingdings" w:hAnsi="Wingdings" w:hint="default"/>
      </w:rPr>
    </w:lvl>
    <w:lvl w:ilvl="3" w:tplc="60A4F118" w:tentative="1">
      <w:start w:val="1"/>
      <w:numFmt w:val="bullet"/>
      <w:lvlText w:val=""/>
      <w:lvlJc w:val="left"/>
      <w:pPr>
        <w:ind w:left="2880" w:hanging="360"/>
      </w:pPr>
      <w:rPr>
        <w:rFonts w:ascii="Symbol" w:hAnsi="Symbol" w:hint="default"/>
      </w:rPr>
    </w:lvl>
    <w:lvl w:ilvl="4" w:tplc="B17C5A52" w:tentative="1">
      <w:start w:val="1"/>
      <w:numFmt w:val="bullet"/>
      <w:lvlText w:val="o"/>
      <w:lvlJc w:val="left"/>
      <w:pPr>
        <w:ind w:left="3600" w:hanging="360"/>
      </w:pPr>
      <w:rPr>
        <w:rFonts w:ascii="Courier New" w:hAnsi="Courier New" w:cs="Courier New" w:hint="default"/>
      </w:rPr>
    </w:lvl>
    <w:lvl w:ilvl="5" w:tplc="68726FFA" w:tentative="1">
      <w:start w:val="1"/>
      <w:numFmt w:val="bullet"/>
      <w:lvlText w:val=""/>
      <w:lvlJc w:val="left"/>
      <w:pPr>
        <w:ind w:left="4320" w:hanging="360"/>
      </w:pPr>
      <w:rPr>
        <w:rFonts w:ascii="Wingdings" w:hAnsi="Wingdings" w:hint="default"/>
      </w:rPr>
    </w:lvl>
    <w:lvl w:ilvl="6" w:tplc="28C8CCEE" w:tentative="1">
      <w:start w:val="1"/>
      <w:numFmt w:val="bullet"/>
      <w:lvlText w:val=""/>
      <w:lvlJc w:val="left"/>
      <w:pPr>
        <w:ind w:left="5040" w:hanging="360"/>
      </w:pPr>
      <w:rPr>
        <w:rFonts w:ascii="Symbol" w:hAnsi="Symbol" w:hint="default"/>
      </w:rPr>
    </w:lvl>
    <w:lvl w:ilvl="7" w:tplc="7234BEBE" w:tentative="1">
      <w:start w:val="1"/>
      <w:numFmt w:val="bullet"/>
      <w:lvlText w:val="o"/>
      <w:lvlJc w:val="left"/>
      <w:pPr>
        <w:ind w:left="5760" w:hanging="360"/>
      </w:pPr>
      <w:rPr>
        <w:rFonts w:ascii="Courier New" w:hAnsi="Courier New" w:cs="Courier New" w:hint="default"/>
      </w:rPr>
    </w:lvl>
    <w:lvl w:ilvl="8" w:tplc="F3BE7F04" w:tentative="1">
      <w:start w:val="1"/>
      <w:numFmt w:val="bullet"/>
      <w:lvlText w:val=""/>
      <w:lvlJc w:val="left"/>
      <w:pPr>
        <w:ind w:left="6480" w:hanging="360"/>
      </w:pPr>
      <w:rPr>
        <w:rFonts w:ascii="Wingdings" w:hAnsi="Wingdings" w:hint="default"/>
      </w:rPr>
    </w:lvl>
  </w:abstractNum>
  <w:abstractNum w:abstractNumId="30" w15:restartNumberingAfterBreak="0">
    <w:nsid w:val="5DB06E0D"/>
    <w:multiLevelType w:val="hybridMultilevel"/>
    <w:tmpl w:val="3776F62E"/>
    <w:lvl w:ilvl="0" w:tplc="11927E88">
      <w:start w:val="2"/>
      <w:numFmt w:val="bullet"/>
      <w:lvlText w:val="-"/>
      <w:lvlJc w:val="left"/>
      <w:pPr>
        <w:ind w:left="720" w:hanging="360"/>
      </w:pPr>
      <w:rPr>
        <w:rFonts w:ascii="Calibri" w:eastAsiaTheme="minorHAnsi" w:hAnsi="Calibri" w:cs="Calibri" w:hint="default"/>
      </w:rPr>
    </w:lvl>
    <w:lvl w:ilvl="1" w:tplc="A9C8C826" w:tentative="1">
      <w:start w:val="1"/>
      <w:numFmt w:val="bullet"/>
      <w:lvlText w:val="o"/>
      <w:lvlJc w:val="left"/>
      <w:pPr>
        <w:ind w:left="1440" w:hanging="360"/>
      </w:pPr>
      <w:rPr>
        <w:rFonts w:ascii="Courier New" w:hAnsi="Courier New" w:cs="Courier New" w:hint="default"/>
      </w:rPr>
    </w:lvl>
    <w:lvl w:ilvl="2" w:tplc="063432FE" w:tentative="1">
      <w:start w:val="1"/>
      <w:numFmt w:val="bullet"/>
      <w:lvlText w:val=""/>
      <w:lvlJc w:val="left"/>
      <w:pPr>
        <w:ind w:left="2160" w:hanging="360"/>
      </w:pPr>
      <w:rPr>
        <w:rFonts w:ascii="Wingdings" w:hAnsi="Wingdings" w:hint="default"/>
      </w:rPr>
    </w:lvl>
    <w:lvl w:ilvl="3" w:tplc="83B06DC4" w:tentative="1">
      <w:start w:val="1"/>
      <w:numFmt w:val="bullet"/>
      <w:lvlText w:val=""/>
      <w:lvlJc w:val="left"/>
      <w:pPr>
        <w:ind w:left="2880" w:hanging="360"/>
      </w:pPr>
      <w:rPr>
        <w:rFonts w:ascii="Symbol" w:hAnsi="Symbol" w:hint="default"/>
      </w:rPr>
    </w:lvl>
    <w:lvl w:ilvl="4" w:tplc="81A2894A" w:tentative="1">
      <w:start w:val="1"/>
      <w:numFmt w:val="bullet"/>
      <w:lvlText w:val="o"/>
      <w:lvlJc w:val="left"/>
      <w:pPr>
        <w:ind w:left="3600" w:hanging="360"/>
      </w:pPr>
      <w:rPr>
        <w:rFonts w:ascii="Courier New" w:hAnsi="Courier New" w:cs="Courier New" w:hint="default"/>
      </w:rPr>
    </w:lvl>
    <w:lvl w:ilvl="5" w:tplc="81C015B0" w:tentative="1">
      <w:start w:val="1"/>
      <w:numFmt w:val="bullet"/>
      <w:lvlText w:val=""/>
      <w:lvlJc w:val="left"/>
      <w:pPr>
        <w:ind w:left="4320" w:hanging="360"/>
      </w:pPr>
      <w:rPr>
        <w:rFonts w:ascii="Wingdings" w:hAnsi="Wingdings" w:hint="default"/>
      </w:rPr>
    </w:lvl>
    <w:lvl w:ilvl="6" w:tplc="4C8AD10E" w:tentative="1">
      <w:start w:val="1"/>
      <w:numFmt w:val="bullet"/>
      <w:lvlText w:val=""/>
      <w:lvlJc w:val="left"/>
      <w:pPr>
        <w:ind w:left="5040" w:hanging="360"/>
      </w:pPr>
      <w:rPr>
        <w:rFonts w:ascii="Symbol" w:hAnsi="Symbol" w:hint="default"/>
      </w:rPr>
    </w:lvl>
    <w:lvl w:ilvl="7" w:tplc="C0F29670" w:tentative="1">
      <w:start w:val="1"/>
      <w:numFmt w:val="bullet"/>
      <w:lvlText w:val="o"/>
      <w:lvlJc w:val="left"/>
      <w:pPr>
        <w:ind w:left="5760" w:hanging="360"/>
      </w:pPr>
      <w:rPr>
        <w:rFonts w:ascii="Courier New" w:hAnsi="Courier New" w:cs="Courier New" w:hint="default"/>
      </w:rPr>
    </w:lvl>
    <w:lvl w:ilvl="8" w:tplc="E2127A4E" w:tentative="1">
      <w:start w:val="1"/>
      <w:numFmt w:val="bullet"/>
      <w:lvlText w:val=""/>
      <w:lvlJc w:val="left"/>
      <w:pPr>
        <w:ind w:left="6480" w:hanging="360"/>
      </w:pPr>
      <w:rPr>
        <w:rFonts w:ascii="Wingdings" w:hAnsi="Wingdings" w:hint="default"/>
      </w:rPr>
    </w:lvl>
  </w:abstractNum>
  <w:abstractNum w:abstractNumId="31" w15:restartNumberingAfterBreak="0">
    <w:nsid w:val="5E8973CE"/>
    <w:multiLevelType w:val="hybridMultilevel"/>
    <w:tmpl w:val="CA9A0B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4111EFF"/>
    <w:multiLevelType w:val="hybridMultilevel"/>
    <w:tmpl w:val="CDAAB324"/>
    <w:lvl w:ilvl="0" w:tplc="0ACA5AF6">
      <w:start w:val="1"/>
      <w:numFmt w:val="bullet"/>
      <w:lvlText w:val=""/>
      <w:lvlJc w:val="left"/>
      <w:pPr>
        <w:ind w:left="720" w:hanging="360"/>
      </w:pPr>
      <w:rPr>
        <w:rFonts w:ascii="Wingdings" w:hAnsi="Wingdings" w:hint="default"/>
      </w:rPr>
    </w:lvl>
    <w:lvl w:ilvl="1" w:tplc="20723EAE" w:tentative="1">
      <w:start w:val="1"/>
      <w:numFmt w:val="bullet"/>
      <w:lvlText w:val="o"/>
      <w:lvlJc w:val="left"/>
      <w:pPr>
        <w:ind w:left="1440" w:hanging="360"/>
      </w:pPr>
      <w:rPr>
        <w:rFonts w:ascii="Courier New" w:hAnsi="Courier New" w:cs="Courier New" w:hint="default"/>
      </w:rPr>
    </w:lvl>
    <w:lvl w:ilvl="2" w:tplc="1E10BB26" w:tentative="1">
      <w:start w:val="1"/>
      <w:numFmt w:val="bullet"/>
      <w:lvlText w:val=""/>
      <w:lvlJc w:val="left"/>
      <w:pPr>
        <w:ind w:left="2160" w:hanging="360"/>
      </w:pPr>
      <w:rPr>
        <w:rFonts w:ascii="Wingdings" w:hAnsi="Wingdings" w:hint="default"/>
      </w:rPr>
    </w:lvl>
    <w:lvl w:ilvl="3" w:tplc="4D3C87C0" w:tentative="1">
      <w:start w:val="1"/>
      <w:numFmt w:val="bullet"/>
      <w:lvlText w:val=""/>
      <w:lvlJc w:val="left"/>
      <w:pPr>
        <w:ind w:left="2880" w:hanging="360"/>
      </w:pPr>
      <w:rPr>
        <w:rFonts w:ascii="Symbol" w:hAnsi="Symbol" w:hint="default"/>
      </w:rPr>
    </w:lvl>
    <w:lvl w:ilvl="4" w:tplc="38429A7E" w:tentative="1">
      <w:start w:val="1"/>
      <w:numFmt w:val="bullet"/>
      <w:lvlText w:val="o"/>
      <w:lvlJc w:val="left"/>
      <w:pPr>
        <w:ind w:left="3600" w:hanging="360"/>
      </w:pPr>
      <w:rPr>
        <w:rFonts w:ascii="Courier New" w:hAnsi="Courier New" w:cs="Courier New" w:hint="default"/>
      </w:rPr>
    </w:lvl>
    <w:lvl w:ilvl="5" w:tplc="6A7A5F9E" w:tentative="1">
      <w:start w:val="1"/>
      <w:numFmt w:val="bullet"/>
      <w:lvlText w:val=""/>
      <w:lvlJc w:val="left"/>
      <w:pPr>
        <w:ind w:left="4320" w:hanging="360"/>
      </w:pPr>
      <w:rPr>
        <w:rFonts w:ascii="Wingdings" w:hAnsi="Wingdings" w:hint="default"/>
      </w:rPr>
    </w:lvl>
    <w:lvl w:ilvl="6" w:tplc="B6383A36" w:tentative="1">
      <w:start w:val="1"/>
      <w:numFmt w:val="bullet"/>
      <w:lvlText w:val=""/>
      <w:lvlJc w:val="left"/>
      <w:pPr>
        <w:ind w:left="5040" w:hanging="360"/>
      </w:pPr>
      <w:rPr>
        <w:rFonts w:ascii="Symbol" w:hAnsi="Symbol" w:hint="default"/>
      </w:rPr>
    </w:lvl>
    <w:lvl w:ilvl="7" w:tplc="A3CC5948" w:tentative="1">
      <w:start w:val="1"/>
      <w:numFmt w:val="bullet"/>
      <w:lvlText w:val="o"/>
      <w:lvlJc w:val="left"/>
      <w:pPr>
        <w:ind w:left="5760" w:hanging="360"/>
      </w:pPr>
      <w:rPr>
        <w:rFonts w:ascii="Courier New" w:hAnsi="Courier New" w:cs="Courier New" w:hint="default"/>
      </w:rPr>
    </w:lvl>
    <w:lvl w:ilvl="8" w:tplc="B62E89F0" w:tentative="1">
      <w:start w:val="1"/>
      <w:numFmt w:val="bullet"/>
      <w:lvlText w:val=""/>
      <w:lvlJc w:val="left"/>
      <w:pPr>
        <w:ind w:left="6480" w:hanging="360"/>
      </w:pPr>
      <w:rPr>
        <w:rFonts w:ascii="Wingdings" w:hAnsi="Wingdings" w:hint="default"/>
      </w:rPr>
    </w:lvl>
  </w:abstractNum>
  <w:abstractNum w:abstractNumId="33" w15:restartNumberingAfterBreak="0">
    <w:nsid w:val="646F53AF"/>
    <w:multiLevelType w:val="hybridMultilevel"/>
    <w:tmpl w:val="6BC4C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8A76BB"/>
    <w:multiLevelType w:val="hybridMultilevel"/>
    <w:tmpl w:val="A05EC2B2"/>
    <w:lvl w:ilvl="0" w:tplc="06E02F28">
      <w:start w:val="1"/>
      <w:numFmt w:val="decimal"/>
      <w:lvlText w:val="%1."/>
      <w:lvlJc w:val="left"/>
      <w:pPr>
        <w:ind w:left="720" w:hanging="360"/>
      </w:pPr>
      <w:rPr>
        <w:rFonts w:hint="default"/>
      </w:rPr>
    </w:lvl>
    <w:lvl w:ilvl="1" w:tplc="9636012C" w:tentative="1">
      <w:start w:val="1"/>
      <w:numFmt w:val="lowerLetter"/>
      <w:lvlText w:val="%2."/>
      <w:lvlJc w:val="left"/>
      <w:pPr>
        <w:ind w:left="1440" w:hanging="360"/>
      </w:pPr>
    </w:lvl>
    <w:lvl w:ilvl="2" w:tplc="45E6DB66" w:tentative="1">
      <w:start w:val="1"/>
      <w:numFmt w:val="lowerRoman"/>
      <w:lvlText w:val="%3."/>
      <w:lvlJc w:val="right"/>
      <w:pPr>
        <w:ind w:left="2160" w:hanging="180"/>
      </w:pPr>
    </w:lvl>
    <w:lvl w:ilvl="3" w:tplc="6290C040" w:tentative="1">
      <w:start w:val="1"/>
      <w:numFmt w:val="decimal"/>
      <w:lvlText w:val="%4."/>
      <w:lvlJc w:val="left"/>
      <w:pPr>
        <w:ind w:left="2880" w:hanging="360"/>
      </w:pPr>
    </w:lvl>
    <w:lvl w:ilvl="4" w:tplc="10443DEE" w:tentative="1">
      <w:start w:val="1"/>
      <w:numFmt w:val="lowerLetter"/>
      <w:lvlText w:val="%5."/>
      <w:lvlJc w:val="left"/>
      <w:pPr>
        <w:ind w:left="3600" w:hanging="360"/>
      </w:pPr>
    </w:lvl>
    <w:lvl w:ilvl="5" w:tplc="5BF41AEA" w:tentative="1">
      <w:start w:val="1"/>
      <w:numFmt w:val="lowerRoman"/>
      <w:lvlText w:val="%6."/>
      <w:lvlJc w:val="right"/>
      <w:pPr>
        <w:ind w:left="4320" w:hanging="180"/>
      </w:pPr>
    </w:lvl>
    <w:lvl w:ilvl="6" w:tplc="E5FEF53A" w:tentative="1">
      <w:start w:val="1"/>
      <w:numFmt w:val="decimal"/>
      <w:lvlText w:val="%7."/>
      <w:lvlJc w:val="left"/>
      <w:pPr>
        <w:ind w:left="5040" w:hanging="360"/>
      </w:pPr>
    </w:lvl>
    <w:lvl w:ilvl="7" w:tplc="6020103A" w:tentative="1">
      <w:start w:val="1"/>
      <w:numFmt w:val="lowerLetter"/>
      <w:lvlText w:val="%8."/>
      <w:lvlJc w:val="left"/>
      <w:pPr>
        <w:ind w:left="5760" w:hanging="360"/>
      </w:pPr>
    </w:lvl>
    <w:lvl w:ilvl="8" w:tplc="FB0E017E" w:tentative="1">
      <w:start w:val="1"/>
      <w:numFmt w:val="lowerRoman"/>
      <w:lvlText w:val="%9."/>
      <w:lvlJc w:val="right"/>
      <w:pPr>
        <w:ind w:left="6480" w:hanging="180"/>
      </w:pPr>
    </w:lvl>
  </w:abstractNum>
  <w:abstractNum w:abstractNumId="35" w15:restartNumberingAfterBreak="0">
    <w:nsid w:val="67950F82"/>
    <w:multiLevelType w:val="multilevel"/>
    <w:tmpl w:val="2FFEA7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9D73BCA"/>
    <w:multiLevelType w:val="hybridMultilevel"/>
    <w:tmpl w:val="CA3CDF92"/>
    <w:lvl w:ilvl="0" w:tplc="04050001">
      <w:start w:val="1"/>
      <w:numFmt w:val="bullet"/>
      <w:lvlText w:val=""/>
      <w:lvlJc w:val="left"/>
      <w:pPr>
        <w:ind w:left="720" w:hanging="360"/>
      </w:pPr>
      <w:rPr>
        <w:rFonts w:ascii="Symbol" w:hAnsi="Symbol" w:hint="default"/>
      </w:rPr>
    </w:lvl>
    <w:lvl w:ilvl="1" w:tplc="560C732E" w:tentative="1">
      <w:start w:val="1"/>
      <w:numFmt w:val="bullet"/>
      <w:lvlText w:val="o"/>
      <w:lvlJc w:val="left"/>
      <w:pPr>
        <w:ind w:left="1440" w:hanging="360"/>
      </w:pPr>
      <w:rPr>
        <w:rFonts w:ascii="Courier New" w:hAnsi="Courier New" w:cs="Courier New" w:hint="default"/>
      </w:rPr>
    </w:lvl>
    <w:lvl w:ilvl="2" w:tplc="1DFA509A" w:tentative="1">
      <w:start w:val="1"/>
      <w:numFmt w:val="bullet"/>
      <w:lvlText w:val=""/>
      <w:lvlJc w:val="left"/>
      <w:pPr>
        <w:ind w:left="2160" w:hanging="360"/>
      </w:pPr>
      <w:rPr>
        <w:rFonts w:ascii="Wingdings" w:hAnsi="Wingdings" w:hint="default"/>
      </w:rPr>
    </w:lvl>
    <w:lvl w:ilvl="3" w:tplc="A6942DEE" w:tentative="1">
      <w:start w:val="1"/>
      <w:numFmt w:val="bullet"/>
      <w:lvlText w:val=""/>
      <w:lvlJc w:val="left"/>
      <w:pPr>
        <w:ind w:left="2880" w:hanging="360"/>
      </w:pPr>
      <w:rPr>
        <w:rFonts w:ascii="Symbol" w:hAnsi="Symbol" w:hint="default"/>
      </w:rPr>
    </w:lvl>
    <w:lvl w:ilvl="4" w:tplc="675A463C" w:tentative="1">
      <w:start w:val="1"/>
      <w:numFmt w:val="bullet"/>
      <w:lvlText w:val="o"/>
      <w:lvlJc w:val="left"/>
      <w:pPr>
        <w:ind w:left="3600" w:hanging="360"/>
      </w:pPr>
      <w:rPr>
        <w:rFonts w:ascii="Courier New" w:hAnsi="Courier New" w:cs="Courier New" w:hint="default"/>
      </w:rPr>
    </w:lvl>
    <w:lvl w:ilvl="5" w:tplc="F01C1324" w:tentative="1">
      <w:start w:val="1"/>
      <w:numFmt w:val="bullet"/>
      <w:lvlText w:val=""/>
      <w:lvlJc w:val="left"/>
      <w:pPr>
        <w:ind w:left="4320" w:hanging="360"/>
      </w:pPr>
      <w:rPr>
        <w:rFonts w:ascii="Wingdings" w:hAnsi="Wingdings" w:hint="default"/>
      </w:rPr>
    </w:lvl>
    <w:lvl w:ilvl="6" w:tplc="D18ED230" w:tentative="1">
      <w:start w:val="1"/>
      <w:numFmt w:val="bullet"/>
      <w:lvlText w:val=""/>
      <w:lvlJc w:val="left"/>
      <w:pPr>
        <w:ind w:left="5040" w:hanging="360"/>
      </w:pPr>
      <w:rPr>
        <w:rFonts w:ascii="Symbol" w:hAnsi="Symbol" w:hint="default"/>
      </w:rPr>
    </w:lvl>
    <w:lvl w:ilvl="7" w:tplc="F84637C0" w:tentative="1">
      <w:start w:val="1"/>
      <w:numFmt w:val="bullet"/>
      <w:lvlText w:val="o"/>
      <w:lvlJc w:val="left"/>
      <w:pPr>
        <w:ind w:left="5760" w:hanging="360"/>
      </w:pPr>
      <w:rPr>
        <w:rFonts w:ascii="Courier New" w:hAnsi="Courier New" w:cs="Courier New" w:hint="default"/>
      </w:rPr>
    </w:lvl>
    <w:lvl w:ilvl="8" w:tplc="1E80662C" w:tentative="1">
      <w:start w:val="1"/>
      <w:numFmt w:val="bullet"/>
      <w:lvlText w:val=""/>
      <w:lvlJc w:val="left"/>
      <w:pPr>
        <w:ind w:left="6480" w:hanging="360"/>
      </w:pPr>
      <w:rPr>
        <w:rFonts w:ascii="Wingdings" w:hAnsi="Wingdings" w:hint="default"/>
      </w:rPr>
    </w:lvl>
  </w:abstractNum>
  <w:abstractNum w:abstractNumId="37" w15:restartNumberingAfterBreak="0">
    <w:nsid w:val="6B2956AB"/>
    <w:multiLevelType w:val="hybridMultilevel"/>
    <w:tmpl w:val="67E2BEA8"/>
    <w:lvl w:ilvl="0" w:tplc="98BE2450">
      <w:start w:val="1"/>
      <w:numFmt w:val="bullet"/>
      <w:lvlText w:val=""/>
      <w:lvlJc w:val="left"/>
      <w:pPr>
        <w:ind w:left="720" w:hanging="360"/>
      </w:pPr>
      <w:rPr>
        <w:rFonts w:ascii="Symbol" w:hAnsi="Symbol" w:hint="default"/>
      </w:rPr>
    </w:lvl>
    <w:lvl w:ilvl="1" w:tplc="781C317C" w:tentative="1">
      <w:start w:val="1"/>
      <w:numFmt w:val="bullet"/>
      <w:lvlText w:val="o"/>
      <w:lvlJc w:val="left"/>
      <w:pPr>
        <w:ind w:left="1440" w:hanging="360"/>
      </w:pPr>
      <w:rPr>
        <w:rFonts w:ascii="Courier New" w:hAnsi="Courier New" w:cs="Courier New" w:hint="default"/>
      </w:rPr>
    </w:lvl>
    <w:lvl w:ilvl="2" w:tplc="B6763D62" w:tentative="1">
      <w:start w:val="1"/>
      <w:numFmt w:val="bullet"/>
      <w:lvlText w:val=""/>
      <w:lvlJc w:val="left"/>
      <w:pPr>
        <w:ind w:left="2160" w:hanging="360"/>
      </w:pPr>
      <w:rPr>
        <w:rFonts w:ascii="Wingdings" w:hAnsi="Wingdings" w:hint="default"/>
      </w:rPr>
    </w:lvl>
    <w:lvl w:ilvl="3" w:tplc="303A67CC" w:tentative="1">
      <w:start w:val="1"/>
      <w:numFmt w:val="bullet"/>
      <w:lvlText w:val=""/>
      <w:lvlJc w:val="left"/>
      <w:pPr>
        <w:ind w:left="2880" w:hanging="360"/>
      </w:pPr>
      <w:rPr>
        <w:rFonts w:ascii="Symbol" w:hAnsi="Symbol" w:hint="default"/>
      </w:rPr>
    </w:lvl>
    <w:lvl w:ilvl="4" w:tplc="6C34796C" w:tentative="1">
      <w:start w:val="1"/>
      <w:numFmt w:val="bullet"/>
      <w:lvlText w:val="o"/>
      <w:lvlJc w:val="left"/>
      <w:pPr>
        <w:ind w:left="3600" w:hanging="360"/>
      </w:pPr>
      <w:rPr>
        <w:rFonts w:ascii="Courier New" w:hAnsi="Courier New" w:cs="Courier New" w:hint="default"/>
      </w:rPr>
    </w:lvl>
    <w:lvl w:ilvl="5" w:tplc="89B69578" w:tentative="1">
      <w:start w:val="1"/>
      <w:numFmt w:val="bullet"/>
      <w:lvlText w:val=""/>
      <w:lvlJc w:val="left"/>
      <w:pPr>
        <w:ind w:left="4320" w:hanging="360"/>
      </w:pPr>
      <w:rPr>
        <w:rFonts w:ascii="Wingdings" w:hAnsi="Wingdings" w:hint="default"/>
      </w:rPr>
    </w:lvl>
    <w:lvl w:ilvl="6" w:tplc="C83678F4" w:tentative="1">
      <w:start w:val="1"/>
      <w:numFmt w:val="bullet"/>
      <w:lvlText w:val=""/>
      <w:lvlJc w:val="left"/>
      <w:pPr>
        <w:ind w:left="5040" w:hanging="360"/>
      </w:pPr>
      <w:rPr>
        <w:rFonts w:ascii="Symbol" w:hAnsi="Symbol" w:hint="default"/>
      </w:rPr>
    </w:lvl>
    <w:lvl w:ilvl="7" w:tplc="BDCCB0E6" w:tentative="1">
      <w:start w:val="1"/>
      <w:numFmt w:val="bullet"/>
      <w:lvlText w:val="o"/>
      <w:lvlJc w:val="left"/>
      <w:pPr>
        <w:ind w:left="5760" w:hanging="360"/>
      </w:pPr>
      <w:rPr>
        <w:rFonts w:ascii="Courier New" w:hAnsi="Courier New" w:cs="Courier New" w:hint="default"/>
      </w:rPr>
    </w:lvl>
    <w:lvl w:ilvl="8" w:tplc="D6D08A28" w:tentative="1">
      <w:start w:val="1"/>
      <w:numFmt w:val="bullet"/>
      <w:lvlText w:val=""/>
      <w:lvlJc w:val="left"/>
      <w:pPr>
        <w:ind w:left="6480" w:hanging="360"/>
      </w:pPr>
      <w:rPr>
        <w:rFonts w:ascii="Wingdings" w:hAnsi="Wingdings" w:hint="default"/>
      </w:rPr>
    </w:lvl>
  </w:abstractNum>
  <w:abstractNum w:abstractNumId="38" w15:restartNumberingAfterBreak="0">
    <w:nsid w:val="6C5410F3"/>
    <w:multiLevelType w:val="hybridMultilevel"/>
    <w:tmpl w:val="380801B8"/>
    <w:lvl w:ilvl="0" w:tplc="42B0A6D2">
      <w:start w:val="1"/>
      <w:numFmt w:val="decimal"/>
      <w:lvlText w:val="%1."/>
      <w:lvlJc w:val="left"/>
      <w:pPr>
        <w:ind w:left="36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EC3AD8"/>
    <w:multiLevelType w:val="hybridMultilevel"/>
    <w:tmpl w:val="4CCEE7EC"/>
    <w:lvl w:ilvl="0" w:tplc="E57099C0">
      <w:start w:val="1"/>
      <w:numFmt w:val="decimal"/>
      <w:lvlText w:val="%1."/>
      <w:lvlJc w:val="left"/>
      <w:pPr>
        <w:ind w:left="2007" w:hanging="360"/>
      </w:pPr>
    </w:lvl>
    <w:lvl w:ilvl="1" w:tplc="C97639BE" w:tentative="1">
      <w:start w:val="1"/>
      <w:numFmt w:val="lowerLetter"/>
      <w:lvlText w:val="%2."/>
      <w:lvlJc w:val="left"/>
      <w:pPr>
        <w:ind w:left="2727" w:hanging="360"/>
      </w:pPr>
    </w:lvl>
    <w:lvl w:ilvl="2" w:tplc="9E2217C8" w:tentative="1">
      <w:start w:val="1"/>
      <w:numFmt w:val="lowerRoman"/>
      <w:lvlText w:val="%3."/>
      <w:lvlJc w:val="right"/>
      <w:pPr>
        <w:ind w:left="3447" w:hanging="180"/>
      </w:pPr>
    </w:lvl>
    <w:lvl w:ilvl="3" w:tplc="92705496" w:tentative="1">
      <w:start w:val="1"/>
      <w:numFmt w:val="decimal"/>
      <w:lvlText w:val="%4."/>
      <w:lvlJc w:val="left"/>
      <w:pPr>
        <w:ind w:left="4167" w:hanging="360"/>
      </w:pPr>
    </w:lvl>
    <w:lvl w:ilvl="4" w:tplc="9A623E9C" w:tentative="1">
      <w:start w:val="1"/>
      <w:numFmt w:val="lowerLetter"/>
      <w:lvlText w:val="%5."/>
      <w:lvlJc w:val="left"/>
      <w:pPr>
        <w:ind w:left="4887" w:hanging="360"/>
      </w:pPr>
    </w:lvl>
    <w:lvl w:ilvl="5" w:tplc="6DB2E3E0" w:tentative="1">
      <w:start w:val="1"/>
      <w:numFmt w:val="lowerRoman"/>
      <w:lvlText w:val="%6."/>
      <w:lvlJc w:val="right"/>
      <w:pPr>
        <w:ind w:left="5607" w:hanging="180"/>
      </w:pPr>
    </w:lvl>
    <w:lvl w:ilvl="6" w:tplc="846450BC" w:tentative="1">
      <w:start w:val="1"/>
      <w:numFmt w:val="decimal"/>
      <w:lvlText w:val="%7."/>
      <w:lvlJc w:val="left"/>
      <w:pPr>
        <w:ind w:left="6327" w:hanging="360"/>
      </w:pPr>
    </w:lvl>
    <w:lvl w:ilvl="7" w:tplc="BD865FD0" w:tentative="1">
      <w:start w:val="1"/>
      <w:numFmt w:val="lowerLetter"/>
      <w:lvlText w:val="%8."/>
      <w:lvlJc w:val="left"/>
      <w:pPr>
        <w:ind w:left="7047" w:hanging="360"/>
      </w:pPr>
    </w:lvl>
    <w:lvl w:ilvl="8" w:tplc="0254A3F0" w:tentative="1">
      <w:start w:val="1"/>
      <w:numFmt w:val="lowerRoman"/>
      <w:lvlText w:val="%9."/>
      <w:lvlJc w:val="right"/>
      <w:pPr>
        <w:ind w:left="7767" w:hanging="180"/>
      </w:pPr>
    </w:lvl>
  </w:abstractNum>
  <w:abstractNum w:abstractNumId="40" w15:restartNumberingAfterBreak="0">
    <w:nsid w:val="7537207F"/>
    <w:multiLevelType w:val="hybridMultilevel"/>
    <w:tmpl w:val="D9A2CF74"/>
    <w:lvl w:ilvl="0" w:tplc="4BD0F9F4">
      <w:start w:val="1"/>
      <w:numFmt w:val="lowerLetter"/>
      <w:lvlText w:val="%1)"/>
      <w:lvlJc w:val="left"/>
      <w:pPr>
        <w:ind w:left="720" w:hanging="360"/>
      </w:pPr>
    </w:lvl>
    <w:lvl w:ilvl="1" w:tplc="A7EA543A" w:tentative="1">
      <w:start w:val="1"/>
      <w:numFmt w:val="lowerLetter"/>
      <w:lvlText w:val="%2."/>
      <w:lvlJc w:val="left"/>
      <w:pPr>
        <w:ind w:left="1440" w:hanging="360"/>
      </w:pPr>
    </w:lvl>
    <w:lvl w:ilvl="2" w:tplc="89DC4B0A" w:tentative="1">
      <w:start w:val="1"/>
      <w:numFmt w:val="lowerRoman"/>
      <w:lvlText w:val="%3."/>
      <w:lvlJc w:val="right"/>
      <w:pPr>
        <w:ind w:left="2160" w:hanging="180"/>
      </w:pPr>
    </w:lvl>
    <w:lvl w:ilvl="3" w:tplc="1ECCC950" w:tentative="1">
      <w:start w:val="1"/>
      <w:numFmt w:val="decimal"/>
      <w:lvlText w:val="%4."/>
      <w:lvlJc w:val="left"/>
      <w:pPr>
        <w:ind w:left="2880" w:hanging="360"/>
      </w:pPr>
    </w:lvl>
    <w:lvl w:ilvl="4" w:tplc="B464D6E8" w:tentative="1">
      <w:start w:val="1"/>
      <w:numFmt w:val="lowerLetter"/>
      <w:lvlText w:val="%5."/>
      <w:lvlJc w:val="left"/>
      <w:pPr>
        <w:ind w:left="3600" w:hanging="360"/>
      </w:pPr>
    </w:lvl>
    <w:lvl w:ilvl="5" w:tplc="17321638" w:tentative="1">
      <w:start w:val="1"/>
      <w:numFmt w:val="lowerRoman"/>
      <w:lvlText w:val="%6."/>
      <w:lvlJc w:val="right"/>
      <w:pPr>
        <w:ind w:left="4320" w:hanging="180"/>
      </w:pPr>
    </w:lvl>
    <w:lvl w:ilvl="6" w:tplc="CA7A481A" w:tentative="1">
      <w:start w:val="1"/>
      <w:numFmt w:val="decimal"/>
      <w:lvlText w:val="%7."/>
      <w:lvlJc w:val="left"/>
      <w:pPr>
        <w:ind w:left="5040" w:hanging="360"/>
      </w:pPr>
    </w:lvl>
    <w:lvl w:ilvl="7" w:tplc="73FE3A92" w:tentative="1">
      <w:start w:val="1"/>
      <w:numFmt w:val="lowerLetter"/>
      <w:lvlText w:val="%8."/>
      <w:lvlJc w:val="left"/>
      <w:pPr>
        <w:ind w:left="5760" w:hanging="360"/>
      </w:pPr>
    </w:lvl>
    <w:lvl w:ilvl="8" w:tplc="7B8AFCD0" w:tentative="1">
      <w:start w:val="1"/>
      <w:numFmt w:val="lowerRoman"/>
      <w:lvlText w:val="%9."/>
      <w:lvlJc w:val="right"/>
      <w:pPr>
        <w:ind w:left="6480" w:hanging="180"/>
      </w:pPr>
    </w:lvl>
  </w:abstractNum>
  <w:abstractNum w:abstractNumId="41" w15:restartNumberingAfterBreak="0">
    <w:nsid w:val="7AC23754"/>
    <w:multiLevelType w:val="hybridMultilevel"/>
    <w:tmpl w:val="AF4ED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190C0B"/>
    <w:multiLevelType w:val="hybridMultilevel"/>
    <w:tmpl w:val="D5D616A8"/>
    <w:lvl w:ilvl="0" w:tplc="9690952A">
      <w:start w:val="1"/>
      <w:numFmt w:val="lowerLetter"/>
      <w:lvlText w:val="%1)"/>
      <w:lvlJc w:val="left"/>
      <w:pPr>
        <w:ind w:left="720" w:hanging="360"/>
      </w:pPr>
      <w:rPr>
        <w:rFonts w:hint="default"/>
      </w:rPr>
    </w:lvl>
    <w:lvl w:ilvl="1" w:tplc="D8ACC1E6" w:tentative="1">
      <w:start w:val="1"/>
      <w:numFmt w:val="lowerLetter"/>
      <w:lvlText w:val="%2."/>
      <w:lvlJc w:val="left"/>
      <w:pPr>
        <w:ind w:left="1440" w:hanging="360"/>
      </w:pPr>
    </w:lvl>
    <w:lvl w:ilvl="2" w:tplc="17B2552C" w:tentative="1">
      <w:start w:val="1"/>
      <w:numFmt w:val="lowerRoman"/>
      <w:lvlText w:val="%3."/>
      <w:lvlJc w:val="right"/>
      <w:pPr>
        <w:ind w:left="2160" w:hanging="180"/>
      </w:pPr>
    </w:lvl>
    <w:lvl w:ilvl="3" w:tplc="FF5C0A18" w:tentative="1">
      <w:start w:val="1"/>
      <w:numFmt w:val="decimal"/>
      <w:lvlText w:val="%4."/>
      <w:lvlJc w:val="left"/>
      <w:pPr>
        <w:ind w:left="2880" w:hanging="360"/>
      </w:pPr>
    </w:lvl>
    <w:lvl w:ilvl="4" w:tplc="91E44578" w:tentative="1">
      <w:start w:val="1"/>
      <w:numFmt w:val="lowerLetter"/>
      <w:lvlText w:val="%5."/>
      <w:lvlJc w:val="left"/>
      <w:pPr>
        <w:ind w:left="3600" w:hanging="360"/>
      </w:pPr>
    </w:lvl>
    <w:lvl w:ilvl="5" w:tplc="7A5488EA" w:tentative="1">
      <w:start w:val="1"/>
      <w:numFmt w:val="lowerRoman"/>
      <w:lvlText w:val="%6."/>
      <w:lvlJc w:val="right"/>
      <w:pPr>
        <w:ind w:left="4320" w:hanging="180"/>
      </w:pPr>
    </w:lvl>
    <w:lvl w:ilvl="6" w:tplc="E1A89004" w:tentative="1">
      <w:start w:val="1"/>
      <w:numFmt w:val="decimal"/>
      <w:lvlText w:val="%7."/>
      <w:lvlJc w:val="left"/>
      <w:pPr>
        <w:ind w:left="5040" w:hanging="360"/>
      </w:pPr>
    </w:lvl>
    <w:lvl w:ilvl="7" w:tplc="65141BBA" w:tentative="1">
      <w:start w:val="1"/>
      <w:numFmt w:val="lowerLetter"/>
      <w:lvlText w:val="%8."/>
      <w:lvlJc w:val="left"/>
      <w:pPr>
        <w:ind w:left="5760" w:hanging="360"/>
      </w:pPr>
    </w:lvl>
    <w:lvl w:ilvl="8" w:tplc="FA28898A" w:tentative="1">
      <w:start w:val="1"/>
      <w:numFmt w:val="lowerRoman"/>
      <w:lvlText w:val="%9."/>
      <w:lvlJc w:val="right"/>
      <w:pPr>
        <w:ind w:left="6480" w:hanging="180"/>
      </w:pPr>
    </w:lvl>
  </w:abstractNum>
  <w:abstractNum w:abstractNumId="43" w15:restartNumberingAfterBreak="0">
    <w:nsid w:val="7E5F4E9A"/>
    <w:multiLevelType w:val="hybridMultilevel"/>
    <w:tmpl w:val="D5D616A8"/>
    <w:lvl w:ilvl="0" w:tplc="7554A3DC">
      <w:start w:val="1"/>
      <w:numFmt w:val="lowerLetter"/>
      <w:lvlText w:val="%1)"/>
      <w:lvlJc w:val="left"/>
      <w:pPr>
        <w:ind w:left="720" w:hanging="360"/>
      </w:pPr>
      <w:rPr>
        <w:rFonts w:hint="default"/>
      </w:rPr>
    </w:lvl>
    <w:lvl w:ilvl="1" w:tplc="D6DC3BC8" w:tentative="1">
      <w:start w:val="1"/>
      <w:numFmt w:val="lowerLetter"/>
      <w:lvlText w:val="%2."/>
      <w:lvlJc w:val="left"/>
      <w:pPr>
        <w:ind w:left="1440" w:hanging="360"/>
      </w:pPr>
    </w:lvl>
    <w:lvl w:ilvl="2" w:tplc="FB06D794" w:tentative="1">
      <w:start w:val="1"/>
      <w:numFmt w:val="lowerRoman"/>
      <w:lvlText w:val="%3."/>
      <w:lvlJc w:val="right"/>
      <w:pPr>
        <w:ind w:left="2160" w:hanging="180"/>
      </w:pPr>
    </w:lvl>
    <w:lvl w:ilvl="3" w:tplc="CD782152" w:tentative="1">
      <w:start w:val="1"/>
      <w:numFmt w:val="decimal"/>
      <w:lvlText w:val="%4."/>
      <w:lvlJc w:val="left"/>
      <w:pPr>
        <w:ind w:left="2880" w:hanging="360"/>
      </w:pPr>
    </w:lvl>
    <w:lvl w:ilvl="4" w:tplc="B3068D50" w:tentative="1">
      <w:start w:val="1"/>
      <w:numFmt w:val="lowerLetter"/>
      <w:lvlText w:val="%5."/>
      <w:lvlJc w:val="left"/>
      <w:pPr>
        <w:ind w:left="3600" w:hanging="360"/>
      </w:pPr>
    </w:lvl>
    <w:lvl w:ilvl="5" w:tplc="B39607F8" w:tentative="1">
      <w:start w:val="1"/>
      <w:numFmt w:val="lowerRoman"/>
      <w:lvlText w:val="%6."/>
      <w:lvlJc w:val="right"/>
      <w:pPr>
        <w:ind w:left="4320" w:hanging="180"/>
      </w:pPr>
    </w:lvl>
    <w:lvl w:ilvl="6" w:tplc="1B920B54" w:tentative="1">
      <w:start w:val="1"/>
      <w:numFmt w:val="decimal"/>
      <w:lvlText w:val="%7."/>
      <w:lvlJc w:val="left"/>
      <w:pPr>
        <w:ind w:left="5040" w:hanging="360"/>
      </w:pPr>
    </w:lvl>
    <w:lvl w:ilvl="7" w:tplc="1B4475BC" w:tentative="1">
      <w:start w:val="1"/>
      <w:numFmt w:val="lowerLetter"/>
      <w:lvlText w:val="%8."/>
      <w:lvlJc w:val="left"/>
      <w:pPr>
        <w:ind w:left="5760" w:hanging="360"/>
      </w:pPr>
    </w:lvl>
    <w:lvl w:ilvl="8" w:tplc="3238EC56" w:tentative="1">
      <w:start w:val="1"/>
      <w:numFmt w:val="lowerRoman"/>
      <w:lvlText w:val="%9."/>
      <w:lvlJc w:val="right"/>
      <w:pPr>
        <w:ind w:left="6480" w:hanging="180"/>
      </w:pPr>
    </w:lvl>
  </w:abstractNum>
  <w:abstractNum w:abstractNumId="44" w15:restartNumberingAfterBreak="0">
    <w:nsid w:val="7E7D616F"/>
    <w:multiLevelType w:val="hybridMultilevel"/>
    <w:tmpl w:val="3F4A4F92"/>
    <w:lvl w:ilvl="0" w:tplc="C87CF7FC">
      <w:start w:val="1"/>
      <w:numFmt w:val="lowerLetter"/>
      <w:lvlText w:val="%1)"/>
      <w:lvlJc w:val="left"/>
      <w:pPr>
        <w:ind w:left="720" w:hanging="360"/>
      </w:pPr>
    </w:lvl>
    <w:lvl w:ilvl="1" w:tplc="4252CC8C" w:tentative="1">
      <w:start w:val="1"/>
      <w:numFmt w:val="lowerLetter"/>
      <w:lvlText w:val="%2."/>
      <w:lvlJc w:val="left"/>
      <w:pPr>
        <w:ind w:left="1440" w:hanging="360"/>
      </w:pPr>
    </w:lvl>
    <w:lvl w:ilvl="2" w:tplc="944002CA" w:tentative="1">
      <w:start w:val="1"/>
      <w:numFmt w:val="lowerRoman"/>
      <w:lvlText w:val="%3."/>
      <w:lvlJc w:val="right"/>
      <w:pPr>
        <w:ind w:left="2160" w:hanging="180"/>
      </w:pPr>
    </w:lvl>
    <w:lvl w:ilvl="3" w:tplc="5A362C92" w:tentative="1">
      <w:start w:val="1"/>
      <w:numFmt w:val="decimal"/>
      <w:lvlText w:val="%4."/>
      <w:lvlJc w:val="left"/>
      <w:pPr>
        <w:ind w:left="2880" w:hanging="360"/>
      </w:pPr>
    </w:lvl>
    <w:lvl w:ilvl="4" w:tplc="3F3E9B5C" w:tentative="1">
      <w:start w:val="1"/>
      <w:numFmt w:val="lowerLetter"/>
      <w:lvlText w:val="%5."/>
      <w:lvlJc w:val="left"/>
      <w:pPr>
        <w:ind w:left="3600" w:hanging="360"/>
      </w:pPr>
    </w:lvl>
    <w:lvl w:ilvl="5" w:tplc="9F4CC4DC" w:tentative="1">
      <w:start w:val="1"/>
      <w:numFmt w:val="lowerRoman"/>
      <w:lvlText w:val="%6."/>
      <w:lvlJc w:val="right"/>
      <w:pPr>
        <w:ind w:left="4320" w:hanging="180"/>
      </w:pPr>
    </w:lvl>
    <w:lvl w:ilvl="6" w:tplc="CCC8C4F0" w:tentative="1">
      <w:start w:val="1"/>
      <w:numFmt w:val="decimal"/>
      <w:lvlText w:val="%7."/>
      <w:lvlJc w:val="left"/>
      <w:pPr>
        <w:ind w:left="5040" w:hanging="360"/>
      </w:pPr>
    </w:lvl>
    <w:lvl w:ilvl="7" w:tplc="A56E1EE6" w:tentative="1">
      <w:start w:val="1"/>
      <w:numFmt w:val="lowerLetter"/>
      <w:lvlText w:val="%8."/>
      <w:lvlJc w:val="left"/>
      <w:pPr>
        <w:ind w:left="5760" w:hanging="360"/>
      </w:pPr>
    </w:lvl>
    <w:lvl w:ilvl="8" w:tplc="A2B0A1BE" w:tentative="1">
      <w:start w:val="1"/>
      <w:numFmt w:val="lowerRoman"/>
      <w:lvlText w:val="%9."/>
      <w:lvlJc w:val="right"/>
      <w:pPr>
        <w:ind w:left="6480" w:hanging="180"/>
      </w:pPr>
    </w:lvl>
  </w:abstractNum>
  <w:num w:numId="1">
    <w:abstractNumId w:val="35"/>
  </w:num>
  <w:num w:numId="2">
    <w:abstractNumId w:val="35"/>
  </w:num>
  <w:num w:numId="3">
    <w:abstractNumId w:val="19"/>
  </w:num>
  <w:num w:numId="4">
    <w:abstractNumId w:val="28"/>
  </w:num>
  <w:num w:numId="5">
    <w:abstractNumId w:val="43"/>
  </w:num>
  <w:num w:numId="6">
    <w:abstractNumId w:val="42"/>
  </w:num>
  <w:num w:numId="7">
    <w:abstractNumId w:val="16"/>
  </w:num>
  <w:num w:numId="8">
    <w:abstractNumId w:val="14"/>
  </w:num>
  <w:num w:numId="9">
    <w:abstractNumId w:val="12"/>
  </w:num>
  <w:num w:numId="10">
    <w:abstractNumId w:val="28"/>
  </w:num>
  <w:num w:numId="11">
    <w:abstractNumId w:val="11"/>
  </w:num>
  <w:num w:numId="12">
    <w:abstractNumId w:val="2"/>
  </w:num>
  <w:num w:numId="13">
    <w:abstractNumId w:val="5"/>
  </w:num>
  <w:num w:numId="14">
    <w:abstractNumId w:val="25"/>
  </w:num>
  <w:num w:numId="15">
    <w:abstractNumId w:val="34"/>
  </w:num>
  <w:num w:numId="16">
    <w:abstractNumId w:val="3"/>
  </w:num>
  <w:num w:numId="17">
    <w:abstractNumId w:val="7"/>
  </w:num>
  <w:num w:numId="18">
    <w:abstractNumId w:val="0"/>
  </w:num>
  <w:num w:numId="19">
    <w:abstractNumId w:val="26"/>
  </w:num>
  <w:num w:numId="20">
    <w:abstractNumId w:val="17"/>
  </w:num>
  <w:num w:numId="21">
    <w:abstractNumId w:val="10"/>
  </w:num>
  <w:num w:numId="22">
    <w:abstractNumId w:val="13"/>
  </w:num>
  <w:num w:numId="23">
    <w:abstractNumId w:val="18"/>
  </w:num>
  <w:num w:numId="24">
    <w:abstractNumId w:val="21"/>
  </w:num>
  <w:num w:numId="25">
    <w:abstractNumId w:val="22"/>
  </w:num>
  <w:num w:numId="26">
    <w:abstractNumId w:val="44"/>
  </w:num>
  <w:num w:numId="27">
    <w:abstractNumId w:val="40"/>
  </w:num>
  <w:num w:numId="28">
    <w:abstractNumId w:val="20"/>
  </w:num>
  <w:num w:numId="29">
    <w:abstractNumId w:val="29"/>
  </w:num>
  <w:num w:numId="30">
    <w:abstractNumId w:val="32"/>
  </w:num>
  <w:num w:numId="31">
    <w:abstractNumId w:val="6"/>
  </w:num>
  <w:num w:numId="32">
    <w:abstractNumId w:val="1"/>
  </w:num>
  <w:num w:numId="33">
    <w:abstractNumId w:val="8"/>
  </w:num>
  <w:num w:numId="34">
    <w:abstractNumId w:val="9"/>
  </w:num>
  <w:num w:numId="35">
    <w:abstractNumId w:val="15"/>
  </w:num>
  <w:num w:numId="36">
    <w:abstractNumId w:val="27"/>
  </w:num>
  <w:num w:numId="37">
    <w:abstractNumId w:val="37"/>
  </w:num>
  <w:num w:numId="38">
    <w:abstractNumId w:val="4"/>
  </w:num>
  <w:num w:numId="39">
    <w:abstractNumId w:val="23"/>
  </w:num>
  <w:num w:numId="40">
    <w:abstractNumId w:val="39"/>
  </w:num>
  <w:num w:numId="41">
    <w:abstractNumId w:val="24"/>
  </w:num>
  <w:num w:numId="42">
    <w:abstractNumId w:val="30"/>
  </w:num>
  <w:num w:numId="43">
    <w:abstractNumId w:val="36"/>
  </w:num>
  <w:num w:numId="44">
    <w:abstractNumId w:val="33"/>
  </w:num>
  <w:num w:numId="45">
    <w:abstractNumId w:val="38"/>
  </w:num>
  <w:num w:numId="46">
    <w:abstractNumId w:val="4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SortMethod w:val="0004"/>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7F"/>
    <w:rsid w:val="00000362"/>
    <w:rsid w:val="00016605"/>
    <w:rsid w:val="00046A13"/>
    <w:rsid w:val="000552AD"/>
    <w:rsid w:val="0006537B"/>
    <w:rsid w:val="00066536"/>
    <w:rsid w:val="000848F6"/>
    <w:rsid w:val="00087C29"/>
    <w:rsid w:val="00087E22"/>
    <w:rsid w:val="0009686B"/>
    <w:rsid w:val="000A045B"/>
    <w:rsid w:val="000A0D9D"/>
    <w:rsid w:val="000B6929"/>
    <w:rsid w:val="000D4791"/>
    <w:rsid w:val="000D779D"/>
    <w:rsid w:val="001048DA"/>
    <w:rsid w:val="00110E8E"/>
    <w:rsid w:val="0011199F"/>
    <w:rsid w:val="00137B4A"/>
    <w:rsid w:val="00141703"/>
    <w:rsid w:val="00145E4E"/>
    <w:rsid w:val="00155568"/>
    <w:rsid w:val="001757EC"/>
    <w:rsid w:val="001A523D"/>
    <w:rsid w:val="001B1D79"/>
    <w:rsid w:val="001C6BCE"/>
    <w:rsid w:val="001D5B02"/>
    <w:rsid w:val="001E39E0"/>
    <w:rsid w:val="001F16E9"/>
    <w:rsid w:val="002038DB"/>
    <w:rsid w:val="00221508"/>
    <w:rsid w:val="00221B3C"/>
    <w:rsid w:val="00234C19"/>
    <w:rsid w:val="002350E3"/>
    <w:rsid w:val="00296E64"/>
    <w:rsid w:val="002A7A29"/>
    <w:rsid w:val="002D08A2"/>
    <w:rsid w:val="002E15D7"/>
    <w:rsid w:val="002E2343"/>
    <w:rsid w:val="002E76CD"/>
    <w:rsid w:val="002F798E"/>
    <w:rsid w:val="003022AD"/>
    <w:rsid w:val="00302D22"/>
    <w:rsid w:val="003109D4"/>
    <w:rsid w:val="003110DE"/>
    <w:rsid w:val="00311A2D"/>
    <w:rsid w:val="0032360A"/>
    <w:rsid w:val="0032772A"/>
    <w:rsid w:val="0034463B"/>
    <w:rsid w:val="0036324B"/>
    <w:rsid w:val="00365B48"/>
    <w:rsid w:val="003742A5"/>
    <w:rsid w:val="003940F4"/>
    <w:rsid w:val="00395345"/>
    <w:rsid w:val="003B271C"/>
    <w:rsid w:val="003C0294"/>
    <w:rsid w:val="003D30F6"/>
    <w:rsid w:val="003F437D"/>
    <w:rsid w:val="004429BE"/>
    <w:rsid w:val="00443953"/>
    <w:rsid w:val="0045237C"/>
    <w:rsid w:val="00466E6F"/>
    <w:rsid w:val="00487360"/>
    <w:rsid w:val="004A4835"/>
    <w:rsid w:val="004A5839"/>
    <w:rsid w:val="004D484D"/>
    <w:rsid w:val="004E0D4E"/>
    <w:rsid w:val="004E11D5"/>
    <w:rsid w:val="005060F2"/>
    <w:rsid w:val="0052454A"/>
    <w:rsid w:val="005414EB"/>
    <w:rsid w:val="00561982"/>
    <w:rsid w:val="005636DB"/>
    <w:rsid w:val="00564EEB"/>
    <w:rsid w:val="00565F57"/>
    <w:rsid w:val="00572D07"/>
    <w:rsid w:val="00573CE1"/>
    <w:rsid w:val="005852A3"/>
    <w:rsid w:val="005B476B"/>
    <w:rsid w:val="005C11A9"/>
    <w:rsid w:val="005D6AAA"/>
    <w:rsid w:val="005F4547"/>
    <w:rsid w:val="00607712"/>
    <w:rsid w:val="00613D37"/>
    <w:rsid w:val="00621F1A"/>
    <w:rsid w:val="00627966"/>
    <w:rsid w:val="00635EBF"/>
    <w:rsid w:val="00644D5C"/>
    <w:rsid w:val="0064563A"/>
    <w:rsid w:val="006475BE"/>
    <w:rsid w:val="00656270"/>
    <w:rsid w:val="006A1161"/>
    <w:rsid w:val="006B7F18"/>
    <w:rsid w:val="006C0AEB"/>
    <w:rsid w:val="006D33D2"/>
    <w:rsid w:val="006E1464"/>
    <w:rsid w:val="006E3B89"/>
    <w:rsid w:val="006E6820"/>
    <w:rsid w:val="006F001C"/>
    <w:rsid w:val="006F68A3"/>
    <w:rsid w:val="006F6BF4"/>
    <w:rsid w:val="007014A4"/>
    <w:rsid w:val="00701CF4"/>
    <w:rsid w:val="00713A40"/>
    <w:rsid w:val="00723B6D"/>
    <w:rsid w:val="00732F28"/>
    <w:rsid w:val="0074038D"/>
    <w:rsid w:val="00743EE7"/>
    <w:rsid w:val="00747022"/>
    <w:rsid w:val="007665CC"/>
    <w:rsid w:val="007703D0"/>
    <w:rsid w:val="007734B4"/>
    <w:rsid w:val="00776704"/>
    <w:rsid w:val="00781C81"/>
    <w:rsid w:val="007A26DE"/>
    <w:rsid w:val="007A4918"/>
    <w:rsid w:val="007C4167"/>
    <w:rsid w:val="007D017F"/>
    <w:rsid w:val="007D02E4"/>
    <w:rsid w:val="007E30DF"/>
    <w:rsid w:val="007E7FF7"/>
    <w:rsid w:val="007F28BD"/>
    <w:rsid w:val="00800335"/>
    <w:rsid w:val="008005CC"/>
    <w:rsid w:val="00800ED3"/>
    <w:rsid w:val="00805103"/>
    <w:rsid w:val="00815722"/>
    <w:rsid w:val="00815943"/>
    <w:rsid w:val="00816E47"/>
    <w:rsid w:val="00822488"/>
    <w:rsid w:val="00823F7E"/>
    <w:rsid w:val="00836F8A"/>
    <w:rsid w:val="0084372E"/>
    <w:rsid w:val="0085489E"/>
    <w:rsid w:val="0087199C"/>
    <w:rsid w:val="00882DB4"/>
    <w:rsid w:val="00895EE7"/>
    <w:rsid w:val="008B1210"/>
    <w:rsid w:val="008B4716"/>
    <w:rsid w:val="00900B9C"/>
    <w:rsid w:val="00922075"/>
    <w:rsid w:val="00922F44"/>
    <w:rsid w:val="00955153"/>
    <w:rsid w:val="00971B66"/>
    <w:rsid w:val="009B1979"/>
    <w:rsid w:val="009B2D08"/>
    <w:rsid w:val="009E0D3B"/>
    <w:rsid w:val="009E4173"/>
    <w:rsid w:val="009E6D32"/>
    <w:rsid w:val="009E708A"/>
    <w:rsid w:val="00A00569"/>
    <w:rsid w:val="00A06377"/>
    <w:rsid w:val="00A17E51"/>
    <w:rsid w:val="00A2786B"/>
    <w:rsid w:val="00A3505C"/>
    <w:rsid w:val="00A36661"/>
    <w:rsid w:val="00A41CA3"/>
    <w:rsid w:val="00A52326"/>
    <w:rsid w:val="00A5457C"/>
    <w:rsid w:val="00A54AA8"/>
    <w:rsid w:val="00A60F9B"/>
    <w:rsid w:val="00A871C7"/>
    <w:rsid w:val="00A92C84"/>
    <w:rsid w:val="00AA4206"/>
    <w:rsid w:val="00AB2F3E"/>
    <w:rsid w:val="00AC1044"/>
    <w:rsid w:val="00AD3EEA"/>
    <w:rsid w:val="00AD74E7"/>
    <w:rsid w:val="00AE2306"/>
    <w:rsid w:val="00AE32AC"/>
    <w:rsid w:val="00AE7F44"/>
    <w:rsid w:val="00B1650A"/>
    <w:rsid w:val="00B21231"/>
    <w:rsid w:val="00B254CC"/>
    <w:rsid w:val="00B34540"/>
    <w:rsid w:val="00B34DA2"/>
    <w:rsid w:val="00B35D0C"/>
    <w:rsid w:val="00B5263B"/>
    <w:rsid w:val="00B60221"/>
    <w:rsid w:val="00B745B7"/>
    <w:rsid w:val="00B74F9A"/>
    <w:rsid w:val="00B80F28"/>
    <w:rsid w:val="00B904E2"/>
    <w:rsid w:val="00B9337F"/>
    <w:rsid w:val="00BA3F51"/>
    <w:rsid w:val="00BB299F"/>
    <w:rsid w:val="00BB5242"/>
    <w:rsid w:val="00BB7916"/>
    <w:rsid w:val="00BC183C"/>
    <w:rsid w:val="00BD05DE"/>
    <w:rsid w:val="00BD5CDC"/>
    <w:rsid w:val="00BE3C95"/>
    <w:rsid w:val="00BE7193"/>
    <w:rsid w:val="00BF5DAF"/>
    <w:rsid w:val="00BF7A45"/>
    <w:rsid w:val="00C0018D"/>
    <w:rsid w:val="00C07AD2"/>
    <w:rsid w:val="00C11FA5"/>
    <w:rsid w:val="00C12E5A"/>
    <w:rsid w:val="00C260A7"/>
    <w:rsid w:val="00C45A50"/>
    <w:rsid w:val="00C4673D"/>
    <w:rsid w:val="00C57EA6"/>
    <w:rsid w:val="00C66F33"/>
    <w:rsid w:val="00C673C7"/>
    <w:rsid w:val="00C84464"/>
    <w:rsid w:val="00C90478"/>
    <w:rsid w:val="00C9248B"/>
    <w:rsid w:val="00CB0642"/>
    <w:rsid w:val="00CB584B"/>
    <w:rsid w:val="00CC31F4"/>
    <w:rsid w:val="00CD6CBE"/>
    <w:rsid w:val="00CE0474"/>
    <w:rsid w:val="00CE31E8"/>
    <w:rsid w:val="00CF278B"/>
    <w:rsid w:val="00D076BB"/>
    <w:rsid w:val="00D202B5"/>
    <w:rsid w:val="00D24707"/>
    <w:rsid w:val="00D25553"/>
    <w:rsid w:val="00D47B4E"/>
    <w:rsid w:val="00D508AC"/>
    <w:rsid w:val="00D53A42"/>
    <w:rsid w:val="00D6284E"/>
    <w:rsid w:val="00D81FB6"/>
    <w:rsid w:val="00D85A42"/>
    <w:rsid w:val="00D86CB1"/>
    <w:rsid w:val="00DA7F2F"/>
    <w:rsid w:val="00DC1F8A"/>
    <w:rsid w:val="00DF34EA"/>
    <w:rsid w:val="00DF66DC"/>
    <w:rsid w:val="00E23E3A"/>
    <w:rsid w:val="00E31F01"/>
    <w:rsid w:val="00E371CD"/>
    <w:rsid w:val="00E43BA3"/>
    <w:rsid w:val="00E5223D"/>
    <w:rsid w:val="00E54C0D"/>
    <w:rsid w:val="00E61862"/>
    <w:rsid w:val="00E64827"/>
    <w:rsid w:val="00E71881"/>
    <w:rsid w:val="00E80779"/>
    <w:rsid w:val="00E84804"/>
    <w:rsid w:val="00E86B33"/>
    <w:rsid w:val="00E915C8"/>
    <w:rsid w:val="00EB6C2A"/>
    <w:rsid w:val="00ED2537"/>
    <w:rsid w:val="00EE41F9"/>
    <w:rsid w:val="00EF1697"/>
    <w:rsid w:val="00F03840"/>
    <w:rsid w:val="00F12620"/>
    <w:rsid w:val="00F249F4"/>
    <w:rsid w:val="00F270E8"/>
    <w:rsid w:val="00F2776A"/>
    <w:rsid w:val="00F317B6"/>
    <w:rsid w:val="00F40536"/>
    <w:rsid w:val="00F408CF"/>
    <w:rsid w:val="00F53FAC"/>
    <w:rsid w:val="00F655E9"/>
    <w:rsid w:val="00F679CD"/>
    <w:rsid w:val="00F86E64"/>
    <w:rsid w:val="00FB356D"/>
    <w:rsid w:val="00FB588E"/>
    <w:rsid w:val="00FC2AC8"/>
    <w:rsid w:val="00FF3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57767"/>
  <w15:docId w15:val="{16ACF49D-E914-44DC-B6AC-938F6B7D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B89"/>
    <w:rPr>
      <w:rFonts w:asciiTheme="minorHAnsi" w:hAnsiTheme="minorHAnsi"/>
    </w:rPr>
  </w:style>
  <w:style w:type="paragraph" w:styleId="Nadpis1">
    <w:name w:val="heading 1"/>
    <w:basedOn w:val="Text"/>
    <w:next w:val="Text"/>
    <w:link w:val="Nadpis1Char"/>
    <w:uiPriority w:val="99"/>
    <w:qFormat/>
    <w:rsid w:val="009C5669"/>
    <w:pPr>
      <w:keepNext/>
      <w:keepLines/>
      <w:numPr>
        <w:numId w:val="2"/>
      </w:numPr>
      <w:spacing w:before="240" w:after="240"/>
      <w:outlineLvl w:val="0"/>
    </w:pPr>
    <w:rPr>
      <w:b/>
      <w:sz w:val="28"/>
    </w:rPr>
  </w:style>
  <w:style w:type="paragraph" w:styleId="Nadpis2">
    <w:name w:val="heading 2"/>
    <w:basedOn w:val="Text"/>
    <w:next w:val="Text"/>
    <w:link w:val="Nadpis2Char"/>
    <w:uiPriority w:val="99"/>
    <w:unhideWhenUsed/>
    <w:qFormat/>
    <w:rsid w:val="009C5669"/>
    <w:pPr>
      <w:keepNext/>
      <w:keepLines/>
      <w:numPr>
        <w:ilvl w:val="1"/>
        <w:numId w:val="2"/>
      </w:numPr>
      <w:spacing w:after="120"/>
      <w:outlineLvl w:val="1"/>
    </w:pPr>
    <w:rPr>
      <w:rFonts w:eastAsiaTheme="majorEastAsia" w:cstheme="majorBidi"/>
      <w:b/>
      <w:szCs w:val="26"/>
    </w:rPr>
  </w:style>
  <w:style w:type="paragraph" w:styleId="Nadpis3">
    <w:name w:val="heading 3"/>
    <w:basedOn w:val="Text"/>
    <w:next w:val="Text"/>
    <w:link w:val="Nadpis3Char"/>
    <w:uiPriority w:val="99"/>
    <w:unhideWhenUsed/>
    <w:qFormat/>
    <w:rsid w:val="007F7FC9"/>
    <w:pPr>
      <w:keepNext/>
      <w:keepLines/>
      <w:numPr>
        <w:ilvl w:val="2"/>
        <w:numId w:val="2"/>
      </w:numPr>
      <w:spacing w:after="120"/>
      <w:outlineLvl w:val="2"/>
    </w:pPr>
    <w:rPr>
      <w:rFonts w:eastAsiaTheme="majorEastAsia" w:cstheme="majorBidi"/>
      <w:b/>
    </w:rPr>
  </w:style>
  <w:style w:type="paragraph" w:styleId="Nadpis4">
    <w:name w:val="heading 4"/>
    <w:basedOn w:val="Text"/>
    <w:next w:val="Text"/>
    <w:link w:val="Nadpis4Char"/>
    <w:uiPriority w:val="99"/>
    <w:unhideWhenUsed/>
    <w:qFormat/>
    <w:rsid w:val="007F7FC9"/>
    <w:pPr>
      <w:keepNext/>
      <w:keepLines/>
      <w:numPr>
        <w:ilvl w:val="3"/>
        <w:numId w:val="1"/>
      </w:numPr>
      <w:spacing w:after="120"/>
      <w:ind w:left="851" w:hanging="851"/>
      <w:outlineLvl w:val="3"/>
    </w:pPr>
    <w:rPr>
      <w:rFonts w:eastAsiaTheme="majorEastAsia" w:cstheme="majorBidi"/>
      <w:b/>
      <w:bCs/>
      <w:iCs/>
    </w:rPr>
  </w:style>
  <w:style w:type="paragraph" w:styleId="Nadpis5">
    <w:name w:val="heading 5"/>
    <w:basedOn w:val="Normln"/>
    <w:next w:val="Normln"/>
    <w:link w:val="Nadpis5Char"/>
    <w:uiPriority w:val="99"/>
    <w:unhideWhenUsed/>
    <w:rsid w:val="00544471"/>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9"/>
    <w:unhideWhenUsed/>
    <w:rsid w:val="009C5669"/>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unhideWhenUsed/>
    <w:rsid w:val="009C5669"/>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unhideWhenUsed/>
    <w:rsid w:val="009C56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unhideWhenUsed/>
    <w:rsid w:val="009C56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basedOn w:val="Normln"/>
    <w:link w:val="TextnormlnChar"/>
    <w:rsid w:val="00544471"/>
  </w:style>
  <w:style w:type="character" w:customStyle="1" w:styleId="TextnormlnChar">
    <w:name w:val="Text normální Char"/>
    <w:basedOn w:val="Standardnpsmoodstavce"/>
    <w:link w:val="Textnormln"/>
    <w:rsid w:val="00544471"/>
  </w:style>
  <w:style w:type="character" w:customStyle="1" w:styleId="Nadpis4Char">
    <w:name w:val="Nadpis 4 Char"/>
    <w:basedOn w:val="Standardnpsmoodstavce"/>
    <w:link w:val="Nadpis4"/>
    <w:uiPriority w:val="99"/>
    <w:rsid w:val="007F7FC9"/>
    <w:rPr>
      <w:rFonts w:asciiTheme="minorHAnsi" w:eastAsiaTheme="majorEastAsia" w:hAnsiTheme="minorHAnsi" w:cstheme="majorBidi"/>
      <w:b/>
      <w:bCs/>
      <w:iCs/>
    </w:rPr>
  </w:style>
  <w:style w:type="character" w:customStyle="1" w:styleId="Nadpis1Char">
    <w:name w:val="Nadpis 1 Char"/>
    <w:basedOn w:val="Standardnpsmoodstavce"/>
    <w:link w:val="Nadpis1"/>
    <w:uiPriority w:val="99"/>
    <w:rsid w:val="009C5669"/>
    <w:rPr>
      <w:rFonts w:asciiTheme="minorHAnsi" w:hAnsiTheme="minorHAnsi" w:cstheme="minorHAnsi"/>
      <w:b/>
      <w:sz w:val="28"/>
    </w:rPr>
  </w:style>
  <w:style w:type="character" w:customStyle="1" w:styleId="Nadpis3Char">
    <w:name w:val="Nadpis 3 Char"/>
    <w:basedOn w:val="Standardnpsmoodstavce"/>
    <w:link w:val="Nadpis3"/>
    <w:uiPriority w:val="99"/>
    <w:rsid w:val="007F7FC9"/>
    <w:rPr>
      <w:rFonts w:asciiTheme="minorHAnsi" w:eastAsiaTheme="majorEastAsia" w:hAnsiTheme="minorHAnsi" w:cstheme="majorBidi"/>
      <w:b/>
    </w:rPr>
  </w:style>
  <w:style w:type="character" w:customStyle="1" w:styleId="Nadpis2Char">
    <w:name w:val="Nadpis 2 Char"/>
    <w:basedOn w:val="Standardnpsmoodstavce"/>
    <w:link w:val="Nadpis2"/>
    <w:uiPriority w:val="99"/>
    <w:rsid w:val="009C5669"/>
    <w:rPr>
      <w:rFonts w:asciiTheme="minorHAnsi" w:eastAsiaTheme="majorEastAsia" w:hAnsiTheme="minorHAnsi" w:cstheme="majorBidi"/>
      <w:b/>
      <w:szCs w:val="26"/>
    </w:rPr>
  </w:style>
  <w:style w:type="paragraph" w:customStyle="1" w:styleId="Zdrojeapozn">
    <w:name w:val="Zdroje a pozn."/>
    <w:basedOn w:val="Normln"/>
    <w:next w:val="Normln"/>
    <w:link w:val="ZdrojeapoznChar"/>
    <w:autoRedefine/>
    <w:rsid w:val="00C66F33"/>
    <w:pPr>
      <w:keepNext/>
      <w:spacing w:before="40"/>
      <w:jc w:val="both"/>
    </w:pPr>
    <w:rPr>
      <w:rFonts w:ascii="Calibri" w:hAnsi="Calibri"/>
      <w:sz w:val="20"/>
    </w:rPr>
  </w:style>
  <w:style w:type="character" w:customStyle="1" w:styleId="ZdrojeapoznChar">
    <w:name w:val="Zdroje a pozn. Char"/>
    <w:basedOn w:val="Standardnpsmoodstavce"/>
    <w:link w:val="Zdrojeapozn"/>
    <w:rsid w:val="00C66F33"/>
    <w:rPr>
      <w:sz w:val="20"/>
    </w:rPr>
  </w:style>
  <w:style w:type="paragraph" w:styleId="Citt">
    <w:name w:val="Quote"/>
    <w:basedOn w:val="Normln"/>
    <w:next w:val="Normln"/>
    <w:link w:val="CittChar"/>
    <w:uiPriority w:val="29"/>
    <w:rsid w:val="0054447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544471"/>
    <w:rPr>
      <w:i/>
      <w:iCs/>
      <w:color w:val="404040" w:themeColor="text1" w:themeTint="BF"/>
    </w:rPr>
  </w:style>
  <w:style w:type="paragraph" w:styleId="Bezmezer">
    <w:name w:val="No Spacing"/>
    <w:link w:val="BezmezerChar"/>
    <w:uiPriority w:val="1"/>
    <w:rsid w:val="00544471"/>
    <w:pPr>
      <w:jc w:val="both"/>
    </w:pPr>
  </w:style>
  <w:style w:type="character" w:customStyle="1" w:styleId="Nadpis5Char">
    <w:name w:val="Nadpis 5 Char"/>
    <w:basedOn w:val="Standardnpsmoodstavce"/>
    <w:link w:val="Nadpis5"/>
    <w:uiPriority w:val="99"/>
    <w:rsid w:val="00544471"/>
    <w:rPr>
      <w:rFonts w:asciiTheme="majorHAnsi" w:eastAsiaTheme="majorEastAsia" w:hAnsiTheme="majorHAnsi" w:cstheme="majorBidi"/>
      <w:color w:val="2E74B5" w:themeColor="accent1" w:themeShade="BF"/>
    </w:rPr>
  </w:style>
  <w:style w:type="paragraph" w:styleId="Nzev">
    <w:name w:val="Title"/>
    <w:basedOn w:val="Normln"/>
    <w:next w:val="Normln"/>
    <w:link w:val="NzevChar"/>
    <w:uiPriority w:val="10"/>
    <w:rsid w:val="0054447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4447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544471"/>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544471"/>
    <w:rPr>
      <w:rFonts w:asciiTheme="minorHAnsi" w:eastAsiaTheme="minorEastAsia" w:hAnsiTheme="minorHAnsi"/>
      <w:color w:val="5A5A5A" w:themeColor="text1" w:themeTint="A5"/>
      <w:spacing w:val="15"/>
      <w:sz w:val="22"/>
      <w:szCs w:val="22"/>
    </w:rPr>
  </w:style>
  <w:style w:type="character" w:styleId="Zdraznnjemn">
    <w:name w:val="Subtle Emphasis"/>
    <w:basedOn w:val="Standardnpsmoodstavce"/>
    <w:uiPriority w:val="19"/>
    <w:rsid w:val="00544471"/>
    <w:rPr>
      <w:i/>
      <w:iCs/>
      <w:color w:val="404040" w:themeColor="text1" w:themeTint="BF"/>
    </w:rPr>
  </w:style>
  <w:style w:type="character" w:styleId="Zdraznn">
    <w:name w:val="Emphasis"/>
    <w:basedOn w:val="Standardnpsmoodstavce"/>
    <w:uiPriority w:val="20"/>
    <w:rsid w:val="00544471"/>
    <w:rPr>
      <w:i/>
      <w:iCs/>
    </w:rPr>
  </w:style>
  <w:style w:type="character" w:styleId="Zdraznnintenzivn">
    <w:name w:val="Intense Emphasis"/>
    <w:basedOn w:val="Standardnpsmoodstavce"/>
    <w:uiPriority w:val="21"/>
    <w:rsid w:val="00544471"/>
    <w:rPr>
      <w:i/>
      <w:iCs/>
      <w:color w:val="5B9BD5" w:themeColor="accent1"/>
    </w:rPr>
  </w:style>
  <w:style w:type="character" w:styleId="Siln">
    <w:name w:val="Strong"/>
    <w:basedOn w:val="Standardnpsmoodstavce"/>
    <w:uiPriority w:val="22"/>
    <w:rsid w:val="00544471"/>
    <w:rPr>
      <w:b/>
      <w:bCs/>
    </w:rPr>
  </w:style>
  <w:style w:type="paragraph" w:styleId="Vrazncitt">
    <w:name w:val="Intense Quote"/>
    <w:basedOn w:val="Normln"/>
    <w:next w:val="Normln"/>
    <w:link w:val="VrazncittChar"/>
    <w:uiPriority w:val="30"/>
    <w:rsid w:val="005444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544471"/>
    <w:rPr>
      <w:i/>
      <w:iCs/>
      <w:color w:val="5B9BD5" w:themeColor="accent1"/>
    </w:rPr>
  </w:style>
  <w:style w:type="character" w:styleId="Odkazjemn">
    <w:name w:val="Subtle Reference"/>
    <w:basedOn w:val="Standardnpsmoodstavce"/>
    <w:uiPriority w:val="31"/>
    <w:rsid w:val="00544471"/>
    <w:rPr>
      <w:smallCaps/>
      <w:color w:val="5A5A5A" w:themeColor="text1" w:themeTint="A5"/>
    </w:rPr>
  </w:style>
  <w:style w:type="character" w:styleId="Odkazintenzivn">
    <w:name w:val="Intense Reference"/>
    <w:basedOn w:val="Standardnpsmoodstavce"/>
    <w:uiPriority w:val="32"/>
    <w:rsid w:val="00544471"/>
    <w:rPr>
      <w:b/>
      <w:bCs/>
      <w:smallCaps/>
      <w:color w:val="5B9BD5" w:themeColor="accent1"/>
      <w:spacing w:val="5"/>
    </w:rPr>
  </w:style>
  <w:style w:type="character" w:styleId="Nzevknihy">
    <w:name w:val="Book Title"/>
    <w:basedOn w:val="Standardnpsmoodstavce"/>
    <w:uiPriority w:val="33"/>
    <w:rsid w:val="00544471"/>
    <w:rPr>
      <w:b/>
      <w:bCs/>
      <w:i/>
      <w:iCs/>
      <w:spacing w:val="5"/>
    </w:rPr>
  </w:style>
  <w:style w:type="paragraph" w:styleId="Odstavecseseznamem">
    <w:name w:val="List Paragraph"/>
    <w:aliases w:val="Nad,Nadpis pro KZ,Odstavec cíl se seznamem,Odstavec se seznamem1,Odstavec se seznamem2,Odstavec_muj,můj Nadpis 2,odrážky"/>
    <w:basedOn w:val="Normln"/>
    <w:link w:val="OdstavecseseznamemChar"/>
    <w:uiPriority w:val="34"/>
    <w:qFormat/>
    <w:rsid w:val="00544471"/>
    <w:pPr>
      <w:ind w:left="720"/>
      <w:contextualSpacing/>
    </w:pPr>
  </w:style>
  <w:style w:type="paragraph" w:customStyle="1" w:styleId="Text">
    <w:name w:val="Text"/>
    <w:basedOn w:val="Normln"/>
    <w:link w:val="TextChar"/>
    <w:qFormat/>
    <w:rsid w:val="009C5669"/>
    <w:pPr>
      <w:spacing w:before="120"/>
      <w:jc w:val="both"/>
    </w:pPr>
    <w:rPr>
      <w:rFonts w:cstheme="minorHAnsi"/>
    </w:rPr>
  </w:style>
  <w:style w:type="character" w:customStyle="1" w:styleId="TextChar">
    <w:name w:val="Text Char"/>
    <w:basedOn w:val="Standardnpsmoodstavce"/>
    <w:link w:val="Text"/>
    <w:rsid w:val="009C5669"/>
    <w:rPr>
      <w:rFonts w:asciiTheme="minorHAnsi" w:hAnsiTheme="minorHAnsi" w:cstheme="minorHAnsi"/>
    </w:rPr>
  </w:style>
  <w:style w:type="character" w:customStyle="1" w:styleId="Nadpis6Char">
    <w:name w:val="Nadpis 6 Char"/>
    <w:basedOn w:val="Standardnpsmoodstavce"/>
    <w:link w:val="Nadpis6"/>
    <w:uiPriority w:val="99"/>
    <w:rsid w:val="009C566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9"/>
    <w:rsid w:val="009C566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9"/>
    <w:rsid w:val="009C566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9"/>
    <w:rsid w:val="009C5669"/>
    <w:rPr>
      <w:rFonts w:asciiTheme="majorHAnsi" w:eastAsiaTheme="majorEastAsia" w:hAnsiTheme="majorHAnsi" w:cstheme="majorBidi"/>
      <w:i/>
      <w:iCs/>
      <w:color w:val="272727" w:themeColor="text1" w:themeTint="D8"/>
      <w:sz w:val="21"/>
      <w:szCs w:val="21"/>
    </w:rPr>
  </w:style>
  <w:style w:type="paragraph" w:styleId="Titulek">
    <w:name w:val="caption"/>
    <w:basedOn w:val="Text"/>
    <w:next w:val="Text"/>
    <w:uiPriority w:val="35"/>
    <w:unhideWhenUsed/>
    <w:qFormat/>
    <w:rsid w:val="00173FDA"/>
    <w:pPr>
      <w:tabs>
        <w:tab w:val="left" w:pos="7938"/>
      </w:tabs>
    </w:pPr>
    <w:rPr>
      <w:iCs/>
      <w:szCs w:val="18"/>
    </w:rPr>
  </w:style>
  <w:style w:type="paragraph" w:styleId="Nadpisobsahu">
    <w:name w:val="TOC Heading"/>
    <w:basedOn w:val="Nadpis1"/>
    <w:next w:val="Normln"/>
    <w:uiPriority w:val="39"/>
    <w:semiHidden/>
    <w:unhideWhenUsed/>
    <w:qFormat/>
    <w:rsid w:val="009C5669"/>
    <w:pPr>
      <w:numPr>
        <w:numId w:val="0"/>
      </w:numPr>
      <w:spacing w:after="0"/>
      <w:outlineLvl w:val="9"/>
    </w:pPr>
    <w:rPr>
      <w:rFonts w:asciiTheme="majorHAnsi" w:eastAsiaTheme="majorEastAsia" w:hAnsiTheme="majorHAnsi" w:cstheme="majorBidi"/>
      <w:b w:val="0"/>
      <w:color w:val="2E74B5" w:themeColor="accent1" w:themeShade="BF"/>
      <w:sz w:val="32"/>
      <w:szCs w:val="32"/>
    </w:rPr>
  </w:style>
  <w:style w:type="paragraph" w:styleId="Zhlav">
    <w:name w:val="header"/>
    <w:basedOn w:val="Normln"/>
    <w:link w:val="ZhlavChar"/>
    <w:uiPriority w:val="99"/>
    <w:unhideWhenUsed/>
    <w:rsid w:val="001D688A"/>
    <w:pPr>
      <w:tabs>
        <w:tab w:val="center" w:pos="4536"/>
        <w:tab w:val="right" w:pos="9072"/>
      </w:tabs>
    </w:pPr>
  </w:style>
  <w:style w:type="character" w:customStyle="1" w:styleId="ZhlavChar">
    <w:name w:val="Záhlaví Char"/>
    <w:basedOn w:val="Standardnpsmoodstavce"/>
    <w:link w:val="Zhlav"/>
    <w:uiPriority w:val="99"/>
    <w:rsid w:val="001D688A"/>
    <w:rPr>
      <w:rFonts w:asciiTheme="minorHAnsi" w:hAnsiTheme="minorHAnsi"/>
    </w:rPr>
  </w:style>
  <w:style w:type="paragraph" w:styleId="Zpat">
    <w:name w:val="footer"/>
    <w:basedOn w:val="Normln"/>
    <w:link w:val="ZpatChar"/>
    <w:uiPriority w:val="99"/>
    <w:unhideWhenUsed/>
    <w:rsid w:val="001D688A"/>
    <w:pPr>
      <w:tabs>
        <w:tab w:val="center" w:pos="4536"/>
        <w:tab w:val="right" w:pos="9072"/>
      </w:tabs>
    </w:pPr>
  </w:style>
  <w:style w:type="character" w:customStyle="1" w:styleId="ZpatChar">
    <w:name w:val="Zápatí Char"/>
    <w:basedOn w:val="Standardnpsmoodstavce"/>
    <w:link w:val="Zpat"/>
    <w:uiPriority w:val="99"/>
    <w:rsid w:val="001D688A"/>
    <w:rPr>
      <w:rFonts w:asciiTheme="minorHAnsi" w:hAnsiTheme="minorHAnsi"/>
    </w:rPr>
  </w:style>
  <w:style w:type="paragraph" w:styleId="Textpoznpodarou">
    <w:name w:val="footnote text"/>
    <w:aliases w:val="Boston 10,Char,Char Char Char1,Char1,Font: Geneva 9,Footnote,Footnote Text Char1,Fußnotentextf,Geneva 9,Schriftart: 10 pt,Schriftart: 8 pt,Schriftart: 9 pt,Text pozn. pod čarou1,Text poznámky pod čiarou 007,f,o,pozn. pod čarou"/>
    <w:basedOn w:val="Normln"/>
    <w:link w:val="TextpoznpodarouChar"/>
    <w:uiPriority w:val="99"/>
    <w:unhideWhenUsed/>
    <w:qFormat/>
    <w:rsid w:val="00AB1D14"/>
    <w:rPr>
      <w:rFonts w:ascii="Calibri" w:eastAsia="Times New Roman" w:hAnsi="Calibri" w:cs="Times New Roman"/>
      <w:sz w:val="20"/>
      <w:szCs w:val="20"/>
    </w:rPr>
  </w:style>
  <w:style w:type="character" w:customStyle="1" w:styleId="TextpoznpodarouChar">
    <w:name w:val="Text pozn. pod čarou Char"/>
    <w:aliases w:val="Boston 10 Char,Char Char,Char Char Char1 Char,Char1 Char,Font: Geneva 9 Char,Footnote Char,Footnote Text Char1 Char,Fußnotentextf Char,Geneva 9 Char,Schriftart: 10 pt Char,Schriftart: 8 pt Char,Schriftart: 9 pt Char,f Char"/>
    <w:basedOn w:val="Standardnpsmoodstavce"/>
    <w:link w:val="Textpoznpodarou"/>
    <w:uiPriority w:val="99"/>
    <w:rsid w:val="00AB1D14"/>
    <w:rPr>
      <w:rFonts w:eastAsia="Times New Roman" w:cs="Times New Roman"/>
      <w:sz w:val="20"/>
      <w:szCs w:val="20"/>
    </w:rPr>
  </w:style>
  <w:style w:type="character" w:styleId="Znakapoznpodarou">
    <w:name w:val="footnote reference"/>
    <w:aliases w:val="4_G,Appel note de bas de p,Appel note de bas de page,BVI fnr,Char Car Car Car Car,Footnote Reference Superscript,Footnote symbol,Légende,Légende.Char Car Car Car Car,PGI Fußnote Ziffer,Voetnootverwijzing"/>
    <w:basedOn w:val="Standardnpsmoodstavce"/>
    <w:uiPriority w:val="99"/>
    <w:unhideWhenUsed/>
    <w:rsid w:val="00AB1D14"/>
    <w:rPr>
      <w:vertAlign w:val="superscript"/>
    </w:rPr>
  </w:style>
  <w:style w:type="paragraph" w:customStyle="1" w:styleId="TextKP">
    <w:name w:val="Text KP"/>
    <w:basedOn w:val="Normln"/>
    <w:link w:val="TextKPChar"/>
    <w:qFormat/>
    <w:rsid w:val="003F5107"/>
    <w:pPr>
      <w:spacing w:before="120"/>
      <w:jc w:val="both"/>
    </w:pPr>
    <w:rPr>
      <w:rFonts w:eastAsia="Times New Roman" w:cstheme="minorHAnsi"/>
    </w:rPr>
  </w:style>
  <w:style w:type="character" w:customStyle="1" w:styleId="TextKPChar">
    <w:name w:val="Text KP Char"/>
    <w:basedOn w:val="Standardnpsmoodstavce"/>
    <w:link w:val="TextKP"/>
    <w:rsid w:val="003F5107"/>
    <w:rPr>
      <w:rFonts w:asciiTheme="minorHAnsi" w:eastAsia="Times New Roman" w:hAnsiTheme="minorHAnsi" w:cstheme="minorHAnsi"/>
    </w:rPr>
  </w:style>
  <w:style w:type="paragraph" w:customStyle="1" w:styleId="Zdrojapozn">
    <w:name w:val="Zdroj a pozn."/>
    <w:basedOn w:val="Normln"/>
    <w:next w:val="Text"/>
    <w:link w:val="ZdrojapoznChar"/>
    <w:qFormat/>
    <w:rsid w:val="00E80D7E"/>
    <w:pPr>
      <w:jc w:val="both"/>
    </w:pPr>
    <w:rPr>
      <w:rFonts w:ascii="Calibri" w:eastAsia="Times New Roman" w:hAnsi="Calibri" w:cs="Times New Roman"/>
      <w:sz w:val="20"/>
      <w:lang w:eastAsia="cs-CZ"/>
    </w:rPr>
  </w:style>
  <w:style w:type="character" w:customStyle="1" w:styleId="ZdrojapoznChar">
    <w:name w:val="Zdroj a pozn. Char"/>
    <w:basedOn w:val="Standardnpsmoodstavce"/>
    <w:link w:val="Zdrojapozn"/>
    <w:rsid w:val="00E80D7E"/>
    <w:rPr>
      <w:rFonts w:eastAsia="Times New Roman" w:cs="Times New Roman"/>
      <w:sz w:val="20"/>
      <w:lang w:eastAsia="cs-CZ"/>
    </w:rPr>
  </w:style>
  <w:style w:type="character" w:styleId="Hypertextovodkaz">
    <w:name w:val="Hyperlink"/>
    <w:basedOn w:val="Standardnpsmoodstavce"/>
    <w:uiPriority w:val="99"/>
    <w:rsid w:val="00487340"/>
    <w:rPr>
      <w:color w:val="0000FF"/>
      <w:u w:val="single"/>
    </w:rPr>
  </w:style>
  <w:style w:type="paragraph" w:customStyle="1" w:styleId="Zdrojapoznmka">
    <w:name w:val="Zdroj a poznámka"/>
    <w:basedOn w:val="Bezmezer"/>
    <w:link w:val="ZdrojapoznmkaChar"/>
    <w:rsid w:val="00D162AA"/>
    <w:rPr>
      <w:rFonts w:asciiTheme="minorHAnsi" w:eastAsia="Times New Roman" w:hAnsiTheme="minorHAnsi" w:cs="Times New Roman"/>
      <w:i/>
      <w:sz w:val="20"/>
      <w:szCs w:val="20"/>
    </w:rPr>
  </w:style>
  <w:style w:type="character" w:customStyle="1" w:styleId="ZdrojapoznmkaChar">
    <w:name w:val="Zdroj a poznámka Char"/>
    <w:basedOn w:val="Standardnpsmoodstavce"/>
    <w:link w:val="Zdrojapoznmka"/>
    <w:rsid w:val="00D162AA"/>
    <w:rPr>
      <w:rFonts w:asciiTheme="minorHAnsi" w:eastAsia="Times New Roman" w:hAnsiTheme="minorHAnsi" w:cs="Times New Roman"/>
      <w:i/>
      <w:sz w:val="20"/>
      <w:szCs w:val="20"/>
    </w:rPr>
  </w:style>
  <w:style w:type="character" w:customStyle="1" w:styleId="OdstavecseseznamemChar">
    <w:name w:val="Odstavec se seznamem Char"/>
    <w:aliases w:val="Nad Char,Nadpis pro KZ Char,Odstavec cíl se seznamem Char,Odstavec se seznamem1 Char,Odstavec se seznamem2 Char,Odstavec_muj Char,můj Nadpis 2 Char,odrážky Char"/>
    <w:link w:val="Odstavecseseznamem"/>
    <w:uiPriority w:val="34"/>
    <w:locked/>
    <w:rsid w:val="00D162AA"/>
    <w:rPr>
      <w:rFonts w:asciiTheme="minorHAnsi" w:hAnsiTheme="minorHAnsi"/>
    </w:rPr>
  </w:style>
  <w:style w:type="paragraph" w:styleId="Normlnweb">
    <w:name w:val="Normal (Web)"/>
    <w:basedOn w:val="Normln"/>
    <w:uiPriority w:val="99"/>
    <w:rsid w:val="00EC14DC"/>
    <w:rPr>
      <w:rFonts w:eastAsia="Times New Roman" w:cs="Times New Roman"/>
    </w:rPr>
  </w:style>
  <w:style w:type="character" w:styleId="slostrnky">
    <w:name w:val="page number"/>
    <w:basedOn w:val="Standardnpsmoodstavce"/>
    <w:semiHidden/>
    <w:rsid w:val="00EC14DC"/>
  </w:style>
  <w:style w:type="character" w:styleId="Sledovanodkaz">
    <w:name w:val="FollowedHyperlink"/>
    <w:basedOn w:val="Standardnpsmoodstavce"/>
    <w:semiHidden/>
    <w:rsid w:val="00EC14DC"/>
    <w:rPr>
      <w:color w:val="800080"/>
      <w:u w:val="single"/>
    </w:rPr>
  </w:style>
  <w:style w:type="paragraph" w:styleId="Zkladntext">
    <w:name w:val="Body Text"/>
    <w:basedOn w:val="Normln"/>
    <w:link w:val="ZkladntextChar"/>
    <w:semiHidden/>
    <w:rsid w:val="00EC14DC"/>
    <w:pPr>
      <w:jc w:val="both"/>
    </w:pPr>
    <w:rPr>
      <w:rFonts w:ascii="Arial" w:eastAsia="Times New Roman" w:hAnsi="Arial" w:cs="Arial"/>
      <w:i/>
      <w:sz w:val="22"/>
    </w:rPr>
  </w:style>
  <w:style w:type="character" w:customStyle="1" w:styleId="ZkladntextChar">
    <w:name w:val="Základní text Char"/>
    <w:basedOn w:val="Standardnpsmoodstavce"/>
    <w:link w:val="Zkladntext"/>
    <w:semiHidden/>
    <w:rsid w:val="00EC14DC"/>
    <w:rPr>
      <w:rFonts w:ascii="Arial" w:eastAsia="Times New Roman" w:hAnsi="Arial" w:cs="Arial"/>
      <w:i/>
      <w:sz w:val="22"/>
    </w:rPr>
  </w:style>
  <w:style w:type="paragraph" w:styleId="Textbubliny">
    <w:name w:val="Balloon Text"/>
    <w:basedOn w:val="Normln"/>
    <w:link w:val="TextbublinyChar"/>
    <w:uiPriority w:val="99"/>
    <w:semiHidden/>
    <w:unhideWhenUsed/>
    <w:rsid w:val="00EC14DC"/>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EC14DC"/>
    <w:rPr>
      <w:rFonts w:ascii="Tahoma" w:eastAsia="Times New Roman" w:hAnsi="Tahoma" w:cs="Tahoma"/>
      <w:sz w:val="16"/>
      <w:szCs w:val="16"/>
    </w:rPr>
  </w:style>
  <w:style w:type="paragraph" w:styleId="Obsah1">
    <w:name w:val="toc 1"/>
    <w:basedOn w:val="Normln"/>
    <w:next w:val="Normln"/>
    <w:autoRedefine/>
    <w:uiPriority w:val="39"/>
    <w:unhideWhenUsed/>
    <w:rsid w:val="00EC14DC"/>
    <w:pPr>
      <w:tabs>
        <w:tab w:val="left" w:pos="480"/>
        <w:tab w:val="right" w:leader="dot" w:pos="9060"/>
      </w:tabs>
      <w:spacing w:before="60" w:after="60"/>
    </w:pPr>
    <w:rPr>
      <w:rFonts w:eastAsia="Times New Roman" w:cstheme="minorHAnsi"/>
      <w:b/>
      <w:bCs/>
      <w:caps/>
      <w:sz w:val="20"/>
      <w:szCs w:val="20"/>
    </w:rPr>
  </w:style>
  <w:style w:type="paragraph" w:styleId="Obsah2">
    <w:name w:val="toc 2"/>
    <w:basedOn w:val="Normln"/>
    <w:next w:val="Normln"/>
    <w:autoRedefine/>
    <w:uiPriority w:val="39"/>
    <w:unhideWhenUsed/>
    <w:rsid w:val="00EC14DC"/>
    <w:pPr>
      <w:ind w:left="240"/>
    </w:pPr>
    <w:rPr>
      <w:rFonts w:eastAsia="Times New Roman" w:cstheme="minorHAnsi"/>
      <w:smallCaps/>
      <w:sz w:val="20"/>
      <w:szCs w:val="20"/>
    </w:rPr>
  </w:style>
  <w:style w:type="paragraph" w:styleId="Obsah3">
    <w:name w:val="toc 3"/>
    <w:basedOn w:val="Normln"/>
    <w:next w:val="Normln"/>
    <w:autoRedefine/>
    <w:uiPriority w:val="39"/>
    <w:unhideWhenUsed/>
    <w:rsid w:val="00EC14DC"/>
    <w:pPr>
      <w:ind w:left="480"/>
    </w:pPr>
    <w:rPr>
      <w:rFonts w:eastAsia="Times New Roman" w:cstheme="minorHAnsi"/>
      <w:i/>
      <w:iCs/>
      <w:sz w:val="20"/>
      <w:szCs w:val="20"/>
    </w:rPr>
  </w:style>
  <w:style w:type="paragraph" w:styleId="Obsah4">
    <w:name w:val="toc 4"/>
    <w:basedOn w:val="Normln"/>
    <w:next w:val="Normln"/>
    <w:autoRedefine/>
    <w:uiPriority w:val="39"/>
    <w:unhideWhenUsed/>
    <w:rsid w:val="00EC14DC"/>
    <w:pPr>
      <w:ind w:left="720"/>
    </w:pPr>
    <w:rPr>
      <w:rFonts w:eastAsia="Times New Roman" w:cstheme="minorHAnsi"/>
      <w:sz w:val="18"/>
      <w:szCs w:val="18"/>
    </w:rPr>
  </w:style>
  <w:style w:type="paragraph" w:styleId="Obsah5">
    <w:name w:val="toc 5"/>
    <w:basedOn w:val="Normln"/>
    <w:next w:val="Normln"/>
    <w:autoRedefine/>
    <w:uiPriority w:val="39"/>
    <w:unhideWhenUsed/>
    <w:rsid w:val="00EC14DC"/>
    <w:pPr>
      <w:ind w:left="960"/>
    </w:pPr>
    <w:rPr>
      <w:rFonts w:eastAsia="Times New Roman" w:cstheme="minorHAnsi"/>
      <w:sz w:val="18"/>
      <w:szCs w:val="18"/>
    </w:rPr>
  </w:style>
  <w:style w:type="paragraph" w:styleId="Obsah6">
    <w:name w:val="toc 6"/>
    <w:basedOn w:val="Normln"/>
    <w:next w:val="Normln"/>
    <w:autoRedefine/>
    <w:uiPriority w:val="39"/>
    <w:unhideWhenUsed/>
    <w:rsid w:val="00EC14DC"/>
    <w:pPr>
      <w:ind w:left="1200"/>
    </w:pPr>
    <w:rPr>
      <w:rFonts w:eastAsia="Times New Roman" w:cstheme="minorHAnsi"/>
      <w:sz w:val="18"/>
      <w:szCs w:val="18"/>
    </w:rPr>
  </w:style>
  <w:style w:type="paragraph" w:styleId="Obsah7">
    <w:name w:val="toc 7"/>
    <w:basedOn w:val="Normln"/>
    <w:next w:val="Normln"/>
    <w:autoRedefine/>
    <w:uiPriority w:val="39"/>
    <w:unhideWhenUsed/>
    <w:rsid w:val="00EC14DC"/>
    <w:pPr>
      <w:ind w:left="1440"/>
    </w:pPr>
    <w:rPr>
      <w:rFonts w:eastAsia="Times New Roman" w:cstheme="minorHAnsi"/>
      <w:sz w:val="18"/>
      <w:szCs w:val="18"/>
    </w:rPr>
  </w:style>
  <w:style w:type="paragraph" w:styleId="Obsah8">
    <w:name w:val="toc 8"/>
    <w:basedOn w:val="Normln"/>
    <w:next w:val="Normln"/>
    <w:autoRedefine/>
    <w:uiPriority w:val="39"/>
    <w:unhideWhenUsed/>
    <w:rsid w:val="00EC14DC"/>
    <w:pPr>
      <w:ind w:left="1680"/>
    </w:pPr>
    <w:rPr>
      <w:rFonts w:eastAsia="Times New Roman" w:cstheme="minorHAnsi"/>
      <w:sz w:val="18"/>
      <w:szCs w:val="18"/>
    </w:rPr>
  </w:style>
  <w:style w:type="paragraph" w:styleId="Obsah9">
    <w:name w:val="toc 9"/>
    <w:basedOn w:val="Normln"/>
    <w:next w:val="Normln"/>
    <w:autoRedefine/>
    <w:uiPriority w:val="39"/>
    <w:unhideWhenUsed/>
    <w:rsid w:val="00EC14DC"/>
    <w:pPr>
      <w:ind w:left="1920"/>
    </w:pPr>
    <w:rPr>
      <w:rFonts w:eastAsia="Times New Roman" w:cstheme="minorHAnsi"/>
      <w:sz w:val="18"/>
      <w:szCs w:val="18"/>
    </w:rPr>
  </w:style>
  <w:style w:type="table" w:styleId="Mkatabulky">
    <w:name w:val="Table Grid"/>
    <w:basedOn w:val="Normlntabulka"/>
    <w:uiPriority w:val="39"/>
    <w:rsid w:val="00EC14DC"/>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rsid w:val="00EC14DC"/>
  </w:style>
  <w:style w:type="paragraph" w:customStyle="1" w:styleId="Kritria">
    <w:name w:val="Kritéria"/>
    <w:basedOn w:val="TextKP"/>
    <w:link w:val="KritriaChar"/>
    <w:rsid w:val="00EC14DC"/>
    <w:pPr>
      <w:spacing w:before="0"/>
    </w:pPr>
    <w:rPr>
      <w:i/>
    </w:rPr>
  </w:style>
  <w:style w:type="character" w:customStyle="1" w:styleId="KritriaChar">
    <w:name w:val="Kritéria Char"/>
    <w:basedOn w:val="TextKPChar"/>
    <w:link w:val="Kritria"/>
    <w:rsid w:val="00EC14DC"/>
    <w:rPr>
      <w:rFonts w:asciiTheme="minorHAnsi" w:eastAsia="Times New Roman" w:hAnsiTheme="minorHAnsi" w:cstheme="minorHAnsi"/>
      <w:i/>
    </w:rPr>
  </w:style>
  <w:style w:type="table" w:customStyle="1" w:styleId="Mkatabulky1">
    <w:name w:val="Mřížka tabulky1"/>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kazy">
    <w:name w:val="_rozkazy"/>
    <w:basedOn w:val="Normln"/>
    <w:link w:val="rozkazyChar"/>
    <w:autoRedefine/>
    <w:rsid w:val="00EC14DC"/>
    <w:pPr>
      <w:keepNext/>
    </w:pPr>
    <w:rPr>
      <w:rFonts w:eastAsia="Times New Roman" w:cstheme="minorHAnsi"/>
      <w:i/>
      <w:snapToGrid w:val="0"/>
      <w:sz w:val="22"/>
      <w:szCs w:val="22"/>
      <w:lang w:eastAsia="cs-CZ"/>
    </w:rPr>
  </w:style>
  <w:style w:type="character" w:customStyle="1" w:styleId="rozkazyChar">
    <w:name w:val="_rozkazy Char"/>
    <w:basedOn w:val="Standardnpsmoodstavce"/>
    <w:link w:val="rozkazy"/>
    <w:rsid w:val="00EC14DC"/>
    <w:rPr>
      <w:rFonts w:asciiTheme="minorHAnsi" w:eastAsia="Times New Roman" w:hAnsiTheme="minorHAnsi" w:cstheme="minorHAnsi"/>
      <w:i/>
      <w:snapToGrid w:val="0"/>
      <w:sz w:val="22"/>
      <w:szCs w:val="22"/>
      <w:lang w:eastAsia="cs-CZ"/>
    </w:rPr>
  </w:style>
  <w:style w:type="character" w:styleId="Odkaznakoment">
    <w:name w:val="annotation reference"/>
    <w:basedOn w:val="Standardnpsmoodstavce"/>
    <w:uiPriority w:val="99"/>
    <w:semiHidden/>
    <w:unhideWhenUsed/>
    <w:rsid w:val="00EC14DC"/>
    <w:rPr>
      <w:sz w:val="16"/>
      <w:szCs w:val="16"/>
    </w:rPr>
  </w:style>
  <w:style w:type="paragraph" w:styleId="Textkomente">
    <w:name w:val="annotation text"/>
    <w:basedOn w:val="Normln"/>
    <w:link w:val="TextkomenteChar"/>
    <w:uiPriority w:val="99"/>
    <w:unhideWhenUsed/>
    <w:rsid w:val="00EC14DC"/>
    <w:rPr>
      <w:rFonts w:eastAsia="Times New Roman" w:cs="Times New Roman"/>
      <w:sz w:val="20"/>
      <w:szCs w:val="20"/>
    </w:rPr>
  </w:style>
  <w:style w:type="character" w:customStyle="1" w:styleId="TextkomenteChar">
    <w:name w:val="Text komentáře Char"/>
    <w:basedOn w:val="Standardnpsmoodstavce"/>
    <w:link w:val="Textkomente"/>
    <w:uiPriority w:val="99"/>
    <w:rsid w:val="00EC14DC"/>
    <w:rPr>
      <w:rFonts w:asciiTheme="minorHAnsi" w:eastAsia="Times New Roman" w:hAnsiTheme="minorHAnsi" w:cs="Times New Roman"/>
      <w:sz w:val="20"/>
      <w:szCs w:val="20"/>
    </w:rPr>
  </w:style>
  <w:style w:type="paragraph" w:styleId="Pedmtkomente">
    <w:name w:val="annotation subject"/>
    <w:basedOn w:val="Textkomente"/>
    <w:next w:val="Textkomente"/>
    <w:link w:val="PedmtkomenteChar"/>
    <w:uiPriority w:val="99"/>
    <w:semiHidden/>
    <w:unhideWhenUsed/>
    <w:rsid w:val="00EC14DC"/>
    <w:rPr>
      <w:b/>
      <w:bCs/>
    </w:rPr>
  </w:style>
  <w:style w:type="character" w:customStyle="1" w:styleId="PedmtkomenteChar">
    <w:name w:val="Předmět komentáře Char"/>
    <w:basedOn w:val="TextkomenteChar"/>
    <w:link w:val="Pedmtkomente"/>
    <w:uiPriority w:val="99"/>
    <w:semiHidden/>
    <w:rsid w:val="00EC14DC"/>
    <w:rPr>
      <w:rFonts w:asciiTheme="minorHAnsi" w:eastAsia="Times New Roman" w:hAnsiTheme="minorHAnsi" w:cs="Times New Roman"/>
      <w:b/>
      <w:bCs/>
      <w:sz w:val="20"/>
      <w:szCs w:val="20"/>
    </w:rPr>
  </w:style>
  <w:style w:type="character" w:customStyle="1" w:styleId="Role">
    <w:name w:val="Role"/>
    <w:basedOn w:val="Standardnpsmoodstavce"/>
    <w:rsid w:val="00EC14DC"/>
    <w:rPr>
      <w:rFonts w:ascii="Times New Roman" w:hAnsi="Times New Roman"/>
      <w:i/>
      <w:smallCaps/>
    </w:rPr>
  </w:style>
  <w:style w:type="paragraph" w:customStyle="1" w:styleId="Default">
    <w:name w:val="Default"/>
    <w:rsid w:val="00EC14DC"/>
    <w:pPr>
      <w:autoSpaceDE w:val="0"/>
      <w:autoSpaceDN w:val="0"/>
      <w:adjustRightInd w:val="0"/>
    </w:pPr>
    <w:rPr>
      <w:rFonts w:eastAsia="Times New Roman" w:cs="Calibri"/>
      <w:color w:val="000000"/>
      <w:lang w:eastAsia="cs-CZ"/>
    </w:rPr>
  </w:style>
  <w:style w:type="character" w:customStyle="1" w:styleId="apple-converted-space">
    <w:name w:val="apple-converted-space"/>
    <w:basedOn w:val="Standardnpsmoodstavce"/>
    <w:rsid w:val="00EC14DC"/>
  </w:style>
  <w:style w:type="numbering" w:customStyle="1" w:styleId="Bezseznamu1">
    <w:name w:val="Bez seznamu1"/>
    <w:next w:val="Bezseznamu"/>
    <w:uiPriority w:val="99"/>
    <w:semiHidden/>
    <w:unhideWhenUsed/>
    <w:rsid w:val="00EC14DC"/>
  </w:style>
  <w:style w:type="paragraph" w:styleId="Textvysvtlivek">
    <w:name w:val="endnote text"/>
    <w:basedOn w:val="Normln"/>
    <w:link w:val="TextvysvtlivekChar"/>
    <w:uiPriority w:val="99"/>
    <w:semiHidden/>
    <w:unhideWhenUsed/>
    <w:rsid w:val="00EC14DC"/>
    <w:rPr>
      <w:rFonts w:eastAsia="Times New Roman" w:cs="Times New Roman"/>
      <w:sz w:val="20"/>
      <w:szCs w:val="20"/>
    </w:rPr>
  </w:style>
  <w:style w:type="character" w:customStyle="1" w:styleId="TextvysvtlivekChar">
    <w:name w:val="Text vysvětlivek Char"/>
    <w:basedOn w:val="Standardnpsmoodstavce"/>
    <w:link w:val="Textvysvtlivek"/>
    <w:uiPriority w:val="99"/>
    <w:semiHidden/>
    <w:rsid w:val="00EC14DC"/>
    <w:rPr>
      <w:rFonts w:asciiTheme="minorHAnsi" w:eastAsia="Times New Roman" w:hAnsiTheme="minorHAnsi" w:cs="Times New Roman"/>
      <w:sz w:val="20"/>
      <w:szCs w:val="20"/>
    </w:rPr>
  </w:style>
  <w:style w:type="character" w:styleId="Odkaznavysvtlivky">
    <w:name w:val="endnote reference"/>
    <w:basedOn w:val="Standardnpsmoodstavce"/>
    <w:uiPriority w:val="99"/>
    <w:semiHidden/>
    <w:unhideWhenUsed/>
    <w:rsid w:val="00EC14DC"/>
    <w:rPr>
      <w:vertAlign w:val="superscript"/>
    </w:rPr>
  </w:style>
  <w:style w:type="paragraph" w:styleId="Seznamobrzk">
    <w:name w:val="table of figures"/>
    <w:basedOn w:val="Normln"/>
    <w:next w:val="Normln"/>
    <w:uiPriority w:val="99"/>
    <w:unhideWhenUsed/>
    <w:rsid w:val="00EC14DC"/>
    <w:pPr>
      <w:ind w:left="480" w:hanging="480"/>
    </w:pPr>
    <w:rPr>
      <w:rFonts w:eastAsia="Times New Roman" w:cs="Times New Roman"/>
      <w:b/>
      <w:bCs/>
      <w:sz w:val="20"/>
      <w:szCs w:val="20"/>
    </w:rPr>
  </w:style>
  <w:style w:type="paragraph" w:customStyle="1" w:styleId="statementtext">
    <w:name w:val="statement_text"/>
    <w:basedOn w:val="Normln"/>
    <w:rsid w:val="00EC14DC"/>
    <w:pPr>
      <w:spacing w:before="100" w:beforeAutospacing="1" w:after="100" w:afterAutospacing="1"/>
    </w:pPr>
    <w:rPr>
      <w:rFonts w:ascii="Times New Roman" w:eastAsia="Times New Roman" w:hAnsi="Times New Roman" w:cs="Times New Roman"/>
      <w:lang w:eastAsia="cs-CZ"/>
    </w:rPr>
  </w:style>
  <w:style w:type="paragraph" w:customStyle="1" w:styleId="CM1">
    <w:name w:val="CM1"/>
    <w:basedOn w:val="Default"/>
    <w:next w:val="Default"/>
    <w:uiPriority w:val="99"/>
    <w:rsid w:val="00EC14DC"/>
    <w:rPr>
      <w:rFonts w:ascii="EUAlbertina" w:eastAsiaTheme="minorHAnsi" w:hAnsi="EUAlbertina" w:cstheme="minorBidi"/>
      <w:color w:val="auto"/>
      <w:lang w:eastAsia="en-US"/>
    </w:rPr>
  </w:style>
  <w:style w:type="paragraph" w:customStyle="1" w:styleId="CM3">
    <w:name w:val="CM3"/>
    <w:basedOn w:val="Default"/>
    <w:next w:val="Default"/>
    <w:uiPriority w:val="99"/>
    <w:rsid w:val="00EC14DC"/>
    <w:rPr>
      <w:rFonts w:ascii="EUAlbertina" w:eastAsiaTheme="minorHAnsi" w:hAnsi="EUAlbertina" w:cstheme="minorBidi"/>
      <w:color w:val="auto"/>
      <w:lang w:eastAsia="en-US"/>
    </w:rPr>
  </w:style>
  <w:style w:type="paragraph" w:customStyle="1" w:styleId="OM-normln">
    <w:name w:val="OM - normální"/>
    <w:basedOn w:val="Normln"/>
    <w:uiPriority w:val="99"/>
    <w:rsid w:val="00EC14DC"/>
    <w:pPr>
      <w:spacing w:after="120"/>
      <w:jc w:val="both"/>
    </w:pPr>
    <w:rPr>
      <w:rFonts w:ascii="Arial" w:eastAsia="Times New Roman" w:hAnsi="Arial" w:cs="Arial"/>
      <w:sz w:val="20"/>
      <w:szCs w:val="20"/>
    </w:rPr>
  </w:style>
  <w:style w:type="paragraph" w:customStyle="1" w:styleId="CM4">
    <w:name w:val="CM4"/>
    <w:basedOn w:val="Normln"/>
    <w:next w:val="Normln"/>
    <w:uiPriority w:val="99"/>
    <w:rsid w:val="00EC14DC"/>
    <w:pPr>
      <w:autoSpaceDE w:val="0"/>
      <w:autoSpaceDN w:val="0"/>
      <w:adjustRightInd w:val="0"/>
    </w:pPr>
    <w:rPr>
      <w:rFonts w:ascii="EUAlbertina" w:hAnsi="EUAlbertina"/>
    </w:rPr>
  </w:style>
  <w:style w:type="character" w:styleId="PsacstrojHTML">
    <w:name w:val="HTML Typewriter"/>
    <w:basedOn w:val="Standardnpsmoodstavce"/>
    <w:uiPriority w:val="99"/>
    <w:semiHidden/>
    <w:unhideWhenUsed/>
    <w:rsid w:val="00EC14DC"/>
    <w:rPr>
      <w:rFonts w:ascii="Courier New" w:eastAsia="Times New Roman" w:hAnsi="Courier New" w:cs="Courier New"/>
      <w:sz w:val="20"/>
      <w:szCs w:val="20"/>
    </w:rPr>
  </w:style>
  <w:style w:type="numbering" w:customStyle="1" w:styleId="Bezseznamu2">
    <w:name w:val="Bez seznamu2"/>
    <w:next w:val="Bezseznamu"/>
    <w:uiPriority w:val="99"/>
    <w:semiHidden/>
    <w:unhideWhenUsed/>
    <w:rsid w:val="00EC14DC"/>
  </w:style>
  <w:style w:type="table" w:customStyle="1" w:styleId="Mkatabulky3">
    <w:name w:val="Mřížka tabulky3"/>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397C76"/>
    <w:pPr>
      <w:spacing w:line="221" w:lineRule="atLeast"/>
    </w:pPr>
    <w:rPr>
      <w:rFonts w:ascii="Times New Roman" w:eastAsiaTheme="minorHAnsi" w:hAnsi="Times New Roman" w:cs="Times New Roman"/>
      <w:color w:val="auto"/>
      <w:lang w:eastAsia="en-US"/>
    </w:rPr>
  </w:style>
  <w:style w:type="table" w:customStyle="1" w:styleId="Mkatabulky61">
    <w:name w:val="Mřížka tabulky61"/>
    <w:basedOn w:val="Normlntabulka"/>
    <w:next w:val="Mkatabulky"/>
    <w:rsid w:val="00D76178"/>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552A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72446">
      <w:bodyDiv w:val="1"/>
      <w:marLeft w:val="0"/>
      <w:marRight w:val="0"/>
      <w:marTop w:val="0"/>
      <w:marBottom w:val="0"/>
      <w:divBdr>
        <w:top w:val="none" w:sz="0" w:space="0" w:color="auto"/>
        <w:left w:val="none" w:sz="0" w:space="0" w:color="auto"/>
        <w:bottom w:val="none" w:sz="0" w:space="0" w:color="auto"/>
        <w:right w:val="none" w:sz="0" w:space="0" w:color="auto"/>
      </w:divBdr>
    </w:div>
    <w:div w:id="909846881">
      <w:bodyDiv w:val="1"/>
      <w:marLeft w:val="0"/>
      <w:marRight w:val="0"/>
      <w:marTop w:val="0"/>
      <w:marBottom w:val="0"/>
      <w:divBdr>
        <w:top w:val="none" w:sz="0" w:space="0" w:color="auto"/>
        <w:left w:val="none" w:sz="0" w:space="0" w:color="auto"/>
        <w:bottom w:val="none" w:sz="0" w:space="0" w:color="auto"/>
        <w:right w:val="none" w:sz="0" w:space="0" w:color="auto"/>
      </w:divBdr>
    </w:div>
    <w:div w:id="911547045">
      <w:bodyDiv w:val="1"/>
      <w:marLeft w:val="0"/>
      <w:marRight w:val="0"/>
      <w:marTop w:val="0"/>
      <w:marBottom w:val="0"/>
      <w:divBdr>
        <w:top w:val="none" w:sz="0" w:space="0" w:color="auto"/>
        <w:left w:val="none" w:sz="0" w:space="0" w:color="auto"/>
        <w:bottom w:val="none" w:sz="0" w:space="0" w:color="auto"/>
        <w:right w:val="none" w:sz="0" w:space="0" w:color="auto"/>
      </w:divBdr>
    </w:div>
    <w:div w:id="1025014960">
      <w:bodyDiv w:val="1"/>
      <w:marLeft w:val="0"/>
      <w:marRight w:val="0"/>
      <w:marTop w:val="0"/>
      <w:marBottom w:val="0"/>
      <w:divBdr>
        <w:top w:val="none" w:sz="0" w:space="0" w:color="auto"/>
        <w:left w:val="none" w:sz="0" w:space="0" w:color="auto"/>
        <w:bottom w:val="none" w:sz="0" w:space="0" w:color="auto"/>
        <w:right w:val="none" w:sz="0" w:space="0" w:color="auto"/>
      </w:divBdr>
    </w:div>
    <w:div w:id="1300189090">
      <w:bodyDiv w:val="1"/>
      <w:marLeft w:val="0"/>
      <w:marRight w:val="0"/>
      <w:marTop w:val="0"/>
      <w:marBottom w:val="0"/>
      <w:divBdr>
        <w:top w:val="none" w:sz="0" w:space="0" w:color="auto"/>
        <w:left w:val="none" w:sz="0" w:space="0" w:color="auto"/>
        <w:bottom w:val="none" w:sz="0" w:space="0" w:color="auto"/>
        <w:right w:val="none" w:sz="0" w:space="0" w:color="auto"/>
      </w:divBdr>
    </w:div>
    <w:div w:id="1806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zp.cz/C1257458002F0DC7/cz/prirucka_ochrany_kvality_ovzdusi/$FILE/OOO-prirucka_OPLZZ_komplet-2014040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zp.cz/cz/zdravotni_dusledky_znecisteni_ovzdu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chmi.cz/files/portal/docs/meteo/om/weather_links/Pocasi/Navody/Znecisteni/susp_castice.pdf" TargetMode="External"/><Relationship Id="rId5" Type="http://schemas.openxmlformats.org/officeDocument/2006/relationships/webSettings" Target="webSettings.xml"/><Relationship Id="rId15" Type="http://schemas.openxmlformats.org/officeDocument/2006/relationships/hyperlink" Target="https://www.mzp.cz/C1257458002F0DC7/cz/prirucka_ochrany_kvality_ovzdusi/$FILE/OOO-prirucka_OPLZZ_komplet-20140408.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zp.cz/C1257458002F0DC7/cz/prirucka_ochrany_kvality_ovzdusi/$FILE/OOO-prirucka_OPLZZ_komplet-20140408.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ebdab1.umweltbundesamt.at/download/submissions2018/CZ_NFR2018.zip?cgiproxy_skip=1" TargetMode="External"/><Relationship Id="rId1" Type="http://schemas.openxmlformats.org/officeDocument/2006/relationships/hyperlink" Target="http://www.air-silesi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D0B5-11A0-4659-AC3A-89C7D7CB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42337E60.dotm</Template>
  <TotalTime>3</TotalTime>
  <Pages>32</Pages>
  <Words>10436</Words>
  <Characters>61573</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Kontrolní závěr z kontrolní akce NKÚ č. 18/04 - Peněžní prostředky určené na podporu zlepšování kvality ovzduší</vt:lpstr>
    </vt:vector>
  </TitlesOfParts>
  <Company>NKU</Company>
  <LinksUpToDate>false</LinksUpToDate>
  <CharactersWithSpaces>71866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18/04 - Peněžní prostředky určené na podporu zlepšování kvality ovzduší</dc:title>
  <dc:creator>Nejvyšší kontrolní úřad</dc:creator>
  <cp:lastModifiedBy>KOKRDA Daniel</cp:lastModifiedBy>
  <cp:revision>4</cp:revision>
  <cp:lastPrinted>2019-01-10T11:02:00Z</cp:lastPrinted>
  <dcterms:created xsi:type="dcterms:W3CDTF">2019-01-10T10:59:00Z</dcterms:created>
  <dcterms:modified xsi:type="dcterms:W3CDTF">2019-01-10T11:02:00Z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18/04-NKU30/1137/18</vt:lpwstr>
  </property>
  <property fmtid="{D5CDD505-2E9C-101B-9397-08002B2CF9AE}" pid="5" name="CJ_PostaDoruc_PisemnostOdpovedNa_Pisemnost">
    <vt:lpwstr>XXX-XXX-XXX</vt:lpwstr>
  </property>
  <property fmtid="{D5CDD505-2E9C-101B-9397-08002B2CF9AE}" pid="6" name="CJ_Spis_Pisemnost">
    <vt:lpwstr>840/70/18</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20.11.2018</vt:lpwstr>
  </property>
  <property fmtid="{D5CDD505-2E9C-101B-9397-08002B2CF9AE}" pid="11" name="DisplayName_SlozkaStupenUtajeniCollection_Slozka_Pisemnost">
    <vt:lpwstr/>
  </property>
  <property fmtid="{D5CDD505-2E9C-101B-9397-08002B2CF9AE}" pid="12" name="DisplayName_SpisovyUzel_PoziceZodpo_Pisemnost">
    <vt:lpwstr>Členové Úřadu</vt:lpwstr>
  </property>
  <property fmtid="{D5CDD505-2E9C-101B-9397-08002B2CF9AE}" pid="13" name="DisplayName_UserPoriz_Pisemnost">
    <vt:lpwstr>Bc. Jana Pokorná</vt:lpwstr>
  </property>
  <property fmtid="{D5CDD505-2E9C-101B-9397-08002B2CF9AE}" pid="14" name="DuvodZmeny_SlozkaStupenUtajeniCollection_Slozka_Pisemnost">
    <vt:lpwstr/>
  </property>
  <property fmtid="{D5CDD505-2E9C-101B-9397-08002B2CF9AE}" pid="15" name="EC_Pisemnost">
    <vt:lpwstr>18-14516/NKU</vt:lpwstr>
  </property>
  <property fmtid="{D5CDD505-2E9C-101B-9397-08002B2CF9AE}" pid="16" name="Key_BarCode_Pisemnost">
    <vt:lpwstr>*B000325073*</vt:lpwstr>
  </property>
  <property fmtid="{D5CDD505-2E9C-101B-9397-08002B2CF9AE}" pid="17" name="KRukam">
    <vt:lpwstr>{KRukam}</vt:lpwstr>
  </property>
  <property fmtid="{D5CDD505-2E9C-101B-9397-08002B2CF9AE}" pid="18" name="NameAddress_Contact_SpisovyUzel_PoziceZodpo_Pisemnost">
    <vt:lpwstr>ADRESÁT SU...</vt:lpwstr>
  </property>
  <property fmtid="{D5CDD505-2E9C-101B-9397-08002B2CF9AE}" pid="19" name="Odkaz">
    <vt:lpwstr>ODKAZ</vt:lpwstr>
  </property>
  <property fmtid="{D5CDD505-2E9C-101B-9397-08002B2CF9AE}" pid="20" name="Password_PisemnostTypZpristupneniInformaciZOSZ_Pisemnost">
    <vt:lpwstr>ZOSZ_Password</vt:lpwstr>
  </property>
  <property fmtid="{D5CDD505-2E9C-101B-9397-08002B2CF9AE}" pid="21" name="PocetListuDokumentu_Pisemnost">
    <vt:lpwstr>1</vt:lpwstr>
  </property>
  <property fmtid="{D5CDD505-2E9C-101B-9397-08002B2CF9AE}" pid="22" name="PocetListu_Pisemnost">
    <vt:lpwstr>1</vt:lpwstr>
  </property>
  <property fmtid="{D5CDD505-2E9C-101B-9397-08002B2CF9AE}" pid="23" name="PocetPriloh_Pisemnost">
    <vt:lpwstr>POČET PŘÍLOH</vt:lpwstr>
  </property>
  <property fmtid="{D5CDD505-2E9C-101B-9397-08002B2CF9AE}" pid="24" name="Podpis">
    <vt:lpwstr/>
  </property>
  <property fmtid="{D5CDD505-2E9C-101B-9397-08002B2CF9AE}" pid="25" name="PostalAddress_Contact_SpisovyUzel_PoziceZodpo_Pisemnost">
    <vt:lpwstr>ADRESA SU...</vt:lpwstr>
  </property>
  <property fmtid="{D5CDD505-2E9C-101B-9397-08002B2CF9AE}" pid="26" name="RC">
    <vt:lpwstr/>
  </property>
  <property fmtid="{D5CDD505-2E9C-101B-9397-08002B2CF9AE}" pid="27" name="SkartacniZnakLhuta_PisemnostZnak">
    <vt:lpwstr>?/?</vt:lpwstr>
  </property>
  <property fmtid="{D5CDD505-2E9C-101B-9397-08002B2CF9AE}" pid="28" name="SmlouvaCislo">
    <vt:lpwstr>ČÍSLO SMLOUVY</vt:lpwstr>
  </property>
  <property fmtid="{D5CDD505-2E9C-101B-9397-08002B2CF9AE}" pid="29" name="SZ_Spis_Pisemnost">
    <vt:lpwstr>18/04</vt:lpwstr>
  </property>
  <property fmtid="{D5CDD505-2E9C-101B-9397-08002B2CF9AE}" pid="30" name="TEST">
    <vt:lpwstr>testovací pole</vt:lpwstr>
  </property>
  <property fmtid="{D5CDD505-2E9C-101B-9397-08002B2CF9AE}" pid="31" name="TypPrilohy_Pisemnost">
    <vt:lpwstr>TYP PŘÍLOHY</vt:lpwstr>
  </property>
  <property fmtid="{D5CDD505-2E9C-101B-9397-08002B2CF9AE}" pid="32" name="UserName_PisemnostTypZpristupneniInformaciZOSZ_Pisemnost">
    <vt:lpwstr>ZOSZ_UserName</vt:lpwstr>
  </property>
  <property fmtid="{D5CDD505-2E9C-101B-9397-08002B2CF9AE}" pid="33" name="Vec_Pisemnost">
    <vt:lpwstr>Návrh kontrolního závěru 18/04 – do připomínek</vt:lpwstr>
  </property>
  <property fmtid="{D5CDD505-2E9C-101B-9397-08002B2CF9AE}" pid="34" name="Zkratka_SpisovyUzel_PoziceZodpo_Pisemnost">
    <vt:lpwstr>30</vt:lpwstr>
  </property>
</Properties>
</file>