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480D5" w14:textId="210E2637" w:rsidR="00D55F31" w:rsidRDefault="00876EE8" w:rsidP="00876EE8">
      <w:pPr>
        <w:jc w:val="center"/>
        <w:rPr>
          <w:rFonts w:cstheme="minorHAnsi"/>
          <w:color w:val="000000" w:themeColor="text1"/>
        </w:rPr>
      </w:pPr>
      <w:r w:rsidRPr="00A22856">
        <w:rPr>
          <w:rFonts w:cstheme="minorHAnsi"/>
          <w:noProof/>
          <w:color w:val="000000" w:themeColor="text1"/>
        </w:rPr>
        <w:drawing>
          <wp:anchor distT="0" distB="0" distL="114300" distR="114300" simplePos="0" relativeHeight="251658240" behindDoc="0" locked="0" layoutInCell="1" allowOverlap="1" wp14:anchorId="22CB8CB7" wp14:editId="18F53FD5">
            <wp:simplePos x="0" y="0"/>
            <wp:positionH relativeFrom="column">
              <wp:posOffset>2480310</wp:posOffset>
            </wp:positionH>
            <wp:positionV relativeFrom="paragraph">
              <wp:posOffset>8559</wp:posOffset>
            </wp:positionV>
            <wp:extent cx="791210" cy="559435"/>
            <wp:effectExtent l="0" t="0" r="8890" b="0"/>
            <wp:wrapTopAndBottom/>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KU_LOGO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1210" cy="559435"/>
                    </a:xfrm>
                    <a:prstGeom prst="rect">
                      <a:avLst/>
                    </a:prstGeom>
                    <a:noFill/>
                  </pic:spPr>
                </pic:pic>
              </a:graphicData>
            </a:graphic>
          </wp:anchor>
        </w:drawing>
      </w:r>
    </w:p>
    <w:p w14:paraId="1E9DB427" w14:textId="57400283" w:rsidR="00876EE8" w:rsidRDefault="00876EE8" w:rsidP="00876EE8">
      <w:pPr>
        <w:jc w:val="center"/>
        <w:rPr>
          <w:rFonts w:cstheme="minorHAnsi"/>
          <w:color w:val="000000" w:themeColor="text1"/>
        </w:rPr>
      </w:pPr>
    </w:p>
    <w:p w14:paraId="4DAD46D0" w14:textId="77777777" w:rsidR="00876EE8" w:rsidRPr="00CC5E59" w:rsidRDefault="00876EE8" w:rsidP="00876EE8">
      <w:pPr>
        <w:jc w:val="center"/>
        <w:rPr>
          <w:rFonts w:cstheme="minorHAnsi"/>
          <w:color w:val="000000" w:themeColor="text1"/>
        </w:rPr>
      </w:pPr>
    </w:p>
    <w:p w14:paraId="3F217CB3" w14:textId="6DBDAFCC" w:rsidR="00D55F31" w:rsidRPr="00A22856" w:rsidRDefault="0024693B" w:rsidP="00912B63">
      <w:pPr>
        <w:pStyle w:val="Nadpis8"/>
        <w:keepNext w:val="0"/>
        <w:rPr>
          <w:rFonts w:cstheme="minorHAnsi"/>
          <w:color w:val="000000" w:themeColor="text1"/>
          <w:sz w:val="28"/>
          <w:szCs w:val="28"/>
        </w:rPr>
      </w:pPr>
      <w:bookmarkStart w:id="0" w:name="_GoBack"/>
      <w:r w:rsidRPr="00A22856">
        <w:rPr>
          <w:rFonts w:cstheme="minorHAnsi"/>
          <w:color w:val="000000" w:themeColor="text1"/>
          <w:sz w:val="28"/>
          <w:szCs w:val="28"/>
        </w:rPr>
        <w:t>Kontrolní závěr z kontrolní akce</w:t>
      </w:r>
    </w:p>
    <w:p w14:paraId="69822F3A" w14:textId="77777777" w:rsidR="00876EE8" w:rsidRDefault="00876EE8" w:rsidP="00876EE8">
      <w:pPr>
        <w:jc w:val="center"/>
        <w:rPr>
          <w:rFonts w:cstheme="minorHAnsi"/>
          <w:color w:val="000000" w:themeColor="text1"/>
        </w:rPr>
      </w:pPr>
    </w:p>
    <w:p w14:paraId="2B0CC1C7" w14:textId="0FC57131" w:rsidR="00D55F31" w:rsidRPr="00A22856" w:rsidRDefault="0024693B" w:rsidP="00912B63">
      <w:pPr>
        <w:pStyle w:val="Nadpis8"/>
        <w:keepNext w:val="0"/>
        <w:rPr>
          <w:rFonts w:cstheme="minorHAnsi"/>
          <w:color w:val="000000" w:themeColor="text1"/>
          <w:sz w:val="28"/>
          <w:szCs w:val="28"/>
        </w:rPr>
      </w:pPr>
      <w:r w:rsidRPr="00A22856">
        <w:rPr>
          <w:rFonts w:cstheme="minorHAnsi"/>
          <w:color w:val="000000" w:themeColor="text1"/>
          <w:sz w:val="28"/>
          <w:szCs w:val="28"/>
        </w:rPr>
        <w:t>1</w:t>
      </w:r>
      <w:r w:rsidR="009221B7">
        <w:rPr>
          <w:rFonts w:cstheme="minorHAnsi"/>
          <w:color w:val="000000" w:themeColor="text1"/>
          <w:sz w:val="28"/>
          <w:szCs w:val="28"/>
        </w:rPr>
        <w:t>7</w:t>
      </w:r>
      <w:r w:rsidRPr="00A22856">
        <w:rPr>
          <w:rFonts w:cstheme="minorHAnsi"/>
          <w:color w:val="000000" w:themeColor="text1"/>
          <w:sz w:val="28"/>
          <w:szCs w:val="28"/>
        </w:rPr>
        <w:t>/</w:t>
      </w:r>
      <w:r w:rsidR="009221B7">
        <w:rPr>
          <w:rFonts w:cstheme="minorHAnsi"/>
          <w:color w:val="000000" w:themeColor="text1"/>
          <w:sz w:val="28"/>
          <w:szCs w:val="28"/>
        </w:rPr>
        <w:t>19</w:t>
      </w:r>
    </w:p>
    <w:p w14:paraId="64D1912A" w14:textId="77777777" w:rsidR="00876EE8" w:rsidRDefault="00876EE8" w:rsidP="00876EE8">
      <w:pPr>
        <w:jc w:val="center"/>
        <w:rPr>
          <w:rFonts w:cstheme="minorHAnsi"/>
          <w:color w:val="000000" w:themeColor="text1"/>
        </w:rPr>
      </w:pPr>
    </w:p>
    <w:p w14:paraId="031FC29D" w14:textId="5C914079" w:rsidR="00D55F31" w:rsidRDefault="00896D5E" w:rsidP="00912B63">
      <w:pPr>
        <w:jc w:val="center"/>
        <w:rPr>
          <w:rFonts w:ascii="Calibri" w:hAnsi="Calibri" w:cs="Calibri"/>
          <w:b/>
          <w:color w:val="000000" w:themeColor="text1"/>
          <w:sz w:val="28"/>
        </w:rPr>
      </w:pPr>
      <w:r w:rsidRPr="00A22856">
        <w:rPr>
          <w:rFonts w:ascii="Calibri" w:hAnsi="Calibri" w:cs="Calibri"/>
          <w:b/>
          <w:color w:val="000000" w:themeColor="text1"/>
          <w:sz w:val="28"/>
        </w:rPr>
        <w:t xml:space="preserve">Peněžní prostředky vynakládané vybranými nemocnicemi </w:t>
      </w:r>
      <w:r w:rsidR="00AC339B">
        <w:rPr>
          <w:rFonts w:ascii="Calibri" w:hAnsi="Calibri" w:cs="Calibri"/>
          <w:b/>
          <w:color w:val="000000" w:themeColor="text1"/>
          <w:sz w:val="28"/>
        </w:rPr>
        <w:br/>
      </w:r>
      <w:r w:rsidRPr="00A22856">
        <w:rPr>
          <w:rFonts w:ascii="Calibri" w:hAnsi="Calibri" w:cs="Calibri"/>
          <w:b/>
          <w:color w:val="000000" w:themeColor="text1"/>
          <w:sz w:val="28"/>
        </w:rPr>
        <w:t>na úhradu nákladů z</w:t>
      </w:r>
      <w:r w:rsidR="00ED1848">
        <w:rPr>
          <w:rFonts w:ascii="Calibri" w:hAnsi="Calibri" w:cs="Calibri"/>
          <w:b/>
          <w:color w:val="000000" w:themeColor="text1"/>
          <w:sz w:val="28"/>
        </w:rPr>
        <w:t> </w:t>
      </w:r>
      <w:r w:rsidRPr="00A22856">
        <w:rPr>
          <w:rFonts w:ascii="Calibri" w:hAnsi="Calibri" w:cs="Calibri"/>
          <w:b/>
          <w:color w:val="000000" w:themeColor="text1"/>
          <w:sz w:val="28"/>
        </w:rPr>
        <w:t>činnosti</w:t>
      </w:r>
    </w:p>
    <w:bookmarkEnd w:id="0"/>
    <w:p w14:paraId="58F84127" w14:textId="1AF43A2A" w:rsidR="00876EE8" w:rsidRDefault="00876EE8" w:rsidP="00876EE8">
      <w:pPr>
        <w:rPr>
          <w:rFonts w:cstheme="minorHAnsi"/>
          <w:color w:val="000000" w:themeColor="text1"/>
        </w:rPr>
      </w:pPr>
    </w:p>
    <w:p w14:paraId="26680D24" w14:textId="77777777" w:rsidR="00876EE8" w:rsidRDefault="00876EE8" w:rsidP="00876EE8">
      <w:pPr>
        <w:rPr>
          <w:rFonts w:cstheme="minorHAnsi"/>
          <w:color w:val="000000" w:themeColor="text1"/>
        </w:rPr>
      </w:pPr>
    </w:p>
    <w:p w14:paraId="792378E3" w14:textId="1D369A00" w:rsidR="00D55F31" w:rsidRPr="00B16ECD" w:rsidRDefault="0024693B" w:rsidP="00876EE8">
      <w:pPr>
        <w:rPr>
          <w:rFonts w:cstheme="minorHAnsi"/>
          <w:b/>
          <w:bCs/>
          <w:color w:val="000000" w:themeColor="text1"/>
          <w:szCs w:val="24"/>
        </w:rPr>
      </w:pPr>
      <w:r w:rsidRPr="00B16ECD">
        <w:rPr>
          <w:rFonts w:cstheme="minorHAnsi"/>
          <w:color w:val="000000" w:themeColor="text1"/>
          <w:szCs w:val="24"/>
        </w:rPr>
        <w:t>Kontrolní akce byla zařazena do plánu kontrolní činnosti Nejvyššího kontrolního úřadu (dále také „NKÚ“) na rok 201</w:t>
      </w:r>
      <w:r w:rsidR="009221B7" w:rsidRPr="00B16ECD">
        <w:rPr>
          <w:rFonts w:cstheme="minorHAnsi"/>
          <w:color w:val="000000" w:themeColor="text1"/>
          <w:szCs w:val="24"/>
        </w:rPr>
        <w:t>7</w:t>
      </w:r>
      <w:r w:rsidRPr="00B16ECD">
        <w:rPr>
          <w:rFonts w:cstheme="minorHAnsi"/>
          <w:color w:val="000000" w:themeColor="text1"/>
          <w:szCs w:val="24"/>
        </w:rPr>
        <w:t xml:space="preserve"> pod číslem 1</w:t>
      </w:r>
      <w:r w:rsidR="009221B7" w:rsidRPr="00B16ECD">
        <w:rPr>
          <w:rFonts w:cstheme="minorHAnsi"/>
          <w:color w:val="000000" w:themeColor="text1"/>
          <w:szCs w:val="24"/>
        </w:rPr>
        <w:t>7</w:t>
      </w:r>
      <w:r w:rsidRPr="00B16ECD">
        <w:rPr>
          <w:rFonts w:cstheme="minorHAnsi"/>
          <w:color w:val="000000" w:themeColor="text1"/>
          <w:szCs w:val="24"/>
        </w:rPr>
        <w:t>/</w:t>
      </w:r>
      <w:r w:rsidR="009221B7" w:rsidRPr="00B16ECD">
        <w:rPr>
          <w:rFonts w:cstheme="minorHAnsi"/>
          <w:color w:val="000000" w:themeColor="text1"/>
          <w:szCs w:val="24"/>
        </w:rPr>
        <w:t>19</w:t>
      </w:r>
      <w:r w:rsidRPr="00B16ECD">
        <w:rPr>
          <w:rFonts w:cstheme="minorHAnsi"/>
          <w:color w:val="000000" w:themeColor="text1"/>
          <w:szCs w:val="24"/>
        </w:rPr>
        <w:t xml:space="preserve">. Kontrolní akci řídil a kontrolní závěr vypracoval člen NKÚ </w:t>
      </w:r>
      <w:r w:rsidR="009221B7" w:rsidRPr="00B16ECD">
        <w:rPr>
          <w:rFonts w:cstheme="minorHAnsi"/>
          <w:color w:val="000000" w:themeColor="text1"/>
          <w:szCs w:val="24"/>
        </w:rPr>
        <w:t>Ing. Jan Stárek</w:t>
      </w:r>
      <w:r w:rsidRPr="00B16ECD">
        <w:rPr>
          <w:rFonts w:cstheme="minorHAnsi"/>
          <w:color w:val="000000" w:themeColor="text1"/>
          <w:szCs w:val="24"/>
        </w:rPr>
        <w:t>.</w:t>
      </w:r>
    </w:p>
    <w:p w14:paraId="60E18A3C" w14:textId="77777777" w:rsidR="00ED1848" w:rsidRPr="00B16ECD" w:rsidRDefault="00ED1848" w:rsidP="00876EE8">
      <w:pPr>
        <w:rPr>
          <w:rFonts w:cstheme="minorHAnsi"/>
          <w:color w:val="000000" w:themeColor="text1"/>
          <w:szCs w:val="24"/>
        </w:rPr>
      </w:pPr>
    </w:p>
    <w:p w14:paraId="2E481850" w14:textId="2808C64E" w:rsidR="008B0FAE" w:rsidRPr="00B16ECD" w:rsidRDefault="008B0FAE" w:rsidP="00AC339B">
      <w:pPr>
        <w:rPr>
          <w:rFonts w:eastAsia="Calibri"/>
        </w:rPr>
      </w:pPr>
      <w:r w:rsidRPr="00B16ECD">
        <w:t xml:space="preserve">Cílem kontrolní akce bylo </w:t>
      </w:r>
      <w:r w:rsidRPr="00B16ECD">
        <w:rPr>
          <w:rFonts w:eastAsia="Calibri"/>
        </w:rPr>
        <w:t>prověřit, zda pořizování materiálu, zboží a služeb fakultními nemocnicemi (zejména léčivých přípravků a zdra</w:t>
      </w:r>
      <w:r w:rsidR="00F3358F">
        <w:rPr>
          <w:rFonts w:eastAsia="Calibri"/>
        </w:rPr>
        <w:t>votnických prostředků) probíhá</w:t>
      </w:r>
      <w:r w:rsidRPr="00B16ECD">
        <w:rPr>
          <w:rFonts w:eastAsia="Calibri"/>
        </w:rPr>
        <w:t xml:space="preserve"> v souladu s právními předpisy a</w:t>
      </w:r>
      <w:r w:rsidR="00F3358F">
        <w:rPr>
          <w:rFonts w:eastAsia="Calibri"/>
        </w:rPr>
        <w:t xml:space="preserve"> zda je</w:t>
      </w:r>
      <w:r w:rsidR="00D60BF6">
        <w:rPr>
          <w:rFonts w:eastAsia="Calibri"/>
        </w:rPr>
        <w:t xml:space="preserve"> účelné a hospodárné. Dále</w:t>
      </w:r>
      <w:r w:rsidRPr="00B16ECD">
        <w:rPr>
          <w:rFonts w:eastAsia="Calibri"/>
        </w:rPr>
        <w:t xml:space="preserve"> prověřit, zda Ministerstvo zdravotnic</w:t>
      </w:r>
      <w:r w:rsidR="00F3358F">
        <w:rPr>
          <w:rFonts w:eastAsia="Calibri"/>
        </w:rPr>
        <w:t>tví a Ministerstvo obrany plní</w:t>
      </w:r>
      <w:r w:rsidRPr="00B16ECD">
        <w:rPr>
          <w:rFonts w:eastAsia="Calibri"/>
        </w:rPr>
        <w:t xml:space="preserve"> roli zřizovatele fakultních nemocnic.</w:t>
      </w:r>
    </w:p>
    <w:p w14:paraId="3A90ECE7" w14:textId="77777777" w:rsidR="00ED1848" w:rsidRPr="00B16ECD" w:rsidRDefault="00ED1848" w:rsidP="00876EE8">
      <w:pPr>
        <w:rPr>
          <w:rFonts w:cstheme="minorHAnsi"/>
          <w:color w:val="000000" w:themeColor="text1"/>
          <w:szCs w:val="24"/>
        </w:rPr>
      </w:pPr>
    </w:p>
    <w:p w14:paraId="3E04934A" w14:textId="77777777" w:rsidR="003435D8" w:rsidRDefault="0024693B" w:rsidP="00876EE8">
      <w:pPr>
        <w:rPr>
          <w:rFonts w:cstheme="minorHAnsi"/>
          <w:color w:val="000000" w:themeColor="text1"/>
          <w:szCs w:val="24"/>
        </w:rPr>
      </w:pPr>
      <w:r w:rsidRPr="00B16ECD">
        <w:rPr>
          <w:rFonts w:cstheme="minorHAnsi"/>
          <w:color w:val="000000" w:themeColor="text1"/>
          <w:szCs w:val="24"/>
        </w:rPr>
        <w:t>Kontrola byla prov</w:t>
      </w:r>
      <w:r w:rsidR="00046471" w:rsidRPr="00B16ECD">
        <w:rPr>
          <w:rFonts w:cstheme="minorHAnsi"/>
          <w:color w:val="000000" w:themeColor="text1"/>
          <w:szCs w:val="24"/>
        </w:rPr>
        <w:t>áděna</w:t>
      </w:r>
      <w:r w:rsidRPr="00B16ECD">
        <w:rPr>
          <w:rFonts w:cstheme="minorHAnsi"/>
          <w:color w:val="000000" w:themeColor="text1"/>
          <w:szCs w:val="24"/>
        </w:rPr>
        <w:t xml:space="preserve"> u kontrolovaných osob v době od </w:t>
      </w:r>
      <w:r w:rsidR="009221B7" w:rsidRPr="00B16ECD">
        <w:rPr>
          <w:rFonts w:cstheme="minorHAnsi"/>
          <w:color w:val="000000" w:themeColor="text1"/>
          <w:szCs w:val="24"/>
        </w:rPr>
        <w:t>června 2017</w:t>
      </w:r>
      <w:r w:rsidRPr="00B16ECD">
        <w:rPr>
          <w:rFonts w:cstheme="minorHAnsi"/>
          <w:color w:val="000000" w:themeColor="text1"/>
          <w:szCs w:val="24"/>
        </w:rPr>
        <w:t xml:space="preserve"> do </w:t>
      </w:r>
      <w:r w:rsidR="009221B7" w:rsidRPr="00B16ECD">
        <w:rPr>
          <w:rFonts w:cstheme="minorHAnsi"/>
          <w:color w:val="000000" w:themeColor="text1"/>
          <w:szCs w:val="24"/>
        </w:rPr>
        <w:t>února 2018</w:t>
      </w:r>
      <w:r w:rsidRPr="00B16ECD">
        <w:rPr>
          <w:rFonts w:cstheme="minorHAnsi"/>
          <w:color w:val="000000" w:themeColor="text1"/>
          <w:szCs w:val="24"/>
        </w:rPr>
        <w:t xml:space="preserve">. </w:t>
      </w:r>
    </w:p>
    <w:p w14:paraId="3AED6E3F" w14:textId="77777777" w:rsidR="003435D8" w:rsidRDefault="003435D8" w:rsidP="00876EE8">
      <w:pPr>
        <w:rPr>
          <w:rFonts w:cstheme="minorHAnsi"/>
          <w:color w:val="000000" w:themeColor="text1"/>
          <w:szCs w:val="24"/>
        </w:rPr>
      </w:pPr>
    </w:p>
    <w:p w14:paraId="64DD3AF3" w14:textId="38193AB1" w:rsidR="00D55F31" w:rsidRPr="00B16ECD" w:rsidRDefault="0024693B" w:rsidP="00876EE8">
      <w:pPr>
        <w:rPr>
          <w:rFonts w:cstheme="minorHAnsi"/>
          <w:color w:val="000000" w:themeColor="text1"/>
          <w:szCs w:val="24"/>
        </w:rPr>
      </w:pPr>
      <w:r w:rsidRPr="00B16ECD">
        <w:rPr>
          <w:rFonts w:cstheme="minorHAnsi"/>
          <w:color w:val="000000" w:themeColor="text1"/>
          <w:szCs w:val="24"/>
        </w:rPr>
        <w:t>Kontrolovaným obdobím byly roky 201</w:t>
      </w:r>
      <w:r w:rsidR="00896D5E" w:rsidRPr="00B16ECD">
        <w:rPr>
          <w:rFonts w:cstheme="minorHAnsi"/>
          <w:color w:val="000000" w:themeColor="text1"/>
          <w:szCs w:val="24"/>
        </w:rPr>
        <w:t>4</w:t>
      </w:r>
      <w:r w:rsidRPr="00B16ECD">
        <w:rPr>
          <w:rFonts w:cstheme="minorHAnsi"/>
          <w:color w:val="000000" w:themeColor="text1"/>
          <w:szCs w:val="24"/>
        </w:rPr>
        <w:t xml:space="preserve"> až 201</w:t>
      </w:r>
      <w:r w:rsidR="00896D5E" w:rsidRPr="00B16ECD">
        <w:rPr>
          <w:rFonts w:cstheme="minorHAnsi"/>
          <w:color w:val="000000" w:themeColor="text1"/>
          <w:szCs w:val="24"/>
        </w:rPr>
        <w:t>6</w:t>
      </w:r>
      <w:r w:rsidRPr="00B16ECD">
        <w:rPr>
          <w:rFonts w:cstheme="minorHAnsi"/>
          <w:color w:val="000000" w:themeColor="text1"/>
          <w:szCs w:val="24"/>
        </w:rPr>
        <w:t>, v případě věcných souvislostí i období předchozí a období následující.</w:t>
      </w:r>
    </w:p>
    <w:p w14:paraId="162B5EBC" w14:textId="77777777" w:rsidR="00ED1848" w:rsidRPr="00B16ECD" w:rsidRDefault="00ED1848" w:rsidP="00876EE8">
      <w:pPr>
        <w:rPr>
          <w:rFonts w:cstheme="minorHAnsi"/>
          <w:color w:val="000000" w:themeColor="text1"/>
          <w:szCs w:val="24"/>
        </w:rPr>
      </w:pPr>
    </w:p>
    <w:p w14:paraId="18DE1FB3" w14:textId="77777777" w:rsidR="00D55F31" w:rsidRPr="00B16ECD" w:rsidRDefault="0024693B" w:rsidP="00876EE8">
      <w:pPr>
        <w:rPr>
          <w:rFonts w:cstheme="minorHAnsi"/>
          <w:b/>
          <w:color w:val="000000" w:themeColor="text1"/>
          <w:szCs w:val="24"/>
        </w:rPr>
      </w:pPr>
      <w:r w:rsidRPr="00B16ECD">
        <w:rPr>
          <w:rFonts w:cstheme="minorHAnsi"/>
          <w:b/>
          <w:color w:val="000000" w:themeColor="text1"/>
          <w:szCs w:val="24"/>
        </w:rPr>
        <w:t xml:space="preserve">Kontrolované osoby: </w:t>
      </w:r>
    </w:p>
    <w:p w14:paraId="1C72E1DB" w14:textId="5D46BC46" w:rsidR="00D55F31" w:rsidRPr="00B16ECD" w:rsidRDefault="0024693B" w:rsidP="00876EE8">
      <w:pPr>
        <w:pStyle w:val="BodyText21"/>
        <w:overflowPunct/>
        <w:autoSpaceDE/>
        <w:autoSpaceDN/>
        <w:adjustRightInd/>
        <w:spacing w:after="0"/>
        <w:textAlignment w:val="auto"/>
        <w:rPr>
          <w:rFonts w:cstheme="minorHAnsi"/>
          <w:color w:val="000000" w:themeColor="text1"/>
          <w:szCs w:val="24"/>
          <w:lang w:eastAsia="en-US"/>
        </w:rPr>
      </w:pPr>
      <w:r w:rsidRPr="00B16ECD">
        <w:rPr>
          <w:rFonts w:cstheme="minorHAnsi"/>
          <w:color w:val="000000" w:themeColor="text1"/>
          <w:szCs w:val="24"/>
          <w:lang w:eastAsia="en-US"/>
        </w:rPr>
        <w:t>Ministerstvo zdravotnictví (dále také „MZ“)</w:t>
      </w:r>
      <w:r w:rsidR="00046471" w:rsidRPr="00B16ECD">
        <w:rPr>
          <w:rFonts w:cstheme="minorHAnsi"/>
          <w:color w:val="000000" w:themeColor="text1"/>
          <w:szCs w:val="24"/>
          <w:lang w:eastAsia="en-US"/>
        </w:rPr>
        <w:t>,</w:t>
      </w:r>
    </w:p>
    <w:p w14:paraId="7DB1A1C4" w14:textId="11DF83D9" w:rsidR="009221B7" w:rsidRPr="00B16ECD" w:rsidRDefault="009221B7" w:rsidP="00876EE8">
      <w:pPr>
        <w:pStyle w:val="BodyText21"/>
        <w:overflowPunct/>
        <w:autoSpaceDE/>
        <w:autoSpaceDN/>
        <w:adjustRightInd/>
        <w:spacing w:after="0"/>
        <w:textAlignment w:val="auto"/>
        <w:rPr>
          <w:rFonts w:cstheme="minorHAnsi"/>
          <w:color w:val="000000" w:themeColor="text1"/>
          <w:szCs w:val="24"/>
          <w:lang w:eastAsia="en-US"/>
        </w:rPr>
      </w:pPr>
      <w:r w:rsidRPr="00B16ECD">
        <w:rPr>
          <w:rFonts w:cstheme="minorHAnsi"/>
          <w:color w:val="000000" w:themeColor="text1"/>
          <w:szCs w:val="24"/>
          <w:lang w:eastAsia="en-US"/>
        </w:rPr>
        <w:t>Ministerstvo obrany (dále také „MO“),</w:t>
      </w:r>
    </w:p>
    <w:p w14:paraId="641892FC" w14:textId="77777777" w:rsidR="00606375" w:rsidRPr="00B16ECD" w:rsidRDefault="00606375" w:rsidP="00876EE8">
      <w:pPr>
        <w:autoSpaceDE w:val="0"/>
        <w:autoSpaceDN w:val="0"/>
        <w:adjustRightInd w:val="0"/>
        <w:rPr>
          <w:rFonts w:cstheme="minorHAnsi"/>
          <w:color w:val="000000" w:themeColor="text1"/>
          <w:szCs w:val="24"/>
        </w:rPr>
      </w:pPr>
      <w:r w:rsidRPr="00B16ECD">
        <w:rPr>
          <w:rFonts w:cstheme="minorHAnsi"/>
          <w:color w:val="000000" w:themeColor="text1"/>
          <w:szCs w:val="24"/>
        </w:rPr>
        <w:t>Fakultní nemocnice Brno (dále také „FNB“),</w:t>
      </w:r>
    </w:p>
    <w:p w14:paraId="7E4F6180" w14:textId="0F75C27F" w:rsidR="00D55F31" w:rsidRPr="00B16ECD" w:rsidRDefault="00624A48" w:rsidP="00876EE8">
      <w:pPr>
        <w:autoSpaceDE w:val="0"/>
        <w:autoSpaceDN w:val="0"/>
        <w:adjustRightInd w:val="0"/>
        <w:rPr>
          <w:rFonts w:cstheme="minorHAnsi"/>
          <w:color w:val="000000" w:themeColor="text1"/>
          <w:szCs w:val="24"/>
        </w:rPr>
      </w:pPr>
      <w:r w:rsidRPr="00B16ECD">
        <w:rPr>
          <w:rFonts w:cstheme="minorHAnsi"/>
          <w:bCs/>
          <w:color w:val="000000" w:themeColor="text1"/>
          <w:szCs w:val="24"/>
        </w:rPr>
        <w:t>Fakultní ne</w:t>
      </w:r>
      <w:r w:rsidR="00896D5E" w:rsidRPr="00B16ECD">
        <w:rPr>
          <w:rFonts w:cstheme="minorHAnsi"/>
          <w:bCs/>
          <w:color w:val="000000" w:themeColor="text1"/>
          <w:szCs w:val="24"/>
        </w:rPr>
        <w:t xml:space="preserve">mocnice </w:t>
      </w:r>
      <w:r w:rsidR="009221B7" w:rsidRPr="00B16ECD">
        <w:rPr>
          <w:rFonts w:cstheme="minorHAnsi"/>
          <w:bCs/>
          <w:color w:val="000000" w:themeColor="text1"/>
          <w:szCs w:val="24"/>
        </w:rPr>
        <w:t>v Motole (dále</w:t>
      </w:r>
      <w:r w:rsidR="0024693B" w:rsidRPr="00B16ECD">
        <w:rPr>
          <w:rFonts w:cstheme="minorHAnsi"/>
          <w:color w:val="000000" w:themeColor="text1"/>
          <w:szCs w:val="24"/>
        </w:rPr>
        <w:t xml:space="preserve"> také „</w:t>
      </w:r>
      <w:r w:rsidR="009221B7" w:rsidRPr="00B16ECD">
        <w:rPr>
          <w:rFonts w:cstheme="minorHAnsi"/>
          <w:color w:val="000000" w:themeColor="text1"/>
          <w:szCs w:val="24"/>
        </w:rPr>
        <w:t>FNM</w:t>
      </w:r>
      <w:r w:rsidR="0024693B" w:rsidRPr="00B16ECD">
        <w:rPr>
          <w:rFonts w:cstheme="minorHAnsi"/>
          <w:color w:val="000000" w:themeColor="text1"/>
          <w:szCs w:val="24"/>
        </w:rPr>
        <w:t>“)</w:t>
      </w:r>
      <w:r w:rsidR="00046471" w:rsidRPr="00B16ECD">
        <w:rPr>
          <w:rFonts w:cstheme="minorHAnsi"/>
          <w:color w:val="000000" w:themeColor="text1"/>
          <w:szCs w:val="24"/>
        </w:rPr>
        <w:t>,</w:t>
      </w:r>
    </w:p>
    <w:p w14:paraId="5F6BBDFD" w14:textId="69436B5D" w:rsidR="009221B7" w:rsidRPr="00B16ECD" w:rsidRDefault="009221B7" w:rsidP="00876EE8">
      <w:pPr>
        <w:autoSpaceDE w:val="0"/>
        <w:autoSpaceDN w:val="0"/>
        <w:adjustRightInd w:val="0"/>
        <w:rPr>
          <w:rFonts w:cstheme="minorHAnsi"/>
          <w:color w:val="000000" w:themeColor="text1"/>
          <w:szCs w:val="24"/>
        </w:rPr>
      </w:pPr>
      <w:r w:rsidRPr="00B16ECD">
        <w:rPr>
          <w:rFonts w:cstheme="minorHAnsi"/>
          <w:color w:val="000000" w:themeColor="text1"/>
          <w:szCs w:val="24"/>
        </w:rPr>
        <w:t>Ústřední vojenská nemocnice – Vojenská fakultní nemocnice Praha (dále také „ÚVN“)</w:t>
      </w:r>
      <w:r w:rsidR="00606375">
        <w:rPr>
          <w:rFonts w:cstheme="minorHAnsi"/>
          <w:color w:val="000000" w:themeColor="text1"/>
          <w:szCs w:val="24"/>
        </w:rPr>
        <w:t>.</w:t>
      </w:r>
    </w:p>
    <w:p w14:paraId="6FCB6C7E" w14:textId="77777777" w:rsidR="008B0FAE" w:rsidRPr="00B16ECD" w:rsidRDefault="008B0FAE" w:rsidP="00876EE8">
      <w:pPr>
        <w:pStyle w:val="Zkladntext"/>
        <w:rPr>
          <w:rFonts w:cstheme="minorHAnsi"/>
          <w:b w:val="0"/>
          <w:color w:val="000000" w:themeColor="text1"/>
          <w:sz w:val="24"/>
          <w:szCs w:val="24"/>
        </w:rPr>
      </w:pPr>
    </w:p>
    <w:p w14:paraId="35E5F628" w14:textId="64102378" w:rsidR="008B0FAE" w:rsidRPr="00B16ECD" w:rsidRDefault="0024693B" w:rsidP="00876EE8">
      <w:pPr>
        <w:pStyle w:val="Zkladntext"/>
        <w:rPr>
          <w:rFonts w:cstheme="minorHAnsi"/>
          <w:b w:val="0"/>
          <w:bCs w:val="0"/>
          <w:color w:val="000000" w:themeColor="text1"/>
          <w:sz w:val="24"/>
          <w:szCs w:val="24"/>
        </w:rPr>
      </w:pPr>
      <w:r w:rsidRPr="00B16ECD">
        <w:rPr>
          <w:rFonts w:cstheme="minorHAnsi"/>
          <w:b w:val="0"/>
          <w:color w:val="000000" w:themeColor="text1"/>
          <w:sz w:val="24"/>
          <w:szCs w:val="24"/>
        </w:rPr>
        <w:t>Námitky</w:t>
      </w:r>
      <w:r w:rsidRPr="00B16ECD">
        <w:rPr>
          <w:rFonts w:cstheme="minorHAnsi"/>
          <w:b w:val="0"/>
          <w:bCs w:val="0"/>
          <w:color w:val="000000" w:themeColor="text1"/>
          <w:sz w:val="24"/>
          <w:szCs w:val="24"/>
        </w:rPr>
        <w:t xml:space="preserve"> proti kontrolnímu protokolu podal</w:t>
      </w:r>
      <w:r w:rsidR="00046471" w:rsidRPr="00B16ECD">
        <w:rPr>
          <w:rFonts w:cstheme="minorHAnsi"/>
          <w:b w:val="0"/>
          <w:bCs w:val="0"/>
          <w:color w:val="000000" w:themeColor="text1"/>
          <w:sz w:val="24"/>
          <w:szCs w:val="24"/>
        </w:rPr>
        <w:t>y</w:t>
      </w:r>
      <w:r w:rsidRPr="00B16ECD">
        <w:rPr>
          <w:rFonts w:cstheme="minorHAnsi"/>
          <w:b w:val="0"/>
          <w:bCs w:val="0"/>
          <w:color w:val="000000" w:themeColor="text1"/>
          <w:sz w:val="24"/>
          <w:szCs w:val="24"/>
        </w:rPr>
        <w:t xml:space="preserve"> </w:t>
      </w:r>
      <w:r w:rsidR="009221B7" w:rsidRPr="00B16ECD">
        <w:rPr>
          <w:rFonts w:cstheme="minorHAnsi"/>
          <w:b w:val="0"/>
          <w:bCs w:val="0"/>
          <w:color w:val="000000" w:themeColor="text1"/>
          <w:sz w:val="24"/>
          <w:szCs w:val="24"/>
        </w:rPr>
        <w:t>MO</w:t>
      </w:r>
      <w:r w:rsidR="00896D5E" w:rsidRPr="00B16ECD">
        <w:rPr>
          <w:rFonts w:cstheme="minorHAnsi"/>
          <w:b w:val="0"/>
          <w:bCs w:val="0"/>
          <w:color w:val="000000" w:themeColor="text1"/>
          <w:sz w:val="24"/>
          <w:szCs w:val="24"/>
        </w:rPr>
        <w:t xml:space="preserve">, </w:t>
      </w:r>
      <w:r w:rsidR="00ED036A">
        <w:rPr>
          <w:rFonts w:cstheme="minorHAnsi"/>
          <w:b w:val="0"/>
          <w:bCs w:val="0"/>
          <w:color w:val="000000" w:themeColor="text1"/>
          <w:sz w:val="24"/>
          <w:szCs w:val="24"/>
        </w:rPr>
        <w:t xml:space="preserve">FNB, </w:t>
      </w:r>
      <w:r w:rsidR="00624A48" w:rsidRPr="00B16ECD">
        <w:rPr>
          <w:rFonts w:cstheme="minorHAnsi"/>
          <w:b w:val="0"/>
          <w:bCs w:val="0"/>
          <w:color w:val="000000" w:themeColor="text1"/>
          <w:sz w:val="24"/>
          <w:szCs w:val="24"/>
        </w:rPr>
        <w:t>FNM</w:t>
      </w:r>
      <w:r w:rsidR="00ED036A">
        <w:rPr>
          <w:rFonts w:cstheme="minorHAnsi"/>
          <w:b w:val="0"/>
          <w:bCs w:val="0"/>
          <w:color w:val="000000" w:themeColor="text1"/>
          <w:sz w:val="24"/>
          <w:szCs w:val="24"/>
        </w:rPr>
        <w:t xml:space="preserve"> a</w:t>
      </w:r>
      <w:r w:rsidR="00624A48" w:rsidRPr="00B16ECD">
        <w:rPr>
          <w:rFonts w:cstheme="minorHAnsi"/>
          <w:b w:val="0"/>
          <w:bCs w:val="0"/>
          <w:color w:val="000000" w:themeColor="text1"/>
          <w:sz w:val="24"/>
          <w:szCs w:val="24"/>
        </w:rPr>
        <w:t xml:space="preserve"> </w:t>
      </w:r>
      <w:r w:rsidR="009221B7" w:rsidRPr="00B16ECD">
        <w:rPr>
          <w:rFonts w:cstheme="minorHAnsi"/>
          <w:b w:val="0"/>
          <w:bCs w:val="0"/>
          <w:color w:val="000000" w:themeColor="text1"/>
          <w:sz w:val="24"/>
          <w:szCs w:val="24"/>
        </w:rPr>
        <w:t>ÚVN</w:t>
      </w:r>
      <w:r w:rsidRPr="00B16ECD">
        <w:rPr>
          <w:rFonts w:cstheme="minorHAnsi"/>
          <w:b w:val="0"/>
          <w:bCs w:val="0"/>
          <w:color w:val="000000" w:themeColor="text1"/>
          <w:sz w:val="24"/>
          <w:szCs w:val="24"/>
        </w:rPr>
        <w:t>. Námitky byly vypořádány vedoucím</w:t>
      </w:r>
      <w:r w:rsidR="00562ED3" w:rsidRPr="00B16ECD">
        <w:rPr>
          <w:rFonts w:cstheme="minorHAnsi"/>
          <w:b w:val="0"/>
          <w:bCs w:val="0"/>
          <w:color w:val="000000" w:themeColor="text1"/>
          <w:sz w:val="24"/>
          <w:szCs w:val="24"/>
        </w:rPr>
        <w:t>i</w:t>
      </w:r>
      <w:r w:rsidRPr="00B16ECD">
        <w:rPr>
          <w:rFonts w:cstheme="minorHAnsi"/>
          <w:b w:val="0"/>
          <w:bCs w:val="0"/>
          <w:color w:val="000000" w:themeColor="text1"/>
          <w:sz w:val="24"/>
          <w:szCs w:val="24"/>
        </w:rPr>
        <w:t xml:space="preserve"> skupin kontrolujících rozhodnutím</w:t>
      </w:r>
      <w:r w:rsidR="00046471" w:rsidRPr="00B16ECD">
        <w:rPr>
          <w:rFonts w:cstheme="minorHAnsi"/>
          <w:b w:val="0"/>
          <w:bCs w:val="0"/>
          <w:color w:val="000000" w:themeColor="text1"/>
          <w:sz w:val="24"/>
          <w:szCs w:val="24"/>
        </w:rPr>
        <w:t>i</w:t>
      </w:r>
      <w:r w:rsidRPr="00B16ECD">
        <w:rPr>
          <w:rFonts w:cstheme="minorHAnsi"/>
          <w:b w:val="0"/>
          <w:bCs w:val="0"/>
          <w:color w:val="000000" w:themeColor="text1"/>
          <w:sz w:val="24"/>
          <w:szCs w:val="24"/>
        </w:rPr>
        <w:t xml:space="preserve"> o námitkách. Odvolání proti rozhodnutí o</w:t>
      </w:r>
      <w:r w:rsidR="00562ED3" w:rsidRPr="00B16ECD">
        <w:rPr>
          <w:rFonts w:cstheme="minorHAnsi"/>
          <w:b w:val="0"/>
          <w:bCs w:val="0"/>
          <w:color w:val="000000" w:themeColor="text1"/>
          <w:sz w:val="24"/>
          <w:szCs w:val="24"/>
        </w:rPr>
        <w:t> </w:t>
      </w:r>
      <w:r w:rsidR="00ED036A">
        <w:rPr>
          <w:rFonts w:cstheme="minorHAnsi"/>
          <w:b w:val="0"/>
          <w:bCs w:val="0"/>
          <w:color w:val="000000" w:themeColor="text1"/>
          <w:sz w:val="24"/>
          <w:szCs w:val="24"/>
        </w:rPr>
        <w:t>námitkách, která</w:t>
      </w:r>
      <w:r w:rsidRPr="00B16ECD">
        <w:rPr>
          <w:rFonts w:cstheme="minorHAnsi"/>
          <w:b w:val="0"/>
          <w:bCs w:val="0"/>
          <w:color w:val="000000" w:themeColor="text1"/>
          <w:sz w:val="24"/>
          <w:szCs w:val="24"/>
        </w:rPr>
        <w:t xml:space="preserve"> podal</w:t>
      </w:r>
      <w:r w:rsidR="00562ED3" w:rsidRPr="00B16ECD">
        <w:rPr>
          <w:rFonts w:cstheme="minorHAnsi"/>
          <w:b w:val="0"/>
          <w:bCs w:val="0"/>
          <w:color w:val="000000" w:themeColor="text1"/>
          <w:sz w:val="24"/>
          <w:szCs w:val="24"/>
        </w:rPr>
        <w:t>o</w:t>
      </w:r>
      <w:r w:rsidRPr="00B16ECD">
        <w:rPr>
          <w:rFonts w:cstheme="minorHAnsi"/>
          <w:b w:val="0"/>
          <w:bCs w:val="0"/>
          <w:color w:val="000000" w:themeColor="text1"/>
          <w:sz w:val="24"/>
          <w:szCs w:val="24"/>
        </w:rPr>
        <w:t xml:space="preserve"> </w:t>
      </w:r>
      <w:r w:rsidR="00562ED3" w:rsidRPr="00B16ECD">
        <w:rPr>
          <w:rFonts w:cstheme="minorHAnsi"/>
          <w:b w:val="0"/>
          <w:bCs w:val="0"/>
          <w:color w:val="000000" w:themeColor="text1"/>
          <w:sz w:val="24"/>
          <w:szCs w:val="24"/>
        </w:rPr>
        <w:t>M</w:t>
      </w:r>
      <w:r w:rsidR="009221B7" w:rsidRPr="00B16ECD">
        <w:rPr>
          <w:rFonts w:cstheme="minorHAnsi"/>
          <w:b w:val="0"/>
          <w:bCs w:val="0"/>
          <w:color w:val="000000" w:themeColor="text1"/>
          <w:sz w:val="24"/>
          <w:szCs w:val="24"/>
        </w:rPr>
        <w:t>O</w:t>
      </w:r>
      <w:r w:rsidR="00C425D5" w:rsidRPr="00B16ECD">
        <w:rPr>
          <w:rFonts w:cstheme="minorHAnsi"/>
          <w:b w:val="0"/>
          <w:bCs w:val="0"/>
          <w:color w:val="000000" w:themeColor="text1"/>
          <w:sz w:val="24"/>
          <w:szCs w:val="24"/>
        </w:rPr>
        <w:t xml:space="preserve">, FNB, </w:t>
      </w:r>
      <w:r w:rsidR="007315B1">
        <w:rPr>
          <w:rFonts w:cstheme="minorHAnsi"/>
          <w:b w:val="0"/>
          <w:bCs w:val="0"/>
          <w:color w:val="000000" w:themeColor="text1"/>
          <w:sz w:val="24"/>
          <w:szCs w:val="24"/>
        </w:rPr>
        <w:t>FNM a ÚVN</w:t>
      </w:r>
      <w:r w:rsidR="00ED036A">
        <w:rPr>
          <w:rFonts w:cstheme="minorHAnsi"/>
          <w:b w:val="0"/>
          <w:bCs w:val="0"/>
          <w:color w:val="000000" w:themeColor="text1"/>
          <w:sz w:val="24"/>
          <w:szCs w:val="24"/>
        </w:rPr>
        <w:t xml:space="preserve"> byla vypořádána</w:t>
      </w:r>
      <w:r w:rsidRPr="00B16ECD">
        <w:rPr>
          <w:rFonts w:cstheme="minorHAnsi"/>
          <w:b w:val="0"/>
          <w:bCs w:val="0"/>
          <w:color w:val="000000" w:themeColor="text1"/>
          <w:sz w:val="24"/>
          <w:szCs w:val="24"/>
        </w:rPr>
        <w:t xml:space="preserve"> usnes</w:t>
      </w:r>
      <w:r w:rsidR="00046471" w:rsidRPr="00B16ECD">
        <w:rPr>
          <w:rFonts w:cstheme="minorHAnsi"/>
          <w:b w:val="0"/>
          <w:bCs w:val="0"/>
          <w:color w:val="000000" w:themeColor="text1"/>
          <w:sz w:val="24"/>
          <w:szCs w:val="24"/>
        </w:rPr>
        <w:t>e</w:t>
      </w:r>
      <w:r w:rsidRPr="00B16ECD">
        <w:rPr>
          <w:rFonts w:cstheme="minorHAnsi"/>
          <w:b w:val="0"/>
          <w:bCs w:val="0"/>
          <w:color w:val="000000" w:themeColor="text1"/>
          <w:sz w:val="24"/>
          <w:szCs w:val="24"/>
        </w:rPr>
        <w:t>ním</w:t>
      </w:r>
      <w:r w:rsidR="00C425D5" w:rsidRPr="00B16ECD">
        <w:rPr>
          <w:rFonts w:cstheme="minorHAnsi"/>
          <w:b w:val="0"/>
          <w:bCs w:val="0"/>
          <w:color w:val="000000" w:themeColor="text1"/>
          <w:sz w:val="24"/>
          <w:szCs w:val="24"/>
        </w:rPr>
        <w:t>i</w:t>
      </w:r>
      <w:r w:rsidRPr="00B16ECD">
        <w:rPr>
          <w:rFonts w:cstheme="minorHAnsi"/>
          <w:b w:val="0"/>
          <w:bCs w:val="0"/>
          <w:color w:val="000000" w:themeColor="text1"/>
          <w:sz w:val="24"/>
          <w:szCs w:val="24"/>
        </w:rPr>
        <w:t xml:space="preserve"> Kolegia NKÚ.</w:t>
      </w:r>
      <w:r w:rsidR="00C425D5" w:rsidRPr="00B16ECD">
        <w:rPr>
          <w:rFonts w:cstheme="minorHAnsi"/>
          <w:b w:val="0"/>
          <w:bCs w:val="0"/>
          <w:color w:val="000000" w:themeColor="text1"/>
          <w:sz w:val="24"/>
          <w:szCs w:val="24"/>
        </w:rPr>
        <w:t xml:space="preserve"> </w:t>
      </w:r>
    </w:p>
    <w:p w14:paraId="16143C5E" w14:textId="0CEC7094" w:rsidR="008B0FAE" w:rsidRDefault="008B0FAE" w:rsidP="00876EE8">
      <w:pPr>
        <w:pStyle w:val="Zkladntext"/>
        <w:rPr>
          <w:rFonts w:cstheme="minorHAnsi"/>
          <w:b w:val="0"/>
          <w:bCs w:val="0"/>
          <w:color w:val="000000" w:themeColor="text1"/>
          <w:sz w:val="24"/>
          <w:szCs w:val="24"/>
        </w:rPr>
      </w:pPr>
    </w:p>
    <w:p w14:paraId="65A78CBE" w14:textId="77777777" w:rsidR="008B0FAE" w:rsidRDefault="008B0FAE" w:rsidP="00876EE8">
      <w:pPr>
        <w:pStyle w:val="Zkladntext"/>
        <w:rPr>
          <w:rFonts w:cstheme="minorHAnsi"/>
          <w:b w:val="0"/>
          <w:bCs w:val="0"/>
          <w:color w:val="000000" w:themeColor="text1"/>
          <w:sz w:val="24"/>
          <w:szCs w:val="24"/>
        </w:rPr>
      </w:pPr>
    </w:p>
    <w:p w14:paraId="5D349AAE" w14:textId="539E2FD2" w:rsidR="00D55F31" w:rsidRPr="008B0FAE" w:rsidRDefault="0024693B" w:rsidP="00876EE8">
      <w:pPr>
        <w:pStyle w:val="Zkladntext"/>
        <w:spacing w:after="120"/>
        <w:rPr>
          <w:rFonts w:cstheme="minorHAnsi"/>
          <w:b w:val="0"/>
          <w:bCs w:val="0"/>
          <w:color w:val="000000" w:themeColor="text1"/>
          <w:sz w:val="24"/>
          <w:szCs w:val="24"/>
        </w:rPr>
      </w:pPr>
      <w:r w:rsidRPr="00C44D5A">
        <w:rPr>
          <w:rFonts w:cstheme="minorHAnsi"/>
          <w:i/>
          <w:iCs/>
          <w:color w:val="000000" w:themeColor="text1"/>
          <w:sz w:val="24"/>
          <w:szCs w:val="24"/>
        </w:rPr>
        <w:t>K o l e g i u m   N</w:t>
      </w:r>
      <w:r w:rsidR="00046471">
        <w:rPr>
          <w:rFonts w:cstheme="minorHAnsi"/>
          <w:i/>
          <w:iCs/>
          <w:color w:val="000000" w:themeColor="text1"/>
          <w:sz w:val="24"/>
          <w:szCs w:val="24"/>
        </w:rPr>
        <w:t xml:space="preserve"> </w:t>
      </w:r>
      <w:r w:rsidRPr="00C44D5A">
        <w:rPr>
          <w:rFonts w:cstheme="minorHAnsi"/>
          <w:i/>
          <w:iCs/>
          <w:color w:val="000000" w:themeColor="text1"/>
          <w:sz w:val="24"/>
          <w:szCs w:val="24"/>
        </w:rPr>
        <w:t>K</w:t>
      </w:r>
      <w:r w:rsidR="00046471">
        <w:rPr>
          <w:rFonts w:cstheme="minorHAnsi"/>
          <w:i/>
          <w:iCs/>
          <w:color w:val="000000" w:themeColor="text1"/>
          <w:sz w:val="24"/>
          <w:szCs w:val="24"/>
        </w:rPr>
        <w:t xml:space="preserve"> </w:t>
      </w:r>
      <w:r w:rsidRPr="00C44D5A">
        <w:rPr>
          <w:rFonts w:cstheme="minorHAnsi"/>
          <w:i/>
          <w:iCs/>
          <w:color w:val="000000" w:themeColor="text1"/>
          <w:sz w:val="24"/>
          <w:szCs w:val="24"/>
        </w:rPr>
        <w:t>Ú</w:t>
      </w:r>
      <w:r w:rsidRPr="00C44D5A">
        <w:rPr>
          <w:rFonts w:cstheme="minorHAnsi"/>
          <w:b w:val="0"/>
          <w:i/>
          <w:iCs/>
          <w:color w:val="000000" w:themeColor="text1"/>
          <w:sz w:val="24"/>
          <w:szCs w:val="24"/>
        </w:rPr>
        <w:t xml:space="preserve"> </w:t>
      </w:r>
      <w:r w:rsidR="00C44D5A">
        <w:rPr>
          <w:rFonts w:cstheme="minorHAnsi"/>
          <w:b w:val="0"/>
          <w:i/>
          <w:iCs/>
          <w:color w:val="000000" w:themeColor="text1"/>
          <w:sz w:val="24"/>
          <w:szCs w:val="24"/>
        </w:rPr>
        <w:t xml:space="preserve">  </w:t>
      </w:r>
      <w:r w:rsidRPr="00C44D5A">
        <w:rPr>
          <w:rFonts w:cstheme="minorHAnsi"/>
          <w:b w:val="0"/>
          <w:bCs w:val="0"/>
          <w:color w:val="000000" w:themeColor="text1"/>
          <w:sz w:val="24"/>
          <w:szCs w:val="24"/>
        </w:rPr>
        <w:t xml:space="preserve">na </w:t>
      </w:r>
      <w:r w:rsidRPr="006E084B">
        <w:rPr>
          <w:rFonts w:cstheme="minorHAnsi"/>
          <w:b w:val="0"/>
          <w:bCs w:val="0"/>
          <w:color w:val="000000" w:themeColor="text1"/>
          <w:sz w:val="24"/>
          <w:szCs w:val="24"/>
        </w:rPr>
        <w:t xml:space="preserve">svém </w:t>
      </w:r>
      <w:r w:rsidR="00B243C2">
        <w:rPr>
          <w:rFonts w:cstheme="minorHAnsi"/>
          <w:b w:val="0"/>
          <w:bCs w:val="0"/>
          <w:color w:val="000000" w:themeColor="text1"/>
          <w:sz w:val="24"/>
          <w:szCs w:val="24"/>
        </w:rPr>
        <w:t>X</w:t>
      </w:r>
      <w:r w:rsidR="009221B7" w:rsidRPr="006E084B">
        <w:rPr>
          <w:rFonts w:cstheme="minorHAnsi"/>
          <w:b w:val="0"/>
          <w:bCs w:val="0"/>
          <w:color w:val="000000" w:themeColor="text1"/>
          <w:sz w:val="24"/>
          <w:szCs w:val="24"/>
        </w:rPr>
        <w:t>.</w:t>
      </w:r>
      <w:r w:rsidR="00CD6516" w:rsidRPr="006E084B">
        <w:rPr>
          <w:rFonts w:cstheme="minorHAnsi"/>
          <w:b w:val="0"/>
          <w:bCs w:val="0"/>
          <w:color w:val="000000" w:themeColor="text1"/>
          <w:sz w:val="24"/>
          <w:szCs w:val="24"/>
        </w:rPr>
        <w:t xml:space="preserve"> </w:t>
      </w:r>
      <w:r w:rsidR="00D54E1D" w:rsidRPr="006E084B">
        <w:rPr>
          <w:rFonts w:cstheme="minorHAnsi"/>
          <w:b w:val="0"/>
          <w:bCs w:val="0"/>
          <w:color w:val="000000" w:themeColor="text1"/>
          <w:sz w:val="24"/>
          <w:szCs w:val="24"/>
        </w:rPr>
        <w:t xml:space="preserve">jednání, které se konalo dne </w:t>
      </w:r>
      <w:r w:rsidR="00B243C2">
        <w:rPr>
          <w:rFonts w:cstheme="minorHAnsi"/>
          <w:b w:val="0"/>
          <w:bCs w:val="0"/>
          <w:color w:val="000000" w:themeColor="text1"/>
          <w:sz w:val="24"/>
          <w:szCs w:val="24"/>
        </w:rPr>
        <w:t xml:space="preserve">30. července </w:t>
      </w:r>
      <w:r w:rsidR="006E084B">
        <w:rPr>
          <w:rFonts w:cstheme="minorHAnsi"/>
          <w:b w:val="0"/>
          <w:bCs w:val="0"/>
          <w:color w:val="000000" w:themeColor="text1"/>
          <w:sz w:val="24"/>
          <w:szCs w:val="24"/>
        </w:rPr>
        <w:t>2</w:t>
      </w:r>
      <w:r w:rsidR="00C44D5A" w:rsidRPr="006E084B">
        <w:rPr>
          <w:rFonts w:cstheme="minorHAnsi"/>
          <w:b w:val="0"/>
          <w:bCs w:val="0"/>
          <w:color w:val="000000" w:themeColor="text1"/>
          <w:sz w:val="24"/>
          <w:szCs w:val="24"/>
        </w:rPr>
        <w:t>01</w:t>
      </w:r>
      <w:r w:rsidR="009221B7" w:rsidRPr="006E084B">
        <w:rPr>
          <w:rFonts w:cstheme="minorHAnsi"/>
          <w:b w:val="0"/>
          <w:bCs w:val="0"/>
          <w:color w:val="000000" w:themeColor="text1"/>
          <w:sz w:val="24"/>
          <w:szCs w:val="24"/>
        </w:rPr>
        <w:t>8</w:t>
      </w:r>
      <w:r w:rsidR="00046471" w:rsidRPr="006E084B">
        <w:rPr>
          <w:rFonts w:cstheme="minorHAnsi"/>
          <w:b w:val="0"/>
          <w:bCs w:val="0"/>
          <w:color w:val="000000" w:themeColor="text1"/>
          <w:sz w:val="24"/>
          <w:szCs w:val="24"/>
        </w:rPr>
        <w:t>,</w:t>
      </w:r>
    </w:p>
    <w:p w14:paraId="461EE27F" w14:textId="7696320D" w:rsidR="00D55F31" w:rsidRPr="00C44D5A" w:rsidRDefault="0024693B" w:rsidP="00876EE8">
      <w:pPr>
        <w:spacing w:after="120"/>
        <w:rPr>
          <w:rFonts w:cstheme="minorHAnsi"/>
          <w:color w:val="000000" w:themeColor="text1"/>
        </w:rPr>
      </w:pPr>
      <w:proofErr w:type="gramStart"/>
      <w:r w:rsidRPr="00C44D5A">
        <w:rPr>
          <w:rFonts w:cstheme="minorHAnsi"/>
          <w:b/>
          <w:bCs/>
          <w:i/>
          <w:iCs/>
          <w:color w:val="000000" w:themeColor="text1"/>
        </w:rPr>
        <w:t>s c h v á l i l o</w:t>
      </w:r>
      <w:r w:rsidRPr="00C44D5A">
        <w:rPr>
          <w:rFonts w:cstheme="minorHAnsi"/>
          <w:color w:val="000000" w:themeColor="text1"/>
        </w:rPr>
        <w:t xml:space="preserve">   usnesením č.</w:t>
      </w:r>
      <w:proofErr w:type="gramEnd"/>
      <w:r w:rsidRPr="00C44D5A">
        <w:rPr>
          <w:rFonts w:cstheme="minorHAnsi"/>
          <w:color w:val="000000" w:themeColor="text1"/>
        </w:rPr>
        <w:t xml:space="preserve"> </w:t>
      </w:r>
      <w:r w:rsidR="00FA221A">
        <w:rPr>
          <w:rFonts w:cstheme="minorHAnsi"/>
          <w:color w:val="000000" w:themeColor="text1"/>
        </w:rPr>
        <w:t>8</w:t>
      </w:r>
      <w:r w:rsidRPr="006E084B">
        <w:rPr>
          <w:rFonts w:cstheme="minorHAnsi"/>
          <w:color w:val="000000" w:themeColor="text1"/>
        </w:rPr>
        <w:t>/</w:t>
      </w:r>
      <w:r w:rsidR="00B243C2">
        <w:rPr>
          <w:rFonts w:cstheme="minorHAnsi"/>
          <w:color w:val="000000" w:themeColor="text1"/>
        </w:rPr>
        <w:t>X</w:t>
      </w:r>
      <w:r w:rsidRPr="006E084B">
        <w:rPr>
          <w:rFonts w:cstheme="minorHAnsi"/>
          <w:color w:val="000000" w:themeColor="text1"/>
        </w:rPr>
        <w:t>/201</w:t>
      </w:r>
      <w:r w:rsidR="009221B7" w:rsidRPr="006E084B">
        <w:rPr>
          <w:rFonts w:cstheme="minorHAnsi"/>
          <w:color w:val="000000" w:themeColor="text1"/>
        </w:rPr>
        <w:t>8</w:t>
      </w:r>
    </w:p>
    <w:p w14:paraId="29E40172" w14:textId="77777777" w:rsidR="00D55F31" w:rsidRPr="00C44D5A" w:rsidRDefault="0024693B" w:rsidP="00876EE8">
      <w:pPr>
        <w:spacing w:after="120"/>
        <w:rPr>
          <w:rFonts w:cstheme="minorHAnsi"/>
          <w:color w:val="000000" w:themeColor="text1"/>
        </w:rPr>
      </w:pPr>
      <w:r w:rsidRPr="00C44D5A">
        <w:rPr>
          <w:rFonts w:cstheme="minorHAnsi"/>
          <w:b/>
          <w:bCs/>
          <w:i/>
          <w:iCs/>
          <w:color w:val="000000" w:themeColor="text1"/>
        </w:rPr>
        <w:t>k o n t r o l n í   z á v ě r</w:t>
      </w:r>
      <w:r w:rsidRPr="00C44D5A">
        <w:rPr>
          <w:rFonts w:cstheme="minorHAnsi"/>
          <w:color w:val="000000" w:themeColor="text1"/>
        </w:rPr>
        <w:t xml:space="preserve">   v tomto znění:</w:t>
      </w:r>
    </w:p>
    <w:p w14:paraId="2B184E0E" w14:textId="77777777" w:rsidR="001738B0" w:rsidRPr="00A22856" w:rsidRDefault="001738B0" w:rsidP="00912B63">
      <w:pPr>
        <w:rPr>
          <w:rFonts w:cstheme="minorHAnsi"/>
          <w:b/>
          <w:noProof/>
          <w:color w:val="000000" w:themeColor="text1"/>
        </w:rPr>
      </w:pPr>
      <w:r w:rsidRPr="00A22856">
        <w:rPr>
          <w:rFonts w:cstheme="minorHAnsi"/>
          <w:b/>
          <w:noProof/>
          <w:color w:val="000000" w:themeColor="text1"/>
        </w:rPr>
        <w:br w:type="page"/>
      </w:r>
    </w:p>
    <w:p w14:paraId="2BA3C2D3" w14:textId="77777777" w:rsidR="00D3722D" w:rsidRDefault="00D3722D" w:rsidP="00D3722D">
      <w:pPr>
        <w:pStyle w:val="Nadpis1"/>
        <w:jc w:val="center"/>
        <w:rPr>
          <w:u w:val="none"/>
        </w:rPr>
      </w:pPr>
      <w:r w:rsidRPr="008E75DF">
        <w:rPr>
          <w:u w:val="none"/>
        </w:rPr>
        <w:lastRenderedPageBreak/>
        <w:t>Klíčová fakta</w:t>
      </w:r>
    </w:p>
    <w:p w14:paraId="4475DDA9" w14:textId="77777777" w:rsidR="00D3722D" w:rsidRDefault="00D3722D" w:rsidP="00D3722D"/>
    <w:tbl>
      <w:tblPr>
        <w:tblW w:w="9015" w:type="dxa"/>
        <w:jc w:val="center"/>
        <w:tblLayout w:type="fixed"/>
        <w:tblCellMar>
          <w:bottom w:w="57" w:type="dxa"/>
        </w:tblCellMar>
        <w:tblLook w:val="0000" w:firstRow="0" w:lastRow="0" w:firstColumn="0" w:lastColumn="0" w:noHBand="0" w:noVBand="0"/>
      </w:tblPr>
      <w:tblGrid>
        <w:gridCol w:w="3005"/>
        <w:gridCol w:w="3005"/>
        <w:gridCol w:w="3005"/>
      </w:tblGrid>
      <w:tr w:rsidR="00D3722D" w:rsidRPr="007F2132" w14:paraId="2548F8DB" w14:textId="77777777" w:rsidTr="00BA09ED">
        <w:trPr>
          <w:trHeight w:val="567"/>
          <w:jc w:val="center"/>
        </w:trPr>
        <w:tc>
          <w:tcPr>
            <w:tcW w:w="3005" w:type="dxa"/>
            <w:tcBorders>
              <w:bottom w:val="single" w:sz="4" w:space="0" w:color="4F81BD"/>
              <w:right w:val="single" w:sz="4" w:space="0" w:color="4F81BD"/>
            </w:tcBorders>
            <w:shd w:val="clear" w:color="auto" w:fill="E5F1FF"/>
            <w:vAlign w:val="center"/>
          </w:tcPr>
          <w:p w14:paraId="78C58165" w14:textId="77777777" w:rsidR="00D3722D" w:rsidRPr="007F2132" w:rsidRDefault="00D3722D" w:rsidP="00A7142D">
            <w:pPr>
              <w:pStyle w:val="Pa18"/>
              <w:jc w:val="center"/>
              <w:rPr>
                <w:rFonts w:cs="Calibri"/>
                <w:color w:val="000000"/>
                <w:sz w:val="32"/>
                <w:szCs w:val="40"/>
              </w:rPr>
            </w:pPr>
            <w:r w:rsidRPr="007F2132">
              <w:rPr>
                <w:b/>
                <w:sz w:val="32"/>
                <w:szCs w:val="40"/>
              </w:rPr>
              <w:t>402,6 mil. Kč</w:t>
            </w:r>
          </w:p>
        </w:tc>
        <w:tc>
          <w:tcPr>
            <w:tcW w:w="3005" w:type="dxa"/>
            <w:tcBorders>
              <w:left w:val="single" w:sz="4" w:space="0" w:color="4F81BD"/>
              <w:bottom w:val="single" w:sz="4" w:space="0" w:color="4F81BD"/>
              <w:right w:val="single" w:sz="4" w:space="0" w:color="4F81BD"/>
            </w:tcBorders>
            <w:shd w:val="clear" w:color="auto" w:fill="E5F1FF"/>
            <w:vAlign w:val="center"/>
          </w:tcPr>
          <w:p w14:paraId="4C01FA33" w14:textId="77777777" w:rsidR="00D3722D" w:rsidRPr="007F2132" w:rsidRDefault="00D3722D" w:rsidP="00A7142D">
            <w:pPr>
              <w:pStyle w:val="Pa18"/>
              <w:jc w:val="center"/>
              <w:rPr>
                <w:rFonts w:cs="Calibri"/>
                <w:color w:val="000000"/>
                <w:sz w:val="32"/>
                <w:szCs w:val="40"/>
              </w:rPr>
            </w:pPr>
            <w:r w:rsidRPr="007F2132">
              <w:rPr>
                <w:b/>
                <w:bCs/>
                <w:sz w:val="32"/>
                <w:szCs w:val="40"/>
              </w:rPr>
              <w:t>1,9 mld. Kč</w:t>
            </w:r>
          </w:p>
        </w:tc>
        <w:tc>
          <w:tcPr>
            <w:tcW w:w="3005" w:type="dxa"/>
            <w:tcBorders>
              <w:left w:val="single" w:sz="4" w:space="0" w:color="4F81BD"/>
              <w:bottom w:val="single" w:sz="4" w:space="0" w:color="4F81BD"/>
            </w:tcBorders>
            <w:shd w:val="clear" w:color="auto" w:fill="E5F1FF"/>
            <w:vAlign w:val="center"/>
          </w:tcPr>
          <w:p w14:paraId="02E84FC5" w14:textId="77777777" w:rsidR="00D3722D" w:rsidRPr="007F2132" w:rsidRDefault="00D3722D" w:rsidP="00A7142D">
            <w:pPr>
              <w:pStyle w:val="Pa18"/>
              <w:jc w:val="center"/>
              <w:rPr>
                <w:rStyle w:val="A14"/>
                <w:rFonts w:cs="Calibri"/>
                <w:bCs/>
                <w:sz w:val="32"/>
                <w:szCs w:val="40"/>
              </w:rPr>
            </w:pPr>
            <w:r w:rsidRPr="007F2132">
              <w:rPr>
                <w:b/>
                <w:bCs/>
                <w:sz w:val="32"/>
                <w:szCs w:val="40"/>
              </w:rPr>
              <w:t>1,06 mld. Kč</w:t>
            </w:r>
          </w:p>
        </w:tc>
      </w:tr>
      <w:tr w:rsidR="00D3722D" w:rsidRPr="00AC7532" w14:paraId="22992928" w14:textId="77777777" w:rsidTr="00BA09ED">
        <w:trPr>
          <w:trHeight w:val="567"/>
          <w:jc w:val="center"/>
        </w:trPr>
        <w:tc>
          <w:tcPr>
            <w:tcW w:w="3005" w:type="dxa"/>
            <w:tcBorders>
              <w:top w:val="single" w:sz="4" w:space="0" w:color="4F81BD"/>
              <w:right w:val="single" w:sz="4" w:space="0" w:color="4F81BD"/>
            </w:tcBorders>
            <w:shd w:val="clear" w:color="auto" w:fill="E5F1FF"/>
            <w:vAlign w:val="center"/>
          </w:tcPr>
          <w:p w14:paraId="7B7FBD8D" w14:textId="77777777" w:rsidR="00D3722D" w:rsidRPr="00AC7532" w:rsidRDefault="00D3722D" w:rsidP="00BA09ED">
            <w:pPr>
              <w:pStyle w:val="Pa19"/>
              <w:spacing w:line="240" w:lineRule="auto"/>
              <w:jc w:val="center"/>
              <w:rPr>
                <w:rFonts w:cs="Calibri"/>
                <w:color w:val="000000"/>
                <w:sz w:val="22"/>
                <w:szCs w:val="21"/>
              </w:rPr>
            </w:pPr>
            <w:r w:rsidRPr="00AC7532">
              <w:rPr>
                <w:rFonts w:cs="Calibri"/>
                <w:color w:val="000000"/>
                <w:sz w:val="22"/>
                <w:szCs w:val="21"/>
              </w:rPr>
              <w:t xml:space="preserve">Kontrolovaný objem </w:t>
            </w:r>
            <w:r>
              <w:rPr>
                <w:rFonts w:cs="Calibri"/>
                <w:color w:val="000000"/>
                <w:sz w:val="22"/>
                <w:szCs w:val="21"/>
              </w:rPr>
              <w:br/>
            </w:r>
            <w:r w:rsidRPr="00AC7532">
              <w:rPr>
                <w:rFonts w:cs="Calibri"/>
                <w:color w:val="000000"/>
                <w:sz w:val="22"/>
                <w:szCs w:val="21"/>
              </w:rPr>
              <w:t>majetku</w:t>
            </w:r>
          </w:p>
        </w:tc>
        <w:tc>
          <w:tcPr>
            <w:tcW w:w="3005" w:type="dxa"/>
            <w:tcBorders>
              <w:top w:val="single" w:sz="4" w:space="0" w:color="4F81BD"/>
              <w:left w:val="single" w:sz="4" w:space="0" w:color="4F81BD"/>
              <w:right w:val="single" w:sz="4" w:space="0" w:color="4F81BD"/>
            </w:tcBorders>
            <w:shd w:val="clear" w:color="auto" w:fill="E5F1FF"/>
            <w:vAlign w:val="center"/>
          </w:tcPr>
          <w:p w14:paraId="6E97D2D0" w14:textId="77777777" w:rsidR="00D3722D" w:rsidRPr="00AC7532" w:rsidRDefault="00D3722D" w:rsidP="00BA09ED">
            <w:pPr>
              <w:pStyle w:val="Pa19"/>
              <w:spacing w:line="240" w:lineRule="auto"/>
              <w:jc w:val="center"/>
              <w:rPr>
                <w:rFonts w:cs="Calibri"/>
                <w:color w:val="000000"/>
                <w:sz w:val="22"/>
                <w:szCs w:val="21"/>
              </w:rPr>
            </w:pPr>
            <w:r>
              <w:rPr>
                <w:rFonts w:cs="Calibri"/>
                <w:noProof/>
                <w:color w:val="000000"/>
                <w:sz w:val="22"/>
                <w:szCs w:val="21"/>
              </w:rPr>
              <w:drawing>
                <wp:anchor distT="0" distB="0" distL="114300" distR="114300" simplePos="0" relativeHeight="251660288" behindDoc="0" locked="0" layoutInCell="1" allowOverlap="1" wp14:anchorId="75B88E06" wp14:editId="442D7FFB">
                  <wp:simplePos x="0" y="0"/>
                  <wp:positionH relativeFrom="column">
                    <wp:posOffset>1530985</wp:posOffset>
                  </wp:positionH>
                  <wp:positionV relativeFrom="paragraph">
                    <wp:posOffset>-252730</wp:posOffset>
                  </wp:positionV>
                  <wp:extent cx="602615" cy="431165"/>
                  <wp:effectExtent l="0" t="0" r="6985" b="698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mocná šipk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2615" cy="431165"/>
                          </a:xfrm>
                          <a:prstGeom prst="rect">
                            <a:avLst/>
                          </a:prstGeom>
                        </pic:spPr>
                      </pic:pic>
                    </a:graphicData>
                  </a:graphic>
                  <wp14:sizeRelH relativeFrom="margin">
                    <wp14:pctWidth>0</wp14:pctWidth>
                  </wp14:sizeRelH>
                  <wp14:sizeRelV relativeFrom="margin">
                    <wp14:pctHeight>0</wp14:pctHeight>
                  </wp14:sizeRelV>
                </wp:anchor>
              </w:drawing>
            </w:r>
            <w:r w:rsidRPr="00AC7532">
              <w:rPr>
                <w:rFonts w:cs="Calibri"/>
                <w:color w:val="000000"/>
                <w:sz w:val="22"/>
                <w:szCs w:val="21"/>
              </w:rPr>
              <w:t xml:space="preserve">Kontrolovaný objem </w:t>
            </w:r>
            <w:r>
              <w:rPr>
                <w:rFonts w:cs="Calibri"/>
                <w:color w:val="000000"/>
                <w:sz w:val="22"/>
                <w:szCs w:val="21"/>
              </w:rPr>
              <w:br/>
            </w:r>
            <w:r w:rsidRPr="00AC7532">
              <w:rPr>
                <w:rFonts w:cs="Calibri"/>
                <w:color w:val="000000"/>
                <w:sz w:val="22"/>
                <w:szCs w:val="21"/>
              </w:rPr>
              <w:t>peněžních prostředků</w:t>
            </w:r>
          </w:p>
        </w:tc>
        <w:tc>
          <w:tcPr>
            <w:tcW w:w="3005" w:type="dxa"/>
            <w:tcBorders>
              <w:top w:val="single" w:sz="4" w:space="0" w:color="4F81BD"/>
              <w:left w:val="single" w:sz="4" w:space="0" w:color="4F81BD"/>
            </w:tcBorders>
            <w:shd w:val="clear" w:color="auto" w:fill="E5F1FF"/>
            <w:vAlign w:val="center"/>
          </w:tcPr>
          <w:p w14:paraId="517F7ADC" w14:textId="77777777" w:rsidR="00D3722D" w:rsidRPr="00AC7532" w:rsidRDefault="00D3722D" w:rsidP="00BA09ED">
            <w:pPr>
              <w:pStyle w:val="Pa19"/>
              <w:spacing w:line="240" w:lineRule="auto"/>
              <w:jc w:val="center"/>
              <w:rPr>
                <w:rFonts w:cs="Calibri"/>
                <w:color w:val="000000"/>
                <w:sz w:val="22"/>
                <w:szCs w:val="21"/>
              </w:rPr>
            </w:pPr>
            <w:r w:rsidRPr="00AC7532">
              <w:rPr>
                <w:rFonts w:cs="Calibri"/>
                <w:color w:val="000000"/>
                <w:sz w:val="22"/>
                <w:szCs w:val="21"/>
              </w:rPr>
              <w:t xml:space="preserve">Kontrolovaný objem </w:t>
            </w:r>
            <w:r>
              <w:rPr>
                <w:rFonts w:cs="Calibri"/>
                <w:color w:val="000000"/>
                <w:sz w:val="22"/>
                <w:szCs w:val="21"/>
              </w:rPr>
              <w:br/>
            </w:r>
            <w:r w:rsidRPr="00AC7532">
              <w:rPr>
                <w:rFonts w:cs="Calibri"/>
                <w:color w:val="000000"/>
                <w:sz w:val="22"/>
                <w:szCs w:val="21"/>
              </w:rPr>
              <w:t>veřejných zakázek</w:t>
            </w:r>
          </w:p>
        </w:tc>
      </w:tr>
    </w:tbl>
    <w:p w14:paraId="68CCB833" w14:textId="77777777" w:rsidR="00D3722D" w:rsidRPr="00BA09ED" w:rsidRDefault="00D3722D" w:rsidP="00D3722D"/>
    <w:p w14:paraId="324AD502" w14:textId="3F7BE0FE" w:rsidR="00D3722D" w:rsidRDefault="00D3722D" w:rsidP="00BA09ED">
      <w:pPr>
        <w:spacing w:after="120"/>
        <w:jc w:val="center"/>
        <w:rPr>
          <w:b/>
        </w:rPr>
      </w:pPr>
      <w:r>
        <w:rPr>
          <w:b/>
        </w:rPr>
        <w:t>Porovnání celkových nákladů kontrolovaných fakultních nemocnic v roce 2016</w:t>
      </w:r>
    </w:p>
    <w:p w14:paraId="09B215CD" w14:textId="524C34C3" w:rsidR="00D3722D" w:rsidRPr="00BA09ED" w:rsidRDefault="00D3722D" w:rsidP="00BA09ED">
      <w:r w:rsidRPr="00BA09ED">
        <w:rPr>
          <w:noProof/>
        </w:rPr>
        <w:drawing>
          <wp:anchor distT="0" distB="0" distL="114300" distR="114300" simplePos="0" relativeHeight="251661312" behindDoc="0" locked="0" layoutInCell="1" allowOverlap="1" wp14:anchorId="591C5E24" wp14:editId="66992803">
            <wp:simplePos x="0" y="0"/>
            <wp:positionH relativeFrom="margin">
              <wp:align>center</wp:align>
            </wp:positionH>
            <wp:positionV relativeFrom="paragraph">
              <wp:posOffset>1905</wp:posOffset>
            </wp:positionV>
            <wp:extent cx="4394607" cy="756000"/>
            <wp:effectExtent l="0" t="0" r="6350" b="635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éma C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4607" cy="756000"/>
                    </a:xfrm>
                    <a:prstGeom prst="rect">
                      <a:avLst/>
                    </a:prstGeom>
                  </pic:spPr>
                </pic:pic>
              </a:graphicData>
            </a:graphic>
            <wp14:sizeRelH relativeFrom="page">
              <wp14:pctWidth>0</wp14:pctWidth>
            </wp14:sizeRelH>
            <wp14:sizeRelV relativeFrom="page">
              <wp14:pctHeight>0</wp14:pctHeight>
            </wp14:sizeRelV>
          </wp:anchor>
        </w:drawing>
      </w:r>
    </w:p>
    <w:p w14:paraId="2B77AB9C" w14:textId="5DEB5604" w:rsidR="00D3722D" w:rsidRDefault="00BA09ED" w:rsidP="00BA09ED">
      <w:pPr>
        <w:spacing w:after="120"/>
        <w:jc w:val="center"/>
        <w:rPr>
          <w:b/>
        </w:rPr>
      </w:pPr>
      <w:r w:rsidRPr="00BA09ED">
        <w:rPr>
          <w:noProof/>
        </w:rPr>
        <w:drawing>
          <wp:anchor distT="0" distB="0" distL="114300" distR="114300" simplePos="0" relativeHeight="251662336" behindDoc="0" locked="0" layoutInCell="1" allowOverlap="1" wp14:anchorId="4D0C5065" wp14:editId="15ACF2F9">
            <wp:simplePos x="0" y="0"/>
            <wp:positionH relativeFrom="margin">
              <wp:posOffset>180975</wp:posOffset>
            </wp:positionH>
            <wp:positionV relativeFrom="paragraph">
              <wp:posOffset>634365</wp:posOffset>
            </wp:positionV>
            <wp:extent cx="5220000" cy="2465121"/>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éma A2.png"/>
                    <pic:cNvPicPr/>
                  </pic:nvPicPr>
                  <pic:blipFill rotWithShape="1">
                    <a:blip r:embed="rId14" cstate="print">
                      <a:extLst>
                        <a:ext uri="{28A0092B-C50C-407E-A947-70E740481C1C}">
                          <a14:useLocalDpi xmlns:a14="http://schemas.microsoft.com/office/drawing/2010/main" val="0"/>
                        </a:ext>
                      </a:extLst>
                    </a:blip>
                    <a:srcRect t="-3471" b="-1"/>
                    <a:stretch/>
                  </pic:blipFill>
                  <pic:spPr bwMode="auto">
                    <a:xfrm>
                      <a:off x="0" y="0"/>
                      <a:ext cx="5220000" cy="24651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3BA7">
        <w:rPr>
          <w:b/>
        </w:rPr>
        <w:t>Uskutečněná z</w:t>
      </w:r>
      <w:r w:rsidR="00D3722D">
        <w:rPr>
          <w:b/>
        </w:rPr>
        <w:t xml:space="preserve">adávací řízení podle zákona o veřejných zakázkách </w:t>
      </w:r>
      <w:r>
        <w:rPr>
          <w:b/>
        </w:rPr>
        <w:br/>
      </w:r>
      <w:r w:rsidR="00D3722D">
        <w:rPr>
          <w:b/>
        </w:rPr>
        <w:t>na kontrolovaném vzorku</w:t>
      </w:r>
      <w:r w:rsidR="00014F37">
        <w:rPr>
          <w:b/>
        </w:rPr>
        <w:t xml:space="preserve"> vybraných shodných léčivých přípravků a zdravotnických prostředků</w:t>
      </w:r>
      <w:r w:rsidR="00810E6C">
        <w:rPr>
          <w:b/>
        </w:rPr>
        <w:t xml:space="preserve"> v letech 2014 až 2016</w:t>
      </w:r>
    </w:p>
    <w:p w14:paraId="28FF3F4A" w14:textId="6A947F7A" w:rsidR="00D3722D" w:rsidRPr="00BA09ED" w:rsidRDefault="00D3722D" w:rsidP="00BA09ED"/>
    <w:p w14:paraId="7FC9A47F" w14:textId="0932E13A" w:rsidR="00D3722D" w:rsidRDefault="00BA09ED" w:rsidP="00BA09ED">
      <w:pPr>
        <w:spacing w:after="120"/>
        <w:jc w:val="center"/>
      </w:pPr>
      <w:r>
        <w:rPr>
          <w:noProof/>
        </w:rPr>
        <w:drawing>
          <wp:anchor distT="0" distB="0" distL="114300" distR="114300" simplePos="0" relativeHeight="251663360" behindDoc="0" locked="0" layoutInCell="1" allowOverlap="1" wp14:anchorId="5E4B165A" wp14:editId="714F1F77">
            <wp:simplePos x="0" y="0"/>
            <wp:positionH relativeFrom="margin">
              <wp:align>center</wp:align>
            </wp:positionH>
            <wp:positionV relativeFrom="paragraph">
              <wp:posOffset>415290</wp:posOffset>
            </wp:positionV>
            <wp:extent cx="5400000" cy="2250258"/>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éma B2.png"/>
                    <pic:cNvPicPr/>
                  </pic:nvPicPr>
                  <pic:blipFill rotWithShape="1">
                    <a:blip r:embed="rId15" cstate="print">
                      <a:extLst>
                        <a:ext uri="{28A0092B-C50C-407E-A947-70E740481C1C}">
                          <a14:useLocalDpi xmlns:a14="http://schemas.microsoft.com/office/drawing/2010/main" val="0"/>
                        </a:ext>
                      </a:extLst>
                    </a:blip>
                    <a:srcRect t="-6629" b="-1"/>
                    <a:stretch/>
                  </pic:blipFill>
                  <pic:spPr bwMode="auto">
                    <a:xfrm>
                      <a:off x="0" y="0"/>
                      <a:ext cx="5400000" cy="22502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73B2">
        <w:rPr>
          <w:b/>
        </w:rPr>
        <w:t>Významné r</w:t>
      </w:r>
      <w:r w:rsidR="00D3722D" w:rsidRPr="00B06815">
        <w:rPr>
          <w:b/>
        </w:rPr>
        <w:t xml:space="preserve">ozdíly cen u vybraných léků a zdravotnických </w:t>
      </w:r>
      <w:r w:rsidR="00D3722D">
        <w:rPr>
          <w:b/>
        </w:rPr>
        <w:t xml:space="preserve">prostředků </w:t>
      </w:r>
      <w:r>
        <w:rPr>
          <w:b/>
        </w:rPr>
        <w:br/>
      </w:r>
      <w:r w:rsidR="00D3722D">
        <w:rPr>
          <w:b/>
        </w:rPr>
        <w:t>na kontrolovaném vzorku</w:t>
      </w:r>
    </w:p>
    <w:p w14:paraId="4B2040DA" w14:textId="7D811D74" w:rsidR="009221B7" w:rsidRPr="00876EE8" w:rsidRDefault="00876EE8" w:rsidP="004C3B13">
      <w:pPr>
        <w:pStyle w:val="Nadpis1"/>
        <w:spacing w:before="240" w:after="240"/>
        <w:jc w:val="center"/>
        <w:rPr>
          <w:spacing w:val="-2"/>
          <w:u w:val="none"/>
        </w:rPr>
      </w:pPr>
      <w:r>
        <w:rPr>
          <w:u w:val="none"/>
        </w:rPr>
        <w:lastRenderedPageBreak/>
        <w:t xml:space="preserve">I. </w:t>
      </w:r>
      <w:r w:rsidR="009221B7" w:rsidRPr="00876EE8">
        <w:rPr>
          <w:u w:val="none"/>
        </w:rPr>
        <w:t>Shrnutí a vyhodnocení</w:t>
      </w:r>
    </w:p>
    <w:p w14:paraId="2EFAD666" w14:textId="6F08E300" w:rsidR="00A57105" w:rsidRDefault="001B2FA9" w:rsidP="00A57105">
      <w:pPr>
        <w:autoSpaceDE w:val="0"/>
        <w:autoSpaceDN w:val="0"/>
        <w:adjustRightInd w:val="0"/>
        <w:spacing w:before="120"/>
        <w:rPr>
          <w:rFonts w:cs="Arial"/>
          <w:color w:val="000000" w:themeColor="text1"/>
          <w:szCs w:val="24"/>
        </w:rPr>
      </w:pPr>
      <w:r w:rsidRPr="00CA0EAF">
        <w:rPr>
          <w:rFonts w:cs="Arial"/>
          <w:color w:val="000000" w:themeColor="text1"/>
          <w:szCs w:val="24"/>
        </w:rPr>
        <w:t xml:space="preserve">Kontrole byly podrobeny Ministerstvo zdravotnictví a </w:t>
      </w:r>
      <w:r w:rsidR="00213A2C">
        <w:rPr>
          <w:rFonts w:cs="Arial"/>
          <w:color w:val="000000" w:themeColor="text1"/>
          <w:szCs w:val="24"/>
        </w:rPr>
        <w:t>jím</w:t>
      </w:r>
      <w:r w:rsidRPr="00CA0EAF">
        <w:rPr>
          <w:rFonts w:cs="Arial"/>
          <w:color w:val="000000" w:themeColor="text1"/>
          <w:szCs w:val="24"/>
        </w:rPr>
        <w:t xml:space="preserve"> přímo řízené </w:t>
      </w:r>
      <w:r w:rsidR="0071152D">
        <w:rPr>
          <w:rFonts w:cs="Arial"/>
          <w:color w:val="000000" w:themeColor="text1"/>
          <w:szCs w:val="24"/>
        </w:rPr>
        <w:t xml:space="preserve">příspěvkové </w:t>
      </w:r>
      <w:r w:rsidRPr="00CA0EAF">
        <w:rPr>
          <w:rFonts w:cs="Arial"/>
          <w:color w:val="000000" w:themeColor="text1"/>
          <w:szCs w:val="24"/>
        </w:rPr>
        <w:t xml:space="preserve">organizace Fakultní nemocnice Brno a Fakultní nemocnice v Motole a dále Ministerstvo obrany s </w:t>
      </w:r>
      <w:r w:rsidR="00213A2C">
        <w:rPr>
          <w:rFonts w:cs="Arial"/>
          <w:color w:val="000000" w:themeColor="text1"/>
          <w:szCs w:val="24"/>
        </w:rPr>
        <w:t>jím</w:t>
      </w:r>
      <w:r w:rsidRPr="00CA0EAF">
        <w:rPr>
          <w:rFonts w:cs="Arial"/>
          <w:color w:val="000000" w:themeColor="text1"/>
          <w:szCs w:val="24"/>
        </w:rPr>
        <w:t xml:space="preserve"> přímo řízenou </w:t>
      </w:r>
      <w:r w:rsidR="0071152D">
        <w:rPr>
          <w:rFonts w:cs="Arial"/>
          <w:color w:val="000000" w:themeColor="text1"/>
          <w:szCs w:val="24"/>
        </w:rPr>
        <w:t xml:space="preserve">příspěvkovou </w:t>
      </w:r>
      <w:r w:rsidRPr="00CA0EAF">
        <w:rPr>
          <w:rFonts w:cs="Arial"/>
          <w:color w:val="000000" w:themeColor="text1"/>
          <w:szCs w:val="24"/>
        </w:rPr>
        <w:t>organizací Ústřední vojenskou nemocnicí – Vojenskou fakultní nemocnicí Praha.</w:t>
      </w:r>
      <w:r w:rsidR="000C2291" w:rsidRPr="00CA0EAF">
        <w:rPr>
          <w:rFonts w:cs="Arial"/>
          <w:color w:val="000000" w:themeColor="text1"/>
          <w:szCs w:val="24"/>
        </w:rPr>
        <w:t xml:space="preserve"> Kontrola u fakultních</w:t>
      </w:r>
      <w:r w:rsidR="000F410A" w:rsidRPr="00CA0EAF">
        <w:rPr>
          <w:rFonts w:cs="Arial"/>
          <w:color w:val="000000" w:themeColor="text1"/>
          <w:szCs w:val="24"/>
        </w:rPr>
        <w:t xml:space="preserve"> </w:t>
      </w:r>
      <w:r w:rsidR="000C2291" w:rsidRPr="00CA0EAF">
        <w:rPr>
          <w:rFonts w:cs="Arial"/>
          <w:color w:val="000000" w:themeColor="text1"/>
          <w:szCs w:val="24"/>
        </w:rPr>
        <w:t xml:space="preserve">nemocnic </w:t>
      </w:r>
      <w:r w:rsidR="00D6580C" w:rsidRPr="00F26C3D">
        <w:rPr>
          <w:rFonts w:cs="Arial"/>
          <w:color w:val="000000" w:themeColor="text1"/>
          <w:szCs w:val="24"/>
        </w:rPr>
        <w:t xml:space="preserve">(dále také „fakultní nemocnice“ nebo „FN“) </w:t>
      </w:r>
      <w:r w:rsidR="000C2291" w:rsidRPr="00CA0EAF">
        <w:rPr>
          <w:rFonts w:cs="Arial"/>
          <w:color w:val="000000" w:themeColor="text1"/>
          <w:szCs w:val="24"/>
        </w:rPr>
        <w:t>byla zaměřena na v</w:t>
      </w:r>
      <w:r w:rsidR="000F410A" w:rsidRPr="00CA0EAF">
        <w:rPr>
          <w:rFonts w:cs="Arial"/>
          <w:color w:val="000000" w:themeColor="text1"/>
          <w:szCs w:val="24"/>
        </w:rPr>
        <w:t>ynakládání peněžních prostředků</w:t>
      </w:r>
      <w:r w:rsidR="0071152D">
        <w:rPr>
          <w:rFonts w:cs="Arial"/>
          <w:color w:val="000000" w:themeColor="text1"/>
          <w:szCs w:val="24"/>
        </w:rPr>
        <w:t xml:space="preserve"> </w:t>
      </w:r>
      <w:r w:rsidR="000F410A" w:rsidRPr="00CA0EAF">
        <w:rPr>
          <w:rFonts w:cs="Arial"/>
          <w:color w:val="000000" w:themeColor="text1"/>
          <w:szCs w:val="24"/>
        </w:rPr>
        <w:t xml:space="preserve">na úhradu nákladů z činnosti, zejména pořizování léčivých přípravků </w:t>
      </w:r>
      <w:r w:rsidR="00E064D8">
        <w:rPr>
          <w:rFonts w:cs="Arial"/>
          <w:color w:val="000000" w:themeColor="text1"/>
          <w:szCs w:val="24"/>
        </w:rPr>
        <w:t xml:space="preserve">(dále také „léčiva“) </w:t>
      </w:r>
      <w:r w:rsidR="000F410A" w:rsidRPr="00CA0EAF">
        <w:rPr>
          <w:rFonts w:cs="Arial"/>
          <w:color w:val="000000" w:themeColor="text1"/>
          <w:szCs w:val="24"/>
        </w:rPr>
        <w:t xml:space="preserve">a zdravotnických prostředků </w:t>
      </w:r>
      <w:r w:rsidR="00E064D8">
        <w:rPr>
          <w:rFonts w:cs="Arial"/>
          <w:color w:val="000000" w:themeColor="text1"/>
          <w:szCs w:val="24"/>
        </w:rPr>
        <w:t>(dále také „</w:t>
      </w:r>
      <w:proofErr w:type="spellStart"/>
      <w:r w:rsidR="00E064D8">
        <w:rPr>
          <w:rFonts w:cs="Arial"/>
          <w:color w:val="000000" w:themeColor="text1"/>
          <w:szCs w:val="24"/>
        </w:rPr>
        <w:t>ZPr</w:t>
      </w:r>
      <w:proofErr w:type="spellEnd"/>
      <w:r w:rsidR="00E064D8">
        <w:rPr>
          <w:rFonts w:cs="Arial"/>
          <w:color w:val="000000" w:themeColor="text1"/>
          <w:szCs w:val="24"/>
        </w:rPr>
        <w:t xml:space="preserve">“) </w:t>
      </w:r>
      <w:r w:rsidR="00B8700E">
        <w:rPr>
          <w:rFonts w:cs="Arial"/>
          <w:color w:val="000000" w:themeColor="text1"/>
          <w:szCs w:val="24"/>
        </w:rPr>
        <w:t>a </w:t>
      </w:r>
      <w:r w:rsidR="000F410A" w:rsidRPr="00CA0EAF">
        <w:rPr>
          <w:rFonts w:cs="Arial"/>
          <w:color w:val="000000" w:themeColor="text1"/>
          <w:szCs w:val="24"/>
        </w:rPr>
        <w:t>některých vybraných služeb souvisejících</w:t>
      </w:r>
      <w:r w:rsidR="00E064D8">
        <w:rPr>
          <w:rFonts w:cs="Arial"/>
          <w:color w:val="000000" w:themeColor="text1"/>
          <w:szCs w:val="24"/>
        </w:rPr>
        <w:t xml:space="preserve"> </w:t>
      </w:r>
      <w:r w:rsidR="000F410A" w:rsidRPr="00CA0EAF">
        <w:rPr>
          <w:rFonts w:cs="Arial"/>
          <w:color w:val="000000" w:themeColor="text1"/>
          <w:szCs w:val="24"/>
        </w:rPr>
        <w:t>se zabezpe</w:t>
      </w:r>
      <w:r w:rsidR="002C7F4B">
        <w:rPr>
          <w:rFonts w:cs="Arial"/>
          <w:color w:val="000000" w:themeColor="text1"/>
          <w:szCs w:val="24"/>
        </w:rPr>
        <w:t>čením poskytování zdravotních služeb</w:t>
      </w:r>
      <w:r w:rsidR="000F410A" w:rsidRPr="00CA0EAF">
        <w:rPr>
          <w:rFonts w:cs="Arial"/>
          <w:color w:val="000000" w:themeColor="text1"/>
          <w:szCs w:val="24"/>
        </w:rPr>
        <w:t xml:space="preserve">. </w:t>
      </w:r>
      <w:r w:rsidR="00A57105" w:rsidRPr="00CA0EAF">
        <w:rPr>
          <w:rFonts w:cs="Arial"/>
          <w:color w:val="000000" w:themeColor="text1"/>
          <w:szCs w:val="24"/>
        </w:rPr>
        <w:t>Kontrola u</w:t>
      </w:r>
      <w:r w:rsidR="00C40AE5">
        <w:rPr>
          <w:rFonts w:cs="Arial"/>
          <w:color w:val="000000" w:themeColor="text1"/>
          <w:szCs w:val="24"/>
        </w:rPr>
        <w:t> </w:t>
      </w:r>
      <w:r w:rsidR="00A57105" w:rsidRPr="00CA0EAF">
        <w:rPr>
          <w:rFonts w:cs="Arial"/>
          <w:color w:val="000000" w:themeColor="text1"/>
          <w:szCs w:val="24"/>
        </w:rPr>
        <w:t xml:space="preserve">ministerstev </w:t>
      </w:r>
      <w:r w:rsidR="000C2291" w:rsidRPr="00CA0EAF">
        <w:rPr>
          <w:rFonts w:cs="Arial"/>
          <w:color w:val="000000" w:themeColor="text1"/>
          <w:szCs w:val="24"/>
        </w:rPr>
        <w:t>se týkala</w:t>
      </w:r>
      <w:r w:rsidR="00A57105" w:rsidRPr="00CA0EAF">
        <w:rPr>
          <w:rFonts w:cs="Arial"/>
          <w:color w:val="000000" w:themeColor="text1"/>
          <w:szCs w:val="24"/>
        </w:rPr>
        <w:t xml:space="preserve"> především plnění role zřizovatele.</w:t>
      </w:r>
    </w:p>
    <w:p w14:paraId="10C2E312" w14:textId="534655DF" w:rsidR="000D4526" w:rsidRPr="000D4526" w:rsidRDefault="00C45F58" w:rsidP="00A57105">
      <w:pPr>
        <w:autoSpaceDE w:val="0"/>
        <w:autoSpaceDN w:val="0"/>
        <w:adjustRightInd w:val="0"/>
        <w:spacing w:before="120"/>
        <w:rPr>
          <w:rFonts w:cs="Arial"/>
          <w:b/>
          <w:color w:val="000000" w:themeColor="text1"/>
          <w:szCs w:val="24"/>
        </w:rPr>
      </w:pPr>
      <w:r>
        <w:rPr>
          <w:rFonts w:cs="Arial"/>
          <w:b/>
          <w:color w:val="000000" w:themeColor="text1"/>
          <w:szCs w:val="24"/>
        </w:rPr>
        <w:t>NKÚ při kontrole</w:t>
      </w:r>
      <w:r w:rsidR="000D4526" w:rsidRPr="000D4526">
        <w:rPr>
          <w:rFonts w:cs="Arial"/>
          <w:b/>
          <w:color w:val="000000" w:themeColor="text1"/>
          <w:szCs w:val="24"/>
        </w:rPr>
        <w:t xml:space="preserve"> </w:t>
      </w:r>
      <w:r>
        <w:rPr>
          <w:rFonts w:cs="Arial"/>
          <w:b/>
          <w:color w:val="000000" w:themeColor="text1"/>
          <w:szCs w:val="24"/>
        </w:rPr>
        <w:t>fakultních nemocnic zjistil</w:t>
      </w:r>
      <w:r w:rsidR="000D4526" w:rsidRPr="000D4526">
        <w:rPr>
          <w:rFonts w:cs="Arial"/>
          <w:b/>
          <w:color w:val="000000" w:themeColor="text1"/>
          <w:szCs w:val="24"/>
        </w:rPr>
        <w:t xml:space="preserve">, že </w:t>
      </w:r>
      <w:r w:rsidR="002671F0">
        <w:rPr>
          <w:rFonts w:cs="Arial"/>
          <w:b/>
          <w:color w:val="000000" w:themeColor="text1"/>
          <w:szCs w:val="24"/>
        </w:rPr>
        <w:t>pořizování materiálu a</w:t>
      </w:r>
      <w:r w:rsidRPr="00C45F58">
        <w:rPr>
          <w:rFonts w:cs="Arial"/>
          <w:b/>
          <w:color w:val="000000" w:themeColor="text1"/>
          <w:szCs w:val="24"/>
        </w:rPr>
        <w:t xml:space="preserve"> zboží </w:t>
      </w:r>
      <w:r w:rsidR="00267E25">
        <w:rPr>
          <w:rFonts w:cs="Arial"/>
          <w:b/>
          <w:color w:val="000000" w:themeColor="text1"/>
          <w:szCs w:val="24"/>
        </w:rPr>
        <w:t xml:space="preserve">bylo účelné, ale </w:t>
      </w:r>
      <w:r w:rsidR="00743B5D">
        <w:rPr>
          <w:rFonts w:cs="Arial"/>
          <w:b/>
          <w:color w:val="000000" w:themeColor="text1"/>
          <w:szCs w:val="24"/>
        </w:rPr>
        <w:t>ne</w:t>
      </w:r>
      <w:r>
        <w:rPr>
          <w:rFonts w:cs="Arial"/>
          <w:b/>
          <w:color w:val="000000" w:themeColor="text1"/>
          <w:szCs w:val="24"/>
        </w:rPr>
        <w:t xml:space="preserve">bylo </w:t>
      </w:r>
      <w:r w:rsidR="00743B5D">
        <w:rPr>
          <w:rFonts w:cs="Arial"/>
          <w:b/>
          <w:color w:val="000000" w:themeColor="text1"/>
          <w:szCs w:val="24"/>
        </w:rPr>
        <w:t xml:space="preserve">vždy </w:t>
      </w:r>
      <w:r>
        <w:rPr>
          <w:rFonts w:cs="Arial"/>
          <w:b/>
          <w:color w:val="000000" w:themeColor="text1"/>
          <w:szCs w:val="24"/>
        </w:rPr>
        <w:t xml:space="preserve">hospodárné a </w:t>
      </w:r>
      <w:r w:rsidR="000D4526" w:rsidRPr="000D4526">
        <w:rPr>
          <w:rFonts w:cs="Arial"/>
          <w:b/>
          <w:color w:val="000000" w:themeColor="text1"/>
          <w:szCs w:val="24"/>
        </w:rPr>
        <w:t>v souladu s právními předpisy</w:t>
      </w:r>
      <w:r>
        <w:rPr>
          <w:rFonts w:cs="Arial"/>
          <w:b/>
          <w:color w:val="000000" w:themeColor="text1"/>
          <w:szCs w:val="24"/>
        </w:rPr>
        <w:t>.</w:t>
      </w:r>
      <w:r w:rsidR="000D4526" w:rsidRPr="000D4526">
        <w:rPr>
          <w:rFonts w:cs="Arial"/>
          <w:b/>
          <w:color w:val="000000" w:themeColor="text1"/>
          <w:szCs w:val="24"/>
        </w:rPr>
        <w:t xml:space="preserve"> </w:t>
      </w:r>
      <w:r w:rsidR="002671F0">
        <w:rPr>
          <w:rFonts w:cs="Arial"/>
          <w:b/>
          <w:color w:val="000000" w:themeColor="text1"/>
          <w:szCs w:val="24"/>
        </w:rPr>
        <w:t xml:space="preserve">V případě pořizování služeb bylo v ojedinělých případech neúčelné, nebylo vždy hospodárné a v souladu s právními předpisy. </w:t>
      </w:r>
      <w:r>
        <w:rPr>
          <w:rFonts w:cs="Arial"/>
          <w:b/>
          <w:color w:val="000000" w:themeColor="text1"/>
          <w:szCs w:val="24"/>
        </w:rPr>
        <w:t xml:space="preserve">Ministerstva </w:t>
      </w:r>
      <w:r w:rsidR="00743B5D">
        <w:rPr>
          <w:rFonts w:cs="Arial"/>
          <w:b/>
          <w:color w:val="000000" w:themeColor="text1"/>
          <w:szCs w:val="24"/>
        </w:rPr>
        <w:t>v některých případech neplnila povinnosti</w:t>
      </w:r>
      <w:r>
        <w:rPr>
          <w:rFonts w:cs="Arial"/>
          <w:b/>
          <w:color w:val="000000" w:themeColor="text1"/>
          <w:szCs w:val="24"/>
        </w:rPr>
        <w:t xml:space="preserve"> </w:t>
      </w:r>
      <w:r w:rsidR="000D4526">
        <w:rPr>
          <w:rFonts w:cs="Arial"/>
          <w:b/>
          <w:color w:val="000000" w:themeColor="text1"/>
          <w:szCs w:val="24"/>
        </w:rPr>
        <w:t>zřizovatel</w:t>
      </w:r>
      <w:r>
        <w:rPr>
          <w:rFonts w:cs="Arial"/>
          <w:b/>
          <w:color w:val="000000" w:themeColor="text1"/>
          <w:szCs w:val="24"/>
        </w:rPr>
        <w:t xml:space="preserve">e </w:t>
      </w:r>
      <w:r w:rsidR="00743B5D">
        <w:rPr>
          <w:rFonts w:cs="Arial"/>
          <w:b/>
          <w:color w:val="000000" w:themeColor="text1"/>
          <w:szCs w:val="24"/>
        </w:rPr>
        <w:t>v souladu se zákonem</w:t>
      </w:r>
      <w:r w:rsidR="000D4526">
        <w:rPr>
          <w:rFonts w:cs="Arial"/>
          <w:b/>
          <w:color w:val="000000" w:themeColor="text1"/>
          <w:szCs w:val="24"/>
        </w:rPr>
        <w:t>.</w:t>
      </w:r>
    </w:p>
    <w:p w14:paraId="367A994B" w14:textId="014F0AD4" w:rsidR="00030C9F" w:rsidRPr="00876EE8" w:rsidRDefault="00DC1A90" w:rsidP="00A57105">
      <w:pPr>
        <w:autoSpaceDE w:val="0"/>
        <w:autoSpaceDN w:val="0"/>
        <w:adjustRightInd w:val="0"/>
        <w:spacing w:before="120"/>
        <w:rPr>
          <w:rFonts w:cs="Arial"/>
          <w:b/>
          <w:color w:val="000000" w:themeColor="text1"/>
          <w:szCs w:val="24"/>
        </w:rPr>
      </w:pPr>
      <w:r w:rsidRPr="00876EE8">
        <w:rPr>
          <w:rFonts w:cs="Arial"/>
          <w:b/>
          <w:color w:val="000000" w:themeColor="text1"/>
          <w:szCs w:val="24"/>
        </w:rPr>
        <w:t>NKÚ při kontrole fakultních nemocnic</w:t>
      </w:r>
      <w:r w:rsidR="008F0E80" w:rsidRPr="00876EE8">
        <w:rPr>
          <w:rFonts w:cs="Arial"/>
          <w:b/>
          <w:color w:val="000000" w:themeColor="text1"/>
          <w:szCs w:val="24"/>
        </w:rPr>
        <w:t xml:space="preserve"> zjistil</w:t>
      </w:r>
      <w:r w:rsidRPr="00876EE8">
        <w:rPr>
          <w:rFonts w:cs="Arial"/>
          <w:b/>
          <w:color w:val="000000" w:themeColor="text1"/>
          <w:szCs w:val="24"/>
        </w:rPr>
        <w:t>:</w:t>
      </w:r>
    </w:p>
    <w:p w14:paraId="2E3C59D5" w14:textId="171D2796" w:rsidR="00DC1A90" w:rsidRDefault="00FA16FB" w:rsidP="004C3B13">
      <w:pPr>
        <w:autoSpaceDE w:val="0"/>
        <w:autoSpaceDN w:val="0"/>
        <w:adjustRightInd w:val="0"/>
        <w:spacing w:before="240" w:after="120"/>
        <w:rPr>
          <w:rFonts w:cs="Arial"/>
          <w:b/>
          <w:color w:val="000000" w:themeColor="text1"/>
          <w:szCs w:val="24"/>
        </w:rPr>
      </w:pPr>
      <w:r>
        <w:rPr>
          <w:rFonts w:cs="Arial"/>
          <w:b/>
          <w:color w:val="000000" w:themeColor="text1"/>
          <w:szCs w:val="24"/>
        </w:rPr>
        <w:t>Hospodaření fakultních nemocnic</w:t>
      </w:r>
    </w:p>
    <w:p w14:paraId="1D0137EC" w14:textId="6A9C16EB" w:rsidR="007D1CB6" w:rsidRDefault="00D356C2" w:rsidP="007D1CB6">
      <w:pPr>
        <w:autoSpaceDE w:val="0"/>
        <w:autoSpaceDN w:val="0"/>
        <w:adjustRightInd w:val="0"/>
        <w:spacing w:before="120"/>
        <w:rPr>
          <w:rFonts w:cs="Arial"/>
        </w:rPr>
      </w:pPr>
      <w:r>
        <w:rPr>
          <w:rFonts w:cs="Arial"/>
        </w:rPr>
        <w:t xml:space="preserve">V kontrolovaném období 2014 až 2016 vykázaly všechny </w:t>
      </w:r>
      <w:r w:rsidR="00BD70F0">
        <w:rPr>
          <w:rFonts w:cs="Arial"/>
        </w:rPr>
        <w:t xml:space="preserve">FN </w:t>
      </w:r>
      <w:r>
        <w:rPr>
          <w:rFonts w:cs="Arial"/>
        </w:rPr>
        <w:t>kladný výsledek hospodaření, výsledkem hospodaření z hlavní činnosti byla u všech FN ztráta.</w:t>
      </w:r>
      <w:r w:rsidR="007B6416">
        <w:rPr>
          <w:rFonts w:cs="Arial"/>
        </w:rPr>
        <w:t xml:space="preserve"> Ve stejném období FN vykázaly náklady na léčiva</w:t>
      </w:r>
      <w:r w:rsidR="00477D25">
        <w:rPr>
          <w:rStyle w:val="Znakapoznpodarou"/>
          <w:rFonts w:cs="Arial"/>
        </w:rPr>
        <w:footnoteReference w:id="1"/>
      </w:r>
      <w:r w:rsidR="007B6416">
        <w:rPr>
          <w:rFonts w:cs="Arial"/>
        </w:rPr>
        <w:t xml:space="preserve"> ve výši 10</w:t>
      </w:r>
      <w:r w:rsidR="00477D25">
        <w:rPr>
          <w:rFonts w:cs="Arial"/>
        </w:rPr>
        <w:t> </w:t>
      </w:r>
      <w:r w:rsidR="007B6416">
        <w:rPr>
          <w:rFonts w:cs="Arial"/>
        </w:rPr>
        <w:t>119</w:t>
      </w:r>
      <w:r w:rsidR="00477D25">
        <w:rPr>
          <w:rFonts w:cs="Arial"/>
        </w:rPr>
        <w:t> 550 </w:t>
      </w:r>
      <w:r w:rsidR="007B6416" w:rsidRPr="007B6416">
        <w:rPr>
          <w:rFonts w:cs="Arial"/>
        </w:rPr>
        <w:t>787,26</w:t>
      </w:r>
      <w:r w:rsidR="007B6416">
        <w:rPr>
          <w:rFonts w:cs="Arial"/>
        </w:rPr>
        <w:t xml:space="preserve"> Kč a na zdravotnické prostředky</w:t>
      </w:r>
      <w:r w:rsidR="00477D25">
        <w:rPr>
          <w:rStyle w:val="Znakapoznpodarou"/>
          <w:rFonts w:cs="Arial"/>
        </w:rPr>
        <w:footnoteReference w:id="2"/>
      </w:r>
      <w:r w:rsidR="007B6416">
        <w:rPr>
          <w:rFonts w:cs="Arial"/>
        </w:rPr>
        <w:t xml:space="preserve"> ve výši </w:t>
      </w:r>
      <w:r w:rsidR="007B6416" w:rsidRPr="007B6416">
        <w:rPr>
          <w:rFonts w:cs="Arial"/>
        </w:rPr>
        <w:t>5</w:t>
      </w:r>
      <w:r w:rsidR="00477D25">
        <w:rPr>
          <w:rFonts w:cs="Arial"/>
        </w:rPr>
        <w:t> </w:t>
      </w:r>
      <w:r w:rsidR="007B6416" w:rsidRPr="007B6416">
        <w:rPr>
          <w:rFonts w:cs="Arial"/>
        </w:rPr>
        <w:t>760</w:t>
      </w:r>
      <w:r w:rsidR="00477D25">
        <w:rPr>
          <w:rFonts w:cs="Arial"/>
        </w:rPr>
        <w:t> </w:t>
      </w:r>
      <w:r w:rsidR="007B6416" w:rsidRPr="007B6416">
        <w:rPr>
          <w:rFonts w:cs="Arial"/>
        </w:rPr>
        <w:t>835</w:t>
      </w:r>
      <w:r w:rsidR="00477D25">
        <w:rPr>
          <w:rFonts w:cs="Arial"/>
        </w:rPr>
        <w:t> </w:t>
      </w:r>
      <w:r w:rsidR="007B6416" w:rsidRPr="007B6416">
        <w:rPr>
          <w:rFonts w:cs="Arial"/>
        </w:rPr>
        <w:t>833,28</w:t>
      </w:r>
      <w:r w:rsidR="007B6416">
        <w:rPr>
          <w:rFonts w:cs="Arial"/>
        </w:rPr>
        <w:t xml:space="preserve"> Kč.</w:t>
      </w:r>
    </w:p>
    <w:p w14:paraId="74B7570B" w14:textId="01D75C8C" w:rsidR="00AA7F15" w:rsidRDefault="00AA7F15" w:rsidP="004C3B13">
      <w:pPr>
        <w:autoSpaceDE w:val="0"/>
        <w:autoSpaceDN w:val="0"/>
        <w:adjustRightInd w:val="0"/>
        <w:spacing w:before="240" w:after="120"/>
        <w:rPr>
          <w:rFonts w:cs="Arial"/>
          <w:b/>
          <w:color w:val="000000" w:themeColor="text1"/>
          <w:szCs w:val="24"/>
        </w:rPr>
      </w:pPr>
      <w:r>
        <w:rPr>
          <w:rFonts w:cs="Arial"/>
          <w:b/>
          <w:color w:val="000000" w:themeColor="text1"/>
          <w:szCs w:val="24"/>
        </w:rPr>
        <w:t>Pořizování léčiv a zdravotnických prostředků</w:t>
      </w:r>
    </w:p>
    <w:p w14:paraId="5E5F622D" w14:textId="11F2DEDF" w:rsidR="002F713B" w:rsidRDefault="009E7DFC" w:rsidP="002F713B">
      <w:pPr>
        <w:autoSpaceDE w:val="0"/>
        <w:autoSpaceDN w:val="0"/>
        <w:adjustRightInd w:val="0"/>
        <w:spacing w:before="120"/>
        <w:rPr>
          <w:rFonts w:cs="Arial"/>
          <w:b/>
        </w:rPr>
      </w:pPr>
      <w:r w:rsidRPr="009A077C">
        <w:rPr>
          <w:rFonts w:cs="Arial"/>
          <w:b/>
        </w:rPr>
        <w:t>NKÚ spatřuje prostor pro snižování nákladů při pořizování léčiv a zdravotnických prostředků a</w:t>
      </w:r>
      <w:r w:rsidR="00213A2C">
        <w:rPr>
          <w:rFonts w:cs="Arial"/>
          <w:b/>
        </w:rPr>
        <w:t> pro</w:t>
      </w:r>
      <w:r w:rsidRPr="009A077C">
        <w:rPr>
          <w:rFonts w:cs="Arial"/>
          <w:b/>
        </w:rPr>
        <w:t xml:space="preserve"> </w:t>
      </w:r>
      <w:r w:rsidR="009A077C" w:rsidRPr="009A077C">
        <w:rPr>
          <w:rFonts w:cs="Arial"/>
          <w:b/>
        </w:rPr>
        <w:t>transparentní</w:t>
      </w:r>
      <w:r w:rsidRPr="009A077C">
        <w:rPr>
          <w:rFonts w:cs="Arial"/>
          <w:b/>
        </w:rPr>
        <w:t xml:space="preserve"> postup při výběru jejich dodavatelů ve větším uplatňování zadávacího řízení dle zákona o zadávání veřejných zakázek</w:t>
      </w:r>
      <w:r w:rsidRPr="009A077C">
        <w:rPr>
          <w:rStyle w:val="Znakapoznpodarou"/>
          <w:rFonts w:cs="Arial"/>
          <w:b/>
        </w:rPr>
        <w:footnoteReference w:id="3"/>
      </w:r>
      <w:r w:rsidRPr="009A077C">
        <w:rPr>
          <w:rFonts w:cs="Arial"/>
          <w:b/>
        </w:rPr>
        <w:t>.</w:t>
      </w:r>
      <w:r>
        <w:rPr>
          <w:rFonts w:cs="Arial"/>
        </w:rPr>
        <w:t xml:space="preserve"> </w:t>
      </w:r>
      <w:r w:rsidR="009A077C">
        <w:rPr>
          <w:rFonts w:cs="Arial"/>
        </w:rPr>
        <w:t>F</w:t>
      </w:r>
      <w:r w:rsidR="0071152D">
        <w:rPr>
          <w:rFonts w:cs="Arial"/>
        </w:rPr>
        <w:t>N jsou veřejnými zadavateli</w:t>
      </w:r>
      <w:r w:rsidR="0071152D">
        <w:rPr>
          <w:rStyle w:val="Znakapoznpodarou"/>
          <w:rFonts w:cs="Arial"/>
        </w:rPr>
        <w:footnoteReference w:id="4"/>
      </w:r>
      <w:r w:rsidR="0071152D">
        <w:rPr>
          <w:rFonts w:cs="Arial"/>
        </w:rPr>
        <w:t xml:space="preserve"> a byly povinny vybrat dodavatele podle předpokládané hodnoty veřejné zakázky v některém ze</w:t>
      </w:r>
      <w:r w:rsidR="00B8700E">
        <w:rPr>
          <w:rFonts w:cs="Arial"/>
        </w:rPr>
        <w:t xml:space="preserve"> zadávacích režimů dle zákona o </w:t>
      </w:r>
      <w:r w:rsidR="0071152D">
        <w:rPr>
          <w:rFonts w:cs="Arial"/>
        </w:rPr>
        <w:t xml:space="preserve">veřejných zakázkách. </w:t>
      </w:r>
      <w:r w:rsidR="0015677A">
        <w:rPr>
          <w:rFonts w:cs="Arial"/>
        </w:rPr>
        <w:t>Fakultní</w:t>
      </w:r>
      <w:r w:rsidR="0015677A" w:rsidRPr="00656C8D">
        <w:rPr>
          <w:rFonts w:cs="Arial"/>
        </w:rPr>
        <w:t xml:space="preserve"> nemocnice pořizovaly </w:t>
      </w:r>
      <w:r w:rsidR="000A2806">
        <w:rPr>
          <w:rFonts w:cs="Arial"/>
        </w:rPr>
        <w:t>léčiva</w:t>
      </w:r>
      <w:r w:rsidR="0015677A" w:rsidRPr="00656C8D">
        <w:rPr>
          <w:rFonts w:cs="Arial"/>
        </w:rPr>
        <w:t xml:space="preserve"> v některých případech na základě zadávacích řízení nebo prováděly nákupy přímo od dodavatelů. </w:t>
      </w:r>
      <w:r w:rsidR="0015677A">
        <w:rPr>
          <w:rFonts w:cs="Arial"/>
        </w:rPr>
        <w:t>Vzhledem k</w:t>
      </w:r>
      <w:r w:rsidR="00FA221A">
        <w:rPr>
          <w:rFonts w:cs="Arial"/>
        </w:rPr>
        <w:t> </w:t>
      </w:r>
      <w:r w:rsidR="0015677A" w:rsidRPr="00656C8D">
        <w:rPr>
          <w:rFonts w:cs="Arial"/>
        </w:rPr>
        <w:t xml:space="preserve">širokému portfoliu používaných </w:t>
      </w:r>
      <w:r w:rsidR="001B508A">
        <w:rPr>
          <w:rFonts w:cs="Arial"/>
        </w:rPr>
        <w:t>léčiv</w:t>
      </w:r>
      <w:r w:rsidR="00BC2245">
        <w:rPr>
          <w:rFonts w:cs="Arial"/>
        </w:rPr>
        <w:t xml:space="preserve"> </w:t>
      </w:r>
      <w:r w:rsidR="0015677A">
        <w:rPr>
          <w:rFonts w:cs="Arial"/>
        </w:rPr>
        <w:t>a zdravotnických prostředků</w:t>
      </w:r>
      <w:r w:rsidR="0015677A" w:rsidRPr="00656C8D">
        <w:rPr>
          <w:rFonts w:cs="Arial"/>
        </w:rPr>
        <w:t xml:space="preserve">, </w:t>
      </w:r>
      <w:r w:rsidR="00213A2C">
        <w:rPr>
          <w:rFonts w:cs="Arial"/>
        </w:rPr>
        <w:t>snaze o </w:t>
      </w:r>
      <w:r w:rsidR="0015677A" w:rsidRPr="00656C8D">
        <w:rPr>
          <w:rFonts w:cs="Arial"/>
        </w:rPr>
        <w:t>zajiš</w:t>
      </w:r>
      <w:r w:rsidR="00BC2245">
        <w:rPr>
          <w:rFonts w:cs="Arial"/>
        </w:rPr>
        <w:t>tění vitálních funkcí pacientů,</w:t>
      </w:r>
      <w:r w:rsidR="0015677A" w:rsidRPr="00656C8D">
        <w:rPr>
          <w:rFonts w:cs="Arial"/>
        </w:rPr>
        <w:t xml:space="preserve"> </w:t>
      </w:r>
      <w:r w:rsidR="00BC2245">
        <w:rPr>
          <w:rFonts w:cs="Arial"/>
        </w:rPr>
        <w:t xml:space="preserve">existenci </w:t>
      </w:r>
      <w:r w:rsidR="0015677A" w:rsidRPr="00656C8D">
        <w:rPr>
          <w:rFonts w:cs="Arial"/>
        </w:rPr>
        <w:t xml:space="preserve">jediného výrobce na trhu nebo </w:t>
      </w:r>
      <w:r w:rsidR="00BC2245">
        <w:rPr>
          <w:rFonts w:cs="Arial"/>
        </w:rPr>
        <w:t>vzhledem k</w:t>
      </w:r>
      <w:r w:rsidR="00213A2C">
        <w:rPr>
          <w:rFonts w:cs="Arial"/>
        </w:rPr>
        <w:t> </w:t>
      </w:r>
      <w:r w:rsidR="0015677A" w:rsidRPr="00656C8D">
        <w:rPr>
          <w:rFonts w:cs="Arial"/>
        </w:rPr>
        <w:t>neúspěšn</w:t>
      </w:r>
      <w:r w:rsidR="00BC2245">
        <w:rPr>
          <w:rFonts w:cs="Arial"/>
        </w:rPr>
        <w:t>ému</w:t>
      </w:r>
      <w:r w:rsidR="0015677A" w:rsidRPr="00656C8D">
        <w:rPr>
          <w:rFonts w:cs="Arial"/>
        </w:rPr>
        <w:t xml:space="preserve"> zadávací</w:t>
      </w:r>
      <w:r w:rsidR="00BC2245">
        <w:rPr>
          <w:rFonts w:cs="Arial"/>
        </w:rPr>
        <w:t>mu</w:t>
      </w:r>
      <w:r w:rsidR="0015677A" w:rsidRPr="00656C8D">
        <w:rPr>
          <w:rFonts w:cs="Arial"/>
        </w:rPr>
        <w:t xml:space="preserve"> řízení nebylo </w:t>
      </w:r>
      <w:r w:rsidR="0073750B">
        <w:rPr>
          <w:rFonts w:cs="Arial"/>
        </w:rPr>
        <w:t xml:space="preserve">pro FN </w:t>
      </w:r>
      <w:r w:rsidR="0015677A" w:rsidRPr="00656C8D">
        <w:rPr>
          <w:rFonts w:cs="Arial"/>
        </w:rPr>
        <w:t>vždy reálné vybrat dodavatele dle výsledku zadávacího řízení.</w:t>
      </w:r>
      <w:r w:rsidR="0015677A">
        <w:rPr>
          <w:rFonts w:cs="Arial"/>
        </w:rPr>
        <w:t xml:space="preserve"> </w:t>
      </w:r>
      <w:r w:rsidR="00BC2245">
        <w:rPr>
          <w:rFonts w:cs="Arial"/>
        </w:rPr>
        <w:t>Z</w:t>
      </w:r>
      <w:r w:rsidR="00FA221A">
        <w:rPr>
          <w:rFonts w:cs="Arial"/>
        </w:rPr>
        <w:t> </w:t>
      </w:r>
      <w:r w:rsidR="00BC2245">
        <w:rPr>
          <w:rFonts w:cs="Arial"/>
        </w:rPr>
        <w:t>porovnání</w:t>
      </w:r>
      <w:r w:rsidR="00DC1A90" w:rsidRPr="00656C8D">
        <w:rPr>
          <w:rFonts w:cs="Arial"/>
          <w:color w:val="000000" w:themeColor="text1"/>
          <w:szCs w:val="24"/>
        </w:rPr>
        <w:t xml:space="preserve"> </w:t>
      </w:r>
      <w:r w:rsidR="00BC2245">
        <w:rPr>
          <w:rFonts w:cs="Arial"/>
          <w:color w:val="000000" w:themeColor="text1"/>
          <w:szCs w:val="24"/>
        </w:rPr>
        <w:t xml:space="preserve">podílu uskutečněných </w:t>
      </w:r>
      <w:r w:rsidR="00DC1A90" w:rsidRPr="00656C8D">
        <w:rPr>
          <w:rFonts w:cs="Arial"/>
          <w:color w:val="000000" w:themeColor="text1"/>
          <w:szCs w:val="24"/>
        </w:rPr>
        <w:t>veřejných</w:t>
      </w:r>
      <w:r w:rsidR="004B3940" w:rsidRPr="00656C8D">
        <w:rPr>
          <w:rFonts w:cs="Arial"/>
          <w:color w:val="000000" w:themeColor="text1"/>
          <w:szCs w:val="24"/>
        </w:rPr>
        <w:t xml:space="preserve"> zakáz</w:t>
      </w:r>
      <w:r w:rsidR="00DC1A90" w:rsidRPr="00656C8D">
        <w:rPr>
          <w:rFonts w:cs="Arial"/>
          <w:color w:val="000000" w:themeColor="text1"/>
          <w:szCs w:val="24"/>
        </w:rPr>
        <w:t>e</w:t>
      </w:r>
      <w:r w:rsidR="004B3940" w:rsidRPr="00656C8D">
        <w:rPr>
          <w:rFonts w:cs="Arial"/>
          <w:color w:val="000000" w:themeColor="text1"/>
          <w:szCs w:val="24"/>
        </w:rPr>
        <w:t xml:space="preserve">k na vzorku </w:t>
      </w:r>
      <w:r w:rsidR="00BC2245">
        <w:rPr>
          <w:rFonts w:cs="Arial"/>
          <w:color w:val="000000" w:themeColor="text1"/>
          <w:szCs w:val="24"/>
        </w:rPr>
        <w:t>(</w:t>
      </w:r>
      <w:proofErr w:type="spellStart"/>
      <w:r w:rsidR="00BC2245">
        <w:rPr>
          <w:rFonts w:cs="Arial"/>
          <w:color w:val="000000" w:themeColor="text1"/>
          <w:szCs w:val="24"/>
        </w:rPr>
        <w:t>centrových</w:t>
      </w:r>
      <w:proofErr w:type="spellEnd"/>
      <w:r w:rsidR="00BC2245">
        <w:rPr>
          <w:rFonts w:cs="Arial"/>
          <w:color w:val="000000" w:themeColor="text1"/>
          <w:szCs w:val="24"/>
        </w:rPr>
        <w:t xml:space="preserve"> léků, léčiv skupiny ATC</w:t>
      </w:r>
      <w:r w:rsidR="00481090">
        <w:rPr>
          <w:rFonts w:cs="Arial"/>
          <w:color w:val="000000" w:themeColor="text1"/>
          <w:szCs w:val="24"/>
        </w:rPr>
        <w:t xml:space="preserve"> – </w:t>
      </w:r>
      <w:r w:rsidR="00BC2245">
        <w:rPr>
          <w:rFonts w:cs="Arial"/>
          <w:color w:val="000000" w:themeColor="text1"/>
          <w:szCs w:val="24"/>
        </w:rPr>
        <w:t>J</w:t>
      </w:r>
      <w:r w:rsidR="00BC2245">
        <w:rPr>
          <w:rStyle w:val="Znakapoznpodarou"/>
          <w:rFonts w:cs="Arial"/>
          <w:color w:val="000000" w:themeColor="text1"/>
          <w:szCs w:val="24"/>
        </w:rPr>
        <w:footnoteReference w:id="5"/>
      </w:r>
      <w:r w:rsidR="00B743AF">
        <w:rPr>
          <w:rFonts w:cs="Arial"/>
          <w:color w:val="000000" w:themeColor="text1"/>
          <w:szCs w:val="24"/>
        </w:rPr>
        <w:t xml:space="preserve"> a </w:t>
      </w:r>
      <w:r w:rsidR="00BC2245">
        <w:rPr>
          <w:rFonts w:cs="Arial"/>
          <w:color w:val="000000" w:themeColor="text1"/>
          <w:szCs w:val="24"/>
        </w:rPr>
        <w:t xml:space="preserve">zdravotnických prostředků) </w:t>
      </w:r>
      <w:r w:rsidR="00BC2245" w:rsidRPr="00656C8D">
        <w:rPr>
          <w:rFonts w:cs="Arial"/>
          <w:color w:val="000000" w:themeColor="text1"/>
          <w:szCs w:val="24"/>
        </w:rPr>
        <w:t>za období 2014 až 2016</w:t>
      </w:r>
      <w:r w:rsidR="00BC2245">
        <w:rPr>
          <w:rFonts w:cs="Arial"/>
          <w:color w:val="000000" w:themeColor="text1"/>
          <w:szCs w:val="24"/>
        </w:rPr>
        <w:t xml:space="preserve"> vyplývá</w:t>
      </w:r>
      <w:r w:rsidR="00DC1A90" w:rsidRPr="00656C8D">
        <w:rPr>
          <w:rFonts w:cs="Arial"/>
          <w:color w:val="000000" w:themeColor="text1"/>
          <w:szCs w:val="24"/>
        </w:rPr>
        <w:t xml:space="preserve">, </w:t>
      </w:r>
      <w:r w:rsidR="00DC1A90" w:rsidRPr="005E661E">
        <w:rPr>
          <w:rFonts w:cs="Arial"/>
          <w:color w:val="000000" w:themeColor="text1"/>
          <w:szCs w:val="24"/>
        </w:rPr>
        <w:t xml:space="preserve">že </w:t>
      </w:r>
      <w:r w:rsidR="002F713B" w:rsidRPr="005E661E">
        <w:rPr>
          <w:rFonts w:cs="Arial"/>
        </w:rPr>
        <w:t>podíl dodávek mimo zadávací řízení je značný, přestože</w:t>
      </w:r>
      <w:r w:rsidR="00126DD8" w:rsidRPr="005E661E">
        <w:rPr>
          <w:rFonts w:cs="Arial"/>
        </w:rPr>
        <w:t xml:space="preserve"> všechny FN </w:t>
      </w:r>
      <w:r w:rsidR="005E661E">
        <w:rPr>
          <w:rFonts w:cs="Arial"/>
        </w:rPr>
        <w:t>uvedly</w:t>
      </w:r>
      <w:r w:rsidR="00126DD8" w:rsidRPr="005E661E">
        <w:rPr>
          <w:rFonts w:cs="Arial"/>
        </w:rPr>
        <w:t xml:space="preserve"> </w:t>
      </w:r>
      <w:r w:rsidR="002F713B" w:rsidRPr="005E661E">
        <w:rPr>
          <w:rFonts w:cs="Arial"/>
        </w:rPr>
        <w:t xml:space="preserve">důvody, na </w:t>
      </w:r>
      <w:r w:rsidR="00213A2C">
        <w:rPr>
          <w:rFonts w:cs="Arial"/>
        </w:rPr>
        <w:t xml:space="preserve">jejichž </w:t>
      </w:r>
      <w:r w:rsidR="002F713B" w:rsidRPr="005E661E">
        <w:rPr>
          <w:rFonts w:cs="Arial"/>
        </w:rPr>
        <w:t xml:space="preserve">základě nakoupily léčiva a zdravotnický materiál </w:t>
      </w:r>
      <w:r w:rsidR="001A01AE" w:rsidRPr="005E661E">
        <w:rPr>
          <w:rFonts w:cs="Arial"/>
        </w:rPr>
        <w:t xml:space="preserve">(kromě FNB) </w:t>
      </w:r>
      <w:r w:rsidR="002671F0">
        <w:rPr>
          <w:rFonts w:cs="Arial"/>
        </w:rPr>
        <w:t>bez zadávacího řízení.</w:t>
      </w:r>
    </w:p>
    <w:p w14:paraId="747C166D" w14:textId="4DBC2E20" w:rsidR="009F69E7" w:rsidRPr="00193093" w:rsidRDefault="009F69E7" w:rsidP="009F69E7">
      <w:pPr>
        <w:autoSpaceDE w:val="0"/>
        <w:autoSpaceDN w:val="0"/>
        <w:adjustRightInd w:val="0"/>
        <w:spacing w:before="120"/>
        <w:rPr>
          <w:rFonts w:cs="Arial"/>
        </w:rPr>
      </w:pPr>
      <w:r w:rsidRPr="00193093">
        <w:rPr>
          <w:rFonts w:cs="Arial"/>
        </w:rPr>
        <w:lastRenderedPageBreak/>
        <w:t xml:space="preserve">Ze sdělení jednotlivých FN vyplývá, že z celkového objemu všech nákupů </w:t>
      </w:r>
      <w:proofErr w:type="spellStart"/>
      <w:r w:rsidRPr="00193093">
        <w:rPr>
          <w:rFonts w:cs="Arial"/>
        </w:rPr>
        <w:t>ZPr</w:t>
      </w:r>
      <w:proofErr w:type="spellEnd"/>
      <w:r w:rsidRPr="00193093">
        <w:rPr>
          <w:rFonts w:cs="Arial"/>
        </w:rPr>
        <w:t xml:space="preserve"> provedených v letech 2014 až 2016 tvořily nákupy realizované na základě zadávacího řízení dle zákona o</w:t>
      </w:r>
      <w:r w:rsidR="00C40AE5">
        <w:rPr>
          <w:rFonts w:cs="Arial"/>
        </w:rPr>
        <w:t> </w:t>
      </w:r>
      <w:r w:rsidRPr="00193093">
        <w:rPr>
          <w:rFonts w:cs="Arial"/>
        </w:rPr>
        <w:t xml:space="preserve">veřejných zakázkách u FNB 0,42 %, u </w:t>
      </w:r>
      <w:r w:rsidR="00A53E26" w:rsidRPr="00193093">
        <w:rPr>
          <w:rFonts w:cs="Arial"/>
        </w:rPr>
        <w:t xml:space="preserve">FNM 24,38 %. ÚVN údaje nesledovala, </w:t>
      </w:r>
      <w:r w:rsidR="00A53E26" w:rsidRPr="00193093">
        <w:rPr>
          <w:rFonts w:cs="Arial"/>
          <w:color w:val="000000" w:themeColor="text1"/>
        </w:rPr>
        <w:t>neboť tato povinnost není stanovena právními předpisy</w:t>
      </w:r>
      <w:r w:rsidRPr="00193093">
        <w:rPr>
          <w:rFonts w:cs="Arial"/>
        </w:rPr>
        <w:t>. Obdobně ze sdělení jednotlivých FN vyplývá, že z celkového objemu všech nákupů léčiv</w:t>
      </w:r>
      <w:r w:rsidR="00493BC6">
        <w:rPr>
          <w:rFonts w:cs="Arial"/>
        </w:rPr>
        <w:t xml:space="preserve"> </w:t>
      </w:r>
      <w:r w:rsidRPr="00193093">
        <w:rPr>
          <w:rFonts w:cs="Arial"/>
        </w:rPr>
        <w:t>provedených v letech 2014 až 2016 tvořily nákupy realizované na základě zadávacího řízení dle zákona</w:t>
      </w:r>
      <w:r w:rsidR="00A53E26" w:rsidRPr="00193093">
        <w:rPr>
          <w:rFonts w:cs="Arial"/>
        </w:rPr>
        <w:t xml:space="preserve"> </w:t>
      </w:r>
      <w:r w:rsidRPr="00193093">
        <w:rPr>
          <w:rFonts w:cs="Arial"/>
        </w:rPr>
        <w:t>o veřejných zakázkách u FNB 9,94 %, u</w:t>
      </w:r>
      <w:r w:rsidR="00C40AE5">
        <w:rPr>
          <w:rFonts w:cs="Arial"/>
        </w:rPr>
        <w:t> </w:t>
      </w:r>
      <w:r w:rsidR="00A53E26" w:rsidRPr="00193093">
        <w:rPr>
          <w:rFonts w:cs="Arial"/>
        </w:rPr>
        <w:t>FNM 20,61 %. ÚVN údaje nesledovala</w:t>
      </w:r>
      <w:r w:rsidR="00A53E26" w:rsidRPr="00193093">
        <w:rPr>
          <w:rFonts w:cs="Arial"/>
          <w:color w:val="000000" w:themeColor="text1"/>
        </w:rPr>
        <w:t>, neboť tato povinnost není stanovena právními předpisy.</w:t>
      </w:r>
      <w:r w:rsidR="00BB5EDB" w:rsidRPr="00193093">
        <w:rPr>
          <w:rFonts w:cs="Arial"/>
        </w:rPr>
        <w:t xml:space="preserve"> </w:t>
      </w:r>
    </w:p>
    <w:p w14:paraId="49B0591C" w14:textId="77777777" w:rsidR="00D949B1" w:rsidRDefault="008A6B0D" w:rsidP="00876EE8">
      <w:pPr>
        <w:autoSpaceDE w:val="0"/>
        <w:autoSpaceDN w:val="0"/>
        <w:adjustRightInd w:val="0"/>
        <w:spacing w:before="120"/>
        <w:rPr>
          <w:rFonts w:cs="Arial"/>
          <w:b/>
        </w:rPr>
      </w:pPr>
      <w:r w:rsidRPr="008A6B0D">
        <w:rPr>
          <w:rFonts w:cs="Arial"/>
          <w:b/>
        </w:rPr>
        <w:t xml:space="preserve">NKÚ kontrolou </w:t>
      </w:r>
      <w:r w:rsidR="00944EB3">
        <w:rPr>
          <w:rFonts w:cs="Arial"/>
          <w:b/>
        </w:rPr>
        <w:t xml:space="preserve">na kontrolním vzorku </w:t>
      </w:r>
      <w:r w:rsidRPr="008A6B0D">
        <w:rPr>
          <w:rFonts w:cs="Arial"/>
          <w:b/>
        </w:rPr>
        <w:t>zjistil, že s</w:t>
      </w:r>
      <w:r w:rsidR="004B3940" w:rsidRPr="008A6B0D">
        <w:rPr>
          <w:rFonts w:cs="Arial"/>
          <w:b/>
        </w:rPr>
        <w:t xml:space="preserve">tanovená kritéria pro hodnocení nabídek nebyla u </w:t>
      </w:r>
      <w:r w:rsidR="005B14C8" w:rsidRPr="008A6B0D">
        <w:rPr>
          <w:rFonts w:cs="Arial"/>
          <w:b/>
        </w:rPr>
        <w:t xml:space="preserve">fakultních </w:t>
      </w:r>
      <w:r w:rsidR="00D949B1">
        <w:rPr>
          <w:rFonts w:cs="Arial"/>
          <w:b/>
        </w:rPr>
        <w:t>nemocnic jednotná:</w:t>
      </w:r>
      <w:r w:rsidR="004B3940" w:rsidRPr="008A6B0D">
        <w:rPr>
          <w:rFonts w:cs="Arial"/>
          <w:b/>
        </w:rPr>
        <w:t xml:space="preserve"> </w:t>
      </w:r>
    </w:p>
    <w:p w14:paraId="3D13134E" w14:textId="47425EC3" w:rsidR="00D949B1" w:rsidRPr="00193093" w:rsidRDefault="001C6C81" w:rsidP="00876EE8">
      <w:pPr>
        <w:pStyle w:val="Odstavecseseznamem"/>
        <w:numPr>
          <w:ilvl w:val="0"/>
          <w:numId w:val="27"/>
        </w:numPr>
        <w:autoSpaceDE w:val="0"/>
        <w:autoSpaceDN w:val="0"/>
        <w:adjustRightInd w:val="0"/>
        <w:ind w:left="284" w:hanging="284"/>
        <w:rPr>
          <w:rFonts w:cs="Arial"/>
          <w:color w:val="000000" w:themeColor="text1"/>
          <w:szCs w:val="24"/>
        </w:rPr>
      </w:pPr>
      <w:r w:rsidRPr="00193093">
        <w:rPr>
          <w:rFonts w:cs="Arial"/>
          <w:color w:val="000000" w:themeColor="text1"/>
          <w:szCs w:val="24"/>
        </w:rPr>
        <w:t>FNB nesoutěžila ž</w:t>
      </w:r>
      <w:r w:rsidR="00071BC4" w:rsidRPr="00193093">
        <w:rPr>
          <w:rFonts w:cs="Arial"/>
          <w:color w:val="000000" w:themeColor="text1"/>
          <w:szCs w:val="24"/>
        </w:rPr>
        <w:t xml:space="preserve">ádnou dodávku </w:t>
      </w:r>
      <w:proofErr w:type="spellStart"/>
      <w:r w:rsidR="00071BC4" w:rsidRPr="00193093">
        <w:rPr>
          <w:rFonts w:cs="Arial"/>
          <w:color w:val="000000" w:themeColor="text1"/>
          <w:szCs w:val="24"/>
        </w:rPr>
        <w:t>centrových</w:t>
      </w:r>
      <w:proofErr w:type="spellEnd"/>
      <w:r w:rsidR="00071BC4" w:rsidRPr="00193093">
        <w:rPr>
          <w:rFonts w:cs="Arial"/>
          <w:color w:val="000000" w:themeColor="text1"/>
          <w:szCs w:val="24"/>
        </w:rPr>
        <w:t xml:space="preserve"> léků a </w:t>
      </w:r>
      <w:r w:rsidR="00D949B1" w:rsidRPr="00193093">
        <w:rPr>
          <w:rFonts w:cs="Arial"/>
          <w:color w:val="000000" w:themeColor="text1"/>
          <w:szCs w:val="24"/>
        </w:rPr>
        <w:t>zdravotnického materiálu</w:t>
      </w:r>
      <w:r w:rsidR="00493BC6">
        <w:rPr>
          <w:rFonts w:cs="Arial"/>
          <w:color w:val="000000" w:themeColor="text1"/>
          <w:szCs w:val="24"/>
        </w:rPr>
        <w:t>.</w:t>
      </w:r>
    </w:p>
    <w:p w14:paraId="261C178E" w14:textId="1A20C5D9" w:rsidR="00D949B1" w:rsidRPr="00193093" w:rsidRDefault="006B3B48" w:rsidP="00876EE8">
      <w:pPr>
        <w:pStyle w:val="Odstavecseseznamem"/>
        <w:numPr>
          <w:ilvl w:val="0"/>
          <w:numId w:val="27"/>
        </w:numPr>
        <w:autoSpaceDE w:val="0"/>
        <w:autoSpaceDN w:val="0"/>
        <w:adjustRightInd w:val="0"/>
        <w:ind w:left="284" w:hanging="284"/>
        <w:rPr>
          <w:rFonts w:cs="Arial"/>
          <w:color w:val="000000" w:themeColor="text1"/>
        </w:rPr>
      </w:pPr>
      <w:r w:rsidRPr="00193093">
        <w:rPr>
          <w:rFonts w:cs="Arial"/>
          <w:color w:val="000000" w:themeColor="text1"/>
        </w:rPr>
        <w:t>FNM nest</w:t>
      </w:r>
      <w:r w:rsidR="00623726" w:rsidRPr="00193093">
        <w:rPr>
          <w:rFonts w:cs="Arial"/>
          <w:color w:val="000000" w:themeColor="text1"/>
        </w:rPr>
        <w:t>anovila</w:t>
      </w:r>
      <w:r w:rsidRPr="00193093">
        <w:rPr>
          <w:rFonts w:cs="Arial"/>
          <w:color w:val="000000" w:themeColor="text1"/>
        </w:rPr>
        <w:t xml:space="preserve"> jako hodn</w:t>
      </w:r>
      <w:r w:rsidR="00071BC4" w:rsidRPr="00193093">
        <w:rPr>
          <w:rFonts w:cs="Arial"/>
          <w:color w:val="000000" w:themeColor="text1"/>
        </w:rPr>
        <w:t>ot</w:t>
      </w:r>
      <w:r w:rsidR="00493BC6">
        <w:rPr>
          <w:rFonts w:cs="Arial"/>
          <w:color w:val="000000" w:themeColor="text1"/>
        </w:rPr>
        <w:t>i</w:t>
      </w:r>
      <w:r w:rsidR="00071BC4" w:rsidRPr="00193093">
        <w:rPr>
          <w:rFonts w:cs="Arial"/>
          <w:color w:val="000000" w:themeColor="text1"/>
        </w:rPr>
        <w:t>cí kritérium současně cenu a </w:t>
      </w:r>
      <w:r w:rsidRPr="00193093">
        <w:rPr>
          <w:rFonts w:cs="Arial"/>
          <w:color w:val="000000" w:themeColor="text1"/>
        </w:rPr>
        <w:t>bonus tak, a</w:t>
      </w:r>
      <w:r w:rsidR="00AD579B" w:rsidRPr="00193093">
        <w:rPr>
          <w:rFonts w:cs="Arial"/>
          <w:color w:val="000000" w:themeColor="text1"/>
        </w:rPr>
        <w:t>by konečná cena byla nejnižší</w:t>
      </w:r>
      <w:r w:rsidR="00493BC6">
        <w:rPr>
          <w:rFonts w:cs="Arial"/>
          <w:color w:val="000000" w:themeColor="text1"/>
        </w:rPr>
        <w:t>.</w:t>
      </w:r>
    </w:p>
    <w:p w14:paraId="55632065" w14:textId="0C02ADD1" w:rsidR="00A96720" w:rsidRPr="00D949B1" w:rsidRDefault="00493BC6" w:rsidP="00876EE8">
      <w:pPr>
        <w:pStyle w:val="Odstavecseseznamem"/>
        <w:numPr>
          <w:ilvl w:val="0"/>
          <w:numId w:val="27"/>
        </w:numPr>
        <w:autoSpaceDE w:val="0"/>
        <w:autoSpaceDN w:val="0"/>
        <w:adjustRightInd w:val="0"/>
        <w:ind w:left="284" w:hanging="284"/>
        <w:rPr>
          <w:rFonts w:cs="Arial"/>
        </w:rPr>
      </w:pPr>
      <w:r>
        <w:rPr>
          <w:rFonts w:cs="Arial"/>
          <w:color w:val="000000" w:themeColor="text1"/>
        </w:rPr>
        <w:t>D</w:t>
      </w:r>
      <w:r w:rsidR="00CA3135" w:rsidRPr="00193093">
        <w:rPr>
          <w:rFonts w:cs="Arial"/>
          <w:color w:val="000000" w:themeColor="text1"/>
        </w:rPr>
        <w:t>le názoru NKÚ lze z</w:t>
      </w:r>
      <w:r w:rsidR="00A96720" w:rsidRPr="00193093">
        <w:rPr>
          <w:rFonts w:cs="Arial"/>
          <w:color w:val="000000" w:themeColor="text1"/>
        </w:rPr>
        <w:t xml:space="preserve">a transparentní považovat zadávací řízení uskutečněná ÚVN na </w:t>
      </w:r>
      <w:proofErr w:type="spellStart"/>
      <w:r w:rsidR="00A96720" w:rsidRPr="00193093">
        <w:rPr>
          <w:rFonts w:cs="Arial"/>
          <w:color w:val="000000" w:themeColor="text1"/>
        </w:rPr>
        <w:t>ZPr</w:t>
      </w:r>
      <w:proofErr w:type="spellEnd"/>
      <w:r w:rsidR="00A96720" w:rsidRPr="00193093">
        <w:rPr>
          <w:rFonts w:cs="Arial"/>
          <w:color w:val="000000" w:themeColor="text1"/>
        </w:rPr>
        <w:t>, kde hodnot</w:t>
      </w:r>
      <w:r>
        <w:rPr>
          <w:rFonts w:cs="Arial"/>
          <w:color w:val="000000" w:themeColor="text1"/>
        </w:rPr>
        <w:t>i</w:t>
      </w:r>
      <w:r w:rsidR="00A96720" w:rsidRPr="00193093">
        <w:rPr>
          <w:rFonts w:cs="Arial"/>
          <w:color w:val="000000" w:themeColor="text1"/>
        </w:rPr>
        <w:t>cím kritériem byla nejen nabídková cena</w:t>
      </w:r>
      <w:r w:rsidR="00054F7C" w:rsidRPr="00193093">
        <w:rPr>
          <w:rFonts w:cs="Arial"/>
          <w:color w:val="000000" w:themeColor="text1"/>
        </w:rPr>
        <w:t>,</w:t>
      </w:r>
      <w:r w:rsidR="00A96720" w:rsidRPr="00193093">
        <w:rPr>
          <w:rFonts w:cs="Arial"/>
          <w:color w:val="000000" w:themeColor="text1"/>
        </w:rPr>
        <w:t xml:space="preserve"> ale i bonus.</w:t>
      </w:r>
      <w:r w:rsidR="00A96720" w:rsidRPr="00E60983">
        <w:rPr>
          <w:rFonts w:cs="Arial"/>
          <w:color w:val="000000" w:themeColor="text1"/>
        </w:rPr>
        <w:t xml:space="preserve"> </w:t>
      </w:r>
      <w:r w:rsidR="003F494D" w:rsidRPr="00D949B1">
        <w:rPr>
          <w:rFonts w:cs="Arial"/>
        </w:rPr>
        <w:t>(Podrobně</w:t>
      </w:r>
      <w:r w:rsidR="004C58FE" w:rsidRPr="00D949B1">
        <w:rPr>
          <w:rFonts w:cs="Arial"/>
        </w:rPr>
        <w:t xml:space="preserve"> </w:t>
      </w:r>
      <w:r w:rsidR="00694FD2">
        <w:rPr>
          <w:rFonts w:cs="Arial"/>
        </w:rPr>
        <w:t xml:space="preserve">viz </w:t>
      </w:r>
      <w:r w:rsidR="004C58FE" w:rsidRPr="00D949B1">
        <w:rPr>
          <w:rFonts w:cs="Arial"/>
        </w:rPr>
        <w:t>část IV.</w:t>
      </w:r>
      <w:r w:rsidR="00CB766C" w:rsidRPr="00D949B1">
        <w:rPr>
          <w:rFonts w:cs="Arial"/>
        </w:rPr>
        <w:t xml:space="preserve"> body 1.1 a 1.5</w:t>
      </w:r>
      <w:r w:rsidR="00A96720" w:rsidRPr="00D949B1">
        <w:rPr>
          <w:rFonts w:cs="Arial"/>
        </w:rPr>
        <w:t xml:space="preserve"> tohoto kontrolního závěru</w:t>
      </w:r>
      <w:r w:rsidR="003F494D" w:rsidRPr="00D949B1">
        <w:rPr>
          <w:rFonts w:cs="Arial"/>
        </w:rPr>
        <w:t>.)</w:t>
      </w:r>
      <w:r w:rsidR="00A96720" w:rsidRPr="00D949B1">
        <w:rPr>
          <w:rFonts w:cs="Arial"/>
        </w:rPr>
        <w:t xml:space="preserve"> </w:t>
      </w:r>
    </w:p>
    <w:p w14:paraId="2F8F1B84" w14:textId="3B863202" w:rsidR="00E11420" w:rsidRDefault="00E11420" w:rsidP="00AA7F15">
      <w:pPr>
        <w:autoSpaceDE w:val="0"/>
        <w:autoSpaceDN w:val="0"/>
        <w:adjustRightInd w:val="0"/>
        <w:spacing w:before="120"/>
        <w:rPr>
          <w:rFonts w:cs="Arial"/>
          <w:color w:val="000000" w:themeColor="text1"/>
          <w:szCs w:val="24"/>
        </w:rPr>
      </w:pPr>
      <w:r w:rsidRPr="00BD3232">
        <w:rPr>
          <w:rFonts w:cs="Arial"/>
          <w:b/>
          <w:color w:val="000000" w:themeColor="text1"/>
          <w:szCs w:val="24"/>
        </w:rPr>
        <w:t xml:space="preserve">NKÚ na kontrolním vzorku </w:t>
      </w:r>
      <w:r w:rsidR="00987C16">
        <w:rPr>
          <w:rFonts w:cs="Arial"/>
          <w:b/>
          <w:color w:val="000000" w:themeColor="text1"/>
          <w:szCs w:val="24"/>
        </w:rPr>
        <w:t xml:space="preserve">shodných </w:t>
      </w:r>
      <w:r w:rsidR="006A0D74" w:rsidRPr="00BD3232">
        <w:rPr>
          <w:rFonts w:cs="Arial"/>
          <w:b/>
        </w:rPr>
        <w:t>léčiv a zdravotnických prostředků</w:t>
      </w:r>
      <w:r w:rsidR="006A0D74" w:rsidRPr="00BD3232">
        <w:rPr>
          <w:rFonts w:cs="Arial"/>
          <w:b/>
          <w:color w:val="000000" w:themeColor="text1"/>
          <w:szCs w:val="24"/>
        </w:rPr>
        <w:t xml:space="preserve"> provedl porovnání jednotkových nákupních cen</w:t>
      </w:r>
      <w:r w:rsidR="00EE259B" w:rsidRPr="00BD3232">
        <w:rPr>
          <w:rFonts w:cs="Arial"/>
          <w:b/>
          <w:color w:val="000000" w:themeColor="text1"/>
          <w:szCs w:val="24"/>
        </w:rPr>
        <w:t xml:space="preserve"> jednotlivých FN</w:t>
      </w:r>
      <w:r w:rsidR="006A0D74" w:rsidRPr="00BD3232">
        <w:rPr>
          <w:rFonts w:cs="Arial"/>
          <w:b/>
          <w:color w:val="000000" w:themeColor="text1"/>
          <w:szCs w:val="24"/>
        </w:rPr>
        <w:t xml:space="preserve"> a </w:t>
      </w:r>
      <w:r w:rsidRPr="00BD3232">
        <w:rPr>
          <w:rFonts w:cs="Arial"/>
          <w:b/>
          <w:color w:val="000000" w:themeColor="text1"/>
          <w:szCs w:val="24"/>
        </w:rPr>
        <w:t>zjistil</w:t>
      </w:r>
      <w:r w:rsidR="00BD3232" w:rsidRPr="00BD3232">
        <w:rPr>
          <w:rFonts w:cs="Arial"/>
          <w:b/>
          <w:color w:val="000000" w:themeColor="text1"/>
          <w:szCs w:val="24"/>
        </w:rPr>
        <w:t xml:space="preserve"> </w:t>
      </w:r>
      <w:r w:rsidR="00BD3232">
        <w:rPr>
          <w:rFonts w:cs="Arial"/>
          <w:b/>
          <w:color w:val="000000" w:themeColor="text1"/>
          <w:szCs w:val="24"/>
        </w:rPr>
        <w:t xml:space="preserve">značné rozdíly </w:t>
      </w:r>
      <w:r w:rsidR="00BD3232" w:rsidRPr="00BD3232">
        <w:rPr>
          <w:rFonts w:cs="Arial"/>
          <w:b/>
          <w:color w:val="000000" w:themeColor="text1"/>
          <w:szCs w:val="24"/>
        </w:rPr>
        <w:t>jak v absolutních hodnotách, tak v procentuálním vyjádření</w:t>
      </w:r>
      <w:r>
        <w:rPr>
          <w:rFonts w:cs="Arial"/>
          <w:color w:val="000000" w:themeColor="text1"/>
          <w:szCs w:val="24"/>
        </w:rPr>
        <w:t>:</w:t>
      </w:r>
    </w:p>
    <w:p w14:paraId="3997E666" w14:textId="051E15CB" w:rsidR="00E11420" w:rsidRDefault="0015677A" w:rsidP="00876EE8">
      <w:pPr>
        <w:pStyle w:val="Odstavecseseznamem"/>
        <w:numPr>
          <w:ilvl w:val="0"/>
          <w:numId w:val="28"/>
        </w:numPr>
        <w:autoSpaceDE w:val="0"/>
        <w:autoSpaceDN w:val="0"/>
        <w:adjustRightInd w:val="0"/>
        <w:ind w:left="284" w:hanging="284"/>
        <w:rPr>
          <w:rFonts w:cs="Arial"/>
          <w:color w:val="000000" w:themeColor="text1"/>
          <w:szCs w:val="24"/>
        </w:rPr>
      </w:pPr>
      <w:r w:rsidRPr="00E11420">
        <w:rPr>
          <w:rFonts w:cs="Arial"/>
          <w:color w:val="000000" w:themeColor="text1"/>
          <w:szCs w:val="24"/>
        </w:rPr>
        <w:t>Při srovnání</w:t>
      </w:r>
      <w:r>
        <w:rPr>
          <w:rFonts w:cs="Arial"/>
          <w:color w:val="000000" w:themeColor="text1"/>
          <w:szCs w:val="24"/>
        </w:rPr>
        <w:t xml:space="preserve"> nákupů </w:t>
      </w:r>
      <w:r w:rsidR="000E0A1D" w:rsidRPr="00E11420">
        <w:rPr>
          <w:rFonts w:cs="Arial"/>
          <w:color w:val="000000" w:themeColor="text1"/>
          <w:szCs w:val="24"/>
        </w:rPr>
        <w:t xml:space="preserve">16 druhů </w:t>
      </w:r>
      <w:proofErr w:type="spellStart"/>
      <w:r w:rsidR="000E0A1D" w:rsidRPr="00E11420">
        <w:rPr>
          <w:rFonts w:cs="Arial"/>
          <w:color w:val="000000" w:themeColor="text1"/>
          <w:szCs w:val="24"/>
        </w:rPr>
        <w:t>centrových</w:t>
      </w:r>
      <w:proofErr w:type="spellEnd"/>
      <w:r w:rsidR="000E0A1D" w:rsidRPr="00E11420">
        <w:rPr>
          <w:rFonts w:cs="Arial"/>
          <w:color w:val="000000" w:themeColor="text1"/>
          <w:szCs w:val="24"/>
        </w:rPr>
        <w:t xml:space="preserve"> léků, které byly pořízeny v jednotlivých letech, </w:t>
      </w:r>
      <w:r w:rsidR="00A135CB">
        <w:rPr>
          <w:rFonts w:cs="Arial"/>
          <w:color w:val="000000" w:themeColor="text1"/>
          <w:szCs w:val="24"/>
        </w:rPr>
        <w:t>NKÚ zjistil procentuální rozdíl až</w:t>
      </w:r>
      <w:r w:rsidR="00A135CB" w:rsidRPr="00E11420">
        <w:rPr>
          <w:rFonts w:cs="Arial"/>
          <w:color w:val="000000" w:themeColor="text1"/>
          <w:szCs w:val="24"/>
        </w:rPr>
        <w:t xml:space="preserve"> 39,14 % za balení</w:t>
      </w:r>
      <w:r w:rsidR="00A135CB">
        <w:rPr>
          <w:rFonts w:cs="Arial"/>
          <w:color w:val="000000" w:themeColor="text1"/>
          <w:szCs w:val="24"/>
        </w:rPr>
        <w:t xml:space="preserve"> (kód SÚKL </w:t>
      </w:r>
      <w:r w:rsidR="00262D89">
        <w:rPr>
          <w:rFonts w:cs="Arial"/>
          <w:color w:val="000000" w:themeColor="text1"/>
          <w:szCs w:val="24"/>
        </w:rPr>
        <w:t>0</w:t>
      </w:r>
      <w:r w:rsidR="001A57E4">
        <w:rPr>
          <w:rFonts w:cs="Arial"/>
          <w:color w:val="000000" w:themeColor="text1"/>
          <w:szCs w:val="24"/>
        </w:rPr>
        <w:t>0</w:t>
      </w:r>
      <w:r w:rsidR="00A135CB">
        <w:rPr>
          <w:rFonts w:cs="Arial"/>
          <w:color w:val="000000" w:themeColor="text1"/>
          <w:szCs w:val="24"/>
        </w:rPr>
        <w:t>25566; HUMIRA). A</w:t>
      </w:r>
      <w:r w:rsidR="006A0D74">
        <w:rPr>
          <w:rFonts w:cs="Arial"/>
          <w:color w:val="000000" w:themeColor="text1"/>
          <w:szCs w:val="24"/>
        </w:rPr>
        <w:t xml:space="preserve">bsolutní </w:t>
      </w:r>
      <w:r w:rsidR="000E0A1D" w:rsidRPr="00E11420">
        <w:rPr>
          <w:rFonts w:cs="Arial"/>
          <w:color w:val="000000" w:themeColor="text1"/>
          <w:szCs w:val="24"/>
        </w:rPr>
        <w:t xml:space="preserve">rozdíly </w:t>
      </w:r>
      <w:r w:rsidR="00A135CB">
        <w:rPr>
          <w:rFonts w:cs="Arial"/>
          <w:color w:val="000000" w:themeColor="text1"/>
          <w:szCs w:val="24"/>
        </w:rPr>
        <w:t xml:space="preserve">jednotkových cen těchto vybraných léčiv se </w:t>
      </w:r>
      <w:r w:rsidR="000E0A1D" w:rsidRPr="00E11420">
        <w:rPr>
          <w:rFonts w:cs="Arial"/>
          <w:color w:val="000000" w:themeColor="text1"/>
          <w:szCs w:val="24"/>
        </w:rPr>
        <w:t xml:space="preserve">pohybovaly </w:t>
      </w:r>
      <w:r>
        <w:rPr>
          <w:rFonts w:cs="Arial"/>
          <w:color w:val="000000" w:themeColor="text1"/>
          <w:szCs w:val="24"/>
        </w:rPr>
        <w:t>až</w:t>
      </w:r>
      <w:r w:rsidR="000E0A1D" w:rsidRPr="00E11420">
        <w:rPr>
          <w:rFonts w:cs="Arial"/>
          <w:color w:val="000000" w:themeColor="text1"/>
          <w:szCs w:val="24"/>
        </w:rPr>
        <w:t xml:space="preserve"> do 95 210,72 Kč za balení</w:t>
      </w:r>
      <w:r>
        <w:rPr>
          <w:rFonts w:cs="Arial"/>
          <w:color w:val="000000" w:themeColor="text1"/>
          <w:szCs w:val="24"/>
        </w:rPr>
        <w:t xml:space="preserve"> (</w:t>
      </w:r>
      <w:r w:rsidR="00586A57">
        <w:rPr>
          <w:rFonts w:cs="Arial"/>
          <w:color w:val="000000" w:themeColor="text1"/>
          <w:szCs w:val="24"/>
        </w:rPr>
        <w:t>kód SÚKL</w:t>
      </w:r>
      <w:r w:rsidR="00586A57">
        <w:rPr>
          <w:rStyle w:val="Znakapoznpodarou"/>
          <w:rFonts w:cs="Arial"/>
          <w:color w:val="000000" w:themeColor="text1"/>
          <w:szCs w:val="24"/>
        </w:rPr>
        <w:footnoteReference w:id="6"/>
      </w:r>
      <w:r w:rsidR="00586A57">
        <w:rPr>
          <w:rFonts w:cs="Arial"/>
          <w:color w:val="000000" w:themeColor="text1"/>
          <w:szCs w:val="24"/>
        </w:rPr>
        <w:t xml:space="preserve"> </w:t>
      </w:r>
      <w:r w:rsidR="00262D89">
        <w:rPr>
          <w:rFonts w:cs="Arial"/>
          <w:color w:val="000000" w:themeColor="text1"/>
          <w:szCs w:val="24"/>
        </w:rPr>
        <w:t>0</w:t>
      </w:r>
      <w:r w:rsidR="006A0D74">
        <w:rPr>
          <w:rFonts w:cs="Arial"/>
          <w:color w:val="000000" w:themeColor="text1"/>
          <w:szCs w:val="24"/>
        </w:rPr>
        <w:t>210201</w:t>
      </w:r>
      <w:r w:rsidR="00701A7D">
        <w:rPr>
          <w:rFonts w:cs="Arial"/>
          <w:color w:val="000000" w:themeColor="text1"/>
          <w:szCs w:val="24"/>
        </w:rPr>
        <w:t xml:space="preserve">; </w:t>
      </w:r>
      <w:r>
        <w:rPr>
          <w:rFonts w:cs="Arial"/>
          <w:color w:val="000000" w:themeColor="text1"/>
          <w:szCs w:val="24"/>
        </w:rPr>
        <w:t>HARVONI)</w:t>
      </w:r>
      <w:r w:rsidR="000E0A1D" w:rsidRPr="00E11420">
        <w:rPr>
          <w:rFonts w:cs="Arial"/>
          <w:color w:val="000000" w:themeColor="text1"/>
          <w:szCs w:val="24"/>
        </w:rPr>
        <w:t>.</w:t>
      </w:r>
    </w:p>
    <w:p w14:paraId="075F015B" w14:textId="36344AA7" w:rsidR="000E0A1D" w:rsidRPr="0093781B" w:rsidRDefault="000E0A1D" w:rsidP="00876EE8">
      <w:pPr>
        <w:pStyle w:val="Odstavecseseznamem"/>
        <w:numPr>
          <w:ilvl w:val="0"/>
          <w:numId w:val="28"/>
        </w:numPr>
        <w:autoSpaceDE w:val="0"/>
        <w:autoSpaceDN w:val="0"/>
        <w:adjustRightInd w:val="0"/>
        <w:ind w:left="284" w:hanging="284"/>
        <w:rPr>
          <w:rFonts w:cs="Arial"/>
          <w:color w:val="000000" w:themeColor="text1"/>
          <w:szCs w:val="24"/>
        </w:rPr>
      </w:pPr>
      <w:r w:rsidRPr="00E11420">
        <w:rPr>
          <w:rFonts w:cs="Arial"/>
          <w:color w:val="000000" w:themeColor="text1"/>
          <w:szCs w:val="24"/>
        </w:rPr>
        <w:t>Při srovnání 19 druhů léčiv skupiny ATC</w:t>
      </w:r>
      <w:r w:rsidR="00481090">
        <w:rPr>
          <w:rFonts w:cs="Arial"/>
          <w:color w:val="000000" w:themeColor="text1"/>
          <w:szCs w:val="24"/>
        </w:rPr>
        <w:t xml:space="preserve"> – </w:t>
      </w:r>
      <w:r w:rsidRPr="00E11420">
        <w:rPr>
          <w:rFonts w:cs="Arial"/>
          <w:color w:val="000000" w:themeColor="text1"/>
          <w:szCs w:val="24"/>
        </w:rPr>
        <w:t>J</w:t>
      </w:r>
      <w:r w:rsidRPr="000E0A1D">
        <w:rPr>
          <w:rStyle w:val="Znakapoznpodarou"/>
          <w:rFonts w:cs="Arial"/>
          <w:color w:val="000000" w:themeColor="text1"/>
          <w:szCs w:val="24"/>
        </w:rPr>
        <w:footnoteReference w:id="7"/>
      </w:r>
      <w:r w:rsidRPr="00E11420">
        <w:rPr>
          <w:rFonts w:cs="Arial"/>
          <w:color w:val="000000" w:themeColor="text1"/>
          <w:szCs w:val="24"/>
        </w:rPr>
        <w:t xml:space="preserve">, které byly pořízeny v jednotlivých letech, </w:t>
      </w:r>
      <w:r w:rsidR="0093781B" w:rsidRPr="0093781B">
        <w:rPr>
          <w:rFonts w:cs="Arial"/>
          <w:color w:val="000000" w:themeColor="text1"/>
          <w:szCs w:val="24"/>
        </w:rPr>
        <w:t xml:space="preserve">NKÚ zjistil procentuální rozdíl až 448,93 % za balení (kód SÚKL </w:t>
      </w:r>
      <w:r w:rsidR="00262D89">
        <w:rPr>
          <w:rFonts w:cs="Arial"/>
          <w:color w:val="000000" w:themeColor="text1"/>
          <w:szCs w:val="24"/>
        </w:rPr>
        <w:t>0</w:t>
      </w:r>
      <w:r w:rsidR="001A57E4">
        <w:rPr>
          <w:rFonts w:cs="Arial"/>
          <w:color w:val="000000" w:themeColor="text1"/>
          <w:szCs w:val="24"/>
        </w:rPr>
        <w:t>00</w:t>
      </w:r>
      <w:r w:rsidR="0093781B" w:rsidRPr="0093781B">
        <w:rPr>
          <w:rFonts w:cs="Arial"/>
          <w:color w:val="000000" w:themeColor="text1"/>
          <w:szCs w:val="24"/>
        </w:rPr>
        <w:t>3708; ZYVOXID). A</w:t>
      </w:r>
      <w:r w:rsidR="00701A7D" w:rsidRPr="0093781B">
        <w:rPr>
          <w:rFonts w:cs="Arial"/>
          <w:color w:val="000000" w:themeColor="text1"/>
          <w:szCs w:val="24"/>
        </w:rPr>
        <w:t xml:space="preserve">bsolutní </w:t>
      </w:r>
      <w:r w:rsidRPr="0093781B">
        <w:rPr>
          <w:rFonts w:cs="Arial"/>
          <w:color w:val="000000" w:themeColor="text1"/>
          <w:szCs w:val="24"/>
        </w:rPr>
        <w:t xml:space="preserve">rozdíly </w:t>
      </w:r>
      <w:r w:rsidR="0093781B" w:rsidRPr="0093781B">
        <w:rPr>
          <w:rFonts w:cs="Arial"/>
          <w:color w:val="000000" w:themeColor="text1"/>
          <w:szCs w:val="24"/>
        </w:rPr>
        <w:t xml:space="preserve">jednotkových cen těchto vybraných léčiv se </w:t>
      </w:r>
      <w:r w:rsidRPr="0093781B">
        <w:rPr>
          <w:rFonts w:cs="Arial"/>
          <w:color w:val="000000" w:themeColor="text1"/>
          <w:szCs w:val="24"/>
        </w:rPr>
        <w:t xml:space="preserve">pohybovaly </w:t>
      </w:r>
      <w:r w:rsidR="00701A7D" w:rsidRPr="0093781B">
        <w:rPr>
          <w:rFonts w:cs="Arial"/>
          <w:color w:val="000000" w:themeColor="text1"/>
          <w:szCs w:val="24"/>
        </w:rPr>
        <w:t xml:space="preserve">až </w:t>
      </w:r>
      <w:r w:rsidRPr="0093781B">
        <w:rPr>
          <w:rFonts w:cs="Arial"/>
          <w:color w:val="000000" w:themeColor="text1"/>
          <w:szCs w:val="24"/>
        </w:rPr>
        <w:t>do 9 496,28 Kč za balení</w:t>
      </w:r>
      <w:r w:rsidR="00701A7D" w:rsidRPr="0093781B">
        <w:rPr>
          <w:rFonts w:cs="Arial"/>
          <w:color w:val="000000" w:themeColor="text1"/>
          <w:szCs w:val="24"/>
        </w:rPr>
        <w:t xml:space="preserve"> (</w:t>
      </w:r>
      <w:r w:rsidR="00B6465F" w:rsidRPr="0093781B">
        <w:rPr>
          <w:rFonts w:cs="Arial"/>
          <w:color w:val="000000" w:themeColor="text1"/>
          <w:szCs w:val="24"/>
        </w:rPr>
        <w:t xml:space="preserve">kód SÚKL </w:t>
      </w:r>
      <w:r w:rsidR="00262D89">
        <w:rPr>
          <w:rFonts w:cs="Arial"/>
          <w:color w:val="000000" w:themeColor="text1"/>
          <w:szCs w:val="24"/>
        </w:rPr>
        <w:t>0</w:t>
      </w:r>
      <w:r w:rsidR="001A57E4">
        <w:rPr>
          <w:rFonts w:cs="Arial"/>
          <w:color w:val="000000" w:themeColor="text1"/>
          <w:szCs w:val="24"/>
        </w:rPr>
        <w:t>00</w:t>
      </w:r>
      <w:r w:rsidR="00701A7D" w:rsidRPr="0093781B">
        <w:rPr>
          <w:rFonts w:cs="Arial"/>
          <w:color w:val="000000" w:themeColor="text1"/>
          <w:szCs w:val="24"/>
        </w:rPr>
        <w:t>3708; ZYVOXID)</w:t>
      </w:r>
      <w:r w:rsidR="0093781B" w:rsidRPr="0093781B">
        <w:rPr>
          <w:rFonts w:cs="Arial"/>
          <w:color w:val="000000" w:themeColor="text1"/>
          <w:szCs w:val="24"/>
        </w:rPr>
        <w:t>.</w:t>
      </w:r>
    </w:p>
    <w:p w14:paraId="63CF27F2" w14:textId="0F20C475" w:rsidR="00E11420" w:rsidRDefault="007D1CB6" w:rsidP="00876EE8">
      <w:pPr>
        <w:pStyle w:val="Odstavecseseznamem"/>
        <w:numPr>
          <w:ilvl w:val="0"/>
          <w:numId w:val="28"/>
        </w:numPr>
        <w:autoSpaceDE w:val="0"/>
        <w:autoSpaceDN w:val="0"/>
        <w:adjustRightInd w:val="0"/>
        <w:ind w:left="284" w:hanging="284"/>
        <w:rPr>
          <w:rFonts w:cs="Arial"/>
          <w:color w:val="000000" w:themeColor="text1"/>
          <w:szCs w:val="24"/>
        </w:rPr>
      </w:pPr>
      <w:r w:rsidRPr="00E11420">
        <w:rPr>
          <w:rFonts w:cs="Arial"/>
          <w:color w:val="000000" w:themeColor="text1"/>
          <w:szCs w:val="24"/>
        </w:rPr>
        <w:t xml:space="preserve">Při srovnání 20 druhů zdravotnického materiálu, který byl pořízen v jednotlivých letech, </w:t>
      </w:r>
      <w:r w:rsidR="0093781B">
        <w:rPr>
          <w:rFonts w:cs="Arial"/>
          <w:color w:val="000000" w:themeColor="text1"/>
          <w:szCs w:val="24"/>
        </w:rPr>
        <w:t xml:space="preserve">NKÚ zjistil procentuální rozdíl až </w:t>
      </w:r>
      <w:r w:rsidR="000013A5">
        <w:rPr>
          <w:rFonts w:cs="Arial"/>
          <w:color w:val="000000" w:themeColor="text1"/>
          <w:szCs w:val="24"/>
        </w:rPr>
        <w:t>110</w:t>
      </w:r>
      <w:r w:rsidR="0093781B" w:rsidRPr="00E11420">
        <w:rPr>
          <w:rFonts w:cs="Arial"/>
          <w:color w:val="000000" w:themeColor="text1"/>
          <w:szCs w:val="24"/>
        </w:rPr>
        <w:t xml:space="preserve"> % za kus</w:t>
      </w:r>
      <w:r w:rsidR="006973A4">
        <w:rPr>
          <w:rFonts w:cs="Arial"/>
          <w:color w:val="000000" w:themeColor="text1"/>
          <w:szCs w:val="24"/>
        </w:rPr>
        <w:t xml:space="preserve"> (kód ZP</w:t>
      </w:r>
      <w:r w:rsidR="0093781B">
        <w:rPr>
          <w:rFonts w:cs="Arial"/>
          <w:color w:val="000000" w:themeColor="text1"/>
          <w:szCs w:val="24"/>
        </w:rPr>
        <w:t xml:space="preserve"> </w:t>
      </w:r>
      <w:r w:rsidR="0093781B">
        <w:rPr>
          <w:rFonts w:cstheme="minorHAnsi"/>
          <w:noProof/>
          <w:color w:val="000000" w:themeColor="text1"/>
          <w:szCs w:val="28"/>
        </w:rPr>
        <w:t xml:space="preserve">0059007; </w:t>
      </w:r>
      <w:r w:rsidR="0093781B" w:rsidRPr="00FF45F8">
        <w:rPr>
          <w:rFonts w:cstheme="minorHAnsi"/>
          <w:noProof/>
          <w:color w:val="000000" w:themeColor="text1"/>
          <w:szCs w:val="28"/>
        </w:rPr>
        <w:t xml:space="preserve">ZÁSOBNÍK ENDO GIA </w:t>
      </w:r>
      <w:r w:rsidR="00493BC6">
        <w:rPr>
          <w:rFonts w:cstheme="minorHAnsi"/>
          <w:noProof/>
          <w:color w:val="000000" w:themeColor="text1"/>
          <w:szCs w:val="28"/>
        </w:rPr>
        <w:t>–</w:t>
      </w:r>
      <w:r w:rsidR="0093781B" w:rsidRPr="00FF45F8">
        <w:rPr>
          <w:rFonts w:cstheme="minorHAnsi"/>
          <w:noProof/>
          <w:color w:val="000000" w:themeColor="text1"/>
          <w:szCs w:val="28"/>
        </w:rPr>
        <w:t xml:space="preserve"> 60</w:t>
      </w:r>
      <w:r w:rsidR="00481090">
        <w:rPr>
          <w:rFonts w:cstheme="minorHAnsi"/>
          <w:noProof/>
          <w:color w:val="000000" w:themeColor="text1"/>
          <w:szCs w:val="28"/>
        </w:rPr>
        <w:t>MM</w:t>
      </w:r>
      <w:r w:rsidR="0093781B" w:rsidRPr="00FF45F8">
        <w:rPr>
          <w:rFonts w:cstheme="minorHAnsi"/>
          <w:noProof/>
          <w:color w:val="000000" w:themeColor="text1"/>
          <w:szCs w:val="28"/>
        </w:rPr>
        <w:t xml:space="preserve"> </w:t>
      </w:r>
      <w:r w:rsidR="00493BC6">
        <w:rPr>
          <w:rFonts w:cstheme="minorHAnsi"/>
          <w:noProof/>
          <w:color w:val="000000" w:themeColor="text1"/>
          <w:szCs w:val="28"/>
        </w:rPr>
        <w:t>–</w:t>
      </w:r>
      <w:r w:rsidR="0093781B" w:rsidRPr="00FF45F8">
        <w:rPr>
          <w:rFonts w:cstheme="minorHAnsi"/>
          <w:noProof/>
          <w:color w:val="000000" w:themeColor="text1"/>
          <w:szCs w:val="28"/>
        </w:rPr>
        <w:t xml:space="preserve"> UNIVERSAL,</w:t>
      </w:r>
      <w:r w:rsidR="0093781B">
        <w:rPr>
          <w:rFonts w:cstheme="minorHAnsi"/>
          <w:noProof/>
          <w:color w:val="000000" w:themeColor="text1"/>
          <w:szCs w:val="28"/>
        </w:rPr>
        <w:t xml:space="preserve"> </w:t>
      </w:r>
      <w:r w:rsidR="0093781B" w:rsidRPr="00FF45F8">
        <w:rPr>
          <w:rFonts w:cstheme="minorHAnsi"/>
          <w:noProof/>
          <w:color w:val="000000" w:themeColor="text1"/>
          <w:szCs w:val="28"/>
        </w:rPr>
        <w:t>DUET TRISTAPLE ROTIKULAČNÍ)</w:t>
      </w:r>
      <w:r w:rsidR="0093781B" w:rsidRPr="00E11420">
        <w:rPr>
          <w:rFonts w:cs="Arial"/>
          <w:color w:val="000000" w:themeColor="text1"/>
          <w:szCs w:val="24"/>
        </w:rPr>
        <w:t>.</w:t>
      </w:r>
      <w:r w:rsidR="0093781B">
        <w:rPr>
          <w:rFonts w:cs="Arial"/>
          <w:color w:val="000000" w:themeColor="text1"/>
          <w:szCs w:val="24"/>
        </w:rPr>
        <w:t xml:space="preserve"> A</w:t>
      </w:r>
      <w:r w:rsidR="00D228D5">
        <w:rPr>
          <w:rFonts w:cs="Arial"/>
          <w:color w:val="000000" w:themeColor="text1"/>
          <w:szCs w:val="24"/>
        </w:rPr>
        <w:t xml:space="preserve">bsolutní </w:t>
      </w:r>
      <w:r w:rsidRPr="00E11420">
        <w:rPr>
          <w:rFonts w:cs="Arial"/>
          <w:color w:val="000000" w:themeColor="text1"/>
          <w:szCs w:val="24"/>
        </w:rPr>
        <w:t xml:space="preserve">rozdíly </w:t>
      </w:r>
      <w:r w:rsidR="0093781B">
        <w:rPr>
          <w:rFonts w:cs="Arial"/>
          <w:color w:val="000000" w:themeColor="text1"/>
          <w:szCs w:val="24"/>
        </w:rPr>
        <w:t xml:space="preserve">jednotkových nákupních cen těchto vybraných zdravotnických prostředků se </w:t>
      </w:r>
      <w:r w:rsidRPr="00E11420">
        <w:rPr>
          <w:rFonts w:cs="Arial"/>
          <w:color w:val="000000" w:themeColor="text1"/>
          <w:szCs w:val="24"/>
        </w:rPr>
        <w:t xml:space="preserve">pohybovaly </w:t>
      </w:r>
      <w:r w:rsidR="00D228D5">
        <w:rPr>
          <w:rFonts w:cs="Arial"/>
          <w:color w:val="000000" w:themeColor="text1"/>
          <w:szCs w:val="24"/>
        </w:rPr>
        <w:t>až</w:t>
      </w:r>
      <w:r w:rsidRPr="00E11420">
        <w:rPr>
          <w:rFonts w:cs="Arial"/>
          <w:color w:val="000000" w:themeColor="text1"/>
          <w:szCs w:val="24"/>
        </w:rPr>
        <w:t xml:space="preserve"> do 35 497,26</w:t>
      </w:r>
      <w:r w:rsidR="00493BC6">
        <w:rPr>
          <w:rFonts w:cs="Arial"/>
          <w:color w:val="000000" w:themeColor="text1"/>
          <w:szCs w:val="24"/>
        </w:rPr>
        <w:t> </w:t>
      </w:r>
      <w:r w:rsidRPr="00E11420">
        <w:rPr>
          <w:rFonts w:cs="Arial"/>
          <w:color w:val="000000" w:themeColor="text1"/>
          <w:szCs w:val="24"/>
        </w:rPr>
        <w:t>Kč za kus</w:t>
      </w:r>
      <w:r w:rsidR="00D228D5">
        <w:rPr>
          <w:rFonts w:cs="Arial"/>
          <w:color w:val="000000" w:themeColor="text1"/>
          <w:szCs w:val="24"/>
        </w:rPr>
        <w:t xml:space="preserve"> (</w:t>
      </w:r>
      <w:r w:rsidR="001A57E4">
        <w:rPr>
          <w:rFonts w:cs="Arial"/>
          <w:color w:val="000000" w:themeColor="text1"/>
          <w:szCs w:val="24"/>
        </w:rPr>
        <w:t xml:space="preserve">kód </w:t>
      </w:r>
      <w:r w:rsidR="00B6465F">
        <w:rPr>
          <w:rFonts w:cs="Arial"/>
          <w:color w:val="000000" w:themeColor="text1"/>
          <w:szCs w:val="24"/>
        </w:rPr>
        <w:t>ZP</w:t>
      </w:r>
      <w:r w:rsidR="00B6465F">
        <w:rPr>
          <w:rStyle w:val="Znakapoznpodarou"/>
          <w:rFonts w:cs="Arial"/>
          <w:color w:val="000000" w:themeColor="text1"/>
          <w:szCs w:val="24"/>
        </w:rPr>
        <w:footnoteReference w:id="8"/>
      </w:r>
      <w:r w:rsidR="00B6465F">
        <w:rPr>
          <w:rFonts w:cs="Arial"/>
          <w:color w:val="000000" w:themeColor="text1"/>
          <w:szCs w:val="24"/>
        </w:rPr>
        <w:t xml:space="preserve"> </w:t>
      </w:r>
      <w:r w:rsidR="00D228D5">
        <w:rPr>
          <w:rFonts w:cstheme="minorHAnsi"/>
          <w:noProof/>
          <w:color w:val="000000" w:themeColor="text1"/>
          <w:szCs w:val="28"/>
        </w:rPr>
        <w:t xml:space="preserve">0192089; </w:t>
      </w:r>
      <w:r w:rsidR="00D228D5" w:rsidRPr="004723AC">
        <w:rPr>
          <w:rFonts w:cstheme="minorHAnsi"/>
          <w:noProof/>
          <w:color w:val="000000" w:themeColor="text1"/>
          <w:szCs w:val="28"/>
        </w:rPr>
        <w:t>STENTGRAFT AORTÁLNÍ ZENITH LP,TĚLO)</w:t>
      </w:r>
      <w:r w:rsidR="0093781B">
        <w:rPr>
          <w:rFonts w:cs="Arial"/>
          <w:color w:val="000000" w:themeColor="text1"/>
          <w:szCs w:val="24"/>
        </w:rPr>
        <w:t>.</w:t>
      </w:r>
    </w:p>
    <w:p w14:paraId="43B3B666" w14:textId="7FD8B29E" w:rsidR="000F6DA8" w:rsidRDefault="0015697C" w:rsidP="00876EE8">
      <w:pPr>
        <w:autoSpaceDE w:val="0"/>
        <w:autoSpaceDN w:val="0"/>
        <w:adjustRightInd w:val="0"/>
        <w:spacing w:before="120"/>
        <w:rPr>
          <w:rFonts w:cs="Arial"/>
          <w:color w:val="000000" w:themeColor="text1"/>
          <w:szCs w:val="24"/>
        </w:rPr>
      </w:pPr>
      <w:r w:rsidRPr="00B7675A">
        <w:rPr>
          <w:rFonts w:cs="Arial"/>
          <w:color w:val="000000" w:themeColor="text1"/>
          <w:szCs w:val="24"/>
        </w:rPr>
        <w:t>M</w:t>
      </w:r>
      <w:r w:rsidR="00E00ABA" w:rsidRPr="00B7675A">
        <w:rPr>
          <w:rFonts w:cs="Arial"/>
          <w:color w:val="000000" w:themeColor="text1"/>
          <w:szCs w:val="24"/>
        </w:rPr>
        <w:t>ezi FN byly v</w:t>
      </w:r>
      <w:r w:rsidRPr="00B7675A">
        <w:rPr>
          <w:rFonts w:cs="Arial"/>
          <w:color w:val="000000" w:themeColor="text1"/>
          <w:szCs w:val="24"/>
        </w:rPr>
        <w:t> jednotkových nákupních</w:t>
      </w:r>
      <w:r w:rsidR="00E00ABA" w:rsidRPr="00B7675A">
        <w:rPr>
          <w:rFonts w:cs="Arial"/>
          <w:color w:val="000000" w:themeColor="text1"/>
          <w:szCs w:val="24"/>
        </w:rPr>
        <w:t xml:space="preserve"> cenách vybraného vzorku léčiv a zdravotnických prostředků </w:t>
      </w:r>
      <w:r w:rsidRPr="00B7675A">
        <w:rPr>
          <w:rFonts w:cs="Arial"/>
          <w:color w:val="000000" w:themeColor="text1"/>
          <w:szCs w:val="24"/>
        </w:rPr>
        <w:t xml:space="preserve">významné </w:t>
      </w:r>
      <w:r w:rsidR="00E00ABA" w:rsidRPr="00B7675A">
        <w:rPr>
          <w:rFonts w:cs="Arial"/>
          <w:color w:val="000000" w:themeColor="text1"/>
          <w:szCs w:val="24"/>
        </w:rPr>
        <w:t>cenové rozdíly</w:t>
      </w:r>
      <w:r w:rsidRPr="00B7675A">
        <w:rPr>
          <w:rFonts w:cs="Arial"/>
          <w:color w:val="000000" w:themeColor="text1"/>
          <w:szCs w:val="24"/>
        </w:rPr>
        <w:t xml:space="preserve">, často i </w:t>
      </w:r>
      <w:r w:rsidR="006C6CA6" w:rsidRPr="00B7675A">
        <w:rPr>
          <w:rFonts w:cs="Arial"/>
          <w:color w:val="000000" w:themeColor="text1"/>
          <w:szCs w:val="24"/>
        </w:rPr>
        <w:t xml:space="preserve">u </w:t>
      </w:r>
      <w:r w:rsidR="008A7B3C" w:rsidRPr="00B7675A">
        <w:rPr>
          <w:rFonts w:cs="Arial"/>
          <w:color w:val="000000" w:themeColor="text1"/>
          <w:szCs w:val="24"/>
        </w:rPr>
        <w:t xml:space="preserve">nákupů </w:t>
      </w:r>
      <w:r w:rsidRPr="00B7675A">
        <w:rPr>
          <w:rFonts w:cs="Arial"/>
          <w:color w:val="000000" w:themeColor="text1"/>
          <w:szCs w:val="24"/>
        </w:rPr>
        <w:t>od stejných dodavatelů</w:t>
      </w:r>
      <w:r w:rsidR="00E00ABA" w:rsidRPr="00B7675A">
        <w:rPr>
          <w:rFonts w:cs="Arial"/>
          <w:color w:val="000000" w:themeColor="text1"/>
          <w:szCs w:val="24"/>
        </w:rPr>
        <w:t xml:space="preserve">. </w:t>
      </w:r>
      <w:r w:rsidR="00E11420" w:rsidRPr="00B7675A">
        <w:rPr>
          <w:rFonts w:cs="Arial"/>
          <w:color w:val="000000" w:themeColor="text1"/>
          <w:szCs w:val="24"/>
        </w:rPr>
        <w:t xml:space="preserve">Rozdílné ceny </w:t>
      </w:r>
      <w:r w:rsidR="00EE259B" w:rsidRPr="00B7675A">
        <w:rPr>
          <w:rFonts w:cs="Arial"/>
          <w:color w:val="000000" w:themeColor="text1"/>
          <w:szCs w:val="24"/>
        </w:rPr>
        <w:t>byly ovlivněny zejména slevami</w:t>
      </w:r>
      <w:r w:rsidR="00E11420" w:rsidRPr="00B7675A">
        <w:rPr>
          <w:rFonts w:cs="Arial"/>
          <w:color w:val="000000" w:themeColor="text1"/>
          <w:szCs w:val="24"/>
        </w:rPr>
        <w:t xml:space="preserve"> dodavatelů, </w:t>
      </w:r>
      <w:r w:rsidR="00EE259B" w:rsidRPr="00B7675A">
        <w:rPr>
          <w:rFonts w:cs="Arial"/>
          <w:color w:val="000000" w:themeColor="text1"/>
          <w:szCs w:val="24"/>
        </w:rPr>
        <w:t>existencí</w:t>
      </w:r>
      <w:r w:rsidR="007D1401" w:rsidRPr="00B7675A">
        <w:rPr>
          <w:rFonts w:cs="Arial"/>
          <w:color w:val="000000" w:themeColor="text1"/>
          <w:szCs w:val="24"/>
        </w:rPr>
        <w:t xml:space="preserve"> jediného</w:t>
      </w:r>
      <w:r w:rsidR="00E11420" w:rsidRPr="00B7675A">
        <w:rPr>
          <w:rFonts w:cs="Arial"/>
          <w:color w:val="000000" w:themeColor="text1"/>
          <w:szCs w:val="24"/>
        </w:rPr>
        <w:t xml:space="preserve"> výrobce, výpadky smluvního dodavatele, pořizování</w:t>
      </w:r>
      <w:r w:rsidR="00EE259B" w:rsidRPr="00B7675A">
        <w:rPr>
          <w:rFonts w:cs="Arial"/>
          <w:color w:val="000000" w:themeColor="text1"/>
          <w:szCs w:val="24"/>
        </w:rPr>
        <w:t xml:space="preserve">m bez zadávacího řízení, přímou distribucí jediným dodavatelem, </w:t>
      </w:r>
      <w:r w:rsidR="00EE259B" w:rsidRPr="00B7675A">
        <w:rPr>
          <w:rFonts w:cs="Arial"/>
          <w:color w:val="000000" w:themeColor="text1"/>
          <w:szCs w:val="24"/>
        </w:rPr>
        <w:lastRenderedPageBreak/>
        <w:t>změnami</w:t>
      </w:r>
      <w:r w:rsidR="00E11420" w:rsidRPr="00B7675A">
        <w:rPr>
          <w:rFonts w:cs="Arial"/>
          <w:color w:val="000000" w:themeColor="text1"/>
          <w:szCs w:val="24"/>
        </w:rPr>
        <w:t xml:space="preserve"> úhrad, zavedení</w:t>
      </w:r>
      <w:r w:rsidR="00EE259B" w:rsidRPr="00B7675A">
        <w:rPr>
          <w:rFonts w:cs="Arial"/>
          <w:color w:val="000000" w:themeColor="text1"/>
          <w:szCs w:val="24"/>
        </w:rPr>
        <w:t>m</w:t>
      </w:r>
      <w:r w:rsidR="00E11420" w:rsidRPr="00B7675A">
        <w:rPr>
          <w:rFonts w:cs="Arial"/>
          <w:color w:val="000000" w:themeColor="text1"/>
          <w:szCs w:val="24"/>
        </w:rPr>
        <w:t xml:space="preserve"> </w:t>
      </w:r>
      <w:proofErr w:type="spellStart"/>
      <w:r w:rsidR="00EE259B" w:rsidRPr="00B7675A">
        <w:rPr>
          <w:rFonts w:cs="Arial"/>
          <w:color w:val="000000" w:themeColor="text1"/>
          <w:szCs w:val="24"/>
        </w:rPr>
        <w:t>generika</w:t>
      </w:r>
      <w:proofErr w:type="spellEnd"/>
      <w:r w:rsidR="009C04F3" w:rsidRPr="00B7675A">
        <w:rPr>
          <w:rStyle w:val="Znakapoznpodarou"/>
          <w:rFonts w:cs="Arial"/>
          <w:color w:val="000000" w:themeColor="text1"/>
          <w:szCs w:val="24"/>
        </w:rPr>
        <w:footnoteReference w:id="9"/>
      </w:r>
      <w:r w:rsidR="00E11420" w:rsidRPr="00B7675A">
        <w:rPr>
          <w:rFonts w:cs="Arial"/>
          <w:color w:val="000000" w:themeColor="text1"/>
          <w:szCs w:val="24"/>
        </w:rPr>
        <w:t xml:space="preserve"> na trh. </w:t>
      </w:r>
      <w:r w:rsidR="00F81886" w:rsidRPr="00F81886">
        <w:rPr>
          <w:rFonts w:cs="Arial"/>
          <w:b/>
          <w:color w:val="000000" w:themeColor="text1"/>
          <w:szCs w:val="24"/>
        </w:rPr>
        <w:t>Ve značných cenových rozdílech léčiv</w:t>
      </w:r>
      <w:r w:rsidR="00F81886">
        <w:rPr>
          <w:rFonts w:cs="Arial"/>
          <w:color w:val="000000" w:themeColor="text1"/>
          <w:szCs w:val="24"/>
        </w:rPr>
        <w:t xml:space="preserve"> </w:t>
      </w:r>
      <w:r w:rsidR="00932597">
        <w:rPr>
          <w:rFonts w:cs="Arial"/>
          <w:b/>
          <w:color w:val="000000" w:themeColor="text1"/>
          <w:szCs w:val="24"/>
        </w:rPr>
        <w:t>a </w:t>
      </w:r>
      <w:r w:rsidR="00F81886" w:rsidRPr="00F81886">
        <w:rPr>
          <w:rFonts w:cs="Arial"/>
          <w:b/>
          <w:color w:val="000000" w:themeColor="text1"/>
          <w:szCs w:val="24"/>
        </w:rPr>
        <w:t>zdravotnických prostředků</w:t>
      </w:r>
      <w:r w:rsidR="00F81886">
        <w:rPr>
          <w:rFonts w:cs="Arial"/>
          <w:color w:val="000000" w:themeColor="text1"/>
          <w:szCs w:val="24"/>
        </w:rPr>
        <w:t xml:space="preserve"> </w:t>
      </w:r>
      <w:r w:rsidR="00F81886" w:rsidRPr="002D0662">
        <w:rPr>
          <w:rFonts w:cs="Arial"/>
          <w:b/>
          <w:color w:val="000000" w:themeColor="text1"/>
          <w:szCs w:val="24"/>
        </w:rPr>
        <w:t>NKÚ spatřuje prostor pro snižování nákladů</w:t>
      </w:r>
      <w:r w:rsidR="00F81886">
        <w:rPr>
          <w:rFonts w:cs="Arial"/>
          <w:b/>
          <w:color w:val="000000" w:themeColor="text1"/>
          <w:szCs w:val="24"/>
        </w:rPr>
        <w:t>.</w:t>
      </w:r>
      <w:r w:rsidR="004C3B13">
        <w:rPr>
          <w:rFonts w:cs="Arial"/>
          <w:b/>
          <w:color w:val="000000" w:themeColor="text1"/>
          <w:szCs w:val="24"/>
        </w:rPr>
        <w:t xml:space="preserve"> </w:t>
      </w:r>
      <w:r w:rsidR="000F6DA8" w:rsidRPr="00CB766C">
        <w:rPr>
          <w:rFonts w:cs="Arial"/>
          <w:color w:val="000000" w:themeColor="text1"/>
          <w:szCs w:val="24"/>
        </w:rPr>
        <w:t>(</w:t>
      </w:r>
      <w:r w:rsidR="003F494D" w:rsidRPr="00CB766C">
        <w:rPr>
          <w:rFonts w:cs="Arial"/>
        </w:rPr>
        <w:t>Podrobně</w:t>
      </w:r>
      <w:r w:rsidR="004C58FE" w:rsidRPr="00CB766C">
        <w:rPr>
          <w:rFonts w:cs="Arial"/>
        </w:rPr>
        <w:t xml:space="preserve"> </w:t>
      </w:r>
      <w:r w:rsidR="00694FD2">
        <w:rPr>
          <w:rFonts w:cs="Arial"/>
        </w:rPr>
        <w:t xml:space="preserve">viz </w:t>
      </w:r>
      <w:r w:rsidR="004C58FE" w:rsidRPr="00CB766C">
        <w:rPr>
          <w:rFonts w:cs="Arial"/>
        </w:rPr>
        <w:t>část IV.</w:t>
      </w:r>
      <w:r w:rsidR="000F6DA8" w:rsidRPr="00CB766C">
        <w:rPr>
          <w:rFonts w:cs="Arial"/>
        </w:rPr>
        <w:t xml:space="preserve"> bod</w:t>
      </w:r>
      <w:r w:rsidR="00E11420" w:rsidRPr="00CB766C">
        <w:rPr>
          <w:rFonts w:cs="Arial"/>
        </w:rPr>
        <w:t>y</w:t>
      </w:r>
      <w:r w:rsidR="000F6DA8" w:rsidRPr="00CB766C">
        <w:rPr>
          <w:rFonts w:cs="Arial"/>
        </w:rPr>
        <w:t xml:space="preserve"> </w:t>
      </w:r>
      <w:r w:rsidR="00CB766C" w:rsidRPr="00CB766C">
        <w:rPr>
          <w:rFonts w:cs="Arial"/>
        </w:rPr>
        <w:t>1.2</w:t>
      </w:r>
      <w:r w:rsidR="00E11420" w:rsidRPr="00CB766C">
        <w:rPr>
          <w:rFonts w:cs="Arial"/>
        </w:rPr>
        <w:t xml:space="preserve"> a </w:t>
      </w:r>
      <w:r w:rsidR="00CB766C" w:rsidRPr="00CB766C">
        <w:rPr>
          <w:rFonts w:cs="Arial"/>
          <w:color w:val="000000" w:themeColor="text1"/>
          <w:szCs w:val="24"/>
        </w:rPr>
        <w:t>1.6</w:t>
      </w:r>
      <w:r w:rsidR="000F6DA8" w:rsidRPr="00CB766C">
        <w:rPr>
          <w:rFonts w:cs="Arial"/>
        </w:rPr>
        <w:t xml:space="preserve"> tohoto kontrolního závěru</w:t>
      </w:r>
      <w:r w:rsidR="003F494D" w:rsidRPr="00CB766C">
        <w:rPr>
          <w:rFonts w:cs="Arial"/>
        </w:rPr>
        <w:t>.</w:t>
      </w:r>
      <w:r w:rsidR="000F6DA8" w:rsidRPr="00CB766C">
        <w:rPr>
          <w:rFonts w:cs="Arial"/>
          <w:color w:val="000000" w:themeColor="text1"/>
          <w:szCs w:val="24"/>
        </w:rPr>
        <w:t>)</w:t>
      </w:r>
    </w:p>
    <w:p w14:paraId="7148F0D8" w14:textId="5FCC0999" w:rsidR="00CF51CB" w:rsidRDefault="001D6B20" w:rsidP="00876EE8">
      <w:pPr>
        <w:autoSpaceDE w:val="0"/>
        <w:autoSpaceDN w:val="0"/>
        <w:adjustRightInd w:val="0"/>
        <w:spacing w:before="120"/>
        <w:rPr>
          <w:rFonts w:cs="Arial"/>
          <w:color w:val="000000" w:themeColor="text1"/>
          <w:szCs w:val="24"/>
        </w:rPr>
      </w:pPr>
      <w:r w:rsidRPr="00340C92">
        <w:rPr>
          <w:rFonts w:cs="Arial"/>
          <w:color w:val="000000" w:themeColor="text1"/>
          <w:szCs w:val="24"/>
        </w:rPr>
        <w:t xml:space="preserve">FN při </w:t>
      </w:r>
      <w:r w:rsidR="00FE2BE7" w:rsidRPr="00340C92">
        <w:rPr>
          <w:rFonts w:cs="Arial"/>
          <w:color w:val="000000" w:themeColor="text1"/>
          <w:szCs w:val="24"/>
        </w:rPr>
        <w:t xml:space="preserve">pořizování léčiv a </w:t>
      </w:r>
      <w:proofErr w:type="spellStart"/>
      <w:r w:rsidR="00FE2BE7" w:rsidRPr="00340C92">
        <w:rPr>
          <w:rFonts w:cs="Arial"/>
          <w:color w:val="000000" w:themeColor="text1"/>
          <w:szCs w:val="24"/>
        </w:rPr>
        <w:t>ZPr</w:t>
      </w:r>
      <w:proofErr w:type="spellEnd"/>
      <w:r w:rsidR="00FE2BE7" w:rsidRPr="00340C92">
        <w:rPr>
          <w:rFonts w:cs="Arial"/>
          <w:color w:val="000000" w:themeColor="text1"/>
          <w:szCs w:val="24"/>
        </w:rPr>
        <w:t xml:space="preserve"> získávaly</w:t>
      </w:r>
      <w:r w:rsidRPr="00340C92">
        <w:rPr>
          <w:rFonts w:cs="Arial"/>
          <w:color w:val="000000" w:themeColor="text1"/>
          <w:szCs w:val="24"/>
        </w:rPr>
        <w:t xml:space="preserve"> od dodavatelů bonusy. </w:t>
      </w:r>
      <w:r w:rsidR="00524D9F" w:rsidRPr="00340C92">
        <w:rPr>
          <w:rFonts w:cs="Arial"/>
          <w:color w:val="000000" w:themeColor="text1"/>
          <w:szCs w:val="24"/>
        </w:rPr>
        <w:t>Objem přijatých bonusů se</w:t>
      </w:r>
      <w:r w:rsidR="005160E9">
        <w:rPr>
          <w:rFonts w:cs="Arial"/>
          <w:color w:val="000000" w:themeColor="text1"/>
          <w:szCs w:val="24"/>
        </w:rPr>
        <w:t xml:space="preserve"> </w:t>
      </w:r>
      <w:r w:rsidR="00524D9F" w:rsidRPr="00340C92">
        <w:rPr>
          <w:rFonts w:cs="Arial"/>
          <w:color w:val="000000" w:themeColor="text1"/>
          <w:szCs w:val="24"/>
        </w:rPr>
        <w:t>u</w:t>
      </w:r>
      <w:r w:rsidR="00C40AE5">
        <w:rPr>
          <w:rFonts w:cs="Arial"/>
          <w:color w:val="000000" w:themeColor="text1"/>
          <w:szCs w:val="24"/>
        </w:rPr>
        <w:t> </w:t>
      </w:r>
      <w:r w:rsidR="00524D9F" w:rsidRPr="00340C92">
        <w:rPr>
          <w:rFonts w:cs="Arial"/>
          <w:color w:val="000000" w:themeColor="text1"/>
          <w:szCs w:val="24"/>
        </w:rPr>
        <w:t xml:space="preserve">jednotlivých FN </w:t>
      </w:r>
      <w:r w:rsidR="009E7839" w:rsidRPr="00340C92">
        <w:rPr>
          <w:rFonts w:cs="Arial"/>
          <w:color w:val="000000" w:themeColor="text1"/>
          <w:szCs w:val="24"/>
        </w:rPr>
        <w:t>v období let 2014 až 2016 lišil</w:t>
      </w:r>
      <w:r w:rsidR="00524D9F" w:rsidRPr="00340C92">
        <w:rPr>
          <w:rFonts w:cs="Arial"/>
          <w:color w:val="000000" w:themeColor="text1"/>
          <w:szCs w:val="24"/>
        </w:rPr>
        <w:t>, stejně tak jako jejich podíl na souvisejících nákladech. Tento podíl se pohyb</w:t>
      </w:r>
      <w:r w:rsidR="009D14F4">
        <w:rPr>
          <w:rFonts w:cs="Arial"/>
          <w:color w:val="000000" w:themeColor="text1"/>
          <w:szCs w:val="24"/>
        </w:rPr>
        <w:t>oval od 0 % do 5,68 % u bonusů z</w:t>
      </w:r>
      <w:r w:rsidR="00524D9F" w:rsidRPr="00340C92">
        <w:rPr>
          <w:rFonts w:cs="Arial"/>
          <w:color w:val="000000" w:themeColor="text1"/>
          <w:szCs w:val="24"/>
        </w:rPr>
        <w:t xml:space="preserve">a </w:t>
      </w:r>
      <w:r w:rsidR="000A2806">
        <w:rPr>
          <w:rFonts w:cs="Arial"/>
          <w:color w:val="000000" w:themeColor="text1"/>
          <w:szCs w:val="24"/>
        </w:rPr>
        <w:t>léčiva</w:t>
      </w:r>
      <w:r w:rsidR="00524D9F" w:rsidRPr="00340C92">
        <w:rPr>
          <w:rFonts w:cs="Arial"/>
          <w:color w:val="000000" w:themeColor="text1"/>
          <w:szCs w:val="24"/>
        </w:rPr>
        <w:t xml:space="preserve"> a od 0,08</w:t>
      </w:r>
      <w:r w:rsidR="00A35731" w:rsidRPr="00340C92">
        <w:rPr>
          <w:rFonts w:cs="Arial"/>
          <w:color w:val="000000" w:themeColor="text1"/>
          <w:szCs w:val="24"/>
        </w:rPr>
        <w:t> </w:t>
      </w:r>
      <w:r w:rsidR="009D14F4">
        <w:rPr>
          <w:rFonts w:cs="Arial"/>
          <w:color w:val="000000" w:themeColor="text1"/>
          <w:szCs w:val="24"/>
        </w:rPr>
        <w:t>% do 18,96</w:t>
      </w:r>
      <w:r w:rsidR="002815AE">
        <w:rPr>
          <w:rFonts w:cs="Arial"/>
          <w:color w:val="000000" w:themeColor="text1"/>
          <w:szCs w:val="24"/>
        </w:rPr>
        <w:t> </w:t>
      </w:r>
      <w:r w:rsidR="009D14F4">
        <w:rPr>
          <w:rFonts w:cs="Arial"/>
          <w:color w:val="000000" w:themeColor="text1"/>
          <w:szCs w:val="24"/>
        </w:rPr>
        <w:t>% u bonusů z</w:t>
      </w:r>
      <w:r w:rsidR="00524D9F" w:rsidRPr="00340C92">
        <w:rPr>
          <w:rFonts w:cs="Arial"/>
          <w:color w:val="000000" w:themeColor="text1"/>
          <w:szCs w:val="24"/>
        </w:rPr>
        <w:t xml:space="preserve">a zdravotnické prostředky. </w:t>
      </w:r>
      <w:r w:rsidR="009E7839" w:rsidRPr="00340C92">
        <w:rPr>
          <w:rFonts w:cs="Arial"/>
          <w:color w:val="000000" w:themeColor="text1"/>
          <w:szCs w:val="24"/>
        </w:rPr>
        <w:t xml:space="preserve">Např. v roce 2016 bonusy za </w:t>
      </w:r>
      <w:r w:rsidR="000A2806">
        <w:rPr>
          <w:rFonts w:cs="Arial"/>
          <w:color w:val="000000" w:themeColor="text1"/>
          <w:szCs w:val="24"/>
        </w:rPr>
        <w:t>léčiva</w:t>
      </w:r>
      <w:r w:rsidR="001713B0">
        <w:rPr>
          <w:rFonts w:cs="Arial"/>
          <w:color w:val="000000" w:themeColor="text1"/>
          <w:szCs w:val="24"/>
        </w:rPr>
        <w:t xml:space="preserve"> a </w:t>
      </w:r>
      <w:r w:rsidR="009E7839" w:rsidRPr="00340C92">
        <w:rPr>
          <w:rFonts w:cs="Arial"/>
          <w:color w:val="000000" w:themeColor="text1"/>
          <w:szCs w:val="24"/>
        </w:rPr>
        <w:t xml:space="preserve">zdravotnické prostředky u FNB byly ve výši 225, 5 mil. Kč, u FNM ve výši 79,3 mil. Kč a u ÚVN ve výši 12,4 mil. Kč. </w:t>
      </w:r>
      <w:r w:rsidR="006C6CA6" w:rsidRPr="00340C92">
        <w:rPr>
          <w:rFonts w:cs="Arial"/>
          <w:b/>
          <w:color w:val="000000" w:themeColor="text1"/>
          <w:szCs w:val="24"/>
        </w:rPr>
        <w:t xml:space="preserve">Systém bonusů ve zdravotnictví </w:t>
      </w:r>
      <w:r w:rsidR="00931249">
        <w:rPr>
          <w:rFonts w:cs="Arial"/>
          <w:b/>
          <w:color w:val="000000" w:themeColor="text1"/>
          <w:szCs w:val="24"/>
        </w:rPr>
        <w:t>neměl</w:t>
      </w:r>
      <w:r w:rsidR="006C6CA6" w:rsidRPr="00340C92">
        <w:rPr>
          <w:rFonts w:cs="Arial"/>
          <w:b/>
          <w:color w:val="000000" w:themeColor="text1"/>
          <w:szCs w:val="24"/>
        </w:rPr>
        <w:t xml:space="preserve"> při pořizování léčiv a</w:t>
      </w:r>
      <w:r w:rsidR="00C40AE5">
        <w:rPr>
          <w:rFonts w:cs="Arial"/>
          <w:b/>
          <w:color w:val="000000" w:themeColor="text1"/>
          <w:szCs w:val="24"/>
        </w:rPr>
        <w:t> </w:t>
      </w:r>
      <w:r w:rsidR="00483A99" w:rsidRPr="00340C92">
        <w:rPr>
          <w:rFonts w:cs="Arial"/>
          <w:b/>
          <w:color w:val="000000" w:themeColor="text1"/>
          <w:szCs w:val="24"/>
        </w:rPr>
        <w:t>zdravotnických prostředků jasně</w:t>
      </w:r>
      <w:r w:rsidR="006C6CA6" w:rsidRPr="00340C92">
        <w:rPr>
          <w:rFonts w:cs="Arial"/>
          <w:b/>
          <w:color w:val="000000" w:themeColor="text1"/>
          <w:szCs w:val="24"/>
        </w:rPr>
        <w:t xml:space="preserve"> stanovená pravidla</w:t>
      </w:r>
      <w:r w:rsidR="00B33667">
        <w:rPr>
          <w:rFonts w:cs="Arial"/>
          <w:b/>
          <w:color w:val="000000" w:themeColor="text1"/>
          <w:szCs w:val="24"/>
        </w:rPr>
        <w:t>.</w:t>
      </w:r>
      <w:r w:rsidRPr="00340C92">
        <w:rPr>
          <w:rFonts w:cs="Arial"/>
          <w:color w:val="000000" w:themeColor="text1"/>
          <w:szCs w:val="24"/>
        </w:rPr>
        <w:t xml:space="preserve"> </w:t>
      </w:r>
      <w:r w:rsidR="00A7142D" w:rsidRPr="00A7142D">
        <w:rPr>
          <w:rFonts w:cs="Arial"/>
          <w:b/>
          <w:color w:val="000000" w:themeColor="text1"/>
          <w:szCs w:val="24"/>
        </w:rPr>
        <w:t>Kontrolou bylo zjištěno, že pojem bonus není právními předpisy definován a vychází z podmínek konkrétního smluvního vztahu mezi FN a dodavatelem. FN při sjednávání bonusů a použití příjmů z bo</w:t>
      </w:r>
      <w:r w:rsidR="0029445C">
        <w:rPr>
          <w:rFonts w:cs="Arial"/>
          <w:b/>
          <w:color w:val="000000" w:themeColor="text1"/>
          <w:szCs w:val="24"/>
        </w:rPr>
        <w:t>nusů nepostupovaly jednotně. FN</w:t>
      </w:r>
      <w:r w:rsidR="00A7142D" w:rsidRPr="00A7142D">
        <w:rPr>
          <w:rFonts w:cs="Arial"/>
          <w:b/>
          <w:color w:val="000000" w:themeColor="text1"/>
          <w:szCs w:val="24"/>
        </w:rPr>
        <w:t xml:space="preserve"> </w:t>
      </w:r>
      <w:r w:rsidR="0029445C">
        <w:rPr>
          <w:rFonts w:cs="Arial"/>
          <w:b/>
          <w:color w:val="000000" w:themeColor="text1"/>
          <w:szCs w:val="24"/>
        </w:rPr>
        <w:t>u</w:t>
      </w:r>
      <w:r w:rsidR="00A7142D" w:rsidRPr="00A7142D">
        <w:rPr>
          <w:rFonts w:cs="Arial"/>
          <w:b/>
          <w:color w:val="000000" w:themeColor="text1"/>
          <w:szCs w:val="24"/>
        </w:rPr>
        <w:t xml:space="preserve">zavíraly smlouvy na bonusy zpravidla odděleně od hlavního závazkového vztahu na dodávky. FN s odkazem na obchodní tajemství nezveřejnily smlouvy na bonusy v registru smluv včetně hodnoty sjednaných bonusů. Proces nakládání s bonusy ve FN proto z těchto důvodů vykazuje netransparentní znaky. </w:t>
      </w:r>
      <w:r w:rsidR="00AA7F15" w:rsidRPr="00340C92">
        <w:rPr>
          <w:rFonts w:cs="Arial"/>
          <w:color w:val="000000" w:themeColor="text1"/>
          <w:szCs w:val="24"/>
        </w:rPr>
        <w:t>(</w:t>
      </w:r>
      <w:r w:rsidR="003F494D" w:rsidRPr="00CB766C">
        <w:rPr>
          <w:rFonts w:cs="Arial"/>
        </w:rPr>
        <w:t>Podrobně</w:t>
      </w:r>
      <w:r w:rsidR="00DE6CB3" w:rsidRPr="00CB766C">
        <w:rPr>
          <w:rFonts w:cs="Arial"/>
        </w:rPr>
        <w:t xml:space="preserve"> </w:t>
      </w:r>
      <w:r w:rsidR="00694FD2">
        <w:rPr>
          <w:rFonts w:cs="Arial"/>
        </w:rPr>
        <w:t xml:space="preserve">viz </w:t>
      </w:r>
      <w:r w:rsidR="00DE6CB3" w:rsidRPr="00CB766C">
        <w:rPr>
          <w:rFonts w:cs="Arial"/>
        </w:rPr>
        <w:t>část</w:t>
      </w:r>
      <w:r w:rsidR="004C58FE" w:rsidRPr="00CB766C">
        <w:rPr>
          <w:rFonts w:cs="Arial"/>
        </w:rPr>
        <w:t xml:space="preserve"> IV.</w:t>
      </w:r>
      <w:r w:rsidR="00DE6CB3" w:rsidRPr="00CB766C">
        <w:rPr>
          <w:rFonts w:cs="Arial"/>
        </w:rPr>
        <w:t xml:space="preserve"> body </w:t>
      </w:r>
      <w:r w:rsidR="00AA7F15" w:rsidRPr="00CB766C">
        <w:rPr>
          <w:rFonts w:cs="Arial"/>
          <w:color w:val="000000" w:themeColor="text1"/>
          <w:szCs w:val="24"/>
        </w:rPr>
        <w:t>1.</w:t>
      </w:r>
      <w:r w:rsidR="0058137F">
        <w:rPr>
          <w:rFonts w:cs="Arial"/>
          <w:color w:val="000000" w:themeColor="text1"/>
          <w:szCs w:val="24"/>
        </w:rPr>
        <w:t>3 a </w:t>
      </w:r>
      <w:r w:rsidR="00CB766C" w:rsidRPr="00CB766C">
        <w:rPr>
          <w:rFonts w:cs="Arial"/>
          <w:color w:val="000000" w:themeColor="text1"/>
          <w:szCs w:val="24"/>
        </w:rPr>
        <w:t>1.7</w:t>
      </w:r>
      <w:r w:rsidR="00DE6CB3" w:rsidRPr="00CB766C">
        <w:rPr>
          <w:rFonts w:cs="Arial"/>
          <w:color w:val="000000" w:themeColor="text1"/>
          <w:szCs w:val="24"/>
        </w:rPr>
        <w:t xml:space="preserve"> </w:t>
      </w:r>
      <w:r w:rsidR="00DE6CB3" w:rsidRPr="00CB766C">
        <w:rPr>
          <w:rFonts w:cs="Arial"/>
        </w:rPr>
        <w:t>tohoto kontrolního závěru</w:t>
      </w:r>
      <w:r w:rsidR="003F494D" w:rsidRPr="00CB766C">
        <w:rPr>
          <w:rFonts w:cs="Arial"/>
        </w:rPr>
        <w:t>.</w:t>
      </w:r>
      <w:r w:rsidR="00AA7F15" w:rsidRPr="00CB766C">
        <w:rPr>
          <w:rFonts w:cs="Arial"/>
          <w:color w:val="000000" w:themeColor="text1"/>
          <w:szCs w:val="24"/>
        </w:rPr>
        <w:t>)</w:t>
      </w:r>
    </w:p>
    <w:p w14:paraId="2ACD1B23" w14:textId="4E0F699F" w:rsidR="007D1CB6" w:rsidRPr="002C48ED" w:rsidRDefault="007D1CB6" w:rsidP="004C3B13">
      <w:pPr>
        <w:autoSpaceDE w:val="0"/>
        <w:autoSpaceDN w:val="0"/>
        <w:adjustRightInd w:val="0"/>
        <w:spacing w:before="240" w:after="120"/>
        <w:rPr>
          <w:rFonts w:cs="Arial"/>
          <w:b/>
          <w:color w:val="000000" w:themeColor="text1"/>
          <w:szCs w:val="24"/>
        </w:rPr>
      </w:pPr>
      <w:r w:rsidRPr="002C48ED">
        <w:rPr>
          <w:rFonts w:cs="Arial"/>
          <w:b/>
          <w:color w:val="000000" w:themeColor="text1"/>
          <w:szCs w:val="24"/>
        </w:rPr>
        <w:t>Porušení rozpočtové kázně</w:t>
      </w:r>
    </w:p>
    <w:p w14:paraId="35D18051" w14:textId="3DD8EC7A" w:rsidR="00BB365D" w:rsidRDefault="00BB365D" w:rsidP="00BB365D">
      <w:pPr>
        <w:pStyle w:val="Odstavecseseznamem"/>
        <w:spacing w:before="120"/>
        <w:ind w:left="0"/>
        <w:rPr>
          <w:rFonts w:cstheme="minorHAnsi"/>
          <w:noProof/>
          <w:color w:val="000000" w:themeColor="text1"/>
          <w:szCs w:val="28"/>
        </w:rPr>
      </w:pPr>
      <w:r w:rsidRPr="00B7675A">
        <w:rPr>
          <w:rFonts w:cstheme="minorHAnsi"/>
          <w:b/>
          <w:noProof/>
          <w:color w:val="000000" w:themeColor="text1"/>
          <w:szCs w:val="28"/>
        </w:rPr>
        <w:t>NKÚ při kontrole pořizování zdravotnických prostředků a služeb na likvidaci odpadu zjistil, že FNB porušila rozpočtovou kázeň</w:t>
      </w:r>
      <w:r w:rsidRPr="00B7675A">
        <w:rPr>
          <w:rStyle w:val="Znakapoznpodarou"/>
          <w:rFonts w:cstheme="minorHAnsi"/>
          <w:b/>
          <w:noProof/>
          <w:color w:val="000000" w:themeColor="text1"/>
          <w:szCs w:val="28"/>
        </w:rPr>
        <w:footnoteReference w:id="10"/>
      </w:r>
      <w:r w:rsidR="00944EB3" w:rsidRPr="00B7675A">
        <w:rPr>
          <w:rFonts w:cstheme="minorHAnsi"/>
          <w:b/>
          <w:noProof/>
          <w:color w:val="000000" w:themeColor="text1"/>
          <w:szCs w:val="28"/>
        </w:rPr>
        <w:t xml:space="preserve"> </w:t>
      </w:r>
      <w:r w:rsidRPr="00B7675A">
        <w:rPr>
          <w:rFonts w:cstheme="minorHAnsi"/>
          <w:b/>
          <w:noProof/>
          <w:color w:val="000000" w:themeColor="text1"/>
          <w:szCs w:val="28"/>
        </w:rPr>
        <w:t>tím</w:t>
      </w:r>
      <w:r w:rsidR="00C62474" w:rsidRPr="00B7675A">
        <w:rPr>
          <w:rFonts w:cstheme="minorHAnsi"/>
          <w:b/>
          <w:noProof/>
          <w:color w:val="000000" w:themeColor="text1"/>
          <w:szCs w:val="28"/>
        </w:rPr>
        <w:t>,</w:t>
      </w:r>
      <w:r w:rsidRPr="00B7675A">
        <w:rPr>
          <w:rFonts w:cstheme="minorHAnsi"/>
          <w:b/>
          <w:noProof/>
          <w:color w:val="000000" w:themeColor="text1"/>
          <w:szCs w:val="28"/>
        </w:rPr>
        <w:t xml:space="preserve"> že neoprávněně použila peněžní prostředky</w:t>
      </w:r>
      <w:r>
        <w:rPr>
          <w:rFonts w:cstheme="minorHAnsi"/>
          <w:noProof/>
          <w:color w:val="000000" w:themeColor="text1"/>
          <w:szCs w:val="28"/>
        </w:rPr>
        <w:t xml:space="preserve"> </w:t>
      </w:r>
      <w:r w:rsidRPr="00B7675A">
        <w:rPr>
          <w:rFonts w:cstheme="minorHAnsi"/>
          <w:b/>
          <w:noProof/>
          <w:color w:val="000000" w:themeColor="text1"/>
          <w:szCs w:val="28"/>
        </w:rPr>
        <w:t>nejméně ve výši</w:t>
      </w:r>
      <w:r w:rsidRPr="00E60983">
        <w:rPr>
          <w:rFonts w:cstheme="minorHAnsi"/>
          <w:b/>
          <w:noProof/>
          <w:color w:val="000000" w:themeColor="text1"/>
          <w:szCs w:val="28"/>
        </w:rPr>
        <w:t>:</w:t>
      </w:r>
    </w:p>
    <w:p w14:paraId="4134849C" w14:textId="1390023F" w:rsidR="00BB365D" w:rsidRDefault="002D15F4" w:rsidP="00876EE8">
      <w:pPr>
        <w:pStyle w:val="Odstavecseseznamem"/>
        <w:numPr>
          <w:ilvl w:val="0"/>
          <w:numId w:val="29"/>
        </w:numPr>
        <w:ind w:left="284" w:hanging="284"/>
        <w:rPr>
          <w:rFonts w:cstheme="minorHAnsi"/>
          <w:noProof/>
          <w:color w:val="000000" w:themeColor="text1"/>
          <w:szCs w:val="28"/>
        </w:rPr>
      </w:pPr>
      <w:r>
        <w:rPr>
          <w:rFonts w:cstheme="minorHAnsi"/>
          <w:noProof/>
          <w:color w:val="000000" w:themeColor="text1"/>
          <w:szCs w:val="28"/>
        </w:rPr>
        <w:t>8 214 984 Kč včetně DPH při</w:t>
      </w:r>
      <w:r w:rsidR="00BB365D">
        <w:rPr>
          <w:rFonts w:cstheme="minorHAnsi"/>
          <w:noProof/>
          <w:color w:val="000000" w:themeColor="text1"/>
          <w:szCs w:val="28"/>
        </w:rPr>
        <w:t xml:space="preserve"> </w:t>
      </w:r>
      <w:r>
        <w:rPr>
          <w:rFonts w:cstheme="minorHAnsi"/>
          <w:noProof/>
          <w:color w:val="000000" w:themeColor="text1"/>
          <w:szCs w:val="28"/>
        </w:rPr>
        <w:t>zadávacím</w:t>
      </w:r>
      <w:r w:rsidR="00BB365D">
        <w:rPr>
          <w:rFonts w:cstheme="minorHAnsi"/>
          <w:noProof/>
          <w:color w:val="000000" w:themeColor="text1"/>
          <w:szCs w:val="28"/>
        </w:rPr>
        <w:t xml:space="preserve"> řízení na nadlimitní veřejnou zakázku na dodavatele služeb likvidace odpadů</w:t>
      </w:r>
      <w:r w:rsidR="00694FD2">
        <w:rPr>
          <w:rFonts w:cstheme="minorHAnsi"/>
          <w:noProof/>
          <w:color w:val="000000" w:themeColor="text1"/>
          <w:szCs w:val="28"/>
        </w:rPr>
        <w:t>, neboť</w:t>
      </w:r>
      <w:r>
        <w:rPr>
          <w:rFonts w:cstheme="minorHAnsi"/>
          <w:noProof/>
          <w:color w:val="000000" w:themeColor="text1"/>
          <w:szCs w:val="28"/>
        </w:rPr>
        <w:t xml:space="preserve"> </w:t>
      </w:r>
      <w:r w:rsidR="00BB365D">
        <w:rPr>
          <w:rFonts w:cstheme="minorHAnsi"/>
          <w:noProof/>
          <w:color w:val="000000" w:themeColor="text1"/>
          <w:szCs w:val="28"/>
        </w:rPr>
        <w:t>FNB nedod</w:t>
      </w:r>
      <w:r w:rsidR="00AF7520">
        <w:rPr>
          <w:rFonts w:cstheme="minorHAnsi"/>
          <w:noProof/>
          <w:color w:val="000000" w:themeColor="text1"/>
          <w:szCs w:val="28"/>
        </w:rPr>
        <w:t>ržela zásadu transparentnosti a </w:t>
      </w:r>
      <w:r w:rsidR="00BB365D">
        <w:rPr>
          <w:rFonts w:cstheme="minorHAnsi"/>
          <w:noProof/>
          <w:color w:val="000000" w:themeColor="text1"/>
          <w:szCs w:val="28"/>
        </w:rPr>
        <w:t>nepostupovala v souladu se zákonem</w:t>
      </w:r>
      <w:r w:rsidR="00BB365D">
        <w:rPr>
          <w:rStyle w:val="Znakapoznpodarou"/>
          <w:rFonts w:cstheme="minorHAnsi"/>
          <w:noProof/>
          <w:color w:val="000000" w:themeColor="text1"/>
          <w:szCs w:val="28"/>
        </w:rPr>
        <w:footnoteReference w:id="11"/>
      </w:r>
      <w:r w:rsidR="00BB365D">
        <w:rPr>
          <w:rFonts w:cstheme="minorHAnsi"/>
          <w:noProof/>
          <w:color w:val="000000" w:themeColor="text1"/>
          <w:szCs w:val="28"/>
        </w:rPr>
        <w:t xml:space="preserve">; </w:t>
      </w:r>
    </w:p>
    <w:p w14:paraId="455AE934" w14:textId="69ACE910" w:rsidR="00A1420B" w:rsidRPr="00810805" w:rsidRDefault="00487942" w:rsidP="00876EE8">
      <w:pPr>
        <w:pStyle w:val="Odstavecseseznamem"/>
        <w:numPr>
          <w:ilvl w:val="0"/>
          <w:numId w:val="29"/>
        </w:numPr>
        <w:ind w:left="284" w:hanging="284"/>
        <w:rPr>
          <w:rFonts w:cstheme="minorHAnsi"/>
          <w:noProof/>
          <w:color w:val="000000" w:themeColor="text1"/>
          <w:szCs w:val="28"/>
        </w:rPr>
      </w:pPr>
      <w:r>
        <w:rPr>
          <w:rFonts w:cstheme="minorHAnsi"/>
          <w:noProof/>
          <w:color w:val="000000" w:themeColor="text1"/>
          <w:szCs w:val="28"/>
        </w:rPr>
        <w:t>4 598 344,85 Kč včetně DPH tím</w:t>
      </w:r>
      <w:r w:rsidR="005C3828">
        <w:rPr>
          <w:rFonts w:cstheme="minorHAnsi"/>
          <w:noProof/>
          <w:color w:val="000000" w:themeColor="text1"/>
          <w:szCs w:val="28"/>
        </w:rPr>
        <w:t>,</w:t>
      </w:r>
      <w:r>
        <w:rPr>
          <w:rFonts w:cstheme="minorHAnsi"/>
          <w:noProof/>
          <w:color w:val="000000" w:themeColor="text1"/>
          <w:szCs w:val="28"/>
        </w:rPr>
        <w:t xml:space="preserve"> že neprovedla zadávací řízení dle zákona</w:t>
      </w:r>
      <w:r>
        <w:rPr>
          <w:rStyle w:val="Znakapoznpodarou"/>
          <w:rFonts w:cstheme="minorHAnsi"/>
          <w:noProof/>
          <w:color w:val="000000" w:themeColor="text1"/>
          <w:szCs w:val="28"/>
        </w:rPr>
        <w:footnoteReference w:id="12"/>
      </w:r>
      <w:r>
        <w:rPr>
          <w:rFonts w:cstheme="minorHAnsi"/>
          <w:noProof/>
          <w:color w:val="000000" w:themeColor="text1"/>
          <w:szCs w:val="28"/>
        </w:rPr>
        <w:t xml:space="preserve"> </w:t>
      </w:r>
      <w:r w:rsidR="00AF7520">
        <w:rPr>
          <w:rFonts w:cstheme="minorHAnsi"/>
          <w:noProof/>
          <w:color w:val="000000" w:themeColor="text1"/>
          <w:szCs w:val="28"/>
        </w:rPr>
        <w:t>u </w:t>
      </w:r>
      <w:r w:rsidR="00BB365D">
        <w:rPr>
          <w:rFonts w:cstheme="minorHAnsi"/>
          <w:noProof/>
          <w:color w:val="000000" w:themeColor="text1"/>
          <w:szCs w:val="28"/>
        </w:rPr>
        <w:t>nadlimitní veřejné zakázky na dodávky specializovaného zdravotnického materiálu</w:t>
      </w:r>
      <w:r>
        <w:rPr>
          <w:rFonts w:cstheme="minorHAnsi"/>
          <w:noProof/>
          <w:color w:val="000000" w:themeColor="text1"/>
          <w:szCs w:val="28"/>
        </w:rPr>
        <w:t xml:space="preserve">. </w:t>
      </w:r>
      <w:r w:rsidR="006D0E50" w:rsidRPr="005C6279">
        <w:rPr>
          <w:rFonts w:cs="Arial"/>
          <w:color w:val="000000" w:themeColor="text1"/>
          <w:szCs w:val="24"/>
        </w:rPr>
        <w:t>(</w:t>
      </w:r>
      <w:r w:rsidR="003F494D" w:rsidRPr="005C6279">
        <w:rPr>
          <w:rFonts w:cs="Arial"/>
        </w:rPr>
        <w:t>Podrobně</w:t>
      </w:r>
      <w:r w:rsidR="004C58FE" w:rsidRPr="005C6279">
        <w:rPr>
          <w:rFonts w:cs="Arial"/>
        </w:rPr>
        <w:t xml:space="preserve"> </w:t>
      </w:r>
      <w:r w:rsidR="00694FD2">
        <w:rPr>
          <w:rFonts w:cs="Arial"/>
        </w:rPr>
        <w:t xml:space="preserve">viz </w:t>
      </w:r>
      <w:r w:rsidR="004C58FE" w:rsidRPr="005C6279">
        <w:rPr>
          <w:rFonts w:cs="Arial"/>
        </w:rPr>
        <w:t>část IV.</w:t>
      </w:r>
      <w:r w:rsidR="006D0E50" w:rsidRPr="005C6279">
        <w:rPr>
          <w:rFonts w:cs="Arial"/>
        </w:rPr>
        <w:t xml:space="preserve"> body </w:t>
      </w:r>
      <w:r w:rsidR="005C6279" w:rsidRPr="005C6279">
        <w:rPr>
          <w:rFonts w:cs="Arial"/>
          <w:color w:val="000000" w:themeColor="text1"/>
          <w:szCs w:val="24"/>
        </w:rPr>
        <w:t>1.5 a 1.4</w:t>
      </w:r>
      <w:r w:rsidR="006D0E50" w:rsidRPr="005C6279">
        <w:rPr>
          <w:rFonts w:cs="Arial"/>
          <w:color w:val="000000" w:themeColor="text1"/>
          <w:szCs w:val="24"/>
        </w:rPr>
        <w:t xml:space="preserve"> </w:t>
      </w:r>
      <w:r w:rsidR="006D0E50" w:rsidRPr="005C6279">
        <w:rPr>
          <w:rFonts w:cs="Arial"/>
        </w:rPr>
        <w:t>tohoto kontrolního závěru</w:t>
      </w:r>
      <w:r w:rsidR="003F494D" w:rsidRPr="005C6279">
        <w:rPr>
          <w:rFonts w:cs="Arial"/>
        </w:rPr>
        <w:t>.</w:t>
      </w:r>
      <w:r w:rsidR="006D0E50" w:rsidRPr="005C6279">
        <w:rPr>
          <w:rFonts w:cs="Arial"/>
          <w:color w:val="000000" w:themeColor="text1"/>
          <w:szCs w:val="24"/>
        </w:rPr>
        <w:t>)</w:t>
      </w:r>
    </w:p>
    <w:p w14:paraId="733C9A70" w14:textId="672F7707" w:rsidR="008A7B3C" w:rsidRPr="002C48ED" w:rsidRDefault="00877B7A" w:rsidP="004C3B13">
      <w:pPr>
        <w:autoSpaceDE w:val="0"/>
        <w:autoSpaceDN w:val="0"/>
        <w:adjustRightInd w:val="0"/>
        <w:spacing w:before="240" w:after="120"/>
        <w:rPr>
          <w:rFonts w:cs="Arial"/>
          <w:b/>
          <w:color w:val="000000" w:themeColor="text1"/>
          <w:szCs w:val="24"/>
        </w:rPr>
      </w:pPr>
      <w:r w:rsidRPr="002C48ED">
        <w:rPr>
          <w:rFonts w:cs="Arial"/>
          <w:b/>
          <w:color w:val="000000" w:themeColor="text1"/>
          <w:szCs w:val="24"/>
        </w:rPr>
        <w:t>Nehospodárné využití majetku</w:t>
      </w:r>
    </w:p>
    <w:p w14:paraId="464959B3" w14:textId="29760133" w:rsidR="00B608E7" w:rsidRDefault="008A7B3C" w:rsidP="002C48ED">
      <w:pPr>
        <w:pStyle w:val="Odstavecseseznamem"/>
        <w:spacing w:before="120"/>
        <w:ind w:left="0"/>
        <w:rPr>
          <w:rFonts w:cstheme="minorHAnsi"/>
          <w:noProof/>
          <w:color w:val="000000" w:themeColor="text1"/>
          <w:szCs w:val="28"/>
        </w:rPr>
      </w:pPr>
      <w:r w:rsidRPr="006D0E50">
        <w:rPr>
          <w:rFonts w:cstheme="minorHAnsi"/>
          <w:noProof/>
          <w:color w:val="000000" w:themeColor="text1"/>
          <w:szCs w:val="28"/>
        </w:rPr>
        <w:t>NKÚ při kontrole právních služeb zjistil, že ÚVN nehospodárně využila majetek</w:t>
      </w:r>
      <w:r w:rsidRPr="00FE2CF1">
        <w:rPr>
          <w:rStyle w:val="Znakapoznpodarou"/>
          <w:rFonts w:cstheme="minorHAnsi"/>
          <w:noProof/>
          <w:color w:val="000000" w:themeColor="text1"/>
          <w:szCs w:val="28"/>
        </w:rPr>
        <w:footnoteReference w:id="13"/>
      </w:r>
      <w:r w:rsidR="00FE2CF1" w:rsidRPr="00FE2CF1">
        <w:rPr>
          <w:rFonts w:cstheme="minorHAnsi"/>
          <w:noProof/>
          <w:color w:val="000000" w:themeColor="text1"/>
          <w:szCs w:val="28"/>
        </w:rPr>
        <w:t xml:space="preserve"> </w:t>
      </w:r>
      <w:r w:rsidRPr="00FE2CF1">
        <w:rPr>
          <w:rFonts w:cstheme="minorHAnsi"/>
          <w:noProof/>
          <w:color w:val="000000" w:themeColor="text1"/>
          <w:szCs w:val="28"/>
        </w:rPr>
        <w:t>tím</w:t>
      </w:r>
      <w:r w:rsidR="009A7EAB" w:rsidRPr="00FE2CF1">
        <w:rPr>
          <w:rFonts w:cstheme="minorHAnsi"/>
          <w:noProof/>
          <w:color w:val="000000" w:themeColor="text1"/>
          <w:szCs w:val="28"/>
        </w:rPr>
        <w:t>,</w:t>
      </w:r>
      <w:r w:rsidR="005C3828">
        <w:rPr>
          <w:rFonts w:cstheme="minorHAnsi"/>
          <w:noProof/>
          <w:color w:val="000000" w:themeColor="text1"/>
          <w:szCs w:val="28"/>
        </w:rPr>
        <w:t xml:space="preserve"> </w:t>
      </w:r>
      <w:r w:rsidRPr="006D0E50">
        <w:rPr>
          <w:rFonts w:cstheme="minorHAnsi"/>
          <w:noProof/>
          <w:color w:val="000000" w:themeColor="text1"/>
          <w:szCs w:val="28"/>
        </w:rPr>
        <w:t xml:space="preserve">že </w:t>
      </w:r>
      <w:r w:rsidR="00877B7A" w:rsidRPr="006D0E50">
        <w:rPr>
          <w:rFonts w:cs="Calibri"/>
          <w:bCs/>
          <w:iCs/>
        </w:rPr>
        <w:t xml:space="preserve">průkazným způsobem nedoložila </w:t>
      </w:r>
      <w:r w:rsidR="006D0E50" w:rsidRPr="006D0E50">
        <w:rPr>
          <w:rFonts w:cs="Calibri"/>
          <w:bCs/>
          <w:iCs/>
        </w:rPr>
        <w:t>podklady k patnácti</w:t>
      </w:r>
      <w:r w:rsidR="005C3828">
        <w:rPr>
          <w:rFonts w:cs="Calibri"/>
          <w:bCs/>
          <w:iCs/>
        </w:rPr>
        <w:t xml:space="preserve"> </w:t>
      </w:r>
      <w:r w:rsidR="006D0E50" w:rsidRPr="006D0E50">
        <w:rPr>
          <w:rFonts w:cs="Calibri"/>
          <w:bCs/>
          <w:iCs/>
        </w:rPr>
        <w:t>fakturám za</w:t>
      </w:r>
      <w:r w:rsidR="00877B7A" w:rsidRPr="006D0E50">
        <w:rPr>
          <w:rFonts w:cs="Calibri"/>
          <w:bCs/>
          <w:iCs/>
        </w:rPr>
        <w:t xml:space="preserve"> poskytnut</w:t>
      </w:r>
      <w:r w:rsidR="006D0E50" w:rsidRPr="006D0E50">
        <w:rPr>
          <w:rFonts w:cs="Calibri"/>
          <w:bCs/>
          <w:iCs/>
        </w:rPr>
        <w:t>é</w:t>
      </w:r>
      <w:r w:rsidR="00877B7A" w:rsidRPr="006D0E50">
        <w:rPr>
          <w:rFonts w:cs="Calibri"/>
          <w:bCs/>
          <w:iCs/>
        </w:rPr>
        <w:t xml:space="preserve"> právní konzultac</w:t>
      </w:r>
      <w:r w:rsidR="006D0E50" w:rsidRPr="006D0E50">
        <w:rPr>
          <w:rFonts w:cs="Calibri"/>
          <w:bCs/>
          <w:iCs/>
        </w:rPr>
        <w:t>e</w:t>
      </w:r>
      <w:r w:rsidR="00877B7A" w:rsidRPr="006D0E50">
        <w:rPr>
          <w:rFonts w:cs="Calibri"/>
          <w:bCs/>
          <w:iCs/>
        </w:rPr>
        <w:t xml:space="preserve"> </w:t>
      </w:r>
      <w:r w:rsidRPr="006D0E50">
        <w:rPr>
          <w:rFonts w:cstheme="minorHAnsi"/>
          <w:noProof/>
          <w:color w:val="000000" w:themeColor="text1"/>
          <w:szCs w:val="28"/>
        </w:rPr>
        <w:t>ve výši:</w:t>
      </w:r>
    </w:p>
    <w:p w14:paraId="44B4783D" w14:textId="6B0C3652" w:rsidR="008A7B3C" w:rsidRPr="00F56F53" w:rsidRDefault="00877B7A" w:rsidP="00876EE8">
      <w:pPr>
        <w:pStyle w:val="Odstavecseseznamem"/>
        <w:numPr>
          <w:ilvl w:val="0"/>
          <w:numId w:val="30"/>
        </w:numPr>
        <w:ind w:left="284" w:hanging="284"/>
        <w:rPr>
          <w:rFonts w:cstheme="minorHAnsi"/>
          <w:noProof/>
          <w:color w:val="000000" w:themeColor="text1"/>
          <w:szCs w:val="28"/>
        </w:rPr>
      </w:pPr>
      <w:r w:rsidRPr="00F56F53">
        <w:rPr>
          <w:rFonts w:cstheme="minorHAnsi"/>
          <w:noProof/>
          <w:color w:val="000000" w:themeColor="text1"/>
          <w:szCs w:val="28"/>
        </w:rPr>
        <w:t>819 315,20 Kč vč. DPH za rok 2015;</w:t>
      </w:r>
    </w:p>
    <w:p w14:paraId="2EBC1E1B" w14:textId="77777777" w:rsidR="008F53D1" w:rsidRDefault="006D0E50" w:rsidP="00876EE8">
      <w:pPr>
        <w:pStyle w:val="Odstavecseseznamem"/>
        <w:numPr>
          <w:ilvl w:val="0"/>
          <w:numId w:val="30"/>
        </w:numPr>
        <w:ind w:left="284" w:hanging="284"/>
        <w:rPr>
          <w:rFonts w:cstheme="minorHAnsi"/>
          <w:noProof/>
          <w:color w:val="000000" w:themeColor="text1"/>
          <w:szCs w:val="28"/>
        </w:rPr>
      </w:pPr>
      <w:r w:rsidRPr="00F56F53">
        <w:rPr>
          <w:rFonts w:cstheme="minorHAnsi"/>
          <w:noProof/>
          <w:color w:val="000000" w:themeColor="text1"/>
          <w:szCs w:val="28"/>
        </w:rPr>
        <w:t>236 869,60</w:t>
      </w:r>
      <w:r w:rsidR="00877B7A" w:rsidRPr="00F56F53">
        <w:rPr>
          <w:rFonts w:cstheme="minorHAnsi"/>
          <w:noProof/>
          <w:color w:val="000000" w:themeColor="text1"/>
          <w:szCs w:val="28"/>
        </w:rPr>
        <w:t xml:space="preserve"> Kč vč. DPH za rok 2016.</w:t>
      </w:r>
    </w:p>
    <w:p w14:paraId="54021D49" w14:textId="771D8388" w:rsidR="008A7B3C" w:rsidRPr="008F53D1" w:rsidRDefault="00694FD2" w:rsidP="009F4E3E">
      <w:pPr>
        <w:rPr>
          <w:rFonts w:cstheme="minorHAnsi"/>
          <w:noProof/>
          <w:color w:val="000000" w:themeColor="text1"/>
          <w:szCs w:val="28"/>
        </w:rPr>
      </w:pPr>
      <w:r w:rsidRPr="008F53D1">
        <w:rPr>
          <w:rFonts w:cs="Arial"/>
          <w:color w:val="000000" w:themeColor="text1"/>
          <w:szCs w:val="24"/>
        </w:rPr>
        <w:t>(Podrobně</w:t>
      </w:r>
      <w:r w:rsidRPr="008F53D1">
        <w:rPr>
          <w:rFonts w:cs="Arial"/>
        </w:rPr>
        <w:t xml:space="preserve"> viz část IV. bod </w:t>
      </w:r>
      <w:r w:rsidRPr="008F53D1">
        <w:rPr>
          <w:rFonts w:cs="Arial"/>
          <w:color w:val="000000" w:themeColor="text1"/>
          <w:szCs w:val="24"/>
        </w:rPr>
        <w:t xml:space="preserve">1.10 </w:t>
      </w:r>
      <w:r w:rsidRPr="008F53D1">
        <w:rPr>
          <w:rFonts w:cs="Arial"/>
        </w:rPr>
        <w:t>tohoto kontrolního závěru.</w:t>
      </w:r>
      <w:r w:rsidRPr="00095886">
        <w:rPr>
          <w:rFonts w:cs="Arial"/>
          <w:color w:val="000000" w:themeColor="text1"/>
          <w:szCs w:val="24"/>
        </w:rPr>
        <w:t>)</w:t>
      </w:r>
    </w:p>
    <w:p w14:paraId="424BAC12" w14:textId="51EAE4FC" w:rsidR="004B3940" w:rsidRPr="00876EE8" w:rsidRDefault="004B3940" w:rsidP="005C3828">
      <w:pPr>
        <w:keepNext/>
        <w:spacing w:before="120"/>
        <w:rPr>
          <w:rFonts w:cs="Arial"/>
          <w:b/>
          <w:color w:val="000000" w:themeColor="text1"/>
          <w:szCs w:val="24"/>
        </w:rPr>
      </w:pPr>
      <w:r w:rsidRPr="00876EE8">
        <w:rPr>
          <w:rFonts w:cs="Arial"/>
          <w:b/>
          <w:color w:val="000000" w:themeColor="text1"/>
          <w:szCs w:val="24"/>
        </w:rPr>
        <w:lastRenderedPageBreak/>
        <w:t>NKÚ při kontrole zřizovatelů zjistil:</w:t>
      </w:r>
    </w:p>
    <w:p w14:paraId="1CAB4CD5" w14:textId="61BFB567" w:rsidR="00B7675A" w:rsidRDefault="00783607" w:rsidP="00876EE8">
      <w:pPr>
        <w:spacing w:before="120"/>
        <w:rPr>
          <w:rFonts w:cs="Arial"/>
          <w:b/>
          <w:color w:val="000000" w:themeColor="text1"/>
          <w:szCs w:val="24"/>
        </w:rPr>
      </w:pPr>
      <w:r w:rsidRPr="00D8684F">
        <w:rPr>
          <w:rFonts w:cs="Arial"/>
          <w:b/>
          <w:color w:val="000000" w:themeColor="text1"/>
          <w:szCs w:val="24"/>
        </w:rPr>
        <w:t>MZ na rozdíl od MO nemělo zpracovanou koncepci rozvoje a řešení zásadních otázek pro poskytovatele zdravotních služeb</w:t>
      </w:r>
      <w:r w:rsidR="00671827">
        <w:rPr>
          <w:rFonts w:cs="Arial"/>
          <w:b/>
          <w:color w:val="000000" w:themeColor="text1"/>
          <w:szCs w:val="24"/>
        </w:rPr>
        <w:t xml:space="preserve"> v přímé řídící působnosti</w:t>
      </w:r>
      <w:r w:rsidR="00D8684F">
        <w:rPr>
          <w:rStyle w:val="Znakapoznpodarou"/>
          <w:rFonts w:cs="Arial"/>
          <w:b/>
          <w:color w:val="000000" w:themeColor="text1"/>
          <w:szCs w:val="24"/>
        </w:rPr>
        <w:footnoteReference w:id="14"/>
      </w:r>
      <w:r w:rsidRPr="00D8684F">
        <w:rPr>
          <w:rFonts w:cs="Arial"/>
          <w:b/>
          <w:color w:val="000000" w:themeColor="text1"/>
          <w:szCs w:val="24"/>
        </w:rPr>
        <w:t xml:space="preserve">. </w:t>
      </w:r>
    </w:p>
    <w:p w14:paraId="10673385" w14:textId="5591BA66" w:rsidR="00B7675A" w:rsidRDefault="00E069A0" w:rsidP="00876EE8">
      <w:pPr>
        <w:spacing w:before="120"/>
        <w:rPr>
          <w:rFonts w:cstheme="minorHAnsi"/>
          <w:b/>
          <w:noProof/>
          <w:color w:val="000000" w:themeColor="text1"/>
          <w:szCs w:val="28"/>
        </w:rPr>
      </w:pPr>
      <w:r w:rsidRPr="00123291">
        <w:rPr>
          <w:rFonts w:cstheme="minorHAnsi"/>
          <w:b/>
          <w:noProof/>
          <w:color w:val="000000" w:themeColor="text1"/>
          <w:szCs w:val="28"/>
        </w:rPr>
        <w:t>MZ nepůsobilo ve funkci zřizovatele FN v souladu s</w:t>
      </w:r>
      <w:r>
        <w:rPr>
          <w:rFonts w:cstheme="minorHAnsi"/>
          <w:b/>
          <w:noProof/>
          <w:color w:val="000000" w:themeColor="text1"/>
          <w:szCs w:val="28"/>
        </w:rPr>
        <w:t>e</w:t>
      </w:r>
      <w:r w:rsidRPr="00123291">
        <w:rPr>
          <w:rFonts w:cstheme="minorHAnsi"/>
          <w:b/>
          <w:noProof/>
          <w:color w:val="000000" w:themeColor="text1"/>
          <w:szCs w:val="28"/>
        </w:rPr>
        <w:t xml:space="preserve"> </w:t>
      </w:r>
      <w:r>
        <w:rPr>
          <w:rFonts w:cstheme="minorHAnsi"/>
          <w:b/>
          <w:noProof/>
          <w:color w:val="000000" w:themeColor="text1"/>
          <w:szCs w:val="28"/>
        </w:rPr>
        <w:t>zákonem</w:t>
      </w:r>
      <w:r w:rsidRPr="00123291">
        <w:rPr>
          <w:rFonts w:cstheme="minorHAnsi"/>
          <w:b/>
          <w:noProof/>
          <w:color w:val="000000" w:themeColor="text1"/>
          <w:szCs w:val="28"/>
        </w:rPr>
        <w:t xml:space="preserve"> č. 218/2000 Sb.</w:t>
      </w:r>
      <w:r w:rsidR="002815AE" w:rsidRPr="00123291">
        <w:rPr>
          <w:rStyle w:val="Znakapoznpodarou"/>
          <w:rFonts w:cstheme="minorHAnsi"/>
          <w:b/>
          <w:noProof/>
          <w:color w:val="000000" w:themeColor="text1"/>
          <w:szCs w:val="28"/>
        </w:rPr>
        <w:footnoteReference w:id="15"/>
      </w:r>
      <w:r w:rsidRPr="00123291">
        <w:rPr>
          <w:rFonts w:cstheme="minorHAnsi"/>
          <w:b/>
          <w:noProof/>
          <w:color w:val="000000" w:themeColor="text1"/>
          <w:szCs w:val="28"/>
        </w:rPr>
        <w:t>, když</w:t>
      </w:r>
      <w:r>
        <w:rPr>
          <w:rFonts w:cstheme="minorHAnsi"/>
          <w:b/>
          <w:noProof/>
          <w:color w:val="000000" w:themeColor="text1"/>
          <w:szCs w:val="28"/>
        </w:rPr>
        <w:t xml:space="preserve"> </w:t>
      </w:r>
      <w:r w:rsidR="00F90E5C">
        <w:rPr>
          <w:rFonts w:cstheme="minorHAnsi"/>
          <w:b/>
          <w:noProof/>
          <w:color w:val="000000" w:themeColor="text1"/>
          <w:szCs w:val="28"/>
        </w:rPr>
        <w:t>v </w:t>
      </w:r>
      <w:r w:rsidRPr="00123291">
        <w:rPr>
          <w:rFonts w:cstheme="minorHAnsi"/>
          <w:b/>
          <w:noProof/>
          <w:color w:val="000000" w:themeColor="text1"/>
          <w:szCs w:val="28"/>
        </w:rPr>
        <w:t>letech 2015 a 2016 nesledovalo a nevyhodnocovalo hospodárnost, efektivnost a účelnost vynakládání výdajů u fakultních nemocnic.</w:t>
      </w:r>
      <w:r>
        <w:rPr>
          <w:rFonts w:cstheme="minorHAnsi"/>
          <w:b/>
          <w:noProof/>
          <w:color w:val="000000" w:themeColor="text1"/>
          <w:szCs w:val="28"/>
        </w:rPr>
        <w:t xml:space="preserve"> </w:t>
      </w:r>
    </w:p>
    <w:p w14:paraId="039AE07B" w14:textId="0ED0C690" w:rsidR="00783607" w:rsidRPr="00CD212C" w:rsidRDefault="00783607" w:rsidP="00876EE8">
      <w:pPr>
        <w:spacing w:before="120"/>
        <w:rPr>
          <w:rFonts w:cs="Arial"/>
          <w:color w:val="000000" w:themeColor="text1"/>
          <w:szCs w:val="24"/>
        </w:rPr>
      </w:pPr>
      <w:r w:rsidRPr="00D8684F">
        <w:rPr>
          <w:rFonts w:cs="Arial"/>
          <w:b/>
          <w:color w:val="000000" w:themeColor="text1"/>
          <w:szCs w:val="24"/>
        </w:rPr>
        <w:t xml:space="preserve">Statut ÚVN nebyl </w:t>
      </w:r>
      <w:r w:rsidR="00C40AC6" w:rsidRPr="00D8684F">
        <w:rPr>
          <w:rFonts w:cs="Arial"/>
          <w:b/>
          <w:color w:val="000000" w:themeColor="text1"/>
          <w:szCs w:val="24"/>
        </w:rPr>
        <w:t>M</w:t>
      </w:r>
      <w:r w:rsidRPr="00D8684F">
        <w:rPr>
          <w:rFonts w:cs="Arial"/>
          <w:b/>
          <w:color w:val="000000" w:themeColor="text1"/>
          <w:szCs w:val="24"/>
        </w:rPr>
        <w:t>inisterstvem obrany od 1. ledna 2</w:t>
      </w:r>
      <w:r w:rsidR="00FA609E" w:rsidRPr="00D8684F">
        <w:rPr>
          <w:rFonts w:cs="Arial"/>
          <w:b/>
          <w:color w:val="000000" w:themeColor="text1"/>
          <w:szCs w:val="24"/>
        </w:rPr>
        <w:t>016 do 19. 9. 2017 aktualizován</w:t>
      </w:r>
      <w:r w:rsidR="003F494D" w:rsidRPr="00D8684F">
        <w:rPr>
          <w:rFonts w:cs="Arial"/>
          <w:b/>
          <w:color w:val="000000" w:themeColor="text1"/>
          <w:szCs w:val="24"/>
        </w:rPr>
        <w:t>.</w:t>
      </w:r>
      <w:r w:rsidRPr="00783607">
        <w:rPr>
          <w:rFonts w:cs="Arial"/>
          <w:color w:val="000000" w:themeColor="text1"/>
          <w:szCs w:val="24"/>
        </w:rPr>
        <w:t xml:space="preserve"> </w:t>
      </w:r>
      <w:r w:rsidR="00CD212C">
        <w:rPr>
          <w:rFonts w:cs="Arial"/>
          <w:color w:val="000000" w:themeColor="text1"/>
          <w:szCs w:val="24"/>
        </w:rPr>
        <w:t>(</w:t>
      </w:r>
      <w:r w:rsidR="003F494D">
        <w:rPr>
          <w:rFonts w:cs="Arial"/>
        </w:rPr>
        <w:t>Podrobně</w:t>
      </w:r>
      <w:r w:rsidR="004C58FE">
        <w:rPr>
          <w:rFonts w:cs="Arial"/>
        </w:rPr>
        <w:t xml:space="preserve"> </w:t>
      </w:r>
      <w:r w:rsidR="00694FD2">
        <w:rPr>
          <w:rFonts w:cs="Arial"/>
        </w:rPr>
        <w:t xml:space="preserve">viz </w:t>
      </w:r>
      <w:r w:rsidR="004C58FE">
        <w:rPr>
          <w:rFonts w:cs="Arial"/>
        </w:rPr>
        <w:t>část IV.</w:t>
      </w:r>
      <w:r w:rsidR="00CD212C" w:rsidRPr="00A1420B">
        <w:rPr>
          <w:rFonts w:cs="Arial"/>
        </w:rPr>
        <w:t xml:space="preserve"> bod </w:t>
      </w:r>
      <w:r w:rsidR="00CD212C" w:rsidRPr="00783607">
        <w:rPr>
          <w:rFonts w:cs="Arial"/>
          <w:color w:val="000000" w:themeColor="text1"/>
          <w:szCs w:val="24"/>
        </w:rPr>
        <w:t>2.1</w:t>
      </w:r>
      <w:r w:rsidR="00CD212C" w:rsidRPr="00CD212C">
        <w:rPr>
          <w:rFonts w:cs="Arial"/>
        </w:rPr>
        <w:t xml:space="preserve"> </w:t>
      </w:r>
      <w:r w:rsidR="00CD212C" w:rsidRPr="00A1420B">
        <w:rPr>
          <w:rFonts w:cs="Arial"/>
        </w:rPr>
        <w:t>tohoto kontrolního závěru</w:t>
      </w:r>
      <w:r w:rsidR="003F494D">
        <w:rPr>
          <w:rFonts w:cs="Arial"/>
        </w:rPr>
        <w:t>.</w:t>
      </w:r>
      <w:r w:rsidR="00CD212C">
        <w:rPr>
          <w:rFonts w:cs="Arial"/>
        </w:rPr>
        <w:t>)</w:t>
      </w:r>
    </w:p>
    <w:p w14:paraId="14426046" w14:textId="1331D221" w:rsidR="00783607" w:rsidRPr="00661C4F" w:rsidRDefault="006D1E1D" w:rsidP="00876EE8">
      <w:pPr>
        <w:autoSpaceDE w:val="0"/>
        <w:autoSpaceDN w:val="0"/>
        <w:adjustRightInd w:val="0"/>
        <w:spacing w:before="120"/>
        <w:rPr>
          <w:rFonts w:cs="Arial"/>
          <w:color w:val="000000" w:themeColor="text1"/>
          <w:szCs w:val="24"/>
        </w:rPr>
      </w:pPr>
      <w:r w:rsidRPr="002815AE">
        <w:rPr>
          <w:rFonts w:cs="Arial"/>
          <w:b/>
          <w:color w:val="000000" w:themeColor="text1"/>
          <w:szCs w:val="24"/>
        </w:rPr>
        <w:t>NKÚ identifikoval r</w:t>
      </w:r>
      <w:r w:rsidR="00783607" w:rsidRPr="002815AE">
        <w:rPr>
          <w:rFonts w:cs="Arial"/>
          <w:b/>
          <w:color w:val="000000" w:themeColor="text1"/>
          <w:szCs w:val="24"/>
        </w:rPr>
        <w:t xml:space="preserve">iziko </w:t>
      </w:r>
      <w:r w:rsidR="009736FF" w:rsidRPr="002815AE">
        <w:rPr>
          <w:rFonts w:cs="Arial"/>
          <w:b/>
          <w:color w:val="000000" w:themeColor="text1"/>
          <w:szCs w:val="24"/>
        </w:rPr>
        <w:t>v oblasti</w:t>
      </w:r>
      <w:r w:rsidR="00A74017" w:rsidRPr="002815AE">
        <w:rPr>
          <w:rFonts w:cs="Arial"/>
          <w:b/>
          <w:color w:val="000000" w:themeColor="text1"/>
          <w:szCs w:val="24"/>
        </w:rPr>
        <w:t xml:space="preserve"> poskytování peněžních prostředků </w:t>
      </w:r>
      <w:r w:rsidR="00783607" w:rsidRPr="002815AE">
        <w:rPr>
          <w:rFonts w:cs="Arial"/>
          <w:b/>
          <w:color w:val="000000" w:themeColor="text1"/>
          <w:szCs w:val="24"/>
        </w:rPr>
        <w:t xml:space="preserve">kontrolovaným </w:t>
      </w:r>
      <w:r w:rsidR="00652D96" w:rsidRPr="002815AE">
        <w:rPr>
          <w:rFonts w:cs="Arial"/>
          <w:b/>
          <w:color w:val="000000" w:themeColor="text1"/>
          <w:szCs w:val="24"/>
        </w:rPr>
        <w:t>FN</w:t>
      </w:r>
      <w:r w:rsidR="00CE0212" w:rsidRPr="002815AE">
        <w:rPr>
          <w:rFonts w:cs="Arial"/>
          <w:b/>
          <w:color w:val="000000" w:themeColor="text1"/>
          <w:szCs w:val="24"/>
        </w:rPr>
        <w:t xml:space="preserve"> ze strany zři</w:t>
      </w:r>
      <w:r w:rsidR="00A74017" w:rsidRPr="002815AE">
        <w:rPr>
          <w:rFonts w:cs="Arial"/>
          <w:b/>
          <w:color w:val="000000" w:themeColor="text1"/>
          <w:szCs w:val="24"/>
        </w:rPr>
        <w:t>z</w:t>
      </w:r>
      <w:r w:rsidR="00CE0212" w:rsidRPr="002815AE">
        <w:rPr>
          <w:rFonts w:cs="Arial"/>
          <w:b/>
          <w:color w:val="000000" w:themeColor="text1"/>
          <w:szCs w:val="24"/>
        </w:rPr>
        <w:t>o</w:t>
      </w:r>
      <w:r w:rsidR="00A74017" w:rsidRPr="002815AE">
        <w:rPr>
          <w:rFonts w:cs="Arial"/>
          <w:b/>
          <w:color w:val="000000" w:themeColor="text1"/>
          <w:szCs w:val="24"/>
        </w:rPr>
        <w:t>vatelů</w:t>
      </w:r>
      <w:r w:rsidR="00B33410" w:rsidRPr="002815AE">
        <w:rPr>
          <w:rStyle w:val="Znakapoznpodarou"/>
          <w:rFonts w:cs="Arial"/>
          <w:b/>
          <w:color w:val="000000" w:themeColor="text1"/>
          <w:szCs w:val="24"/>
        </w:rPr>
        <w:footnoteReference w:id="16"/>
      </w:r>
      <w:r w:rsidR="00783607" w:rsidRPr="002815AE">
        <w:rPr>
          <w:rFonts w:cs="Arial"/>
          <w:b/>
          <w:color w:val="000000" w:themeColor="text1"/>
          <w:szCs w:val="24"/>
        </w:rPr>
        <w:t>.</w:t>
      </w:r>
      <w:r w:rsidR="00783607" w:rsidRPr="002815AE">
        <w:rPr>
          <w:rFonts w:cs="Arial"/>
          <w:color w:val="000000" w:themeColor="text1"/>
          <w:szCs w:val="24"/>
        </w:rPr>
        <w:t xml:space="preserve"> V průběhu roku 2016 MZ vydalo </w:t>
      </w:r>
      <w:r w:rsidR="005A4F13" w:rsidRPr="002815AE">
        <w:rPr>
          <w:rFonts w:cs="Arial"/>
          <w:color w:val="000000" w:themeColor="text1"/>
          <w:szCs w:val="24"/>
        </w:rPr>
        <w:t xml:space="preserve">ve smyslu článku 106 odst. 2 </w:t>
      </w:r>
      <w:r w:rsidR="005A4F13" w:rsidRPr="00E60983">
        <w:rPr>
          <w:rFonts w:cs="Arial"/>
          <w:i/>
          <w:color w:val="000000" w:themeColor="text1"/>
          <w:szCs w:val="24"/>
        </w:rPr>
        <w:t>Smlouvy o</w:t>
      </w:r>
      <w:r w:rsidR="00C40AE5" w:rsidRPr="00E60983">
        <w:rPr>
          <w:rFonts w:cs="Arial"/>
          <w:i/>
          <w:color w:val="000000" w:themeColor="text1"/>
          <w:szCs w:val="24"/>
        </w:rPr>
        <w:t> </w:t>
      </w:r>
      <w:r w:rsidR="005A4F13" w:rsidRPr="00E60983">
        <w:rPr>
          <w:rFonts w:cs="Arial"/>
          <w:i/>
          <w:color w:val="000000" w:themeColor="text1"/>
          <w:szCs w:val="24"/>
        </w:rPr>
        <w:t>fungování Evropské unie</w:t>
      </w:r>
      <w:r w:rsidR="005A4F13" w:rsidRPr="002815AE">
        <w:rPr>
          <w:rFonts w:cs="Arial"/>
          <w:color w:val="000000" w:themeColor="text1"/>
          <w:szCs w:val="24"/>
        </w:rPr>
        <w:t xml:space="preserve"> </w:t>
      </w:r>
      <w:r w:rsidR="00783607" w:rsidRPr="002815AE">
        <w:rPr>
          <w:rFonts w:cs="Arial"/>
          <w:color w:val="000000" w:themeColor="text1"/>
          <w:szCs w:val="24"/>
        </w:rPr>
        <w:t>pověřovací akt na služby obecného hospodářského zájmu</w:t>
      </w:r>
      <w:r w:rsidR="00783607" w:rsidRPr="002815AE">
        <w:rPr>
          <w:rStyle w:val="Znakapoznpodarou"/>
          <w:rFonts w:cs="Arial"/>
          <w:color w:val="000000" w:themeColor="text1"/>
          <w:szCs w:val="24"/>
        </w:rPr>
        <w:footnoteReference w:id="17"/>
      </w:r>
      <w:r w:rsidR="00783607" w:rsidRPr="002815AE">
        <w:rPr>
          <w:rFonts w:cs="Arial"/>
          <w:color w:val="000000" w:themeColor="text1"/>
          <w:szCs w:val="24"/>
        </w:rPr>
        <w:t xml:space="preserve"> FNB a</w:t>
      </w:r>
      <w:r w:rsidR="00C40AE5">
        <w:rPr>
          <w:rFonts w:cs="Arial"/>
          <w:color w:val="000000" w:themeColor="text1"/>
          <w:szCs w:val="24"/>
        </w:rPr>
        <w:t> </w:t>
      </w:r>
      <w:r w:rsidR="00783607" w:rsidRPr="002815AE">
        <w:rPr>
          <w:rFonts w:cs="Arial"/>
          <w:color w:val="000000" w:themeColor="text1"/>
          <w:szCs w:val="24"/>
        </w:rPr>
        <w:t xml:space="preserve">FNM pro oblast investic. </w:t>
      </w:r>
      <w:r w:rsidR="00274E8A" w:rsidRPr="002815AE">
        <w:rPr>
          <w:rFonts w:cs="Arial"/>
          <w:b/>
          <w:color w:val="000000" w:themeColor="text1"/>
          <w:szCs w:val="24"/>
        </w:rPr>
        <w:t xml:space="preserve">MO </w:t>
      </w:r>
      <w:r w:rsidR="00BB7974" w:rsidRPr="002815AE">
        <w:rPr>
          <w:rFonts w:cs="Arial"/>
          <w:b/>
          <w:color w:val="000000" w:themeColor="text1"/>
          <w:szCs w:val="24"/>
        </w:rPr>
        <w:t xml:space="preserve">žádným způsobem </w:t>
      </w:r>
      <w:r w:rsidR="005A4F13" w:rsidRPr="002815AE">
        <w:rPr>
          <w:rFonts w:cs="Arial"/>
          <w:b/>
          <w:color w:val="000000" w:themeColor="text1"/>
          <w:szCs w:val="24"/>
        </w:rPr>
        <w:t>oblast</w:t>
      </w:r>
      <w:r w:rsidR="00BB7974" w:rsidRPr="002815AE">
        <w:rPr>
          <w:rFonts w:cs="Arial"/>
          <w:b/>
          <w:color w:val="000000" w:themeColor="text1"/>
          <w:szCs w:val="24"/>
        </w:rPr>
        <w:t xml:space="preserve"> související s poskytováním</w:t>
      </w:r>
      <w:r w:rsidR="005A4F13" w:rsidRPr="002815AE">
        <w:rPr>
          <w:rFonts w:cs="Arial"/>
          <w:b/>
          <w:color w:val="000000" w:themeColor="text1"/>
          <w:szCs w:val="24"/>
        </w:rPr>
        <w:t xml:space="preserve"> peněžních prostředků neupravilo</w:t>
      </w:r>
      <w:r w:rsidR="005C6021" w:rsidRPr="002815AE">
        <w:rPr>
          <w:rFonts w:cs="Arial"/>
          <w:b/>
          <w:color w:val="000000" w:themeColor="text1"/>
          <w:szCs w:val="24"/>
        </w:rPr>
        <w:t xml:space="preserve">, přestože na </w:t>
      </w:r>
      <w:r w:rsidR="005A4F13" w:rsidRPr="002815AE">
        <w:rPr>
          <w:rFonts w:cs="Arial"/>
          <w:b/>
          <w:color w:val="000000" w:themeColor="text1"/>
          <w:szCs w:val="24"/>
        </w:rPr>
        <w:t>riziko v této</w:t>
      </w:r>
      <w:r w:rsidR="005C6021" w:rsidRPr="002815AE">
        <w:rPr>
          <w:rFonts w:cs="Arial"/>
          <w:b/>
          <w:color w:val="000000" w:themeColor="text1"/>
          <w:szCs w:val="24"/>
        </w:rPr>
        <w:t xml:space="preserve"> oblast</w:t>
      </w:r>
      <w:r w:rsidR="005A4F13" w:rsidRPr="002815AE">
        <w:rPr>
          <w:rFonts w:cs="Arial"/>
          <w:b/>
          <w:color w:val="000000" w:themeColor="text1"/>
          <w:szCs w:val="24"/>
        </w:rPr>
        <w:t>i</w:t>
      </w:r>
      <w:r w:rsidR="005C6021" w:rsidRPr="002815AE">
        <w:rPr>
          <w:rFonts w:cs="Arial"/>
          <w:b/>
          <w:color w:val="000000" w:themeColor="text1"/>
          <w:szCs w:val="24"/>
        </w:rPr>
        <w:t xml:space="preserve"> již upozornil NKÚ v rámci kontrolní akce č. 15/38</w:t>
      </w:r>
      <w:r w:rsidR="00274E8A" w:rsidRPr="002815AE">
        <w:rPr>
          <w:rFonts w:cs="Arial"/>
          <w:b/>
          <w:color w:val="000000" w:themeColor="text1"/>
          <w:szCs w:val="24"/>
        </w:rPr>
        <w:t xml:space="preserve">. </w:t>
      </w:r>
      <w:r w:rsidR="003F494D" w:rsidRPr="002815AE">
        <w:rPr>
          <w:rFonts w:cs="Arial"/>
          <w:color w:val="000000" w:themeColor="text1"/>
          <w:szCs w:val="24"/>
        </w:rPr>
        <w:t>(Podrobně</w:t>
      </w:r>
      <w:r w:rsidR="004C58FE" w:rsidRPr="002815AE">
        <w:rPr>
          <w:rFonts w:cs="Arial"/>
          <w:color w:val="000000" w:themeColor="text1"/>
          <w:szCs w:val="24"/>
        </w:rPr>
        <w:t xml:space="preserve"> </w:t>
      </w:r>
      <w:r w:rsidR="00694FD2">
        <w:rPr>
          <w:rFonts w:cs="Arial"/>
          <w:color w:val="000000" w:themeColor="text1"/>
          <w:szCs w:val="24"/>
        </w:rPr>
        <w:t xml:space="preserve">viz </w:t>
      </w:r>
      <w:r w:rsidR="004C58FE" w:rsidRPr="002815AE">
        <w:rPr>
          <w:rFonts w:cs="Arial"/>
          <w:color w:val="000000" w:themeColor="text1"/>
          <w:szCs w:val="24"/>
        </w:rPr>
        <w:t>část IV.</w:t>
      </w:r>
      <w:r w:rsidR="00FA609E" w:rsidRPr="002815AE">
        <w:rPr>
          <w:rFonts w:cs="Arial"/>
          <w:color w:val="000000" w:themeColor="text1"/>
          <w:szCs w:val="24"/>
        </w:rPr>
        <w:t xml:space="preserve"> bod 2.2 tohoto kontrolního závěru</w:t>
      </w:r>
      <w:r w:rsidR="003F494D" w:rsidRPr="002815AE">
        <w:rPr>
          <w:rFonts w:cs="Arial"/>
          <w:color w:val="000000" w:themeColor="text1"/>
          <w:szCs w:val="24"/>
        </w:rPr>
        <w:t>.</w:t>
      </w:r>
      <w:r w:rsidR="00FA609E" w:rsidRPr="002815AE">
        <w:rPr>
          <w:rFonts w:cs="Arial"/>
          <w:color w:val="000000" w:themeColor="text1"/>
          <w:szCs w:val="24"/>
        </w:rPr>
        <w:t>)</w:t>
      </w:r>
    </w:p>
    <w:p w14:paraId="1AC6D155" w14:textId="77D126B1" w:rsidR="004B3940" w:rsidRPr="00661C4F" w:rsidRDefault="00661C4F" w:rsidP="00876EE8">
      <w:pPr>
        <w:autoSpaceDE w:val="0"/>
        <w:autoSpaceDN w:val="0"/>
        <w:adjustRightInd w:val="0"/>
        <w:spacing w:before="120"/>
        <w:rPr>
          <w:rFonts w:cs="Arial"/>
          <w:color w:val="000000" w:themeColor="text1"/>
          <w:szCs w:val="24"/>
        </w:rPr>
      </w:pPr>
      <w:r w:rsidRPr="00661C4F">
        <w:rPr>
          <w:rFonts w:cs="Arial"/>
          <w:color w:val="000000" w:themeColor="text1"/>
          <w:szCs w:val="24"/>
        </w:rPr>
        <w:t>MZ na rozdíl od</w:t>
      </w:r>
      <w:r w:rsidR="003F494D">
        <w:rPr>
          <w:rFonts w:cs="Arial"/>
          <w:color w:val="000000" w:themeColor="text1"/>
          <w:szCs w:val="24"/>
        </w:rPr>
        <w:t xml:space="preserve"> </w:t>
      </w:r>
      <w:r w:rsidRPr="00661C4F">
        <w:rPr>
          <w:rFonts w:cs="Arial"/>
          <w:color w:val="000000" w:themeColor="text1"/>
          <w:szCs w:val="24"/>
        </w:rPr>
        <w:t xml:space="preserve">MO upravilo oblast bonusů pro přímo řízené organizace </w:t>
      </w:r>
      <w:r w:rsidR="00C72D7E">
        <w:rPr>
          <w:rFonts w:cs="Arial"/>
          <w:color w:val="000000" w:themeColor="text1"/>
          <w:szCs w:val="24"/>
        </w:rPr>
        <w:t>p</w:t>
      </w:r>
      <w:r w:rsidRPr="00661C4F">
        <w:rPr>
          <w:rFonts w:cs="Arial"/>
          <w:color w:val="000000" w:themeColor="text1"/>
          <w:szCs w:val="24"/>
        </w:rPr>
        <w:t>říkazem ministra č.</w:t>
      </w:r>
      <w:r w:rsidR="00C40AE5">
        <w:rPr>
          <w:rFonts w:cs="Arial"/>
          <w:color w:val="000000" w:themeColor="text1"/>
          <w:szCs w:val="24"/>
        </w:rPr>
        <w:t> </w:t>
      </w:r>
      <w:r w:rsidRPr="00661C4F">
        <w:rPr>
          <w:rFonts w:cs="Arial"/>
          <w:color w:val="000000" w:themeColor="text1"/>
          <w:szCs w:val="24"/>
        </w:rPr>
        <w:t>3/2013</w:t>
      </w:r>
      <w:r w:rsidRPr="00661C4F">
        <w:rPr>
          <w:rStyle w:val="Znakapoznpodarou"/>
          <w:rFonts w:cs="Arial"/>
          <w:color w:val="000000" w:themeColor="text1"/>
          <w:szCs w:val="24"/>
        </w:rPr>
        <w:footnoteReference w:id="18"/>
      </w:r>
      <w:r w:rsidR="00596C3C">
        <w:rPr>
          <w:rFonts w:cs="Arial"/>
          <w:color w:val="000000" w:themeColor="text1"/>
          <w:szCs w:val="24"/>
        </w:rPr>
        <w:t>, a to pouze jediným pravidlem, které se týkalo povinnosti písemné formy smlouvy na bonusy</w:t>
      </w:r>
      <w:r w:rsidR="00FA609E">
        <w:rPr>
          <w:rFonts w:cs="Arial"/>
          <w:color w:val="000000" w:themeColor="text1"/>
          <w:szCs w:val="24"/>
        </w:rPr>
        <w:t xml:space="preserve">. </w:t>
      </w:r>
      <w:r w:rsidR="00C72D7E">
        <w:rPr>
          <w:rFonts w:cs="Arial"/>
          <w:color w:val="000000" w:themeColor="text1"/>
          <w:szCs w:val="24"/>
        </w:rPr>
        <w:t>Zmíněný příkaz</w:t>
      </w:r>
      <w:r w:rsidR="00FA609E">
        <w:rPr>
          <w:rFonts w:cs="Arial"/>
          <w:color w:val="000000" w:themeColor="text1"/>
          <w:szCs w:val="24"/>
        </w:rPr>
        <w:t xml:space="preserve"> byl zrušen </w:t>
      </w:r>
      <w:r w:rsidR="00C72D7E">
        <w:rPr>
          <w:rFonts w:cs="Arial"/>
          <w:color w:val="000000" w:themeColor="text1"/>
          <w:szCs w:val="24"/>
        </w:rPr>
        <w:t>p</w:t>
      </w:r>
      <w:r w:rsidR="00FA609E">
        <w:rPr>
          <w:rFonts w:cs="Arial"/>
          <w:color w:val="000000" w:themeColor="text1"/>
          <w:szCs w:val="24"/>
        </w:rPr>
        <w:t>říkazem ministra č. 2/2017 ze dne 3. 2. 2017</w:t>
      </w:r>
      <w:r w:rsidR="003F494D">
        <w:rPr>
          <w:rFonts w:cs="Arial"/>
          <w:color w:val="000000" w:themeColor="text1"/>
          <w:szCs w:val="24"/>
        </w:rPr>
        <w:t xml:space="preserve">. </w:t>
      </w:r>
      <w:r w:rsidR="00392AE0">
        <w:rPr>
          <w:rFonts w:cs="Arial"/>
          <w:color w:val="000000" w:themeColor="text1"/>
          <w:szCs w:val="24"/>
        </w:rPr>
        <w:t xml:space="preserve">MZ aktuálně upravilo oblast bonusů </w:t>
      </w:r>
      <w:r w:rsidR="00C72D7E">
        <w:rPr>
          <w:rFonts w:cs="Arial"/>
          <w:color w:val="000000" w:themeColor="text1"/>
          <w:szCs w:val="24"/>
        </w:rPr>
        <w:t>p</w:t>
      </w:r>
      <w:r w:rsidR="00392AE0">
        <w:rPr>
          <w:rFonts w:cs="Arial"/>
          <w:color w:val="000000" w:themeColor="text1"/>
          <w:szCs w:val="24"/>
        </w:rPr>
        <w:t xml:space="preserve">říkazem ministra </w:t>
      </w:r>
      <w:r w:rsidR="00392AE0" w:rsidRPr="009350E4">
        <w:rPr>
          <w:rFonts w:cs="Arial"/>
          <w:color w:val="000000" w:themeColor="text1"/>
          <w:szCs w:val="24"/>
        </w:rPr>
        <w:t>č. 13</w:t>
      </w:r>
      <w:r w:rsidR="00392AE0">
        <w:rPr>
          <w:rFonts w:cs="Arial"/>
          <w:color w:val="000000" w:themeColor="text1"/>
          <w:szCs w:val="24"/>
        </w:rPr>
        <w:t>/2018</w:t>
      </w:r>
      <w:r w:rsidR="007843F1">
        <w:rPr>
          <w:rStyle w:val="Znakapoznpodarou"/>
          <w:rFonts w:cs="Arial"/>
          <w:color w:val="000000" w:themeColor="text1"/>
          <w:szCs w:val="24"/>
        </w:rPr>
        <w:footnoteReference w:id="19"/>
      </w:r>
      <w:r w:rsidR="00392AE0">
        <w:rPr>
          <w:rFonts w:cs="Arial"/>
          <w:color w:val="000000" w:themeColor="text1"/>
          <w:szCs w:val="24"/>
        </w:rPr>
        <w:t xml:space="preserve">, jehož vydáním, dle názoru NKÚ, reagovalo na kontrolní akci </w:t>
      </w:r>
      <w:r w:rsidR="002C512B">
        <w:rPr>
          <w:rFonts w:cs="Arial"/>
          <w:color w:val="000000" w:themeColor="text1"/>
          <w:szCs w:val="24"/>
        </w:rPr>
        <w:t xml:space="preserve">č. </w:t>
      </w:r>
      <w:r w:rsidR="00392AE0">
        <w:rPr>
          <w:rFonts w:cs="Arial"/>
          <w:color w:val="000000" w:themeColor="text1"/>
          <w:szCs w:val="24"/>
        </w:rPr>
        <w:t xml:space="preserve">16/28. </w:t>
      </w:r>
      <w:r w:rsidR="003F494D">
        <w:rPr>
          <w:rFonts w:cs="Arial"/>
          <w:color w:val="000000" w:themeColor="text1"/>
          <w:szCs w:val="24"/>
        </w:rPr>
        <w:t>(Podrobně</w:t>
      </w:r>
      <w:r w:rsidR="004C58FE">
        <w:rPr>
          <w:rFonts w:cs="Arial"/>
          <w:color w:val="000000" w:themeColor="text1"/>
          <w:szCs w:val="24"/>
        </w:rPr>
        <w:t xml:space="preserve"> </w:t>
      </w:r>
      <w:r w:rsidR="00694FD2">
        <w:rPr>
          <w:rFonts w:cs="Arial"/>
          <w:color w:val="000000" w:themeColor="text1"/>
          <w:szCs w:val="24"/>
        </w:rPr>
        <w:t xml:space="preserve">viz </w:t>
      </w:r>
      <w:r w:rsidR="004C58FE">
        <w:rPr>
          <w:rFonts w:cs="Arial"/>
          <w:color w:val="000000" w:themeColor="text1"/>
          <w:szCs w:val="24"/>
        </w:rPr>
        <w:t>část IV.</w:t>
      </w:r>
      <w:r w:rsidR="00FA609E">
        <w:rPr>
          <w:rFonts w:cs="Arial"/>
          <w:color w:val="000000" w:themeColor="text1"/>
          <w:szCs w:val="24"/>
        </w:rPr>
        <w:t xml:space="preserve"> bod </w:t>
      </w:r>
      <w:r w:rsidR="00FA609E" w:rsidRPr="00661C4F">
        <w:rPr>
          <w:rFonts w:cs="Arial"/>
          <w:color w:val="000000" w:themeColor="text1"/>
          <w:szCs w:val="24"/>
        </w:rPr>
        <w:t>2.</w:t>
      </w:r>
      <w:r w:rsidR="00FA609E">
        <w:rPr>
          <w:rFonts w:cs="Arial"/>
          <w:color w:val="000000" w:themeColor="text1"/>
          <w:szCs w:val="24"/>
        </w:rPr>
        <w:t>3 tohoto kontrolního závěru</w:t>
      </w:r>
      <w:r w:rsidR="003F494D">
        <w:rPr>
          <w:rFonts w:cs="Arial"/>
          <w:color w:val="000000" w:themeColor="text1"/>
          <w:szCs w:val="24"/>
        </w:rPr>
        <w:t>.</w:t>
      </w:r>
      <w:r w:rsidR="00FA609E">
        <w:rPr>
          <w:rFonts w:cs="Arial"/>
          <w:color w:val="000000" w:themeColor="text1"/>
          <w:szCs w:val="24"/>
        </w:rPr>
        <w:t>)</w:t>
      </w:r>
    </w:p>
    <w:p w14:paraId="39377FBD" w14:textId="278764C7" w:rsidR="0093467A" w:rsidRDefault="00BB6DC8" w:rsidP="00876EE8">
      <w:pPr>
        <w:autoSpaceDE w:val="0"/>
        <w:autoSpaceDN w:val="0"/>
        <w:adjustRightInd w:val="0"/>
        <w:spacing w:before="120"/>
        <w:rPr>
          <w:rFonts w:cs="Arial"/>
          <w:color w:val="000000" w:themeColor="text1"/>
          <w:szCs w:val="24"/>
        </w:rPr>
      </w:pPr>
      <w:r w:rsidRPr="00661C4F">
        <w:rPr>
          <w:rFonts w:cs="Arial"/>
          <w:color w:val="000000" w:themeColor="text1"/>
          <w:szCs w:val="24"/>
        </w:rPr>
        <w:t xml:space="preserve">FNB je zřizovatelem </w:t>
      </w:r>
      <w:r w:rsidR="00B7675A">
        <w:rPr>
          <w:rFonts w:cs="Arial"/>
          <w:color w:val="000000" w:themeColor="text1"/>
          <w:szCs w:val="24"/>
        </w:rPr>
        <w:t>n</w:t>
      </w:r>
      <w:r w:rsidRPr="00661C4F">
        <w:rPr>
          <w:rFonts w:cs="Arial"/>
          <w:color w:val="000000" w:themeColor="text1"/>
          <w:szCs w:val="24"/>
        </w:rPr>
        <w:t>adačního fondu</w:t>
      </w:r>
      <w:r w:rsidR="00C72D7E">
        <w:rPr>
          <w:rFonts w:cs="Arial"/>
          <w:color w:val="000000" w:themeColor="text1"/>
          <w:szCs w:val="24"/>
        </w:rPr>
        <w:t>,</w:t>
      </w:r>
      <w:r w:rsidRPr="00661C4F">
        <w:rPr>
          <w:rFonts w:cs="Arial"/>
          <w:color w:val="000000" w:themeColor="text1"/>
          <w:szCs w:val="24"/>
        </w:rPr>
        <w:t xml:space="preserve"> </w:t>
      </w:r>
      <w:r w:rsidR="00C72D7E">
        <w:rPr>
          <w:rFonts w:cs="Arial"/>
          <w:color w:val="000000" w:themeColor="text1"/>
          <w:szCs w:val="24"/>
        </w:rPr>
        <w:t xml:space="preserve">jehož </w:t>
      </w:r>
      <w:r w:rsidRPr="00661C4F">
        <w:rPr>
          <w:rFonts w:cs="Arial"/>
          <w:color w:val="000000" w:themeColor="text1"/>
          <w:szCs w:val="24"/>
        </w:rPr>
        <w:t>prostřednictvím</w:t>
      </w:r>
      <w:r w:rsidR="00C72D7E">
        <w:rPr>
          <w:rFonts w:cs="Arial"/>
          <w:color w:val="000000" w:themeColor="text1"/>
          <w:szCs w:val="24"/>
        </w:rPr>
        <w:t xml:space="preserve"> obdržela</w:t>
      </w:r>
      <w:r w:rsidRPr="00661C4F">
        <w:rPr>
          <w:rFonts w:cs="Arial"/>
          <w:color w:val="000000" w:themeColor="text1"/>
          <w:szCs w:val="24"/>
        </w:rPr>
        <w:t xml:space="preserve"> </w:t>
      </w:r>
      <w:r w:rsidR="00C72D7E">
        <w:rPr>
          <w:rFonts w:cs="Arial"/>
          <w:color w:val="000000" w:themeColor="text1"/>
          <w:szCs w:val="24"/>
        </w:rPr>
        <w:t>v </w:t>
      </w:r>
      <w:r w:rsidRPr="00661C4F">
        <w:rPr>
          <w:rFonts w:cs="Arial"/>
          <w:color w:val="000000" w:themeColor="text1"/>
          <w:szCs w:val="24"/>
        </w:rPr>
        <w:t>období let 2014 až 2016</w:t>
      </w:r>
      <w:r w:rsidR="00C72D7E" w:rsidRPr="00C72D7E">
        <w:rPr>
          <w:rFonts w:cs="Arial"/>
          <w:color w:val="000000" w:themeColor="text1"/>
          <w:szCs w:val="24"/>
        </w:rPr>
        <w:t xml:space="preserve"> </w:t>
      </w:r>
      <w:r w:rsidR="00C72D7E" w:rsidRPr="00661C4F">
        <w:rPr>
          <w:rFonts w:cs="Arial"/>
          <w:color w:val="000000" w:themeColor="text1"/>
          <w:szCs w:val="24"/>
        </w:rPr>
        <w:t>peněžní a</w:t>
      </w:r>
      <w:r w:rsidR="00C72D7E">
        <w:rPr>
          <w:rFonts w:cs="Arial"/>
          <w:color w:val="000000" w:themeColor="text1"/>
          <w:szCs w:val="24"/>
        </w:rPr>
        <w:t> </w:t>
      </w:r>
      <w:r w:rsidR="00C72D7E" w:rsidRPr="00661C4F">
        <w:rPr>
          <w:rFonts w:cs="Arial"/>
          <w:color w:val="000000" w:themeColor="text1"/>
          <w:szCs w:val="24"/>
        </w:rPr>
        <w:t>věcné dary v celkové hodnotě 2 539 tis. Kč</w:t>
      </w:r>
      <w:r w:rsidRPr="00661C4F">
        <w:rPr>
          <w:rFonts w:cs="Arial"/>
          <w:color w:val="000000" w:themeColor="text1"/>
          <w:szCs w:val="24"/>
        </w:rPr>
        <w:t xml:space="preserve">. </w:t>
      </w:r>
      <w:r w:rsidRPr="00AB5AF6">
        <w:rPr>
          <w:rFonts w:cs="Arial"/>
          <w:b/>
          <w:color w:val="000000" w:themeColor="text1"/>
          <w:szCs w:val="24"/>
        </w:rPr>
        <w:t>NKÚ identifikoval r</w:t>
      </w:r>
      <w:r w:rsidR="00EF28F7" w:rsidRPr="00AB5AF6">
        <w:rPr>
          <w:rFonts w:cs="Arial"/>
          <w:b/>
          <w:color w:val="000000" w:themeColor="text1"/>
          <w:szCs w:val="24"/>
        </w:rPr>
        <w:t xml:space="preserve">iziko netransparentního prostředí v oblasti přijímání </w:t>
      </w:r>
      <w:r w:rsidRPr="00AB5AF6">
        <w:rPr>
          <w:rFonts w:cs="Arial"/>
          <w:b/>
          <w:color w:val="000000" w:themeColor="text1"/>
          <w:szCs w:val="24"/>
        </w:rPr>
        <w:t>těchto sponzorských darů</w:t>
      </w:r>
      <w:r w:rsidR="003F494D" w:rsidRPr="00AB5AF6">
        <w:rPr>
          <w:rFonts w:cs="Arial"/>
          <w:b/>
          <w:color w:val="000000" w:themeColor="text1"/>
          <w:szCs w:val="24"/>
        </w:rPr>
        <w:t>.</w:t>
      </w:r>
      <w:r w:rsidR="00DD7500">
        <w:rPr>
          <w:rFonts w:cs="Arial"/>
          <w:color w:val="000000" w:themeColor="text1"/>
          <w:szCs w:val="24"/>
        </w:rPr>
        <w:t xml:space="preserve"> </w:t>
      </w:r>
      <w:r w:rsidR="00FA609E">
        <w:rPr>
          <w:rFonts w:cs="Arial"/>
          <w:color w:val="000000" w:themeColor="text1"/>
          <w:szCs w:val="24"/>
        </w:rPr>
        <w:t>(</w:t>
      </w:r>
      <w:r w:rsidR="003F494D">
        <w:rPr>
          <w:rFonts w:cs="Arial"/>
          <w:color w:val="000000" w:themeColor="text1"/>
          <w:szCs w:val="24"/>
        </w:rPr>
        <w:t>Podrobně</w:t>
      </w:r>
      <w:r w:rsidR="004C58FE">
        <w:rPr>
          <w:rFonts w:cs="Arial"/>
          <w:color w:val="000000" w:themeColor="text1"/>
          <w:szCs w:val="24"/>
        </w:rPr>
        <w:t xml:space="preserve"> </w:t>
      </w:r>
      <w:r w:rsidR="00694FD2">
        <w:rPr>
          <w:rFonts w:cs="Arial"/>
          <w:color w:val="000000" w:themeColor="text1"/>
          <w:szCs w:val="24"/>
        </w:rPr>
        <w:t xml:space="preserve">viz </w:t>
      </w:r>
      <w:r w:rsidR="004C58FE">
        <w:rPr>
          <w:rFonts w:cs="Arial"/>
          <w:color w:val="000000" w:themeColor="text1"/>
          <w:szCs w:val="24"/>
        </w:rPr>
        <w:t>část IV.</w:t>
      </w:r>
      <w:r w:rsidR="00FA609E">
        <w:rPr>
          <w:rFonts w:cs="Arial"/>
          <w:color w:val="000000" w:themeColor="text1"/>
          <w:szCs w:val="24"/>
        </w:rPr>
        <w:t xml:space="preserve"> bod </w:t>
      </w:r>
      <w:r w:rsidR="00FA609E" w:rsidRPr="00661C4F">
        <w:rPr>
          <w:rFonts w:cs="Arial"/>
          <w:color w:val="000000" w:themeColor="text1"/>
          <w:szCs w:val="24"/>
        </w:rPr>
        <w:t>2.</w:t>
      </w:r>
      <w:r w:rsidR="00FA609E">
        <w:rPr>
          <w:rFonts w:cs="Arial"/>
          <w:color w:val="000000" w:themeColor="text1"/>
          <w:szCs w:val="24"/>
        </w:rPr>
        <w:t>4 tohoto kontrolního závěru</w:t>
      </w:r>
      <w:r w:rsidR="003F494D">
        <w:rPr>
          <w:rFonts w:cs="Arial"/>
          <w:color w:val="000000" w:themeColor="text1"/>
          <w:szCs w:val="24"/>
        </w:rPr>
        <w:t>.)</w:t>
      </w:r>
    </w:p>
    <w:p w14:paraId="295DC988" w14:textId="5D565E7B" w:rsidR="00503609" w:rsidRDefault="00503609" w:rsidP="00876EE8">
      <w:pPr>
        <w:autoSpaceDE w:val="0"/>
        <w:autoSpaceDN w:val="0"/>
        <w:adjustRightInd w:val="0"/>
        <w:spacing w:before="120"/>
        <w:rPr>
          <w:rFonts w:cs="Arial"/>
          <w:b/>
          <w:color w:val="000000" w:themeColor="text1"/>
          <w:szCs w:val="24"/>
        </w:rPr>
      </w:pPr>
      <w:r w:rsidRPr="00503609">
        <w:rPr>
          <w:rFonts w:cs="Arial"/>
          <w:b/>
          <w:color w:val="000000" w:themeColor="text1"/>
          <w:szCs w:val="24"/>
        </w:rPr>
        <w:t>NKÚ doporučuje</w:t>
      </w:r>
      <w:r>
        <w:rPr>
          <w:rFonts w:cs="Arial"/>
          <w:b/>
          <w:color w:val="000000" w:themeColor="text1"/>
          <w:szCs w:val="24"/>
        </w:rPr>
        <w:t xml:space="preserve"> na základě zjištěných skutečností</w:t>
      </w:r>
      <w:r w:rsidRPr="00503609">
        <w:rPr>
          <w:rFonts w:cs="Arial"/>
          <w:b/>
          <w:color w:val="000000" w:themeColor="text1"/>
          <w:szCs w:val="24"/>
        </w:rPr>
        <w:t>:</w:t>
      </w:r>
    </w:p>
    <w:p w14:paraId="55737AA9" w14:textId="0E24FE76" w:rsidR="00503609" w:rsidRDefault="00B7675A" w:rsidP="00876EE8">
      <w:pPr>
        <w:pStyle w:val="Odstavecseseznamem"/>
        <w:numPr>
          <w:ilvl w:val="0"/>
          <w:numId w:val="40"/>
        </w:numPr>
        <w:autoSpaceDE w:val="0"/>
        <w:autoSpaceDN w:val="0"/>
        <w:adjustRightInd w:val="0"/>
        <w:ind w:left="284" w:hanging="284"/>
        <w:rPr>
          <w:rFonts w:cs="Arial"/>
          <w:b/>
          <w:color w:val="000000" w:themeColor="text1"/>
          <w:szCs w:val="24"/>
        </w:rPr>
      </w:pPr>
      <w:r>
        <w:rPr>
          <w:rFonts w:cs="Arial"/>
          <w:b/>
          <w:color w:val="000000" w:themeColor="text1"/>
          <w:szCs w:val="24"/>
        </w:rPr>
        <w:t xml:space="preserve">FN </w:t>
      </w:r>
      <w:r w:rsidR="00503609">
        <w:rPr>
          <w:rFonts w:cs="Arial"/>
          <w:b/>
          <w:color w:val="000000" w:themeColor="text1"/>
          <w:szCs w:val="24"/>
        </w:rPr>
        <w:t xml:space="preserve">pořizovat léčiva a zdravotnické prostředky na základě zadávacích řízení, což je </w:t>
      </w:r>
      <w:r>
        <w:rPr>
          <w:rFonts w:cs="Arial"/>
          <w:b/>
          <w:color w:val="000000" w:themeColor="text1"/>
          <w:szCs w:val="24"/>
        </w:rPr>
        <w:t xml:space="preserve">zákonná povinnost a je </w:t>
      </w:r>
      <w:r w:rsidR="00503609">
        <w:rPr>
          <w:rFonts w:cs="Arial"/>
          <w:b/>
          <w:color w:val="000000" w:themeColor="text1"/>
          <w:szCs w:val="24"/>
        </w:rPr>
        <w:t>předpokladem pro hospodárné nakládání s peněžními prostředky a transparentní výběr dodavatele;</w:t>
      </w:r>
    </w:p>
    <w:p w14:paraId="24D91079" w14:textId="54ADC187" w:rsidR="00503609" w:rsidRDefault="00B7675A" w:rsidP="00876EE8">
      <w:pPr>
        <w:pStyle w:val="Odstavecseseznamem"/>
        <w:numPr>
          <w:ilvl w:val="0"/>
          <w:numId w:val="40"/>
        </w:numPr>
        <w:autoSpaceDE w:val="0"/>
        <w:autoSpaceDN w:val="0"/>
        <w:adjustRightInd w:val="0"/>
        <w:ind w:left="284" w:hanging="284"/>
        <w:rPr>
          <w:rFonts w:cs="Arial"/>
          <w:b/>
          <w:color w:val="000000" w:themeColor="text1"/>
          <w:szCs w:val="24"/>
        </w:rPr>
      </w:pPr>
      <w:r>
        <w:rPr>
          <w:rFonts w:cs="Arial"/>
          <w:b/>
          <w:color w:val="000000" w:themeColor="text1"/>
          <w:szCs w:val="24"/>
        </w:rPr>
        <w:t xml:space="preserve">MZ a MO </w:t>
      </w:r>
      <w:r w:rsidR="002566E0">
        <w:rPr>
          <w:rFonts w:cs="Arial"/>
          <w:b/>
          <w:color w:val="000000" w:themeColor="text1"/>
          <w:szCs w:val="24"/>
        </w:rPr>
        <w:t>pro oblast zdravotnictví stanovit jednoznačně pravidla pro přijímání, vykazování a nakládání s bonusy od dodavatelů;</w:t>
      </w:r>
    </w:p>
    <w:p w14:paraId="29811EB6" w14:textId="43B063B2" w:rsidR="00C72F61" w:rsidRDefault="00B7675A" w:rsidP="00876EE8">
      <w:pPr>
        <w:pStyle w:val="Odstavecseseznamem"/>
        <w:numPr>
          <w:ilvl w:val="0"/>
          <w:numId w:val="40"/>
        </w:numPr>
        <w:autoSpaceDE w:val="0"/>
        <w:autoSpaceDN w:val="0"/>
        <w:adjustRightInd w:val="0"/>
        <w:ind w:left="284" w:hanging="284"/>
        <w:rPr>
          <w:rFonts w:cs="Arial"/>
          <w:b/>
          <w:color w:val="000000" w:themeColor="text1"/>
          <w:szCs w:val="24"/>
        </w:rPr>
      </w:pPr>
      <w:r>
        <w:rPr>
          <w:rFonts w:cs="Arial"/>
          <w:b/>
          <w:color w:val="000000" w:themeColor="text1"/>
          <w:szCs w:val="24"/>
        </w:rPr>
        <w:t xml:space="preserve">FN </w:t>
      </w:r>
      <w:r w:rsidR="002566E0">
        <w:rPr>
          <w:rFonts w:cs="Arial"/>
          <w:b/>
          <w:color w:val="000000" w:themeColor="text1"/>
          <w:szCs w:val="24"/>
        </w:rPr>
        <w:t>při zadávacích řízeních stanovit jako kritérium neje</w:t>
      </w:r>
      <w:r w:rsidR="00876EE8">
        <w:rPr>
          <w:rFonts w:cs="Arial"/>
          <w:b/>
          <w:color w:val="000000" w:themeColor="text1"/>
          <w:szCs w:val="24"/>
        </w:rPr>
        <w:t>n cenu, ale s ohledem na druh a </w:t>
      </w:r>
      <w:r w:rsidR="002566E0">
        <w:rPr>
          <w:rFonts w:cs="Arial"/>
          <w:b/>
          <w:color w:val="000000" w:themeColor="text1"/>
          <w:szCs w:val="24"/>
        </w:rPr>
        <w:t>složitost předmětu veřejné zakázky</w:t>
      </w:r>
      <w:r w:rsidR="00C31D62">
        <w:rPr>
          <w:rFonts w:cs="Arial"/>
          <w:b/>
          <w:color w:val="000000" w:themeColor="text1"/>
          <w:szCs w:val="24"/>
        </w:rPr>
        <w:t xml:space="preserve"> i případný bonus</w:t>
      </w:r>
      <w:r w:rsidR="00A53859">
        <w:rPr>
          <w:rFonts w:cs="Arial"/>
          <w:b/>
          <w:color w:val="000000" w:themeColor="text1"/>
          <w:szCs w:val="24"/>
        </w:rPr>
        <w:t>,</w:t>
      </w:r>
      <w:r w:rsidR="00C31D62">
        <w:rPr>
          <w:rFonts w:cs="Arial"/>
          <w:b/>
          <w:color w:val="000000" w:themeColor="text1"/>
          <w:szCs w:val="24"/>
        </w:rPr>
        <w:t xml:space="preserve"> má-li být poskytnut</w:t>
      </w:r>
      <w:r w:rsidR="00C72F61">
        <w:rPr>
          <w:rFonts w:cs="Arial"/>
          <w:b/>
          <w:color w:val="000000" w:themeColor="text1"/>
          <w:szCs w:val="24"/>
        </w:rPr>
        <w:t>;</w:t>
      </w:r>
    </w:p>
    <w:p w14:paraId="579FD2FB" w14:textId="1453C6F8" w:rsidR="002566E0" w:rsidRPr="00B7675A" w:rsidRDefault="00FD35E8" w:rsidP="00876EE8">
      <w:pPr>
        <w:pStyle w:val="Odstavecseseznamem"/>
        <w:numPr>
          <w:ilvl w:val="0"/>
          <w:numId w:val="40"/>
        </w:numPr>
        <w:autoSpaceDE w:val="0"/>
        <w:autoSpaceDN w:val="0"/>
        <w:adjustRightInd w:val="0"/>
        <w:ind w:left="284" w:hanging="284"/>
        <w:rPr>
          <w:rFonts w:cs="Arial"/>
          <w:b/>
          <w:color w:val="000000" w:themeColor="text1"/>
          <w:szCs w:val="24"/>
        </w:rPr>
      </w:pPr>
      <w:r>
        <w:rPr>
          <w:rFonts w:cs="Arial"/>
          <w:b/>
          <w:color w:val="000000" w:themeColor="text1"/>
          <w:szCs w:val="24"/>
        </w:rPr>
        <w:lastRenderedPageBreak/>
        <w:t>MZ se zabývat strategiemi rozvoje a vypracovat vlastní koncepci rozvoje přímo řízených organizací;</w:t>
      </w:r>
    </w:p>
    <w:p w14:paraId="77BC7F3F" w14:textId="1E7B644B" w:rsidR="006D563B" w:rsidRPr="003858C3" w:rsidRDefault="00B7675A" w:rsidP="00876EE8">
      <w:pPr>
        <w:pStyle w:val="Odstavecseseznamem"/>
        <w:numPr>
          <w:ilvl w:val="0"/>
          <w:numId w:val="40"/>
        </w:numPr>
        <w:autoSpaceDE w:val="0"/>
        <w:autoSpaceDN w:val="0"/>
        <w:adjustRightInd w:val="0"/>
        <w:ind w:left="284" w:hanging="284"/>
        <w:rPr>
          <w:rFonts w:cs="Arial"/>
          <w:b/>
          <w:color w:val="000000" w:themeColor="text1"/>
          <w:szCs w:val="24"/>
        </w:rPr>
      </w:pPr>
      <w:r w:rsidRPr="003858C3">
        <w:rPr>
          <w:rFonts w:cs="Arial"/>
          <w:b/>
          <w:color w:val="000000" w:themeColor="text1"/>
          <w:szCs w:val="24"/>
        </w:rPr>
        <w:t xml:space="preserve">MZ a FNB prověřit účelnost </w:t>
      </w:r>
      <w:r w:rsidR="00391E8A" w:rsidRPr="003858C3">
        <w:rPr>
          <w:rFonts w:cs="Arial"/>
          <w:b/>
          <w:color w:val="000000" w:themeColor="text1"/>
          <w:szCs w:val="24"/>
        </w:rPr>
        <w:t xml:space="preserve">a </w:t>
      </w:r>
      <w:r w:rsidRPr="003858C3">
        <w:rPr>
          <w:rFonts w:cs="Arial"/>
          <w:b/>
          <w:color w:val="000000" w:themeColor="text1"/>
          <w:szCs w:val="24"/>
        </w:rPr>
        <w:t xml:space="preserve">opodstatněnost </w:t>
      </w:r>
      <w:r w:rsidR="003858C3" w:rsidRPr="003858C3">
        <w:rPr>
          <w:rFonts w:cs="Arial"/>
          <w:b/>
          <w:color w:val="000000" w:themeColor="text1"/>
          <w:szCs w:val="24"/>
        </w:rPr>
        <w:t xml:space="preserve">existence </w:t>
      </w:r>
      <w:r w:rsidR="00C5642E" w:rsidRPr="003858C3">
        <w:rPr>
          <w:rFonts w:cs="Arial"/>
          <w:b/>
          <w:color w:val="000000" w:themeColor="text1"/>
          <w:szCs w:val="24"/>
        </w:rPr>
        <w:t xml:space="preserve">nadačního fondu FNB </w:t>
      </w:r>
      <w:r w:rsidRPr="003858C3">
        <w:rPr>
          <w:rFonts w:cs="Arial"/>
          <w:b/>
          <w:color w:val="000000" w:themeColor="text1"/>
          <w:szCs w:val="24"/>
        </w:rPr>
        <w:t xml:space="preserve">a </w:t>
      </w:r>
      <w:r w:rsidR="006D563B" w:rsidRPr="003858C3">
        <w:rPr>
          <w:rFonts w:cs="Arial"/>
          <w:b/>
          <w:color w:val="000000" w:themeColor="text1"/>
          <w:szCs w:val="24"/>
        </w:rPr>
        <w:t xml:space="preserve">zvážit důvody pro </w:t>
      </w:r>
      <w:r w:rsidR="00C5642E" w:rsidRPr="003858C3">
        <w:rPr>
          <w:rFonts w:cs="Arial"/>
          <w:b/>
          <w:color w:val="000000" w:themeColor="text1"/>
          <w:szCs w:val="24"/>
        </w:rPr>
        <w:t xml:space="preserve">jeho </w:t>
      </w:r>
      <w:r w:rsidR="006D563B" w:rsidRPr="003858C3">
        <w:rPr>
          <w:rFonts w:cs="Arial"/>
          <w:b/>
          <w:color w:val="000000" w:themeColor="text1"/>
          <w:szCs w:val="24"/>
        </w:rPr>
        <w:t>další existenc</w:t>
      </w:r>
      <w:r w:rsidR="00B82B1F" w:rsidRPr="003858C3">
        <w:rPr>
          <w:rFonts w:cs="Arial"/>
          <w:b/>
          <w:color w:val="000000" w:themeColor="text1"/>
          <w:szCs w:val="24"/>
        </w:rPr>
        <w:t>i;</w:t>
      </w:r>
    </w:p>
    <w:p w14:paraId="5DF53C8D" w14:textId="1E9C4A3C" w:rsidR="00B82B1F" w:rsidRPr="003858C3" w:rsidRDefault="00A90370" w:rsidP="00876EE8">
      <w:pPr>
        <w:pStyle w:val="Odstavecseseznamem"/>
        <w:numPr>
          <w:ilvl w:val="0"/>
          <w:numId w:val="40"/>
        </w:numPr>
        <w:autoSpaceDE w:val="0"/>
        <w:autoSpaceDN w:val="0"/>
        <w:adjustRightInd w:val="0"/>
        <w:ind w:left="284" w:hanging="284"/>
        <w:rPr>
          <w:rFonts w:cs="Arial"/>
          <w:b/>
          <w:color w:val="000000" w:themeColor="text1"/>
          <w:szCs w:val="24"/>
        </w:rPr>
      </w:pPr>
      <w:r w:rsidRPr="003858C3">
        <w:rPr>
          <w:rFonts w:cs="Arial"/>
          <w:b/>
          <w:color w:val="000000" w:themeColor="text1"/>
          <w:szCs w:val="24"/>
        </w:rPr>
        <w:t xml:space="preserve">MO </w:t>
      </w:r>
      <w:r w:rsidR="003858C3" w:rsidRPr="003858C3">
        <w:rPr>
          <w:rFonts w:cs="Arial"/>
          <w:b/>
          <w:color w:val="000000" w:themeColor="text1"/>
          <w:szCs w:val="24"/>
        </w:rPr>
        <w:t xml:space="preserve">zabývat se identifikovaným rizikem v oblasti </w:t>
      </w:r>
      <w:r w:rsidR="004F6D91" w:rsidRPr="003858C3">
        <w:rPr>
          <w:rFonts w:cs="Arial"/>
          <w:b/>
          <w:color w:val="000000" w:themeColor="text1"/>
          <w:szCs w:val="24"/>
        </w:rPr>
        <w:t>poskytování peněžních prostředků ÚVN</w:t>
      </w:r>
      <w:r w:rsidR="003858C3" w:rsidRPr="003858C3">
        <w:rPr>
          <w:rFonts w:cs="Arial"/>
          <w:b/>
          <w:color w:val="000000" w:themeColor="text1"/>
          <w:szCs w:val="24"/>
        </w:rPr>
        <w:t>.</w:t>
      </w:r>
    </w:p>
    <w:p w14:paraId="7A37A977" w14:textId="77777777" w:rsidR="004C3B13" w:rsidRPr="004C3B13" w:rsidRDefault="004C3B13" w:rsidP="004C3B13">
      <w:pPr>
        <w:rPr>
          <w:rFonts w:cstheme="minorHAnsi"/>
          <w:color w:val="000000" w:themeColor="text1"/>
        </w:rPr>
      </w:pPr>
    </w:p>
    <w:p w14:paraId="446D3B7B" w14:textId="77777777" w:rsidR="004C3B13" w:rsidRPr="004C3B13" w:rsidRDefault="004C3B13" w:rsidP="004C3B13">
      <w:pPr>
        <w:rPr>
          <w:rFonts w:cstheme="minorHAnsi"/>
          <w:color w:val="000000" w:themeColor="text1"/>
        </w:rPr>
      </w:pPr>
    </w:p>
    <w:p w14:paraId="79825051" w14:textId="424C001A" w:rsidR="00C10AF0" w:rsidRPr="0077471E" w:rsidRDefault="00C10AF0" w:rsidP="0077471E">
      <w:pPr>
        <w:autoSpaceDE w:val="0"/>
        <w:autoSpaceDN w:val="0"/>
        <w:adjustRightInd w:val="0"/>
        <w:spacing w:before="120"/>
        <w:ind w:left="567" w:hanging="567"/>
        <w:rPr>
          <w:rFonts w:cs="Arial"/>
          <w:color w:val="000000" w:themeColor="text1"/>
          <w:sz w:val="20"/>
        </w:rPr>
      </w:pPr>
      <w:r w:rsidRPr="0077471E">
        <w:rPr>
          <w:rFonts w:cs="Arial"/>
          <w:b/>
          <w:color w:val="000000" w:themeColor="text1"/>
          <w:sz w:val="20"/>
        </w:rPr>
        <w:t>Pozn</w:t>
      </w:r>
      <w:r w:rsidR="004C3B13">
        <w:rPr>
          <w:rFonts w:cs="Arial"/>
          <w:b/>
          <w:color w:val="000000" w:themeColor="text1"/>
          <w:sz w:val="20"/>
        </w:rPr>
        <w:t>.:</w:t>
      </w:r>
      <w:r w:rsidR="004C3B13">
        <w:rPr>
          <w:rFonts w:cs="Arial"/>
          <w:color w:val="000000" w:themeColor="text1"/>
          <w:sz w:val="20"/>
        </w:rPr>
        <w:t xml:space="preserve"> </w:t>
      </w:r>
      <w:r w:rsidRPr="0077471E">
        <w:rPr>
          <w:rFonts w:cs="Arial"/>
          <w:color w:val="000000" w:themeColor="text1"/>
          <w:sz w:val="20"/>
        </w:rPr>
        <w:t>Právní předpisy jsou v tomto kontrolním závěru aplikovány ve znění účinném pro kontrolované období.</w:t>
      </w:r>
    </w:p>
    <w:p w14:paraId="5FA6E893" w14:textId="62D4D45A" w:rsidR="0077471E" w:rsidRDefault="0077471E" w:rsidP="0077471E">
      <w:pPr>
        <w:rPr>
          <w:rFonts w:cstheme="minorHAnsi"/>
          <w:color w:val="000000" w:themeColor="text1"/>
        </w:rPr>
      </w:pPr>
    </w:p>
    <w:p w14:paraId="19E37643" w14:textId="77777777" w:rsidR="0077471E" w:rsidRPr="0077471E" w:rsidRDefault="0077471E" w:rsidP="0077471E">
      <w:pPr>
        <w:rPr>
          <w:rFonts w:cstheme="minorHAnsi"/>
          <w:color w:val="000000" w:themeColor="text1"/>
        </w:rPr>
      </w:pPr>
    </w:p>
    <w:p w14:paraId="4EDD53E5" w14:textId="7EB8901B" w:rsidR="009221B7" w:rsidRPr="0077471E" w:rsidRDefault="0077471E" w:rsidP="008A1604">
      <w:pPr>
        <w:pStyle w:val="Nadpis1"/>
        <w:jc w:val="center"/>
        <w:rPr>
          <w:u w:val="none"/>
        </w:rPr>
      </w:pPr>
      <w:r>
        <w:rPr>
          <w:u w:val="none"/>
        </w:rPr>
        <w:t xml:space="preserve">II. </w:t>
      </w:r>
      <w:r w:rsidR="009221B7" w:rsidRPr="0077471E">
        <w:rPr>
          <w:u w:val="none"/>
        </w:rPr>
        <w:t>Informace o kontrolované oblasti</w:t>
      </w:r>
    </w:p>
    <w:p w14:paraId="1CA7A1C9" w14:textId="67FCD860" w:rsidR="00E61EC5" w:rsidRPr="008A1604" w:rsidRDefault="00E61EC5" w:rsidP="00E61EC5">
      <w:pPr>
        <w:shd w:val="clear" w:color="auto" w:fill="FFFFFF"/>
        <w:spacing w:before="154"/>
        <w:rPr>
          <w:rFonts w:cstheme="minorHAnsi"/>
          <w:color w:val="000000" w:themeColor="text1"/>
          <w:spacing w:val="-8"/>
        </w:rPr>
      </w:pPr>
      <w:r w:rsidRPr="007413CD">
        <w:rPr>
          <w:rFonts w:cstheme="minorHAnsi"/>
          <w:b/>
        </w:rPr>
        <w:t>Ministerstvo zdravotnictví</w:t>
      </w:r>
      <w:r w:rsidRPr="007413CD">
        <w:rPr>
          <w:rFonts w:cstheme="minorHAnsi"/>
        </w:rPr>
        <w:t xml:space="preserve"> je ústředním orgánem státní správy </w:t>
      </w:r>
      <w:r w:rsidR="00924002">
        <w:rPr>
          <w:rFonts w:cstheme="minorHAnsi"/>
        </w:rPr>
        <w:t xml:space="preserve">mj. </w:t>
      </w:r>
      <w:r w:rsidRPr="007413CD">
        <w:rPr>
          <w:rFonts w:cstheme="minorHAnsi"/>
        </w:rPr>
        <w:t xml:space="preserve">pro zdravotní služby, ochranu veřejného zdraví, zdravotnickou vědeckovýzkumnou činnost, </w:t>
      </w:r>
      <w:r w:rsidR="002C4B59">
        <w:rPr>
          <w:rFonts w:cstheme="minorHAnsi"/>
        </w:rPr>
        <w:t xml:space="preserve">pro </w:t>
      </w:r>
      <w:r w:rsidRPr="007413CD">
        <w:rPr>
          <w:rFonts w:cstheme="minorHAnsi"/>
        </w:rPr>
        <w:t>poskytovatele zdravotních služeb v přímé říd</w:t>
      </w:r>
      <w:r w:rsidR="002C4B59">
        <w:rPr>
          <w:rFonts w:cstheme="minorHAnsi"/>
        </w:rPr>
        <w:t>i</w:t>
      </w:r>
      <w:r w:rsidRPr="007413CD">
        <w:rPr>
          <w:rFonts w:cstheme="minorHAnsi"/>
        </w:rPr>
        <w:t>cí působnosti, léčiva a prostředky zdravotnické techniky pro prevenci, diagnostiku a léč</w:t>
      </w:r>
      <w:r w:rsidR="00924002">
        <w:rPr>
          <w:rFonts w:cstheme="minorHAnsi"/>
        </w:rPr>
        <w:t>ení lidí</w:t>
      </w:r>
      <w:r>
        <w:rPr>
          <w:rFonts w:cstheme="minorHAnsi"/>
        </w:rPr>
        <w:t>.</w:t>
      </w:r>
      <w:r w:rsidRPr="008B0FAE">
        <w:rPr>
          <w:rFonts w:cstheme="minorHAnsi"/>
        </w:rPr>
        <w:t xml:space="preserve"> </w:t>
      </w:r>
      <w:r w:rsidRPr="007413CD">
        <w:rPr>
          <w:rFonts w:cstheme="minorHAnsi"/>
        </w:rPr>
        <w:t xml:space="preserve">MZ vystupuje vůči příspěvkovým organizacím jako zřizovatel se všemi právy a povinnostmi podle zákona </w:t>
      </w:r>
      <w:r w:rsidRPr="007413CD">
        <w:rPr>
          <w:rFonts w:cs="Arial"/>
        </w:rPr>
        <w:t>č. 218/2000 Sb.</w:t>
      </w:r>
      <w:r>
        <w:rPr>
          <w:rStyle w:val="Znakapoznpodarou"/>
          <w:rFonts w:cs="Arial"/>
        </w:rPr>
        <w:footnoteReference w:id="20"/>
      </w:r>
      <w:r>
        <w:rPr>
          <w:rFonts w:cs="Arial"/>
        </w:rPr>
        <w:t xml:space="preserve"> </w:t>
      </w:r>
      <w:r w:rsidRPr="007413CD">
        <w:rPr>
          <w:rFonts w:cs="Arial"/>
        </w:rPr>
        <w:t>a zákona č. 219</w:t>
      </w:r>
      <w:r w:rsidRPr="008A1604">
        <w:rPr>
          <w:rFonts w:cs="Arial"/>
          <w:color w:val="000000" w:themeColor="text1"/>
        </w:rPr>
        <w:t>/2000 Sb.</w:t>
      </w:r>
      <w:r w:rsidRPr="008A1604">
        <w:rPr>
          <w:rStyle w:val="Znakapoznpodarou"/>
          <w:rFonts w:cs="Arial"/>
          <w:color w:val="000000" w:themeColor="text1"/>
        </w:rPr>
        <w:footnoteReference w:id="21"/>
      </w:r>
      <w:r w:rsidRPr="008A1604">
        <w:rPr>
          <w:rFonts w:cstheme="minorHAnsi"/>
          <w:color w:val="000000" w:themeColor="text1"/>
        </w:rPr>
        <w:t xml:space="preserve"> </w:t>
      </w:r>
    </w:p>
    <w:p w14:paraId="65F65D81" w14:textId="702C9A73" w:rsidR="00E61EC5" w:rsidRDefault="00E61EC5" w:rsidP="00E61EC5">
      <w:pPr>
        <w:shd w:val="clear" w:color="auto" w:fill="FFFFFF"/>
        <w:spacing w:before="154"/>
        <w:rPr>
          <w:rFonts w:cs="Arial"/>
        </w:rPr>
      </w:pPr>
      <w:r w:rsidRPr="008A1604">
        <w:rPr>
          <w:rFonts w:cstheme="minorHAnsi"/>
          <w:b/>
          <w:color w:val="000000" w:themeColor="text1"/>
        </w:rPr>
        <w:t>Ministerstvo obrany</w:t>
      </w:r>
      <w:r w:rsidRPr="008A1604">
        <w:rPr>
          <w:rFonts w:cstheme="minorHAnsi"/>
          <w:color w:val="000000" w:themeColor="text1"/>
        </w:rPr>
        <w:t xml:space="preserve"> je ústředním orgánem státní správy zejména pro: zabezpečování obrany </w:t>
      </w:r>
      <w:r w:rsidRPr="007413CD">
        <w:rPr>
          <w:rFonts w:cstheme="minorHAnsi"/>
        </w:rPr>
        <w:t xml:space="preserve">České republiky, řízení Armády České republiky, správu vojenských újezdů. </w:t>
      </w:r>
      <w:r>
        <w:rPr>
          <w:rFonts w:cstheme="minorHAnsi"/>
        </w:rPr>
        <w:t>MO je zřizovatelem Ústřední vojenské nemocnice – Vojenské</w:t>
      </w:r>
      <w:r w:rsidRPr="00BB2125">
        <w:rPr>
          <w:rFonts w:cstheme="minorHAnsi"/>
        </w:rPr>
        <w:t xml:space="preserve"> fakultní nemocnice Praha</w:t>
      </w:r>
      <w:r>
        <w:rPr>
          <w:rFonts w:cstheme="minorHAnsi"/>
        </w:rPr>
        <w:t xml:space="preserve">. </w:t>
      </w:r>
    </w:p>
    <w:p w14:paraId="376E14A0" w14:textId="1E734362" w:rsidR="00E61EC5" w:rsidRPr="00372B5C" w:rsidRDefault="00B06364" w:rsidP="00E61EC5">
      <w:pPr>
        <w:autoSpaceDE w:val="0"/>
        <w:autoSpaceDN w:val="0"/>
        <w:adjustRightInd w:val="0"/>
        <w:spacing w:before="120"/>
        <w:rPr>
          <w:rFonts w:cs="Arial"/>
        </w:rPr>
      </w:pPr>
      <w:r w:rsidRPr="00F95027">
        <w:rPr>
          <w:rFonts w:cstheme="minorHAnsi"/>
          <w:color w:val="000000" w:themeColor="text1"/>
        </w:rPr>
        <w:t xml:space="preserve">Postavení </w:t>
      </w:r>
      <w:r w:rsidRPr="00B422C4">
        <w:rPr>
          <w:rFonts w:cstheme="minorHAnsi"/>
          <w:b/>
          <w:color w:val="000000" w:themeColor="text1"/>
        </w:rPr>
        <w:t>fakultní nemocnice</w:t>
      </w:r>
      <w:r w:rsidRPr="00F95027">
        <w:rPr>
          <w:rFonts w:cstheme="minorHAnsi"/>
          <w:color w:val="000000" w:themeColor="text1"/>
        </w:rPr>
        <w:t xml:space="preserve"> je s účinností od 1. 4. 2012 upraveno v zákoně č. 372/2011 Sb.</w:t>
      </w:r>
      <w:r w:rsidR="00CE1007">
        <w:rPr>
          <w:rStyle w:val="Znakapoznpodarou"/>
          <w:rFonts w:cstheme="minorHAnsi"/>
          <w:color w:val="000000" w:themeColor="text1"/>
        </w:rPr>
        <w:footnoteReference w:id="22"/>
      </w:r>
      <w:r>
        <w:rPr>
          <w:rFonts w:cstheme="minorHAnsi"/>
          <w:color w:val="000000" w:themeColor="text1"/>
        </w:rPr>
        <w:t>,</w:t>
      </w:r>
      <w:r w:rsidRPr="00F95027">
        <w:rPr>
          <w:rFonts w:cstheme="minorHAnsi"/>
          <w:color w:val="000000" w:themeColor="text1"/>
        </w:rPr>
        <w:t xml:space="preserve"> který </w:t>
      </w:r>
      <w:r w:rsidR="00443E20">
        <w:rPr>
          <w:rFonts w:cstheme="minorHAnsi"/>
          <w:color w:val="000000" w:themeColor="text1"/>
        </w:rPr>
        <w:t>FN</w:t>
      </w:r>
      <w:r w:rsidRPr="00F95027">
        <w:rPr>
          <w:rFonts w:cstheme="minorHAnsi"/>
          <w:color w:val="000000" w:themeColor="text1"/>
        </w:rPr>
        <w:t xml:space="preserve"> vymezuje jako příspěvkové organizace, u nichž zřizovatelskou funkci vykonává ministerstvo</w:t>
      </w:r>
      <w:r w:rsidR="00FE6A4A">
        <w:rPr>
          <w:rFonts w:cstheme="minorHAnsi"/>
          <w:color w:val="000000" w:themeColor="text1"/>
        </w:rPr>
        <w:t xml:space="preserve"> (MZ a MO)</w:t>
      </w:r>
      <w:r w:rsidRPr="00F95027">
        <w:rPr>
          <w:rFonts w:cstheme="minorHAnsi"/>
          <w:color w:val="000000" w:themeColor="text1"/>
        </w:rPr>
        <w:t xml:space="preserve">. FN se zabývají jak poskytováním zdravotních služeb, tak klinickou </w:t>
      </w:r>
      <w:r w:rsidRPr="005A77B9">
        <w:rPr>
          <w:rFonts w:cstheme="minorHAnsi"/>
          <w:color w:val="000000" w:themeColor="text1"/>
        </w:rPr>
        <w:t>a</w:t>
      </w:r>
      <w:r w:rsidR="00810805">
        <w:rPr>
          <w:rFonts w:cstheme="minorHAnsi"/>
          <w:color w:val="000000" w:themeColor="text1"/>
        </w:rPr>
        <w:t> </w:t>
      </w:r>
      <w:r w:rsidRPr="005A77B9">
        <w:rPr>
          <w:rFonts w:cstheme="minorHAnsi"/>
          <w:color w:val="000000" w:themeColor="text1"/>
        </w:rPr>
        <w:t>praktickou</w:t>
      </w:r>
      <w:r w:rsidRPr="00F95027">
        <w:rPr>
          <w:rFonts w:cstheme="minorHAnsi"/>
          <w:color w:val="000000" w:themeColor="text1"/>
        </w:rPr>
        <w:t xml:space="preserve"> výukou v oblasti lékařství, farmacie a ošetřování a </w:t>
      </w:r>
      <w:r w:rsidR="002C4B59">
        <w:rPr>
          <w:rFonts w:cstheme="minorHAnsi"/>
          <w:color w:val="000000" w:themeColor="text1"/>
        </w:rPr>
        <w:t xml:space="preserve">dále </w:t>
      </w:r>
      <w:r w:rsidRPr="00F95027">
        <w:rPr>
          <w:rFonts w:cstheme="minorHAnsi"/>
          <w:color w:val="000000" w:themeColor="text1"/>
        </w:rPr>
        <w:t xml:space="preserve">vědeckou, </w:t>
      </w:r>
      <w:r w:rsidRPr="00F63293">
        <w:rPr>
          <w:color w:val="000000" w:themeColor="text1"/>
        </w:rPr>
        <w:t xml:space="preserve">výzkumnou nebo vývojovou činností. </w:t>
      </w:r>
      <w:r w:rsidR="00E61EC5" w:rsidRPr="00F95027">
        <w:rPr>
          <w:rFonts w:cs="Arial"/>
        </w:rPr>
        <w:t>Jsou samostatnými právnickými</w:t>
      </w:r>
      <w:r w:rsidR="00E61EC5" w:rsidRPr="007413CD">
        <w:rPr>
          <w:rFonts w:cs="Arial"/>
        </w:rPr>
        <w:t xml:space="preserve"> osobami a podle zákona č. 563/1991</w:t>
      </w:r>
      <w:r w:rsidR="002C4B59">
        <w:rPr>
          <w:rFonts w:cs="Arial"/>
        </w:rPr>
        <w:t> </w:t>
      </w:r>
      <w:r w:rsidR="00E61EC5" w:rsidRPr="007413CD">
        <w:rPr>
          <w:rFonts w:cs="Arial"/>
        </w:rPr>
        <w:t>Sb.</w:t>
      </w:r>
      <w:r w:rsidR="0067164A">
        <w:rPr>
          <w:rStyle w:val="Znakapoznpodarou"/>
          <w:rFonts w:cs="Arial"/>
        </w:rPr>
        <w:footnoteReference w:id="23"/>
      </w:r>
      <w:r w:rsidR="00E61EC5">
        <w:rPr>
          <w:rFonts w:cs="Arial"/>
        </w:rPr>
        <w:t xml:space="preserve"> jsou účetními jednotkami</w:t>
      </w:r>
      <w:r w:rsidR="00FE6A4A">
        <w:rPr>
          <w:rFonts w:cs="Arial"/>
        </w:rPr>
        <w:t>.</w:t>
      </w:r>
      <w:r w:rsidR="00E61EC5">
        <w:rPr>
          <w:rFonts w:cs="Arial"/>
        </w:rPr>
        <w:t xml:space="preserve"> </w:t>
      </w:r>
      <w:r w:rsidR="00E61EC5" w:rsidRPr="007413CD">
        <w:rPr>
          <w:rFonts w:cs="Arial"/>
        </w:rPr>
        <w:t xml:space="preserve">Účel, pro který jsou příspěvkové </w:t>
      </w:r>
      <w:r w:rsidR="007C1883">
        <w:rPr>
          <w:rFonts w:cs="Arial"/>
        </w:rPr>
        <w:t>organizace</w:t>
      </w:r>
      <w:r w:rsidR="00E61EC5" w:rsidRPr="007413CD">
        <w:rPr>
          <w:rFonts w:cs="Arial"/>
        </w:rPr>
        <w:t xml:space="preserve"> zřízeny</w:t>
      </w:r>
      <w:r w:rsidR="002C4B59">
        <w:rPr>
          <w:rFonts w:cs="Arial"/>
        </w:rPr>
        <w:t>,</w:t>
      </w:r>
      <w:r w:rsidR="00E61EC5" w:rsidRPr="007413CD">
        <w:rPr>
          <w:rFonts w:cs="Arial"/>
        </w:rPr>
        <w:t xml:space="preserve"> a tomu odpovídající předmět jejich činnosti</w:t>
      </w:r>
      <w:r w:rsidR="004B6C39">
        <w:rPr>
          <w:rFonts w:cs="Arial"/>
        </w:rPr>
        <w:t>,</w:t>
      </w:r>
      <w:r w:rsidR="00E61EC5" w:rsidRPr="007413CD">
        <w:rPr>
          <w:rFonts w:cs="Arial"/>
        </w:rPr>
        <w:t xml:space="preserve"> </w:t>
      </w:r>
      <w:r w:rsidR="002C4B59">
        <w:rPr>
          <w:rFonts w:cs="Arial"/>
        </w:rPr>
        <w:t>jsou stanoveny</w:t>
      </w:r>
      <w:r w:rsidR="00E61EC5" w:rsidRPr="007413CD">
        <w:rPr>
          <w:rFonts w:cs="Arial"/>
        </w:rPr>
        <w:t xml:space="preserve"> ve</w:t>
      </w:r>
      <w:r w:rsidR="002C4B59">
        <w:rPr>
          <w:rFonts w:cs="Arial"/>
        </w:rPr>
        <w:t xml:space="preserve"> </w:t>
      </w:r>
      <w:r w:rsidR="00E61EC5" w:rsidRPr="007413CD">
        <w:rPr>
          <w:rFonts w:cs="Arial"/>
        </w:rPr>
        <w:t>zřizovací listině a</w:t>
      </w:r>
      <w:r w:rsidR="00BC20B3">
        <w:rPr>
          <w:rFonts w:cs="Arial"/>
        </w:rPr>
        <w:t> </w:t>
      </w:r>
      <w:r w:rsidR="00E61EC5" w:rsidRPr="007413CD">
        <w:rPr>
          <w:rFonts w:cs="Arial"/>
        </w:rPr>
        <w:t xml:space="preserve">statutu. Bližší vymezení úkolů </w:t>
      </w:r>
      <w:r w:rsidR="00D6580C">
        <w:rPr>
          <w:rFonts w:cs="Arial"/>
        </w:rPr>
        <w:t xml:space="preserve">FN </w:t>
      </w:r>
      <w:r w:rsidR="00E61EC5" w:rsidRPr="007413CD">
        <w:rPr>
          <w:rFonts w:cs="Arial"/>
        </w:rPr>
        <w:t>určuje jejich statut, který včetně změn a dodatků schvaluje zřizovatel.</w:t>
      </w:r>
      <w:r w:rsidR="00E61EC5">
        <w:rPr>
          <w:rFonts w:cs="Arial"/>
        </w:rPr>
        <w:t xml:space="preserve"> </w:t>
      </w:r>
      <w:r w:rsidR="00443E20" w:rsidRPr="0029063F">
        <w:rPr>
          <w:color w:val="000000" w:themeColor="text1"/>
        </w:rPr>
        <w:t>FN</w:t>
      </w:r>
      <w:r w:rsidR="00E61EC5" w:rsidRPr="0029063F">
        <w:rPr>
          <w:color w:val="000000" w:themeColor="text1"/>
        </w:rPr>
        <w:t xml:space="preserve"> vystupují v právních vztazích vlastním jménem a nesou odpovědnost z nich vyplývající.</w:t>
      </w:r>
      <w:r w:rsidR="00E61EC5" w:rsidRPr="0029063F">
        <w:rPr>
          <w:rFonts w:cs="Calibri"/>
          <w:bCs/>
          <w:color w:val="000000" w:themeColor="text1"/>
        </w:rPr>
        <w:t xml:space="preserve"> </w:t>
      </w:r>
      <w:r w:rsidR="00E61EC5" w:rsidRPr="0029063F">
        <w:rPr>
          <w:rFonts w:cs="Calibri"/>
          <w:color w:val="000000" w:themeColor="text1"/>
        </w:rPr>
        <w:t>Statutárním orgánem fakultních nemocnic je ředitel, kterého jmenuje</w:t>
      </w:r>
      <w:r w:rsidR="0067164A">
        <w:rPr>
          <w:rFonts w:cs="Calibri"/>
          <w:color w:val="000000" w:themeColor="text1"/>
        </w:rPr>
        <w:t xml:space="preserve"> </w:t>
      </w:r>
      <w:r w:rsidR="00E61EC5" w:rsidRPr="0029063F">
        <w:rPr>
          <w:rFonts w:cs="Calibri"/>
          <w:color w:val="000000" w:themeColor="text1"/>
        </w:rPr>
        <w:t>a</w:t>
      </w:r>
      <w:r w:rsidR="00D6580C">
        <w:rPr>
          <w:rFonts w:cs="Calibri"/>
          <w:color w:val="000000" w:themeColor="text1"/>
        </w:rPr>
        <w:t> </w:t>
      </w:r>
      <w:r w:rsidR="00E61EC5" w:rsidRPr="0029063F">
        <w:rPr>
          <w:rFonts w:cs="Calibri"/>
          <w:color w:val="000000" w:themeColor="text1"/>
        </w:rPr>
        <w:t>odvolává ministr</w:t>
      </w:r>
      <w:r w:rsidR="00BB42E2" w:rsidRPr="0029063F">
        <w:rPr>
          <w:rFonts w:cs="Calibri"/>
          <w:color w:val="000000" w:themeColor="text1"/>
        </w:rPr>
        <w:t>.</w:t>
      </w:r>
    </w:p>
    <w:p w14:paraId="20252493" w14:textId="08EA50B5" w:rsidR="00B06364" w:rsidRPr="00F95027" w:rsidRDefault="00443E20" w:rsidP="00B06364">
      <w:pPr>
        <w:autoSpaceDE w:val="0"/>
        <w:autoSpaceDN w:val="0"/>
        <w:adjustRightInd w:val="0"/>
        <w:spacing w:before="120"/>
        <w:rPr>
          <w:rFonts w:cstheme="minorHAnsi"/>
          <w:color w:val="000000" w:themeColor="text1"/>
        </w:rPr>
      </w:pPr>
      <w:r>
        <w:rPr>
          <w:rFonts w:cstheme="minorHAnsi"/>
          <w:color w:val="000000" w:themeColor="text1"/>
        </w:rPr>
        <w:t>FN</w:t>
      </w:r>
      <w:r w:rsidR="00B06364" w:rsidRPr="00F95027">
        <w:rPr>
          <w:rFonts w:cstheme="minorHAnsi"/>
          <w:color w:val="000000" w:themeColor="text1"/>
        </w:rPr>
        <w:t xml:space="preserve"> poskytují zdravotní péči zejména ve formě lůžkové a ambulantní péče a systematicky rozvíjejí zdravotní služby v souladu se současnými dostupnými poznatky lékařské vědy. Zákon č. 372/2001 Sb.</w:t>
      </w:r>
      <w:r w:rsidR="00B06364" w:rsidRPr="00F95027">
        <w:rPr>
          <w:rFonts w:cstheme="minorHAnsi"/>
          <w:vertAlign w:val="superscript"/>
        </w:rPr>
        <w:footnoteReference w:id="24"/>
      </w:r>
      <w:r w:rsidR="00B06364" w:rsidRPr="00F95027">
        <w:rPr>
          <w:rFonts w:cstheme="minorHAnsi"/>
          <w:color w:val="000000" w:themeColor="text1"/>
        </w:rPr>
        <w:t xml:space="preserve"> stanoví podmínky (mj. věcné a technické vybavení a personální zajištění) pro udělení statutu centra vysoce specializované péče. Statut centra byl udělen ve vybraných oborech i kontrolovaným </w:t>
      </w:r>
      <w:r w:rsidR="00A1385E">
        <w:rPr>
          <w:rFonts w:cstheme="minorHAnsi"/>
          <w:color w:val="000000" w:themeColor="text1"/>
        </w:rPr>
        <w:t>FN</w:t>
      </w:r>
      <w:r w:rsidR="00B06364" w:rsidRPr="00F95027">
        <w:rPr>
          <w:rFonts w:cstheme="minorHAnsi"/>
          <w:color w:val="000000" w:themeColor="text1"/>
        </w:rPr>
        <w:t>.</w:t>
      </w:r>
      <w:r w:rsidR="00B06364" w:rsidRPr="00F95027">
        <w:rPr>
          <w:rFonts w:cstheme="minorHAnsi"/>
          <w:vertAlign w:val="superscript"/>
        </w:rPr>
        <w:footnoteReference w:id="25"/>
      </w:r>
    </w:p>
    <w:p w14:paraId="4308143E" w14:textId="2C7B5A6C" w:rsidR="00C3302D" w:rsidRPr="00C3302D" w:rsidRDefault="00C3302D" w:rsidP="00C3302D">
      <w:pPr>
        <w:autoSpaceDE w:val="0"/>
        <w:autoSpaceDN w:val="0"/>
        <w:adjustRightInd w:val="0"/>
        <w:spacing w:before="120"/>
        <w:rPr>
          <w:color w:val="000000" w:themeColor="text1"/>
        </w:rPr>
      </w:pPr>
      <w:r w:rsidRPr="00C3302D">
        <w:rPr>
          <w:color w:val="000000" w:themeColor="text1"/>
        </w:rPr>
        <w:t xml:space="preserve">FN hospodaří s majetkem </w:t>
      </w:r>
      <w:r w:rsidRPr="00F63293">
        <w:rPr>
          <w:color w:val="000000" w:themeColor="text1"/>
        </w:rPr>
        <w:t xml:space="preserve">státu a </w:t>
      </w:r>
      <w:r w:rsidR="00D11E8F" w:rsidRPr="00F63293">
        <w:rPr>
          <w:color w:val="000000" w:themeColor="text1"/>
        </w:rPr>
        <w:t xml:space="preserve">pravidla </w:t>
      </w:r>
      <w:r w:rsidRPr="00F63293">
        <w:rPr>
          <w:color w:val="000000" w:themeColor="text1"/>
        </w:rPr>
        <w:t xml:space="preserve">při nakládání s ním jsou </w:t>
      </w:r>
      <w:r w:rsidR="00D11E8F" w:rsidRPr="00F63293">
        <w:rPr>
          <w:color w:val="000000" w:themeColor="text1"/>
        </w:rPr>
        <w:t xml:space="preserve">stanovena </w:t>
      </w:r>
      <w:r w:rsidRPr="00F63293">
        <w:rPr>
          <w:color w:val="000000" w:themeColor="text1"/>
        </w:rPr>
        <w:t>zákonem č.</w:t>
      </w:r>
      <w:r w:rsidR="00C40AE5">
        <w:rPr>
          <w:color w:val="000000" w:themeColor="text1"/>
        </w:rPr>
        <w:t> </w:t>
      </w:r>
      <w:r w:rsidRPr="00F63293">
        <w:rPr>
          <w:color w:val="000000" w:themeColor="text1"/>
        </w:rPr>
        <w:t>219/2000 Sb. Podle zákona č. 218/2000 Sb. hospodaří FN s peněžními prostředky získanými hlavní činností a s peněžními prostředky přijatými ze státního</w:t>
      </w:r>
      <w:r w:rsidRPr="00C3302D">
        <w:rPr>
          <w:color w:val="000000" w:themeColor="text1"/>
        </w:rPr>
        <w:t xml:space="preserve"> rozpočtu pouze v rámci finančních vztahů stanovených zřizovatelem. Hospodaří i s dalšími prostředky, které získ</w:t>
      </w:r>
      <w:r w:rsidR="00D6580C">
        <w:rPr>
          <w:color w:val="000000" w:themeColor="text1"/>
        </w:rPr>
        <w:t>áv</w:t>
      </w:r>
      <w:r w:rsidRPr="00C3302D">
        <w:rPr>
          <w:color w:val="000000" w:themeColor="text1"/>
        </w:rPr>
        <w:t>ají např. ze zahraničí, z rozpočtů územních samosprávných celků, jinou (hospodářskou) činností nebo jako peněžité dary od</w:t>
      </w:r>
      <w:r w:rsidR="00D6580C">
        <w:rPr>
          <w:color w:val="000000" w:themeColor="text1"/>
        </w:rPr>
        <w:t xml:space="preserve"> </w:t>
      </w:r>
      <w:r w:rsidRPr="00C3302D">
        <w:rPr>
          <w:color w:val="000000" w:themeColor="text1"/>
        </w:rPr>
        <w:t xml:space="preserve">fyzických nebo právnických </w:t>
      </w:r>
      <w:r w:rsidRPr="00C77024">
        <w:rPr>
          <w:color w:val="000000" w:themeColor="text1"/>
        </w:rPr>
        <w:t>osob.</w:t>
      </w:r>
      <w:r w:rsidR="000341CD" w:rsidRPr="00C77024">
        <w:rPr>
          <w:rFonts w:cs="Calibri"/>
          <w:color w:val="000000" w:themeColor="text1"/>
        </w:rPr>
        <w:t xml:space="preserve"> </w:t>
      </w:r>
      <w:r w:rsidR="00B06364" w:rsidRPr="00C77024">
        <w:rPr>
          <w:rFonts w:cstheme="minorHAnsi"/>
          <w:color w:val="000000" w:themeColor="text1"/>
        </w:rPr>
        <w:t>Fakultní nemocnice mohou vykonávat i jinou (hospodářskou) činnost.</w:t>
      </w:r>
      <w:r w:rsidR="00B06364" w:rsidRPr="00C77024">
        <w:rPr>
          <w:rStyle w:val="Znakapoznpodarou"/>
          <w:rFonts w:cstheme="minorHAnsi"/>
          <w:color w:val="000000" w:themeColor="text1"/>
        </w:rPr>
        <w:footnoteReference w:id="26"/>
      </w:r>
    </w:p>
    <w:p w14:paraId="6744A062" w14:textId="6723E63F" w:rsidR="00E61EC5" w:rsidRDefault="0095743B" w:rsidP="00E61EC5">
      <w:pPr>
        <w:autoSpaceDE w:val="0"/>
        <w:autoSpaceDN w:val="0"/>
        <w:adjustRightInd w:val="0"/>
        <w:spacing w:before="120"/>
        <w:rPr>
          <w:rFonts w:cstheme="minorHAnsi"/>
          <w:noProof/>
          <w:color w:val="000000" w:themeColor="text1"/>
          <w:szCs w:val="28"/>
        </w:rPr>
      </w:pPr>
      <w:r w:rsidRPr="00470C4E">
        <w:rPr>
          <w:color w:val="000000" w:themeColor="text1"/>
        </w:rPr>
        <w:t>Náklady na léčiva</w:t>
      </w:r>
      <w:r w:rsidR="00496AEC" w:rsidRPr="00470C4E">
        <w:rPr>
          <w:color w:val="000000" w:themeColor="text1"/>
        </w:rPr>
        <w:t xml:space="preserve"> v kontrolovaném období </w:t>
      </w:r>
      <w:r w:rsidRPr="00470C4E">
        <w:rPr>
          <w:color w:val="000000" w:themeColor="text1"/>
        </w:rPr>
        <w:t xml:space="preserve">se pohybovaly u FNB </w:t>
      </w:r>
      <w:r w:rsidR="001C29F6">
        <w:rPr>
          <w:color w:val="000000" w:themeColor="text1"/>
        </w:rPr>
        <w:t>cca ve výši</w:t>
      </w:r>
      <w:r w:rsidRPr="00470C4E">
        <w:rPr>
          <w:color w:val="000000" w:themeColor="text1"/>
        </w:rPr>
        <w:t xml:space="preserve"> 26 %, u FNM </w:t>
      </w:r>
      <w:r w:rsidR="001C29F6">
        <w:rPr>
          <w:color w:val="000000" w:themeColor="text1"/>
        </w:rPr>
        <w:t>cca ve výši 17 % a u ÚVN ve výši cca</w:t>
      </w:r>
      <w:r w:rsidRPr="00470C4E">
        <w:rPr>
          <w:color w:val="000000" w:themeColor="text1"/>
        </w:rPr>
        <w:t xml:space="preserve"> 7 % z </w:t>
      </w:r>
      <w:r w:rsidR="00D6580C">
        <w:rPr>
          <w:color w:val="000000" w:themeColor="text1"/>
        </w:rPr>
        <w:t xml:space="preserve">celkových </w:t>
      </w:r>
      <w:r w:rsidRPr="00470C4E">
        <w:rPr>
          <w:color w:val="000000" w:themeColor="text1"/>
        </w:rPr>
        <w:t xml:space="preserve">nákladů. Náklady na zdravotnické prostředky představovaly u FNB </w:t>
      </w:r>
      <w:r w:rsidR="005D138B" w:rsidRPr="00470C4E">
        <w:rPr>
          <w:color w:val="000000" w:themeColor="text1"/>
        </w:rPr>
        <w:t xml:space="preserve">a FNM </w:t>
      </w:r>
      <w:r w:rsidR="001C29F6">
        <w:rPr>
          <w:color w:val="000000" w:themeColor="text1"/>
        </w:rPr>
        <w:t>cca</w:t>
      </w:r>
      <w:r w:rsidRPr="00470C4E">
        <w:rPr>
          <w:color w:val="000000" w:themeColor="text1"/>
        </w:rPr>
        <w:t xml:space="preserve"> 10</w:t>
      </w:r>
      <w:r w:rsidR="005D138B" w:rsidRPr="00470C4E">
        <w:rPr>
          <w:color w:val="000000" w:themeColor="text1"/>
        </w:rPr>
        <w:t> </w:t>
      </w:r>
      <w:r w:rsidRPr="00470C4E">
        <w:rPr>
          <w:color w:val="000000" w:themeColor="text1"/>
        </w:rPr>
        <w:t xml:space="preserve">%, u </w:t>
      </w:r>
      <w:r w:rsidR="001C29F6">
        <w:rPr>
          <w:color w:val="000000" w:themeColor="text1"/>
        </w:rPr>
        <w:t>ÚVN cca</w:t>
      </w:r>
      <w:r w:rsidR="005D138B" w:rsidRPr="00470C4E">
        <w:rPr>
          <w:color w:val="000000" w:themeColor="text1"/>
        </w:rPr>
        <w:t xml:space="preserve"> 15 % z </w:t>
      </w:r>
      <w:r w:rsidR="00D6580C">
        <w:rPr>
          <w:color w:val="000000" w:themeColor="text1"/>
        </w:rPr>
        <w:t xml:space="preserve">celkových </w:t>
      </w:r>
      <w:r w:rsidR="005D138B" w:rsidRPr="00470C4E">
        <w:rPr>
          <w:color w:val="000000" w:themeColor="text1"/>
        </w:rPr>
        <w:t>nákladů</w:t>
      </w:r>
      <w:r w:rsidR="00CB0E68">
        <w:rPr>
          <w:color w:val="000000" w:themeColor="text1"/>
        </w:rPr>
        <w:t xml:space="preserve">. </w:t>
      </w:r>
      <w:r w:rsidR="00153BEA">
        <w:rPr>
          <w:color w:val="000000" w:themeColor="text1"/>
        </w:rPr>
        <w:t>Náklady na léčiva byly u FNB a FNM vyšší než náklady n</w:t>
      </w:r>
      <w:r w:rsidR="00680058">
        <w:rPr>
          <w:color w:val="000000" w:themeColor="text1"/>
        </w:rPr>
        <w:t>a zdravotnické prostředky, u ÚVN</w:t>
      </w:r>
      <w:r w:rsidR="00153BEA">
        <w:rPr>
          <w:color w:val="000000" w:themeColor="text1"/>
        </w:rPr>
        <w:t xml:space="preserve"> tomu bylo </w:t>
      </w:r>
      <w:r w:rsidR="00153BEA" w:rsidRPr="00ED3A85">
        <w:rPr>
          <w:color w:val="000000" w:themeColor="text1"/>
        </w:rPr>
        <w:t>naopak</w:t>
      </w:r>
      <w:r w:rsidR="004906BB" w:rsidRPr="00ED3A85">
        <w:rPr>
          <w:color w:val="000000" w:themeColor="text1"/>
        </w:rPr>
        <w:t xml:space="preserve"> </w:t>
      </w:r>
      <w:r w:rsidR="00D7292B" w:rsidRPr="00ED3A85">
        <w:rPr>
          <w:color w:val="000000" w:themeColor="text1"/>
        </w:rPr>
        <w:t>mj. i</w:t>
      </w:r>
      <w:r w:rsidR="006B5DA1">
        <w:rPr>
          <w:color w:val="000000" w:themeColor="text1"/>
        </w:rPr>
        <w:t> </w:t>
      </w:r>
      <w:r w:rsidR="004906BB" w:rsidRPr="00ED3A85">
        <w:rPr>
          <w:color w:val="000000" w:themeColor="text1"/>
        </w:rPr>
        <w:t>z důvodu zavedení elektronizace podávání léčiv</w:t>
      </w:r>
      <w:r w:rsidR="00153BEA" w:rsidRPr="00ED3A85">
        <w:rPr>
          <w:color w:val="000000" w:themeColor="text1"/>
        </w:rPr>
        <w:t>.</w:t>
      </w:r>
      <w:r w:rsidR="00E36741" w:rsidRPr="00ED3A85">
        <w:rPr>
          <w:color w:val="000000" w:themeColor="text1"/>
        </w:rPr>
        <w:t xml:space="preserve"> </w:t>
      </w:r>
      <w:r w:rsidR="00E36741" w:rsidRPr="00ED3A85">
        <w:rPr>
          <w:rFonts w:cstheme="minorHAnsi"/>
          <w:noProof/>
          <w:color w:val="000000" w:themeColor="text1"/>
          <w:szCs w:val="28"/>
        </w:rPr>
        <w:t>Rozdílná výše nákladů za léčiva a ZPr mezi FN</w:t>
      </w:r>
      <w:r w:rsidR="00E36741" w:rsidRPr="00E36741">
        <w:rPr>
          <w:rFonts w:cstheme="minorHAnsi"/>
          <w:noProof/>
          <w:color w:val="000000" w:themeColor="text1"/>
          <w:szCs w:val="28"/>
        </w:rPr>
        <w:t xml:space="preserve"> vyplývá </w:t>
      </w:r>
      <w:r w:rsidR="00CE1007">
        <w:rPr>
          <w:rFonts w:cstheme="minorHAnsi"/>
          <w:noProof/>
          <w:color w:val="000000" w:themeColor="text1"/>
          <w:szCs w:val="28"/>
        </w:rPr>
        <w:t xml:space="preserve">mj. </w:t>
      </w:r>
      <w:r w:rsidR="00E36741" w:rsidRPr="00E36741">
        <w:rPr>
          <w:rFonts w:cstheme="minorHAnsi"/>
          <w:noProof/>
          <w:color w:val="000000" w:themeColor="text1"/>
          <w:szCs w:val="28"/>
        </w:rPr>
        <w:t>z odlišného zaměření specializované a vysoce specializované péče jednotlivých nemocnic.</w:t>
      </w:r>
    </w:p>
    <w:p w14:paraId="002F2E16" w14:textId="51B90BDC" w:rsidR="00815416" w:rsidRDefault="00815416" w:rsidP="00D6580C">
      <w:pPr>
        <w:keepNext/>
        <w:autoSpaceDE w:val="0"/>
        <w:autoSpaceDN w:val="0"/>
        <w:adjustRightInd w:val="0"/>
        <w:spacing w:before="240" w:after="120"/>
        <w:rPr>
          <w:rFonts w:cs="Arial"/>
          <w:b/>
          <w:color w:val="000000" w:themeColor="text1"/>
          <w:szCs w:val="24"/>
        </w:rPr>
      </w:pPr>
      <w:r>
        <w:rPr>
          <w:rFonts w:cs="Arial"/>
          <w:b/>
          <w:color w:val="000000" w:themeColor="text1"/>
          <w:szCs w:val="24"/>
        </w:rPr>
        <w:t>Hospodaření fakultních nemocnic</w:t>
      </w:r>
    </w:p>
    <w:p w14:paraId="1C95A516" w14:textId="77777777" w:rsidR="00815416" w:rsidRPr="00A21943" w:rsidRDefault="00815416" w:rsidP="00D6580C">
      <w:pPr>
        <w:keepNext/>
        <w:spacing w:before="120" w:after="40"/>
        <w:rPr>
          <w:b/>
        </w:rPr>
      </w:pPr>
      <w:r w:rsidRPr="00A21943">
        <w:rPr>
          <w:b/>
        </w:rPr>
        <w:t>Tabulka č. 1: Přehled vybraných ekonomických údajů fakultních nemocnic</w:t>
      </w:r>
    </w:p>
    <w:tbl>
      <w:tblPr>
        <w:tblW w:w="5000" w:type="pct"/>
        <w:tblCellMar>
          <w:left w:w="70" w:type="dxa"/>
          <w:right w:w="70" w:type="dxa"/>
        </w:tblCellMar>
        <w:tblLook w:val="04A0" w:firstRow="1" w:lastRow="0" w:firstColumn="1" w:lastColumn="0" w:noHBand="0" w:noVBand="1"/>
      </w:tblPr>
      <w:tblGrid>
        <w:gridCol w:w="2161"/>
        <w:gridCol w:w="1068"/>
        <w:gridCol w:w="1164"/>
        <w:gridCol w:w="1557"/>
        <w:gridCol w:w="1557"/>
        <w:gridCol w:w="1555"/>
      </w:tblGrid>
      <w:tr w:rsidR="00815416" w:rsidRPr="00A21943" w14:paraId="710CFE31" w14:textId="77777777" w:rsidTr="004C3B13">
        <w:trPr>
          <w:trHeight w:val="227"/>
        </w:trPr>
        <w:tc>
          <w:tcPr>
            <w:tcW w:w="1192" w:type="pct"/>
            <w:tcBorders>
              <w:top w:val="single" w:sz="4" w:space="0" w:color="auto"/>
              <w:left w:val="single" w:sz="4" w:space="0" w:color="auto"/>
              <w:bottom w:val="single" w:sz="4" w:space="0" w:color="auto"/>
              <w:right w:val="single" w:sz="4" w:space="0" w:color="auto"/>
            </w:tcBorders>
            <w:shd w:val="clear" w:color="000000" w:fill="E5F1FF"/>
            <w:vAlign w:val="center"/>
            <w:hideMark/>
          </w:tcPr>
          <w:p w14:paraId="33EB0CB8" w14:textId="77777777" w:rsidR="00815416" w:rsidRPr="00A21943" w:rsidRDefault="00815416" w:rsidP="00D6580C">
            <w:pPr>
              <w:keepNext/>
              <w:keepLines/>
              <w:jc w:val="center"/>
              <w:rPr>
                <w:rFonts w:ascii="Calibri" w:hAnsi="Calibri" w:cs="Calibri"/>
                <w:b/>
                <w:bCs/>
                <w:color w:val="000000"/>
                <w:sz w:val="20"/>
              </w:rPr>
            </w:pPr>
            <w:r w:rsidRPr="00A21943">
              <w:rPr>
                <w:rFonts w:ascii="Calibri" w:hAnsi="Calibri" w:cs="Calibri"/>
                <w:b/>
                <w:bCs/>
                <w:color w:val="000000"/>
                <w:sz w:val="20"/>
              </w:rPr>
              <w:t>Ukazatel</w:t>
            </w:r>
          </w:p>
        </w:tc>
        <w:tc>
          <w:tcPr>
            <w:tcW w:w="589" w:type="pct"/>
            <w:tcBorders>
              <w:top w:val="single" w:sz="4" w:space="0" w:color="auto"/>
              <w:left w:val="nil"/>
              <w:bottom w:val="single" w:sz="4" w:space="0" w:color="auto"/>
              <w:right w:val="single" w:sz="4" w:space="0" w:color="auto"/>
            </w:tcBorders>
            <w:shd w:val="clear" w:color="000000" w:fill="E5F1FF"/>
            <w:vAlign w:val="center"/>
            <w:hideMark/>
          </w:tcPr>
          <w:p w14:paraId="5B53AC82" w14:textId="77777777" w:rsidR="00815416" w:rsidRPr="00A21943" w:rsidRDefault="00815416" w:rsidP="00D6580C">
            <w:pPr>
              <w:keepNext/>
              <w:keepLines/>
              <w:jc w:val="center"/>
              <w:rPr>
                <w:rFonts w:ascii="Calibri" w:hAnsi="Calibri" w:cs="Calibri"/>
                <w:b/>
                <w:bCs/>
                <w:color w:val="000000"/>
                <w:sz w:val="20"/>
              </w:rPr>
            </w:pPr>
            <w:r w:rsidRPr="00A21943">
              <w:rPr>
                <w:rFonts w:ascii="Calibri" w:hAnsi="Calibri" w:cs="Calibri"/>
                <w:b/>
                <w:bCs/>
                <w:color w:val="000000"/>
                <w:sz w:val="20"/>
              </w:rPr>
              <w:t>Nemocnice</w:t>
            </w:r>
          </w:p>
        </w:tc>
        <w:tc>
          <w:tcPr>
            <w:tcW w:w="642" w:type="pct"/>
            <w:tcBorders>
              <w:top w:val="single" w:sz="4" w:space="0" w:color="auto"/>
              <w:left w:val="nil"/>
              <w:bottom w:val="single" w:sz="4" w:space="0" w:color="auto"/>
              <w:right w:val="single" w:sz="4" w:space="0" w:color="auto"/>
            </w:tcBorders>
            <w:shd w:val="clear" w:color="000000" w:fill="E5F1FF"/>
            <w:vAlign w:val="center"/>
            <w:hideMark/>
          </w:tcPr>
          <w:p w14:paraId="340DE3E0" w14:textId="77777777" w:rsidR="00815416" w:rsidRPr="00A21943" w:rsidRDefault="00815416" w:rsidP="00D6580C">
            <w:pPr>
              <w:keepNext/>
              <w:keepLines/>
              <w:jc w:val="center"/>
              <w:rPr>
                <w:rFonts w:ascii="Calibri" w:hAnsi="Calibri" w:cs="Calibri"/>
                <w:b/>
                <w:bCs/>
                <w:color w:val="000000"/>
                <w:sz w:val="20"/>
              </w:rPr>
            </w:pPr>
            <w:r w:rsidRPr="00A21943">
              <w:rPr>
                <w:rFonts w:ascii="Calibri" w:hAnsi="Calibri" w:cs="Calibri"/>
                <w:b/>
                <w:bCs/>
                <w:color w:val="000000"/>
                <w:sz w:val="20"/>
              </w:rPr>
              <w:t>Jednotka</w:t>
            </w:r>
          </w:p>
        </w:tc>
        <w:tc>
          <w:tcPr>
            <w:tcW w:w="859" w:type="pct"/>
            <w:tcBorders>
              <w:top w:val="single" w:sz="4" w:space="0" w:color="auto"/>
              <w:left w:val="nil"/>
              <w:bottom w:val="single" w:sz="4" w:space="0" w:color="auto"/>
              <w:right w:val="single" w:sz="4" w:space="0" w:color="auto"/>
            </w:tcBorders>
            <w:shd w:val="clear" w:color="000000" w:fill="E5F1FF"/>
            <w:vAlign w:val="center"/>
            <w:hideMark/>
          </w:tcPr>
          <w:p w14:paraId="13EBCA64" w14:textId="77777777" w:rsidR="00815416" w:rsidRPr="00A21943" w:rsidRDefault="00815416" w:rsidP="00D6580C">
            <w:pPr>
              <w:keepNext/>
              <w:keepLines/>
              <w:ind w:right="68"/>
              <w:jc w:val="center"/>
              <w:rPr>
                <w:rFonts w:ascii="Calibri" w:hAnsi="Calibri" w:cs="Calibri"/>
                <w:b/>
                <w:bCs/>
                <w:color w:val="000000"/>
                <w:sz w:val="20"/>
              </w:rPr>
            </w:pPr>
            <w:r w:rsidRPr="00A21943">
              <w:rPr>
                <w:rFonts w:ascii="Calibri" w:hAnsi="Calibri" w:cs="Calibri"/>
                <w:b/>
                <w:bCs/>
                <w:color w:val="000000"/>
                <w:sz w:val="20"/>
              </w:rPr>
              <w:t>2014</w:t>
            </w:r>
          </w:p>
        </w:tc>
        <w:tc>
          <w:tcPr>
            <w:tcW w:w="859" w:type="pct"/>
            <w:tcBorders>
              <w:top w:val="single" w:sz="4" w:space="0" w:color="auto"/>
              <w:left w:val="nil"/>
              <w:bottom w:val="single" w:sz="4" w:space="0" w:color="auto"/>
              <w:right w:val="single" w:sz="4" w:space="0" w:color="auto"/>
            </w:tcBorders>
            <w:shd w:val="clear" w:color="000000" w:fill="E5F1FF"/>
            <w:vAlign w:val="center"/>
            <w:hideMark/>
          </w:tcPr>
          <w:p w14:paraId="57C012C7" w14:textId="77777777" w:rsidR="00815416" w:rsidRPr="00A21943" w:rsidRDefault="00815416" w:rsidP="00D6580C">
            <w:pPr>
              <w:keepNext/>
              <w:keepLines/>
              <w:ind w:right="68"/>
              <w:jc w:val="center"/>
              <w:rPr>
                <w:rFonts w:ascii="Calibri" w:hAnsi="Calibri" w:cs="Calibri"/>
                <w:b/>
                <w:bCs/>
                <w:color w:val="000000"/>
                <w:sz w:val="20"/>
              </w:rPr>
            </w:pPr>
            <w:r w:rsidRPr="00A21943">
              <w:rPr>
                <w:rFonts w:ascii="Calibri" w:hAnsi="Calibri" w:cs="Calibri"/>
                <w:b/>
                <w:bCs/>
                <w:color w:val="000000"/>
                <w:sz w:val="20"/>
              </w:rPr>
              <w:t>2015</w:t>
            </w:r>
          </w:p>
        </w:tc>
        <w:tc>
          <w:tcPr>
            <w:tcW w:w="858" w:type="pct"/>
            <w:tcBorders>
              <w:top w:val="single" w:sz="4" w:space="0" w:color="auto"/>
              <w:left w:val="nil"/>
              <w:bottom w:val="single" w:sz="4" w:space="0" w:color="auto"/>
              <w:right w:val="single" w:sz="4" w:space="0" w:color="auto"/>
            </w:tcBorders>
            <w:shd w:val="clear" w:color="000000" w:fill="E5F1FF"/>
            <w:vAlign w:val="center"/>
            <w:hideMark/>
          </w:tcPr>
          <w:p w14:paraId="7E9D3BD3" w14:textId="77777777" w:rsidR="00815416" w:rsidRPr="00A21943" w:rsidRDefault="00815416" w:rsidP="00D6580C">
            <w:pPr>
              <w:keepNext/>
              <w:keepLines/>
              <w:ind w:right="68"/>
              <w:jc w:val="center"/>
              <w:rPr>
                <w:rFonts w:ascii="Calibri" w:hAnsi="Calibri" w:cs="Calibri"/>
                <w:b/>
                <w:bCs/>
                <w:color w:val="000000"/>
                <w:sz w:val="20"/>
              </w:rPr>
            </w:pPr>
            <w:r w:rsidRPr="00A21943">
              <w:rPr>
                <w:rFonts w:ascii="Calibri" w:hAnsi="Calibri" w:cs="Calibri"/>
                <w:b/>
                <w:bCs/>
                <w:color w:val="000000"/>
                <w:sz w:val="20"/>
              </w:rPr>
              <w:t>2016</w:t>
            </w:r>
          </w:p>
        </w:tc>
      </w:tr>
      <w:tr w:rsidR="00815416" w:rsidRPr="00A21943" w14:paraId="1E8C7BA9" w14:textId="77777777" w:rsidTr="004C3B13">
        <w:trPr>
          <w:trHeight w:val="227"/>
        </w:trPr>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14:paraId="1A809769" w14:textId="77777777" w:rsidR="00815416" w:rsidRPr="00A21943" w:rsidRDefault="00815416" w:rsidP="00D6580C">
            <w:pPr>
              <w:keepNext/>
              <w:keepLines/>
              <w:jc w:val="left"/>
              <w:rPr>
                <w:rFonts w:ascii="Calibri" w:hAnsi="Calibri" w:cs="Calibri"/>
                <w:color w:val="000000"/>
                <w:sz w:val="20"/>
              </w:rPr>
            </w:pPr>
            <w:r w:rsidRPr="00A21943">
              <w:rPr>
                <w:rFonts w:ascii="Calibri" w:hAnsi="Calibri" w:cs="Calibri"/>
                <w:color w:val="000000"/>
                <w:sz w:val="20"/>
              </w:rPr>
              <w:t>Náklady celkem</w:t>
            </w:r>
          </w:p>
        </w:tc>
        <w:tc>
          <w:tcPr>
            <w:tcW w:w="589" w:type="pct"/>
            <w:tcBorders>
              <w:top w:val="nil"/>
              <w:left w:val="nil"/>
              <w:bottom w:val="single" w:sz="4" w:space="0" w:color="auto"/>
              <w:right w:val="single" w:sz="4" w:space="0" w:color="auto"/>
            </w:tcBorders>
            <w:shd w:val="clear" w:color="auto" w:fill="auto"/>
            <w:vAlign w:val="center"/>
            <w:hideMark/>
          </w:tcPr>
          <w:p w14:paraId="523D697D"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FNB</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1904D227"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tis. Kč</w:t>
            </w:r>
          </w:p>
        </w:tc>
        <w:tc>
          <w:tcPr>
            <w:tcW w:w="859" w:type="pct"/>
            <w:tcBorders>
              <w:top w:val="nil"/>
              <w:left w:val="nil"/>
              <w:bottom w:val="single" w:sz="4" w:space="0" w:color="auto"/>
              <w:right w:val="single" w:sz="4" w:space="0" w:color="auto"/>
            </w:tcBorders>
            <w:shd w:val="clear" w:color="auto" w:fill="auto"/>
            <w:noWrap/>
            <w:vAlign w:val="center"/>
            <w:hideMark/>
          </w:tcPr>
          <w:p w14:paraId="68FEF1AA"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6 587 570,41</w:t>
            </w:r>
          </w:p>
        </w:tc>
        <w:tc>
          <w:tcPr>
            <w:tcW w:w="859" w:type="pct"/>
            <w:tcBorders>
              <w:top w:val="nil"/>
              <w:left w:val="nil"/>
              <w:bottom w:val="single" w:sz="4" w:space="0" w:color="auto"/>
              <w:right w:val="single" w:sz="4" w:space="0" w:color="auto"/>
            </w:tcBorders>
            <w:shd w:val="clear" w:color="auto" w:fill="auto"/>
            <w:noWrap/>
            <w:vAlign w:val="center"/>
            <w:hideMark/>
          </w:tcPr>
          <w:p w14:paraId="1789FC40"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6 873 887,66</w:t>
            </w:r>
          </w:p>
        </w:tc>
        <w:tc>
          <w:tcPr>
            <w:tcW w:w="858" w:type="pct"/>
            <w:tcBorders>
              <w:top w:val="nil"/>
              <w:left w:val="nil"/>
              <w:bottom w:val="single" w:sz="4" w:space="0" w:color="auto"/>
              <w:right w:val="single" w:sz="4" w:space="0" w:color="auto"/>
            </w:tcBorders>
            <w:shd w:val="clear" w:color="auto" w:fill="auto"/>
            <w:noWrap/>
            <w:vAlign w:val="center"/>
            <w:hideMark/>
          </w:tcPr>
          <w:p w14:paraId="239ECF89"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7 658 859,58</w:t>
            </w:r>
          </w:p>
        </w:tc>
      </w:tr>
      <w:tr w:rsidR="00815416" w:rsidRPr="00A21943" w14:paraId="63F0A9CF" w14:textId="77777777"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14:paraId="0E70C16A" w14:textId="77777777" w:rsidR="00815416" w:rsidRPr="00A21943" w:rsidRDefault="00815416" w:rsidP="00D6580C">
            <w:pPr>
              <w:keepNext/>
              <w:keepLines/>
              <w:jc w:val="left"/>
              <w:rPr>
                <w:rFonts w:ascii="Calibri" w:hAnsi="Calibri" w:cs="Calibri"/>
                <w:color w:val="000000"/>
                <w:sz w:val="20"/>
              </w:rPr>
            </w:pPr>
          </w:p>
        </w:tc>
        <w:tc>
          <w:tcPr>
            <w:tcW w:w="589" w:type="pct"/>
            <w:tcBorders>
              <w:top w:val="nil"/>
              <w:left w:val="nil"/>
              <w:bottom w:val="single" w:sz="4" w:space="0" w:color="auto"/>
              <w:right w:val="single" w:sz="4" w:space="0" w:color="auto"/>
            </w:tcBorders>
            <w:shd w:val="clear" w:color="auto" w:fill="auto"/>
            <w:vAlign w:val="center"/>
            <w:hideMark/>
          </w:tcPr>
          <w:p w14:paraId="16B8A9C5"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FNM</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4555AF20" w14:textId="77777777" w:rsidR="00815416" w:rsidRPr="00A21943" w:rsidRDefault="00815416" w:rsidP="00D6580C">
            <w:pPr>
              <w:keepNext/>
              <w:keepLines/>
              <w:jc w:val="center"/>
              <w:rPr>
                <w:rFonts w:ascii="Calibri" w:hAnsi="Calibri" w:cs="Calibri"/>
                <w:color w:val="000000"/>
                <w:sz w:val="20"/>
              </w:rPr>
            </w:pPr>
          </w:p>
        </w:tc>
        <w:tc>
          <w:tcPr>
            <w:tcW w:w="859" w:type="pct"/>
            <w:tcBorders>
              <w:top w:val="nil"/>
              <w:left w:val="nil"/>
              <w:bottom w:val="single" w:sz="4" w:space="0" w:color="auto"/>
              <w:right w:val="single" w:sz="4" w:space="0" w:color="auto"/>
            </w:tcBorders>
            <w:shd w:val="clear" w:color="auto" w:fill="auto"/>
            <w:noWrap/>
            <w:vAlign w:val="center"/>
            <w:hideMark/>
          </w:tcPr>
          <w:p w14:paraId="032C4030"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7 486 988,59</w:t>
            </w:r>
          </w:p>
        </w:tc>
        <w:tc>
          <w:tcPr>
            <w:tcW w:w="859" w:type="pct"/>
            <w:tcBorders>
              <w:top w:val="nil"/>
              <w:left w:val="nil"/>
              <w:bottom w:val="single" w:sz="4" w:space="0" w:color="auto"/>
              <w:right w:val="single" w:sz="4" w:space="0" w:color="auto"/>
            </w:tcBorders>
            <w:shd w:val="clear" w:color="auto" w:fill="auto"/>
            <w:noWrap/>
            <w:vAlign w:val="center"/>
            <w:hideMark/>
          </w:tcPr>
          <w:p w14:paraId="53A71195"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7 775 201,10</w:t>
            </w:r>
          </w:p>
        </w:tc>
        <w:tc>
          <w:tcPr>
            <w:tcW w:w="858" w:type="pct"/>
            <w:tcBorders>
              <w:top w:val="nil"/>
              <w:left w:val="nil"/>
              <w:bottom w:val="single" w:sz="4" w:space="0" w:color="auto"/>
              <w:right w:val="single" w:sz="4" w:space="0" w:color="auto"/>
            </w:tcBorders>
            <w:shd w:val="clear" w:color="auto" w:fill="auto"/>
            <w:noWrap/>
            <w:vAlign w:val="center"/>
            <w:hideMark/>
          </w:tcPr>
          <w:p w14:paraId="4B5A580C"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8 134 270,53</w:t>
            </w:r>
          </w:p>
        </w:tc>
      </w:tr>
      <w:tr w:rsidR="00815416" w:rsidRPr="00A21943" w14:paraId="047C97AD" w14:textId="77777777"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14:paraId="22AF6828" w14:textId="77777777" w:rsidR="00815416" w:rsidRPr="00A21943" w:rsidRDefault="00815416" w:rsidP="00D6580C">
            <w:pPr>
              <w:keepNext/>
              <w:keepLines/>
              <w:jc w:val="left"/>
              <w:rPr>
                <w:rFonts w:ascii="Calibri" w:hAnsi="Calibri" w:cs="Calibri"/>
                <w:color w:val="000000"/>
                <w:sz w:val="20"/>
              </w:rPr>
            </w:pPr>
          </w:p>
        </w:tc>
        <w:tc>
          <w:tcPr>
            <w:tcW w:w="589" w:type="pct"/>
            <w:tcBorders>
              <w:top w:val="nil"/>
              <w:left w:val="nil"/>
              <w:bottom w:val="single" w:sz="4" w:space="0" w:color="auto"/>
              <w:right w:val="single" w:sz="4" w:space="0" w:color="auto"/>
            </w:tcBorders>
            <w:shd w:val="clear" w:color="auto" w:fill="auto"/>
            <w:vAlign w:val="center"/>
            <w:hideMark/>
          </w:tcPr>
          <w:p w14:paraId="3E3B86F8"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ÚVN</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0CB5BA07" w14:textId="77777777" w:rsidR="00815416" w:rsidRPr="00A21943" w:rsidRDefault="00815416" w:rsidP="00D6580C">
            <w:pPr>
              <w:keepNext/>
              <w:keepLines/>
              <w:jc w:val="center"/>
              <w:rPr>
                <w:rFonts w:ascii="Calibri" w:hAnsi="Calibri" w:cs="Calibri"/>
                <w:color w:val="000000"/>
                <w:sz w:val="20"/>
              </w:rPr>
            </w:pPr>
          </w:p>
        </w:tc>
        <w:tc>
          <w:tcPr>
            <w:tcW w:w="859" w:type="pct"/>
            <w:tcBorders>
              <w:top w:val="nil"/>
              <w:left w:val="nil"/>
              <w:bottom w:val="single" w:sz="4" w:space="0" w:color="auto"/>
              <w:right w:val="single" w:sz="4" w:space="0" w:color="auto"/>
            </w:tcBorders>
            <w:shd w:val="clear" w:color="auto" w:fill="auto"/>
            <w:noWrap/>
            <w:vAlign w:val="center"/>
            <w:hideMark/>
          </w:tcPr>
          <w:p w14:paraId="32AE6188"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2 211 717,27</w:t>
            </w:r>
          </w:p>
        </w:tc>
        <w:tc>
          <w:tcPr>
            <w:tcW w:w="859" w:type="pct"/>
            <w:tcBorders>
              <w:top w:val="nil"/>
              <w:left w:val="nil"/>
              <w:bottom w:val="single" w:sz="4" w:space="0" w:color="auto"/>
              <w:right w:val="single" w:sz="4" w:space="0" w:color="auto"/>
            </w:tcBorders>
            <w:shd w:val="clear" w:color="auto" w:fill="auto"/>
            <w:noWrap/>
            <w:vAlign w:val="center"/>
            <w:hideMark/>
          </w:tcPr>
          <w:p w14:paraId="66E060B7"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2 454 898,59</w:t>
            </w:r>
          </w:p>
        </w:tc>
        <w:tc>
          <w:tcPr>
            <w:tcW w:w="858" w:type="pct"/>
            <w:tcBorders>
              <w:top w:val="nil"/>
              <w:left w:val="nil"/>
              <w:bottom w:val="single" w:sz="4" w:space="0" w:color="auto"/>
              <w:right w:val="single" w:sz="4" w:space="0" w:color="auto"/>
            </w:tcBorders>
            <w:shd w:val="clear" w:color="auto" w:fill="auto"/>
            <w:noWrap/>
            <w:vAlign w:val="center"/>
            <w:hideMark/>
          </w:tcPr>
          <w:p w14:paraId="48EB432B"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2 550 626,66</w:t>
            </w:r>
          </w:p>
        </w:tc>
      </w:tr>
      <w:tr w:rsidR="00815416" w:rsidRPr="00A21943" w14:paraId="167AA629" w14:textId="77777777" w:rsidTr="004C3B13">
        <w:trPr>
          <w:trHeight w:val="227"/>
        </w:trPr>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14:paraId="3AD36D2A" w14:textId="77777777" w:rsidR="00815416" w:rsidRPr="00A21943" w:rsidRDefault="00815416" w:rsidP="00D6580C">
            <w:pPr>
              <w:keepNext/>
              <w:keepLines/>
              <w:jc w:val="left"/>
              <w:rPr>
                <w:rFonts w:ascii="Calibri" w:hAnsi="Calibri" w:cs="Calibri"/>
                <w:color w:val="000000"/>
                <w:sz w:val="20"/>
              </w:rPr>
            </w:pPr>
            <w:r w:rsidRPr="00A21943">
              <w:rPr>
                <w:rFonts w:ascii="Calibri" w:hAnsi="Calibri" w:cs="Calibri"/>
                <w:color w:val="000000"/>
                <w:sz w:val="20"/>
              </w:rPr>
              <w:t>Výnosy celkem</w:t>
            </w:r>
          </w:p>
        </w:tc>
        <w:tc>
          <w:tcPr>
            <w:tcW w:w="589" w:type="pct"/>
            <w:tcBorders>
              <w:top w:val="nil"/>
              <w:left w:val="nil"/>
              <w:bottom w:val="single" w:sz="4" w:space="0" w:color="auto"/>
              <w:right w:val="single" w:sz="4" w:space="0" w:color="auto"/>
            </w:tcBorders>
            <w:shd w:val="clear" w:color="auto" w:fill="auto"/>
            <w:vAlign w:val="center"/>
            <w:hideMark/>
          </w:tcPr>
          <w:p w14:paraId="5C0FA944"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FNB</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5FDD7AB4"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tis. Kč</w:t>
            </w:r>
          </w:p>
        </w:tc>
        <w:tc>
          <w:tcPr>
            <w:tcW w:w="859" w:type="pct"/>
            <w:tcBorders>
              <w:top w:val="nil"/>
              <w:left w:val="nil"/>
              <w:bottom w:val="single" w:sz="4" w:space="0" w:color="auto"/>
              <w:right w:val="single" w:sz="4" w:space="0" w:color="auto"/>
            </w:tcBorders>
            <w:shd w:val="clear" w:color="auto" w:fill="auto"/>
            <w:noWrap/>
            <w:vAlign w:val="center"/>
            <w:hideMark/>
          </w:tcPr>
          <w:p w14:paraId="4EB945E6"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6 588 113,88</w:t>
            </w:r>
          </w:p>
        </w:tc>
        <w:tc>
          <w:tcPr>
            <w:tcW w:w="859" w:type="pct"/>
            <w:tcBorders>
              <w:top w:val="nil"/>
              <w:left w:val="nil"/>
              <w:bottom w:val="single" w:sz="4" w:space="0" w:color="auto"/>
              <w:right w:val="single" w:sz="4" w:space="0" w:color="auto"/>
            </w:tcBorders>
            <w:shd w:val="clear" w:color="auto" w:fill="auto"/>
            <w:noWrap/>
            <w:vAlign w:val="center"/>
            <w:hideMark/>
          </w:tcPr>
          <w:p w14:paraId="34BB61B8"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6 881 839,09</w:t>
            </w:r>
          </w:p>
        </w:tc>
        <w:tc>
          <w:tcPr>
            <w:tcW w:w="858" w:type="pct"/>
            <w:tcBorders>
              <w:top w:val="nil"/>
              <w:left w:val="nil"/>
              <w:bottom w:val="single" w:sz="4" w:space="0" w:color="auto"/>
              <w:right w:val="single" w:sz="4" w:space="0" w:color="auto"/>
            </w:tcBorders>
            <w:shd w:val="clear" w:color="auto" w:fill="auto"/>
            <w:noWrap/>
            <w:vAlign w:val="center"/>
            <w:hideMark/>
          </w:tcPr>
          <w:p w14:paraId="13A0AF88" w14:textId="6744EC81"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7 659 339,53</w:t>
            </w:r>
          </w:p>
        </w:tc>
      </w:tr>
      <w:tr w:rsidR="00815416" w:rsidRPr="00A21943" w14:paraId="7DA7D673" w14:textId="77777777"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14:paraId="7A453DBF" w14:textId="77777777" w:rsidR="00815416" w:rsidRPr="00A21943" w:rsidRDefault="00815416" w:rsidP="00D6580C">
            <w:pPr>
              <w:keepNext/>
              <w:keepLines/>
              <w:jc w:val="left"/>
              <w:rPr>
                <w:rFonts w:ascii="Calibri" w:hAnsi="Calibri" w:cs="Calibri"/>
                <w:color w:val="000000"/>
                <w:sz w:val="20"/>
              </w:rPr>
            </w:pPr>
          </w:p>
        </w:tc>
        <w:tc>
          <w:tcPr>
            <w:tcW w:w="589" w:type="pct"/>
            <w:tcBorders>
              <w:top w:val="nil"/>
              <w:left w:val="nil"/>
              <w:bottom w:val="single" w:sz="4" w:space="0" w:color="auto"/>
              <w:right w:val="single" w:sz="4" w:space="0" w:color="auto"/>
            </w:tcBorders>
            <w:shd w:val="clear" w:color="auto" w:fill="auto"/>
            <w:vAlign w:val="center"/>
            <w:hideMark/>
          </w:tcPr>
          <w:p w14:paraId="4D5EB3D5"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FNM</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4525DE80" w14:textId="77777777" w:rsidR="00815416" w:rsidRPr="00A21943" w:rsidRDefault="00815416" w:rsidP="00D6580C">
            <w:pPr>
              <w:keepNext/>
              <w:keepLines/>
              <w:jc w:val="center"/>
              <w:rPr>
                <w:rFonts w:ascii="Calibri" w:hAnsi="Calibri" w:cs="Calibri"/>
                <w:color w:val="000000"/>
                <w:sz w:val="20"/>
              </w:rPr>
            </w:pPr>
          </w:p>
        </w:tc>
        <w:tc>
          <w:tcPr>
            <w:tcW w:w="859" w:type="pct"/>
            <w:tcBorders>
              <w:top w:val="nil"/>
              <w:left w:val="nil"/>
              <w:bottom w:val="single" w:sz="4" w:space="0" w:color="auto"/>
              <w:right w:val="single" w:sz="4" w:space="0" w:color="auto"/>
            </w:tcBorders>
            <w:shd w:val="clear" w:color="auto" w:fill="auto"/>
            <w:noWrap/>
            <w:vAlign w:val="center"/>
            <w:hideMark/>
          </w:tcPr>
          <w:p w14:paraId="58D5B275"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7 488 001,54</w:t>
            </w:r>
          </w:p>
        </w:tc>
        <w:tc>
          <w:tcPr>
            <w:tcW w:w="859" w:type="pct"/>
            <w:tcBorders>
              <w:top w:val="nil"/>
              <w:left w:val="nil"/>
              <w:bottom w:val="single" w:sz="4" w:space="0" w:color="auto"/>
              <w:right w:val="single" w:sz="4" w:space="0" w:color="auto"/>
            </w:tcBorders>
            <w:shd w:val="clear" w:color="auto" w:fill="auto"/>
            <w:noWrap/>
            <w:vAlign w:val="center"/>
            <w:hideMark/>
          </w:tcPr>
          <w:p w14:paraId="192C2A2B"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7 778 152,72</w:t>
            </w:r>
          </w:p>
        </w:tc>
        <w:tc>
          <w:tcPr>
            <w:tcW w:w="858" w:type="pct"/>
            <w:tcBorders>
              <w:top w:val="nil"/>
              <w:left w:val="nil"/>
              <w:bottom w:val="single" w:sz="4" w:space="0" w:color="auto"/>
              <w:right w:val="single" w:sz="4" w:space="0" w:color="auto"/>
            </w:tcBorders>
            <w:shd w:val="clear" w:color="auto" w:fill="auto"/>
            <w:noWrap/>
            <w:vAlign w:val="center"/>
            <w:hideMark/>
          </w:tcPr>
          <w:p w14:paraId="4E5A6A2B"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8 138 421,14</w:t>
            </w:r>
          </w:p>
        </w:tc>
      </w:tr>
      <w:tr w:rsidR="00815416" w:rsidRPr="00A21943" w14:paraId="524106BF" w14:textId="77777777"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14:paraId="2ADAEA06" w14:textId="77777777" w:rsidR="00815416" w:rsidRPr="00A21943" w:rsidRDefault="00815416" w:rsidP="00D6580C">
            <w:pPr>
              <w:keepNext/>
              <w:keepLines/>
              <w:jc w:val="left"/>
              <w:rPr>
                <w:rFonts w:ascii="Calibri" w:hAnsi="Calibri" w:cs="Calibri"/>
                <w:color w:val="000000"/>
                <w:sz w:val="20"/>
              </w:rPr>
            </w:pPr>
          </w:p>
        </w:tc>
        <w:tc>
          <w:tcPr>
            <w:tcW w:w="589" w:type="pct"/>
            <w:tcBorders>
              <w:top w:val="nil"/>
              <w:left w:val="nil"/>
              <w:bottom w:val="single" w:sz="4" w:space="0" w:color="auto"/>
              <w:right w:val="single" w:sz="4" w:space="0" w:color="auto"/>
            </w:tcBorders>
            <w:shd w:val="clear" w:color="auto" w:fill="auto"/>
            <w:vAlign w:val="center"/>
            <w:hideMark/>
          </w:tcPr>
          <w:p w14:paraId="2B509F8E"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ÚVN</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4F05C6FA" w14:textId="77777777" w:rsidR="00815416" w:rsidRPr="00A21943" w:rsidRDefault="00815416" w:rsidP="00D6580C">
            <w:pPr>
              <w:keepNext/>
              <w:keepLines/>
              <w:jc w:val="center"/>
              <w:rPr>
                <w:rFonts w:ascii="Calibri" w:hAnsi="Calibri" w:cs="Calibri"/>
                <w:color w:val="000000"/>
                <w:sz w:val="20"/>
              </w:rPr>
            </w:pPr>
          </w:p>
        </w:tc>
        <w:tc>
          <w:tcPr>
            <w:tcW w:w="859" w:type="pct"/>
            <w:tcBorders>
              <w:top w:val="nil"/>
              <w:left w:val="nil"/>
              <w:bottom w:val="single" w:sz="4" w:space="0" w:color="auto"/>
              <w:right w:val="single" w:sz="4" w:space="0" w:color="auto"/>
            </w:tcBorders>
            <w:shd w:val="clear" w:color="auto" w:fill="auto"/>
            <w:noWrap/>
            <w:vAlign w:val="center"/>
            <w:hideMark/>
          </w:tcPr>
          <w:p w14:paraId="2BAF4E19"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2 212 789,31</w:t>
            </w:r>
          </w:p>
        </w:tc>
        <w:tc>
          <w:tcPr>
            <w:tcW w:w="859" w:type="pct"/>
            <w:tcBorders>
              <w:top w:val="nil"/>
              <w:left w:val="nil"/>
              <w:bottom w:val="single" w:sz="4" w:space="0" w:color="auto"/>
              <w:right w:val="single" w:sz="4" w:space="0" w:color="auto"/>
            </w:tcBorders>
            <w:shd w:val="clear" w:color="auto" w:fill="auto"/>
            <w:noWrap/>
            <w:vAlign w:val="center"/>
            <w:hideMark/>
          </w:tcPr>
          <w:p w14:paraId="7F53D06C"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2 455 903,11</w:t>
            </w:r>
          </w:p>
        </w:tc>
        <w:tc>
          <w:tcPr>
            <w:tcW w:w="858" w:type="pct"/>
            <w:tcBorders>
              <w:top w:val="nil"/>
              <w:left w:val="nil"/>
              <w:bottom w:val="single" w:sz="4" w:space="0" w:color="auto"/>
              <w:right w:val="single" w:sz="4" w:space="0" w:color="auto"/>
            </w:tcBorders>
            <w:shd w:val="clear" w:color="auto" w:fill="auto"/>
            <w:noWrap/>
            <w:vAlign w:val="center"/>
            <w:hideMark/>
          </w:tcPr>
          <w:p w14:paraId="4D6FBA0B"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2 551 479,41</w:t>
            </w:r>
          </w:p>
        </w:tc>
      </w:tr>
      <w:tr w:rsidR="00815416" w:rsidRPr="00A21943" w14:paraId="79B7B557" w14:textId="77777777" w:rsidTr="004C3B13">
        <w:trPr>
          <w:trHeight w:val="227"/>
        </w:trPr>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14:paraId="23ACA38E" w14:textId="77777777" w:rsidR="00815416" w:rsidRPr="00A21943" w:rsidRDefault="00815416" w:rsidP="00D6580C">
            <w:pPr>
              <w:keepNext/>
              <w:keepLines/>
              <w:jc w:val="left"/>
              <w:rPr>
                <w:rFonts w:ascii="Calibri" w:hAnsi="Calibri" w:cs="Calibri"/>
                <w:color w:val="000000"/>
                <w:sz w:val="20"/>
              </w:rPr>
            </w:pPr>
            <w:r w:rsidRPr="00A21943">
              <w:rPr>
                <w:rFonts w:ascii="Calibri" w:hAnsi="Calibri" w:cs="Calibri"/>
                <w:color w:val="000000"/>
                <w:sz w:val="20"/>
              </w:rPr>
              <w:t>Výsledek hospodaření</w:t>
            </w:r>
          </w:p>
        </w:tc>
        <w:tc>
          <w:tcPr>
            <w:tcW w:w="589" w:type="pct"/>
            <w:tcBorders>
              <w:top w:val="nil"/>
              <w:left w:val="nil"/>
              <w:bottom w:val="single" w:sz="4" w:space="0" w:color="auto"/>
              <w:right w:val="single" w:sz="4" w:space="0" w:color="auto"/>
            </w:tcBorders>
            <w:shd w:val="clear" w:color="auto" w:fill="auto"/>
            <w:vAlign w:val="center"/>
            <w:hideMark/>
          </w:tcPr>
          <w:p w14:paraId="310B5415"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FNB</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1AA566C6"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tis. Kč</w:t>
            </w:r>
          </w:p>
        </w:tc>
        <w:tc>
          <w:tcPr>
            <w:tcW w:w="859" w:type="pct"/>
            <w:tcBorders>
              <w:top w:val="nil"/>
              <w:left w:val="nil"/>
              <w:bottom w:val="single" w:sz="4" w:space="0" w:color="auto"/>
              <w:right w:val="single" w:sz="4" w:space="0" w:color="auto"/>
            </w:tcBorders>
            <w:shd w:val="clear" w:color="auto" w:fill="auto"/>
            <w:vAlign w:val="center"/>
            <w:hideMark/>
          </w:tcPr>
          <w:p w14:paraId="566475CC"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543,48</w:t>
            </w:r>
          </w:p>
        </w:tc>
        <w:tc>
          <w:tcPr>
            <w:tcW w:w="859" w:type="pct"/>
            <w:tcBorders>
              <w:top w:val="nil"/>
              <w:left w:val="nil"/>
              <w:bottom w:val="single" w:sz="4" w:space="0" w:color="auto"/>
              <w:right w:val="single" w:sz="4" w:space="0" w:color="auto"/>
            </w:tcBorders>
            <w:shd w:val="clear" w:color="auto" w:fill="auto"/>
            <w:vAlign w:val="center"/>
            <w:hideMark/>
          </w:tcPr>
          <w:p w14:paraId="6707F1F7"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7 951,43</w:t>
            </w:r>
          </w:p>
        </w:tc>
        <w:tc>
          <w:tcPr>
            <w:tcW w:w="858" w:type="pct"/>
            <w:tcBorders>
              <w:top w:val="nil"/>
              <w:left w:val="nil"/>
              <w:bottom w:val="single" w:sz="4" w:space="0" w:color="auto"/>
              <w:right w:val="single" w:sz="4" w:space="0" w:color="auto"/>
            </w:tcBorders>
            <w:shd w:val="clear" w:color="auto" w:fill="auto"/>
            <w:vAlign w:val="center"/>
            <w:hideMark/>
          </w:tcPr>
          <w:p w14:paraId="36DA8F49"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479,946</w:t>
            </w:r>
          </w:p>
        </w:tc>
      </w:tr>
      <w:tr w:rsidR="00815416" w:rsidRPr="00A21943" w14:paraId="5C4B1616" w14:textId="77777777"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14:paraId="17B4B1EF" w14:textId="77777777" w:rsidR="00815416" w:rsidRPr="00A21943" w:rsidRDefault="00815416" w:rsidP="00D6580C">
            <w:pPr>
              <w:keepNext/>
              <w:keepLines/>
              <w:jc w:val="left"/>
              <w:rPr>
                <w:rFonts w:ascii="Calibri" w:hAnsi="Calibri" w:cs="Calibri"/>
                <w:color w:val="000000"/>
                <w:sz w:val="20"/>
              </w:rPr>
            </w:pPr>
          </w:p>
        </w:tc>
        <w:tc>
          <w:tcPr>
            <w:tcW w:w="589" w:type="pct"/>
            <w:tcBorders>
              <w:top w:val="nil"/>
              <w:left w:val="nil"/>
              <w:bottom w:val="single" w:sz="4" w:space="0" w:color="auto"/>
              <w:right w:val="single" w:sz="4" w:space="0" w:color="auto"/>
            </w:tcBorders>
            <w:shd w:val="clear" w:color="auto" w:fill="auto"/>
            <w:vAlign w:val="center"/>
            <w:hideMark/>
          </w:tcPr>
          <w:p w14:paraId="0A1AE3E3"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FNM</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44A52892" w14:textId="77777777" w:rsidR="00815416" w:rsidRPr="00A21943" w:rsidRDefault="00815416" w:rsidP="00D6580C">
            <w:pPr>
              <w:keepNext/>
              <w:keepLines/>
              <w:jc w:val="center"/>
              <w:rPr>
                <w:rFonts w:ascii="Calibri" w:hAnsi="Calibri" w:cs="Calibri"/>
                <w:color w:val="000000"/>
                <w:sz w:val="20"/>
              </w:rPr>
            </w:pPr>
          </w:p>
        </w:tc>
        <w:tc>
          <w:tcPr>
            <w:tcW w:w="859" w:type="pct"/>
            <w:tcBorders>
              <w:top w:val="nil"/>
              <w:left w:val="nil"/>
              <w:bottom w:val="single" w:sz="4" w:space="0" w:color="auto"/>
              <w:right w:val="single" w:sz="4" w:space="0" w:color="auto"/>
            </w:tcBorders>
            <w:shd w:val="clear" w:color="auto" w:fill="auto"/>
            <w:vAlign w:val="center"/>
            <w:hideMark/>
          </w:tcPr>
          <w:p w14:paraId="0F125038"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1 012,94</w:t>
            </w:r>
          </w:p>
        </w:tc>
        <w:tc>
          <w:tcPr>
            <w:tcW w:w="859" w:type="pct"/>
            <w:tcBorders>
              <w:top w:val="nil"/>
              <w:left w:val="nil"/>
              <w:bottom w:val="single" w:sz="4" w:space="0" w:color="auto"/>
              <w:right w:val="single" w:sz="4" w:space="0" w:color="auto"/>
            </w:tcBorders>
            <w:shd w:val="clear" w:color="auto" w:fill="auto"/>
            <w:vAlign w:val="center"/>
            <w:hideMark/>
          </w:tcPr>
          <w:p w14:paraId="4C9C2C64"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2 951,62</w:t>
            </w:r>
          </w:p>
        </w:tc>
        <w:tc>
          <w:tcPr>
            <w:tcW w:w="858" w:type="pct"/>
            <w:tcBorders>
              <w:top w:val="nil"/>
              <w:left w:val="nil"/>
              <w:bottom w:val="single" w:sz="4" w:space="0" w:color="auto"/>
              <w:right w:val="single" w:sz="4" w:space="0" w:color="auto"/>
            </w:tcBorders>
            <w:shd w:val="clear" w:color="auto" w:fill="auto"/>
            <w:vAlign w:val="center"/>
            <w:hideMark/>
          </w:tcPr>
          <w:p w14:paraId="1E5FCD13"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4 150,61</w:t>
            </w:r>
          </w:p>
        </w:tc>
      </w:tr>
      <w:tr w:rsidR="00815416" w:rsidRPr="00A21943" w14:paraId="2EE82F37" w14:textId="77777777"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14:paraId="479B2F12" w14:textId="77777777" w:rsidR="00815416" w:rsidRPr="00A21943" w:rsidRDefault="00815416" w:rsidP="00D6580C">
            <w:pPr>
              <w:keepNext/>
              <w:keepLines/>
              <w:jc w:val="left"/>
              <w:rPr>
                <w:rFonts w:ascii="Calibri" w:hAnsi="Calibri" w:cs="Calibri"/>
                <w:color w:val="000000"/>
                <w:sz w:val="20"/>
              </w:rPr>
            </w:pPr>
          </w:p>
        </w:tc>
        <w:tc>
          <w:tcPr>
            <w:tcW w:w="589" w:type="pct"/>
            <w:tcBorders>
              <w:top w:val="nil"/>
              <w:left w:val="nil"/>
              <w:bottom w:val="single" w:sz="4" w:space="0" w:color="auto"/>
              <w:right w:val="single" w:sz="4" w:space="0" w:color="auto"/>
            </w:tcBorders>
            <w:shd w:val="clear" w:color="auto" w:fill="auto"/>
            <w:vAlign w:val="center"/>
            <w:hideMark/>
          </w:tcPr>
          <w:p w14:paraId="2769A0A7"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ÚVN</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1A44FBB7" w14:textId="77777777" w:rsidR="00815416" w:rsidRPr="00A21943" w:rsidRDefault="00815416" w:rsidP="00D6580C">
            <w:pPr>
              <w:keepNext/>
              <w:keepLines/>
              <w:jc w:val="center"/>
              <w:rPr>
                <w:rFonts w:ascii="Calibri" w:hAnsi="Calibri" w:cs="Calibri"/>
                <w:color w:val="000000"/>
                <w:sz w:val="20"/>
              </w:rPr>
            </w:pPr>
          </w:p>
        </w:tc>
        <w:tc>
          <w:tcPr>
            <w:tcW w:w="859" w:type="pct"/>
            <w:tcBorders>
              <w:top w:val="nil"/>
              <w:left w:val="nil"/>
              <w:bottom w:val="single" w:sz="4" w:space="0" w:color="auto"/>
              <w:right w:val="single" w:sz="4" w:space="0" w:color="auto"/>
            </w:tcBorders>
            <w:shd w:val="clear" w:color="auto" w:fill="auto"/>
            <w:vAlign w:val="center"/>
            <w:hideMark/>
          </w:tcPr>
          <w:p w14:paraId="6379552C"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1 072,04</w:t>
            </w:r>
          </w:p>
        </w:tc>
        <w:tc>
          <w:tcPr>
            <w:tcW w:w="859" w:type="pct"/>
            <w:tcBorders>
              <w:top w:val="nil"/>
              <w:left w:val="nil"/>
              <w:bottom w:val="single" w:sz="4" w:space="0" w:color="auto"/>
              <w:right w:val="single" w:sz="4" w:space="0" w:color="auto"/>
            </w:tcBorders>
            <w:shd w:val="clear" w:color="auto" w:fill="auto"/>
            <w:vAlign w:val="center"/>
            <w:hideMark/>
          </w:tcPr>
          <w:p w14:paraId="40C573F1"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1 004,52</w:t>
            </w:r>
          </w:p>
        </w:tc>
        <w:tc>
          <w:tcPr>
            <w:tcW w:w="858" w:type="pct"/>
            <w:tcBorders>
              <w:top w:val="nil"/>
              <w:left w:val="nil"/>
              <w:bottom w:val="single" w:sz="4" w:space="0" w:color="auto"/>
              <w:right w:val="single" w:sz="4" w:space="0" w:color="auto"/>
            </w:tcBorders>
            <w:shd w:val="clear" w:color="auto" w:fill="auto"/>
            <w:vAlign w:val="center"/>
            <w:hideMark/>
          </w:tcPr>
          <w:p w14:paraId="71FDC129"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852,75</w:t>
            </w:r>
          </w:p>
        </w:tc>
      </w:tr>
      <w:tr w:rsidR="00815416" w:rsidRPr="00A21943" w14:paraId="0489EEFF" w14:textId="77777777" w:rsidTr="004C3B13">
        <w:trPr>
          <w:trHeight w:val="227"/>
        </w:trPr>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14:paraId="1C682B6C" w14:textId="77777777" w:rsidR="00815416" w:rsidRPr="00A21943" w:rsidRDefault="00815416" w:rsidP="00D6580C">
            <w:pPr>
              <w:keepNext/>
              <w:keepLines/>
              <w:jc w:val="left"/>
              <w:rPr>
                <w:rFonts w:ascii="Calibri" w:hAnsi="Calibri" w:cs="Calibri"/>
                <w:color w:val="000000"/>
                <w:sz w:val="20"/>
              </w:rPr>
            </w:pPr>
            <w:r w:rsidRPr="00A21943">
              <w:rPr>
                <w:rFonts w:ascii="Calibri" w:hAnsi="Calibri" w:cs="Calibri"/>
                <w:color w:val="000000"/>
                <w:sz w:val="20"/>
              </w:rPr>
              <w:t>Náklady na léčivé přípravky</w:t>
            </w:r>
          </w:p>
        </w:tc>
        <w:tc>
          <w:tcPr>
            <w:tcW w:w="589" w:type="pct"/>
            <w:tcBorders>
              <w:top w:val="nil"/>
              <w:left w:val="nil"/>
              <w:bottom w:val="single" w:sz="4" w:space="0" w:color="auto"/>
              <w:right w:val="single" w:sz="4" w:space="0" w:color="auto"/>
            </w:tcBorders>
            <w:shd w:val="clear" w:color="auto" w:fill="auto"/>
            <w:vAlign w:val="center"/>
            <w:hideMark/>
          </w:tcPr>
          <w:p w14:paraId="63568AED"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FNB</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0A1C84E3"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tis. Kč</w:t>
            </w:r>
          </w:p>
        </w:tc>
        <w:tc>
          <w:tcPr>
            <w:tcW w:w="859" w:type="pct"/>
            <w:tcBorders>
              <w:top w:val="nil"/>
              <w:left w:val="nil"/>
              <w:bottom w:val="single" w:sz="4" w:space="0" w:color="auto"/>
              <w:right w:val="single" w:sz="4" w:space="0" w:color="auto"/>
            </w:tcBorders>
            <w:shd w:val="clear" w:color="auto" w:fill="auto"/>
            <w:vAlign w:val="center"/>
            <w:hideMark/>
          </w:tcPr>
          <w:p w14:paraId="0322A354"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1 655 371,94</w:t>
            </w:r>
          </w:p>
        </w:tc>
        <w:tc>
          <w:tcPr>
            <w:tcW w:w="859" w:type="pct"/>
            <w:tcBorders>
              <w:top w:val="nil"/>
              <w:left w:val="nil"/>
              <w:bottom w:val="single" w:sz="4" w:space="0" w:color="auto"/>
              <w:right w:val="single" w:sz="4" w:space="0" w:color="auto"/>
            </w:tcBorders>
            <w:shd w:val="clear" w:color="auto" w:fill="auto"/>
            <w:vAlign w:val="center"/>
            <w:hideMark/>
          </w:tcPr>
          <w:p w14:paraId="62E07D18"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1 806 487,17</w:t>
            </w:r>
          </w:p>
        </w:tc>
        <w:tc>
          <w:tcPr>
            <w:tcW w:w="858" w:type="pct"/>
            <w:tcBorders>
              <w:top w:val="nil"/>
              <w:left w:val="nil"/>
              <w:bottom w:val="single" w:sz="4" w:space="0" w:color="auto"/>
              <w:right w:val="single" w:sz="4" w:space="0" w:color="auto"/>
            </w:tcBorders>
            <w:shd w:val="clear" w:color="auto" w:fill="auto"/>
            <w:vAlign w:val="center"/>
            <w:hideMark/>
          </w:tcPr>
          <w:p w14:paraId="592BE8AC"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2 085 461,23</w:t>
            </w:r>
          </w:p>
        </w:tc>
      </w:tr>
      <w:tr w:rsidR="00815416" w:rsidRPr="00A21943" w14:paraId="1355F3E2" w14:textId="77777777"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14:paraId="3AA25E51" w14:textId="77777777" w:rsidR="00815416" w:rsidRPr="00A21943" w:rsidRDefault="00815416" w:rsidP="00D6580C">
            <w:pPr>
              <w:keepNext/>
              <w:keepLines/>
              <w:jc w:val="left"/>
              <w:rPr>
                <w:rFonts w:ascii="Calibri" w:hAnsi="Calibri" w:cs="Calibri"/>
                <w:color w:val="000000"/>
                <w:sz w:val="20"/>
              </w:rPr>
            </w:pPr>
          </w:p>
        </w:tc>
        <w:tc>
          <w:tcPr>
            <w:tcW w:w="589" w:type="pct"/>
            <w:tcBorders>
              <w:top w:val="nil"/>
              <w:left w:val="nil"/>
              <w:bottom w:val="single" w:sz="4" w:space="0" w:color="auto"/>
              <w:right w:val="single" w:sz="4" w:space="0" w:color="auto"/>
            </w:tcBorders>
            <w:shd w:val="clear" w:color="auto" w:fill="auto"/>
            <w:vAlign w:val="center"/>
            <w:hideMark/>
          </w:tcPr>
          <w:p w14:paraId="02090D51"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FNM</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30507F45" w14:textId="77777777" w:rsidR="00815416" w:rsidRPr="00A21943" w:rsidRDefault="00815416" w:rsidP="00D6580C">
            <w:pPr>
              <w:keepNext/>
              <w:keepLines/>
              <w:jc w:val="center"/>
              <w:rPr>
                <w:rFonts w:ascii="Calibri" w:hAnsi="Calibri" w:cs="Calibri"/>
                <w:color w:val="000000"/>
                <w:sz w:val="20"/>
              </w:rPr>
            </w:pPr>
          </w:p>
        </w:tc>
        <w:tc>
          <w:tcPr>
            <w:tcW w:w="859" w:type="pct"/>
            <w:tcBorders>
              <w:top w:val="nil"/>
              <w:left w:val="nil"/>
              <w:bottom w:val="single" w:sz="4" w:space="0" w:color="auto"/>
              <w:right w:val="single" w:sz="4" w:space="0" w:color="auto"/>
            </w:tcBorders>
            <w:shd w:val="clear" w:color="auto" w:fill="auto"/>
            <w:vAlign w:val="center"/>
            <w:hideMark/>
          </w:tcPr>
          <w:p w14:paraId="1B2F3F4E"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1 251 483,94</w:t>
            </w:r>
          </w:p>
        </w:tc>
        <w:tc>
          <w:tcPr>
            <w:tcW w:w="859" w:type="pct"/>
            <w:tcBorders>
              <w:top w:val="nil"/>
              <w:left w:val="nil"/>
              <w:bottom w:val="single" w:sz="4" w:space="0" w:color="auto"/>
              <w:right w:val="single" w:sz="4" w:space="0" w:color="auto"/>
            </w:tcBorders>
            <w:shd w:val="clear" w:color="auto" w:fill="auto"/>
            <w:vAlign w:val="center"/>
            <w:hideMark/>
          </w:tcPr>
          <w:p w14:paraId="7E9C5784"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1 333 835,77</w:t>
            </w:r>
          </w:p>
        </w:tc>
        <w:tc>
          <w:tcPr>
            <w:tcW w:w="858" w:type="pct"/>
            <w:tcBorders>
              <w:top w:val="nil"/>
              <w:left w:val="nil"/>
              <w:bottom w:val="single" w:sz="4" w:space="0" w:color="auto"/>
              <w:right w:val="single" w:sz="4" w:space="0" w:color="auto"/>
            </w:tcBorders>
            <w:shd w:val="clear" w:color="auto" w:fill="auto"/>
            <w:vAlign w:val="center"/>
            <w:hideMark/>
          </w:tcPr>
          <w:p w14:paraId="4ED66E65"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1 477 736,11</w:t>
            </w:r>
          </w:p>
        </w:tc>
      </w:tr>
      <w:tr w:rsidR="00815416" w:rsidRPr="00A21943" w14:paraId="48EF332E" w14:textId="77777777"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14:paraId="6379DAC0" w14:textId="77777777" w:rsidR="00815416" w:rsidRPr="00A21943" w:rsidRDefault="00815416" w:rsidP="00D6580C">
            <w:pPr>
              <w:keepNext/>
              <w:keepLines/>
              <w:jc w:val="left"/>
              <w:rPr>
                <w:rFonts w:ascii="Calibri" w:hAnsi="Calibri" w:cs="Calibri"/>
                <w:color w:val="000000"/>
                <w:sz w:val="20"/>
              </w:rPr>
            </w:pPr>
          </w:p>
        </w:tc>
        <w:tc>
          <w:tcPr>
            <w:tcW w:w="589" w:type="pct"/>
            <w:tcBorders>
              <w:top w:val="nil"/>
              <w:left w:val="nil"/>
              <w:bottom w:val="single" w:sz="4" w:space="0" w:color="auto"/>
              <w:right w:val="single" w:sz="4" w:space="0" w:color="auto"/>
            </w:tcBorders>
            <w:shd w:val="clear" w:color="auto" w:fill="auto"/>
            <w:vAlign w:val="center"/>
            <w:hideMark/>
          </w:tcPr>
          <w:p w14:paraId="54C9D3B0"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ÚVN</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5DCADBE8" w14:textId="77777777" w:rsidR="00815416" w:rsidRPr="00A21943" w:rsidRDefault="00815416" w:rsidP="00D6580C">
            <w:pPr>
              <w:keepNext/>
              <w:keepLines/>
              <w:jc w:val="center"/>
              <w:rPr>
                <w:rFonts w:ascii="Calibri" w:hAnsi="Calibri" w:cs="Calibri"/>
                <w:color w:val="000000"/>
                <w:sz w:val="20"/>
              </w:rPr>
            </w:pPr>
          </w:p>
        </w:tc>
        <w:tc>
          <w:tcPr>
            <w:tcW w:w="859" w:type="pct"/>
            <w:tcBorders>
              <w:top w:val="nil"/>
              <w:left w:val="nil"/>
              <w:bottom w:val="single" w:sz="4" w:space="0" w:color="auto"/>
              <w:right w:val="single" w:sz="4" w:space="0" w:color="auto"/>
            </w:tcBorders>
            <w:shd w:val="clear" w:color="auto" w:fill="auto"/>
            <w:vAlign w:val="center"/>
            <w:hideMark/>
          </w:tcPr>
          <w:p w14:paraId="4A632C5F"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141 119,58</w:t>
            </w:r>
          </w:p>
        </w:tc>
        <w:tc>
          <w:tcPr>
            <w:tcW w:w="859" w:type="pct"/>
            <w:tcBorders>
              <w:top w:val="nil"/>
              <w:left w:val="nil"/>
              <w:bottom w:val="single" w:sz="4" w:space="0" w:color="auto"/>
              <w:right w:val="single" w:sz="4" w:space="0" w:color="auto"/>
            </w:tcBorders>
            <w:shd w:val="clear" w:color="auto" w:fill="auto"/>
            <w:vAlign w:val="center"/>
            <w:hideMark/>
          </w:tcPr>
          <w:p w14:paraId="59AA113A"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157 737,61</w:t>
            </w:r>
          </w:p>
        </w:tc>
        <w:tc>
          <w:tcPr>
            <w:tcW w:w="858" w:type="pct"/>
            <w:tcBorders>
              <w:top w:val="nil"/>
              <w:left w:val="nil"/>
              <w:bottom w:val="single" w:sz="4" w:space="0" w:color="auto"/>
              <w:right w:val="single" w:sz="4" w:space="0" w:color="auto"/>
            </w:tcBorders>
            <w:shd w:val="clear" w:color="auto" w:fill="auto"/>
            <w:vAlign w:val="center"/>
            <w:hideMark/>
          </w:tcPr>
          <w:p w14:paraId="6C63BA4E"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210 317,45</w:t>
            </w:r>
          </w:p>
        </w:tc>
      </w:tr>
      <w:tr w:rsidR="00815416" w:rsidRPr="00A21943" w14:paraId="64B53FF2" w14:textId="77777777" w:rsidTr="004C3B13">
        <w:trPr>
          <w:trHeight w:val="227"/>
        </w:trPr>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14:paraId="1B8B3478" w14:textId="77777777" w:rsidR="00815416" w:rsidRPr="00A21943" w:rsidRDefault="00815416" w:rsidP="00D6580C">
            <w:pPr>
              <w:keepNext/>
              <w:keepLines/>
              <w:jc w:val="left"/>
              <w:rPr>
                <w:rFonts w:ascii="Calibri" w:hAnsi="Calibri" w:cs="Calibri"/>
                <w:color w:val="000000"/>
                <w:sz w:val="20"/>
              </w:rPr>
            </w:pPr>
            <w:r w:rsidRPr="00A21943">
              <w:rPr>
                <w:rFonts w:ascii="Calibri" w:hAnsi="Calibri" w:cs="Calibri"/>
                <w:color w:val="000000"/>
                <w:sz w:val="20"/>
              </w:rPr>
              <w:t>Náklady na zdravotnické prostředky</w:t>
            </w:r>
            <w:r w:rsidRPr="00A21943">
              <w:rPr>
                <w:rStyle w:val="Znakapoznpodarou"/>
                <w:rFonts w:ascii="Calibri" w:hAnsi="Calibri" w:cs="Calibri"/>
                <w:color w:val="000000"/>
                <w:sz w:val="20"/>
              </w:rPr>
              <w:footnoteReference w:id="27"/>
            </w:r>
          </w:p>
        </w:tc>
        <w:tc>
          <w:tcPr>
            <w:tcW w:w="589" w:type="pct"/>
            <w:tcBorders>
              <w:top w:val="nil"/>
              <w:left w:val="nil"/>
              <w:bottom w:val="single" w:sz="4" w:space="0" w:color="auto"/>
              <w:right w:val="single" w:sz="4" w:space="0" w:color="auto"/>
            </w:tcBorders>
            <w:shd w:val="clear" w:color="auto" w:fill="auto"/>
            <w:vAlign w:val="center"/>
            <w:hideMark/>
          </w:tcPr>
          <w:p w14:paraId="4668A161"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FNB</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3703F283"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tis. Kč</w:t>
            </w:r>
          </w:p>
        </w:tc>
        <w:tc>
          <w:tcPr>
            <w:tcW w:w="859" w:type="pct"/>
            <w:tcBorders>
              <w:top w:val="nil"/>
              <w:left w:val="nil"/>
              <w:bottom w:val="single" w:sz="4" w:space="0" w:color="auto"/>
              <w:right w:val="single" w:sz="4" w:space="0" w:color="auto"/>
            </w:tcBorders>
            <w:shd w:val="clear" w:color="auto" w:fill="auto"/>
            <w:vAlign w:val="center"/>
            <w:hideMark/>
          </w:tcPr>
          <w:p w14:paraId="2D7B5120"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708 273,05</w:t>
            </w:r>
          </w:p>
        </w:tc>
        <w:tc>
          <w:tcPr>
            <w:tcW w:w="859" w:type="pct"/>
            <w:tcBorders>
              <w:top w:val="nil"/>
              <w:left w:val="nil"/>
              <w:bottom w:val="single" w:sz="4" w:space="0" w:color="auto"/>
              <w:right w:val="single" w:sz="4" w:space="0" w:color="auto"/>
            </w:tcBorders>
            <w:shd w:val="clear" w:color="auto" w:fill="auto"/>
            <w:vAlign w:val="center"/>
            <w:hideMark/>
          </w:tcPr>
          <w:p w14:paraId="6EE401AD"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703 494,78</w:t>
            </w:r>
          </w:p>
        </w:tc>
        <w:tc>
          <w:tcPr>
            <w:tcW w:w="858" w:type="pct"/>
            <w:tcBorders>
              <w:top w:val="nil"/>
              <w:left w:val="nil"/>
              <w:bottom w:val="single" w:sz="4" w:space="0" w:color="auto"/>
              <w:right w:val="single" w:sz="4" w:space="0" w:color="auto"/>
            </w:tcBorders>
            <w:shd w:val="clear" w:color="auto" w:fill="auto"/>
            <w:vAlign w:val="center"/>
            <w:hideMark/>
          </w:tcPr>
          <w:p w14:paraId="3C214DDF"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730 820,72</w:t>
            </w:r>
          </w:p>
        </w:tc>
      </w:tr>
      <w:tr w:rsidR="00815416" w:rsidRPr="00A21943" w14:paraId="05E1DA08" w14:textId="77777777"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14:paraId="18632240" w14:textId="77777777" w:rsidR="00815416" w:rsidRPr="00A21943" w:rsidRDefault="00815416" w:rsidP="00D6580C">
            <w:pPr>
              <w:keepNext/>
              <w:keepLines/>
              <w:jc w:val="left"/>
              <w:rPr>
                <w:rFonts w:ascii="Calibri" w:hAnsi="Calibri" w:cs="Calibri"/>
                <w:color w:val="000000"/>
                <w:sz w:val="20"/>
              </w:rPr>
            </w:pPr>
          </w:p>
        </w:tc>
        <w:tc>
          <w:tcPr>
            <w:tcW w:w="589" w:type="pct"/>
            <w:tcBorders>
              <w:top w:val="nil"/>
              <w:left w:val="nil"/>
              <w:bottom w:val="single" w:sz="4" w:space="0" w:color="auto"/>
              <w:right w:val="single" w:sz="4" w:space="0" w:color="auto"/>
            </w:tcBorders>
            <w:shd w:val="clear" w:color="auto" w:fill="auto"/>
            <w:vAlign w:val="center"/>
            <w:hideMark/>
          </w:tcPr>
          <w:p w14:paraId="2E25A3FA"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FNM</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75108688" w14:textId="77777777" w:rsidR="00815416" w:rsidRPr="00A21943" w:rsidRDefault="00815416" w:rsidP="00D6580C">
            <w:pPr>
              <w:keepNext/>
              <w:keepLines/>
              <w:jc w:val="center"/>
              <w:rPr>
                <w:rFonts w:ascii="Calibri" w:hAnsi="Calibri" w:cs="Calibri"/>
                <w:color w:val="000000"/>
                <w:sz w:val="20"/>
              </w:rPr>
            </w:pPr>
          </w:p>
        </w:tc>
        <w:tc>
          <w:tcPr>
            <w:tcW w:w="859" w:type="pct"/>
            <w:tcBorders>
              <w:top w:val="nil"/>
              <w:left w:val="nil"/>
              <w:bottom w:val="single" w:sz="4" w:space="0" w:color="auto"/>
              <w:right w:val="single" w:sz="4" w:space="0" w:color="auto"/>
            </w:tcBorders>
            <w:shd w:val="clear" w:color="auto" w:fill="auto"/>
            <w:vAlign w:val="center"/>
            <w:hideMark/>
          </w:tcPr>
          <w:p w14:paraId="16061202"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808 992,74</w:t>
            </w:r>
          </w:p>
        </w:tc>
        <w:tc>
          <w:tcPr>
            <w:tcW w:w="859" w:type="pct"/>
            <w:tcBorders>
              <w:top w:val="nil"/>
              <w:left w:val="nil"/>
              <w:bottom w:val="single" w:sz="4" w:space="0" w:color="auto"/>
              <w:right w:val="single" w:sz="4" w:space="0" w:color="auto"/>
            </w:tcBorders>
            <w:shd w:val="clear" w:color="auto" w:fill="auto"/>
            <w:vAlign w:val="center"/>
            <w:hideMark/>
          </w:tcPr>
          <w:p w14:paraId="01EDA149"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829 716,84</w:t>
            </w:r>
          </w:p>
        </w:tc>
        <w:tc>
          <w:tcPr>
            <w:tcW w:w="858" w:type="pct"/>
            <w:tcBorders>
              <w:top w:val="nil"/>
              <w:left w:val="nil"/>
              <w:bottom w:val="single" w:sz="4" w:space="0" w:color="auto"/>
              <w:right w:val="single" w:sz="4" w:space="0" w:color="auto"/>
            </w:tcBorders>
            <w:shd w:val="clear" w:color="auto" w:fill="auto"/>
            <w:vAlign w:val="center"/>
            <w:hideMark/>
          </w:tcPr>
          <w:p w14:paraId="145116BC"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894 714,30</w:t>
            </w:r>
          </w:p>
        </w:tc>
      </w:tr>
      <w:tr w:rsidR="00815416" w:rsidRPr="00A21943" w14:paraId="512B1E6B" w14:textId="77777777"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14:paraId="44762412" w14:textId="77777777" w:rsidR="00815416" w:rsidRPr="00A21943" w:rsidRDefault="00815416" w:rsidP="00D6580C">
            <w:pPr>
              <w:keepNext/>
              <w:keepLines/>
              <w:jc w:val="left"/>
              <w:rPr>
                <w:rFonts w:ascii="Calibri" w:hAnsi="Calibri" w:cs="Calibri"/>
                <w:color w:val="000000"/>
                <w:sz w:val="20"/>
              </w:rPr>
            </w:pPr>
          </w:p>
        </w:tc>
        <w:tc>
          <w:tcPr>
            <w:tcW w:w="589" w:type="pct"/>
            <w:tcBorders>
              <w:top w:val="nil"/>
              <w:left w:val="nil"/>
              <w:bottom w:val="single" w:sz="4" w:space="0" w:color="auto"/>
              <w:right w:val="single" w:sz="4" w:space="0" w:color="auto"/>
            </w:tcBorders>
            <w:shd w:val="clear" w:color="auto" w:fill="auto"/>
            <w:vAlign w:val="center"/>
            <w:hideMark/>
          </w:tcPr>
          <w:p w14:paraId="0352A51A"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ÚVN</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149492C4" w14:textId="77777777" w:rsidR="00815416" w:rsidRPr="00A21943" w:rsidRDefault="00815416" w:rsidP="00D6580C">
            <w:pPr>
              <w:keepNext/>
              <w:keepLines/>
              <w:jc w:val="center"/>
              <w:rPr>
                <w:rFonts w:ascii="Calibri" w:hAnsi="Calibri" w:cs="Calibri"/>
                <w:color w:val="000000"/>
                <w:sz w:val="20"/>
              </w:rPr>
            </w:pPr>
          </w:p>
        </w:tc>
        <w:tc>
          <w:tcPr>
            <w:tcW w:w="859" w:type="pct"/>
            <w:tcBorders>
              <w:top w:val="nil"/>
              <w:left w:val="nil"/>
              <w:bottom w:val="single" w:sz="4" w:space="0" w:color="auto"/>
              <w:right w:val="single" w:sz="4" w:space="0" w:color="auto"/>
            </w:tcBorders>
            <w:shd w:val="clear" w:color="auto" w:fill="auto"/>
            <w:vAlign w:val="center"/>
            <w:hideMark/>
          </w:tcPr>
          <w:p w14:paraId="22CF2526"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349 256,99</w:t>
            </w:r>
          </w:p>
        </w:tc>
        <w:tc>
          <w:tcPr>
            <w:tcW w:w="859" w:type="pct"/>
            <w:tcBorders>
              <w:top w:val="nil"/>
              <w:left w:val="nil"/>
              <w:bottom w:val="single" w:sz="4" w:space="0" w:color="auto"/>
              <w:right w:val="single" w:sz="4" w:space="0" w:color="auto"/>
            </w:tcBorders>
            <w:shd w:val="clear" w:color="auto" w:fill="auto"/>
            <w:vAlign w:val="center"/>
            <w:hideMark/>
          </w:tcPr>
          <w:p w14:paraId="7FD0F945"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365 104,47</w:t>
            </w:r>
          </w:p>
        </w:tc>
        <w:tc>
          <w:tcPr>
            <w:tcW w:w="858" w:type="pct"/>
            <w:tcBorders>
              <w:top w:val="nil"/>
              <w:left w:val="nil"/>
              <w:bottom w:val="single" w:sz="4" w:space="0" w:color="auto"/>
              <w:right w:val="single" w:sz="4" w:space="0" w:color="auto"/>
            </w:tcBorders>
            <w:shd w:val="clear" w:color="auto" w:fill="auto"/>
            <w:vAlign w:val="center"/>
            <w:hideMark/>
          </w:tcPr>
          <w:p w14:paraId="0EF7BD70"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370 461,96</w:t>
            </w:r>
          </w:p>
        </w:tc>
      </w:tr>
      <w:tr w:rsidR="00815416" w:rsidRPr="00A21943" w14:paraId="45103C24" w14:textId="77777777" w:rsidTr="004C3B13">
        <w:trPr>
          <w:trHeight w:val="227"/>
        </w:trPr>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14:paraId="7E3AD991" w14:textId="77777777" w:rsidR="00815416" w:rsidRPr="00A21943" w:rsidRDefault="00815416" w:rsidP="00D6580C">
            <w:pPr>
              <w:keepNext/>
              <w:keepLines/>
              <w:jc w:val="left"/>
              <w:rPr>
                <w:rFonts w:ascii="Calibri" w:hAnsi="Calibri" w:cs="Calibri"/>
                <w:color w:val="000000"/>
                <w:sz w:val="20"/>
              </w:rPr>
            </w:pPr>
            <w:r w:rsidRPr="00A21943">
              <w:rPr>
                <w:rFonts w:ascii="Calibri" w:hAnsi="Calibri" w:cs="Calibri"/>
                <w:color w:val="000000"/>
                <w:sz w:val="20"/>
              </w:rPr>
              <w:t>Bonusy</w:t>
            </w:r>
            <w:r w:rsidRPr="00A21943">
              <w:rPr>
                <w:rStyle w:val="Znakapoznpodarou"/>
                <w:rFonts w:ascii="Calibri" w:hAnsi="Calibri" w:cs="Calibri"/>
                <w:color w:val="000000"/>
                <w:sz w:val="20"/>
              </w:rPr>
              <w:footnoteReference w:id="28"/>
            </w:r>
            <w:r w:rsidRPr="00A21943">
              <w:rPr>
                <w:rFonts w:ascii="Calibri" w:hAnsi="Calibri" w:cs="Calibri"/>
                <w:color w:val="000000"/>
                <w:sz w:val="20"/>
              </w:rPr>
              <w:t xml:space="preserve"> za léčivé přípravky a zdravotnické prostředky</w:t>
            </w:r>
          </w:p>
        </w:tc>
        <w:tc>
          <w:tcPr>
            <w:tcW w:w="589" w:type="pct"/>
            <w:tcBorders>
              <w:top w:val="nil"/>
              <w:left w:val="nil"/>
              <w:bottom w:val="single" w:sz="4" w:space="0" w:color="auto"/>
              <w:right w:val="single" w:sz="4" w:space="0" w:color="auto"/>
            </w:tcBorders>
            <w:shd w:val="clear" w:color="auto" w:fill="auto"/>
            <w:vAlign w:val="center"/>
            <w:hideMark/>
          </w:tcPr>
          <w:p w14:paraId="32B982B1"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FNB</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11D79340"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tis. Kč</w:t>
            </w:r>
          </w:p>
        </w:tc>
        <w:tc>
          <w:tcPr>
            <w:tcW w:w="859" w:type="pct"/>
            <w:tcBorders>
              <w:top w:val="nil"/>
              <w:left w:val="nil"/>
              <w:bottom w:val="single" w:sz="4" w:space="0" w:color="auto"/>
              <w:right w:val="single" w:sz="4" w:space="0" w:color="auto"/>
            </w:tcBorders>
            <w:shd w:val="clear" w:color="auto" w:fill="auto"/>
            <w:vAlign w:val="center"/>
            <w:hideMark/>
          </w:tcPr>
          <w:p w14:paraId="1638B4A7"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226 476,06</w:t>
            </w:r>
          </w:p>
        </w:tc>
        <w:tc>
          <w:tcPr>
            <w:tcW w:w="859" w:type="pct"/>
            <w:tcBorders>
              <w:top w:val="nil"/>
              <w:left w:val="nil"/>
              <w:bottom w:val="single" w:sz="4" w:space="0" w:color="auto"/>
              <w:right w:val="single" w:sz="4" w:space="0" w:color="auto"/>
            </w:tcBorders>
            <w:shd w:val="clear" w:color="auto" w:fill="auto"/>
            <w:vAlign w:val="center"/>
            <w:hideMark/>
          </w:tcPr>
          <w:p w14:paraId="18771934"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209 997,55</w:t>
            </w:r>
          </w:p>
        </w:tc>
        <w:tc>
          <w:tcPr>
            <w:tcW w:w="858" w:type="pct"/>
            <w:tcBorders>
              <w:top w:val="nil"/>
              <w:left w:val="nil"/>
              <w:bottom w:val="single" w:sz="4" w:space="0" w:color="auto"/>
              <w:right w:val="single" w:sz="4" w:space="0" w:color="auto"/>
            </w:tcBorders>
            <w:shd w:val="clear" w:color="auto" w:fill="auto"/>
            <w:vAlign w:val="center"/>
            <w:hideMark/>
          </w:tcPr>
          <w:p w14:paraId="2C0E8BA6"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225 448,27</w:t>
            </w:r>
          </w:p>
        </w:tc>
      </w:tr>
      <w:tr w:rsidR="00815416" w:rsidRPr="00A21943" w14:paraId="3FDA4D5E" w14:textId="77777777"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14:paraId="1AE00CF1" w14:textId="77777777" w:rsidR="00815416" w:rsidRPr="00A21943" w:rsidRDefault="00815416" w:rsidP="00D6580C">
            <w:pPr>
              <w:keepNext/>
              <w:keepLines/>
              <w:jc w:val="left"/>
              <w:rPr>
                <w:rFonts w:ascii="Calibri" w:hAnsi="Calibri" w:cs="Calibri"/>
                <w:color w:val="000000"/>
                <w:sz w:val="20"/>
              </w:rPr>
            </w:pPr>
          </w:p>
        </w:tc>
        <w:tc>
          <w:tcPr>
            <w:tcW w:w="589" w:type="pct"/>
            <w:tcBorders>
              <w:top w:val="nil"/>
              <w:left w:val="nil"/>
              <w:bottom w:val="single" w:sz="4" w:space="0" w:color="auto"/>
              <w:right w:val="single" w:sz="4" w:space="0" w:color="auto"/>
            </w:tcBorders>
            <w:shd w:val="clear" w:color="auto" w:fill="auto"/>
            <w:vAlign w:val="center"/>
            <w:hideMark/>
          </w:tcPr>
          <w:p w14:paraId="205D478E"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FNM</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358EC96F" w14:textId="77777777" w:rsidR="00815416" w:rsidRPr="00A21943" w:rsidRDefault="00815416" w:rsidP="00D6580C">
            <w:pPr>
              <w:keepNext/>
              <w:keepLines/>
              <w:jc w:val="center"/>
              <w:rPr>
                <w:rFonts w:ascii="Calibri" w:hAnsi="Calibri" w:cs="Calibri"/>
                <w:color w:val="000000"/>
                <w:sz w:val="20"/>
              </w:rPr>
            </w:pPr>
          </w:p>
        </w:tc>
        <w:tc>
          <w:tcPr>
            <w:tcW w:w="859" w:type="pct"/>
            <w:tcBorders>
              <w:top w:val="nil"/>
              <w:left w:val="nil"/>
              <w:bottom w:val="single" w:sz="4" w:space="0" w:color="auto"/>
              <w:right w:val="single" w:sz="4" w:space="0" w:color="auto"/>
            </w:tcBorders>
            <w:shd w:val="clear" w:color="auto" w:fill="auto"/>
            <w:vAlign w:val="center"/>
            <w:hideMark/>
          </w:tcPr>
          <w:p w14:paraId="41D27FAA"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49 212,92</w:t>
            </w:r>
          </w:p>
        </w:tc>
        <w:tc>
          <w:tcPr>
            <w:tcW w:w="859" w:type="pct"/>
            <w:tcBorders>
              <w:top w:val="nil"/>
              <w:left w:val="nil"/>
              <w:bottom w:val="single" w:sz="4" w:space="0" w:color="auto"/>
              <w:right w:val="single" w:sz="4" w:space="0" w:color="auto"/>
            </w:tcBorders>
            <w:shd w:val="clear" w:color="auto" w:fill="auto"/>
            <w:vAlign w:val="center"/>
            <w:hideMark/>
          </w:tcPr>
          <w:p w14:paraId="43787C84"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79 705,04</w:t>
            </w:r>
          </w:p>
        </w:tc>
        <w:tc>
          <w:tcPr>
            <w:tcW w:w="858" w:type="pct"/>
            <w:tcBorders>
              <w:top w:val="nil"/>
              <w:left w:val="nil"/>
              <w:bottom w:val="single" w:sz="4" w:space="0" w:color="auto"/>
              <w:right w:val="single" w:sz="4" w:space="0" w:color="auto"/>
            </w:tcBorders>
            <w:shd w:val="clear" w:color="auto" w:fill="auto"/>
            <w:vAlign w:val="center"/>
            <w:hideMark/>
          </w:tcPr>
          <w:p w14:paraId="004DB30B"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79 345,73</w:t>
            </w:r>
          </w:p>
        </w:tc>
      </w:tr>
      <w:tr w:rsidR="00815416" w:rsidRPr="00A21943" w14:paraId="20345D21" w14:textId="77777777"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14:paraId="34D6D49C" w14:textId="77777777" w:rsidR="00815416" w:rsidRPr="00A21943" w:rsidRDefault="00815416" w:rsidP="00D6580C">
            <w:pPr>
              <w:keepNext/>
              <w:keepLines/>
              <w:jc w:val="left"/>
              <w:rPr>
                <w:rFonts w:ascii="Calibri" w:hAnsi="Calibri" w:cs="Calibri"/>
                <w:color w:val="000000"/>
                <w:sz w:val="20"/>
              </w:rPr>
            </w:pPr>
          </w:p>
        </w:tc>
        <w:tc>
          <w:tcPr>
            <w:tcW w:w="589" w:type="pct"/>
            <w:tcBorders>
              <w:top w:val="nil"/>
              <w:left w:val="nil"/>
              <w:bottom w:val="single" w:sz="4" w:space="0" w:color="auto"/>
              <w:right w:val="single" w:sz="4" w:space="0" w:color="auto"/>
            </w:tcBorders>
            <w:shd w:val="clear" w:color="auto" w:fill="auto"/>
            <w:vAlign w:val="center"/>
            <w:hideMark/>
          </w:tcPr>
          <w:p w14:paraId="30A73525" w14:textId="77777777" w:rsidR="00815416" w:rsidRPr="00A21943" w:rsidRDefault="00815416" w:rsidP="00D6580C">
            <w:pPr>
              <w:keepNext/>
              <w:keepLines/>
              <w:jc w:val="center"/>
              <w:rPr>
                <w:rFonts w:ascii="Calibri" w:hAnsi="Calibri" w:cs="Calibri"/>
                <w:color w:val="000000"/>
                <w:sz w:val="20"/>
              </w:rPr>
            </w:pPr>
            <w:r w:rsidRPr="00A21943">
              <w:rPr>
                <w:rFonts w:ascii="Calibri" w:hAnsi="Calibri" w:cs="Calibri"/>
                <w:color w:val="000000"/>
                <w:sz w:val="20"/>
              </w:rPr>
              <w:t>ÚVN</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14:paraId="19AEA96E" w14:textId="77777777" w:rsidR="00815416" w:rsidRPr="00A21943" w:rsidRDefault="00815416" w:rsidP="00D6580C">
            <w:pPr>
              <w:keepNext/>
              <w:keepLines/>
              <w:jc w:val="center"/>
              <w:rPr>
                <w:rFonts w:ascii="Calibri" w:hAnsi="Calibri" w:cs="Calibri"/>
                <w:color w:val="000000"/>
                <w:sz w:val="20"/>
              </w:rPr>
            </w:pPr>
          </w:p>
        </w:tc>
        <w:tc>
          <w:tcPr>
            <w:tcW w:w="859" w:type="pct"/>
            <w:tcBorders>
              <w:top w:val="nil"/>
              <w:left w:val="nil"/>
              <w:bottom w:val="single" w:sz="4" w:space="0" w:color="auto"/>
              <w:right w:val="single" w:sz="4" w:space="0" w:color="auto"/>
            </w:tcBorders>
            <w:shd w:val="clear" w:color="auto" w:fill="auto"/>
            <w:vAlign w:val="center"/>
            <w:hideMark/>
          </w:tcPr>
          <w:p w14:paraId="5CA6A465"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45 015,29</w:t>
            </w:r>
          </w:p>
        </w:tc>
        <w:tc>
          <w:tcPr>
            <w:tcW w:w="859" w:type="pct"/>
            <w:tcBorders>
              <w:top w:val="nil"/>
              <w:left w:val="nil"/>
              <w:bottom w:val="single" w:sz="4" w:space="0" w:color="auto"/>
              <w:right w:val="single" w:sz="4" w:space="0" w:color="auto"/>
            </w:tcBorders>
            <w:shd w:val="clear" w:color="auto" w:fill="auto"/>
            <w:vAlign w:val="center"/>
            <w:hideMark/>
          </w:tcPr>
          <w:p w14:paraId="7FFDA2CF"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41 186,44</w:t>
            </w:r>
          </w:p>
        </w:tc>
        <w:tc>
          <w:tcPr>
            <w:tcW w:w="858" w:type="pct"/>
            <w:tcBorders>
              <w:top w:val="nil"/>
              <w:left w:val="nil"/>
              <w:bottom w:val="single" w:sz="4" w:space="0" w:color="auto"/>
              <w:right w:val="single" w:sz="4" w:space="0" w:color="auto"/>
            </w:tcBorders>
            <w:shd w:val="clear" w:color="auto" w:fill="auto"/>
            <w:vAlign w:val="center"/>
            <w:hideMark/>
          </w:tcPr>
          <w:p w14:paraId="405BE386" w14:textId="77777777" w:rsidR="00815416" w:rsidRPr="00A21943" w:rsidRDefault="00815416" w:rsidP="00D6580C">
            <w:pPr>
              <w:keepNext/>
              <w:keepLines/>
              <w:ind w:right="68"/>
              <w:jc w:val="right"/>
              <w:rPr>
                <w:rFonts w:ascii="Calibri" w:hAnsi="Calibri" w:cs="Calibri"/>
                <w:color w:val="000000"/>
                <w:sz w:val="20"/>
              </w:rPr>
            </w:pPr>
            <w:r w:rsidRPr="00A21943">
              <w:rPr>
                <w:rFonts w:ascii="Calibri" w:hAnsi="Calibri" w:cs="Calibri"/>
                <w:color w:val="000000"/>
                <w:sz w:val="20"/>
              </w:rPr>
              <w:t>12 363,31</w:t>
            </w:r>
          </w:p>
        </w:tc>
      </w:tr>
    </w:tbl>
    <w:p w14:paraId="13E57F7A" w14:textId="78ACBD7C" w:rsidR="00815416" w:rsidRPr="0077471E" w:rsidRDefault="00815416" w:rsidP="0077471E">
      <w:pPr>
        <w:pStyle w:val="Zdroj"/>
        <w:spacing w:before="40"/>
        <w:ind w:left="567" w:hanging="567"/>
        <w:rPr>
          <w:i w:val="0"/>
        </w:rPr>
      </w:pPr>
      <w:r w:rsidRPr="0077471E">
        <w:rPr>
          <w:b/>
          <w:i w:val="0"/>
        </w:rPr>
        <w:t>Zdroj:</w:t>
      </w:r>
      <w:r w:rsidRPr="0077471E">
        <w:rPr>
          <w:i w:val="0"/>
        </w:rPr>
        <w:t xml:space="preserve"> </w:t>
      </w:r>
      <w:r w:rsidR="00D6580C">
        <w:rPr>
          <w:i w:val="0"/>
        </w:rPr>
        <w:t>v</w:t>
      </w:r>
      <w:r w:rsidR="000D78F1" w:rsidRPr="0077471E">
        <w:rPr>
          <w:i w:val="0"/>
        </w:rPr>
        <w:t xml:space="preserve">ýkazy zisku a ztráty jednotlivých FN k 31. 12. 2014, k 31. 12. 2015 a k 31. 12. 2016, </w:t>
      </w:r>
      <w:r w:rsidR="00D6580C">
        <w:rPr>
          <w:i w:val="0"/>
        </w:rPr>
        <w:t>h</w:t>
      </w:r>
      <w:r w:rsidR="000D78F1" w:rsidRPr="0077471E">
        <w:rPr>
          <w:i w:val="0"/>
        </w:rPr>
        <w:t xml:space="preserve">lavní knihy nemocnic k 31. 12. 2014, k 31. 12. 2015 a k 31. 12. 2016, </w:t>
      </w:r>
      <w:r w:rsidR="00D6580C">
        <w:rPr>
          <w:i w:val="0"/>
        </w:rPr>
        <w:t>s</w:t>
      </w:r>
      <w:r w:rsidR="000D78F1" w:rsidRPr="0077471E">
        <w:rPr>
          <w:i w:val="0"/>
        </w:rPr>
        <w:t>estavy předané jednotlivými FN na základě žádostí NKÚ</w:t>
      </w:r>
      <w:r w:rsidR="00743B6C" w:rsidRPr="0077471E">
        <w:rPr>
          <w:i w:val="0"/>
        </w:rPr>
        <w:t>.</w:t>
      </w:r>
      <w:r w:rsidR="000D78F1" w:rsidRPr="0077471E">
        <w:rPr>
          <w:i w:val="0"/>
        </w:rPr>
        <w:t xml:space="preserve"> </w:t>
      </w:r>
    </w:p>
    <w:p w14:paraId="5DBF087D" w14:textId="08C1C3E3" w:rsidR="00815416" w:rsidRDefault="00815416" w:rsidP="0077471E">
      <w:pPr>
        <w:autoSpaceDE w:val="0"/>
        <w:autoSpaceDN w:val="0"/>
        <w:adjustRightInd w:val="0"/>
        <w:spacing w:before="120"/>
        <w:rPr>
          <w:rFonts w:cs="Arial"/>
        </w:rPr>
      </w:pPr>
      <w:r w:rsidRPr="00F26C3D">
        <w:rPr>
          <w:rFonts w:cs="Arial"/>
          <w:color w:val="000000" w:themeColor="text1"/>
          <w:szCs w:val="24"/>
        </w:rPr>
        <w:t>V kontrolovaném období let 2014 až 2016 vykázaly FNB, FNM a ÚVN kladný výsledek hospodaření po zdanění. Výsledkem hospodaření z</w:t>
      </w:r>
      <w:r w:rsidR="00810805">
        <w:rPr>
          <w:rFonts w:cs="Arial"/>
          <w:color w:val="000000" w:themeColor="text1"/>
          <w:szCs w:val="24"/>
        </w:rPr>
        <w:t> </w:t>
      </w:r>
      <w:r w:rsidRPr="00F26C3D">
        <w:rPr>
          <w:rFonts w:cs="Arial"/>
          <w:color w:val="000000" w:themeColor="text1"/>
          <w:szCs w:val="24"/>
        </w:rPr>
        <w:t>hlavní činnosti byla u všech FN ztráta a</w:t>
      </w:r>
      <w:r w:rsidR="00BC20B3">
        <w:rPr>
          <w:rFonts w:cs="Arial"/>
          <w:color w:val="000000" w:themeColor="text1"/>
          <w:szCs w:val="24"/>
        </w:rPr>
        <w:t> </w:t>
      </w:r>
      <w:r w:rsidRPr="00F26C3D">
        <w:rPr>
          <w:rFonts w:cs="Arial"/>
          <w:color w:val="000000" w:themeColor="text1"/>
          <w:szCs w:val="24"/>
        </w:rPr>
        <w:t xml:space="preserve">celkového kladného výsledku hospodaření fakultní nemocnice dosáhly v důsledku </w:t>
      </w:r>
      <w:r>
        <w:rPr>
          <w:rFonts w:cs="Arial"/>
          <w:color w:val="000000" w:themeColor="text1"/>
          <w:szCs w:val="24"/>
        </w:rPr>
        <w:t xml:space="preserve">kladného </w:t>
      </w:r>
      <w:r w:rsidRPr="00F26C3D">
        <w:rPr>
          <w:rFonts w:cs="Arial"/>
          <w:color w:val="000000" w:themeColor="text1"/>
          <w:szCs w:val="24"/>
        </w:rPr>
        <w:t xml:space="preserve">výsledku hospodaření z jiné (hospodářské) činnosti. </w:t>
      </w:r>
      <w:r>
        <w:rPr>
          <w:rFonts w:cs="Arial"/>
        </w:rPr>
        <w:t>K prohlubování ztráty z</w:t>
      </w:r>
      <w:r w:rsidRPr="00F26C3D">
        <w:rPr>
          <w:rFonts w:cs="Arial"/>
        </w:rPr>
        <w:t xml:space="preserve"> hlavní činnosti dochází </w:t>
      </w:r>
      <w:r>
        <w:rPr>
          <w:rFonts w:cs="Arial"/>
        </w:rPr>
        <w:t xml:space="preserve">mj. </w:t>
      </w:r>
      <w:r w:rsidRPr="00F26C3D">
        <w:rPr>
          <w:rFonts w:cs="Arial"/>
        </w:rPr>
        <w:t>růstem nákladů na léčiva.</w:t>
      </w:r>
      <w:r>
        <w:rPr>
          <w:rFonts w:cs="Arial"/>
        </w:rPr>
        <w:t xml:space="preserve"> </w:t>
      </w:r>
    </w:p>
    <w:p w14:paraId="04B579F5" w14:textId="20A1AE5D" w:rsidR="00815416" w:rsidRDefault="00815416" w:rsidP="00815416">
      <w:pPr>
        <w:autoSpaceDE w:val="0"/>
        <w:autoSpaceDN w:val="0"/>
        <w:adjustRightInd w:val="0"/>
        <w:spacing w:before="120"/>
        <w:rPr>
          <w:rFonts w:cs="Arial"/>
        </w:rPr>
      </w:pPr>
      <w:r w:rsidRPr="00FC4C50">
        <w:rPr>
          <w:rFonts w:cs="Arial"/>
        </w:rPr>
        <w:t xml:space="preserve">Podíl nákladů vynaložených na </w:t>
      </w:r>
      <w:r>
        <w:rPr>
          <w:rFonts w:cs="Arial"/>
        </w:rPr>
        <w:t xml:space="preserve">léčiva </w:t>
      </w:r>
      <w:r w:rsidRPr="00FC4C50">
        <w:rPr>
          <w:rFonts w:cs="Arial"/>
        </w:rPr>
        <w:t xml:space="preserve">na </w:t>
      </w:r>
      <w:r w:rsidR="00964E70">
        <w:rPr>
          <w:rFonts w:cs="Arial"/>
        </w:rPr>
        <w:t xml:space="preserve">celkových </w:t>
      </w:r>
      <w:r w:rsidRPr="00FC4C50">
        <w:rPr>
          <w:rFonts w:cs="Arial"/>
        </w:rPr>
        <w:t xml:space="preserve">nákladech za kontrolované období </w:t>
      </w:r>
      <w:r>
        <w:rPr>
          <w:rFonts w:cs="Arial"/>
        </w:rPr>
        <w:t>u FN činil</w:t>
      </w:r>
      <w:r w:rsidRPr="00FC4C50">
        <w:rPr>
          <w:rFonts w:cs="Arial"/>
        </w:rPr>
        <w:t xml:space="preserve"> </w:t>
      </w:r>
      <w:r>
        <w:rPr>
          <w:rFonts w:cs="Arial"/>
        </w:rPr>
        <w:t>cca 7 % až 26 %</w:t>
      </w:r>
      <w:r w:rsidRPr="00FC4C50">
        <w:rPr>
          <w:rFonts w:cs="Arial"/>
        </w:rPr>
        <w:t>. Podíl nákladů vynaložených</w:t>
      </w:r>
      <w:r>
        <w:rPr>
          <w:rFonts w:cs="Arial"/>
        </w:rPr>
        <w:t xml:space="preserve"> </w:t>
      </w:r>
      <w:r w:rsidRPr="00FC4C50">
        <w:rPr>
          <w:rFonts w:cs="Arial"/>
        </w:rPr>
        <w:t xml:space="preserve">na </w:t>
      </w:r>
      <w:proofErr w:type="spellStart"/>
      <w:r>
        <w:rPr>
          <w:rFonts w:cs="Arial"/>
        </w:rPr>
        <w:t>ZPr</w:t>
      </w:r>
      <w:proofErr w:type="spellEnd"/>
      <w:r w:rsidRPr="00CB766C">
        <w:rPr>
          <w:rFonts w:cs="Arial"/>
        </w:rPr>
        <w:t xml:space="preserve"> na </w:t>
      </w:r>
      <w:r w:rsidR="00964E70">
        <w:rPr>
          <w:rFonts w:cs="Arial"/>
        </w:rPr>
        <w:t xml:space="preserve">celkových </w:t>
      </w:r>
      <w:r w:rsidRPr="00CB766C">
        <w:rPr>
          <w:rFonts w:cs="Arial"/>
        </w:rPr>
        <w:t>nákladech za kontrolované období</w:t>
      </w:r>
      <w:r>
        <w:rPr>
          <w:rFonts w:cs="Arial"/>
        </w:rPr>
        <w:t xml:space="preserve"> </w:t>
      </w:r>
      <w:r w:rsidRPr="00CB766C">
        <w:rPr>
          <w:rFonts w:cs="Arial"/>
        </w:rPr>
        <w:t>u FN činil cca 10 % až 15 %.</w:t>
      </w:r>
    </w:p>
    <w:p w14:paraId="4114579D" w14:textId="77777777" w:rsidR="00815416" w:rsidRDefault="00815416" w:rsidP="0077471E">
      <w:pPr>
        <w:autoSpaceDE w:val="0"/>
        <w:autoSpaceDN w:val="0"/>
        <w:adjustRightInd w:val="0"/>
        <w:spacing w:before="120"/>
        <w:rPr>
          <w:rFonts w:cs="Arial"/>
        </w:rPr>
      </w:pPr>
      <w:r>
        <w:rPr>
          <w:rFonts w:cs="Arial"/>
        </w:rPr>
        <w:t>Výnosy FN v kontrolovaném období rostly. Nárůst v roce 2016 oproti roku 2015 byl ovlivněn zejména růstem výnosů od zdravotních pojišťoven.</w:t>
      </w:r>
    </w:p>
    <w:p w14:paraId="6E5F697C" w14:textId="33D2F28A" w:rsidR="00A83EDB" w:rsidRPr="0077471E" w:rsidRDefault="00A83EDB" w:rsidP="004C3B13">
      <w:pPr>
        <w:spacing w:before="240" w:after="120"/>
        <w:rPr>
          <w:rFonts w:cstheme="minorHAnsi"/>
          <w:b/>
          <w:noProof/>
          <w:color w:val="000000" w:themeColor="text1"/>
          <w:szCs w:val="26"/>
        </w:rPr>
      </w:pPr>
      <w:r w:rsidRPr="0077471E">
        <w:rPr>
          <w:rFonts w:cstheme="minorHAnsi"/>
          <w:b/>
          <w:noProof/>
          <w:color w:val="000000" w:themeColor="text1"/>
          <w:szCs w:val="26"/>
        </w:rPr>
        <w:t>Vybrané kapacitní a výkonové ukazatele kontrolovaných FN</w:t>
      </w:r>
    </w:p>
    <w:p w14:paraId="5D5EA677" w14:textId="25C40021" w:rsidR="00A83EDB" w:rsidRDefault="00A83EDB" w:rsidP="0077471E">
      <w:pPr>
        <w:spacing w:before="120"/>
        <w:rPr>
          <w:noProof/>
        </w:rPr>
      </w:pPr>
      <w:r>
        <w:rPr>
          <w:noProof/>
        </w:rPr>
        <w:t>V následující tabulce jsou uvedeny vybrané kapacitní a výkonové ukazatele jednotlivých FN za období 2014 až 2016.</w:t>
      </w:r>
    </w:p>
    <w:p w14:paraId="13251D24" w14:textId="378DB949" w:rsidR="00A83EDB" w:rsidRPr="00A21943" w:rsidRDefault="00A83EDB" w:rsidP="00964E70">
      <w:pPr>
        <w:keepNext/>
        <w:shd w:val="clear" w:color="auto" w:fill="FFFFFF"/>
        <w:spacing w:before="120" w:after="40"/>
        <w:rPr>
          <w:rFonts w:cstheme="minorHAnsi"/>
          <w:b/>
        </w:rPr>
      </w:pPr>
      <w:r w:rsidRPr="00A21943">
        <w:rPr>
          <w:rFonts w:cstheme="minorHAnsi"/>
          <w:b/>
        </w:rPr>
        <w:t>Tabulka č. 2: Vybrané kapacitní a výkonové ukazatele FN v období 2014 až 2016</w:t>
      </w:r>
    </w:p>
    <w:tbl>
      <w:tblPr>
        <w:tblW w:w="5000" w:type="pct"/>
        <w:tblLayout w:type="fixed"/>
        <w:tblCellMar>
          <w:left w:w="30" w:type="dxa"/>
          <w:right w:w="30" w:type="dxa"/>
        </w:tblCellMar>
        <w:tblLook w:val="04A0" w:firstRow="1" w:lastRow="0" w:firstColumn="1" w:lastColumn="0" w:noHBand="0" w:noVBand="1"/>
      </w:tblPr>
      <w:tblGrid>
        <w:gridCol w:w="3516"/>
        <w:gridCol w:w="585"/>
        <w:gridCol w:w="989"/>
        <w:gridCol w:w="1322"/>
        <w:gridCol w:w="1322"/>
        <w:gridCol w:w="1322"/>
      </w:tblGrid>
      <w:tr w:rsidR="00A21943" w:rsidRPr="00A21943" w14:paraId="3F4698F9" w14:textId="77777777" w:rsidTr="004C3B13">
        <w:trPr>
          <w:trHeight w:val="227"/>
        </w:trPr>
        <w:tc>
          <w:tcPr>
            <w:tcW w:w="1941" w:type="pct"/>
            <w:tcBorders>
              <w:top w:val="single" w:sz="6" w:space="0" w:color="auto"/>
              <w:left w:val="single" w:sz="6" w:space="0" w:color="auto"/>
              <w:bottom w:val="single" w:sz="6" w:space="0" w:color="auto"/>
              <w:right w:val="single" w:sz="6" w:space="0" w:color="auto"/>
            </w:tcBorders>
            <w:shd w:val="clear" w:color="auto" w:fill="E5F1FF"/>
            <w:vAlign w:val="center"/>
          </w:tcPr>
          <w:p w14:paraId="11DBB5DD"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p>
        </w:tc>
        <w:tc>
          <w:tcPr>
            <w:tcW w:w="323" w:type="pct"/>
            <w:tcBorders>
              <w:top w:val="single" w:sz="6" w:space="0" w:color="auto"/>
              <w:left w:val="single" w:sz="6" w:space="0" w:color="auto"/>
              <w:bottom w:val="single" w:sz="6" w:space="0" w:color="auto"/>
              <w:right w:val="single" w:sz="6" w:space="0" w:color="auto"/>
            </w:tcBorders>
            <w:shd w:val="clear" w:color="auto" w:fill="E5F1FF"/>
            <w:vAlign w:val="center"/>
          </w:tcPr>
          <w:p w14:paraId="34DC9336"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p>
        </w:tc>
        <w:tc>
          <w:tcPr>
            <w:tcW w:w="546" w:type="pct"/>
            <w:tcBorders>
              <w:top w:val="single" w:sz="6" w:space="0" w:color="auto"/>
              <w:left w:val="single" w:sz="6" w:space="0" w:color="auto"/>
              <w:bottom w:val="single" w:sz="6" w:space="0" w:color="auto"/>
              <w:right w:val="single" w:sz="6" w:space="0" w:color="auto"/>
            </w:tcBorders>
            <w:shd w:val="clear" w:color="auto" w:fill="E5F1FF"/>
            <w:vAlign w:val="center"/>
            <w:hideMark/>
          </w:tcPr>
          <w:p w14:paraId="0D0853BD" w14:textId="77777777" w:rsidR="00A83EDB" w:rsidRPr="00A21943" w:rsidRDefault="00A83EDB" w:rsidP="00964E70">
            <w:pPr>
              <w:keepNext/>
              <w:autoSpaceDE w:val="0"/>
              <w:autoSpaceDN w:val="0"/>
              <w:adjustRightInd w:val="0"/>
              <w:spacing w:line="256" w:lineRule="auto"/>
              <w:jc w:val="center"/>
              <w:rPr>
                <w:rFonts w:ascii="Calibri" w:hAnsi="Calibri" w:cs="Calibri"/>
                <w:b/>
                <w:bCs/>
                <w:sz w:val="20"/>
              </w:rPr>
            </w:pPr>
            <w:r w:rsidRPr="00A21943">
              <w:rPr>
                <w:rFonts w:ascii="Calibri" w:hAnsi="Calibri" w:cs="Calibri"/>
                <w:b/>
                <w:bCs/>
                <w:sz w:val="20"/>
              </w:rPr>
              <w:t>Jednotka</w:t>
            </w:r>
          </w:p>
        </w:tc>
        <w:tc>
          <w:tcPr>
            <w:tcW w:w="730" w:type="pct"/>
            <w:tcBorders>
              <w:top w:val="single" w:sz="6" w:space="0" w:color="auto"/>
              <w:left w:val="single" w:sz="6" w:space="0" w:color="auto"/>
              <w:bottom w:val="single" w:sz="6" w:space="0" w:color="auto"/>
              <w:right w:val="single" w:sz="6" w:space="0" w:color="auto"/>
            </w:tcBorders>
            <w:shd w:val="clear" w:color="auto" w:fill="E5F1FF"/>
            <w:vAlign w:val="center"/>
            <w:hideMark/>
          </w:tcPr>
          <w:p w14:paraId="13813A54" w14:textId="77777777" w:rsidR="00A83EDB" w:rsidRPr="00A21943" w:rsidRDefault="00A83EDB" w:rsidP="00964E70">
            <w:pPr>
              <w:keepNext/>
              <w:autoSpaceDE w:val="0"/>
              <w:autoSpaceDN w:val="0"/>
              <w:adjustRightInd w:val="0"/>
              <w:spacing w:line="256" w:lineRule="auto"/>
              <w:jc w:val="center"/>
              <w:rPr>
                <w:rFonts w:ascii="Calibri" w:hAnsi="Calibri" w:cs="Calibri"/>
                <w:b/>
                <w:bCs/>
                <w:sz w:val="20"/>
              </w:rPr>
            </w:pPr>
            <w:r w:rsidRPr="00A21943">
              <w:rPr>
                <w:rFonts w:ascii="Calibri" w:hAnsi="Calibri" w:cs="Calibri"/>
                <w:b/>
                <w:bCs/>
                <w:sz w:val="20"/>
              </w:rPr>
              <w:t>2014</w:t>
            </w:r>
          </w:p>
        </w:tc>
        <w:tc>
          <w:tcPr>
            <w:tcW w:w="730" w:type="pct"/>
            <w:tcBorders>
              <w:top w:val="single" w:sz="6" w:space="0" w:color="auto"/>
              <w:left w:val="single" w:sz="6" w:space="0" w:color="auto"/>
              <w:bottom w:val="single" w:sz="6" w:space="0" w:color="auto"/>
              <w:right w:val="single" w:sz="6" w:space="0" w:color="auto"/>
            </w:tcBorders>
            <w:shd w:val="clear" w:color="auto" w:fill="E5F1FF"/>
            <w:vAlign w:val="center"/>
            <w:hideMark/>
          </w:tcPr>
          <w:p w14:paraId="5FA752A0" w14:textId="77777777" w:rsidR="00A83EDB" w:rsidRPr="00A21943" w:rsidRDefault="00A83EDB" w:rsidP="00964E70">
            <w:pPr>
              <w:keepNext/>
              <w:autoSpaceDE w:val="0"/>
              <w:autoSpaceDN w:val="0"/>
              <w:adjustRightInd w:val="0"/>
              <w:spacing w:line="256" w:lineRule="auto"/>
              <w:jc w:val="center"/>
              <w:rPr>
                <w:rFonts w:ascii="Calibri" w:hAnsi="Calibri" w:cs="Calibri"/>
                <w:b/>
                <w:bCs/>
                <w:sz w:val="20"/>
              </w:rPr>
            </w:pPr>
            <w:r w:rsidRPr="00A21943">
              <w:rPr>
                <w:rFonts w:ascii="Calibri" w:hAnsi="Calibri" w:cs="Calibri"/>
                <w:b/>
                <w:bCs/>
                <w:sz w:val="20"/>
              </w:rPr>
              <w:t>2015</w:t>
            </w:r>
          </w:p>
        </w:tc>
        <w:tc>
          <w:tcPr>
            <w:tcW w:w="730" w:type="pct"/>
            <w:tcBorders>
              <w:top w:val="single" w:sz="6" w:space="0" w:color="auto"/>
              <w:left w:val="single" w:sz="6" w:space="0" w:color="auto"/>
              <w:bottom w:val="single" w:sz="6" w:space="0" w:color="auto"/>
              <w:right w:val="single" w:sz="6" w:space="0" w:color="auto"/>
            </w:tcBorders>
            <w:shd w:val="clear" w:color="auto" w:fill="E5F1FF"/>
            <w:vAlign w:val="center"/>
            <w:hideMark/>
          </w:tcPr>
          <w:p w14:paraId="3119A11D" w14:textId="77777777" w:rsidR="00A83EDB" w:rsidRPr="00A21943" w:rsidRDefault="00A83EDB" w:rsidP="00964E70">
            <w:pPr>
              <w:keepNext/>
              <w:autoSpaceDE w:val="0"/>
              <w:autoSpaceDN w:val="0"/>
              <w:adjustRightInd w:val="0"/>
              <w:spacing w:line="256" w:lineRule="auto"/>
              <w:jc w:val="center"/>
              <w:rPr>
                <w:rFonts w:ascii="Calibri" w:hAnsi="Calibri" w:cs="Calibri"/>
                <w:b/>
                <w:bCs/>
                <w:sz w:val="20"/>
              </w:rPr>
            </w:pPr>
            <w:r w:rsidRPr="00A21943">
              <w:rPr>
                <w:rFonts w:ascii="Calibri" w:hAnsi="Calibri" w:cs="Calibri"/>
                <w:b/>
                <w:bCs/>
                <w:sz w:val="20"/>
              </w:rPr>
              <w:t>2016</w:t>
            </w:r>
          </w:p>
        </w:tc>
      </w:tr>
      <w:tr w:rsidR="00A21943" w:rsidRPr="00A21943" w14:paraId="3F8C3846" w14:textId="77777777" w:rsidTr="004C3B13">
        <w:trPr>
          <w:trHeight w:val="227"/>
        </w:trPr>
        <w:tc>
          <w:tcPr>
            <w:tcW w:w="1941" w:type="pct"/>
            <w:vMerge w:val="restart"/>
            <w:tcBorders>
              <w:top w:val="single" w:sz="6" w:space="0" w:color="auto"/>
              <w:left w:val="single" w:sz="6" w:space="0" w:color="auto"/>
              <w:right w:val="single" w:sz="6" w:space="0" w:color="auto"/>
            </w:tcBorders>
            <w:vAlign w:val="center"/>
            <w:hideMark/>
          </w:tcPr>
          <w:p w14:paraId="12674E38" w14:textId="77777777" w:rsidR="00A83EDB" w:rsidRPr="00A21943" w:rsidRDefault="00A83EDB" w:rsidP="00964E70">
            <w:pPr>
              <w:keepNext/>
              <w:autoSpaceDE w:val="0"/>
              <w:autoSpaceDN w:val="0"/>
              <w:adjustRightInd w:val="0"/>
              <w:spacing w:line="256" w:lineRule="auto"/>
              <w:jc w:val="left"/>
              <w:rPr>
                <w:rFonts w:ascii="Calibri" w:hAnsi="Calibri" w:cs="Calibri"/>
                <w:sz w:val="20"/>
              </w:rPr>
            </w:pPr>
            <w:r w:rsidRPr="00A21943">
              <w:rPr>
                <w:rFonts w:ascii="Calibri" w:hAnsi="Calibri" w:cs="Calibri"/>
                <w:sz w:val="20"/>
              </w:rPr>
              <w:t xml:space="preserve">Průměrný přepočtený počet lékařů </w:t>
            </w:r>
          </w:p>
        </w:tc>
        <w:tc>
          <w:tcPr>
            <w:tcW w:w="323" w:type="pct"/>
            <w:tcBorders>
              <w:top w:val="single" w:sz="6" w:space="0" w:color="auto"/>
              <w:left w:val="single" w:sz="6" w:space="0" w:color="auto"/>
              <w:bottom w:val="single" w:sz="6" w:space="0" w:color="auto"/>
              <w:right w:val="single" w:sz="6" w:space="0" w:color="auto"/>
            </w:tcBorders>
            <w:vAlign w:val="center"/>
            <w:hideMark/>
          </w:tcPr>
          <w:p w14:paraId="203071F1"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FNB</w:t>
            </w:r>
          </w:p>
        </w:tc>
        <w:tc>
          <w:tcPr>
            <w:tcW w:w="546" w:type="pct"/>
            <w:vMerge w:val="restart"/>
            <w:tcBorders>
              <w:top w:val="single" w:sz="6" w:space="0" w:color="auto"/>
              <w:left w:val="single" w:sz="6" w:space="0" w:color="auto"/>
              <w:right w:val="single" w:sz="6" w:space="0" w:color="auto"/>
            </w:tcBorders>
            <w:vAlign w:val="center"/>
            <w:hideMark/>
          </w:tcPr>
          <w:p w14:paraId="7D8FFBD8"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lékař</w:t>
            </w:r>
          </w:p>
        </w:tc>
        <w:tc>
          <w:tcPr>
            <w:tcW w:w="730" w:type="pct"/>
            <w:tcBorders>
              <w:top w:val="single" w:sz="6" w:space="0" w:color="auto"/>
              <w:left w:val="single" w:sz="6" w:space="0" w:color="auto"/>
              <w:bottom w:val="single" w:sz="6" w:space="0" w:color="auto"/>
              <w:right w:val="single" w:sz="6" w:space="0" w:color="auto"/>
            </w:tcBorders>
            <w:vAlign w:val="center"/>
            <w:hideMark/>
          </w:tcPr>
          <w:p w14:paraId="17BD90BF" w14:textId="77777777" w:rsidR="00A83EDB" w:rsidRPr="00A21943" w:rsidRDefault="00A83EDB" w:rsidP="001B739F">
            <w:pPr>
              <w:keepNext/>
              <w:autoSpaceDE w:val="0"/>
              <w:autoSpaceDN w:val="0"/>
              <w:adjustRightInd w:val="0"/>
              <w:spacing w:line="256" w:lineRule="auto"/>
              <w:ind w:left="115" w:right="153"/>
              <w:jc w:val="right"/>
              <w:rPr>
                <w:rFonts w:ascii="Calibri" w:hAnsi="Calibri" w:cs="Calibri"/>
                <w:sz w:val="20"/>
              </w:rPr>
            </w:pPr>
            <w:r w:rsidRPr="00A21943">
              <w:rPr>
                <w:rFonts w:ascii="Calibri" w:hAnsi="Calibri" w:cs="Calibri"/>
                <w:sz w:val="20"/>
              </w:rPr>
              <w:t>847,96</w:t>
            </w:r>
          </w:p>
        </w:tc>
        <w:tc>
          <w:tcPr>
            <w:tcW w:w="730" w:type="pct"/>
            <w:vAlign w:val="center"/>
            <w:hideMark/>
          </w:tcPr>
          <w:p w14:paraId="5E66ABDA" w14:textId="77777777" w:rsidR="00A83EDB" w:rsidRPr="00A21943" w:rsidRDefault="00A83EDB" w:rsidP="001B739F">
            <w:pPr>
              <w:keepNext/>
              <w:autoSpaceDE w:val="0"/>
              <w:autoSpaceDN w:val="0"/>
              <w:adjustRightInd w:val="0"/>
              <w:spacing w:line="256" w:lineRule="auto"/>
              <w:ind w:left="115" w:right="153"/>
              <w:jc w:val="right"/>
              <w:rPr>
                <w:rFonts w:ascii="Calibri" w:hAnsi="Calibri" w:cs="Calibri"/>
                <w:sz w:val="20"/>
              </w:rPr>
            </w:pPr>
            <w:r w:rsidRPr="00A21943">
              <w:rPr>
                <w:rFonts w:ascii="Calibri" w:hAnsi="Calibri" w:cs="Calibri"/>
                <w:sz w:val="20"/>
              </w:rPr>
              <w:t>870,86</w:t>
            </w:r>
          </w:p>
        </w:tc>
        <w:tc>
          <w:tcPr>
            <w:tcW w:w="730" w:type="pct"/>
            <w:tcBorders>
              <w:top w:val="single" w:sz="6" w:space="0" w:color="auto"/>
              <w:left w:val="single" w:sz="6" w:space="0" w:color="auto"/>
              <w:bottom w:val="single" w:sz="6" w:space="0" w:color="auto"/>
              <w:right w:val="single" w:sz="6" w:space="0" w:color="auto"/>
            </w:tcBorders>
            <w:vAlign w:val="center"/>
            <w:hideMark/>
          </w:tcPr>
          <w:p w14:paraId="23DBBA71" w14:textId="77777777" w:rsidR="00A83EDB" w:rsidRPr="00A21943" w:rsidRDefault="00A83EDB" w:rsidP="001B739F">
            <w:pPr>
              <w:keepNext/>
              <w:autoSpaceDE w:val="0"/>
              <w:autoSpaceDN w:val="0"/>
              <w:adjustRightInd w:val="0"/>
              <w:spacing w:line="256" w:lineRule="auto"/>
              <w:ind w:left="115" w:right="153"/>
              <w:jc w:val="right"/>
              <w:rPr>
                <w:rFonts w:ascii="Calibri" w:hAnsi="Calibri" w:cs="Calibri"/>
                <w:sz w:val="20"/>
              </w:rPr>
            </w:pPr>
            <w:r w:rsidRPr="00A21943">
              <w:rPr>
                <w:rFonts w:ascii="Calibri" w:hAnsi="Calibri" w:cs="Calibri"/>
                <w:sz w:val="20"/>
              </w:rPr>
              <w:t>903,79</w:t>
            </w:r>
          </w:p>
        </w:tc>
      </w:tr>
      <w:tr w:rsidR="00A21943" w:rsidRPr="00A21943" w14:paraId="519B37B4" w14:textId="77777777" w:rsidTr="004C3B13">
        <w:trPr>
          <w:trHeight w:val="227"/>
        </w:trPr>
        <w:tc>
          <w:tcPr>
            <w:tcW w:w="1941" w:type="pct"/>
            <w:vMerge/>
            <w:tcBorders>
              <w:left w:val="single" w:sz="6" w:space="0" w:color="auto"/>
              <w:right w:val="single" w:sz="6" w:space="0" w:color="auto"/>
            </w:tcBorders>
            <w:vAlign w:val="center"/>
          </w:tcPr>
          <w:p w14:paraId="0157AA41" w14:textId="77777777" w:rsidR="00A83EDB" w:rsidRPr="00A21943" w:rsidRDefault="00A83EDB" w:rsidP="00964E70">
            <w:pPr>
              <w:keepNext/>
              <w:autoSpaceDE w:val="0"/>
              <w:autoSpaceDN w:val="0"/>
              <w:adjustRightInd w:val="0"/>
              <w:spacing w:line="256" w:lineRule="auto"/>
              <w:jc w:val="left"/>
              <w:rPr>
                <w:rFonts w:ascii="Calibri" w:hAnsi="Calibri" w:cs="Calibri"/>
                <w:sz w:val="20"/>
              </w:rPr>
            </w:pPr>
          </w:p>
        </w:tc>
        <w:tc>
          <w:tcPr>
            <w:tcW w:w="323" w:type="pct"/>
            <w:tcBorders>
              <w:top w:val="single" w:sz="6" w:space="0" w:color="auto"/>
              <w:left w:val="single" w:sz="6" w:space="0" w:color="auto"/>
              <w:bottom w:val="single" w:sz="6" w:space="0" w:color="auto"/>
              <w:right w:val="single" w:sz="6" w:space="0" w:color="auto"/>
            </w:tcBorders>
            <w:vAlign w:val="center"/>
            <w:hideMark/>
          </w:tcPr>
          <w:p w14:paraId="1B2B2468"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FNM</w:t>
            </w:r>
          </w:p>
        </w:tc>
        <w:tc>
          <w:tcPr>
            <w:tcW w:w="546" w:type="pct"/>
            <w:vMerge/>
            <w:tcBorders>
              <w:left w:val="single" w:sz="6" w:space="0" w:color="auto"/>
              <w:right w:val="single" w:sz="6" w:space="0" w:color="auto"/>
            </w:tcBorders>
          </w:tcPr>
          <w:p w14:paraId="61206460"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p>
        </w:tc>
        <w:tc>
          <w:tcPr>
            <w:tcW w:w="730" w:type="pct"/>
            <w:tcBorders>
              <w:top w:val="single" w:sz="6" w:space="0" w:color="auto"/>
              <w:left w:val="single" w:sz="6" w:space="0" w:color="auto"/>
              <w:bottom w:val="single" w:sz="6" w:space="0" w:color="auto"/>
              <w:right w:val="single" w:sz="6" w:space="0" w:color="auto"/>
            </w:tcBorders>
            <w:vAlign w:val="center"/>
            <w:hideMark/>
          </w:tcPr>
          <w:p w14:paraId="32B79DDD" w14:textId="77777777" w:rsidR="00A83EDB" w:rsidRPr="00A21943" w:rsidRDefault="00A83EDB" w:rsidP="001B739F">
            <w:pPr>
              <w:keepNext/>
              <w:autoSpaceDE w:val="0"/>
              <w:autoSpaceDN w:val="0"/>
              <w:adjustRightInd w:val="0"/>
              <w:spacing w:line="256" w:lineRule="auto"/>
              <w:ind w:left="115" w:right="153"/>
              <w:jc w:val="right"/>
              <w:rPr>
                <w:rFonts w:ascii="Calibri" w:hAnsi="Calibri" w:cs="Calibri"/>
                <w:sz w:val="20"/>
              </w:rPr>
            </w:pPr>
            <w:r w:rsidRPr="00A21943">
              <w:rPr>
                <w:rFonts w:ascii="Calibri" w:hAnsi="Calibri" w:cs="Calibri"/>
                <w:sz w:val="20"/>
              </w:rPr>
              <w:t>888,00</w:t>
            </w:r>
          </w:p>
        </w:tc>
        <w:tc>
          <w:tcPr>
            <w:tcW w:w="730" w:type="pct"/>
            <w:tcBorders>
              <w:top w:val="single" w:sz="6" w:space="0" w:color="auto"/>
              <w:left w:val="single" w:sz="6" w:space="0" w:color="auto"/>
              <w:bottom w:val="single" w:sz="6" w:space="0" w:color="auto"/>
              <w:right w:val="single" w:sz="6" w:space="0" w:color="auto"/>
            </w:tcBorders>
            <w:vAlign w:val="center"/>
            <w:hideMark/>
          </w:tcPr>
          <w:p w14:paraId="4930077E" w14:textId="77777777" w:rsidR="00A83EDB" w:rsidRPr="00A21943" w:rsidRDefault="00A83EDB" w:rsidP="001B739F">
            <w:pPr>
              <w:keepNext/>
              <w:autoSpaceDE w:val="0"/>
              <w:autoSpaceDN w:val="0"/>
              <w:adjustRightInd w:val="0"/>
              <w:spacing w:line="256" w:lineRule="auto"/>
              <w:ind w:left="115" w:right="153"/>
              <w:jc w:val="right"/>
              <w:rPr>
                <w:rFonts w:ascii="Calibri" w:hAnsi="Calibri" w:cs="Calibri"/>
                <w:sz w:val="20"/>
              </w:rPr>
            </w:pPr>
            <w:r w:rsidRPr="00A21943">
              <w:rPr>
                <w:rFonts w:ascii="Calibri" w:hAnsi="Calibri" w:cs="Calibri"/>
                <w:sz w:val="20"/>
              </w:rPr>
              <w:t>888,00</w:t>
            </w:r>
          </w:p>
        </w:tc>
        <w:tc>
          <w:tcPr>
            <w:tcW w:w="730" w:type="pct"/>
            <w:tcBorders>
              <w:top w:val="single" w:sz="6" w:space="0" w:color="auto"/>
              <w:left w:val="single" w:sz="6" w:space="0" w:color="auto"/>
              <w:bottom w:val="single" w:sz="6" w:space="0" w:color="auto"/>
              <w:right w:val="single" w:sz="6" w:space="0" w:color="auto"/>
            </w:tcBorders>
            <w:vAlign w:val="center"/>
            <w:hideMark/>
          </w:tcPr>
          <w:p w14:paraId="529C4F4E" w14:textId="77777777" w:rsidR="00A83EDB" w:rsidRPr="00A21943" w:rsidRDefault="00A83EDB" w:rsidP="001B739F">
            <w:pPr>
              <w:keepNext/>
              <w:autoSpaceDE w:val="0"/>
              <w:autoSpaceDN w:val="0"/>
              <w:adjustRightInd w:val="0"/>
              <w:spacing w:line="256" w:lineRule="auto"/>
              <w:ind w:left="115" w:right="153"/>
              <w:jc w:val="right"/>
              <w:rPr>
                <w:rFonts w:ascii="Calibri" w:hAnsi="Calibri" w:cs="Calibri"/>
                <w:sz w:val="20"/>
              </w:rPr>
            </w:pPr>
            <w:r w:rsidRPr="00A21943">
              <w:rPr>
                <w:rFonts w:ascii="Calibri" w:hAnsi="Calibri" w:cs="Calibri"/>
                <w:sz w:val="20"/>
              </w:rPr>
              <w:t>888,00</w:t>
            </w:r>
          </w:p>
        </w:tc>
      </w:tr>
      <w:tr w:rsidR="00A21943" w:rsidRPr="00A21943" w14:paraId="5794C5B6" w14:textId="77777777" w:rsidTr="004C3B13">
        <w:trPr>
          <w:trHeight w:val="227"/>
        </w:trPr>
        <w:tc>
          <w:tcPr>
            <w:tcW w:w="1941" w:type="pct"/>
            <w:vMerge/>
            <w:tcBorders>
              <w:left w:val="single" w:sz="6" w:space="0" w:color="auto"/>
              <w:bottom w:val="single" w:sz="6" w:space="0" w:color="auto"/>
              <w:right w:val="single" w:sz="6" w:space="0" w:color="auto"/>
            </w:tcBorders>
            <w:vAlign w:val="center"/>
          </w:tcPr>
          <w:p w14:paraId="4AB4E276" w14:textId="77777777" w:rsidR="00A83EDB" w:rsidRPr="00A21943" w:rsidRDefault="00A83EDB" w:rsidP="00964E70">
            <w:pPr>
              <w:keepNext/>
              <w:autoSpaceDE w:val="0"/>
              <w:autoSpaceDN w:val="0"/>
              <w:adjustRightInd w:val="0"/>
              <w:spacing w:line="256" w:lineRule="auto"/>
              <w:jc w:val="left"/>
              <w:rPr>
                <w:rFonts w:ascii="Calibri" w:hAnsi="Calibri" w:cs="Calibri"/>
                <w:sz w:val="20"/>
              </w:rPr>
            </w:pPr>
          </w:p>
        </w:tc>
        <w:tc>
          <w:tcPr>
            <w:tcW w:w="323" w:type="pct"/>
            <w:tcBorders>
              <w:top w:val="single" w:sz="6" w:space="0" w:color="auto"/>
              <w:left w:val="single" w:sz="6" w:space="0" w:color="auto"/>
              <w:bottom w:val="single" w:sz="6" w:space="0" w:color="auto"/>
              <w:right w:val="single" w:sz="6" w:space="0" w:color="auto"/>
            </w:tcBorders>
            <w:vAlign w:val="center"/>
            <w:hideMark/>
          </w:tcPr>
          <w:p w14:paraId="18609C31"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ÚVN</w:t>
            </w:r>
          </w:p>
        </w:tc>
        <w:tc>
          <w:tcPr>
            <w:tcW w:w="546" w:type="pct"/>
            <w:vMerge/>
            <w:tcBorders>
              <w:left w:val="single" w:sz="6" w:space="0" w:color="auto"/>
              <w:bottom w:val="single" w:sz="6" w:space="0" w:color="auto"/>
              <w:right w:val="single" w:sz="6" w:space="0" w:color="auto"/>
            </w:tcBorders>
          </w:tcPr>
          <w:p w14:paraId="4D54B6AD"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p>
        </w:tc>
        <w:tc>
          <w:tcPr>
            <w:tcW w:w="730" w:type="pct"/>
            <w:tcBorders>
              <w:top w:val="single" w:sz="6" w:space="0" w:color="auto"/>
              <w:left w:val="single" w:sz="6" w:space="0" w:color="auto"/>
              <w:bottom w:val="single" w:sz="6" w:space="0" w:color="auto"/>
              <w:right w:val="single" w:sz="6" w:space="0" w:color="auto"/>
            </w:tcBorders>
            <w:vAlign w:val="center"/>
            <w:hideMark/>
          </w:tcPr>
          <w:p w14:paraId="45F0F180" w14:textId="77777777" w:rsidR="00A83EDB" w:rsidRPr="00A21943" w:rsidRDefault="00A83EDB" w:rsidP="001B739F">
            <w:pPr>
              <w:keepNext/>
              <w:autoSpaceDE w:val="0"/>
              <w:autoSpaceDN w:val="0"/>
              <w:adjustRightInd w:val="0"/>
              <w:spacing w:line="256" w:lineRule="auto"/>
              <w:ind w:left="115" w:right="153"/>
              <w:jc w:val="right"/>
              <w:rPr>
                <w:rFonts w:ascii="Calibri" w:hAnsi="Calibri" w:cs="Calibri"/>
                <w:sz w:val="20"/>
              </w:rPr>
            </w:pPr>
            <w:r w:rsidRPr="00A21943">
              <w:rPr>
                <w:rFonts w:ascii="Calibri" w:hAnsi="Calibri" w:cs="Calibri"/>
                <w:sz w:val="20"/>
              </w:rPr>
              <w:t>320,38</w:t>
            </w:r>
          </w:p>
        </w:tc>
        <w:tc>
          <w:tcPr>
            <w:tcW w:w="730" w:type="pct"/>
            <w:tcBorders>
              <w:top w:val="single" w:sz="6" w:space="0" w:color="auto"/>
              <w:left w:val="single" w:sz="6" w:space="0" w:color="auto"/>
              <w:bottom w:val="single" w:sz="6" w:space="0" w:color="auto"/>
              <w:right w:val="single" w:sz="6" w:space="0" w:color="auto"/>
            </w:tcBorders>
            <w:vAlign w:val="center"/>
            <w:hideMark/>
          </w:tcPr>
          <w:p w14:paraId="476D8F7F" w14:textId="77777777" w:rsidR="00A83EDB" w:rsidRPr="00A21943" w:rsidRDefault="00A83EDB" w:rsidP="001B739F">
            <w:pPr>
              <w:keepNext/>
              <w:autoSpaceDE w:val="0"/>
              <w:autoSpaceDN w:val="0"/>
              <w:adjustRightInd w:val="0"/>
              <w:spacing w:line="256" w:lineRule="auto"/>
              <w:ind w:left="115" w:right="153"/>
              <w:jc w:val="right"/>
              <w:rPr>
                <w:rFonts w:ascii="Calibri" w:hAnsi="Calibri" w:cs="Calibri"/>
                <w:sz w:val="20"/>
              </w:rPr>
            </w:pPr>
            <w:r w:rsidRPr="00A21943">
              <w:rPr>
                <w:rFonts w:ascii="Calibri" w:hAnsi="Calibri" w:cs="Calibri"/>
                <w:sz w:val="20"/>
              </w:rPr>
              <w:t>330,41</w:t>
            </w:r>
          </w:p>
        </w:tc>
        <w:tc>
          <w:tcPr>
            <w:tcW w:w="730" w:type="pct"/>
            <w:tcBorders>
              <w:top w:val="single" w:sz="6" w:space="0" w:color="auto"/>
              <w:left w:val="single" w:sz="6" w:space="0" w:color="auto"/>
              <w:bottom w:val="single" w:sz="6" w:space="0" w:color="auto"/>
              <w:right w:val="single" w:sz="6" w:space="0" w:color="auto"/>
            </w:tcBorders>
            <w:vAlign w:val="center"/>
            <w:hideMark/>
          </w:tcPr>
          <w:p w14:paraId="5126C65D" w14:textId="77777777" w:rsidR="00A83EDB" w:rsidRPr="00A21943" w:rsidRDefault="00A83EDB" w:rsidP="001B739F">
            <w:pPr>
              <w:keepNext/>
              <w:autoSpaceDE w:val="0"/>
              <w:autoSpaceDN w:val="0"/>
              <w:adjustRightInd w:val="0"/>
              <w:spacing w:line="256" w:lineRule="auto"/>
              <w:ind w:left="115" w:right="153"/>
              <w:jc w:val="right"/>
              <w:rPr>
                <w:rFonts w:ascii="Calibri" w:hAnsi="Calibri" w:cs="Calibri"/>
                <w:sz w:val="20"/>
              </w:rPr>
            </w:pPr>
            <w:r w:rsidRPr="00A21943">
              <w:rPr>
                <w:rFonts w:ascii="Calibri" w:hAnsi="Calibri" w:cs="Calibri"/>
                <w:sz w:val="20"/>
              </w:rPr>
              <w:t>334,78</w:t>
            </w:r>
          </w:p>
        </w:tc>
      </w:tr>
      <w:tr w:rsidR="00A21943" w:rsidRPr="00A21943" w14:paraId="0531A2DC" w14:textId="77777777" w:rsidTr="004C3B13">
        <w:trPr>
          <w:trHeight w:val="227"/>
        </w:trPr>
        <w:tc>
          <w:tcPr>
            <w:tcW w:w="1941" w:type="pct"/>
            <w:vMerge w:val="restart"/>
            <w:tcBorders>
              <w:top w:val="single" w:sz="6" w:space="0" w:color="auto"/>
              <w:left w:val="single" w:sz="6" w:space="0" w:color="auto"/>
              <w:right w:val="single" w:sz="6" w:space="0" w:color="auto"/>
            </w:tcBorders>
            <w:vAlign w:val="center"/>
            <w:hideMark/>
          </w:tcPr>
          <w:p w14:paraId="0171AE7D" w14:textId="77777777" w:rsidR="00A83EDB" w:rsidRPr="00A21943" w:rsidRDefault="00A83EDB" w:rsidP="00964E70">
            <w:pPr>
              <w:keepNext/>
              <w:autoSpaceDE w:val="0"/>
              <w:autoSpaceDN w:val="0"/>
              <w:adjustRightInd w:val="0"/>
              <w:spacing w:line="256" w:lineRule="auto"/>
              <w:jc w:val="left"/>
              <w:rPr>
                <w:rFonts w:ascii="Calibri" w:hAnsi="Calibri" w:cs="Calibri"/>
                <w:sz w:val="20"/>
              </w:rPr>
            </w:pPr>
            <w:r w:rsidRPr="00A21943">
              <w:rPr>
                <w:rFonts w:ascii="Calibri" w:hAnsi="Calibri" w:cs="Calibri"/>
                <w:sz w:val="20"/>
              </w:rPr>
              <w:t>Počet hospitalizovaných pacientů</w:t>
            </w:r>
          </w:p>
        </w:tc>
        <w:tc>
          <w:tcPr>
            <w:tcW w:w="323" w:type="pct"/>
            <w:tcBorders>
              <w:top w:val="single" w:sz="6" w:space="0" w:color="auto"/>
              <w:left w:val="single" w:sz="6" w:space="0" w:color="auto"/>
              <w:bottom w:val="single" w:sz="6" w:space="0" w:color="auto"/>
              <w:right w:val="single" w:sz="6" w:space="0" w:color="auto"/>
            </w:tcBorders>
            <w:vAlign w:val="center"/>
            <w:hideMark/>
          </w:tcPr>
          <w:p w14:paraId="013F9CF3"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FNB</w:t>
            </w:r>
          </w:p>
        </w:tc>
        <w:tc>
          <w:tcPr>
            <w:tcW w:w="546" w:type="pct"/>
            <w:vMerge w:val="restart"/>
            <w:tcBorders>
              <w:top w:val="single" w:sz="6" w:space="0" w:color="auto"/>
              <w:left w:val="single" w:sz="6" w:space="0" w:color="auto"/>
              <w:right w:val="single" w:sz="6" w:space="0" w:color="auto"/>
            </w:tcBorders>
            <w:vAlign w:val="center"/>
            <w:hideMark/>
          </w:tcPr>
          <w:p w14:paraId="0074B7DA"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pacient</w:t>
            </w:r>
          </w:p>
        </w:tc>
        <w:tc>
          <w:tcPr>
            <w:tcW w:w="730" w:type="pct"/>
            <w:tcBorders>
              <w:top w:val="single" w:sz="6" w:space="0" w:color="auto"/>
              <w:left w:val="single" w:sz="6" w:space="0" w:color="auto"/>
              <w:bottom w:val="single" w:sz="6" w:space="0" w:color="auto"/>
              <w:right w:val="single" w:sz="6" w:space="0" w:color="auto"/>
            </w:tcBorders>
            <w:vAlign w:val="center"/>
            <w:hideMark/>
          </w:tcPr>
          <w:p w14:paraId="18BDCD32"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71 736</w:t>
            </w:r>
          </w:p>
        </w:tc>
        <w:tc>
          <w:tcPr>
            <w:tcW w:w="730" w:type="pct"/>
            <w:tcBorders>
              <w:top w:val="single" w:sz="6" w:space="0" w:color="auto"/>
              <w:left w:val="single" w:sz="6" w:space="0" w:color="auto"/>
              <w:bottom w:val="single" w:sz="6" w:space="0" w:color="auto"/>
              <w:right w:val="single" w:sz="6" w:space="0" w:color="auto"/>
            </w:tcBorders>
            <w:vAlign w:val="center"/>
            <w:hideMark/>
          </w:tcPr>
          <w:p w14:paraId="4475BBB2"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71 047</w:t>
            </w:r>
          </w:p>
        </w:tc>
        <w:tc>
          <w:tcPr>
            <w:tcW w:w="730" w:type="pct"/>
            <w:tcBorders>
              <w:top w:val="single" w:sz="6" w:space="0" w:color="auto"/>
              <w:left w:val="single" w:sz="6" w:space="0" w:color="auto"/>
              <w:bottom w:val="single" w:sz="6" w:space="0" w:color="auto"/>
              <w:right w:val="single" w:sz="6" w:space="0" w:color="auto"/>
            </w:tcBorders>
            <w:vAlign w:val="center"/>
            <w:hideMark/>
          </w:tcPr>
          <w:p w14:paraId="73AE6A51"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71 367</w:t>
            </w:r>
          </w:p>
        </w:tc>
      </w:tr>
      <w:tr w:rsidR="00A21943" w:rsidRPr="00A21943" w14:paraId="4F84F4C4" w14:textId="77777777" w:rsidTr="004C3B13">
        <w:trPr>
          <w:trHeight w:val="227"/>
        </w:trPr>
        <w:tc>
          <w:tcPr>
            <w:tcW w:w="1941" w:type="pct"/>
            <w:vMerge/>
            <w:tcBorders>
              <w:left w:val="single" w:sz="6" w:space="0" w:color="auto"/>
              <w:right w:val="single" w:sz="6" w:space="0" w:color="auto"/>
            </w:tcBorders>
            <w:vAlign w:val="center"/>
          </w:tcPr>
          <w:p w14:paraId="5C418818" w14:textId="77777777" w:rsidR="00A83EDB" w:rsidRPr="00A21943" w:rsidRDefault="00A83EDB" w:rsidP="00964E70">
            <w:pPr>
              <w:keepNext/>
              <w:autoSpaceDE w:val="0"/>
              <w:autoSpaceDN w:val="0"/>
              <w:adjustRightInd w:val="0"/>
              <w:spacing w:line="256" w:lineRule="auto"/>
              <w:jc w:val="left"/>
              <w:rPr>
                <w:rFonts w:ascii="Calibri" w:hAnsi="Calibri" w:cs="Calibri"/>
                <w:sz w:val="20"/>
              </w:rPr>
            </w:pPr>
          </w:p>
        </w:tc>
        <w:tc>
          <w:tcPr>
            <w:tcW w:w="323" w:type="pct"/>
            <w:tcBorders>
              <w:top w:val="single" w:sz="6" w:space="0" w:color="auto"/>
              <w:left w:val="single" w:sz="6" w:space="0" w:color="auto"/>
              <w:bottom w:val="single" w:sz="6" w:space="0" w:color="auto"/>
              <w:right w:val="single" w:sz="6" w:space="0" w:color="auto"/>
            </w:tcBorders>
            <w:vAlign w:val="center"/>
            <w:hideMark/>
          </w:tcPr>
          <w:p w14:paraId="590EE712"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FNM</w:t>
            </w:r>
          </w:p>
        </w:tc>
        <w:tc>
          <w:tcPr>
            <w:tcW w:w="546" w:type="pct"/>
            <w:vMerge/>
            <w:tcBorders>
              <w:left w:val="single" w:sz="6" w:space="0" w:color="auto"/>
              <w:right w:val="single" w:sz="6" w:space="0" w:color="auto"/>
            </w:tcBorders>
          </w:tcPr>
          <w:p w14:paraId="2BC37C06"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p>
        </w:tc>
        <w:tc>
          <w:tcPr>
            <w:tcW w:w="730" w:type="pct"/>
            <w:tcBorders>
              <w:top w:val="single" w:sz="6" w:space="0" w:color="auto"/>
              <w:left w:val="single" w:sz="6" w:space="0" w:color="auto"/>
              <w:bottom w:val="single" w:sz="6" w:space="0" w:color="auto"/>
              <w:right w:val="single" w:sz="6" w:space="0" w:color="auto"/>
            </w:tcBorders>
            <w:vAlign w:val="center"/>
            <w:hideMark/>
          </w:tcPr>
          <w:p w14:paraId="0579CDE5"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78 760</w:t>
            </w:r>
          </w:p>
        </w:tc>
        <w:tc>
          <w:tcPr>
            <w:tcW w:w="730" w:type="pct"/>
            <w:tcBorders>
              <w:top w:val="single" w:sz="6" w:space="0" w:color="auto"/>
              <w:left w:val="single" w:sz="6" w:space="0" w:color="auto"/>
              <w:bottom w:val="single" w:sz="6" w:space="0" w:color="auto"/>
              <w:right w:val="single" w:sz="6" w:space="0" w:color="auto"/>
            </w:tcBorders>
            <w:vAlign w:val="center"/>
            <w:hideMark/>
          </w:tcPr>
          <w:p w14:paraId="2CDC8A42"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76 755</w:t>
            </w:r>
          </w:p>
        </w:tc>
        <w:tc>
          <w:tcPr>
            <w:tcW w:w="730" w:type="pct"/>
            <w:tcBorders>
              <w:top w:val="single" w:sz="6" w:space="0" w:color="auto"/>
              <w:left w:val="single" w:sz="6" w:space="0" w:color="auto"/>
              <w:bottom w:val="single" w:sz="6" w:space="0" w:color="auto"/>
              <w:right w:val="single" w:sz="6" w:space="0" w:color="auto"/>
            </w:tcBorders>
            <w:vAlign w:val="center"/>
            <w:hideMark/>
          </w:tcPr>
          <w:p w14:paraId="23B0C511"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79 450</w:t>
            </w:r>
          </w:p>
        </w:tc>
      </w:tr>
      <w:tr w:rsidR="00A21943" w:rsidRPr="00A21943" w14:paraId="423C690B" w14:textId="77777777" w:rsidTr="004C3B13">
        <w:trPr>
          <w:trHeight w:val="227"/>
        </w:trPr>
        <w:tc>
          <w:tcPr>
            <w:tcW w:w="1941" w:type="pct"/>
            <w:vMerge/>
            <w:tcBorders>
              <w:left w:val="single" w:sz="6" w:space="0" w:color="auto"/>
              <w:bottom w:val="single" w:sz="6" w:space="0" w:color="auto"/>
              <w:right w:val="single" w:sz="6" w:space="0" w:color="auto"/>
            </w:tcBorders>
            <w:vAlign w:val="center"/>
          </w:tcPr>
          <w:p w14:paraId="3AAEEA01" w14:textId="77777777" w:rsidR="00A83EDB" w:rsidRPr="00A21943" w:rsidRDefault="00A83EDB" w:rsidP="00964E70">
            <w:pPr>
              <w:keepNext/>
              <w:autoSpaceDE w:val="0"/>
              <w:autoSpaceDN w:val="0"/>
              <w:adjustRightInd w:val="0"/>
              <w:spacing w:line="256" w:lineRule="auto"/>
              <w:jc w:val="left"/>
              <w:rPr>
                <w:rFonts w:ascii="Calibri" w:hAnsi="Calibri" w:cs="Calibri"/>
                <w:sz w:val="20"/>
              </w:rPr>
            </w:pPr>
          </w:p>
        </w:tc>
        <w:tc>
          <w:tcPr>
            <w:tcW w:w="323" w:type="pct"/>
            <w:tcBorders>
              <w:top w:val="single" w:sz="6" w:space="0" w:color="auto"/>
              <w:left w:val="single" w:sz="6" w:space="0" w:color="auto"/>
              <w:bottom w:val="single" w:sz="6" w:space="0" w:color="auto"/>
              <w:right w:val="single" w:sz="6" w:space="0" w:color="auto"/>
            </w:tcBorders>
            <w:vAlign w:val="center"/>
            <w:hideMark/>
          </w:tcPr>
          <w:p w14:paraId="63540A4B"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ÚVN</w:t>
            </w:r>
          </w:p>
        </w:tc>
        <w:tc>
          <w:tcPr>
            <w:tcW w:w="546" w:type="pct"/>
            <w:vMerge/>
            <w:tcBorders>
              <w:left w:val="single" w:sz="6" w:space="0" w:color="auto"/>
              <w:bottom w:val="single" w:sz="6" w:space="0" w:color="auto"/>
              <w:right w:val="single" w:sz="6" w:space="0" w:color="auto"/>
            </w:tcBorders>
          </w:tcPr>
          <w:p w14:paraId="2A1BC899"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p>
        </w:tc>
        <w:tc>
          <w:tcPr>
            <w:tcW w:w="730" w:type="pct"/>
            <w:tcBorders>
              <w:top w:val="single" w:sz="6" w:space="0" w:color="auto"/>
              <w:left w:val="single" w:sz="6" w:space="0" w:color="auto"/>
              <w:bottom w:val="single" w:sz="6" w:space="0" w:color="auto"/>
              <w:right w:val="single" w:sz="6" w:space="0" w:color="auto"/>
            </w:tcBorders>
            <w:vAlign w:val="center"/>
            <w:hideMark/>
          </w:tcPr>
          <w:p w14:paraId="06EB57E6"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25 462</w:t>
            </w:r>
          </w:p>
        </w:tc>
        <w:tc>
          <w:tcPr>
            <w:tcW w:w="730" w:type="pct"/>
            <w:tcBorders>
              <w:top w:val="single" w:sz="6" w:space="0" w:color="auto"/>
              <w:left w:val="single" w:sz="6" w:space="0" w:color="auto"/>
              <w:bottom w:val="single" w:sz="6" w:space="0" w:color="auto"/>
              <w:right w:val="single" w:sz="6" w:space="0" w:color="auto"/>
            </w:tcBorders>
            <w:vAlign w:val="center"/>
            <w:hideMark/>
          </w:tcPr>
          <w:p w14:paraId="0D97BC85"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26 028</w:t>
            </w:r>
          </w:p>
        </w:tc>
        <w:tc>
          <w:tcPr>
            <w:tcW w:w="730" w:type="pct"/>
            <w:tcBorders>
              <w:top w:val="single" w:sz="6" w:space="0" w:color="auto"/>
              <w:left w:val="single" w:sz="6" w:space="0" w:color="auto"/>
              <w:bottom w:val="single" w:sz="6" w:space="0" w:color="auto"/>
              <w:right w:val="single" w:sz="6" w:space="0" w:color="auto"/>
            </w:tcBorders>
            <w:vAlign w:val="center"/>
            <w:hideMark/>
          </w:tcPr>
          <w:p w14:paraId="1127E301"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26 494</w:t>
            </w:r>
          </w:p>
        </w:tc>
      </w:tr>
      <w:tr w:rsidR="00A21943" w:rsidRPr="00A21943" w14:paraId="751C5634" w14:textId="77777777" w:rsidTr="004C3B13">
        <w:trPr>
          <w:trHeight w:val="227"/>
        </w:trPr>
        <w:tc>
          <w:tcPr>
            <w:tcW w:w="1941" w:type="pct"/>
            <w:vMerge w:val="restart"/>
            <w:tcBorders>
              <w:top w:val="single" w:sz="6" w:space="0" w:color="auto"/>
              <w:left w:val="single" w:sz="6" w:space="0" w:color="auto"/>
              <w:right w:val="single" w:sz="6" w:space="0" w:color="auto"/>
            </w:tcBorders>
            <w:vAlign w:val="center"/>
            <w:hideMark/>
          </w:tcPr>
          <w:p w14:paraId="22969002" w14:textId="77777777" w:rsidR="00A83EDB" w:rsidRPr="00A21943" w:rsidRDefault="00A83EDB" w:rsidP="00964E70">
            <w:pPr>
              <w:keepNext/>
              <w:autoSpaceDE w:val="0"/>
              <w:autoSpaceDN w:val="0"/>
              <w:adjustRightInd w:val="0"/>
              <w:spacing w:line="256" w:lineRule="auto"/>
              <w:jc w:val="left"/>
              <w:rPr>
                <w:rFonts w:ascii="Calibri" w:hAnsi="Calibri" w:cs="Calibri"/>
                <w:sz w:val="20"/>
              </w:rPr>
            </w:pPr>
            <w:r w:rsidRPr="00A21943">
              <w:rPr>
                <w:rFonts w:ascii="Calibri" w:hAnsi="Calibri" w:cs="Calibri"/>
                <w:sz w:val="20"/>
              </w:rPr>
              <w:t>Náklady na 1 hospitalizovaného pacienta</w:t>
            </w:r>
          </w:p>
        </w:tc>
        <w:tc>
          <w:tcPr>
            <w:tcW w:w="323" w:type="pct"/>
            <w:tcBorders>
              <w:top w:val="single" w:sz="6" w:space="0" w:color="auto"/>
              <w:left w:val="single" w:sz="6" w:space="0" w:color="auto"/>
              <w:bottom w:val="single" w:sz="6" w:space="0" w:color="auto"/>
              <w:right w:val="single" w:sz="6" w:space="0" w:color="auto"/>
            </w:tcBorders>
            <w:vAlign w:val="center"/>
            <w:hideMark/>
          </w:tcPr>
          <w:p w14:paraId="051F5B5F"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FNB</w:t>
            </w:r>
          </w:p>
        </w:tc>
        <w:tc>
          <w:tcPr>
            <w:tcW w:w="546" w:type="pct"/>
            <w:vMerge w:val="restart"/>
            <w:tcBorders>
              <w:top w:val="single" w:sz="6" w:space="0" w:color="auto"/>
              <w:left w:val="single" w:sz="6" w:space="0" w:color="auto"/>
              <w:right w:val="single" w:sz="6" w:space="0" w:color="auto"/>
            </w:tcBorders>
            <w:vAlign w:val="center"/>
            <w:hideMark/>
          </w:tcPr>
          <w:p w14:paraId="1F00F94C"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Kč</w:t>
            </w:r>
          </w:p>
        </w:tc>
        <w:tc>
          <w:tcPr>
            <w:tcW w:w="730" w:type="pct"/>
            <w:tcBorders>
              <w:top w:val="single" w:sz="6" w:space="0" w:color="auto"/>
              <w:left w:val="single" w:sz="6" w:space="0" w:color="auto"/>
              <w:bottom w:val="single" w:sz="6" w:space="0" w:color="auto"/>
              <w:right w:val="single" w:sz="6" w:space="0" w:color="auto"/>
            </w:tcBorders>
            <w:vAlign w:val="center"/>
            <w:hideMark/>
          </w:tcPr>
          <w:p w14:paraId="03688B6A"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50 724</w:t>
            </w:r>
          </w:p>
        </w:tc>
        <w:tc>
          <w:tcPr>
            <w:tcW w:w="730" w:type="pct"/>
            <w:tcBorders>
              <w:top w:val="single" w:sz="6" w:space="0" w:color="auto"/>
              <w:left w:val="single" w:sz="6" w:space="0" w:color="auto"/>
              <w:bottom w:val="single" w:sz="6" w:space="0" w:color="auto"/>
              <w:right w:val="single" w:sz="6" w:space="0" w:color="auto"/>
            </w:tcBorders>
            <w:vAlign w:val="center"/>
            <w:hideMark/>
          </w:tcPr>
          <w:p w14:paraId="5CB91AD4"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50 370</w:t>
            </w:r>
          </w:p>
        </w:tc>
        <w:tc>
          <w:tcPr>
            <w:tcW w:w="730" w:type="pct"/>
            <w:tcBorders>
              <w:top w:val="single" w:sz="6" w:space="0" w:color="auto"/>
              <w:left w:val="single" w:sz="6" w:space="0" w:color="auto"/>
              <w:bottom w:val="single" w:sz="6" w:space="0" w:color="auto"/>
              <w:right w:val="single" w:sz="6" w:space="0" w:color="auto"/>
            </w:tcBorders>
            <w:vAlign w:val="center"/>
            <w:hideMark/>
          </w:tcPr>
          <w:p w14:paraId="44470F22"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53 824</w:t>
            </w:r>
          </w:p>
        </w:tc>
      </w:tr>
      <w:tr w:rsidR="00A21943" w:rsidRPr="00A21943" w14:paraId="04D27083" w14:textId="77777777" w:rsidTr="004C3B13">
        <w:trPr>
          <w:trHeight w:val="227"/>
        </w:trPr>
        <w:tc>
          <w:tcPr>
            <w:tcW w:w="1941" w:type="pct"/>
            <w:vMerge/>
            <w:tcBorders>
              <w:left w:val="single" w:sz="6" w:space="0" w:color="auto"/>
              <w:right w:val="single" w:sz="6" w:space="0" w:color="auto"/>
            </w:tcBorders>
            <w:vAlign w:val="center"/>
          </w:tcPr>
          <w:p w14:paraId="5B23F456" w14:textId="77777777" w:rsidR="00A83EDB" w:rsidRPr="00A21943" w:rsidRDefault="00A83EDB" w:rsidP="00964E70">
            <w:pPr>
              <w:keepNext/>
              <w:autoSpaceDE w:val="0"/>
              <w:autoSpaceDN w:val="0"/>
              <w:adjustRightInd w:val="0"/>
              <w:spacing w:line="256" w:lineRule="auto"/>
              <w:jc w:val="left"/>
              <w:rPr>
                <w:rFonts w:ascii="Calibri" w:hAnsi="Calibri" w:cs="Calibri"/>
                <w:sz w:val="20"/>
              </w:rPr>
            </w:pPr>
          </w:p>
        </w:tc>
        <w:tc>
          <w:tcPr>
            <w:tcW w:w="323" w:type="pct"/>
            <w:tcBorders>
              <w:top w:val="single" w:sz="6" w:space="0" w:color="auto"/>
              <w:left w:val="single" w:sz="6" w:space="0" w:color="auto"/>
              <w:bottom w:val="single" w:sz="6" w:space="0" w:color="auto"/>
              <w:right w:val="single" w:sz="6" w:space="0" w:color="auto"/>
            </w:tcBorders>
            <w:vAlign w:val="center"/>
            <w:hideMark/>
          </w:tcPr>
          <w:p w14:paraId="0D61735E"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FNM</w:t>
            </w:r>
          </w:p>
        </w:tc>
        <w:tc>
          <w:tcPr>
            <w:tcW w:w="546" w:type="pct"/>
            <w:vMerge/>
            <w:tcBorders>
              <w:left w:val="single" w:sz="6" w:space="0" w:color="auto"/>
              <w:right w:val="single" w:sz="6" w:space="0" w:color="auto"/>
            </w:tcBorders>
          </w:tcPr>
          <w:p w14:paraId="6E9394BE"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p>
        </w:tc>
        <w:tc>
          <w:tcPr>
            <w:tcW w:w="730" w:type="pct"/>
            <w:tcBorders>
              <w:top w:val="single" w:sz="6" w:space="0" w:color="auto"/>
              <w:left w:val="single" w:sz="6" w:space="0" w:color="auto"/>
              <w:bottom w:val="single" w:sz="6" w:space="0" w:color="auto"/>
              <w:right w:val="single" w:sz="6" w:space="0" w:color="auto"/>
            </w:tcBorders>
            <w:vAlign w:val="center"/>
            <w:hideMark/>
          </w:tcPr>
          <w:p w14:paraId="2EBE34AF"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63 853</w:t>
            </w:r>
          </w:p>
        </w:tc>
        <w:tc>
          <w:tcPr>
            <w:tcW w:w="730" w:type="pct"/>
            <w:tcBorders>
              <w:top w:val="single" w:sz="6" w:space="0" w:color="auto"/>
              <w:left w:val="single" w:sz="6" w:space="0" w:color="auto"/>
              <w:bottom w:val="single" w:sz="6" w:space="0" w:color="auto"/>
              <w:right w:val="single" w:sz="6" w:space="0" w:color="auto"/>
            </w:tcBorders>
            <w:vAlign w:val="center"/>
            <w:hideMark/>
          </w:tcPr>
          <w:p w14:paraId="51F7FA8F"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64 695</w:t>
            </w:r>
          </w:p>
        </w:tc>
        <w:tc>
          <w:tcPr>
            <w:tcW w:w="730" w:type="pct"/>
            <w:tcBorders>
              <w:top w:val="single" w:sz="6" w:space="0" w:color="auto"/>
              <w:left w:val="single" w:sz="6" w:space="0" w:color="auto"/>
              <w:bottom w:val="single" w:sz="6" w:space="0" w:color="auto"/>
              <w:right w:val="single" w:sz="6" w:space="0" w:color="auto"/>
            </w:tcBorders>
            <w:vAlign w:val="center"/>
            <w:hideMark/>
          </w:tcPr>
          <w:p w14:paraId="315429C0"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62 514</w:t>
            </w:r>
          </w:p>
        </w:tc>
      </w:tr>
      <w:tr w:rsidR="00A21943" w:rsidRPr="00A21943" w14:paraId="1C369F67" w14:textId="77777777" w:rsidTr="004C3B13">
        <w:trPr>
          <w:trHeight w:val="227"/>
        </w:trPr>
        <w:tc>
          <w:tcPr>
            <w:tcW w:w="1941" w:type="pct"/>
            <w:vMerge/>
            <w:tcBorders>
              <w:left w:val="single" w:sz="6" w:space="0" w:color="auto"/>
              <w:bottom w:val="single" w:sz="6" w:space="0" w:color="auto"/>
              <w:right w:val="single" w:sz="6" w:space="0" w:color="auto"/>
            </w:tcBorders>
            <w:vAlign w:val="center"/>
          </w:tcPr>
          <w:p w14:paraId="18330930" w14:textId="77777777" w:rsidR="00A83EDB" w:rsidRPr="00A21943" w:rsidRDefault="00A83EDB" w:rsidP="00964E70">
            <w:pPr>
              <w:keepNext/>
              <w:autoSpaceDE w:val="0"/>
              <w:autoSpaceDN w:val="0"/>
              <w:adjustRightInd w:val="0"/>
              <w:spacing w:line="256" w:lineRule="auto"/>
              <w:jc w:val="left"/>
              <w:rPr>
                <w:rFonts w:ascii="Calibri" w:hAnsi="Calibri" w:cs="Calibri"/>
                <w:sz w:val="20"/>
              </w:rPr>
            </w:pPr>
          </w:p>
        </w:tc>
        <w:tc>
          <w:tcPr>
            <w:tcW w:w="323" w:type="pct"/>
            <w:tcBorders>
              <w:top w:val="single" w:sz="6" w:space="0" w:color="auto"/>
              <w:left w:val="single" w:sz="6" w:space="0" w:color="auto"/>
              <w:bottom w:val="single" w:sz="6" w:space="0" w:color="auto"/>
              <w:right w:val="single" w:sz="6" w:space="0" w:color="auto"/>
            </w:tcBorders>
            <w:vAlign w:val="center"/>
            <w:hideMark/>
          </w:tcPr>
          <w:p w14:paraId="78F447BB"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ÚVN</w:t>
            </w:r>
          </w:p>
        </w:tc>
        <w:tc>
          <w:tcPr>
            <w:tcW w:w="546" w:type="pct"/>
            <w:vMerge/>
            <w:tcBorders>
              <w:left w:val="single" w:sz="6" w:space="0" w:color="auto"/>
              <w:bottom w:val="single" w:sz="6" w:space="0" w:color="auto"/>
              <w:right w:val="single" w:sz="6" w:space="0" w:color="auto"/>
            </w:tcBorders>
          </w:tcPr>
          <w:p w14:paraId="4E70D435"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p>
        </w:tc>
        <w:tc>
          <w:tcPr>
            <w:tcW w:w="730" w:type="pct"/>
            <w:tcBorders>
              <w:top w:val="single" w:sz="6" w:space="0" w:color="auto"/>
              <w:left w:val="single" w:sz="6" w:space="0" w:color="auto"/>
              <w:bottom w:val="single" w:sz="6" w:space="0" w:color="auto"/>
              <w:right w:val="single" w:sz="6" w:space="0" w:color="auto"/>
            </w:tcBorders>
            <w:vAlign w:val="center"/>
            <w:hideMark/>
          </w:tcPr>
          <w:p w14:paraId="5989D815"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57 193</w:t>
            </w:r>
          </w:p>
        </w:tc>
        <w:tc>
          <w:tcPr>
            <w:tcW w:w="730" w:type="pct"/>
            <w:tcBorders>
              <w:top w:val="single" w:sz="6" w:space="0" w:color="auto"/>
              <w:left w:val="single" w:sz="6" w:space="0" w:color="auto"/>
              <w:bottom w:val="single" w:sz="6" w:space="0" w:color="auto"/>
              <w:right w:val="single" w:sz="6" w:space="0" w:color="auto"/>
            </w:tcBorders>
            <w:vAlign w:val="center"/>
            <w:hideMark/>
          </w:tcPr>
          <w:p w14:paraId="18338DE0"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56 757</w:t>
            </w:r>
          </w:p>
        </w:tc>
        <w:tc>
          <w:tcPr>
            <w:tcW w:w="730" w:type="pct"/>
            <w:tcBorders>
              <w:top w:val="single" w:sz="6" w:space="0" w:color="auto"/>
              <w:left w:val="single" w:sz="6" w:space="0" w:color="auto"/>
              <w:bottom w:val="single" w:sz="6" w:space="0" w:color="auto"/>
              <w:right w:val="single" w:sz="6" w:space="0" w:color="auto"/>
            </w:tcBorders>
            <w:vAlign w:val="center"/>
            <w:hideMark/>
          </w:tcPr>
          <w:p w14:paraId="0CD6819A" w14:textId="77777777" w:rsidR="00A83EDB" w:rsidRPr="00A21943" w:rsidRDefault="00A83EDB" w:rsidP="001B739F">
            <w:pPr>
              <w:keepNext/>
              <w:autoSpaceDE w:val="0"/>
              <w:autoSpaceDN w:val="0"/>
              <w:adjustRightInd w:val="0"/>
              <w:spacing w:line="256" w:lineRule="auto"/>
              <w:ind w:right="436"/>
              <w:jc w:val="right"/>
              <w:rPr>
                <w:rFonts w:ascii="Calibri" w:hAnsi="Calibri" w:cs="Calibri"/>
                <w:sz w:val="20"/>
              </w:rPr>
            </w:pPr>
            <w:r w:rsidRPr="00A21943">
              <w:rPr>
                <w:rFonts w:ascii="Calibri" w:hAnsi="Calibri" w:cs="Calibri"/>
                <w:sz w:val="20"/>
              </w:rPr>
              <w:t>57 135</w:t>
            </w:r>
          </w:p>
        </w:tc>
      </w:tr>
      <w:tr w:rsidR="00A21943" w:rsidRPr="00A21943" w14:paraId="71506B27" w14:textId="77777777" w:rsidTr="004C3B13">
        <w:trPr>
          <w:trHeight w:val="227"/>
        </w:trPr>
        <w:tc>
          <w:tcPr>
            <w:tcW w:w="1941" w:type="pct"/>
            <w:vMerge w:val="restart"/>
            <w:tcBorders>
              <w:top w:val="single" w:sz="6" w:space="0" w:color="auto"/>
              <w:left w:val="single" w:sz="6" w:space="0" w:color="auto"/>
              <w:right w:val="single" w:sz="6" w:space="0" w:color="auto"/>
            </w:tcBorders>
            <w:vAlign w:val="center"/>
            <w:hideMark/>
          </w:tcPr>
          <w:p w14:paraId="768DFD91" w14:textId="77777777" w:rsidR="00A83EDB" w:rsidRPr="00A21943" w:rsidRDefault="00A83EDB" w:rsidP="00964E70">
            <w:pPr>
              <w:keepNext/>
              <w:autoSpaceDE w:val="0"/>
              <w:autoSpaceDN w:val="0"/>
              <w:adjustRightInd w:val="0"/>
              <w:spacing w:line="256" w:lineRule="auto"/>
              <w:jc w:val="left"/>
              <w:rPr>
                <w:rFonts w:ascii="Calibri" w:hAnsi="Calibri" w:cs="Calibri"/>
                <w:sz w:val="20"/>
              </w:rPr>
            </w:pPr>
            <w:r w:rsidRPr="00A21943">
              <w:rPr>
                <w:rFonts w:ascii="Calibri" w:hAnsi="Calibri" w:cs="Calibri"/>
                <w:sz w:val="20"/>
              </w:rPr>
              <w:t>Průměrný počet lůžek</w:t>
            </w:r>
          </w:p>
        </w:tc>
        <w:tc>
          <w:tcPr>
            <w:tcW w:w="323" w:type="pct"/>
            <w:tcBorders>
              <w:top w:val="single" w:sz="6" w:space="0" w:color="auto"/>
              <w:left w:val="single" w:sz="6" w:space="0" w:color="auto"/>
              <w:bottom w:val="single" w:sz="6" w:space="0" w:color="auto"/>
              <w:right w:val="single" w:sz="6" w:space="0" w:color="auto"/>
            </w:tcBorders>
            <w:vAlign w:val="center"/>
            <w:hideMark/>
          </w:tcPr>
          <w:p w14:paraId="4045AAFF"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FNB</w:t>
            </w:r>
          </w:p>
        </w:tc>
        <w:tc>
          <w:tcPr>
            <w:tcW w:w="546" w:type="pct"/>
            <w:vMerge w:val="restart"/>
            <w:tcBorders>
              <w:top w:val="single" w:sz="6" w:space="0" w:color="auto"/>
              <w:left w:val="single" w:sz="6" w:space="0" w:color="auto"/>
              <w:right w:val="single" w:sz="6" w:space="0" w:color="auto"/>
            </w:tcBorders>
            <w:vAlign w:val="center"/>
            <w:hideMark/>
          </w:tcPr>
          <w:p w14:paraId="4BBDD446"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ks</w:t>
            </w:r>
          </w:p>
        </w:tc>
        <w:tc>
          <w:tcPr>
            <w:tcW w:w="730" w:type="pct"/>
            <w:tcBorders>
              <w:top w:val="single" w:sz="6" w:space="0" w:color="auto"/>
              <w:left w:val="single" w:sz="6" w:space="0" w:color="auto"/>
              <w:bottom w:val="single" w:sz="6" w:space="0" w:color="auto"/>
              <w:right w:val="single" w:sz="6" w:space="0" w:color="auto"/>
            </w:tcBorders>
            <w:vAlign w:val="center"/>
            <w:hideMark/>
          </w:tcPr>
          <w:p w14:paraId="4C8560E3"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1 907,00</w:t>
            </w:r>
          </w:p>
        </w:tc>
        <w:tc>
          <w:tcPr>
            <w:tcW w:w="730" w:type="pct"/>
            <w:tcBorders>
              <w:top w:val="single" w:sz="6" w:space="0" w:color="auto"/>
              <w:left w:val="single" w:sz="6" w:space="0" w:color="auto"/>
              <w:bottom w:val="single" w:sz="6" w:space="0" w:color="auto"/>
              <w:right w:val="single" w:sz="6" w:space="0" w:color="auto"/>
            </w:tcBorders>
            <w:vAlign w:val="center"/>
            <w:hideMark/>
          </w:tcPr>
          <w:p w14:paraId="33E2CE0A"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1 910,00</w:t>
            </w:r>
          </w:p>
        </w:tc>
        <w:tc>
          <w:tcPr>
            <w:tcW w:w="730" w:type="pct"/>
            <w:tcBorders>
              <w:top w:val="single" w:sz="6" w:space="0" w:color="auto"/>
              <w:left w:val="single" w:sz="6" w:space="0" w:color="auto"/>
              <w:bottom w:val="single" w:sz="6" w:space="0" w:color="auto"/>
              <w:right w:val="single" w:sz="6" w:space="0" w:color="auto"/>
            </w:tcBorders>
            <w:vAlign w:val="center"/>
            <w:hideMark/>
          </w:tcPr>
          <w:p w14:paraId="1F072CDA"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1 882,00</w:t>
            </w:r>
          </w:p>
        </w:tc>
      </w:tr>
      <w:tr w:rsidR="00A21943" w:rsidRPr="00A21943" w14:paraId="540E3C4D" w14:textId="77777777" w:rsidTr="004C3B13">
        <w:trPr>
          <w:trHeight w:val="227"/>
        </w:trPr>
        <w:tc>
          <w:tcPr>
            <w:tcW w:w="1941" w:type="pct"/>
            <w:vMerge/>
            <w:tcBorders>
              <w:left w:val="single" w:sz="6" w:space="0" w:color="auto"/>
              <w:right w:val="single" w:sz="6" w:space="0" w:color="auto"/>
            </w:tcBorders>
            <w:vAlign w:val="center"/>
          </w:tcPr>
          <w:p w14:paraId="352BADB5" w14:textId="77777777" w:rsidR="00A83EDB" w:rsidRPr="00A21943" w:rsidRDefault="00A83EDB" w:rsidP="00964E70">
            <w:pPr>
              <w:keepNext/>
              <w:autoSpaceDE w:val="0"/>
              <w:autoSpaceDN w:val="0"/>
              <w:adjustRightInd w:val="0"/>
              <w:spacing w:line="256" w:lineRule="auto"/>
              <w:jc w:val="left"/>
              <w:rPr>
                <w:rFonts w:ascii="Calibri" w:hAnsi="Calibri" w:cs="Calibri"/>
                <w:sz w:val="20"/>
              </w:rPr>
            </w:pPr>
          </w:p>
        </w:tc>
        <w:tc>
          <w:tcPr>
            <w:tcW w:w="323" w:type="pct"/>
            <w:tcBorders>
              <w:top w:val="single" w:sz="6" w:space="0" w:color="auto"/>
              <w:left w:val="single" w:sz="6" w:space="0" w:color="auto"/>
              <w:bottom w:val="single" w:sz="6" w:space="0" w:color="auto"/>
              <w:right w:val="single" w:sz="6" w:space="0" w:color="auto"/>
            </w:tcBorders>
            <w:vAlign w:val="center"/>
            <w:hideMark/>
          </w:tcPr>
          <w:p w14:paraId="67B3BA04"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FNM</w:t>
            </w:r>
          </w:p>
        </w:tc>
        <w:tc>
          <w:tcPr>
            <w:tcW w:w="546" w:type="pct"/>
            <w:vMerge/>
            <w:tcBorders>
              <w:left w:val="single" w:sz="6" w:space="0" w:color="auto"/>
              <w:right w:val="single" w:sz="6" w:space="0" w:color="auto"/>
            </w:tcBorders>
            <w:vAlign w:val="center"/>
          </w:tcPr>
          <w:p w14:paraId="74F40D4E"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p>
        </w:tc>
        <w:tc>
          <w:tcPr>
            <w:tcW w:w="730" w:type="pct"/>
            <w:tcBorders>
              <w:top w:val="single" w:sz="6" w:space="0" w:color="auto"/>
              <w:left w:val="single" w:sz="6" w:space="0" w:color="auto"/>
              <w:bottom w:val="single" w:sz="6" w:space="0" w:color="auto"/>
              <w:right w:val="single" w:sz="6" w:space="0" w:color="auto"/>
            </w:tcBorders>
            <w:vAlign w:val="center"/>
            <w:hideMark/>
          </w:tcPr>
          <w:p w14:paraId="51AF7214"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2 189,00</w:t>
            </w:r>
          </w:p>
        </w:tc>
        <w:tc>
          <w:tcPr>
            <w:tcW w:w="730" w:type="pct"/>
            <w:tcBorders>
              <w:top w:val="single" w:sz="6" w:space="0" w:color="auto"/>
              <w:left w:val="single" w:sz="6" w:space="0" w:color="auto"/>
              <w:bottom w:val="single" w:sz="6" w:space="0" w:color="auto"/>
              <w:right w:val="single" w:sz="6" w:space="0" w:color="auto"/>
            </w:tcBorders>
            <w:vAlign w:val="center"/>
            <w:hideMark/>
          </w:tcPr>
          <w:p w14:paraId="52B85623"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2 197,00</w:t>
            </w:r>
          </w:p>
        </w:tc>
        <w:tc>
          <w:tcPr>
            <w:tcW w:w="730" w:type="pct"/>
            <w:tcBorders>
              <w:top w:val="single" w:sz="6" w:space="0" w:color="auto"/>
              <w:left w:val="single" w:sz="6" w:space="0" w:color="auto"/>
              <w:bottom w:val="single" w:sz="6" w:space="0" w:color="auto"/>
              <w:right w:val="single" w:sz="6" w:space="0" w:color="auto"/>
            </w:tcBorders>
            <w:vAlign w:val="center"/>
            <w:hideMark/>
          </w:tcPr>
          <w:p w14:paraId="04CD53A3"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2 201,92</w:t>
            </w:r>
          </w:p>
        </w:tc>
      </w:tr>
      <w:tr w:rsidR="00A21943" w:rsidRPr="00A21943" w14:paraId="4772C15B" w14:textId="77777777" w:rsidTr="004C3B13">
        <w:trPr>
          <w:trHeight w:val="227"/>
        </w:trPr>
        <w:tc>
          <w:tcPr>
            <w:tcW w:w="1941" w:type="pct"/>
            <w:vMerge/>
            <w:tcBorders>
              <w:left w:val="single" w:sz="6" w:space="0" w:color="auto"/>
              <w:bottom w:val="single" w:sz="6" w:space="0" w:color="auto"/>
              <w:right w:val="single" w:sz="6" w:space="0" w:color="auto"/>
            </w:tcBorders>
            <w:vAlign w:val="center"/>
          </w:tcPr>
          <w:p w14:paraId="412C36A1" w14:textId="77777777" w:rsidR="00A83EDB" w:rsidRPr="00A21943" w:rsidRDefault="00A83EDB" w:rsidP="00964E70">
            <w:pPr>
              <w:keepNext/>
              <w:autoSpaceDE w:val="0"/>
              <w:autoSpaceDN w:val="0"/>
              <w:adjustRightInd w:val="0"/>
              <w:spacing w:line="256" w:lineRule="auto"/>
              <w:jc w:val="left"/>
              <w:rPr>
                <w:rFonts w:ascii="Calibri" w:hAnsi="Calibri" w:cs="Calibri"/>
                <w:sz w:val="20"/>
              </w:rPr>
            </w:pPr>
          </w:p>
        </w:tc>
        <w:tc>
          <w:tcPr>
            <w:tcW w:w="323" w:type="pct"/>
            <w:tcBorders>
              <w:top w:val="single" w:sz="6" w:space="0" w:color="auto"/>
              <w:left w:val="single" w:sz="6" w:space="0" w:color="auto"/>
              <w:bottom w:val="single" w:sz="6" w:space="0" w:color="auto"/>
              <w:right w:val="single" w:sz="6" w:space="0" w:color="auto"/>
            </w:tcBorders>
            <w:vAlign w:val="center"/>
            <w:hideMark/>
          </w:tcPr>
          <w:p w14:paraId="5838A477"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ÚVN</w:t>
            </w:r>
          </w:p>
        </w:tc>
        <w:tc>
          <w:tcPr>
            <w:tcW w:w="546" w:type="pct"/>
            <w:vMerge/>
            <w:tcBorders>
              <w:left w:val="single" w:sz="6" w:space="0" w:color="auto"/>
              <w:bottom w:val="single" w:sz="6" w:space="0" w:color="auto"/>
              <w:right w:val="single" w:sz="6" w:space="0" w:color="auto"/>
            </w:tcBorders>
          </w:tcPr>
          <w:p w14:paraId="100A4B3D"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p>
        </w:tc>
        <w:tc>
          <w:tcPr>
            <w:tcW w:w="730" w:type="pct"/>
            <w:tcBorders>
              <w:top w:val="single" w:sz="6" w:space="0" w:color="auto"/>
              <w:left w:val="single" w:sz="6" w:space="0" w:color="auto"/>
              <w:bottom w:val="single" w:sz="6" w:space="0" w:color="auto"/>
              <w:right w:val="single" w:sz="6" w:space="0" w:color="auto"/>
            </w:tcBorders>
            <w:vAlign w:val="center"/>
            <w:hideMark/>
          </w:tcPr>
          <w:p w14:paraId="75F52D1D"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664,00</w:t>
            </w:r>
          </w:p>
        </w:tc>
        <w:tc>
          <w:tcPr>
            <w:tcW w:w="730" w:type="pct"/>
            <w:tcBorders>
              <w:top w:val="single" w:sz="6" w:space="0" w:color="auto"/>
              <w:left w:val="single" w:sz="6" w:space="0" w:color="auto"/>
              <w:bottom w:val="single" w:sz="6" w:space="0" w:color="auto"/>
              <w:right w:val="single" w:sz="6" w:space="0" w:color="auto"/>
            </w:tcBorders>
            <w:vAlign w:val="center"/>
            <w:hideMark/>
          </w:tcPr>
          <w:p w14:paraId="59D09616"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674,00</w:t>
            </w:r>
          </w:p>
        </w:tc>
        <w:tc>
          <w:tcPr>
            <w:tcW w:w="730" w:type="pct"/>
            <w:tcBorders>
              <w:top w:val="single" w:sz="6" w:space="0" w:color="auto"/>
              <w:left w:val="single" w:sz="6" w:space="0" w:color="auto"/>
              <w:bottom w:val="single" w:sz="6" w:space="0" w:color="auto"/>
              <w:right w:val="single" w:sz="6" w:space="0" w:color="auto"/>
            </w:tcBorders>
            <w:vAlign w:val="center"/>
            <w:hideMark/>
          </w:tcPr>
          <w:p w14:paraId="321AC134"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677,00</w:t>
            </w:r>
          </w:p>
        </w:tc>
      </w:tr>
      <w:tr w:rsidR="00A21943" w:rsidRPr="00A21943" w14:paraId="79546621" w14:textId="77777777" w:rsidTr="004C3B13">
        <w:trPr>
          <w:trHeight w:val="227"/>
        </w:trPr>
        <w:tc>
          <w:tcPr>
            <w:tcW w:w="1941" w:type="pct"/>
            <w:vMerge w:val="restart"/>
            <w:tcBorders>
              <w:top w:val="single" w:sz="6" w:space="0" w:color="auto"/>
              <w:left w:val="single" w:sz="6" w:space="0" w:color="auto"/>
              <w:right w:val="single" w:sz="6" w:space="0" w:color="auto"/>
            </w:tcBorders>
            <w:vAlign w:val="center"/>
            <w:hideMark/>
          </w:tcPr>
          <w:p w14:paraId="18709541" w14:textId="75AAFC06" w:rsidR="00A83EDB" w:rsidRPr="00A21943" w:rsidRDefault="00A83EDB" w:rsidP="00964E70">
            <w:pPr>
              <w:keepNext/>
              <w:autoSpaceDE w:val="0"/>
              <w:autoSpaceDN w:val="0"/>
              <w:adjustRightInd w:val="0"/>
              <w:spacing w:line="256" w:lineRule="auto"/>
              <w:jc w:val="left"/>
              <w:rPr>
                <w:rFonts w:ascii="Calibri" w:hAnsi="Calibri" w:cs="Calibri"/>
                <w:sz w:val="20"/>
              </w:rPr>
            </w:pPr>
            <w:r w:rsidRPr="00A21943">
              <w:rPr>
                <w:rFonts w:ascii="Calibri" w:hAnsi="Calibri" w:cs="Calibri"/>
                <w:sz w:val="20"/>
              </w:rPr>
              <w:t>Využití lůžek</w:t>
            </w:r>
          </w:p>
        </w:tc>
        <w:tc>
          <w:tcPr>
            <w:tcW w:w="323" w:type="pct"/>
            <w:tcBorders>
              <w:top w:val="single" w:sz="6" w:space="0" w:color="auto"/>
              <w:left w:val="single" w:sz="6" w:space="0" w:color="auto"/>
              <w:bottom w:val="single" w:sz="6" w:space="0" w:color="auto"/>
              <w:right w:val="single" w:sz="6" w:space="0" w:color="auto"/>
            </w:tcBorders>
            <w:vAlign w:val="center"/>
            <w:hideMark/>
          </w:tcPr>
          <w:p w14:paraId="321AA63F"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FNB</w:t>
            </w:r>
          </w:p>
        </w:tc>
        <w:tc>
          <w:tcPr>
            <w:tcW w:w="546" w:type="pct"/>
            <w:vMerge w:val="restart"/>
            <w:tcBorders>
              <w:top w:val="single" w:sz="6" w:space="0" w:color="auto"/>
              <w:left w:val="single" w:sz="6" w:space="0" w:color="auto"/>
              <w:right w:val="single" w:sz="6" w:space="0" w:color="auto"/>
            </w:tcBorders>
            <w:vAlign w:val="center"/>
            <w:hideMark/>
          </w:tcPr>
          <w:p w14:paraId="43688B3D"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w:t>
            </w:r>
          </w:p>
        </w:tc>
        <w:tc>
          <w:tcPr>
            <w:tcW w:w="730" w:type="pct"/>
            <w:tcBorders>
              <w:top w:val="single" w:sz="6" w:space="0" w:color="auto"/>
              <w:left w:val="single" w:sz="6" w:space="0" w:color="auto"/>
              <w:bottom w:val="single" w:sz="6" w:space="0" w:color="auto"/>
              <w:right w:val="single" w:sz="6" w:space="0" w:color="auto"/>
            </w:tcBorders>
            <w:vAlign w:val="center"/>
            <w:hideMark/>
          </w:tcPr>
          <w:p w14:paraId="1CB28086"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72,30</w:t>
            </w:r>
          </w:p>
        </w:tc>
        <w:tc>
          <w:tcPr>
            <w:tcW w:w="730" w:type="pct"/>
            <w:tcBorders>
              <w:top w:val="single" w:sz="6" w:space="0" w:color="auto"/>
              <w:left w:val="single" w:sz="6" w:space="0" w:color="auto"/>
              <w:bottom w:val="single" w:sz="6" w:space="0" w:color="auto"/>
              <w:right w:val="single" w:sz="6" w:space="0" w:color="auto"/>
            </w:tcBorders>
            <w:vAlign w:val="center"/>
            <w:hideMark/>
          </w:tcPr>
          <w:p w14:paraId="06F95499"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71,50</w:t>
            </w:r>
          </w:p>
        </w:tc>
        <w:tc>
          <w:tcPr>
            <w:tcW w:w="730" w:type="pct"/>
            <w:tcBorders>
              <w:top w:val="single" w:sz="6" w:space="0" w:color="auto"/>
              <w:left w:val="single" w:sz="6" w:space="0" w:color="auto"/>
              <w:bottom w:val="single" w:sz="6" w:space="0" w:color="auto"/>
              <w:right w:val="single" w:sz="6" w:space="0" w:color="auto"/>
            </w:tcBorders>
            <w:vAlign w:val="center"/>
            <w:hideMark/>
          </w:tcPr>
          <w:p w14:paraId="262F22BD"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71,70</w:t>
            </w:r>
          </w:p>
        </w:tc>
      </w:tr>
      <w:tr w:rsidR="00A21943" w:rsidRPr="00A21943" w14:paraId="09B96CF1" w14:textId="77777777" w:rsidTr="004C3B13">
        <w:trPr>
          <w:trHeight w:val="227"/>
        </w:trPr>
        <w:tc>
          <w:tcPr>
            <w:tcW w:w="1941" w:type="pct"/>
            <w:vMerge/>
            <w:tcBorders>
              <w:left w:val="single" w:sz="6" w:space="0" w:color="auto"/>
              <w:right w:val="single" w:sz="6" w:space="0" w:color="auto"/>
            </w:tcBorders>
          </w:tcPr>
          <w:p w14:paraId="35DEE60B" w14:textId="77777777" w:rsidR="00A83EDB" w:rsidRPr="00A21943" w:rsidRDefault="00A83EDB" w:rsidP="00964E70">
            <w:pPr>
              <w:keepNext/>
              <w:autoSpaceDE w:val="0"/>
              <w:autoSpaceDN w:val="0"/>
              <w:adjustRightInd w:val="0"/>
              <w:spacing w:line="256" w:lineRule="auto"/>
              <w:rPr>
                <w:rFonts w:ascii="Calibri" w:hAnsi="Calibri" w:cs="Calibri"/>
                <w:sz w:val="20"/>
              </w:rPr>
            </w:pPr>
          </w:p>
        </w:tc>
        <w:tc>
          <w:tcPr>
            <w:tcW w:w="323" w:type="pct"/>
            <w:tcBorders>
              <w:top w:val="single" w:sz="6" w:space="0" w:color="auto"/>
              <w:left w:val="single" w:sz="6" w:space="0" w:color="auto"/>
              <w:bottom w:val="single" w:sz="6" w:space="0" w:color="auto"/>
              <w:right w:val="single" w:sz="6" w:space="0" w:color="auto"/>
            </w:tcBorders>
            <w:vAlign w:val="center"/>
            <w:hideMark/>
          </w:tcPr>
          <w:p w14:paraId="432BF6C2"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FNM</w:t>
            </w:r>
          </w:p>
        </w:tc>
        <w:tc>
          <w:tcPr>
            <w:tcW w:w="546" w:type="pct"/>
            <w:vMerge/>
            <w:tcBorders>
              <w:left w:val="single" w:sz="6" w:space="0" w:color="auto"/>
              <w:right w:val="single" w:sz="6" w:space="0" w:color="auto"/>
            </w:tcBorders>
            <w:vAlign w:val="center"/>
          </w:tcPr>
          <w:p w14:paraId="08A64440"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p>
        </w:tc>
        <w:tc>
          <w:tcPr>
            <w:tcW w:w="730" w:type="pct"/>
            <w:tcBorders>
              <w:top w:val="single" w:sz="6" w:space="0" w:color="auto"/>
              <w:left w:val="single" w:sz="6" w:space="0" w:color="auto"/>
              <w:bottom w:val="single" w:sz="6" w:space="0" w:color="auto"/>
              <w:right w:val="single" w:sz="6" w:space="0" w:color="auto"/>
            </w:tcBorders>
            <w:vAlign w:val="center"/>
            <w:hideMark/>
          </w:tcPr>
          <w:p w14:paraId="6D950192"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81,00</w:t>
            </w:r>
          </w:p>
        </w:tc>
        <w:tc>
          <w:tcPr>
            <w:tcW w:w="730" w:type="pct"/>
            <w:tcBorders>
              <w:top w:val="single" w:sz="6" w:space="0" w:color="auto"/>
              <w:left w:val="single" w:sz="6" w:space="0" w:color="auto"/>
              <w:bottom w:val="single" w:sz="6" w:space="0" w:color="auto"/>
              <w:right w:val="single" w:sz="6" w:space="0" w:color="auto"/>
            </w:tcBorders>
            <w:vAlign w:val="center"/>
            <w:hideMark/>
          </w:tcPr>
          <w:p w14:paraId="086A3255"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83,00</w:t>
            </w:r>
          </w:p>
        </w:tc>
        <w:tc>
          <w:tcPr>
            <w:tcW w:w="730" w:type="pct"/>
            <w:tcBorders>
              <w:top w:val="single" w:sz="6" w:space="0" w:color="auto"/>
              <w:left w:val="single" w:sz="6" w:space="0" w:color="auto"/>
              <w:bottom w:val="single" w:sz="6" w:space="0" w:color="auto"/>
              <w:right w:val="single" w:sz="6" w:space="0" w:color="auto"/>
            </w:tcBorders>
            <w:vAlign w:val="center"/>
            <w:hideMark/>
          </w:tcPr>
          <w:p w14:paraId="6D1996C1"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84,00</w:t>
            </w:r>
          </w:p>
        </w:tc>
      </w:tr>
      <w:tr w:rsidR="00A21943" w:rsidRPr="00A21943" w14:paraId="38C309AB" w14:textId="77777777" w:rsidTr="004C3B13">
        <w:trPr>
          <w:trHeight w:val="227"/>
        </w:trPr>
        <w:tc>
          <w:tcPr>
            <w:tcW w:w="1941" w:type="pct"/>
            <w:vMerge/>
            <w:tcBorders>
              <w:left w:val="single" w:sz="6" w:space="0" w:color="auto"/>
              <w:bottom w:val="single" w:sz="6" w:space="0" w:color="auto"/>
              <w:right w:val="single" w:sz="6" w:space="0" w:color="auto"/>
            </w:tcBorders>
          </w:tcPr>
          <w:p w14:paraId="299512B9" w14:textId="77777777" w:rsidR="00A83EDB" w:rsidRPr="00A21943" w:rsidRDefault="00A83EDB" w:rsidP="00964E70">
            <w:pPr>
              <w:keepNext/>
              <w:autoSpaceDE w:val="0"/>
              <w:autoSpaceDN w:val="0"/>
              <w:adjustRightInd w:val="0"/>
              <w:spacing w:line="256" w:lineRule="auto"/>
              <w:rPr>
                <w:rFonts w:ascii="Calibri" w:hAnsi="Calibri" w:cs="Calibri"/>
                <w:sz w:val="20"/>
              </w:rPr>
            </w:pPr>
          </w:p>
        </w:tc>
        <w:tc>
          <w:tcPr>
            <w:tcW w:w="323" w:type="pct"/>
            <w:tcBorders>
              <w:top w:val="single" w:sz="6" w:space="0" w:color="auto"/>
              <w:left w:val="single" w:sz="6" w:space="0" w:color="auto"/>
              <w:bottom w:val="single" w:sz="6" w:space="0" w:color="auto"/>
              <w:right w:val="single" w:sz="6" w:space="0" w:color="auto"/>
            </w:tcBorders>
            <w:vAlign w:val="center"/>
            <w:hideMark/>
          </w:tcPr>
          <w:p w14:paraId="56FC0D63"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r w:rsidRPr="00A21943">
              <w:rPr>
                <w:rFonts w:ascii="Calibri" w:hAnsi="Calibri" w:cs="Calibri"/>
                <w:sz w:val="20"/>
              </w:rPr>
              <w:t>ÚVN</w:t>
            </w:r>
          </w:p>
        </w:tc>
        <w:tc>
          <w:tcPr>
            <w:tcW w:w="546" w:type="pct"/>
            <w:vMerge/>
            <w:tcBorders>
              <w:left w:val="single" w:sz="6" w:space="0" w:color="auto"/>
              <w:bottom w:val="single" w:sz="6" w:space="0" w:color="auto"/>
              <w:right w:val="single" w:sz="6" w:space="0" w:color="auto"/>
            </w:tcBorders>
            <w:vAlign w:val="center"/>
          </w:tcPr>
          <w:p w14:paraId="1E9A6210" w14:textId="77777777" w:rsidR="00A83EDB" w:rsidRPr="00A21943" w:rsidRDefault="00A83EDB" w:rsidP="00964E70">
            <w:pPr>
              <w:keepNext/>
              <w:autoSpaceDE w:val="0"/>
              <w:autoSpaceDN w:val="0"/>
              <w:adjustRightInd w:val="0"/>
              <w:spacing w:line="256" w:lineRule="auto"/>
              <w:jc w:val="center"/>
              <w:rPr>
                <w:rFonts w:ascii="Calibri" w:hAnsi="Calibri" w:cs="Calibri"/>
                <w:sz w:val="20"/>
              </w:rPr>
            </w:pPr>
          </w:p>
        </w:tc>
        <w:tc>
          <w:tcPr>
            <w:tcW w:w="730" w:type="pct"/>
            <w:tcBorders>
              <w:top w:val="single" w:sz="6" w:space="0" w:color="auto"/>
              <w:left w:val="single" w:sz="6" w:space="0" w:color="auto"/>
              <w:bottom w:val="single" w:sz="6" w:space="0" w:color="auto"/>
              <w:right w:val="single" w:sz="6" w:space="0" w:color="auto"/>
            </w:tcBorders>
            <w:vAlign w:val="center"/>
            <w:hideMark/>
          </w:tcPr>
          <w:p w14:paraId="23B0C426"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71,89</w:t>
            </w:r>
          </w:p>
        </w:tc>
        <w:tc>
          <w:tcPr>
            <w:tcW w:w="730" w:type="pct"/>
            <w:tcBorders>
              <w:top w:val="single" w:sz="6" w:space="0" w:color="auto"/>
              <w:left w:val="single" w:sz="6" w:space="0" w:color="auto"/>
              <w:bottom w:val="single" w:sz="6" w:space="0" w:color="auto"/>
              <w:right w:val="single" w:sz="6" w:space="0" w:color="auto"/>
            </w:tcBorders>
            <w:vAlign w:val="center"/>
            <w:hideMark/>
          </w:tcPr>
          <w:p w14:paraId="4F61B275"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67,79</w:t>
            </w:r>
          </w:p>
        </w:tc>
        <w:tc>
          <w:tcPr>
            <w:tcW w:w="730" w:type="pct"/>
            <w:tcBorders>
              <w:top w:val="single" w:sz="6" w:space="0" w:color="auto"/>
              <w:left w:val="single" w:sz="6" w:space="0" w:color="auto"/>
              <w:bottom w:val="single" w:sz="6" w:space="0" w:color="auto"/>
              <w:right w:val="single" w:sz="6" w:space="0" w:color="auto"/>
            </w:tcBorders>
            <w:vAlign w:val="center"/>
            <w:hideMark/>
          </w:tcPr>
          <w:p w14:paraId="7208055F" w14:textId="77777777" w:rsidR="00A83EDB" w:rsidRPr="00A21943" w:rsidRDefault="00A83EDB" w:rsidP="00964E70">
            <w:pPr>
              <w:keepNext/>
              <w:autoSpaceDE w:val="0"/>
              <w:autoSpaceDN w:val="0"/>
              <w:adjustRightInd w:val="0"/>
              <w:spacing w:line="256" w:lineRule="auto"/>
              <w:ind w:right="153"/>
              <w:jc w:val="right"/>
              <w:rPr>
                <w:rFonts w:ascii="Calibri" w:hAnsi="Calibri" w:cs="Calibri"/>
                <w:sz w:val="20"/>
              </w:rPr>
            </w:pPr>
            <w:r w:rsidRPr="00A21943">
              <w:rPr>
                <w:rFonts w:ascii="Calibri" w:hAnsi="Calibri" w:cs="Calibri"/>
                <w:sz w:val="20"/>
              </w:rPr>
              <w:t>66,21</w:t>
            </w:r>
          </w:p>
        </w:tc>
      </w:tr>
    </w:tbl>
    <w:p w14:paraId="2D56BE36" w14:textId="3B937501" w:rsidR="00A83EDB" w:rsidRPr="0077471E" w:rsidRDefault="00A83EDB" w:rsidP="0077471E">
      <w:pPr>
        <w:pStyle w:val="Zdroj"/>
        <w:spacing w:before="40"/>
        <w:ind w:left="0"/>
        <w:rPr>
          <w:i w:val="0"/>
          <w:lang w:eastAsia="en-US"/>
        </w:rPr>
      </w:pPr>
      <w:r w:rsidRPr="0077471E">
        <w:rPr>
          <w:b/>
          <w:i w:val="0"/>
        </w:rPr>
        <w:t>Zdroj:</w:t>
      </w:r>
      <w:r w:rsidRPr="0077471E">
        <w:rPr>
          <w:i w:val="0"/>
        </w:rPr>
        <w:t xml:space="preserve"> </w:t>
      </w:r>
      <w:r w:rsidR="00964E70">
        <w:rPr>
          <w:i w:val="0"/>
        </w:rPr>
        <w:t>s</w:t>
      </w:r>
      <w:r w:rsidR="0070280B" w:rsidRPr="0077471E">
        <w:rPr>
          <w:i w:val="0"/>
        </w:rPr>
        <w:t xml:space="preserve">tatistické výkazy jednotlivých FN za rok 2014, 2015 a 2016 a </w:t>
      </w:r>
      <w:r w:rsidR="004B6C39" w:rsidRPr="0077471E">
        <w:rPr>
          <w:i w:val="0"/>
        </w:rPr>
        <w:t>s</w:t>
      </w:r>
      <w:r w:rsidR="0070280B" w:rsidRPr="0077471E">
        <w:rPr>
          <w:i w:val="0"/>
        </w:rPr>
        <w:t>dělení FN na základě žádosti NKÚ</w:t>
      </w:r>
      <w:r w:rsidR="00743B6C" w:rsidRPr="0077471E">
        <w:rPr>
          <w:i w:val="0"/>
        </w:rPr>
        <w:t>.</w:t>
      </w:r>
    </w:p>
    <w:p w14:paraId="72B5F71D" w14:textId="77777777" w:rsidR="00A83EDB" w:rsidRDefault="00A83EDB" w:rsidP="0077471E">
      <w:pPr>
        <w:spacing w:before="120"/>
        <w:rPr>
          <w:noProof/>
        </w:rPr>
      </w:pPr>
      <w:r>
        <w:rPr>
          <w:noProof/>
        </w:rPr>
        <w:t>Z vybraných kapacitních a výkonových ukazatelů vyplývá:</w:t>
      </w:r>
    </w:p>
    <w:p w14:paraId="49D60474" w14:textId="77777777" w:rsidR="00A83EDB" w:rsidRPr="00F74328" w:rsidRDefault="00A83EDB" w:rsidP="0077471E">
      <w:pPr>
        <w:pStyle w:val="Odstavecseseznamem"/>
        <w:numPr>
          <w:ilvl w:val="0"/>
          <w:numId w:val="31"/>
        </w:numPr>
        <w:ind w:left="284" w:hanging="284"/>
        <w:rPr>
          <w:noProof/>
        </w:rPr>
      </w:pPr>
      <w:r w:rsidRPr="00F74328">
        <w:rPr>
          <w:noProof/>
        </w:rPr>
        <w:t>Průměrný přepočtený počet lékařů v období let 2014 až 2016 u FN se nesnižoval.</w:t>
      </w:r>
    </w:p>
    <w:p w14:paraId="3275A5CA" w14:textId="22FC86E6" w:rsidR="00A83EDB" w:rsidRDefault="00A83EDB" w:rsidP="0077471E">
      <w:pPr>
        <w:pStyle w:val="Odstavecseseznamem"/>
        <w:numPr>
          <w:ilvl w:val="0"/>
          <w:numId w:val="31"/>
        </w:numPr>
        <w:ind w:left="284" w:hanging="284"/>
        <w:rPr>
          <w:noProof/>
        </w:rPr>
      </w:pPr>
      <w:r>
        <w:rPr>
          <w:noProof/>
        </w:rPr>
        <w:t xml:space="preserve">FNM měla nejvyšší náklady na jednoho hospitalizovaného pacienta a zároveň i největší počet hospitalizovaných pacientů ve všech sledovaných letech, </w:t>
      </w:r>
      <w:r w:rsidR="00964E70">
        <w:rPr>
          <w:noProof/>
        </w:rPr>
        <w:t>což</w:t>
      </w:r>
      <w:r>
        <w:rPr>
          <w:noProof/>
        </w:rPr>
        <w:t xml:space="preserve"> odpovídá i</w:t>
      </w:r>
      <w:r w:rsidR="00810805">
        <w:rPr>
          <w:noProof/>
        </w:rPr>
        <w:t> </w:t>
      </w:r>
      <w:r>
        <w:rPr>
          <w:noProof/>
        </w:rPr>
        <w:t>nejvyššímu počtu lůžek.</w:t>
      </w:r>
    </w:p>
    <w:p w14:paraId="66661371" w14:textId="4CCFEFBC" w:rsidR="00A83EDB" w:rsidRDefault="00A83EDB" w:rsidP="0077471E">
      <w:pPr>
        <w:pStyle w:val="Odstavecseseznamem"/>
        <w:numPr>
          <w:ilvl w:val="0"/>
          <w:numId w:val="31"/>
        </w:numPr>
        <w:ind w:left="284" w:hanging="284"/>
        <w:rPr>
          <w:noProof/>
        </w:rPr>
      </w:pPr>
      <w:r>
        <w:rPr>
          <w:noProof/>
        </w:rPr>
        <w:t>Využití lůžkové kapacity u FNM bylo nejvyšší</w:t>
      </w:r>
      <w:r w:rsidR="00964E70">
        <w:rPr>
          <w:noProof/>
        </w:rPr>
        <w:t>,</w:t>
      </w:r>
      <w:r>
        <w:rPr>
          <w:noProof/>
        </w:rPr>
        <w:t xml:space="preserve"> a to přes 80 %</w:t>
      </w:r>
      <w:r w:rsidR="00964E70">
        <w:rPr>
          <w:noProof/>
        </w:rPr>
        <w:t>,</w:t>
      </w:r>
      <w:r>
        <w:rPr>
          <w:noProof/>
        </w:rPr>
        <w:t xml:space="preserve"> a každoročně se zvyšovalo. Nejnižší využití lůžek měla ÚVN.</w:t>
      </w:r>
    </w:p>
    <w:p w14:paraId="534C27ED" w14:textId="77777777" w:rsidR="00A83EDB" w:rsidRPr="0077471E" w:rsidRDefault="00A83EDB" w:rsidP="004C3B13">
      <w:pPr>
        <w:spacing w:before="240" w:after="120"/>
        <w:rPr>
          <w:rFonts w:cstheme="minorHAnsi"/>
          <w:b/>
          <w:noProof/>
          <w:color w:val="000000" w:themeColor="text1"/>
          <w:szCs w:val="26"/>
        </w:rPr>
      </w:pPr>
      <w:r w:rsidRPr="0077471E">
        <w:rPr>
          <w:rFonts w:cstheme="minorHAnsi"/>
          <w:b/>
          <w:noProof/>
          <w:color w:val="000000" w:themeColor="text1"/>
          <w:szCs w:val="26"/>
        </w:rPr>
        <w:t>Výsledky hospodaření fakultních nemocnic</w:t>
      </w:r>
    </w:p>
    <w:p w14:paraId="2BA48D6F" w14:textId="77777777" w:rsidR="00A83EDB" w:rsidRDefault="00A83EDB" w:rsidP="00A83EDB">
      <w:pPr>
        <w:shd w:val="clear" w:color="auto" w:fill="FFFFFF"/>
        <w:spacing w:before="158"/>
        <w:rPr>
          <w:rFonts w:cstheme="minorHAnsi"/>
        </w:rPr>
      </w:pPr>
      <w:r>
        <w:rPr>
          <w:rFonts w:cstheme="minorHAnsi"/>
        </w:rPr>
        <w:t>Výsledek hospodaření je tvořen výsledkem hospodaření z hlavní činnosti a jiné (hospodářské) činnosti po zdanění.</w:t>
      </w:r>
    </w:p>
    <w:p w14:paraId="62D2A919" w14:textId="35840A7D" w:rsidR="00A83EDB" w:rsidRPr="00A21943" w:rsidRDefault="00A83EDB" w:rsidP="00A21943">
      <w:pPr>
        <w:keepNext/>
        <w:shd w:val="clear" w:color="auto" w:fill="FFFFFF"/>
        <w:tabs>
          <w:tab w:val="right" w:pos="9072"/>
        </w:tabs>
        <w:spacing w:before="120" w:after="40"/>
        <w:rPr>
          <w:rFonts w:cstheme="minorHAnsi"/>
          <w:b/>
        </w:rPr>
      </w:pPr>
      <w:r w:rsidRPr="00A21943">
        <w:rPr>
          <w:rFonts w:cstheme="minorHAnsi"/>
          <w:b/>
        </w:rPr>
        <w:t>Tabulka č. 3: Výsledek hospodaření fakultních nemocnic</w:t>
      </w:r>
      <w:r w:rsidRPr="00A21943">
        <w:rPr>
          <w:rFonts w:cstheme="minorHAnsi"/>
          <w:b/>
        </w:rPr>
        <w:tab/>
        <w:t>(v Kč)</w:t>
      </w:r>
    </w:p>
    <w:tbl>
      <w:tblPr>
        <w:tblW w:w="5000" w:type="pct"/>
        <w:tblCellMar>
          <w:left w:w="30" w:type="dxa"/>
          <w:right w:w="30" w:type="dxa"/>
        </w:tblCellMar>
        <w:tblLook w:val="0000" w:firstRow="0" w:lastRow="0" w:firstColumn="0" w:lastColumn="0" w:noHBand="0" w:noVBand="0"/>
      </w:tblPr>
      <w:tblGrid>
        <w:gridCol w:w="1643"/>
        <w:gridCol w:w="2851"/>
        <w:gridCol w:w="1521"/>
        <w:gridCol w:w="1521"/>
        <w:gridCol w:w="1520"/>
      </w:tblGrid>
      <w:tr w:rsidR="00A83EDB" w:rsidRPr="00A21943" w14:paraId="345E007B" w14:textId="77777777" w:rsidTr="00784431">
        <w:trPr>
          <w:trHeight w:val="283"/>
        </w:trPr>
        <w:tc>
          <w:tcPr>
            <w:tcW w:w="907" w:type="pct"/>
            <w:tcBorders>
              <w:top w:val="single" w:sz="6" w:space="0" w:color="auto"/>
              <w:left w:val="single" w:sz="6" w:space="0" w:color="auto"/>
              <w:bottom w:val="single" w:sz="6" w:space="0" w:color="auto"/>
              <w:right w:val="single" w:sz="6" w:space="0" w:color="auto"/>
            </w:tcBorders>
            <w:shd w:val="clear" w:color="auto" w:fill="E5F1FF"/>
            <w:vAlign w:val="center"/>
          </w:tcPr>
          <w:p w14:paraId="46AE12C0" w14:textId="77777777" w:rsidR="00A83EDB" w:rsidRPr="00A21943" w:rsidRDefault="00A83EDB" w:rsidP="00A21943">
            <w:pPr>
              <w:keepNext/>
              <w:autoSpaceDE w:val="0"/>
              <w:autoSpaceDN w:val="0"/>
              <w:adjustRightInd w:val="0"/>
              <w:jc w:val="center"/>
              <w:rPr>
                <w:rFonts w:ascii="Calibri" w:hAnsi="Calibri" w:cs="Calibri"/>
                <w:b/>
                <w:bCs/>
                <w:color w:val="000000"/>
                <w:sz w:val="20"/>
              </w:rPr>
            </w:pPr>
            <w:r w:rsidRPr="00A21943">
              <w:rPr>
                <w:rFonts w:ascii="Calibri" w:hAnsi="Calibri" w:cs="Calibri"/>
                <w:b/>
                <w:bCs/>
                <w:color w:val="000000"/>
                <w:sz w:val="20"/>
              </w:rPr>
              <w:t>FN</w:t>
            </w:r>
          </w:p>
        </w:tc>
        <w:tc>
          <w:tcPr>
            <w:tcW w:w="1574" w:type="pct"/>
            <w:tcBorders>
              <w:top w:val="single" w:sz="6" w:space="0" w:color="auto"/>
              <w:left w:val="single" w:sz="6" w:space="0" w:color="auto"/>
              <w:bottom w:val="single" w:sz="6" w:space="0" w:color="auto"/>
              <w:right w:val="single" w:sz="6" w:space="0" w:color="auto"/>
            </w:tcBorders>
            <w:shd w:val="clear" w:color="auto" w:fill="E5F1FF"/>
            <w:vAlign w:val="center"/>
          </w:tcPr>
          <w:p w14:paraId="1F123475" w14:textId="77777777" w:rsidR="00A83EDB" w:rsidRPr="00A21943" w:rsidRDefault="00A83EDB" w:rsidP="00A21943">
            <w:pPr>
              <w:keepNext/>
              <w:autoSpaceDE w:val="0"/>
              <w:autoSpaceDN w:val="0"/>
              <w:adjustRightInd w:val="0"/>
              <w:jc w:val="center"/>
              <w:rPr>
                <w:rFonts w:ascii="Calibri" w:hAnsi="Calibri" w:cs="Calibri"/>
                <w:b/>
                <w:bCs/>
                <w:color w:val="000000"/>
                <w:sz w:val="20"/>
              </w:rPr>
            </w:pPr>
          </w:p>
        </w:tc>
        <w:tc>
          <w:tcPr>
            <w:tcW w:w="840" w:type="pct"/>
            <w:tcBorders>
              <w:top w:val="single" w:sz="6" w:space="0" w:color="auto"/>
              <w:left w:val="single" w:sz="6" w:space="0" w:color="auto"/>
              <w:bottom w:val="single" w:sz="6" w:space="0" w:color="auto"/>
              <w:right w:val="single" w:sz="6" w:space="0" w:color="auto"/>
            </w:tcBorders>
            <w:shd w:val="clear" w:color="auto" w:fill="E5F1FF"/>
            <w:vAlign w:val="center"/>
          </w:tcPr>
          <w:p w14:paraId="187324C7" w14:textId="77777777" w:rsidR="00A83EDB" w:rsidRPr="00A21943" w:rsidRDefault="00A83EDB" w:rsidP="00A21943">
            <w:pPr>
              <w:keepNext/>
              <w:autoSpaceDE w:val="0"/>
              <w:autoSpaceDN w:val="0"/>
              <w:adjustRightInd w:val="0"/>
              <w:jc w:val="center"/>
              <w:rPr>
                <w:rFonts w:ascii="Calibri" w:hAnsi="Calibri" w:cs="Calibri"/>
                <w:b/>
                <w:bCs/>
                <w:color w:val="000000"/>
                <w:sz w:val="20"/>
              </w:rPr>
            </w:pPr>
            <w:r w:rsidRPr="00A21943">
              <w:rPr>
                <w:rFonts w:ascii="Calibri" w:hAnsi="Calibri" w:cs="Calibri"/>
                <w:b/>
                <w:bCs/>
                <w:color w:val="000000"/>
                <w:sz w:val="20"/>
              </w:rPr>
              <w:t>2014</w:t>
            </w:r>
          </w:p>
        </w:tc>
        <w:tc>
          <w:tcPr>
            <w:tcW w:w="840" w:type="pct"/>
            <w:tcBorders>
              <w:top w:val="single" w:sz="6" w:space="0" w:color="auto"/>
              <w:left w:val="single" w:sz="6" w:space="0" w:color="auto"/>
              <w:bottom w:val="single" w:sz="6" w:space="0" w:color="auto"/>
              <w:right w:val="single" w:sz="6" w:space="0" w:color="auto"/>
            </w:tcBorders>
            <w:shd w:val="clear" w:color="auto" w:fill="E5F1FF"/>
            <w:vAlign w:val="center"/>
          </w:tcPr>
          <w:p w14:paraId="1456A995" w14:textId="77777777" w:rsidR="00A83EDB" w:rsidRPr="00A21943" w:rsidRDefault="00A83EDB" w:rsidP="00A21943">
            <w:pPr>
              <w:keepNext/>
              <w:autoSpaceDE w:val="0"/>
              <w:autoSpaceDN w:val="0"/>
              <w:adjustRightInd w:val="0"/>
              <w:jc w:val="center"/>
              <w:rPr>
                <w:rFonts w:ascii="Calibri" w:hAnsi="Calibri" w:cs="Calibri"/>
                <w:b/>
                <w:bCs/>
                <w:color w:val="000000"/>
                <w:sz w:val="20"/>
              </w:rPr>
            </w:pPr>
            <w:r w:rsidRPr="00A21943">
              <w:rPr>
                <w:rFonts w:ascii="Calibri" w:hAnsi="Calibri" w:cs="Calibri"/>
                <w:b/>
                <w:bCs/>
                <w:color w:val="000000"/>
                <w:sz w:val="20"/>
              </w:rPr>
              <w:t>2015</w:t>
            </w:r>
          </w:p>
        </w:tc>
        <w:tc>
          <w:tcPr>
            <w:tcW w:w="839" w:type="pct"/>
            <w:tcBorders>
              <w:top w:val="single" w:sz="6" w:space="0" w:color="auto"/>
              <w:left w:val="single" w:sz="6" w:space="0" w:color="auto"/>
              <w:bottom w:val="single" w:sz="6" w:space="0" w:color="auto"/>
              <w:right w:val="single" w:sz="6" w:space="0" w:color="auto"/>
            </w:tcBorders>
            <w:shd w:val="clear" w:color="auto" w:fill="E5F1FF"/>
            <w:vAlign w:val="center"/>
          </w:tcPr>
          <w:p w14:paraId="5BB470F3" w14:textId="77777777" w:rsidR="00A83EDB" w:rsidRPr="00A21943" w:rsidRDefault="00A83EDB" w:rsidP="00A21943">
            <w:pPr>
              <w:keepNext/>
              <w:autoSpaceDE w:val="0"/>
              <w:autoSpaceDN w:val="0"/>
              <w:adjustRightInd w:val="0"/>
              <w:jc w:val="center"/>
              <w:rPr>
                <w:rFonts w:ascii="Calibri" w:hAnsi="Calibri" w:cs="Calibri"/>
                <w:b/>
                <w:bCs/>
                <w:color w:val="000000"/>
                <w:sz w:val="20"/>
              </w:rPr>
            </w:pPr>
            <w:r w:rsidRPr="00A21943">
              <w:rPr>
                <w:rFonts w:ascii="Calibri" w:hAnsi="Calibri" w:cs="Calibri"/>
                <w:b/>
                <w:bCs/>
                <w:color w:val="000000"/>
                <w:sz w:val="20"/>
              </w:rPr>
              <w:t>2016</w:t>
            </w:r>
          </w:p>
        </w:tc>
      </w:tr>
      <w:tr w:rsidR="00784431" w:rsidRPr="00A21943" w14:paraId="2F4E18A9" w14:textId="77777777" w:rsidTr="00784431">
        <w:trPr>
          <w:trHeight w:val="283"/>
        </w:trPr>
        <w:tc>
          <w:tcPr>
            <w:tcW w:w="907" w:type="pct"/>
            <w:vMerge w:val="restart"/>
            <w:tcBorders>
              <w:top w:val="single" w:sz="6" w:space="0" w:color="auto"/>
              <w:left w:val="single" w:sz="6" w:space="0" w:color="auto"/>
              <w:right w:val="single" w:sz="6" w:space="0" w:color="auto"/>
            </w:tcBorders>
            <w:shd w:val="clear" w:color="auto" w:fill="auto"/>
            <w:vAlign w:val="center"/>
          </w:tcPr>
          <w:p w14:paraId="15453F3C" w14:textId="77777777" w:rsidR="00784431" w:rsidRPr="00A21943" w:rsidRDefault="00784431" w:rsidP="00A21943">
            <w:pPr>
              <w:keepNext/>
              <w:autoSpaceDE w:val="0"/>
              <w:autoSpaceDN w:val="0"/>
              <w:adjustRightInd w:val="0"/>
              <w:jc w:val="left"/>
              <w:rPr>
                <w:rFonts w:ascii="Calibri" w:hAnsi="Calibri" w:cs="Calibri"/>
                <w:b/>
                <w:bCs/>
                <w:color w:val="000000"/>
                <w:sz w:val="20"/>
              </w:rPr>
            </w:pPr>
            <w:r w:rsidRPr="00A21943">
              <w:rPr>
                <w:rFonts w:ascii="Calibri" w:hAnsi="Calibri" w:cs="Calibri"/>
                <w:b/>
                <w:bCs/>
                <w:color w:val="000000"/>
                <w:sz w:val="20"/>
              </w:rPr>
              <w:t>FNB</w:t>
            </w:r>
          </w:p>
        </w:tc>
        <w:tc>
          <w:tcPr>
            <w:tcW w:w="1574" w:type="pct"/>
            <w:tcBorders>
              <w:top w:val="single" w:sz="6" w:space="0" w:color="auto"/>
              <w:left w:val="single" w:sz="6" w:space="0" w:color="auto"/>
              <w:bottom w:val="single" w:sz="6" w:space="0" w:color="auto"/>
              <w:right w:val="single" w:sz="6" w:space="0" w:color="auto"/>
            </w:tcBorders>
            <w:shd w:val="clear" w:color="auto" w:fill="auto"/>
            <w:vAlign w:val="center"/>
          </w:tcPr>
          <w:p w14:paraId="1C979E64" w14:textId="77777777" w:rsidR="00784431" w:rsidRPr="00A21943" w:rsidRDefault="00784431" w:rsidP="00A21943">
            <w:pPr>
              <w:keepNext/>
              <w:autoSpaceDE w:val="0"/>
              <w:autoSpaceDN w:val="0"/>
              <w:adjustRightInd w:val="0"/>
              <w:jc w:val="left"/>
              <w:rPr>
                <w:rFonts w:ascii="Calibri" w:hAnsi="Calibri" w:cs="Calibri"/>
                <w:b/>
                <w:bCs/>
                <w:color w:val="000000"/>
                <w:sz w:val="20"/>
              </w:rPr>
            </w:pPr>
            <w:r w:rsidRPr="00A21943">
              <w:rPr>
                <w:rFonts w:ascii="Calibri" w:hAnsi="Calibri" w:cs="Calibri"/>
                <w:b/>
                <w:bCs/>
                <w:color w:val="000000"/>
                <w:sz w:val="20"/>
              </w:rPr>
              <w:t>Výsledek hospodaření</w:t>
            </w:r>
          </w:p>
        </w:tc>
        <w:tc>
          <w:tcPr>
            <w:tcW w:w="840" w:type="pct"/>
            <w:tcBorders>
              <w:top w:val="single" w:sz="6" w:space="0" w:color="auto"/>
              <w:left w:val="single" w:sz="6" w:space="0" w:color="auto"/>
              <w:bottom w:val="single" w:sz="6" w:space="0" w:color="auto"/>
              <w:right w:val="single" w:sz="6" w:space="0" w:color="auto"/>
            </w:tcBorders>
            <w:shd w:val="clear" w:color="auto" w:fill="auto"/>
            <w:vAlign w:val="center"/>
          </w:tcPr>
          <w:p w14:paraId="7FA421A4" w14:textId="77777777" w:rsidR="00784431" w:rsidRPr="00A21943" w:rsidRDefault="00784431" w:rsidP="00A21943">
            <w:pPr>
              <w:keepNext/>
              <w:autoSpaceDE w:val="0"/>
              <w:autoSpaceDN w:val="0"/>
              <w:adjustRightInd w:val="0"/>
              <w:ind w:right="46"/>
              <w:jc w:val="right"/>
              <w:rPr>
                <w:rFonts w:ascii="Calibri" w:hAnsi="Calibri" w:cs="Calibri"/>
                <w:b/>
                <w:bCs/>
                <w:color w:val="000000"/>
                <w:sz w:val="20"/>
              </w:rPr>
            </w:pPr>
            <w:r w:rsidRPr="00A21943">
              <w:rPr>
                <w:rFonts w:ascii="Calibri" w:hAnsi="Calibri" w:cs="Calibri"/>
                <w:b/>
                <w:bCs/>
                <w:color w:val="000000"/>
                <w:sz w:val="20"/>
              </w:rPr>
              <w:t>543 475,58</w:t>
            </w:r>
          </w:p>
        </w:tc>
        <w:tc>
          <w:tcPr>
            <w:tcW w:w="840" w:type="pct"/>
            <w:tcBorders>
              <w:top w:val="single" w:sz="6" w:space="0" w:color="auto"/>
              <w:left w:val="single" w:sz="6" w:space="0" w:color="auto"/>
              <w:bottom w:val="single" w:sz="6" w:space="0" w:color="auto"/>
              <w:right w:val="single" w:sz="6" w:space="0" w:color="auto"/>
            </w:tcBorders>
            <w:shd w:val="clear" w:color="auto" w:fill="auto"/>
            <w:vAlign w:val="center"/>
          </w:tcPr>
          <w:p w14:paraId="56AB7D13" w14:textId="77777777" w:rsidR="00784431" w:rsidRPr="00A21943" w:rsidRDefault="00784431" w:rsidP="00A21943">
            <w:pPr>
              <w:keepNext/>
              <w:autoSpaceDE w:val="0"/>
              <w:autoSpaceDN w:val="0"/>
              <w:adjustRightInd w:val="0"/>
              <w:ind w:right="46"/>
              <w:jc w:val="right"/>
              <w:rPr>
                <w:rFonts w:ascii="Calibri" w:hAnsi="Calibri" w:cs="Calibri"/>
                <w:b/>
                <w:bCs/>
                <w:color w:val="000000"/>
                <w:sz w:val="20"/>
              </w:rPr>
            </w:pPr>
            <w:r w:rsidRPr="00A21943">
              <w:rPr>
                <w:rFonts w:ascii="Calibri" w:hAnsi="Calibri" w:cs="Calibri"/>
                <w:b/>
                <w:bCs/>
                <w:color w:val="000000"/>
                <w:sz w:val="20"/>
              </w:rPr>
              <w:t>7 951 433,13</w:t>
            </w:r>
          </w:p>
        </w:tc>
        <w:tc>
          <w:tcPr>
            <w:tcW w:w="839" w:type="pct"/>
            <w:tcBorders>
              <w:top w:val="single" w:sz="6" w:space="0" w:color="auto"/>
              <w:left w:val="single" w:sz="6" w:space="0" w:color="auto"/>
              <w:bottom w:val="single" w:sz="6" w:space="0" w:color="auto"/>
              <w:right w:val="single" w:sz="6" w:space="0" w:color="auto"/>
            </w:tcBorders>
            <w:shd w:val="clear" w:color="auto" w:fill="auto"/>
            <w:vAlign w:val="center"/>
          </w:tcPr>
          <w:p w14:paraId="0BEA1C58" w14:textId="77777777" w:rsidR="00784431" w:rsidRPr="00A21943" w:rsidRDefault="00784431" w:rsidP="00A21943">
            <w:pPr>
              <w:keepNext/>
              <w:autoSpaceDE w:val="0"/>
              <w:autoSpaceDN w:val="0"/>
              <w:adjustRightInd w:val="0"/>
              <w:ind w:right="46"/>
              <w:jc w:val="right"/>
              <w:rPr>
                <w:rFonts w:ascii="Calibri" w:hAnsi="Calibri" w:cs="Calibri"/>
                <w:b/>
                <w:bCs/>
                <w:color w:val="000000"/>
                <w:sz w:val="20"/>
              </w:rPr>
            </w:pPr>
            <w:r w:rsidRPr="00A21943">
              <w:rPr>
                <w:rFonts w:ascii="Calibri" w:hAnsi="Calibri" w:cs="Calibri"/>
                <w:b/>
                <w:bCs/>
                <w:color w:val="000000"/>
                <w:sz w:val="20"/>
              </w:rPr>
              <w:t>479 946,11</w:t>
            </w:r>
          </w:p>
        </w:tc>
      </w:tr>
      <w:tr w:rsidR="00784431" w:rsidRPr="00A21943" w14:paraId="38317D61" w14:textId="77777777" w:rsidTr="00784431">
        <w:trPr>
          <w:trHeight w:val="283"/>
        </w:trPr>
        <w:tc>
          <w:tcPr>
            <w:tcW w:w="907" w:type="pct"/>
            <w:vMerge/>
            <w:tcBorders>
              <w:left w:val="single" w:sz="6" w:space="0" w:color="auto"/>
              <w:right w:val="single" w:sz="6" w:space="0" w:color="auto"/>
            </w:tcBorders>
            <w:vAlign w:val="center"/>
          </w:tcPr>
          <w:p w14:paraId="6214EA2D" w14:textId="77777777" w:rsidR="00784431" w:rsidRPr="00A21943" w:rsidRDefault="00784431" w:rsidP="00A21943">
            <w:pPr>
              <w:keepNext/>
              <w:autoSpaceDE w:val="0"/>
              <w:autoSpaceDN w:val="0"/>
              <w:adjustRightInd w:val="0"/>
              <w:jc w:val="left"/>
              <w:rPr>
                <w:rFonts w:ascii="Calibri" w:hAnsi="Calibri" w:cs="Calibri"/>
                <w:b/>
                <w:bCs/>
                <w:color w:val="000000"/>
                <w:sz w:val="20"/>
              </w:rPr>
            </w:pPr>
          </w:p>
        </w:tc>
        <w:tc>
          <w:tcPr>
            <w:tcW w:w="1574" w:type="pct"/>
            <w:tcBorders>
              <w:top w:val="single" w:sz="6" w:space="0" w:color="auto"/>
              <w:left w:val="single" w:sz="6" w:space="0" w:color="auto"/>
              <w:bottom w:val="single" w:sz="6" w:space="0" w:color="auto"/>
              <w:right w:val="single" w:sz="6" w:space="0" w:color="auto"/>
            </w:tcBorders>
            <w:vAlign w:val="center"/>
          </w:tcPr>
          <w:p w14:paraId="5768B7EF" w14:textId="77777777" w:rsidR="00784431" w:rsidRPr="00A21943" w:rsidRDefault="00784431" w:rsidP="00A21943">
            <w:pPr>
              <w:keepNext/>
              <w:autoSpaceDE w:val="0"/>
              <w:autoSpaceDN w:val="0"/>
              <w:adjustRightInd w:val="0"/>
              <w:jc w:val="left"/>
              <w:rPr>
                <w:rFonts w:ascii="Calibri" w:hAnsi="Calibri" w:cs="Calibri"/>
                <w:color w:val="000000"/>
                <w:sz w:val="20"/>
              </w:rPr>
            </w:pPr>
            <w:r w:rsidRPr="00A21943">
              <w:rPr>
                <w:rFonts w:ascii="Calibri" w:hAnsi="Calibri" w:cs="Calibri"/>
                <w:color w:val="000000"/>
                <w:sz w:val="20"/>
              </w:rPr>
              <w:t xml:space="preserve">Hlavní činnost </w:t>
            </w:r>
          </w:p>
        </w:tc>
        <w:tc>
          <w:tcPr>
            <w:tcW w:w="840" w:type="pct"/>
            <w:tcBorders>
              <w:top w:val="single" w:sz="6" w:space="0" w:color="auto"/>
              <w:left w:val="single" w:sz="6" w:space="0" w:color="auto"/>
              <w:bottom w:val="single" w:sz="6" w:space="0" w:color="auto"/>
              <w:right w:val="single" w:sz="6" w:space="0" w:color="auto"/>
            </w:tcBorders>
            <w:vAlign w:val="center"/>
          </w:tcPr>
          <w:p w14:paraId="676521C4" w14:textId="602CD264" w:rsidR="00784431" w:rsidRPr="00A21943" w:rsidRDefault="00964E70" w:rsidP="00A21943">
            <w:pPr>
              <w:keepNext/>
              <w:autoSpaceDE w:val="0"/>
              <w:autoSpaceDN w:val="0"/>
              <w:adjustRightInd w:val="0"/>
              <w:ind w:right="46"/>
              <w:jc w:val="right"/>
              <w:rPr>
                <w:rFonts w:ascii="Calibri" w:hAnsi="Calibri" w:cs="Calibri"/>
                <w:color w:val="000000"/>
                <w:sz w:val="20"/>
              </w:rPr>
            </w:pPr>
            <w:r>
              <w:rPr>
                <w:rFonts w:ascii="Calibri" w:hAnsi="Calibri" w:cs="Calibri"/>
                <w:color w:val="000000"/>
                <w:sz w:val="20"/>
              </w:rPr>
              <w:sym w:font="Symbol" w:char="F02D"/>
            </w:r>
            <w:r w:rsidR="00784431" w:rsidRPr="00A21943">
              <w:rPr>
                <w:rFonts w:ascii="Calibri" w:hAnsi="Calibri" w:cs="Calibri"/>
                <w:color w:val="000000"/>
                <w:sz w:val="20"/>
              </w:rPr>
              <w:t>8 407 783,09</w:t>
            </w:r>
          </w:p>
        </w:tc>
        <w:tc>
          <w:tcPr>
            <w:tcW w:w="840" w:type="pct"/>
            <w:tcBorders>
              <w:top w:val="single" w:sz="6" w:space="0" w:color="auto"/>
              <w:left w:val="single" w:sz="6" w:space="0" w:color="auto"/>
              <w:bottom w:val="single" w:sz="6" w:space="0" w:color="auto"/>
              <w:right w:val="single" w:sz="6" w:space="0" w:color="auto"/>
            </w:tcBorders>
            <w:vAlign w:val="center"/>
          </w:tcPr>
          <w:p w14:paraId="2DCD4328" w14:textId="32903107" w:rsidR="00784431" w:rsidRPr="00A21943" w:rsidRDefault="00964E70" w:rsidP="00A21943">
            <w:pPr>
              <w:keepNext/>
              <w:autoSpaceDE w:val="0"/>
              <w:autoSpaceDN w:val="0"/>
              <w:adjustRightInd w:val="0"/>
              <w:ind w:right="46"/>
              <w:jc w:val="right"/>
              <w:rPr>
                <w:rFonts w:ascii="Calibri" w:hAnsi="Calibri" w:cs="Calibri"/>
                <w:color w:val="000000"/>
                <w:sz w:val="20"/>
              </w:rPr>
            </w:pPr>
            <w:r>
              <w:rPr>
                <w:rFonts w:ascii="Calibri" w:hAnsi="Calibri" w:cs="Calibri"/>
                <w:color w:val="000000"/>
                <w:sz w:val="20"/>
              </w:rPr>
              <w:sym w:font="Symbol" w:char="F02D"/>
            </w:r>
            <w:r w:rsidR="00784431" w:rsidRPr="00A21943">
              <w:rPr>
                <w:rFonts w:ascii="Calibri" w:hAnsi="Calibri" w:cs="Calibri"/>
                <w:color w:val="000000"/>
                <w:sz w:val="20"/>
              </w:rPr>
              <w:t>1 520 342,22</w:t>
            </w:r>
          </w:p>
        </w:tc>
        <w:tc>
          <w:tcPr>
            <w:tcW w:w="839" w:type="pct"/>
            <w:tcBorders>
              <w:top w:val="single" w:sz="6" w:space="0" w:color="auto"/>
              <w:left w:val="single" w:sz="6" w:space="0" w:color="auto"/>
              <w:bottom w:val="single" w:sz="6" w:space="0" w:color="auto"/>
              <w:right w:val="single" w:sz="6" w:space="0" w:color="auto"/>
            </w:tcBorders>
            <w:vAlign w:val="center"/>
          </w:tcPr>
          <w:p w14:paraId="36961F09" w14:textId="60B5A631" w:rsidR="00784431" w:rsidRPr="00A21943" w:rsidRDefault="00964E70" w:rsidP="00A21943">
            <w:pPr>
              <w:keepNext/>
              <w:autoSpaceDE w:val="0"/>
              <w:autoSpaceDN w:val="0"/>
              <w:adjustRightInd w:val="0"/>
              <w:ind w:right="46"/>
              <w:jc w:val="right"/>
              <w:rPr>
                <w:rFonts w:ascii="Calibri" w:hAnsi="Calibri" w:cs="Calibri"/>
                <w:color w:val="000000"/>
                <w:sz w:val="20"/>
              </w:rPr>
            </w:pPr>
            <w:r>
              <w:rPr>
                <w:rFonts w:ascii="Calibri" w:hAnsi="Calibri" w:cs="Calibri"/>
                <w:color w:val="000000"/>
                <w:sz w:val="20"/>
              </w:rPr>
              <w:sym w:font="Symbol" w:char="F02D"/>
            </w:r>
            <w:r w:rsidR="00784431" w:rsidRPr="00A21943">
              <w:rPr>
                <w:rFonts w:ascii="Calibri" w:hAnsi="Calibri" w:cs="Calibri"/>
                <w:color w:val="000000"/>
                <w:sz w:val="20"/>
              </w:rPr>
              <w:t>12 727 125,57</w:t>
            </w:r>
          </w:p>
        </w:tc>
      </w:tr>
      <w:tr w:rsidR="00784431" w:rsidRPr="00A21943" w14:paraId="165069BA" w14:textId="77777777" w:rsidTr="00784431">
        <w:trPr>
          <w:trHeight w:val="283"/>
        </w:trPr>
        <w:tc>
          <w:tcPr>
            <w:tcW w:w="907" w:type="pct"/>
            <w:vMerge/>
            <w:tcBorders>
              <w:left w:val="single" w:sz="6" w:space="0" w:color="auto"/>
              <w:bottom w:val="single" w:sz="6" w:space="0" w:color="auto"/>
              <w:right w:val="single" w:sz="6" w:space="0" w:color="auto"/>
            </w:tcBorders>
            <w:vAlign w:val="center"/>
          </w:tcPr>
          <w:p w14:paraId="5DA3B54C" w14:textId="77777777" w:rsidR="00784431" w:rsidRPr="00A21943" w:rsidRDefault="00784431" w:rsidP="00A21943">
            <w:pPr>
              <w:keepNext/>
              <w:autoSpaceDE w:val="0"/>
              <w:autoSpaceDN w:val="0"/>
              <w:adjustRightInd w:val="0"/>
              <w:jc w:val="left"/>
              <w:rPr>
                <w:rFonts w:ascii="Calibri" w:hAnsi="Calibri" w:cs="Calibri"/>
                <w:b/>
                <w:bCs/>
                <w:color w:val="000000"/>
                <w:sz w:val="20"/>
              </w:rPr>
            </w:pPr>
          </w:p>
        </w:tc>
        <w:tc>
          <w:tcPr>
            <w:tcW w:w="1574" w:type="pct"/>
            <w:tcBorders>
              <w:top w:val="single" w:sz="6" w:space="0" w:color="auto"/>
              <w:left w:val="single" w:sz="6" w:space="0" w:color="auto"/>
              <w:bottom w:val="single" w:sz="6" w:space="0" w:color="auto"/>
              <w:right w:val="single" w:sz="6" w:space="0" w:color="auto"/>
            </w:tcBorders>
            <w:vAlign w:val="center"/>
          </w:tcPr>
          <w:p w14:paraId="6C6F1440" w14:textId="77777777" w:rsidR="00784431" w:rsidRPr="00A21943" w:rsidRDefault="00784431" w:rsidP="00A21943">
            <w:pPr>
              <w:keepNext/>
              <w:autoSpaceDE w:val="0"/>
              <w:autoSpaceDN w:val="0"/>
              <w:adjustRightInd w:val="0"/>
              <w:jc w:val="left"/>
              <w:rPr>
                <w:rFonts w:ascii="Calibri" w:hAnsi="Calibri" w:cs="Calibri"/>
                <w:color w:val="000000"/>
                <w:sz w:val="20"/>
              </w:rPr>
            </w:pPr>
            <w:r w:rsidRPr="00A21943">
              <w:rPr>
                <w:rFonts w:ascii="Calibri" w:hAnsi="Calibri" w:cs="Calibri"/>
                <w:color w:val="000000"/>
                <w:sz w:val="20"/>
              </w:rPr>
              <w:t>Jiná (hospodářská) činnost</w:t>
            </w:r>
          </w:p>
        </w:tc>
        <w:tc>
          <w:tcPr>
            <w:tcW w:w="840" w:type="pct"/>
            <w:tcBorders>
              <w:top w:val="single" w:sz="6" w:space="0" w:color="auto"/>
              <w:left w:val="single" w:sz="6" w:space="0" w:color="auto"/>
              <w:bottom w:val="single" w:sz="6" w:space="0" w:color="auto"/>
              <w:right w:val="single" w:sz="6" w:space="0" w:color="auto"/>
            </w:tcBorders>
            <w:vAlign w:val="center"/>
          </w:tcPr>
          <w:p w14:paraId="7C68CDD0" w14:textId="77777777" w:rsidR="00784431" w:rsidRPr="00A21943" w:rsidRDefault="00784431" w:rsidP="00A21943">
            <w:pPr>
              <w:keepNext/>
              <w:autoSpaceDE w:val="0"/>
              <w:autoSpaceDN w:val="0"/>
              <w:adjustRightInd w:val="0"/>
              <w:ind w:right="46"/>
              <w:jc w:val="right"/>
              <w:rPr>
                <w:rFonts w:ascii="Calibri" w:hAnsi="Calibri" w:cs="Calibri"/>
                <w:color w:val="000000"/>
                <w:sz w:val="20"/>
              </w:rPr>
            </w:pPr>
            <w:r w:rsidRPr="00A21943">
              <w:rPr>
                <w:rFonts w:ascii="Calibri" w:hAnsi="Calibri" w:cs="Calibri"/>
                <w:color w:val="000000"/>
                <w:sz w:val="20"/>
              </w:rPr>
              <w:t>8 951 258,67</w:t>
            </w:r>
          </w:p>
        </w:tc>
        <w:tc>
          <w:tcPr>
            <w:tcW w:w="840" w:type="pct"/>
            <w:tcBorders>
              <w:top w:val="single" w:sz="6" w:space="0" w:color="auto"/>
              <w:left w:val="single" w:sz="6" w:space="0" w:color="auto"/>
              <w:bottom w:val="single" w:sz="6" w:space="0" w:color="auto"/>
              <w:right w:val="single" w:sz="6" w:space="0" w:color="auto"/>
            </w:tcBorders>
            <w:vAlign w:val="center"/>
          </w:tcPr>
          <w:p w14:paraId="5BAC9A6C" w14:textId="77777777" w:rsidR="00784431" w:rsidRPr="00A21943" w:rsidRDefault="00784431" w:rsidP="00A21943">
            <w:pPr>
              <w:keepNext/>
              <w:autoSpaceDE w:val="0"/>
              <w:autoSpaceDN w:val="0"/>
              <w:adjustRightInd w:val="0"/>
              <w:ind w:right="46"/>
              <w:jc w:val="right"/>
              <w:rPr>
                <w:rFonts w:ascii="Calibri" w:hAnsi="Calibri" w:cs="Calibri"/>
                <w:color w:val="000000"/>
                <w:sz w:val="20"/>
              </w:rPr>
            </w:pPr>
            <w:r w:rsidRPr="00A21943">
              <w:rPr>
                <w:rFonts w:ascii="Calibri" w:hAnsi="Calibri" w:cs="Calibri"/>
                <w:color w:val="000000"/>
                <w:sz w:val="20"/>
              </w:rPr>
              <w:t>9 471 775,35</w:t>
            </w:r>
          </w:p>
        </w:tc>
        <w:tc>
          <w:tcPr>
            <w:tcW w:w="839" w:type="pct"/>
            <w:tcBorders>
              <w:top w:val="single" w:sz="6" w:space="0" w:color="auto"/>
              <w:left w:val="single" w:sz="6" w:space="0" w:color="auto"/>
              <w:bottom w:val="single" w:sz="6" w:space="0" w:color="auto"/>
              <w:right w:val="single" w:sz="6" w:space="0" w:color="auto"/>
            </w:tcBorders>
            <w:vAlign w:val="center"/>
          </w:tcPr>
          <w:p w14:paraId="07AD16CD" w14:textId="77777777" w:rsidR="00784431" w:rsidRPr="00A21943" w:rsidRDefault="00784431" w:rsidP="00A21943">
            <w:pPr>
              <w:keepNext/>
              <w:autoSpaceDE w:val="0"/>
              <w:autoSpaceDN w:val="0"/>
              <w:adjustRightInd w:val="0"/>
              <w:ind w:right="46"/>
              <w:jc w:val="right"/>
              <w:rPr>
                <w:rFonts w:ascii="Calibri" w:hAnsi="Calibri" w:cs="Calibri"/>
                <w:color w:val="000000"/>
                <w:sz w:val="20"/>
              </w:rPr>
            </w:pPr>
            <w:r w:rsidRPr="00A21943">
              <w:rPr>
                <w:rFonts w:ascii="Calibri" w:hAnsi="Calibri" w:cs="Calibri"/>
                <w:color w:val="000000"/>
                <w:sz w:val="20"/>
              </w:rPr>
              <w:t>13 207 071,68</w:t>
            </w:r>
          </w:p>
        </w:tc>
      </w:tr>
      <w:tr w:rsidR="00784431" w:rsidRPr="00A21943" w14:paraId="6DC39083" w14:textId="77777777" w:rsidTr="00BA09ED">
        <w:trPr>
          <w:trHeight w:val="283"/>
        </w:trPr>
        <w:tc>
          <w:tcPr>
            <w:tcW w:w="907" w:type="pct"/>
            <w:vMerge w:val="restart"/>
            <w:tcBorders>
              <w:top w:val="single" w:sz="6" w:space="0" w:color="auto"/>
              <w:left w:val="single" w:sz="6" w:space="0" w:color="auto"/>
              <w:right w:val="single" w:sz="6" w:space="0" w:color="auto"/>
            </w:tcBorders>
            <w:shd w:val="clear" w:color="auto" w:fill="auto"/>
            <w:vAlign w:val="center"/>
          </w:tcPr>
          <w:p w14:paraId="25F4C157" w14:textId="77777777" w:rsidR="00784431" w:rsidRPr="00A21943" w:rsidRDefault="00784431" w:rsidP="00A21943">
            <w:pPr>
              <w:keepNext/>
              <w:autoSpaceDE w:val="0"/>
              <w:autoSpaceDN w:val="0"/>
              <w:adjustRightInd w:val="0"/>
              <w:jc w:val="left"/>
              <w:rPr>
                <w:rFonts w:ascii="Calibri" w:hAnsi="Calibri" w:cs="Calibri"/>
                <w:b/>
                <w:bCs/>
                <w:color w:val="000000"/>
                <w:sz w:val="20"/>
              </w:rPr>
            </w:pPr>
            <w:r w:rsidRPr="00A21943">
              <w:rPr>
                <w:rFonts w:ascii="Calibri" w:hAnsi="Calibri" w:cs="Calibri"/>
                <w:b/>
                <w:bCs/>
                <w:color w:val="000000"/>
                <w:sz w:val="20"/>
              </w:rPr>
              <w:t>FNM</w:t>
            </w:r>
          </w:p>
        </w:tc>
        <w:tc>
          <w:tcPr>
            <w:tcW w:w="1574" w:type="pct"/>
            <w:tcBorders>
              <w:top w:val="single" w:sz="6" w:space="0" w:color="auto"/>
              <w:left w:val="single" w:sz="6" w:space="0" w:color="auto"/>
              <w:bottom w:val="single" w:sz="6" w:space="0" w:color="auto"/>
              <w:right w:val="single" w:sz="6" w:space="0" w:color="auto"/>
            </w:tcBorders>
            <w:shd w:val="clear" w:color="auto" w:fill="auto"/>
            <w:vAlign w:val="center"/>
          </w:tcPr>
          <w:p w14:paraId="39A9E5FF" w14:textId="77777777" w:rsidR="00784431" w:rsidRPr="00A21943" w:rsidRDefault="00784431" w:rsidP="00A21943">
            <w:pPr>
              <w:keepNext/>
              <w:autoSpaceDE w:val="0"/>
              <w:autoSpaceDN w:val="0"/>
              <w:adjustRightInd w:val="0"/>
              <w:jc w:val="left"/>
              <w:rPr>
                <w:rFonts w:ascii="Calibri" w:hAnsi="Calibri" w:cs="Calibri"/>
                <w:b/>
                <w:bCs/>
                <w:color w:val="000000"/>
                <w:sz w:val="20"/>
              </w:rPr>
            </w:pPr>
            <w:r w:rsidRPr="00A21943">
              <w:rPr>
                <w:rFonts w:ascii="Calibri" w:hAnsi="Calibri" w:cs="Calibri"/>
                <w:b/>
                <w:bCs/>
                <w:color w:val="000000"/>
                <w:sz w:val="20"/>
              </w:rPr>
              <w:t>Výsledek hospodaření</w:t>
            </w:r>
          </w:p>
        </w:tc>
        <w:tc>
          <w:tcPr>
            <w:tcW w:w="840" w:type="pct"/>
            <w:tcBorders>
              <w:top w:val="single" w:sz="6" w:space="0" w:color="auto"/>
              <w:left w:val="single" w:sz="6" w:space="0" w:color="auto"/>
              <w:bottom w:val="single" w:sz="6" w:space="0" w:color="auto"/>
              <w:right w:val="single" w:sz="6" w:space="0" w:color="auto"/>
            </w:tcBorders>
            <w:shd w:val="clear" w:color="auto" w:fill="auto"/>
            <w:vAlign w:val="center"/>
          </w:tcPr>
          <w:p w14:paraId="45E934BD" w14:textId="77777777" w:rsidR="00784431" w:rsidRPr="00A21943" w:rsidRDefault="00784431" w:rsidP="00A21943">
            <w:pPr>
              <w:keepNext/>
              <w:autoSpaceDE w:val="0"/>
              <w:autoSpaceDN w:val="0"/>
              <w:adjustRightInd w:val="0"/>
              <w:ind w:right="46"/>
              <w:jc w:val="right"/>
              <w:rPr>
                <w:rFonts w:ascii="Calibri" w:hAnsi="Calibri" w:cs="Calibri"/>
                <w:b/>
                <w:bCs/>
                <w:color w:val="000000"/>
                <w:sz w:val="20"/>
              </w:rPr>
            </w:pPr>
            <w:r w:rsidRPr="00A21943">
              <w:rPr>
                <w:rFonts w:ascii="Calibri" w:hAnsi="Calibri" w:cs="Calibri"/>
                <w:b/>
                <w:bCs/>
                <w:color w:val="000000"/>
                <w:sz w:val="20"/>
              </w:rPr>
              <w:t>1 012 942,81</w:t>
            </w:r>
          </w:p>
        </w:tc>
        <w:tc>
          <w:tcPr>
            <w:tcW w:w="840" w:type="pct"/>
            <w:tcBorders>
              <w:top w:val="single" w:sz="6" w:space="0" w:color="auto"/>
              <w:left w:val="single" w:sz="6" w:space="0" w:color="auto"/>
              <w:bottom w:val="single" w:sz="6" w:space="0" w:color="auto"/>
              <w:right w:val="single" w:sz="6" w:space="0" w:color="auto"/>
            </w:tcBorders>
            <w:shd w:val="clear" w:color="auto" w:fill="auto"/>
            <w:vAlign w:val="center"/>
          </w:tcPr>
          <w:p w14:paraId="1E990CFB" w14:textId="77777777" w:rsidR="00784431" w:rsidRPr="00A21943" w:rsidRDefault="00784431" w:rsidP="00A21943">
            <w:pPr>
              <w:keepNext/>
              <w:autoSpaceDE w:val="0"/>
              <w:autoSpaceDN w:val="0"/>
              <w:adjustRightInd w:val="0"/>
              <w:ind w:right="46"/>
              <w:jc w:val="right"/>
              <w:rPr>
                <w:rFonts w:ascii="Calibri" w:hAnsi="Calibri" w:cs="Calibri"/>
                <w:b/>
                <w:bCs/>
                <w:color w:val="000000"/>
                <w:sz w:val="20"/>
              </w:rPr>
            </w:pPr>
            <w:r w:rsidRPr="00A21943">
              <w:rPr>
                <w:rFonts w:ascii="Calibri" w:hAnsi="Calibri" w:cs="Calibri"/>
                <w:b/>
                <w:bCs/>
                <w:color w:val="000000"/>
                <w:sz w:val="20"/>
              </w:rPr>
              <w:t>2 951 621,03</w:t>
            </w:r>
          </w:p>
        </w:tc>
        <w:tc>
          <w:tcPr>
            <w:tcW w:w="839" w:type="pct"/>
            <w:tcBorders>
              <w:top w:val="single" w:sz="6" w:space="0" w:color="auto"/>
              <w:left w:val="single" w:sz="6" w:space="0" w:color="auto"/>
              <w:bottom w:val="single" w:sz="6" w:space="0" w:color="auto"/>
              <w:right w:val="single" w:sz="6" w:space="0" w:color="auto"/>
            </w:tcBorders>
            <w:shd w:val="clear" w:color="auto" w:fill="auto"/>
            <w:vAlign w:val="center"/>
          </w:tcPr>
          <w:p w14:paraId="7093B63F" w14:textId="77777777" w:rsidR="00784431" w:rsidRPr="00A21943" w:rsidRDefault="00784431" w:rsidP="00A21943">
            <w:pPr>
              <w:keepNext/>
              <w:autoSpaceDE w:val="0"/>
              <w:autoSpaceDN w:val="0"/>
              <w:adjustRightInd w:val="0"/>
              <w:ind w:right="46"/>
              <w:jc w:val="right"/>
              <w:rPr>
                <w:rFonts w:ascii="Calibri" w:hAnsi="Calibri" w:cs="Calibri"/>
                <w:b/>
                <w:bCs/>
                <w:color w:val="000000"/>
                <w:sz w:val="20"/>
              </w:rPr>
            </w:pPr>
            <w:r w:rsidRPr="00A21943">
              <w:rPr>
                <w:rFonts w:ascii="Calibri" w:hAnsi="Calibri" w:cs="Calibri"/>
                <w:b/>
                <w:bCs/>
                <w:color w:val="000000"/>
                <w:sz w:val="20"/>
              </w:rPr>
              <w:t>4 150 611,35</w:t>
            </w:r>
          </w:p>
        </w:tc>
      </w:tr>
      <w:tr w:rsidR="00784431" w:rsidRPr="00A21943" w14:paraId="6B8A4E1D" w14:textId="77777777" w:rsidTr="00BA09ED">
        <w:trPr>
          <w:trHeight w:val="283"/>
        </w:trPr>
        <w:tc>
          <w:tcPr>
            <w:tcW w:w="907" w:type="pct"/>
            <w:vMerge/>
            <w:tcBorders>
              <w:left w:val="single" w:sz="6" w:space="0" w:color="auto"/>
              <w:right w:val="single" w:sz="6" w:space="0" w:color="auto"/>
            </w:tcBorders>
            <w:vAlign w:val="center"/>
          </w:tcPr>
          <w:p w14:paraId="028BD4B9" w14:textId="77777777" w:rsidR="00784431" w:rsidRPr="00A21943" w:rsidRDefault="00784431" w:rsidP="00A21943">
            <w:pPr>
              <w:keepNext/>
              <w:autoSpaceDE w:val="0"/>
              <w:autoSpaceDN w:val="0"/>
              <w:adjustRightInd w:val="0"/>
              <w:jc w:val="left"/>
              <w:rPr>
                <w:rFonts w:ascii="Calibri" w:hAnsi="Calibri" w:cs="Calibri"/>
                <w:b/>
                <w:bCs/>
                <w:color w:val="000000"/>
                <w:sz w:val="20"/>
              </w:rPr>
            </w:pPr>
          </w:p>
        </w:tc>
        <w:tc>
          <w:tcPr>
            <w:tcW w:w="1574" w:type="pct"/>
            <w:tcBorders>
              <w:top w:val="single" w:sz="6" w:space="0" w:color="auto"/>
              <w:left w:val="single" w:sz="6" w:space="0" w:color="auto"/>
              <w:bottom w:val="single" w:sz="6" w:space="0" w:color="auto"/>
              <w:right w:val="single" w:sz="6" w:space="0" w:color="auto"/>
            </w:tcBorders>
            <w:vAlign w:val="center"/>
          </w:tcPr>
          <w:p w14:paraId="496C7CAC" w14:textId="77777777" w:rsidR="00784431" w:rsidRPr="00A21943" w:rsidRDefault="00784431" w:rsidP="00A21943">
            <w:pPr>
              <w:keepNext/>
              <w:autoSpaceDE w:val="0"/>
              <w:autoSpaceDN w:val="0"/>
              <w:adjustRightInd w:val="0"/>
              <w:jc w:val="left"/>
              <w:rPr>
                <w:rFonts w:ascii="Calibri" w:hAnsi="Calibri" w:cs="Calibri"/>
                <w:color w:val="000000"/>
                <w:sz w:val="20"/>
              </w:rPr>
            </w:pPr>
            <w:r w:rsidRPr="00A21943">
              <w:rPr>
                <w:rFonts w:ascii="Calibri" w:hAnsi="Calibri" w:cs="Calibri"/>
                <w:color w:val="000000"/>
                <w:sz w:val="20"/>
              </w:rPr>
              <w:t xml:space="preserve">Hlavní činnost </w:t>
            </w:r>
          </w:p>
        </w:tc>
        <w:tc>
          <w:tcPr>
            <w:tcW w:w="840" w:type="pct"/>
            <w:tcBorders>
              <w:top w:val="single" w:sz="6" w:space="0" w:color="auto"/>
              <w:left w:val="single" w:sz="6" w:space="0" w:color="auto"/>
              <w:bottom w:val="single" w:sz="6" w:space="0" w:color="auto"/>
              <w:right w:val="single" w:sz="6" w:space="0" w:color="auto"/>
            </w:tcBorders>
            <w:vAlign w:val="center"/>
          </w:tcPr>
          <w:p w14:paraId="61F7A68E" w14:textId="33B59F09" w:rsidR="00784431" w:rsidRPr="00A21943" w:rsidRDefault="00964E70" w:rsidP="00A21943">
            <w:pPr>
              <w:keepNext/>
              <w:autoSpaceDE w:val="0"/>
              <w:autoSpaceDN w:val="0"/>
              <w:adjustRightInd w:val="0"/>
              <w:ind w:right="46"/>
              <w:jc w:val="right"/>
              <w:rPr>
                <w:rFonts w:ascii="Calibri" w:hAnsi="Calibri" w:cs="Calibri"/>
                <w:color w:val="000000"/>
                <w:sz w:val="20"/>
              </w:rPr>
            </w:pPr>
            <w:r>
              <w:rPr>
                <w:rFonts w:ascii="Calibri" w:hAnsi="Calibri" w:cs="Calibri"/>
                <w:color w:val="000000"/>
                <w:sz w:val="20"/>
              </w:rPr>
              <w:sym w:font="Symbol" w:char="F02D"/>
            </w:r>
            <w:r w:rsidR="00784431" w:rsidRPr="00A21943">
              <w:rPr>
                <w:rFonts w:ascii="Calibri" w:hAnsi="Calibri" w:cs="Calibri"/>
                <w:color w:val="000000"/>
                <w:sz w:val="20"/>
              </w:rPr>
              <w:t>39 402 777,52</w:t>
            </w:r>
          </w:p>
        </w:tc>
        <w:tc>
          <w:tcPr>
            <w:tcW w:w="840" w:type="pct"/>
            <w:tcBorders>
              <w:top w:val="single" w:sz="6" w:space="0" w:color="auto"/>
              <w:left w:val="single" w:sz="6" w:space="0" w:color="auto"/>
              <w:bottom w:val="single" w:sz="6" w:space="0" w:color="auto"/>
              <w:right w:val="single" w:sz="6" w:space="0" w:color="auto"/>
            </w:tcBorders>
            <w:vAlign w:val="center"/>
          </w:tcPr>
          <w:p w14:paraId="74BD7EC8" w14:textId="59A2F210" w:rsidR="00784431" w:rsidRPr="00A21943" w:rsidRDefault="00964E70" w:rsidP="00A21943">
            <w:pPr>
              <w:keepNext/>
              <w:autoSpaceDE w:val="0"/>
              <w:autoSpaceDN w:val="0"/>
              <w:adjustRightInd w:val="0"/>
              <w:ind w:right="46"/>
              <w:jc w:val="right"/>
              <w:rPr>
                <w:rFonts w:ascii="Calibri" w:hAnsi="Calibri" w:cs="Calibri"/>
                <w:color w:val="000000"/>
                <w:sz w:val="20"/>
              </w:rPr>
            </w:pPr>
            <w:r>
              <w:rPr>
                <w:rFonts w:ascii="Calibri" w:hAnsi="Calibri" w:cs="Calibri"/>
                <w:color w:val="000000"/>
                <w:sz w:val="20"/>
              </w:rPr>
              <w:sym w:font="Symbol" w:char="F02D"/>
            </w:r>
            <w:r w:rsidR="00784431" w:rsidRPr="00A21943">
              <w:rPr>
                <w:rFonts w:ascii="Calibri" w:hAnsi="Calibri" w:cs="Calibri"/>
                <w:color w:val="000000"/>
                <w:sz w:val="20"/>
              </w:rPr>
              <w:t>44 653 992,61</w:t>
            </w:r>
          </w:p>
        </w:tc>
        <w:tc>
          <w:tcPr>
            <w:tcW w:w="839" w:type="pct"/>
            <w:tcBorders>
              <w:top w:val="single" w:sz="6" w:space="0" w:color="auto"/>
              <w:left w:val="single" w:sz="6" w:space="0" w:color="auto"/>
              <w:bottom w:val="single" w:sz="6" w:space="0" w:color="auto"/>
              <w:right w:val="single" w:sz="6" w:space="0" w:color="auto"/>
            </w:tcBorders>
            <w:vAlign w:val="center"/>
          </w:tcPr>
          <w:p w14:paraId="24B5BFC2" w14:textId="5B2D28D3" w:rsidR="00784431" w:rsidRPr="00A21943" w:rsidRDefault="00964E70" w:rsidP="00A21943">
            <w:pPr>
              <w:keepNext/>
              <w:autoSpaceDE w:val="0"/>
              <w:autoSpaceDN w:val="0"/>
              <w:adjustRightInd w:val="0"/>
              <w:ind w:right="46"/>
              <w:jc w:val="right"/>
              <w:rPr>
                <w:rFonts w:ascii="Calibri" w:hAnsi="Calibri" w:cs="Calibri"/>
                <w:color w:val="000000"/>
                <w:sz w:val="20"/>
              </w:rPr>
            </w:pPr>
            <w:r>
              <w:rPr>
                <w:rFonts w:ascii="Calibri" w:hAnsi="Calibri" w:cs="Calibri"/>
                <w:color w:val="000000"/>
                <w:sz w:val="20"/>
              </w:rPr>
              <w:sym w:font="Symbol" w:char="F02D"/>
            </w:r>
            <w:r w:rsidR="00784431" w:rsidRPr="00A21943">
              <w:rPr>
                <w:rFonts w:ascii="Calibri" w:hAnsi="Calibri" w:cs="Calibri"/>
                <w:color w:val="000000"/>
                <w:sz w:val="20"/>
              </w:rPr>
              <w:t>40 674 691,40</w:t>
            </w:r>
          </w:p>
        </w:tc>
      </w:tr>
      <w:tr w:rsidR="00784431" w:rsidRPr="00A21943" w14:paraId="29D4234B" w14:textId="77777777" w:rsidTr="00BA09ED">
        <w:trPr>
          <w:trHeight w:val="283"/>
        </w:trPr>
        <w:tc>
          <w:tcPr>
            <w:tcW w:w="907" w:type="pct"/>
            <w:vMerge/>
            <w:tcBorders>
              <w:left w:val="single" w:sz="6" w:space="0" w:color="auto"/>
              <w:bottom w:val="single" w:sz="6" w:space="0" w:color="auto"/>
              <w:right w:val="single" w:sz="6" w:space="0" w:color="auto"/>
            </w:tcBorders>
            <w:vAlign w:val="center"/>
          </w:tcPr>
          <w:p w14:paraId="33E3AA2B" w14:textId="77777777" w:rsidR="00784431" w:rsidRPr="00A21943" w:rsidRDefault="00784431" w:rsidP="00A21943">
            <w:pPr>
              <w:keepNext/>
              <w:autoSpaceDE w:val="0"/>
              <w:autoSpaceDN w:val="0"/>
              <w:adjustRightInd w:val="0"/>
              <w:jc w:val="left"/>
              <w:rPr>
                <w:rFonts w:ascii="Calibri" w:hAnsi="Calibri" w:cs="Calibri"/>
                <w:b/>
                <w:bCs/>
                <w:color w:val="000000"/>
                <w:sz w:val="20"/>
              </w:rPr>
            </w:pPr>
          </w:p>
        </w:tc>
        <w:tc>
          <w:tcPr>
            <w:tcW w:w="1574" w:type="pct"/>
            <w:tcBorders>
              <w:top w:val="single" w:sz="6" w:space="0" w:color="auto"/>
              <w:left w:val="single" w:sz="6" w:space="0" w:color="auto"/>
              <w:bottom w:val="single" w:sz="6" w:space="0" w:color="auto"/>
              <w:right w:val="single" w:sz="6" w:space="0" w:color="auto"/>
            </w:tcBorders>
            <w:vAlign w:val="center"/>
          </w:tcPr>
          <w:p w14:paraId="4004025F" w14:textId="77777777" w:rsidR="00784431" w:rsidRPr="00A21943" w:rsidRDefault="00784431" w:rsidP="00A21943">
            <w:pPr>
              <w:keepNext/>
              <w:autoSpaceDE w:val="0"/>
              <w:autoSpaceDN w:val="0"/>
              <w:adjustRightInd w:val="0"/>
              <w:jc w:val="left"/>
              <w:rPr>
                <w:rFonts w:ascii="Calibri" w:hAnsi="Calibri" w:cs="Calibri"/>
                <w:color w:val="000000"/>
                <w:sz w:val="20"/>
              </w:rPr>
            </w:pPr>
            <w:r w:rsidRPr="00A21943">
              <w:rPr>
                <w:rFonts w:ascii="Calibri" w:hAnsi="Calibri" w:cs="Calibri"/>
                <w:color w:val="000000"/>
                <w:sz w:val="20"/>
              </w:rPr>
              <w:t>Jiná (hospodářská) činnost</w:t>
            </w:r>
          </w:p>
        </w:tc>
        <w:tc>
          <w:tcPr>
            <w:tcW w:w="840" w:type="pct"/>
            <w:tcBorders>
              <w:top w:val="single" w:sz="6" w:space="0" w:color="auto"/>
              <w:left w:val="single" w:sz="6" w:space="0" w:color="auto"/>
              <w:bottom w:val="single" w:sz="6" w:space="0" w:color="auto"/>
              <w:right w:val="single" w:sz="6" w:space="0" w:color="auto"/>
            </w:tcBorders>
            <w:vAlign w:val="center"/>
          </w:tcPr>
          <w:p w14:paraId="74DBCCAD" w14:textId="77777777" w:rsidR="00784431" w:rsidRPr="00A21943" w:rsidRDefault="00784431" w:rsidP="00A21943">
            <w:pPr>
              <w:keepNext/>
              <w:autoSpaceDE w:val="0"/>
              <w:autoSpaceDN w:val="0"/>
              <w:adjustRightInd w:val="0"/>
              <w:ind w:right="46"/>
              <w:jc w:val="right"/>
              <w:rPr>
                <w:rFonts w:ascii="Calibri" w:hAnsi="Calibri" w:cs="Calibri"/>
                <w:color w:val="000000"/>
                <w:sz w:val="20"/>
              </w:rPr>
            </w:pPr>
            <w:r w:rsidRPr="00A21943">
              <w:rPr>
                <w:rFonts w:ascii="Calibri" w:hAnsi="Calibri" w:cs="Calibri"/>
                <w:color w:val="000000"/>
                <w:sz w:val="20"/>
              </w:rPr>
              <w:t>40 415 720,33</w:t>
            </w:r>
          </w:p>
        </w:tc>
        <w:tc>
          <w:tcPr>
            <w:tcW w:w="840" w:type="pct"/>
            <w:tcBorders>
              <w:top w:val="single" w:sz="6" w:space="0" w:color="auto"/>
              <w:left w:val="single" w:sz="6" w:space="0" w:color="auto"/>
              <w:bottom w:val="single" w:sz="6" w:space="0" w:color="auto"/>
              <w:right w:val="single" w:sz="6" w:space="0" w:color="auto"/>
            </w:tcBorders>
            <w:vAlign w:val="center"/>
          </w:tcPr>
          <w:p w14:paraId="2F4804B5" w14:textId="77777777" w:rsidR="00784431" w:rsidRPr="00A21943" w:rsidRDefault="00784431" w:rsidP="00A21943">
            <w:pPr>
              <w:keepNext/>
              <w:autoSpaceDE w:val="0"/>
              <w:autoSpaceDN w:val="0"/>
              <w:adjustRightInd w:val="0"/>
              <w:ind w:right="46"/>
              <w:jc w:val="right"/>
              <w:rPr>
                <w:rFonts w:ascii="Calibri" w:hAnsi="Calibri" w:cs="Calibri"/>
                <w:color w:val="000000"/>
                <w:sz w:val="20"/>
              </w:rPr>
            </w:pPr>
            <w:r w:rsidRPr="00A21943">
              <w:rPr>
                <w:rFonts w:ascii="Calibri" w:hAnsi="Calibri" w:cs="Calibri"/>
                <w:color w:val="000000"/>
                <w:sz w:val="20"/>
              </w:rPr>
              <w:t>47 605 613,64</w:t>
            </w:r>
          </w:p>
        </w:tc>
        <w:tc>
          <w:tcPr>
            <w:tcW w:w="839" w:type="pct"/>
            <w:tcBorders>
              <w:top w:val="single" w:sz="6" w:space="0" w:color="auto"/>
              <w:left w:val="single" w:sz="6" w:space="0" w:color="auto"/>
              <w:bottom w:val="single" w:sz="6" w:space="0" w:color="auto"/>
              <w:right w:val="single" w:sz="6" w:space="0" w:color="auto"/>
            </w:tcBorders>
            <w:vAlign w:val="center"/>
          </w:tcPr>
          <w:p w14:paraId="78E950F8" w14:textId="77777777" w:rsidR="00784431" w:rsidRPr="00A21943" w:rsidRDefault="00784431" w:rsidP="00A21943">
            <w:pPr>
              <w:keepNext/>
              <w:autoSpaceDE w:val="0"/>
              <w:autoSpaceDN w:val="0"/>
              <w:adjustRightInd w:val="0"/>
              <w:ind w:right="46"/>
              <w:jc w:val="right"/>
              <w:rPr>
                <w:rFonts w:ascii="Calibri" w:hAnsi="Calibri" w:cs="Calibri"/>
                <w:color w:val="000000"/>
                <w:sz w:val="20"/>
              </w:rPr>
            </w:pPr>
            <w:r w:rsidRPr="00A21943">
              <w:rPr>
                <w:rFonts w:ascii="Calibri" w:hAnsi="Calibri" w:cs="Calibri"/>
                <w:color w:val="000000"/>
                <w:sz w:val="20"/>
              </w:rPr>
              <w:t>45 363 002,75</w:t>
            </w:r>
          </w:p>
        </w:tc>
      </w:tr>
      <w:tr w:rsidR="00784431" w:rsidRPr="00A21943" w14:paraId="70840A3F" w14:textId="77777777" w:rsidTr="00BA09ED">
        <w:trPr>
          <w:trHeight w:val="283"/>
        </w:trPr>
        <w:tc>
          <w:tcPr>
            <w:tcW w:w="907" w:type="pct"/>
            <w:vMerge w:val="restart"/>
            <w:tcBorders>
              <w:top w:val="single" w:sz="6" w:space="0" w:color="auto"/>
              <w:left w:val="single" w:sz="6" w:space="0" w:color="auto"/>
              <w:right w:val="single" w:sz="6" w:space="0" w:color="auto"/>
            </w:tcBorders>
            <w:shd w:val="clear" w:color="auto" w:fill="auto"/>
            <w:vAlign w:val="center"/>
          </w:tcPr>
          <w:p w14:paraId="4A5ACEFC" w14:textId="77777777" w:rsidR="00784431" w:rsidRPr="00A21943" w:rsidRDefault="00784431" w:rsidP="00A21943">
            <w:pPr>
              <w:keepNext/>
              <w:autoSpaceDE w:val="0"/>
              <w:autoSpaceDN w:val="0"/>
              <w:adjustRightInd w:val="0"/>
              <w:jc w:val="left"/>
              <w:rPr>
                <w:rFonts w:ascii="Calibri" w:hAnsi="Calibri" w:cs="Calibri"/>
                <w:b/>
                <w:bCs/>
                <w:color w:val="000000"/>
                <w:sz w:val="20"/>
              </w:rPr>
            </w:pPr>
            <w:r w:rsidRPr="00A21943">
              <w:rPr>
                <w:rFonts w:ascii="Calibri" w:hAnsi="Calibri" w:cs="Calibri"/>
                <w:b/>
                <w:bCs/>
                <w:color w:val="000000"/>
                <w:sz w:val="20"/>
              </w:rPr>
              <w:t>ÚVN</w:t>
            </w:r>
          </w:p>
        </w:tc>
        <w:tc>
          <w:tcPr>
            <w:tcW w:w="1574" w:type="pct"/>
            <w:tcBorders>
              <w:top w:val="single" w:sz="6" w:space="0" w:color="auto"/>
              <w:left w:val="single" w:sz="6" w:space="0" w:color="auto"/>
              <w:bottom w:val="single" w:sz="6" w:space="0" w:color="auto"/>
              <w:right w:val="single" w:sz="6" w:space="0" w:color="auto"/>
            </w:tcBorders>
            <w:shd w:val="clear" w:color="auto" w:fill="auto"/>
            <w:vAlign w:val="center"/>
          </w:tcPr>
          <w:p w14:paraId="18C3721D" w14:textId="77777777" w:rsidR="00784431" w:rsidRPr="00A21943" w:rsidRDefault="00784431" w:rsidP="00A21943">
            <w:pPr>
              <w:keepNext/>
              <w:autoSpaceDE w:val="0"/>
              <w:autoSpaceDN w:val="0"/>
              <w:adjustRightInd w:val="0"/>
              <w:jc w:val="left"/>
              <w:rPr>
                <w:rFonts w:ascii="Calibri" w:hAnsi="Calibri" w:cs="Calibri"/>
                <w:b/>
                <w:bCs/>
                <w:color w:val="000000"/>
                <w:sz w:val="20"/>
              </w:rPr>
            </w:pPr>
            <w:r w:rsidRPr="00A21943">
              <w:rPr>
                <w:rFonts w:ascii="Calibri" w:hAnsi="Calibri" w:cs="Calibri"/>
                <w:b/>
                <w:bCs/>
                <w:color w:val="000000"/>
                <w:sz w:val="20"/>
              </w:rPr>
              <w:t>Výsledek hospodaření</w:t>
            </w:r>
          </w:p>
        </w:tc>
        <w:tc>
          <w:tcPr>
            <w:tcW w:w="840" w:type="pct"/>
            <w:tcBorders>
              <w:top w:val="single" w:sz="6" w:space="0" w:color="auto"/>
              <w:left w:val="single" w:sz="6" w:space="0" w:color="auto"/>
              <w:bottom w:val="single" w:sz="6" w:space="0" w:color="auto"/>
              <w:right w:val="single" w:sz="6" w:space="0" w:color="auto"/>
            </w:tcBorders>
            <w:shd w:val="clear" w:color="auto" w:fill="auto"/>
            <w:vAlign w:val="center"/>
          </w:tcPr>
          <w:p w14:paraId="1CFD90D6" w14:textId="6E841EC3" w:rsidR="00784431" w:rsidRPr="00A21943" w:rsidRDefault="00784431" w:rsidP="00A21943">
            <w:pPr>
              <w:keepNext/>
              <w:autoSpaceDE w:val="0"/>
              <w:autoSpaceDN w:val="0"/>
              <w:adjustRightInd w:val="0"/>
              <w:ind w:right="46"/>
              <w:jc w:val="right"/>
              <w:rPr>
                <w:rFonts w:ascii="Calibri" w:hAnsi="Calibri" w:cs="Calibri"/>
                <w:b/>
                <w:bCs/>
                <w:color w:val="000000"/>
                <w:sz w:val="20"/>
              </w:rPr>
            </w:pPr>
            <w:r w:rsidRPr="00A21943">
              <w:rPr>
                <w:rFonts w:ascii="Calibri" w:hAnsi="Calibri" w:cs="Calibri"/>
                <w:b/>
                <w:bCs/>
                <w:color w:val="000000"/>
                <w:sz w:val="20"/>
              </w:rPr>
              <w:t>1 072 043,87</w:t>
            </w:r>
          </w:p>
        </w:tc>
        <w:tc>
          <w:tcPr>
            <w:tcW w:w="840" w:type="pct"/>
            <w:tcBorders>
              <w:top w:val="single" w:sz="6" w:space="0" w:color="auto"/>
              <w:left w:val="single" w:sz="6" w:space="0" w:color="auto"/>
              <w:bottom w:val="single" w:sz="6" w:space="0" w:color="auto"/>
              <w:right w:val="single" w:sz="6" w:space="0" w:color="auto"/>
            </w:tcBorders>
            <w:shd w:val="clear" w:color="auto" w:fill="auto"/>
            <w:vAlign w:val="center"/>
          </w:tcPr>
          <w:p w14:paraId="46AA3477" w14:textId="77777777" w:rsidR="00784431" w:rsidRPr="00A21943" w:rsidRDefault="00784431" w:rsidP="00A21943">
            <w:pPr>
              <w:keepNext/>
              <w:autoSpaceDE w:val="0"/>
              <w:autoSpaceDN w:val="0"/>
              <w:adjustRightInd w:val="0"/>
              <w:ind w:right="46"/>
              <w:jc w:val="right"/>
              <w:rPr>
                <w:rFonts w:ascii="Calibri" w:hAnsi="Calibri" w:cs="Calibri"/>
                <w:b/>
                <w:bCs/>
                <w:color w:val="000000"/>
                <w:sz w:val="20"/>
              </w:rPr>
            </w:pPr>
            <w:r w:rsidRPr="00A21943">
              <w:rPr>
                <w:rFonts w:ascii="Calibri" w:hAnsi="Calibri" w:cs="Calibri"/>
                <w:b/>
                <w:bCs/>
                <w:color w:val="000000"/>
                <w:sz w:val="20"/>
              </w:rPr>
              <w:t>1 004 517,01</w:t>
            </w:r>
          </w:p>
        </w:tc>
        <w:tc>
          <w:tcPr>
            <w:tcW w:w="839" w:type="pct"/>
            <w:tcBorders>
              <w:top w:val="single" w:sz="6" w:space="0" w:color="auto"/>
              <w:left w:val="single" w:sz="6" w:space="0" w:color="auto"/>
              <w:bottom w:val="single" w:sz="6" w:space="0" w:color="auto"/>
              <w:right w:val="single" w:sz="6" w:space="0" w:color="auto"/>
            </w:tcBorders>
            <w:shd w:val="clear" w:color="auto" w:fill="auto"/>
            <w:vAlign w:val="center"/>
          </w:tcPr>
          <w:p w14:paraId="0AAB8117" w14:textId="77777777" w:rsidR="00784431" w:rsidRPr="00A21943" w:rsidRDefault="00784431" w:rsidP="00A21943">
            <w:pPr>
              <w:keepNext/>
              <w:autoSpaceDE w:val="0"/>
              <w:autoSpaceDN w:val="0"/>
              <w:adjustRightInd w:val="0"/>
              <w:ind w:right="46"/>
              <w:jc w:val="right"/>
              <w:rPr>
                <w:rFonts w:ascii="Calibri" w:hAnsi="Calibri" w:cs="Calibri"/>
                <w:b/>
                <w:bCs/>
                <w:color w:val="000000"/>
                <w:sz w:val="20"/>
              </w:rPr>
            </w:pPr>
            <w:r w:rsidRPr="00A21943">
              <w:rPr>
                <w:rFonts w:ascii="Calibri" w:hAnsi="Calibri" w:cs="Calibri"/>
                <w:b/>
                <w:bCs/>
                <w:color w:val="000000"/>
                <w:sz w:val="20"/>
              </w:rPr>
              <w:t>852 748,00</w:t>
            </w:r>
          </w:p>
        </w:tc>
      </w:tr>
      <w:tr w:rsidR="00784431" w:rsidRPr="00A21943" w14:paraId="3F5485B5" w14:textId="77777777" w:rsidTr="00BA09ED">
        <w:trPr>
          <w:trHeight w:val="283"/>
        </w:trPr>
        <w:tc>
          <w:tcPr>
            <w:tcW w:w="907" w:type="pct"/>
            <w:vMerge/>
            <w:tcBorders>
              <w:left w:val="single" w:sz="6" w:space="0" w:color="auto"/>
              <w:right w:val="single" w:sz="6" w:space="0" w:color="auto"/>
            </w:tcBorders>
            <w:vAlign w:val="center"/>
          </w:tcPr>
          <w:p w14:paraId="148A0A40" w14:textId="77777777" w:rsidR="00784431" w:rsidRPr="00A21943" w:rsidRDefault="00784431" w:rsidP="00A21943">
            <w:pPr>
              <w:keepNext/>
              <w:autoSpaceDE w:val="0"/>
              <w:autoSpaceDN w:val="0"/>
              <w:adjustRightInd w:val="0"/>
              <w:jc w:val="left"/>
              <w:rPr>
                <w:rFonts w:ascii="Calibri" w:hAnsi="Calibri" w:cs="Calibri"/>
                <w:b/>
                <w:bCs/>
                <w:color w:val="000000"/>
                <w:sz w:val="20"/>
              </w:rPr>
            </w:pPr>
          </w:p>
        </w:tc>
        <w:tc>
          <w:tcPr>
            <w:tcW w:w="1574" w:type="pct"/>
            <w:tcBorders>
              <w:top w:val="single" w:sz="6" w:space="0" w:color="auto"/>
              <w:left w:val="single" w:sz="6" w:space="0" w:color="auto"/>
              <w:bottom w:val="single" w:sz="6" w:space="0" w:color="auto"/>
              <w:right w:val="single" w:sz="6" w:space="0" w:color="auto"/>
            </w:tcBorders>
            <w:vAlign w:val="center"/>
          </w:tcPr>
          <w:p w14:paraId="0EB7FA5E" w14:textId="77777777" w:rsidR="00784431" w:rsidRPr="00A21943" w:rsidRDefault="00784431" w:rsidP="00A21943">
            <w:pPr>
              <w:keepNext/>
              <w:autoSpaceDE w:val="0"/>
              <w:autoSpaceDN w:val="0"/>
              <w:adjustRightInd w:val="0"/>
              <w:jc w:val="left"/>
              <w:rPr>
                <w:rFonts w:ascii="Calibri" w:hAnsi="Calibri" w:cs="Calibri"/>
                <w:color w:val="000000"/>
                <w:sz w:val="20"/>
              </w:rPr>
            </w:pPr>
            <w:r w:rsidRPr="00A21943">
              <w:rPr>
                <w:rFonts w:ascii="Calibri" w:hAnsi="Calibri" w:cs="Calibri"/>
                <w:color w:val="000000"/>
                <w:sz w:val="20"/>
              </w:rPr>
              <w:t xml:space="preserve">Hlavní činnost </w:t>
            </w:r>
          </w:p>
        </w:tc>
        <w:tc>
          <w:tcPr>
            <w:tcW w:w="840" w:type="pct"/>
            <w:tcBorders>
              <w:top w:val="single" w:sz="6" w:space="0" w:color="auto"/>
              <w:left w:val="single" w:sz="6" w:space="0" w:color="auto"/>
              <w:bottom w:val="single" w:sz="6" w:space="0" w:color="auto"/>
              <w:right w:val="single" w:sz="6" w:space="0" w:color="auto"/>
            </w:tcBorders>
            <w:vAlign w:val="center"/>
          </w:tcPr>
          <w:p w14:paraId="430C95B4" w14:textId="5D9CFF32" w:rsidR="00784431" w:rsidRPr="00A21943" w:rsidRDefault="00964E70" w:rsidP="00A21943">
            <w:pPr>
              <w:keepNext/>
              <w:autoSpaceDE w:val="0"/>
              <w:autoSpaceDN w:val="0"/>
              <w:adjustRightInd w:val="0"/>
              <w:ind w:right="46"/>
              <w:jc w:val="right"/>
              <w:rPr>
                <w:rFonts w:ascii="Calibri" w:hAnsi="Calibri" w:cs="Calibri"/>
                <w:color w:val="000000"/>
                <w:sz w:val="20"/>
              </w:rPr>
            </w:pPr>
            <w:r>
              <w:rPr>
                <w:rFonts w:ascii="Calibri" w:hAnsi="Calibri" w:cs="Calibri"/>
                <w:color w:val="000000"/>
                <w:sz w:val="20"/>
              </w:rPr>
              <w:sym w:font="Symbol" w:char="F02D"/>
            </w:r>
            <w:r w:rsidR="00784431" w:rsidRPr="00A21943">
              <w:rPr>
                <w:rFonts w:ascii="Calibri" w:hAnsi="Calibri" w:cs="Calibri"/>
                <w:color w:val="000000"/>
                <w:sz w:val="20"/>
              </w:rPr>
              <w:t>2 157 056,72</w:t>
            </w:r>
          </w:p>
        </w:tc>
        <w:tc>
          <w:tcPr>
            <w:tcW w:w="840" w:type="pct"/>
            <w:tcBorders>
              <w:top w:val="single" w:sz="6" w:space="0" w:color="auto"/>
              <w:left w:val="single" w:sz="6" w:space="0" w:color="auto"/>
              <w:bottom w:val="single" w:sz="6" w:space="0" w:color="auto"/>
              <w:right w:val="single" w:sz="6" w:space="0" w:color="auto"/>
            </w:tcBorders>
            <w:vAlign w:val="center"/>
          </w:tcPr>
          <w:p w14:paraId="54D80503" w14:textId="6AF711C7" w:rsidR="00784431" w:rsidRPr="00A21943" w:rsidRDefault="00964E70" w:rsidP="00A21943">
            <w:pPr>
              <w:keepNext/>
              <w:autoSpaceDE w:val="0"/>
              <w:autoSpaceDN w:val="0"/>
              <w:adjustRightInd w:val="0"/>
              <w:ind w:right="46"/>
              <w:jc w:val="right"/>
              <w:rPr>
                <w:rFonts w:ascii="Calibri" w:hAnsi="Calibri" w:cs="Calibri"/>
                <w:color w:val="000000"/>
                <w:sz w:val="20"/>
              </w:rPr>
            </w:pPr>
            <w:r>
              <w:rPr>
                <w:rFonts w:ascii="Calibri" w:hAnsi="Calibri" w:cs="Calibri"/>
                <w:color w:val="000000"/>
                <w:sz w:val="20"/>
              </w:rPr>
              <w:sym w:font="Symbol" w:char="F02D"/>
            </w:r>
            <w:r w:rsidR="00784431" w:rsidRPr="00A21943">
              <w:rPr>
                <w:rFonts w:ascii="Calibri" w:hAnsi="Calibri" w:cs="Calibri"/>
                <w:color w:val="000000"/>
                <w:sz w:val="20"/>
              </w:rPr>
              <w:t>3 034 088,45</w:t>
            </w:r>
          </w:p>
        </w:tc>
        <w:tc>
          <w:tcPr>
            <w:tcW w:w="839" w:type="pct"/>
            <w:tcBorders>
              <w:top w:val="single" w:sz="6" w:space="0" w:color="auto"/>
              <w:left w:val="single" w:sz="6" w:space="0" w:color="auto"/>
              <w:bottom w:val="single" w:sz="6" w:space="0" w:color="auto"/>
              <w:right w:val="single" w:sz="6" w:space="0" w:color="auto"/>
            </w:tcBorders>
            <w:vAlign w:val="center"/>
          </w:tcPr>
          <w:p w14:paraId="7E453022" w14:textId="2371FFB9" w:rsidR="00784431" w:rsidRPr="00A21943" w:rsidRDefault="00964E70" w:rsidP="00A21943">
            <w:pPr>
              <w:keepNext/>
              <w:autoSpaceDE w:val="0"/>
              <w:autoSpaceDN w:val="0"/>
              <w:adjustRightInd w:val="0"/>
              <w:ind w:right="46"/>
              <w:jc w:val="right"/>
              <w:rPr>
                <w:rFonts w:ascii="Calibri" w:hAnsi="Calibri" w:cs="Calibri"/>
                <w:color w:val="000000"/>
                <w:sz w:val="20"/>
              </w:rPr>
            </w:pPr>
            <w:r>
              <w:rPr>
                <w:rFonts w:ascii="Calibri" w:hAnsi="Calibri" w:cs="Calibri"/>
                <w:color w:val="000000"/>
                <w:sz w:val="20"/>
              </w:rPr>
              <w:sym w:font="Symbol" w:char="F02D"/>
            </w:r>
            <w:r w:rsidR="00784431" w:rsidRPr="00A21943">
              <w:rPr>
                <w:rFonts w:ascii="Calibri" w:hAnsi="Calibri" w:cs="Calibri"/>
                <w:color w:val="000000"/>
                <w:sz w:val="20"/>
              </w:rPr>
              <w:t>3 288 718,26</w:t>
            </w:r>
          </w:p>
        </w:tc>
      </w:tr>
      <w:tr w:rsidR="00784431" w:rsidRPr="00A21943" w14:paraId="271F7B27" w14:textId="77777777" w:rsidTr="00BA09ED">
        <w:trPr>
          <w:trHeight w:val="283"/>
        </w:trPr>
        <w:tc>
          <w:tcPr>
            <w:tcW w:w="907" w:type="pct"/>
            <w:vMerge/>
            <w:tcBorders>
              <w:left w:val="single" w:sz="6" w:space="0" w:color="auto"/>
              <w:bottom w:val="single" w:sz="6" w:space="0" w:color="auto"/>
              <w:right w:val="single" w:sz="6" w:space="0" w:color="auto"/>
            </w:tcBorders>
          </w:tcPr>
          <w:p w14:paraId="289A4640" w14:textId="77777777" w:rsidR="00784431" w:rsidRPr="00A21943" w:rsidRDefault="00784431" w:rsidP="00A21943">
            <w:pPr>
              <w:keepNext/>
              <w:autoSpaceDE w:val="0"/>
              <w:autoSpaceDN w:val="0"/>
              <w:adjustRightInd w:val="0"/>
              <w:jc w:val="center"/>
              <w:rPr>
                <w:rFonts w:ascii="Calibri" w:hAnsi="Calibri" w:cs="Calibri"/>
                <w:b/>
                <w:bCs/>
                <w:color w:val="000000"/>
                <w:sz w:val="20"/>
              </w:rPr>
            </w:pPr>
          </w:p>
        </w:tc>
        <w:tc>
          <w:tcPr>
            <w:tcW w:w="1574" w:type="pct"/>
            <w:tcBorders>
              <w:top w:val="single" w:sz="6" w:space="0" w:color="auto"/>
              <w:left w:val="single" w:sz="6" w:space="0" w:color="auto"/>
              <w:bottom w:val="single" w:sz="6" w:space="0" w:color="auto"/>
              <w:right w:val="single" w:sz="6" w:space="0" w:color="auto"/>
            </w:tcBorders>
            <w:vAlign w:val="center"/>
          </w:tcPr>
          <w:p w14:paraId="4185C264" w14:textId="77777777" w:rsidR="00784431" w:rsidRPr="00A21943" w:rsidRDefault="00784431" w:rsidP="00A21943">
            <w:pPr>
              <w:keepNext/>
              <w:autoSpaceDE w:val="0"/>
              <w:autoSpaceDN w:val="0"/>
              <w:adjustRightInd w:val="0"/>
              <w:jc w:val="left"/>
              <w:rPr>
                <w:rFonts w:ascii="Calibri" w:hAnsi="Calibri" w:cs="Calibri"/>
                <w:color w:val="000000"/>
                <w:sz w:val="20"/>
              </w:rPr>
            </w:pPr>
            <w:r w:rsidRPr="00A21943">
              <w:rPr>
                <w:rFonts w:ascii="Calibri" w:hAnsi="Calibri" w:cs="Calibri"/>
                <w:color w:val="000000"/>
                <w:sz w:val="20"/>
              </w:rPr>
              <w:t>Jiná (hospodářská) činnost</w:t>
            </w:r>
          </w:p>
        </w:tc>
        <w:tc>
          <w:tcPr>
            <w:tcW w:w="840" w:type="pct"/>
            <w:tcBorders>
              <w:top w:val="single" w:sz="6" w:space="0" w:color="auto"/>
              <w:left w:val="single" w:sz="6" w:space="0" w:color="auto"/>
              <w:bottom w:val="single" w:sz="6" w:space="0" w:color="auto"/>
              <w:right w:val="single" w:sz="6" w:space="0" w:color="auto"/>
            </w:tcBorders>
            <w:vAlign w:val="center"/>
          </w:tcPr>
          <w:p w14:paraId="437F588F" w14:textId="77777777" w:rsidR="00784431" w:rsidRPr="00A21943" w:rsidRDefault="00784431" w:rsidP="00A21943">
            <w:pPr>
              <w:keepNext/>
              <w:autoSpaceDE w:val="0"/>
              <w:autoSpaceDN w:val="0"/>
              <w:adjustRightInd w:val="0"/>
              <w:ind w:right="46"/>
              <w:jc w:val="right"/>
              <w:rPr>
                <w:rFonts w:ascii="Calibri" w:hAnsi="Calibri" w:cs="Calibri"/>
                <w:color w:val="000000"/>
                <w:sz w:val="20"/>
              </w:rPr>
            </w:pPr>
            <w:r w:rsidRPr="00A21943">
              <w:rPr>
                <w:rFonts w:ascii="Calibri" w:hAnsi="Calibri" w:cs="Calibri"/>
                <w:color w:val="000000"/>
                <w:sz w:val="20"/>
              </w:rPr>
              <w:t>3 229 100,59</w:t>
            </w:r>
          </w:p>
        </w:tc>
        <w:tc>
          <w:tcPr>
            <w:tcW w:w="840" w:type="pct"/>
            <w:tcBorders>
              <w:top w:val="single" w:sz="6" w:space="0" w:color="auto"/>
              <w:left w:val="single" w:sz="6" w:space="0" w:color="auto"/>
              <w:bottom w:val="single" w:sz="6" w:space="0" w:color="auto"/>
              <w:right w:val="single" w:sz="6" w:space="0" w:color="auto"/>
            </w:tcBorders>
            <w:vAlign w:val="center"/>
          </w:tcPr>
          <w:p w14:paraId="077544D0" w14:textId="77777777" w:rsidR="00784431" w:rsidRPr="00A21943" w:rsidRDefault="00784431" w:rsidP="00A21943">
            <w:pPr>
              <w:keepNext/>
              <w:autoSpaceDE w:val="0"/>
              <w:autoSpaceDN w:val="0"/>
              <w:adjustRightInd w:val="0"/>
              <w:ind w:right="46"/>
              <w:jc w:val="right"/>
              <w:rPr>
                <w:rFonts w:ascii="Calibri" w:hAnsi="Calibri" w:cs="Calibri"/>
                <w:color w:val="000000"/>
                <w:sz w:val="20"/>
              </w:rPr>
            </w:pPr>
            <w:r w:rsidRPr="00A21943">
              <w:rPr>
                <w:rFonts w:ascii="Calibri" w:hAnsi="Calibri" w:cs="Calibri"/>
                <w:color w:val="000000"/>
                <w:sz w:val="20"/>
              </w:rPr>
              <w:t>4 038 605,46</w:t>
            </w:r>
          </w:p>
        </w:tc>
        <w:tc>
          <w:tcPr>
            <w:tcW w:w="839" w:type="pct"/>
            <w:tcBorders>
              <w:top w:val="single" w:sz="6" w:space="0" w:color="auto"/>
              <w:left w:val="single" w:sz="6" w:space="0" w:color="auto"/>
              <w:bottom w:val="single" w:sz="6" w:space="0" w:color="auto"/>
              <w:right w:val="single" w:sz="6" w:space="0" w:color="auto"/>
            </w:tcBorders>
            <w:vAlign w:val="center"/>
          </w:tcPr>
          <w:p w14:paraId="38DD9164" w14:textId="77777777" w:rsidR="00784431" w:rsidRPr="00A21943" w:rsidRDefault="00784431" w:rsidP="00A21943">
            <w:pPr>
              <w:keepNext/>
              <w:autoSpaceDE w:val="0"/>
              <w:autoSpaceDN w:val="0"/>
              <w:adjustRightInd w:val="0"/>
              <w:ind w:right="46"/>
              <w:jc w:val="right"/>
              <w:rPr>
                <w:rFonts w:ascii="Calibri" w:hAnsi="Calibri" w:cs="Calibri"/>
                <w:color w:val="000000"/>
                <w:sz w:val="20"/>
              </w:rPr>
            </w:pPr>
            <w:r w:rsidRPr="00A21943">
              <w:rPr>
                <w:rFonts w:ascii="Calibri" w:hAnsi="Calibri" w:cs="Calibri"/>
                <w:color w:val="000000"/>
                <w:sz w:val="20"/>
              </w:rPr>
              <w:t>4 141 466,26</w:t>
            </w:r>
          </w:p>
        </w:tc>
      </w:tr>
    </w:tbl>
    <w:p w14:paraId="7DC44821" w14:textId="676C1C91" w:rsidR="00A83EDB" w:rsidRPr="0077471E" w:rsidRDefault="00A83EDB" w:rsidP="00A21943">
      <w:pPr>
        <w:pStyle w:val="Zdroj"/>
        <w:keepNext/>
        <w:spacing w:before="40"/>
        <w:ind w:left="0"/>
        <w:rPr>
          <w:i w:val="0"/>
        </w:rPr>
      </w:pPr>
      <w:r w:rsidRPr="0077471E">
        <w:rPr>
          <w:b/>
          <w:i w:val="0"/>
        </w:rPr>
        <w:t>Zdroj:</w:t>
      </w:r>
      <w:r w:rsidRPr="0077471E">
        <w:rPr>
          <w:i w:val="0"/>
        </w:rPr>
        <w:t xml:space="preserve"> </w:t>
      </w:r>
      <w:r w:rsidR="00964E70">
        <w:rPr>
          <w:i w:val="0"/>
        </w:rPr>
        <w:t>ú</w:t>
      </w:r>
      <w:r w:rsidR="001F6B43" w:rsidRPr="0077471E">
        <w:rPr>
          <w:i w:val="0"/>
        </w:rPr>
        <w:t>četní závěrky a výkazy zisku a ztráty FN k 31. 12. 2014, k 31. 12. 2015 a k 31. 12. 2016</w:t>
      </w:r>
      <w:r w:rsidR="00743B6C" w:rsidRPr="0077471E">
        <w:rPr>
          <w:i w:val="0"/>
        </w:rPr>
        <w:t>.</w:t>
      </w:r>
    </w:p>
    <w:p w14:paraId="6E100655" w14:textId="07213579" w:rsidR="00A83EDB" w:rsidRDefault="00A83EDB" w:rsidP="0077471E">
      <w:pPr>
        <w:autoSpaceDE w:val="0"/>
        <w:autoSpaceDN w:val="0"/>
        <w:adjustRightInd w:val="0"/>
        <w:spacing w:before="120"/>
        <w:rPr>
          <w:rFonts w:cs="Arial"/>
        </w:rPr>
      </w:pPr>
      <w:r w:rsidRPr="005762B3">
        <w:rPr>
          <w:rFonts w:cs="Arial"/>
          <w:color w:val="000000" w:themeColor="text1"/>
          <w:szCs w:val="24"/>
        </w:rPr>
        <w:t xml:space="preserve">V kontrolovaném období let 2014 až 2016 vykázaly </w:t>
      </w:r>
      <w:r w:rsidR="00964E70" w:rsidRPr="005762B3">
        <w:rPr>
          <w:rFonts w:cs="Arial"/>
          <w:color w:val="000000" w:themeColor="text1"/>
          <w:szCs w:val="24"/>
        </w:rPr>
        <w:t xml:space="preserve">k 31. 12. </w:t>
      </w:r>
      <w:r w:rsidRPr="005762B3">
        <w:rPr>
          <w:rFonts w:cs="Arial"/>
          <w:color w:val="000000" w:themeColor="text1"/>
          <w:szCs w:val="24"/>
        </w:rPr>
        <w:t>všechny FN kladný výsledek hospodaření po zdanění. Výsledkem hospodaření z hlavní činnosti byla u všech FN ztráta a</w:t>
      </w:r>
      <w:r w:rsidR="00810805">
        <w:rPr>
          <w:rFonts w:cs="Arial"/>
          <w:color w:val="000000" w:themeColor="text1"/>
          <w:szCs w:val="24"/>
        </w:rPr>
        <w:t> </w:t>
      </w:r>
      <w:r w:rsidRPr="005762B3">
        <w:rPr>
          <w:rFonts w:cs="Arial"/>
          <w:color w:val="000000" w:themeColor="text1"/>
          <w:szCs w:val="24"/>
        </w:rPr>
        <w:t xml:space="preserve">celkového kladného výsledku hospodaření fakultní nemocnice dosáhly v důsledku kladného výsledku hospodaření z jiné (hospodářské) činnosti. </w:t>
      </w:r>
      <w:r>
        <w:rPr>
          <w:rFonts w:cs="Arial"/>
          <w:color w:val="000000" w:themeColor="text1"/>
          <w:szCs w:val="24"/>
        </w:rPr>
        <w:t>Jinou hospodářskou činností byly např. stravování pro cizí strávníky, parkování, praní prádla, prodej ve veřejné lékárně a</w:t>
      </w:r>
      <w:r w:rsidR="00CC64C6">
        <w:rPr>
          <w:rFonts w:cs="Arial"/>
          <w:color w:val="000000" w:themeColor="text1"/>
          <w:szCs w:val="24"/>
        </w:rPr>
        <w:t> </w:t>
      </w:r>
      <w:r>
        <w:rPr>
          <w:rFonts w:cs="Arial"/>
          <w:color w:val="000000" w:themeColor="text1"/>
          <w:szCs w:val="24"/>
        </w:rPr>
        <w:t xml:space="preserve">ubytovací služby. </w:t>
      </w:r>
      <w:r w:rsidRPr="005762B3">
        <w:rPr>
          <w:rFonts w:cs="Arial"/>
        </w:rPr>
        <w:t>K prohlubování ztráty v hlavní činnosti dochází mj. růstem nákladů na léčiva.</w:t>
      </w:r>
      <w:r>
        <w:rPr>
          <w:rFonts w:cs="Arial"/>
        </w:rPr>
        <w:t xml:space="preserve"> </w:t>
      </w:r>
    </w:p>
    <w:p w14:paraId="7C806D22" w14:textId="42C9A14C" w:rsidR="00A83EDB" w:rsidRPr="008A1604" w:rsidRDefault="00A83EDB" w:rsidP="004C3B13">
      <w:pPr>
        <w:spacing w:before="240" w:after="120"/>
        <w:rPr>
          <w:rFonts w:cstheme="minorHAnsi"/>
          <w:b/>
          <w:noProof/>
          <w:color w:val="000000" w:themeColor="text1"/>
          <w:szCs w:val="26"/>
        </w:rPr>
      </w:pPr>
      <w:r w:rsidRPr="008A1604">
        <w:rPr>
          <w:rFonts w:cstheme="minorHAnsi"/>
          <w:b/>
          <w:noProof/>
          <w:color w:val="000000" w:themeColor="text1"/>
          <w:szCs w:val="26"/>
        </w:rPr>
        <w:t>Náklady kontrolovaných fakultních nemocnic</w:t>
      </w:r>
    </w:p>
    <w:p w14:paraId="65E7B48D" w14:textId="334D390A" w:rsidR="00A83EDB" w:rsidRDefault="00A83EDB" w:rsidP="0077471E">
      <w:pPr>
        <w:spacing w:before="120"/>
        <w:rPr>
          <w:rFonts w:cstheme="minorHAnsi"/>
          <w:noProof/>
          <w:color w:val="000000" w:themeColor="text1"/>
          <w:szCs w:val="28"/>
        </w:rPr>
      </w:pPr>
      <w:r>
        <w:rPr>
          <w:rFonts w:cstheme="minorHAnsi"/>
          <w:noProof/>
          <w:color w:val="000000" w:themeColor="text1"/>
          <w:szCs w:val="28"/>
        </w:rPr>
        <w:t xml:space="preserve">Podíl nákladů </w:t>
      </w:r>
      <w:r w:rsidRPr="009E7ABD">
        <w:rPr>
          <w:rFonts w:cstheme="minorHAnsi"/>
          <w:noProof/>
          <w:color w:val="000000" w:themeColor="text1"/>
          <w:szCs w:val="28"/>
        </w:rPr>
        <w:t xml:space="preserve">spotřebovaných nákupů, služeb a osobních nákladů na </w:t>
      </w:r>
      <w:r w:rsidR="00CC64C6">
        <w:rPr>
          <w:rFonts w:cstheme="minorHAnsi"/>
          <w:noProof/>
          <w:color w:val="000000" w:themeColor="text1"/>
          <w:szCs w:val="28"/>
        </w:rPr>
        <w:t xml:space="preserve">celkových </w:t>
      </w:r>
      <w:r w:rsidRPr="009E7ABD">
        <w:rPr>
          <w:rFonts w:cstheme="minorHAnsi"/>
          <w:noProof/>
          <w:color w:val="000000" w:themeColor="text1"/>
          <w:szCs w:val="28"/>
        </w:rPr>
        <w:t>nákladech</w:t>
      </w:r>
      <w:r>
        <w:rPr>
          <w:rFonts w:cstheme="minorHAnsi"/>
          <w:noProof/>
          <w:color w:val="000000" w:themeColor="text1"/>
          <w:szCs w:val="28"/>
        </w:rPr>
        <w:t xml:space="preserve"> za období 2014 až 2016 v členění dle jednotlivých FN je uveden v následující tabulce</w:t>
      </w:r>
      <w:r w:rsidR="00CC64C6">
        <w:rPr>
          <w:rFonts w:cstheme="minorHAnsi"/>
          <w:noProof/>
          <w:color w:val="000000" w:themeColor="text1"/>
          <w:szCs w:val="28"/>
        </w:rPr>
        <w:t>:</w:t>
      </w:r>
    </w:p>
    <w:p w14:paraId="60CA36DD" w14:textId="3491F1ED" w:rsidR="00A83EDB" w:rsidRPr="00784431" w:rsidRDefault="00CC64C6" w:rsidP="00CC64C6">
      <w:pPr>
        <w:spacing w:before="120" w:after="40"/>
        <w:ind w:left="1276" w:hanging="1276"/>
        <w:rPr>
          <w:rFonts w:cstheme="minorHAnsi"/>
          <w:b/>
          <w:noProof/>
          <w:color w:val="000000" w:themeColor="text1"/>
          <w:szCs w:val="28"/>
        </w:rPr>
      </w:pPr>
      <w:r>
        <w:rPr>
          <w:rFonts w:cstheme="minorHAnsi"/>
          <w:b/>
          <w:noProof/>
          <w:color w:val="000000" w:themeColor="text1"/>
          <w:szCs w:val="28"/>
        </w:rPr>
        <w:t>Tabulka č. 4:</w:t>
      </w:r>
      <w:r>
        <w:rPr>
          <w:rFonts w:cstheme="minorHAnsi"/>
          <w:b/>
          <w:noProof/>
          <w:color w:val="000000" w:themeColor="text1"/>
          <w:szCs w:val="28"/>
        </w:rPr>
        <w:tab/>
      </w:r>
      <w:r w:rsidR="00A83EDB" w:rsidRPr="00784431">
        <w:rPr>
          <w:rFonts w:cstheme="minorHAnsi"/>
          <w:b/>
          <w:noProof/>
          <w:color w:val="000000" w:themeColor="text1"/>
          <w:szCs w:val="28"/>
        </w:rPr>
        <w:t xml:space="preserve">Podíl spotřebovaných nákupů, služeb a osobních nákladů na </w:t>
      </w:r>
      <w:r>
        <w:rPr>
          <w:rFonts w:cstheme="minorHAnsi"/>
          <w:b/>
          <w:noProof/>
          <w:color w:val="000000" w:themeColor="text1"/>
          <w:szCs w:val="28"/>
        </w:rPr>
        <w:t xml:space="preserve">celkových </w:t>
      </w:r>
      <w:r w:rsidR="00A83EDB" w:rsidRPr="00784431">
        <w:rPr>
          <w:rFonts w:cstheme="minorHAnsi"/>
          <w:b/>
          <w:noProof/>
          <w:color w:val="000000" w:themeColor="text1"/>
          <w:szCs w:val="28"/>
        </w:rPr>
        <w:t>nákladech</w:t>
      </w:r>
    </w:p>
    <w:tbl>
      <w:tblPr>
        <w:tblW w:w="5000" w:type="pct"/>
        <w:tblCellMar>
          <w:left w:w="70" w:type="dxa"/>
          <w:right w:w="70" w:type="dxa"/>
        </w:tblCellMar>
        <w:tblLook w:val="04A0" w:firstRow="1" w:lastRow="0" w:firstColumn="1" w:lastColumn="0" w:noHBand="0" w:noVBand="1"/>
      </w:tblPr>
      <w:tblGrid>
        <w:gridCol w:w="574"/>
        <w:gridCol w:w="583"/>
        <w:gridCol w:w="1422"/>
        <w:gridCol w:w="1504"/>
        <w:gridCol w:w="927"/>
        <w:gridCol w:w="1157"/>
        <w:gridCol w:w="796"/>
        <w:gridCol w:w="1303"/>
        <w:gridCol w:w="796"/>
      </w:tblGrid>
      <w:tr w:rsidR="00A83EDB" w:rsidRPr="00784431" w14:paraId="4A210832" w14:textId="77777777" w:rsidTr="00784431">
        <w:trPr>
          <w:trHeight w:val="244"/>
        </w:trPr>
        <w:tc>
          <w:tcPr>
            <w:tcW w:w="643" w:type="pct"/>
            <w:gridSpan w:val="2"/>
            <w:vMerge w:val="restart"/>
            <w:tcBorders>
              <w:top w:val="single" w:sz="4" w:space="0" w:color="auto"/>
              <w:left w:val="single" w:sz="4" w:space="0" w:color="auto"/>
              <w:bottom w:val="single" w:sz="4" w:space="0" w:color="000000"/>
              <w:right w:val="single" w:sz="4" w:space="0" w:color="000000"/>
            </w:tcBorders>
            <w:shd w:val="clear" w:color="000000" w:fill="E5F1FF"/>
            <w:noWrap/>
            <w:vAlign w:val="bottom"/>
            <w:hideMark/>
          </w:tcPr>
          <w:p w14:paraId="48A79560" w14:textId="77777777" w:rsidR="00A83EDB" w:rsidRPr="00784431" w:rsidRDefault="00A83EDB" w:rsidP="00A62436">
            <w:pPr>
              <w:jc w:val="center"/>
              <w:rPr>
                <w:rFonts w:ascii="Calibri" w:hAnsi="Calibri" w:cs="Calibri"/>
                <w:b/>
                <w:bCs/>
                <w:color w:val="000000"/>
                <w:sz w:val="20"/>
              </w:rPr>
            </w:pPr>
            <w:r w:rsidRPr="00784431">
              <w:rPr>
                <w:rFonts w:ascii="Calibri" w:hAnsi="Calibri" w:cs="Calibri"/>
                <w:b/>
                <w:bCs/>
                <w:color w:val="000000"/>
                <w:sz w:val="20"/>
              </w:rPr>
              <w:t> </w:t>
            </w:r>
          </w:p>
        </w:tc>
        <w:tc>
          <w:tcPr>
            <w:tcW w:w="787" w:type="pct"/>
            <w:vMerge w:val="restart"/>
            <w:tcBorders>
              <w:top w:val="single" w:sz="4" w:space="0" w:color="auto"/>
              <w:left w:val="single" w:sz="4" w:space="0" w:color="auto"/>
              <w:bottom w:val="single" w:sz="4" w:space="0" w:color="000000"/>
              <w:right w:val="single" w:sz="4" w:space="0" w:color="auto"/>
            </w:tcBorders>
            <w:shd w:val="clear" w:color="000000" w:fill="E5F1FF"/>
            <w:vAlign w:val="center"/>
            <w:hideMark/>
          </w:tcPr>
          <w:p w14:paraId="601A5C97" w14:textId="77777777" w:rsidR="00A83EDB" w:rsidRPr="00784431" w:rsidRDefault="00A83EDB" w:rsidP="00784431">
            <w:pPr>
              <w:jc w:val="center"/>
              <w:rPr>
                <w:rFonts w:ascii="Calibri" w:hAnsi="Calibri" w:cs="Calibri"/>
                <w:b/>
                <w:bCs/>
                <w:color w:val="000000"/>
                <w:sz w:val="20"/>
              </w:rPr>
            </w:pPr>
            <w:r w:rsidRPr="00784431">
              <w:rPr>
                <w:rFonts w:ascii="Calibri" w:hAnsi="Calibri" w:cs="Calibri"/>
                <w:b/>
                <w:bCs/>
                <w:color w:val="000000"/>
                <w:sz w:val="20"/>
              </w:rPr>
              <w:t xml:space="preserve">Náklady celkem </w:t>
            </w:r>
            <w:r w:rsidRPr="00784431">
              <w:rPr>
                <w:rFonts w:ascii="Calibri" w:hAnsi="Calibri" w:cs="Calibri"/>
                <w:b/>
                <w:bCs/>
                <w:color w:val="000000"/>
                <w:sz w:val="20"/>
              </w:rPr>
              <w:br/>
              <w:t>(třída 5)</w:t>
            </w:r>
          </w:p>
        </w:tc>
        <w:tc>
          <w:tcPr>
            <w:tcW w:w="3570" w:type="pct"/>
            <w:gridSpan w:val="6"/>
            <w:tcBorders>
              <w:top w:val="single" w:sz="4" w:space="0" w:color="auto"/>
              <w:left w:val="nil"/>
              <w:bottom w:val="single" w:sz="4" w:space="0" w:color="auto"/>
              <w:right w:val="single" w:sz="4" w:space="0" w:color="000000"/>
            </w:tcBorders>
            <w:shd w:val="clear" w:color="000000" w:fill="E5F1FF"/>
            <w:noWrap/>
            <w:vAlign w:val="center"/>
            <w:hideMark/>
          </w:tcPr>
          <w:p w14:paraId="6E5EE917" w14:textId="77777777" w:rsidR="00A83EDB" w:rsidRPr="00784431" w:rsidRDefault="00A83EDB" w:rsidP="00784431">
            <w:pPr>
              <w:jc w:val="center"/>
              <w:rPr>
                <w:rFonts w:ascii="Calibri" w:hAnsi="Calibri" w:cs="Calibri"/>
                <w:b/>
                <w:bCs/>
                <w:color w:val="000000"/>
                <w:sz w:val="20"/>
              </w:rPr>
            </w:pPr>
            <w:r w:rsidRPr="00784431">
              <w:rPr>
                <w:rFonts w:ascii="Calibri" w:hAnsi="Calibri" w:cs="Calibri"/>
                <w:b/>
                <w:bCs/>
                <w:color w:val="000000"/>
                <w:sz w:val="20"/>
              </w:rPr>
              <w:t>Z toho účtové skupiny</w:t>
            </w:r>
          </w:p>
        </w:tc>
      </w:tr>
      <w:tr w:rsidR="00A83EDB" w:rsidRPr="00784431" w14:paraId="054A8B83" w14:textId="77777777" w:rsidTr="00784431">
        <w:trPr>
          <w:trHeight w:val="244"/>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14:paraId="70445548" w14:textId="77777777" w:rsidR="00A83EDB" w:rsidRPr="00784431" w:rsidRDefault="00A83EDB" w:rsidP="00A62436">
            <w:pPr>
              <w:jc w:val="left"/>
              <w:rPr>
                <w:rFonts w:ascii="Calibri" w:hAnsi="Calibri" w:cs="Calibri"/>
                <w:b/>
                <w:bCs/>
                <w:color w:val="000000"/>
                <w:sz w:val="20"/>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0888934F" w14:textId="77777777" w:rsidR="00A83EDB" w:rsidRPr="00784431" w:rsidRDefault="00A83EDB" w:rsidP="00784431">
            <w:pPr>
              <w:jc w:val="center"/>
              <w:rPr>
                <w:rFonts w:ascii="Calibri" w:hAnsi="Calibri" w:cs="Calibri"/>
                <w:b/>
                <w:bCs/>
                <w:color w:val="000000"/>
                <w:sz w:val="20"/>
              </w:rPr>
            </w:pPr>
          </w:p>
        </w:tc>
        <w:tc>
          <w:tcPr>
            <w:tcW w:w="1345" w:type="pct"/>
            <w:gridSpan w:val="2"/>
            <w:tcBorders>
              <w:top w:val="single" w:sz="4" w:space="0" w:color="auto"/>
              <w:left w:val="nil"/>
              <w:bottom w:val="single" w:sz="4" w:space="0" w:color="auto"/>
              <w:right w:val="single" w:sz="4" w:space="0" w:color="000000"/>
            </w:tcBorders>
            <w:shd w:val="clear" w:color="000000" w:fill="E5F1FF"/>
            <w:noWrap/>
            <w:vAlign w:val="center"/>
            <w:hideMark/>
          </w:tcPr>
          <w:p w14:paraId="7A8803C1" w14:textId="5DFADAE7" w:rsidR="00A83EDB" w:rsidRPr="00784431" w:rsidRDefault="00A83EDB" w:rsidP="00CC64C6">
            <w:pPr>
              <w:jc w:val="center"/>
              <w:rPr>
                <w:rFonts w:ascii="Calibri" w:hAnsi="Calibri" w:cs="Calibri"/>
                <w:b/>
                <w:bCs/>
                <w:color w:val="000000"/>
                <w:sz w:val="20"/>
              </w:rPr>
            </w:pPr>
            <w:r w:rsidRPr="00784431">
              <w:rPr>
                <w:rFonts w:ascii="Calibri" w:hAnsi="Calibri" w:cs="Calibri"/>
                <w:b/>
                <w:bCs/>
                <w:color w:val="000000"/>
                <w:sz w:val="20"/>
              </w:rPr>
              <w:t xml:space="preserve">50 </w:t>
            </w:r>
            <w:r w:rsidR="00CC64C6">
              <w:rPr>
                <w:rFonts w:ascii="Calibri" w:hAnsi="Calibri" w:cs="Calibri"/>
                <w:b/>
                <w:bCs/>
                <w:color w:val="000000"/>
                <w:sz w:val="20"/>
              </w:rPr>
              <w:t>–</w:t>
            </w:r>
            <w:r w:rsidRPr="00784431">
              <w:rPr>
                <w:rFonts w:ascii="Calibri" w:hAnsi="Calibri" w:cs="Calibri"/>
                <w:b/>
                <w:bCs/>
                <w:color w:val="000000"/>
                <w:sz w:val="20"/>
              </w:rPr>
              <w:t xml:space="preserve"> Spotřebované nákupy</w:t>
            </w:r>
          </w:p>
        </w:tc>
        <w:tc>
          <w:tcPr>
            <w:tcW w:w="1068" w:type="pct"/>
            <w:gridSpan w:val="2"/>
            <w:tcBorders>
              <w:top w:val="single" w:sz="4" w:space="0" w:color="auto"/>
              <w:left w:val="nil"/>
              <w:bottom w:val="single" w:sz="4" w:space="0" w:color="auto"/>
              <w:right w:val="single" w:sz="4" w:space="0" w:color="000000"/>
            </w:tcBorders>
            <w:shd w:val="clear" w:color="000000" w:fill="E5F1FF"/>
            <w:noWrap/>
            <w:vAlign w:val="center"/>
            <w:hideMark/>
          </w:tcPr>
          <w:p w14:paraId="4F04FCF2" w14:textId="7BACA688" w:rsidR="00A83EDB" w:rsidRPr="00784431" w:rsidRDefault="00A83EDB" w:rsidP="00CC64C6">
            <w:pPr>
              <w:jc w:val="center"/>
              <w:rPr>
                <w:rFonts w:ascii="Calibri" w:hAnsi="Calibri" w:cs="Calibri"/>
                <w:b/>
                <w:bCs/>
                <w:color w:val="000000"/>
                <w:sz w:val="20"/>
              </w:rPr>
            </w:pPr>
            <w:r w:rsidRPr="00784431">
              <w:rPr>
                <w:rFonts w:ascii="Calibri" w:hAnsi="Calibri" w:cs="Calibri"/>
                <w:b/>
                <w:bCs/>
                <w:color w:val="000000"/>
                <w:sz w:val="20"/>
              </w:rPr>
              <w:t xml:space="preserve">51 </w:t>
            </w:r>
            <w:r w:rsidR="00CC64C6">
              <w:rPr>
                <w:rFonts w:ascii="Calibri" w:hAnsi="Calibri" w:cs="Calibri"/>
                <w:b/>
                <w:bCs/>
                <w:color w:val="000000"/>
                <w:sz w:val="20"/>
              </w:rPr>
              <w:t>–</w:t>
            </w:r>
            <w:r w:rsidRPr="00784431">
              <w:rPr>
                <w:rFonts w:ascii="Calibri" w:hAnsi="Calibri" w:cs="Calibri"/>
                <w:b/>
                <w:bCs/>
                <w:color w:val="000000"/>
                <w:sz w:val="20"/>
              </w:rPr>
              <w:t xml:space="preserve"> Služby</w:t>
            </w:r>
          </w:p>
        </w:tc>
        <w:tc>
          <w:tcPr>
            <w:tcW w:w="1157" w:type="pct"/>
            <w:gridSpan w:val="2"/>
            <w:tcBorders>
              <w:top w:val="single" w:sz="4" w:space="0" w:color="auto"/>
              <w:left w:val="nil"/>
              <w:bottom w:val="single" w:sz="4" w:space="0" w:color="auto"/>
              <w:right w:val="single" w:sz="4" w:space="0" w:color="000000"/>
            </w:tcBorders>
            <w:shd w:val="clear" w:color="000000" w:fill="E5F1FF"/>
            <w:noWrap/>
            <w:vAlign w:val="center"/>
            <w:hideMark/>
          </w:tcPr>
          <w:p w14:paraId="0D68B73E" w14:textId="297DAEB6" w:rsidR="00A83EDB" w:rsidRPr="00784431" w:rsidRDefault="00A83EDB" w:rsidP="00CC64C6">
            <w:pPr>
              <w:jc w:val="center"/>
              <w:rPr>
                <w:rFonts w:ascii="Calibri" w:hAnsi="Calibri" w:cs="Calibri"/>
                <w:b/>
                <w:bCs/>
                <w:color w:val="000000"/>
                <w:sz w:val="20"/>
              </w:rPr>
            </w:pPr>
            <w:r w:rsidRPr="00784431">
              <w:rPr>
                <w:rFonts w:ascii="Calibri" w:hAnsi="Calibri" w:cs="Calibri"/>
                <w:b/>
                <w:bCs/>
                <w:color w:val="000000"/>
                <w:sz w:val="20"/>
              </w:rPr>
              <w:t>52 -</w:t>
            </w:r>
            <w:r w:rsidR="00CC64C6">
              <w:rPr>
                <w:rFonts w:ascii="Calibri" w:hAnsi="Calibri" w:cs="Calibri"/>
                <w:b/>
                <w:bCs/>
                <w:color w:val="000000"/>
                <w:sz w:val="20"/>
              </w:rPr>
              <w:t xml:space="preserve">– </w:t>
            </w:r>
            <w:r w:rsidRPr="00784431">
              <w:rPr>
                <w:rFonts w:ascii="Calibri" w:hAnsi="Calibri" w:cs="Calibri"/>
                <w:b/>
                <w:bCs/>
                <w:color w:val="000000"/>
                <w:sz w:val="20"/>
              </w:rPr>
              <w:t>Osobní náklady</w:t>
            </w:r>
          </w:p>
        </w:tc>
      </w:tr>
      <w:tr w:rsidR="00A83EDB" w:rsidRPr="00784431" w14:paraId="0AB2034F" w14:textId="77777777" w:rsidTr="00784431">
        <w:trPr>
          <w:trHeight w:val="244"/>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14:paraId="17D6C6BB" w14:textId="77777777" w:rsidR="00A83EDB" w:rsidRPr="00784431" w:rsidRDefault="00A83EDB" w:rsidP="00A62436">
            <w:pPr>
              <w:jc w:val="left"/>
              <w:rPr>
                <w:rFonts w:ascii="Calibri" w:hAnsi="Calibri" w:cs="Calibri"/>
                <w:b/>
                <w:bCs/>
                <w:color w:val="000000"/>
                <w:sz w:val="20"/>
              </w:rPr>
            </w:pPr>
          </w:p>
        </w:tc>
        <w:tc>
          <w:tcPr>
            <w:tcW w:w="787" w:type="pct"/>
            <w:tcBorders>
              <w:top w:val="nil"/>
              <w:left w:val="nil"/>
              <w:bottom w:val="single" w:sz="4" w:space="0" w:color="auto"/>
              <w:right w:val="single" w:sz="4" w:space="0" w:color="auto"/>
            </w:tcBorders>
            <w:shd w:val="clear" w:color="000000" w:fill="E5F1FF"/>
            <w:noWrap/>
            <w:vAlign w:val="center"/>
            <w:hideMark/>
          </w:tcPr>
          <w:p w14:paraId="2592B8DF" w14:textId="77777777" w:rsidR="00A83EDB" w:rsidRPr="00784431" w:rsidRDefault="00A83EDB" w:rsidP="00784431">
            <w:pPr>
              <w:jc w:val="center"/>
              <w:rPr>
                <w:rFonts w:ascii="Calibri" w:hAnsi="Calibri" w:cs="Calibri"/>
                <w:b/>
                <w:bCs/>
                <w:color w:val="000000"/>
                <w:sz w:val="20"/>
              </w:rPr>
            </w:pPr>
            <w:r w:rsidRPr="00784431">
              <w:rPr>
                <w:rFonts w:ascii="Calibri" w:hAnsi="Calibri" w:cs="Calibri"/>
                <w:b/>
                <w:bCs/>
                <w:color w:val="000000"/>
                <w:sz w:val="20"/>
              </w:rPr>
              <w:t>tis. Kč</w:t>
            </w:r>
          </w:p>
        </w:tc>
        <w:tc>
          <w:tcPr>
            <w:tcW w:w="832" w:type="pct"/>
            <w:tcBorders>
              <w:top w:val="nil"/>
              <w:left w:val="nil"/>
              <w:bottom w:val="single" w:sz="4" w:space="0" w:color="auto"/>
              <w:right w:val="single" w:sz="4" w:space="0" w:color="auto"/>
            </w:tcBorders>
            <w:shd w:val="clear" w:color="000000" w:fill="E5F1FF"/>
            <w:noWrap/>
            <w:vAlign w:val="center"/>
            <w:hideMark/>
          </w:tcPr>
          <w:p w14:paraId="08CAFAB0" w14:textId="77777777" w:rsidR="00A83EDB" w:rsidRPr="00784431" w:rsidRDefault="00A83EDB" w:rsidP="00784431">
            <w:pPr>
              <w:jc w:val="center"/>
              <w:rPr>
                <w:rFonts w:ascii="Calibri" w:hAnsi="Calibri" w:cs="Calibri"/>
                <w:b/>
                <w:bCs/>
                <w:color w:val="000000"/>
                <w:sz w:val="20"/>
              </w:rPr>
            </w:pPr>
            <w:r w:rsidRPr="00784431">
              <w:rPr>
                <w:rFonts w:ascii="Calibri" w:hAnsi="Calibri" w:cs="Calibri"/>
                <w:b/>
                <w:bCs/>
                <w:color w:val="000000"/>
                <w:sz w:val="20"/>
              </w:rPr>
              <w:t>tis. Kč</w:t>
            </w:r>
          </w:p>
        </w:tc>
        <w:tc>
          <w:tcPr>
            <w:tcW w:w="513" w:type="pct"/>
            <w:tcBorders>
              <w:top w:val="nil"/>
              <w:left w:val="nil"/>
              <w:bottom w:val="single" w:sz="4" w:space="0" w:color="auto"/>
              <w:right w:val="single" w:sz="4" w:space="0" w:color="auto"/>
            </w:tcBorders>
            <w:shd w:val="clear" w:color="000000" w:fill="E5F1FF"/>
            <w:noWrap/>
            <w:vAlign w:val="center"/>
            <w:hideMark/>
          </w:tcPr>
          <w:p w14:paraId="6DFFE3D6" w14:textId="77777777" w:rsidR="00A83EDB" w:rsidRPr="00784431" w:rsidRDefault="00A83EDB" w:rsidP="00784431">
            <w:pPr>
              <w:jc w:val="center"/>
              <w:rPr>
                <w:rFonts w:ascii="Calibri" w:hAnsi="Calibri" w:cs="Calibri"/>
                <w:b/>
                <w:bCs/>
                <w:color w:val="000000"/>
                <w:sz w:val="20"/>
              </w:rPr>
            </w:pPr>
            <w:r w:rsidRPr="00784431">
              <w:rPr>
                <w:rFonts w:ascii="Calibri" w:hAnsi="Calibri" w:cs="Calibri"/>
                <w:b/>
                <w:bCs/>
                <w:color w:val="000000"/>
                <w:sz w:val="20"/>
              </w:rPr>
              <w:t>%</w:t>
            </w:r>
          </w:p>
        </w:tc>
        <w:tc>
          <w:tcPr>
            <w:tcW w:w="627" w:type="pct"/>
            <w:tcBorders>
              <w:top w:val="nil"/>
              <w:left w:val="nil"/>
              <w:bottom w:val="single" w:sz="4" w:space="0" w:color="auto"/>
              <w:right w:val="single" w:sz="4" w:space="0" w:color="auto"/>
            </w:tcBorders>
            <w:shd w:val="clear" w:color="000000" w:fill="E5F1FF"/>
            <w:noWrap/>
            <w:vAlign w:val="center"/>
            <w:hideMark/>
          </w:tcPr>
          <w:p w14:paraId="0CD487E6" w14:textId="77777777" w:rsidR="00A83EDB" w:rsidRPr="00784431" w:rsidRDefault="00A83EDB" w:rsidP="00784431">
            <w:pPr>
              <w:jc w:val="center"/>
              <w:rPr>
                <w:rFonts w:ascii="Calibri" w:hAnsi="Calibri" w:cs="Calibri"/>
                <w:b/>
                <w:bCs/>
                <w:color w:val="000000"/>
                <w:sz w:val="20"/>
              </w:rPr>
            </w:pPr>
            <w:r w:rsidRPr="00784431">
              <w:rPr>
                <w:rFonts w:ascii="Calibri" w:hAnsi="Calibri" w:cs="Calibri"/>
                <w:b/>
                <w:bCs/>
                <w:color w:val="000000"/>
                <w:sz w:val="20"/>
              </w:rPr>
              <w:t>tis. Kč</w:t>
            </w:r>
          </w:p>
        </w:tc>
        <w:tc>
          <w:tcPr>
            <w:tcW w:w="441" w:type="pct"/>
            <w:tcBorders>
              <w:top w:val="nil"/>
              <w:left w:val="nil"/>
              <w:bottom w:val="single" w:sz="4" w:space="0" w:color="auto"/>
              <w:right w:val="single" w:sz="4" w:space="0" w:color="auto"/>
            </w:tcBorders>
            <w:shd w:val="clear" w:color="000000" w:fill="E5F1FF"/>
            <w:noWrap/>
            <w:vAlign w:val="center"/>
            <w:hideMark/>
          </w:tcPr>
          <w:p w14:paraId="506E3F79" w14:textId="77777777" w:rsidR="00A83EDB" w:rsidRPr="00784431" w:rsidRDefault="00A83EDB" w:rsidP="00784431">
            <w:pPr>
              <w:jc w:val="center"/>
              <w:rPr>
                <w:rFonts w:ascii="Calibri" w:hAnsi="Calibri" w:cs="Calibri"/>
                <w:b/>
                <w:bCs/>
                <w:color w:val="000000"/>
                <w:sz w:val="20"/>
              </w:rPr>
            </w:pPr>
            <w:r w:rsidRPr="00784431">
              <w:rPr>
                <w:rFonts w:ascii="Calibri" w:hAnsi="Calibri" w:cs="Calibri"/>
                <w:b/>
                <w:bCs/>
                <w:color w:val="000000"/>
                <w:sz w:val="20"/>
              </w:rPr>
              <w:t>%</w:t>
            </w:r>
          </w:p>
        </w:tc>
        <w:tc>
          <w:tcPr>
            <w:tcW w:w="716" w:type="pct"/>
            <w:tcBorders>
              <w:top w:val="nil"/>
              <w:left w:val="nil"/>
              <w:bottom w:val="single" w:sz="4" w:space="0" w:color="auto"/>
              <w:right w:val="single" w:sz="4" w:space="0" w:color="auto"/>
            </w:tcBorders>
            <w:shd w:val="clear" w:color="000000" w:fill="E5F1FF"/>
            <w:noWrap/>
            <w:vAlign w:val="center"/>
            <w:hideMark/>
          </w:tcPr>
          <w:p w14:paraId="3085D249" w14:textId="77777777" w:rsidR="00A83EDB" w:rsidRPr="00784431" w:rsidRDefault="00A83EDB" w:rsidP="00784431">
            <w:pPr>
              <w:jc w:val="center"/>
              <w:rPr>
                <w:rFonts w:ascii="Calibri" w:hAnsi="Calibri" w:cs="Calibri"/>
                <w:b/>
                <w:bCs/>
                <w:color w:val="000000"/>
                <w:sz w:val="20"/>
              </w:rPr>
            </w:pPr>
            <w:r w:rsidRPr="00784431">
              <w:rPr>
                <w:rFonts w:ascii="Calibri" w:hAnsi="Calibri" w:cs="Calibri"/>
                <w:b/>
                <w:bCs/>
                <w:color w:val="000000"/>
                <w:sz w:val="20"/>
              </w:rPr>
              <w:t>tis. Kč</w:t>
            </w:r>
          </w:p>
        </w:tc>
        <w:tc>
          <w:tcPr>
            <w:tcW w:w="441" w:type="pct"/>
            <w:tcBorders>
              <w:top w:val="nil"/>
              <w:left w:val="nil"/>
              <w:bottom w:val="single" w:sz="4" w:space="0" w:color="auto"/>
              <w:right w:val="single" w:sz="4" w:space="0" w:color="auto"/>
            </w:tcBorders>
            <w:shd w:val="clear" w:color="000000" w:fill="E5F1FF"/>
            <w:noWrap/>
            <w:vAlign w:val="center"/>
            <w:hideMark/>
          </w:tcPr>
          <w:p w14:paraId="18E0FF62" w14:textId="77777777" w:rsidR="00A83EDB" w:rsidRPr="00784431" w:rsidRDefault="00A83EDB" w:rsidP="00784431">
            <w:pPr>
              <w:jc w:val="center"/>
              <w:rPr>
                <w:rFonts w:ascii="Calibri" w:hAnsi="Calibri" w:cs="Calibri"/>
                <w:b/>
                <w:bCs/>
                <w:color w:val="000000"/>
                <w:sz w:val="20"/>
              </w:rPr>
            </w:pPr>
            <w:r w:rsidRPr="00784431">
              <w:rPr>
                <w:rFonts w:ascii="Calibri" w:hAnsi="Calibri" w:cs="Calibri"/>
                <w:b/>
                <w:bCs/>
                <w:color w:val="000000"/>
                <w:sz w:val="20"/>
              </w:rPr>
              <w:t>%</w:t>
            </w:r>
          </w:p>
        </w:tc>
      </w:tr>
      <w:tr w:rsidR="00A83EDB" w:rsidRPr="00784431" w14:paraId="78E0E7CF" w14:textId="77777777" w:rsidTr="00784431">
        <w:trPr>
          <w:trHeight w:val="244"/>
        </w:trPr>
        <w:tc>
          <w:tcPr>
            <w:tcW w:w="31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A35A3B8" w14:textId="77777777" w:rsidR="00A83EDB" w:rsidRPr="00784431" w:rsidRDefault="00A83EDB" w:rsidP="00784431">
            <w:pPr>
              <w:jc w:val="left"/>
              <w:rPr>
                <w:rFonts w:ascii="Calibri" w:hAnsi="Calibri" w:cs="Calibri"/>
                <w:b/>
                <w:bCs/>
                <w:color w:val="000000"/>
                <w:sz w:val="20"/>
              </w:rPr>
            </w:pPr>
            <w:r w:rsidRPr="00784431">
              <w:rPr>
                <w:rFonts w:ascii="Calibri" w:hAnsi="Calibri" w:cs="Calibri"/>
                <w:b/>
                <w:bCs/>
                <w:color w:val="000000"/>
                <w:sz w:val="20"/>
              </w:rPr>
              <w:t>FNB</w:t>
            </w:r>
          </w:p>
        </w:tc>
        <w:tc>
          <w:tcPr>
            <w:tcW w:w="324" w:type="pct"/>
            <w:tcBorders>
              <w:top w:val="nil"/>
              <w:left w:val="nil"/>
              <w:bottom w:val="single" w:sz="4" w:space="0" w:color="auto"/>
              <w:right w:val="single" w:sz="4" w:space="0" w:color="auto"/>
            </w:tcBorders>
            <w:shd w:val="clear" w:color="auto" w:fill="auto"/>
            <w:noWrap/>
            <w:vAlign w:val="center"/>
            <w:hideMark/>
          </w:tcPr>
          <w:p w14:paraId="26D6C8A0" w14:textId="77777777" w:rsidR="00A83EDB" w:rsidRPr="00784431" w:rsidRDefault="00A83EDB" w:rsidP="00784431">
            <w:pPr>
              <w:jc w:val="center"/>
              <w:rPr>
                <w:rFonts w:ascii="Calibri" w:hAnsi="Calibri" w:cs="Calibri"/>
                <w:color w:val="000000"/>
                <w:sz w:val="20"/>
              </w:rPr>
            </w:pPr>
            <w:r w:rsidRPr="00784431">
              <w:rPr>
                <w:rFonts w:ascii="Calibri" w:hAnsi="Calibri" w:cs="Calibri"/>
                <w:color w:val="000000"/>
                <w:sz w:val="20"/>
              </w:rPr>
              <w:t>2014</w:t>
            </w:r>
          </w:p>
        </w:tc>
        <w:tc>
          <w:tcPr>
            <w:tcW w:w="787" w:type="pct"/>
            <w:tcBorders>
              <w:top w:val="nil"/>
              <w:left w:val="nil"/>
              <w:bottom w:val="single" w:sz="4" w:space="0" w:color="auto"/>
              <w:right w:val="single" w:sz="4" w:space="0" w:color="auto"/>
            </w:tcBorders>
            <w:shd w:val="clear" w:color="auto" w:fill="auto"/>
            <w:noWrap/>
            <w:vAlign w:val="center"/>
            <w:hideMark/>
          </w:tcPr>
          <w:p w14:paraId="18DB627E"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6 587 570,41</w:t>
            </w:r>
          </w:p>
        </w:tc>
        <w:tc>
          <w:tcPr>
            <w:tcW w:w="832" w:type="pct"/>
            <w:tcBorders>
              <w:top w:val="nil"/>
              <w:left w:val="nil"/>
              <w:bottom w:val="single" w:sz="4" w:space="0" w:color="auto"/>
              <w:right w:val="single" w:sz="4" w:space="0" w:color="auto"/>
            </w:tcBorders>
            <w:shd w:val="clear" w:color="auto" w:fill="auto"/>
            <w:noWrap/>
            <w:vAlign w:val="center"/>
            <w:hideMark/>
          </w:tcPr>
          <w:p w14:paraId="335E3060"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3 227 699,32</w:t>
            </w:r>
          </w:p>
        </w:tc>
        <w:tc>
          <w:tcPr>
            <w:tcW w:w="513" w:type="pct"/>
            <w:tcBorders>
              <w:top w:val="nil"/>
              <w:left w:val="nil"/>
              <w:bottom w:val="single" w:sz="4" w:space="0" w:color="auto"/>
              <w:right w:val="single" w:sz="4" w:space="0" w:color="auto"/>
            </w:tcBorders>
            <w:shd w:val="clear" w:color="auto" w:fill="auto"/>
            <w:noWrap/>
            <w:vAlign w:val="center"/>
            <w:hideMark/>
          </w:tcPr>
          <w:p w14:paraId="3F7299FB"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49,00</w:t>
            </w:r>
          </w:p>
        </w:tc>
        <w:tc>
          <w:tcPr>
            <w:tcW w:w="627" w:type="pct"/>
            <w:tcBorders>
              <w:top w:val="nil"/>
              <w:left w:val="nil"/>
              <w:bottom w:val="single" w:sz="4" w:space="0" w:color="auto"/>
              <w:right w:val="single" w:sz="4" w:space="0" w:color="auto"/>
            </w:tcBorders>
            <w:shd w:val="clear" w:color="auto" w:fill="auto"/>
            <w:noWrap/>
            <w:vAlign w:val="center"/>
            <w:hideMark/>
          </w:tcPr>
          <w:p w14:paraId="2A8A1A7C"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262 769,50</w:t>
            </w:r>
          </w:p>
        </w:tc>
        <w:tc>
          <w:tcPr>
            <w:tcW w:w="441" w:type="pct"/>
            <w:tcBorders>
              <w:top w:val="nil"/>
              <w:left w:val="nil"/>
              <w:bottom w:val="single" w:sz="4" w:space="0" w:color="auto"/>
              <w:right w:val="single" w:sz="4" w:space="0" w:color="auto"/>
            </w:tcBorders>
            <w:shd w:val="clear" w:color="auto" w:fill="auto"/>
            <w:noWrap/>
            <w:vAlign w:val="center"/>
            <w:hideMark/>
          </w:tcPr>
          <w:p w14:paraId="0F26DAE5"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3,99</w:t>
            </w:r>
          </w:p>
        </w:tc>
        <w:tc>
          <w:tcPr>
            <w:tcW w:w="716" w:type="pct"/>
            <w:tcBorders>
              <w:top w:val="nil"/>
              <w:left w:val="nil"/>
              <w:bottom w:val="single" w:sz="4" w:space="0" w:color="auto"/>
              <w:right w:val="single" w:sz="4" w:space="0" w:color="auto"/>
            </w:tcBorders>
            <w:shd w:val="clear" w:color="auto" w:fill="auto"/>
            <w:noWrap/>
            <w:vAlign w:val="center"/>
            <w:hideMark/>
          </w:tcPr>
          <w:p w14:paraId="60A8407B"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2 591 842,01</w:t>
            </w:r>
          </w:p>
        </w:tc>
        <w:tc>
          <w:tcPr>
            <w:tcW w:w="441" w:type="pct"/>
            <w:tcBorders>
              <w:top w:val="nil"/>
              <w:left w:val="nil"/>
              <w:bottom w:val="single" w:sz="4" w:space="0" w:color="auto"/>
              <w:right w:val="single" w:sz="4" w:space="0" w:color="auto"/>
            </w:tcBorders>
            <w:shd w:val="clear" w:color="auto" w:fill="auto"/>
            <w:noWrap/>
            <w:vAlign w:val="center"/>
            <w:hideMark/>
          </w:tcPr>
          <w:p w14:paraId="31BE9EDA"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39,34</w:t>
            </w:r>
          </w:p>
        </w:tc>
      </w:tr>
      <w:tr w:rsidR="00A83EDB" w:rsidRPr="00784431" w14:paraId="6532E684" w14:textId="77777777" w:rsidTr="00784431">
        <w:trPr>
          <w:trHeight w:val="244"/>
        </w:trPr>
        <w:tc>
          <w:tcPr>
            <w:tcW w:w="319" w:type="pct"/>
            <w:vMerge/>
            <w:tcBorders>
              <w:top w:val="nil"/>
              <w:left w:val="single" w:sz="4" w:space="0" w:color="auto"/>
              <w:bottom w:val="single" w:sz="4" w:space="0" w:color="000000"/>
              <w:right w:val="single" w:sz="4" w:space="0" w:color="auto"/>
            </w:tcBorders>
            <w:vAlign w:val="center"/>
            <w:hideMark/>
          </w:tcPr>
          <w:p w14:paraId="6729EF80" w14:textId="77777777" w:rsidR="00A83EDB" w:rsidRPr="00784431" w:rsidRDefault="00A83EDB" w:rsidP="00784431">
            <w:pPr>
              <w:jc w:val="left"/>
              <w:rPr>
                <w:rFonts w:ascii="Calibri" w:hAnsi="Calibri" w:cs="Calibri"/>
                <w:b/>
                <w:bCs/>
                <w:color w:val="000000"/>
                <w:sz w:val="20"/>
              </w:rPr>
            </w:pPr>
          </w:p>
        </w:tc>
        <w:tc>
          <w:tcPr>
            <w:tcW w:w="324" w:type="pct"/>
            <w:tcBorders>
              <w:top w:val="nil"/>
              <w:left w:val="nil"/>
              <w:bottom w:val="single" w:sz="4" w:space="0" w:color="auto"/>
              <w:right w:val="single" w:sz="4" w:space="0" w:color="auto"/>
            </w:tcBorders>
            <w:shd w:val="clear" w:color="auto" w:fill="auto"/>
            <w:noWrap/>
            <w:vAlign w:val="center"/>
            <w:hideMark/>
          </w:tcPr>
          <w:p w14:paraId="4ED5F2B7" w14:textId="77777777" w:rsidR="00A83EDB" w:rsidRPr="00784431" w:rsidRDefault="00A83EDB" w:rsidP="00784431">
            <w:pPr>
              <w:jc w:val="center"/>
              <w:rPr>
                <w:rFonts w:ascii="Calibri" w:hAnsi="Calibri" w:cs="Calibri"/>
                <w:color w:val="000000"/>
                <w:sz w:val="20"/>
              </w:rPr>
            </w:pPr>
            <w:r w:rsidRPr="00784431">
              <w:rPr>
                <w:rFonts w:ascii="Calibri" w:hAnsi="Calibri" w:cs="Calibri"/>
                <w:color w:val="000000"/>
                <w:sz w:val="20"/>
              </w:rPr>
              <w:t>2015</w:t>
            </w:r>
          </w:p>
        </w:tc>
        <w:tc>
          <w:tcPr>
            <w:tcW w:w="787" w:type="pct"/>
            <w:tcBorders>
              <w:top w:val="nil"/>
              <w:left w:val="nil"/>
              <w:bottom w:val="single" w:sz="4" w:space="0" w:color="auto"/>
              <w:right w:val="single" w:sz="4" w:space="0" w:color="auto"/>
            </w:tcBorders>
            <w:shd w:val="clear" w:color="auto" w:fill="auto"/>
            <w:noWrap/>
            <w:vAlign w:val="center"/>
            <w:hideMark/>
          </w:tcPr>
          <w:p w14:paraId="00CD41EF"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6 873 887,66</w:t>
            </w:r>
          </w:p>
        </w:tc>
        <w:tc>
          <w:tcPr>
            <w:tcW w:w="832" w:type="pct"/>
            <w:tcBorders>
              <w:top w:val="nil"/>
              <w:left w:val="nil"/>
              <w:bottom w:val="single" w:sz="4" w:space="0" w:color="auto"/>
              <w:right w:val="single" w:sz="4" w:space="0" w:color="auto"/>
            </w:tcBorders>
            <w:shd w:val="clear" w:color="auto" w:fill="auto"/>
            <w:noWrap/>
            <w:vAlign w:val="center"/>
            <w:hideMark/>
          </w:tcPr>
          <w:p w14:paraId="5D670D11"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3 383 028,53</w:t>
            </w:r>
          </w:p>
        </w:tc>
        <w:tc>
          <w:tcPr>
            <w:tcW w:w="513" w:type="pct"/>
            <w:tcBorders>
              <w:top w:val="nil"/>
              <w:left w:val="nil"/>
              <w:bottom w:val="single" w:sz="4" w:space="0" w:color="auto"/>
              <w:right w:val="single" w:sz="4" w:space="0" w:color="auto"/>
            </w:tcBorders>
            <w:shd w:val="clear" w:color="auto" w:fill="auto"/>
            <w:noWrap/>
            <w:vAlign w:val="center"/>
            <w:hideMark/>
          </w:tcPr>
          <w:p w14:paraId="556D3B90"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49,22</w:t>
            </w:r>
          </w:p>
        </w:tc>
        <w:tc>
          <w:tcPr>
            <w:tcW w:w="627" w:type="pct"/>
            <w:tcBorders>
              <w:top w:val="nil"/>
              <w:left w:val="nil"/>
              <w:bottom w:val="single" w:sz="4" w:space="0" w:color="auto"/>
              <w:right w:val="single" w:sz="4" w:space="0" w:color="auto"/>
            </w:tcBorders>
            <w:shd w:val="clear" w:color="auto" w:fill="auto"/>
            <w:noWrap/>
            <w:vAlign w:val="center"/>
            <w:hideMark/>
          </w:tcPr>
          <w:p w14:paraId="5A92E851"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287 132,26</w:t>
            </w:r>
          </w:p>
        </w:tc>
        <w:tc>
          <w:tcPr>
            <w:tcW w:w="441" w:type="pct"/>
            <w:tcBorders>
              <w:top w:val="nil"/>
              <w:left w:val="nil"/>
              <w:bottom w:val="single" w:sz="4" w:space="0" w:color="auto"/>
              <w:right w:val="single" w:sz="4" w:space="0" w:color="auto"/>
            </w:tcBorders>
            <w:shd w:val="clear" w:color="auto" w:fill="auto"/>
            <w:noWrap/>
            <w:vAlign w:val="center"/>
            <w:hideMark/>
          </w:tcPr>
          <w:p w14:paraId="50E73F92"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4,18</w:t>
            </w:r>
          </w:p>
        </w:tc>
        <w:tc>
          <w:tcPr>
            <w:tcW w:w="716" w:type="pct"/>
            <w:tcBorders>
              <w:top w:val="nil"/>
              <w:left w:val="nil"/>
              <w:bottom w:val="single" w:sz="4" w:space="0" w:color="auto"/>
              <w:right w:val="single" w:sz="4" w:space="0" w:color="auto"/>
            </w:tcBorders>
            <w:shd w:val="clear" w:color="auto" w:fill="auto"/>
            <w:noWrap/>
            <w:vAlign w:val="center"/>
            <w:hideMark/>
          </w:tcPr>
          <w:p w14:paraId="527E9D34"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2 711 834,65</w:t>
            </w:r>
          </w:p>
        </w:tc>
        <w:tc>
          <w:tcPr>
            <w:tcW w:w="441" w:type="pct"/>
            <w:tcBorders>
              <w:top w:val="nil"/>
              <w:left w:val="nil"/>
              <w:bottom w:val="single" w:sz="4" w:space="0" w:color="auto"/>
              <w:right w:val="single" w:sz="4" w:space="0" w:color="auto"/>
            </w:tcBorders>
            <w:shd w:val="clear" w:color="auto" w:fill="auto"/>
            <w:noWrap/>
            <w:vAlign w:val="center"/>
            <w:hideMark/>
          </w:tcPr>
          <w:p w14:paraId="5E61B393"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39,45</w:t>
            </w:r>
          </w:p>
        </w:tc>
      </w:tr>
      <w:tr w:rsidR="00A83EDB" w:rsidRPr="00784431" w14:paraId="735E811F" w14:textId="77777777" w:rsidTr="00784431">
        <w:trPr>
          <w:trHeight w:val="244"/>
        </w:trPr>
        <w:tc>
          <w:tcPr>
            <w:tcW w:w="319" w:type="pct"/>
            <w:vMerge/>
            <w:tcBorders>
              <w:top w:val="nil"/>
              <w:left w:val="single" w:sz="4" w:space="0" w:color="auto"/>
              <w:bottom w:val="single" w:sz="4" w:space="0" w:color="000000"/>
              <w:right w:val="single" w:sz="4" w:space="0" w:color="auto"/>
            </w:tcBorders>
            <w:vAlign w:val="center"/>
            <w:hideMark/>
          </w:tcPr>
          <w:p w14:paraId="6CC2472B" w14:textId="77777777" w:rsidR="00A83EDB" w:rsidRPr="00784431" w:rsidRDefault="00A83EDB" w:rsidP="00784431">
            <w:pPr>
              <w:jc w:val="left"/>
              <w:rPr>
                <w:rFonts w:ascii="Calibri" w:hAnsi="Calibri" w:cs="Calibri"/>
                <w:b/>
                <w:bCs/>
                <w:color w:val="000000"/>
                <w:sz w:val="20"/>
              </w:rPr>
            </w:pPr>
          </w:p>
        </w:tc>
        <w:tc>
          <w:tcPr>
            <w:tcW w:w="324" w:type="pct"/>
            <w:tcBorders>
              <w:top w:val="nil"/>
              <w:left w:val="nil"/>
              <w:bottom w:val="single" w:sz="4" w:space="0" w:color="auto"/>
              <w:right w:val="single" w:sz="4" w:space="0" w:color="auto"/>
            </w:tcBorders>
            <w:shd w:val="clear" w:color="auto" w:fill="auto"/>
            <w:noWrap/>
            <w:vAlign w:val="center"/>
            <w:hideMark/>
          </w:tcPr>
          <w:p w14:paraId="74312811" w14:textId="77777777" w:rsidR="00A83EDB" w:rsidRPr="00784431" w:rsidRDefault="00A83EDB" w:rsidP="00784431">
            <w:pPr>
              <w:jc w:val="center"/>
              <w:rPr>
                <w:rFonts w:ascii="Calibri" w:hAnsi="Calibri" w:cs="Calibri"/>
                <w:color w:val="000000"/>
                <w:sz w:val="20"/>
              </w:rPr>
            </w:pPr>
            <w:r w:rsidRPr="00784431">
              <w:rPr>
                <w:rFonts w:ascii="Calibri" w:hAnsi="Calibri" w:cs="Calibri"/>
                <w:color w:val="000000"/>
                <w:sz w:val="20"/>
              </w:rPr>
              <w:t>2016</w:t>
            </w:r>
          </w:p>
        </w:tc>
        <w:tc>
          <w:tcPr>
            <w:tcW w:w="787" w:type="pct"/>
            <w:tcBorders>
              <w:top w:val="nil"/>
              <w:left w:val="nil"/>
              <w:bottom w:val="single" w:sz="4" w:space="0" w:color="auto"/>
              <w:right w:val="single" w:sz="4" w:space="0" w:color="auto"/>
            </w:tcBorders>
            <w:shd w:val="clear" w:color="auto" w:fill="auto"/>
            <w:noWrap/>
            <w:vAlign w:val="center"/>
            <w:hideMark/>
          </w:tcPr>
          <w:p w14:paraId="1CDB004D"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7 658 859,58</w:t>
            </w:r>
          </w:p>
        </w:tc>
        <w:tc>
          <w:tcPr>
            <w:tcW w:w="832" w:type="pct"/>
            <w:tcBorders>
              <w:top w:val="nil"/>
              <w:left w:val="nil"/>
              <w:bottom w:val="single" w:sz="4" w:space="0" w:color="auto"/>
              <w:right w:val="single" w:sz="4" w:space="0" w:color="auto"/>
            </w:tcBorders>
            <w:shd w:val="clear" w:color="auto" w:fill="auto"/>
            <w:noWrap/>
            <w:vAlign w:val="center"/>
            <w:hideMark/>
          </w:tcPr>
          <w:p w14:paraId="18A741A6"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3 782 971,41</w:t>
            </w:r>
          </w:p>
        </w:tc>
        <w:tc>
          <w:tcPr>
            <w:tcW w:w="513" w:type="pct"/>
            <w:tcBorders>
              <w:top w:val="nil"/>
              <w:left w:val="nil"/>
              <w:bottom w:val="single" w:sz="4" w:space="0" w:color="auto"/>
              <w:right w:val="single" w:sz="4" w:space="0" w:color="auto"/>
            </w:tcBorders>
            <w:shd w:val="clear" w:color="auto" w:fill="auto"/>
            <w:noWrap/>
            <w:vAlign w:val="center"/>
            <w:hideMark/>
          </w:tcPr>
          <w:p w14:paraId="638E2F35"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49,39</w:t>
            </w:r>
          </w:p>
        </w:tc>
        <w:tc>
          <w:tcPr>
            <w:tcW w:w="627" w:type="pct"/>
            <w:tcBorders>
              <w:top w:val="nil"/>
              <w:left w:val="nil"/>
              <w:bottom w:val="single" w:sz="4" w:space="0" w:color="auto"/>
              <w:right w:val="single" w:sz="4" w:space="0" w:color="auto"/>
            </w:tcBorders>
            <w:shd w:val="clear" w:color="auto" w:fill="auto"/>
            <w:noWrap/>
            <w:vAlign w:val="center"/>
            <w:hideMark/>
          </w:tcPr>
          <w:p w14:paraId="60B5DD0B"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295 059,86</w:t>
            </w:r>
          </w:p>
        </w:tc>
        <w:tc>
          <w:tcPr>
            <w:tcW w:w="441" w:type="pct"/>
            <w:tcBorders>
              <w:top w:val="nil"/>
              <w:left w:val="nil"/>
              <w:bottom w:val="single" w:sz="4" w:space="0" w:color="auto"/>
              <w:right w:val="single" w:sz="4" w:space="0" w:color="auto"/>
            </w:tcBorders>
            <w:shd w:val="clear" w:color="auto" w:fill="auto"/>
            <w:noWrap/>
            <w:vAlign w:val="center"/>
            <w:hideMark/>
          </w:tcPr>
          <w:p w14:paraId="3BEDD234"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3,85</w:t>
            </w:r>
          </w:p>
        </w:tc>
        <w:tc>
          <w:tcPr>
            <w:tcW w:w="716" w:type="pct"/>
            <w:tcBorders>
              <w:top w:val="nil"/>
              <w:left w:val="nil"/>
              <w:bottom w:val="single" w:sz="4" w:space="0" w:color="auto"/>
              <w:right w:val="single" w:sz="4" w:space="0" w:color="auto"/>
            </w:tcBorders>
            <w:shd w:val="clear" w:color="auto" w:fill="auto"/>
            <w:noWrap/>
            <w:vAlign w:val="center"/>
            <w:hideMark/>
          </w:tcPr>
          <w:p w14:paraId="2DA5DB40"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3 016 498,10</w:t>
            </w:r>
          </w:p>
        </w:tc>
        <w:tc>
          <w:tcPr>
            <w:tcW w:w="441" w:type="pct"/>
            <w:tcBorders>
              <w:top w:val="nil"/>
              <w:left w:val="nil"/>
              <w:bottom w:val="single" w:sz="4" w:space="0" w:color="auto"/>
              <w:right w:val="single" w:sz="4" w:space="0" w:color="auto"/>
            </w:tcBorders>
            <w:shd w:val="clear" w:color="auto" w:fill="auto"/>
            <w:noWrap/>
            <w:vAlign w:val="center"/>
            <w:hideMark/>
          </w:tcPr>
          <w:p w14:paraId="4ED8EF3B"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39,39</w:t>
            </w:r>
          </w:p>
        </w:tc>
      </w:tr>
      <w:tr w:rsidR="00A83EDB" w:rsidRPr="00784431" w14:paraId="0B19634B" w14:textId="77777777" w:rsidTr="00784431">
        <w:trPr>
          <w:trHeight w:val="244"/>
        </w:trPr>
        <w:tc>
          <w:tcPr>
            <w:tcW w:w="319" w:type="pct"/>
            <w:vMerge w:val="restart"/>
            <w:tcBorders>
              <w:top w:val="nil"/>
              <w:left w:val="single" w:sz="4" w:space="0" w:color="auto"/>
              <w:bottom w:val="single" w:sz="4" w:space="0" w:color="000000"/>
              <w:right w:val="single" w:sz="4" w:space="0" w:color="auto"/>
            </w:tcBorders>
            <w:shd w:val="clear" w:color="auto" w:fill="auto"/>
            <w:vAlign w:val="center"/>
            <w:hideMark/>
          </w:tcPr>
          <w:p w14:paraId="0B8C8889" w14:textId="77777777" w:rsidR="00A83EDB" w:rsidRPr="00784431" w:rsidRDefault="00A83EDB" w:rsidP="00784431">
            <w:pPr>
              <w:jc w:val="left"/>
              <w:rPr>
                <w:rFonts w:ascii="Calibri" w:hAnsi="Calibri" w:cs="Calibri"/>
                <w:b/>
                <w:bCs/>
                <w:color w:val="000000"/>
                <w:sz w:val="20"/>
              </w:rPr>
            </w:pPr>
            <w:r w:rsidRPr="00784431">
              <w:rPr>
                <w:rFonts w:ascii="Calibri" w:hAnsi="Calibri" w:cs="Calibri"/>
                <w:b/>
                <w:bCs/>
                <w:color w:val="000000"/>
                <w:sz w:val="20"/>
              </w:rPr>
              <w:t>FNM</w:t>
            </w:r>
          </w:p>
        </w:tc>
        <w:tc>
          <w:tcPr>
            <w:tcW w:w="324" w:type="pct"/>
            <w:tcBorders>
              <w:top w:val="nil"/>
              <w:left w:val="nil"/>
              <w:bottom w:val="single" w:sz="4" w:space="0" w:color="auto"/>
              <w:right w:val="single" w:sz="4" w:space="0" w:color="auto"/>
            </w:tcBorders>
            <w:shd w:val="clear" w:color="auto" w:fill="auto"/>
            <w:noWrap/>
            <w:vAlign w:val="center"/>
            <w:hideMark/>
          </w:tcPr>
          <w:p w14:paraId="295EB66E" w14:textId="77777777" w:rsidR="00A83EDB" w:rsidRPr="00784431" w:rsidRDefault="00A83EDB" w:rsidP="00784431">
            <w:pPr>
              <w:jc w:val="center"/>
              <w:rPr>
                <w:rFonts w:ascii="Calibri" w:hAnsi="Calibri" w:cs="Calibri"/>
                <w:color w:val="000000"/>
                <w:sz w:val="20"/>
              </w:rPr>
            </w:pPr>
            <w:r w:rsidRPr="00784431">
              <w:rPr>
                <w:rFonts w:ascii="Calibri" w:hAnsi="Calibri" w:cs="Calibri"/>
                <w:color w:val="000000"/>
                <w:sz w:val="20"/>
              </w:rPr>
              <w:t>2014</w:t>
            </w:r>
          </w:p>
        </w:tc>
        <w:tc>
          <w:tcPr>
            <w:tcW w:w="787" w:type="pct"/>
            <w:tcBorders>
              <w:top w:val="nil"/>
              <w:left w:val="nil"/>
              <w:bottom w:val="single" w:sz="4" w:space="0" w:color="auto"/>
              <w:right w:val="single" w:sz="4" w:space="0" w:color="auto"/>
            </w:tcBorders>
            <w:shd w:val="clear" w:color="auto" w:fill="auto"/>
            <w:noWrap/>
            <w:vAlign w:val="center"/>
            <w:hideMark/>
          </w:tcPr>
          <w:p w14:paraId="31895874"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7 486 988,59</w:t>
            </w:r>
          </w:p>
        </w:tc>
        <w:tc>
          <w:tcPr>
            <w:tcW w:w="832" w:type="pct"/>
            <w:tcBorders>
              <w:top w:val="nil"/>
              <w:left w:val="nil"/>
              <w:bottom w:val="single" w:sz="4" w:space="0" w:color="auto"/>
              <w:right w:val="single" w:sz="4" w:space="0" w:color="auto"/>
            </w:tcBorders>
            <w:shd w:val="clear" w:color="auto" w:fill="auto"/>
            <w:noWrap/>
            <w:vAlign w:val="center"/>
            <w:hideMark/>
          </w:tcPr>
          <w:p w14:paraId="7D132058"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3 055 805,69</w:t>
            </w:r>
          </w:p>
        </w:tc>
        <w:tc>
          <w:tcPr>
            <w:tcW w:w="513" w:type="pct"/>
            <w:tcBorders>
              <w:top w:val="nil"/>
              <w:left w:val="nil"/>
              <w:bottom w:val="single" w:sz="4" w:space="0" w:color="auto"/>
              <w:right w:val="single" w:sz="4" w:space="0" w:color="auto"/>
            </w:tcBorders>
            <w:shd w:val="clear" w:color="auto" w:fill="auto"/>
            <w:noWrap/>
            <w:vAlign w:val="center"/>
            <w:hideMark/>
          </w:tcPr>
          <w:p w14:paraId="61CCD7BD"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40,81</w:t>
            </w:r>
          </w:p>
        </w:tc>
        <w:tc>
          <w:tcPr>
            <w:tcW w:w="627" w:type="pct"/>
            <w:tcBorders>
              <w:top w:val="nil"/>
              <w:left w:val="nil"/>
              <w:bottom w:val="single" w:sz="4" w:space="0" w:color="auto"/>
              <w:right w:val="single" w:sz="4" w:space="0" w:color="auto"/>
            </w:tcBorders>
            <w:shd w:val="clear" w:color="auto" w:fill="auto"/>
            <w:noWrap/>
            <w:vAlign w:val="center"/>
            <w:hideMark/>
          </w:tcPr>
          <w:p w14:paraId="0A7D4C99"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675 711,33</w:t>
            </w:r>
          </w:p>
        </w:tc>
        <w:tc>
          <w:tcPr>
            <w:tcW w:w="441" w:type="pct"/>
            <w:tcBorders>
              <w:top w:val="nil"/>
              <w:left w:val="nil"/>
              <w:bottom w:val="single" w:sz="4" w:space="0" w:color="auto"/>
              <w:right w:val="single" w:sz="4" w:space="0" w:color="auto"/>
            </w:tcBorders>
            <w:shd w:val="clear" w:color="auto" w:fill="auto"/>
            <w:noWrap/>
            <w:vAlign w:val="center"/>
            <w:hideMark/>
          </w:tcPr>
          <w:p w14:paraId="03F04262"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9,03</w:t>
            </w:r>
          </w:p>
        </w:tc>
        <w:tc>
          <w:tcPr>
            <w:tcW w:w="716" w:type="pct"/>
            <w:tcBorders>
              <w:top w:val="nil"/>
              <w:left w:val="nil"/>
              <w:bottom w:val="single" w:sz="4" w:space="0" w:color="auto"/>
              <w:right w:val="single" w:sz="4" w:space="0" w:color="auto"/>
            </w:tcBorders>
            <w:shd w:val="clear" w:color="auto" w:fill="auto"/>
            <w:noWrap/>
            <w:vAlign w:val="center"/>
            <w:hideMark/>
          </w:tcPr>
          <w:p w14:paraId="332F50F1"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2 915 355,03</w:t>
            </w:r>
          </w:p>
        </w:tc>
        <w:tc>
          <w:tcPr>
            <w:tcW w:w="441" w:type="pct"/>
            <w:tcBorders>
              <w:top w:val="nil"/>
              <w:left w:val="nil"/>
              <w:bottom w:val="single" w:sz="4" w:space="0" w:color="auto"/>
              <w:right w:val="single" w:sz="4" w:space="0" w:color="auto"/>
            </w:tcBorders>
            <w:shd w:val="clear" w:color="auto" w:fill="auto"/>
            <w:noWrap/>
            <w:vAlign w:val="center"/>
            <w:hideMark/>
          </w:tcPr>
          <w:p w14:paraId="3940EEE4"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38,94</w:t>
            </w:r>
          </w:p>
        </w:tc>
      </w:tr>
      <w:tr w:rsidR="00A83EDB" w:rsidRPr="00784431" w14:paraId="657A720E" w14:textId="77777777" w:rsidTr="00784431">
        <w:trPr>
          <w:trHeight w:val="244"/>
        </w:trPr>
        <w:tc>
          <w:tcPr>
            <w:tcW w:w="319" w:type="pct"/>
            <w:vMerge/>
            <w:tcBorders>
              <w:top w:val="nil"/>
              <w:left w:val="single" w:sz="4" w:space="0" w:color="auto"/>
              <w:bottom w:val="single" w:sz="4" w:space="0" w:color="000000"/>
              <w:right w:val="single" w:sz="4" w:space="0" w:color="auto"/>
            </w:tcBorders>
            <w:vAlign w:val="center"/>
            <w:hideMark/>
          </w:tcPr>
          <w:p w14:paraId="6802EC24" w14:textId="77777777" w:rsidR="00A83EDB" w:rsidRPr="00784431" w:rsidRDefault="00A83EDB" w:rsidP="00784431">
            <w:pPr>
              <w:jc w:val="left"/>
              <w:rPr>
                <w:rFonts w:ascii="Calibri" w:hAnsi="Calibri" w:cs="Calibri"/>
                <w:b/>
                <w:bCs/>
                <w:color w:val="000000"/>
                <w:sz w:val="20"/>
              </w:rPr>
            </w:pPr>
          </w:p>
        </w:tc>
        <w:tc>
          <w:tcPr>
            <w:tcW w:w="324" w:type="pct"/>
            <w:tcBorders>
              <w:top w:val="nil"/>
              <w:left w:val="nil"/>
              <w:bottom w:val="single" w:sz="4" w:space="0" w:color="auto"/>
              <w:right w:val="single" w:sz="4" w:space="0" w:color="auto"/>
            </w:tcBorders>
            <w:shd w:val="clear" w:color="auto" w:fill="auto"/>
            <w:noWrap/>
            <w:vAlign w:val="center"/>
            <w:hideMark/>
          </w:tcPr>
          <w:p w14:paraId="532A0E3F" w14:textId="77777777" w:rsidR="00A83EDB" w:rsidRPr="00784431" w:rsidRDefault="00A83EDB" w:rsidP="00784431">
            <w:pPr>
              <w:jc w:val="center"/>
              <w:rPr>
                <w:rFonts w:ascii="Calibri" w:hAnsi="Calibri" w:cs="Calibri"/>
                <w:color w:val="000000"/>
                <w:sz w:val="20"/>
              </w:rPr>
            </w:pPr>
            <w:r w:rsidRPr="00784431">
              <w:rPr>
                <w:rFonts w:ascii="Calibri" w:hAnsi="Calibri" w:cs="Calibri"/>
                <w:color w:val="000000"/>
                <w:sz w:val="20"/>
              </w:rPr>
              <w:t>2015</w:t>
            </w:r>
          </w:p>
        </w:tc>
        <w:tc>
          <w:tcPr>
            <w:tcW w:w="787" w:type="pct"/>
            <w:tcBorders>
              <w:top w:val="nil"/>
              <w:left w:val="nil"/>
              <w:bottom w:val="single" w:sz="4" w:space="0" w:color="auto"/>
              <w:right w:val="single" w:sz="4" w:space="0" w:color="auto"/>
            </w:tcBorders>
            <w:shd w:val="clear" w:color="auto" w:fill="auto"/>
            <w:noWrap/>
            <w:vAlign w:val="center"/>
            <w:hideMark/>
          </w:tcPr>
          <w:p w14:paraId="0F7179AE"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7 775 201,10</w:t>
            </w:r>
          </w:p>
        </w:tc>
        <w:tc>
          <w:tcPr>
            <w:tcW w:w="832" w:type="pct"/>
            <w:tcBorders>
              <w:top w:val="nil"/>
              <w:left w:val="nil"/>
              <w:bottom w:val="single" w:sz="4" w:space="0" w:color="auto"/>
              <w:right w:val="single" w:sz="4" w:space="0" w:color="auto"/>
            </w:tcBorders>
            <w:shd w:val="clear" w:color="auto" w:fill="auto"/>
            <w:noWrap/>
            <w:vAlign w:val="center"/>
            <w:hideMark/>
          </w:tcPr>
          <w:p w14:paraId="0F55C62E"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3 206 154,53</w:t>
            </w:r>
          </w:p>
        </w:tc>
        <w:tc>
          <w:tcPr>
            <w:tcW w:w="513" w:type="pct"/>
            <w:tcBorders>
              <w:top w:val="nil"/>
              <w:left w:val="nil"/>
              <w:bottom w:val="single" w:sz="4" w:space="0" w:color="auto"/>
              <w:right w:val="single" w:sz="4" w:space="0" w:color="auto"/>
            </w:tcBorders>
            <w:shd w:val="clear" w:color="auto" w:fill="auto"/>
            <w:noWrap/>
            <w:vAlign w:val="center"/>
            <w:hideMark/>
          </w:tcPr>
          <w:p w14:paraId="68A08E80"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41,24</w:t>
            </w:r>
          </w:p>
        </w:tc>
        <w:tc>
          <w:tcPr>
            <w:tcW w:w="627" w:type="pct"/>
            <w:tcBorders>
              <w:top w:val="nil"/>
              <w:left w:val="nil"/>
              <w:bottom w:val="single" w:sz="4" w:space="0" w:color="auto"/>
              <w:right w:val="single" w:sz="4" w:space="0" w:color="auto"/>
            </w:tcBorders>
            <w:shd w:val="clear" w:color="auto" w:fill="auto"/>
            <w:noWrap/>
            <w:vAlign w:val="center"/>
            <w:hideMark/>
          </w:tcPr>
          <w:p w14:paraId="7287C2C0"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679 927,83</w:t>
            </w:r>
          </w:p>
        </w:tc>
        <w:tc>
          <w:tcPr>
            <w:tcW w:w="441" w:type="pct"/>
            <w:tcBorders>
              <w:top w:val="nil"/>
              <w:left w:val="nil"/>
              <w:bottom w:val="single" w:sz="4" w:space="0" w:color="auto"/>
              <w:right w:val="single" w:sz="4" w:space="0" w:color="auto"/>
            </w:tcBorders>
            <w:shd w:val="clear" w:color="auto" w:fill="auto"/>
            <w:noWrap/>
            <w:vAlign w:val="center"/>
            <w:hideMark/>
          </w:tcPr>
          <w:p w14:paraId="5D47426C"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8,74</w:t>
            </w:r>
          </w:p>
        </w:tc>
        <w:tc>
          <w:tcPr>
            <w:tcW w:w="716" w:type="pct"/>
            <w:tcBorders>
              <w:top w:val="nil"/>
              <w:left w:val="nil"/>
              <w:bottom w:val="single" w:sz="4" w:space="0" w:color="auto"/>
              <w:right w:val="single" w:sz="4" w:space="0" w:color="auto"/>
            </w:tcBorders>
            <w:shd w:val="clear" w:color="auto" w:fill="auto"/>
            <w:noWrap/>
            <w:vAlign w:val="center"/>
            <w:hideMark/>
          </w:tcPr>
          <w:p w14:paraId="11CC210C"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3 079 257,45</w:t>
            </w:r>
          </w:p>
        </w:tc>
        <w:tc>
          <w:tcPr>
            <w:tcW w:w="441" w:type="pct"/>
            <w:tcBorders>
              <w:top w:val="nil"/>
              <w:left w:val="nil"/>
              <w:bottom w:val="single" w:sz="4" w:space="0" w:color="auto"/>
              <w:right w:val="single" w:sz="4" w:space="0" w:color="auto"/>
            </w:tcBorders>
            <w:shd w:val="clear" w:color="auto" w:fill="auto"/>
            <w:noWrap/>
            <w:vAlign w:val="center"/>
            <w:hideMark/>
          </w:tcPr>
          <w:p w14:paraId="5F1C8DD8"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39,60</w:t>
            </w:r>
          </w:p>
        </w:tc>
      </w:tr>
      <w:tr w:rsidR="00A83EDB" w:rsidRPr="00784431" w14:paraId="7D533B4C" w14:textId="77777777" w:rsidTr="00784431">
        <w:trPr>
          <w:trHeight w:val="244"/>
        </w:trPr>
        <w:tc>
          <w:tcPr>
            <w:tcW w:w="319" w:type="pct"/>
            <w:vMerge/>
            <w:tcBorders>
              <w:top w:val="nil"/>
              <w:left w:val="single" w:sz="4" w:space="0" w:color="auto"/>
              <w:bottom w:val="single" w:sz="4" w:space="0" w:color="000000"/>
              <w:right w:val="single" w:sz="4" w:space="0" w:color="auto"/>
            </w:tcBorders>
            <w:vAlign w:val="center"/>
            <w:hideMark/>
          </w:tcPr>
          <w:p w14:paraId="25767414" w14:textId="77777777" w:rsidR="00A83EDB" w:rsidRPr="00784431" w:rsidRDefault="00A83EDB" w:rsidP="00784431">
            <w:pPr>
              <w:jc w:val="left"/>
              <w:rPr>
                <w:rFonts w:ascii="Calibri" w:hAnsi="Calibri" w:cs="Calibri"/>
                <w:b/>
                <w:bCs/>
                <w:color w:val="000000"/>
                <w:sz w:val="20"/>
              </w:rPr>
            </w:pPr>
          </w:p>
        </w:tc>
        <w:tc>
          <w:tcPr>
            <w:tcW w:w="324" w:type="pct"/>
            <w:tcBorders>
              <w:top w:val="nil"/>
              <w:left w:val="nil"/>
              <w:bottom w:val="single" w:sz="4" w:space="0" w:color="auto"/>
              <w:right w:val="single" w:sz="4" w:space="0" w:color="auto"/>
            </w:tcBorders>
            <w:shd w:val="clear" w:color="auto" w:fill="auto"/>
            <w:noWrap/>
            <w:vAlign w:val="center"/>
            <w:hideMark/>
          </w:tcPr>
          <w:p w14:paraId="4C4FF9CF" w14:textId="77777777" w:rsidR="00A83EDB" w:rsidRPr="00784431" w:rsidRDefault="00A83EDB" w:rsidP="00784431">
            <w:pPr>
              <w:jc w:val="center"/>
              <w:rPr>
                <w:rFonts w:ascii="Calibri" w:hAnsi="Calibri" w:cs="Calibri"/>
                <w:color w:val="000000"/>
                <w:sz w:val="20"/>
              </w:rPr>
            </w:pPr>
            <w:r w:rsidRPr="00784431">
              <w:rPr>
                <w:rFonts w:ascii="Calibri" w:hAnsi="Calibri" w:cs="Calibri"/>
                <w:color w:val="000000"/>
                <w:sz w:val="20"/>
              </w:rPr>
              <w:t>2016</w:t>
            </w:r>
          </w:p>
        </w:tc>
        <w:tc>
          <w:tcPr>
            <w:tcW w:w="787" w:type="pct"/>
            <w:tcBorders>
              <w:top w:val="nil"/>
              <w:left w:val="nil"/>
              <w:bottom w:val="single" w:sz="4" w:space="0" w:color="auto"/>
              <w:right w:val="single" w:sz="4" w:space="0" w:color="auto"/>
            </w:tcBorders>
            <w:shd w:val="clear" w:color="auto" w:fill="auto"/>
            <w:noWrap/>
            <w:vAlign w:val="center"/>
            <w:hideMark/>
          </w:tcPr>
          <w:p w14:paraId="332F4C2C"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8 134 270,53</w:t>
            </w:r>
          </w:p>
        </w:tc>
        <w:tc>
          <w:tcPr>
            <w:tcW w:w="832" w:type="pct"/>
            <w:tcBorders>
              <w:top w:val="nil"/>
              <w:left w:val="nil"/>
              <w:bottom w:val="single" w:sz="4" w:space="0" w:color="auto"/>
              <w:right w:val="single" w:sz="4" w:space="0" w:color="auto"/>
            </w:tcBorders>
            <w:shd w:val="clear" w:color="auto" w:fill="auto"/>
            <w:noWrap/>
            <w:vAlign w:val="center"/>
            <w:hideMark/>
          </w:tcPr>
          <w:p w14:paraId="388A02E2"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3 457 113,55</w:t>
            </w:r>
          </w:p>
        </w:tc>
        <w:tc>
          <w:tcPr>
            <w:tcW w:w="513" w:type="pct"/>
            <w:tcBorders>
              <w:top w:val="nil"/>
              <w:left w:val="nil"/>
              <w:bottom w:val="single" w:sz="4" w:space="0" w:color="auto"/>
              <w:right w:val="single" w:sz="4" w:space="0" w:color="auto"/>
            </w:tcBorders>
            <w:shd w:val="clear" w:color="auto" w:fill="auto"/>
            <w:noWrap/>
            <w:vAlign w:val="center"/>
            <w:hideMark/>
          </w:tcPr>
          <w:p w14:paraId="219D7C35"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42,50</w:t>
            </w:r>
          </w:p>
        </w:tc>
        <w:tc>
          <w:tcPr>
            <w:tcW w:w="627" w:type="pct"/>
            <w:tcBorders>
              <w:top w:val="nil"/>
              <w:left w:val="nil"/>
              <w:bottom w:val="single" w:sz="4" w:space="0" w:color="auto"/>
              <w:right w:val="single" w:sz="4" w:space="0" w:color="auto"/>
            </w:tcBorders>
            <w:shd w:val="clear" w:color="auto" w:fill="auto"/>
            <w:noWrap/>
            <w:vAlign w:val="center"/>
            <w:hideMark/>
          </w:tcPr>
          <w:p w14:paraId="31B2CA82"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743 957,36</w:t>
            </w:r>
          </w:p>
        </w:tc>
        <w:tc>
          <w:tcPr>
            <w:tcW w:w="441" w:type="pct"/>
            <w:tcBorders>
              <w:top w:val="nil"/>
              <w:left w:val="nil"/>
              <w:bottom w:val="single" w:sz="4" w:space="0" w:color="auto"/>
              <w:right w:val="single" w:sz="4" w:space="0" w:color="auto"/>
            </w:tcBorders>
            <w:shd w:val="clear" w:color="auto" w:fill="auto"/>
            <w:noWrap/>
            <w:vAlign w:val="center"/>
            <w:hideMark/>
          </w:tcPr>
          <w:p w14:paraId="330F9B1E"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9,15</w:t>
            </w:r>
          </w:p>
        </w:tc>
        <w:tc>
          <w:tcPr>
            <w:tcW w:w="716" w:type="pct"/>
            <w:tcBorders>
              <w:top w:val="nil"/>
              <w:left w:val="nil"/>
              <w:bottom w:val="single" w:sz="4" w:space="0" w:color="auto"/>
              <w:right w:val="single" w:sz="4" w:space="0" w:color="auto"/>
            </w:tcBorders>
            <w:shd w:val="clear" w:color="auto" w:fill="auto"/>
            <w:noWrap/>
            <w:vAlign w:val="center"/>
            <w:hideMark/>
          </w:tcPr>
          <w:p w14:paraId="78BEA915"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3 286 350,03</w:t>
            </w:r>
          </w:p>
        </w:tc>
        <w:tc>
          <w:tcPr>
            <w:tcW w:w="441" w:type="pct"/>
            <w:tcBorders>
              <w:top w:val="nil"/>
              <w:left w:val="nil"/>
              <w:bottom w:val="single" w:sz="4" w:space="0" w:color="auto"/>
              <w:right w:val="single" w:sz="4" w:space="0" w:color="auto"/>
            </w:tcBorders>
            <w:shd w:val="clear" w:color="auto" w:fill="auto"/>
            <w:noWrap/>
            <w:vAlign w:val="center"/>
            <w:hideMark/>
          </w:tcPr>
          <w:p w14:paraId="45698D01"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40,40</w:t>
            </w:r>
          </w:p>
        </w:tc>
      </w:tr>
      <w:tr w:rsidR="00A83EDB" w:rsidRPr="00784431" w14:paraId="29BA6237" w14:textId="77777777" w:rsidTr="00784431">
        <w:trPr>
          <w:trHeight w:val="244"/>
        </w:trPr>
        <w:tc>
          <w:tcPr>
            <w:tcW w:w="31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D16CDF0" w14:textId="77777777" w:rsidR="00A83EDB" w:rsidRPr="00784431" w:rsidRDefault="00A83EDB" w:rsidP="00784431">
            <w:pPr>
              <w:jc w:val="left"/>
              <w:rPr>
                <w:rFonts w:ascii="Calibri" w:hAnsi="Calibri" w:cs="Calibri"/>
                <w:b/>
                <w:bCs/>
                <w:color w:val="000000"/>
                <w:sz w:val="20"/>
              </w:rPr>
            </w:pPr>
            <w:r w:rsidRPr="00784431">
              <w:rPr>
                <w:rFonts w:ascii="Calibri" w:hAnsi="Calibri" w:cs="Calibri"/>
                <w:b/>
                <w:bCs/>
                <w:color w:val="000000"/>
                <w:sz w:val="20"/>
              </w:rPr>
              <w:t>ÚVN</w:t>
            </w:r>
          </w:p>
        </w:tc>
        <w:tc>
          <w:tcPr>
            <w:tcW w:w="324" w:type="pct"/>
            <w:tcBorders>
              <w:top w:val="nil"/>
              <w:left w:val="nil"/>
              <w:bottom w:val="single" w:sz="4" w:space="0" w:color="auto"/>
              <w:right w:val="single" w:sz="4" w:space="0" w:color="auto"/>
            </w:tcBorders>
            <w:shd w:val="clear" w:color="auto" w:fill="auto"/>
            <w:noWrap/>
            <w:vAlign w:val="center"/>
            <w:hideMark/>
          </w:tcPr>
          <w:p w14:paraId="6EE76FCA" w14:textId="77777777" w:rsidR="00A83EDB" w:rsidRPr="00784431" w:rsidRDefault="00A83EDB" w:rsidP="00784431">
            <w:pPr>
              <w:jc w:val="center"/>
              <w:rPr>
                <w:rFonts w:ascii="Calibri" w:hAnsi="Calibri" w:cs="Calibri"/>
                <w:color w:val="000000"/>
                <w:sz w:val="20"/>
              </w:rPr>
            </w:pPr>
            <w:r w:rsidRPr="00784431">
              <w:rPr>
                <w:rFonts w:ascii="Calibri" w:hAnsi="Calibri" w:cs="Calibri"/>
                <w:color w:val="000000"/>
                <w:sz w:val="20"/>
              </w:rPr>
              <w:t>2014</w:t>
            </w:r>
          </w:p>
        </w:tc>
        <w:tc>
          <w:tcPr>
            <w:tcW w:w="787" w:type="pct"/>
            <w:tcBorders>
              <w:top w:val="nil"/>
              <w:left w:val="nil"/>
              <w:bottom w:val="single" w:sz="4" w:space="0" w:color="auto"/>
              <w:right w:val="single" w:sz="4" w:space="0" w:color="auto"/>
            </w:tcBorders>
            <w:shd w:val="clear" w:color="auto" w:fill="auto"/>
            <w:noWrap/>
            <w:vAlign w:val="center"/>
            <w:hideMark/>
          </w:tcPr>
          <w:p w14:paraId="3FB87F1C"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2 211 717,27</w:t>
            </w:r>
          </w:p>
        </w:tc>
        <w:tc>
          <w:tcPr>
            <w:tcW w:w="832" w:type="pct"/>
            <w:tcBorders>
              <w:top w:val="nil"/>
              <w:left w:val="nil"/>
              <w:bottom w:val="single" w:sz="4" w:space="0" w:color="auto"/>
              <w:right w:val="single" w:sz="4" w:space="0" w:color="auto"/>
            </w:tcBorders>
            <w:shd w:val="clear" w:color="auto" w:fill="auto"/>
            <w:noWrap/>
            <w:vAlign w:val="center"/>
            <w:hideMark/>
          </w:tcPr>
          <w:p w14:paraId="23F13036"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815 487,74</w:t>
            </w:r>
          </w:p>
        </w:tc>
        <w:tc>
          <w:tcPr>
            <w:tcW w:w="513" w:type="pct"/>
            <w:tcBorders>
              <w:top w:val="nil"/>
              <w:left w:val="nil"/>
              <w:bottom w:val="single" w:sz="4" w:space="0" w:color="auto"/>
              <w:right w:val="single" w:sz="4" w:space="0" w:color="auto"/>
            </w:tcBorders>
            <w:shd w:val="clear" w:color="auto" w:fill="auto"/>
            <w:noWrap/>
            <w:vAlign w:val="center"/>
            <w:hideMark/>
          </w:tcPr>
          <w:p w14:paraId="76D355B0"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36,87</w:t>
            </w:r>
          </w:p>
        </w:tc>
        <w:tc>
          <w:tcPr>
            <w:tcW w:w="627" w:type="pct"/>
            <w:tcBorders>
              <w:top w:val="nil"/>
              <w:left w:val="nil"/>
              <w:bottom w:val="single" w:sz="4" w:space="0" w:color="auto"/>
              <w:right w:val="single" w:sz="4" w:space="0" w:color="auto"/>
            </w:tcBorders>
            <w:shd w:val="clear" w:color="auto" w:fill="auto"/>
            <w:noWrap/>
            <w:vAlign w:val="center"/>
            <w:hideMark/>
          </w:tcPr>
          <w:p w14:paraId="248B4B7B"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221 462,67</w:t>
            </w:r>
          </w:p>
        </w:tc>
        <w:tc>
          <w:tcPr>
            <w:tcW w:w="441" w:type="pct"/>
            <w:tcBorders>
              <w:top w:val="nil"/>
              <w:left w:val="nil"/>
              <w:bottom w:val="single" w:sz="4" w:space="0" w:color="auto"/>
              <w:right w:val="single" w:sz="4" w:space="0" w:color="auto"/>
            </w:tcBorders>
            <w:shd w:val="clear" w:color="auto" w:fill="auto"/>
            <w:noWrap/>
            <w:vAlign w:val="center"/>
            <w:hideMark/>
          </w:tcPr>
          <w:p w14:paraId="0EDB81FB"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10,01</w:t>
            </w:r>
          </w:p>
        </w:tc>
        <w:tc>
          <w:tcPr>
            <w:tcW w:w="716" w:type="pct"/>
            <w:tcBorders>
              <w:top w:val="nil"/>
              <w:left w:val="nil"/>
              <w:bottom w:val="single" w:sz="4" w:space="0" w:color="auto"/>
              <w:right w:val="single" w:sz="4" w:space="0" w:color="auto"/>
            </w:tcBorders>
            <w:shd w:val="clear" w:color="auto" w:fill="auto"/>
            <w:noWrap/>
            <w:vAlign w:val="center"/>
            <w:hideMark/>
          </w:tcPr>
          <w:p w14:paraId="16163AED"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1 019 782,73</w:t>
            </w:r>
          </w:p>
        </w:tc>
        <w:tc>
          <w:tcPr>
            <w:tcW w:w="441" w:type="pct"/>
            <w:tcBorders>
              <w:top w:val="nil"/>
              <w:left w:val="nil"/>
              <w:bottom w:val="single" w:sz="4" w:space="0" w:color="auto"/>
              <w:right w:val="single" w:sz="4" w:space="0" w:color="auto"/>
            </w:tcBorders>
            <w:shd w:val="clear" w:color="auto" w:fill="auto"/>
            <w:noWrap/>
            <w:vAlign w:val="center"/>
            <w:hideMark/>
          </w:tcPr>
          <w:p w14:paraId="6DDF472C"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46,11</w:t>
            </w:r>
          </w:p>
        </w:tc>
      </w:tr>
      <w:tr w:rsidR="00A83EDB" w:rsidRPr="00784431" w14:paraId="0BC47D0F" w14:textId="77777777" w:rsidTr="00784431">
        <w:trPr>
          <w:trHeight w:val="244"/>
        </w:trPr>
        <w:tc>
          <w:tcPr>
            <w:tcW w:w="319" w:type="pct"/>
            <w:vMerge/>
            <w:tcBorders>
              <w:top w:val="nil"/>
              <w:left w:val="single" w:sz="4" w:space="0" w:color="auto"/>
              <w:bottom w:val="single" w:sz="4" w:space="0" w:color="000000"/>
              <w:right w:val="single" w:sz="4" w:space="0" w:color="auto"/>
            </w:tcBorders>
            <w:vAlign w:val="center"/>
            <w:hideMark/>
          </w:tcPr>
          <w:p w14:paraId="6E569BF0" w14:textId="77777777" w:rsidR="00A83EDB" w:rsidRPr="00784431" w:rsidRDefault="00A83EDB" w:rsidP="00A62436">
            <w:pPr>
              <w:jc w:val="left"/>
              <w:rPr>
                <w:rFonts w:ascii="Calibri" w:hAnsi="Calibri" w:cs="Calibri"/>
                <w:b/>
                <w:bCs/>
                <w:color w:val="000000"/>
                <w:sz w:val="20"/>
              </w:rPr>
            </w:pPr>
          </w:p>
        </w:tc>
        <w:tc>
          <w:tcPr>
            <w:tcW w:w="324" w:type="pct"/>
            <w:tcBorders>
              <w:top w:val="nil"/>
              <w:left w:val="nil"/>
              <w:bottom w:val="single" w:sz="4" w:space="0" w:color="auto"/>
              <w:right w:val="single" w:sz="4" w:space="0" w:color="auto"/>
            </w:tcBorders>
            <w:shd w:val="clear" w:color="auto" w:fill="auto"/>
            <w:noWrap/>
            <w:vAlign w:val="center"/>
            <w:hideMark/>
          </w:tcPr>
          <w:p w14:paraId="0BA93CBA" w14:textId="77777777" w:rsidR="00A83EDB" w:rsidRPr="00784431" w:rsidRDefault="00A83EDB" w:rsidP="00784431">
            <w:pPr>
              <w:jc w:val="center"/>
              <w:rPr>
                <w:rFonts w:ascii="Calibri" w:hAnsi="Calibri" w:cs="Calibri"/>
                <w:color w:val="000000"/>
                <w:sz w:val="20"/>
              </w:rPr>
            </w:pPr>
            <w:r w:rsidRPr="00784431">
              <w:rPr>
                <w:rFonts w:ascii="Calibri" w:hAnsi="Calibri" w:cs="Calibri"/>
                <w:color w:val="000000"/>
                <w:sz w:val="20"/>
              </w:rPr>
              <w:t>2015</w:t>
            </w:r>
          </w:p>
        </w:tc>
        <w:tc>
          <w:tcPr>
            <w:tcW w:w="787" w:type="pct"/>
            <w:tcBorders>
              <w:top w:val="nil"/>
              <w:left w:val="nil"/>
              <w:bottom w:val="single" w:sz="4" w:space="0" w:color="auto"/>
              <w:right w:val="single" w:sz="4" w:space="0" w:color="auto"/>
            </w:tcBorders>
            <w:shd w:val="clear" w:color="auto" w:fill="auto"/>
            <w:noWrap/>
            <w:vAlign w:val="center"/>
            <w:hideMark/>
          </w:tcPr>
          <w:p w14:paraId="768B6CD4"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2 454 898,59</w:t>
            </w:r>
          </w:p>
        </w:tc>
        <w:tc>
          <w:tcPr>
            <w:tcW w:w="832" w:type="pct"/>
            <w:tcBorders>
              <w:top w:val="nil"/>
              <w:left w:val="nil"/>
              <w:bottom w:val="single" w:sz="4" w:space="0" w:color="auto"/>
              <w:right w:val="single" w:sz="4" w:space="0" w:color="auto"/>
            </w:tcBorders>
            <w:shd w:val="clear" w:color="auto" w:fill="auto"/>
            <w:noWrap/>
            <w:vAlign w:val="center"/>
            <w:hideMark/>
          </w:tcPr>
          <w:p w14:paraId="5DDB093C"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835 091,87</w:t>
            </w:r>
          </w:p>
        </w:tc>
        <w:tc>
          <w:tcPr>
            <w:tcW w:w="513" w:type="pct"/>
            <w:tcBorders>
              <w:top w:val="nil"/>
              <w:left w:val="nil"/>
              <w:bottom w:val="single" w:sz="4" w:space="0" w:color="auto"/>
              <w:right w:val="single" w:sz="4" w:space="0" w:color="auto"/>
            </w:tcBorders>
            <w:shd w:val="clear" w:color="auto" w:fill="auto"/>
            <w:noWrap/>
            <w:vAlign w:val="center"/>
            <w:hideMark/>
          </w:tcPr>
          <w:p w14:paraId="36FE2554"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34,02</w:t>
            </w:r>
          </w:p>
        </w:tc>
        <w:tc>
          <w:tcPr>
            <w:tcW w:w="627" w:type="pct"/>
            <w:tcBorders>
              <w:top w:val="nil"/>
              <w:left w:val="nil"/>
              <w:bottom w:val="single" w:sz="4" w:space="0" w:color="auto"/>
              <w:right w:val="single" w:sz="4" w:space="0" w:color="auto"/>
            </w:tcBorders>
            <w:shd w:val="clear" w:color="auto" w:fill="auto"/>
            <w:noWrap/>
            <w:vAlign w:val="center"/>
            <w:hideMark/>
          </w:tcPr>
          <w:p w14:paraId="4EEADBE2"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282 907,65</w:t>
            </w:r>
          </w:p>
        </w:tc>
        <w:tc>
          <w:tcPr>
            <w:tcW w:w="441" w:type="pct"/>
            <w:tcBorders>
              <w:top w:val="nil"/>
              <w:left w:val="nil"/>
              <w:bottom w:val="single" w:sz="4" w:space="0" w:color="auto"/>
              <w:right w:val="single" w:sz="4" w:space="0" w:color="auto"/>
            </w:tcBorders>
            <w:shd w:val="clear" w:color="auto" w:fill="auto"/>
            <w:noWrap/>
            <w:vAlign w:val="center"/>
            <w:hideMark/>
          </w:tcPr>
          <w:p w14:paraId="23025B2C"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11,52</w:t>
            </w:r>
          </w:p>
        </w:tc>
        <w:tc>
          <w:tcPr>
            <w:tcW w:w="716" w:type="pct"/>
            <w:tcBorders>
              <w:top w:val="nil"/>
              <w:left w:val="nil"/>
              <w:bottom w:val="single" w:sz="4" w:space="0" w:color="auto"/>
              <w:right w:val="single" w:sz="4" w:space="0" w:color="auto"/>
            </w:tcBorders>
            <w:shd w:val="clear" w:color="auto" w:fill="auto"/>
            <w:noWrap/>
            <w:vAlign w:val="center"/>
            <w:hideMark/>
          </w:tcPr>
          <w:p w14:paraId="2C707A4E"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1 103 809,40</w:t>
            </w:r>
          </w:p>
        </w:tc>
        <w:tc>
          <w:tcPr>
            <w:tcW w:w="441" w:type="pct"/>
            <w:tcBorders>
              <w:top w:val="nil"/>
              <w:left w:val="nil"/>
              <w:bottom w:val="single" w:sz="4" w:space="0" w:color="auto"/>
              <w:right w:val="single" w:sz="4" w:space="0" w:color="auto"/>
            </w:tcBorders>
            <w:shd w:val="clear" w:color="auto" w:fill="auto"/>
            <w:noWrap/>
            <w:vAlign w:val="center"/>
            <w:hideMark/>
          </w:tcPr>
          <w:p w14:paraId="7210DB93"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44,96</w:t>
            </w:r>
          </w:p>
        </w:tc>
      </w:tr>
      <w:tr w:rsidR="00A83EDB" w:rsidRPr="00784431" w14:paraId="097345B8" w14:textId="77777777" w:rsidTr="00784431">
        <w:trPr>
          <w:trHeight w:val="244"/>
        </w:trPr>
        <w:tc>
          <w:tcPr>
            <w:tcW w:w="319" w:type="pct"/>
            <w:vMerge/>
            <w:tcBorders>
              <w:top w:val="nil"/>
              <w:left w:val="single" w:sz="4" w:space="0" w:color="auto"/>
              <w:bottom w:val="single" w:sz="4" w:space="0" w:color="000000"/>
              <w:right w:val="single" w:sz="4" w:space="0" w:color="auto"/>
            </w:tcBorders>
            <w:vAlign w:val="center"/>
            <w:hideMark/>
          </w:tcPr>
          <w:p w14:paraId="0BFE563C" w14:textId="77777777" w:rsidR="00A83EDB" w:rsidRPr="00784431" w:rsidRDefault="00A83EDB" w:rsidP="00A62436">
            <w:pPr>
              <w:jc w:val="left"/>
              <w:rPr>
                <w:rFonts w:ascii="Calibri" w:hAnsi="Calibri" w:cs="Calibri"/>
                <w:b/>
                <w:bCs/>
                <w:color w:val="000000"/>
                <w:sz w:val="20"/>
              </w:rPr>
            </w:pPr>
          </w:p>
        </w:tc>
        <w:tc>
          <w:tcPr>
            <w:tcW w:w="324" w:type="pct"/>
            <w:tcBorders>
              <w:top w:val="nil"/>
              <w:left w:val="nil"/>
              <w:bottom w:val="single" w:sz="4" w:space="0" w:color="auto"/>
              <w:right w:val="single" w:sz="4" w:space="0" w:color="auto"/>
            </w:tcBorders>
            <w:shd w:val="clear" w:color="auto" w:fill="auto"/>
            <w:noWrap/>
            <w:vAlign w:val="center"/>
            <w:hideMark/>
          </w:tcPr>
          <w:p w14:paraId="373EEE99" w14:textId="77777777" w:rsidR="00A83EDB" w:rsidRPr="00784431" w:rsidRDefault="00A83EDB" w:rsidP="00784431">
            <w:pPr>
              <w:jc w:val="center"/>
              <w:rPr>
                <w:rFonts w:ascii="Calibri" w:hAnsi="Calibri" w:cs="Calibri"/>
                <w:color w:val="000000"/>
                <w:sz w:val="20"/>
              </w:rPr>
            </w:pPr>
            <w:r w:rsidRPr="00784431">
              <w:rPr>
                <w:rFonts w:ascii="Calibri" w:hAnsi="Calibri" w:cs="Calibri"/>
                <w:color w:val="000000"/>
                <w:sz w:val="20"/>
              </w:rPr>
              <w:t>2016</w:t>
            </w:r>
          </w:p>
        </w:tc>
        <w:tc>
          <w:tcPr>
            <w:tcW w:w="787" w:type="pct"/>
            <w:tcBorders>
              <w:top w:val="nil"/>
              <w:left w:val="nil"/>
              <w:bottom w:val="single" w:sz="4" w:space="0" w:color="auto"/>
              <w:right w:val="single" w:sz="4" w:space="0" w:color="auto"/>
            </w:tcBorders>
            <w:shd w:val="clear" w:color="auto" w:fill="auto"/>
            <w:noWrap/>
            <w:vAlign w:val="center"/>
            <w:hideMark/>
          </w:tcPr>
          <w:p w14:paraId="04544345"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2 550 626,66</w:t>
            </w:r>
          </w:p>
        </w:tc>
        <w:tc>
          <w:tcPr>
            <w:tcW w:w="832" w:type="pct"/>
            <w:tcBorders>
              <w:top w:val="nil"/>
              <w:left w:val="nil"/>
              <w:bottom w:val="single" w:sz="4" w:space="0" w:color="auto"/>
              <w:right w:val="single" w:sz="4" w:space="0" w:color="auto"/>
            </w:tcBorders>
            <w:shd w:val="clear" w:color="auto" w:fill="auto"/>
            <w:noWrap/>
            <w:vAlign w:val="center"/>
            <w:hideMark/>
          </w:tcPr>
          <w:p w14:paraId="2FA55FD2"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836 864,12</w:t>
            </w:r>
          </w:p>
        </w:tc>
        <w:tc>
          <w:tcPr>
            <w:tcW w:w="513" w:type="pct"/>
            <w:tcBorders>
              <w:top w:val="nil"/>
              <w:left w:val="nil"/>
              <w:bottom w:val="single" w:sz="4" w:space="0" w:color="auto"/>
              <w:right w:val="single" w:sz="4" w:space="0" w:color="auto"/>
            </w:tcBorders>
            <w:shd w:val="clear" w:color="auto" w:fill="auto"/>
            <w:noWrap/>
            <w:vAlign w:val="center"/>
            <w:hideMark/>
          </w:tcPr>
          <w:p w14:paraId="7659C624"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32,81</w:t>
            </w:r>
          </w:p>
        </w:tc>
        <w:tc>
          <w:tcPr>
            <w:tcW w:w="627" w:type="pct"/>
            <w:tcBorders>
              <w:top w:val="nil"/>
              <w:left w:val="nil"/>
              <w:bottom w:val="single" w:sz="4" w:space="0" w:color="auto"/>
              <w:right w:val="single" w:sz="4" w:space="0" w:color="auto"/>
            </w:tcBorders>
            <w:shd w:val="clear" w:color="auto" w:fill="auto"/>
            <w:noWrap/>
            <w:vAlign w:val="center"/>
            <w:hideMark/>
          </w:tcPr>
          <w:p w14:paraId="6D133E86"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294 514,42</w:t>
            </w:r>
          </w:p>
        </w:tc>
        <w:tc>
          <w:tcPr>
            <w:tcW w:w="441" w:type="pct"/>
            <w:tcBorders>
              <w:top w:val="nil"/>
              <w:left w:val="nil"/>
              <w:bottom w:val="single" w:sz="4" w:space="0" w:color="auto"/>
              <w:right w:val="single" w:sz="4" w:space="0" w:color="auto"/>
            </w:tcBorders>
            <w:shd w:val="clear" w:color="auto" w:fill="auto"/>
            <w:noWrap/>
            <w:vAlign w:val="center"/>
            <w:hideMark/>
          </w:tcPr>
          <w:p w14:paraId="165286CE"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11,55</w:t>
            </w:r>
          </w:p>
        </w:tc>
        <w:tc>
          <w:tcPr>
            <w:tcW w:w="716" w:type="pct"/>
            <w:tcBorders>
              <w:top w:val="nil"/>
              <w:left w:val="nil"/>
              <w:bottom w:val="single" w:sz="4" w:space="0" w:color="auto"/>
              <w:right w:val="single" w:sz="4" w:space="0" w:color="auto"/>
            </w:tcBorders>
            <w:shd w:val="clear" w:color="auto" w:fill="auto"/>
            <w:noWrap/>
            <w:vAlign w:val="center"/>
            <w:hideMark/>
          </w:tcPr>
          <w:p w14:paraId="770A4481"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1 204 507,31</w:t>
            </w:r>
          </w:p>
        </w:tc>
        <w:tc>
          <w:tcPr>
            <w:tcW w:w="441" w:type="pct"/>
            <w:tcBorders>
              <w:top w:val="nil"/>
              <w:left w:val="nil"/>
              <w:bottom w:val="single" w:sz="4" w:space="0" w:color="auto"/>
              <w:right w:val="single" w:sz="4" w:space="0" w:color="auto"/>
            </w:tcBorders>
            <w:shd w:val="clear" w:color="auto" w:fill="auto"/>
            <w:noWrap/>
            <w:vAlign w:val="center"/>
            <w:hideMark/>
          </w:tcPr>
          <w:p w14:paraId="5FF3077E" w14:textId="77777777" w:rsidR="00A83EDB" w:rsidRPr="00784431" w:rsidRDefault="00A83EDB" w:rsidP="00784431">
            <w:pPr>
              <w:ind w:right="110"/>
              <w:jc w:val="right"/>
              <w:rPr>
                <w:rFonts w:ascii="Calibri" w:hAnsi="Calibri" w:cs="Calibri"/>
                <w:color w:val="000000"/>
                <w:sz w:val="20"/>
              </w:rPr>
            </w:pPr>
            <w:r w:rsidRPr="00784431">
              <w:rPr>
                <w:rFonts w:ascii="Calibri" w:hAnsi="Calibri" w:cs="Calibri"/>
                <w:color w:val="000000"/>
                <w:sz w:val="20"/>
              </w:rPr>
              <w:t>47,22</w:t>
            </w:r>
          </w:p>
        </w:tc>
      </w:tr>
    </w:tbl>
    <w:p w14:paraId="26464843" w14:textId="15EE284C" w:rsidR="00A83EDB" w:rsidRPr="0077471E" w:rsidRDefault="00A83EDB" w:rsidP="0077471E">
      <w:pPr>
        <w:pStyle w:val="Zdroj"/>
        <w:spacing w:before="40"/>
        <w:ind w:left="567" w:hanging="567"/>
        <w:rPr>
          <w:i w:val="0"/>
          <w:noProof/>
        </w:rPr>
      </w:pPr>
      <w:r w:rsidRPr="0077471E">
        <w:rPr>
          <w:b/>
          <w:i w:val="0"/>
          <w:noProof/>
        </w:rPr>
        <w:t>Zdroj:</w:t>
      </w:r>
      <w:r w:rsidRPr="0077471E">
        <w:rPr>
          <w:i w:val="0"/>
          <w:noProof/>
        </w:rPr>
        <w:t xml:space="preserve"> </w:t>
      </w:r>
      <w:r w:rsidR="0077471E">
        <w:rPr>
          <w:i w:val="0"/>
          <w:noProof/>
        </w:rPr>
        <w:tab/>
      </w:r>
      <w:r w:rsidR="00CC64C6">
        <w:rPr>
          <w:i w:val="0"/>
          <w:noProof/>
        </w:rPr>
        <w:t>h</w:t>
      </w:r>
      <w:r w:rsidR="00743B6C" w:rsidRPr="0077471E">
        <w:rPr>
          <w:i w:val="0"/>
          <w:noProof/>
        </w:rPr>
        <w:t>lavní knihy a výkazy zisku a ztráty jednotlivých FN k 31. 12. 2014, k 31. 12. 2015 a k 31. 12. 2016.</w:t>
      </w:r>
    </w:p>
    <w:p w14:paraId="714EF074" w14:textId="1A43838B" w:rsidR="00A83EDB" w:rsidRPr="0077471E" w:rsidRDefault="00A83EDB" w:rsidP="0077471E">
      <w:pPr>
        <w:pStyle w:val="Zdroj"/>
        <w:ind w:left="567" w:hanging="567"/>
        <w:rPr>
          <w:i w:val="0"/>
          <w:noProof/>
        </w:rPr>
      </w:pPr>
      <w:r w:rsidRPr="0077471E">
        <w:rPr>
          <w:b/>
          <w:i w:val="0"/>
          <w:noProof/>
        </w:rPr>
        <w:t>Pozn</w:t>
      </w:r>
      <w:r w:rsidR="00CC64C6">
        <w:rPr>
          <w:b/>
          <w:i w:val="0"/>
          <w:noProof/>
        </w:rPr>
        <w:t>.</w:t>
      </w:r>
      <w:r w:rsidRPr="0077471E">
        <w:rPr>
          <w:b/>
          <w:i w:val="0"/>
          <w:noProof/>
        </w:rPr>
        <w:t>:</w:t>
      </w:r>
      <w:r w:rsidR="00CC64C6">
        <w:rPr>
          <w:b/>
          <w:i w:val="0"/>
          <w:noProof/>
        </w:rPr>
        <w:t xml:space="preserve"> </w:t>
      </w:r>
      <w:r w:rsidRPr="0077471E">
        <w:rPr>
          <w:i w:val="0"/>
          <w:noProof/>
        </w:rPr>
        <w:t xml:space="preserve">Skupina 50 – </w:t>
      </w:r>
      <w:r w:rsidRPr="00E60983">
        <w:rPr>
          <w:noProof/>
        </w:rPr>
        <w:t>Spotřebované nákupy</w:t>
      </w:r>
      <w:r w:rsidRPr="0077471E">
        <w:rPr>
          <w:i w:val="0"/>
          <w:noProof/>
        </w:rPr>
        <w:t xml:space="preserve"> zahrnuje zejména spotřebu materiálu (léčiva zdravotnické prostředky), spotřebu energie a prodané zboží; skupina 51 – </w:t>
      </w:r>
      <w:r w:rsidRPr="00E60983">
        <w:rPr>
          <w:noProof/>
        </w:rPr>
        <w:t>Služby</w:t>
      </w:r>
      <w:r w:rsidRPr="0077471E">
        <w:rPr>
          <w:i w:val="0"/>
          <w:noProof/>
        </w:rPr>
        <w:t xml:space="preserve"> zahrnuje zejména náklady na opravy a</w:t>
      </w:r>
      <w:r w:rsidR="00810805" w:rsidRPr="0077471E">
        <w:rPr>
          <w:i w:val="0"/>
          <w:noProof/>
        </w:rPr>
        <w:t> </w:t>
      </w:r>
      <w:r w:rsidRPr="0077471E">
        <w:rPr>
          <w:i w:val="0"/>
          <w:noProof/>
        </w:rPr>
        <w:t xml:space="preserve">udržování, cestovné, náklady na reprezentaci, ostatní služby; skupina 52 – </w:t>
      </w:r>
      <w:r w:rsidRPr="00E60983">
        <w:rPr>
          <w:noProof/>
        </w:rPr>
        <w:t>Osobní náklady</w:t>
      </w:r>
      <w:r w:rsidRPr="0077471E">
        <w:rPr>
          <w:i w:val="0"/>
          <w:noProof/>
        </w:rPr>
        <w:t xml:space="preserve"> zahrnuje zejména mzdové náklady a náklady zaměstnavatele z titulu sociálního pojištění a veřejného zdravotního pojištění.</w:t>
      </w:r>
    </w:p>
    <w:p w14:paraId="43700772" w14:textId="2D8BCCEB" w:rsidR="00A83EDB" w:rsidRPr="0077471E" w:rsidRDefault="00A83EDB" w:rsidP="0077471E">
      <w:pPr>
        <w:spacing w:before="120"/>
        <w:rPr>
          <w:rFonts w:cstheme="minorHAnsi"/>
          <w:noProof/>
          <w:color w:val="000000" w:themeColor="text1"/>
          <w:szCs w:val="24"/>
        </w:rPr>
      </w:pPr>
      <w:r w:rsidRPr="0077471E">
        <w:rPr>
          <w:rFonts w:cstheme="minorHAnsi"/>
          <w:noProof/>
          <w:color w:val="000000" w:themeColor="text1"/>
          <w:szCs w:val="24"/>
        </w:rPr>
        <w:t xml:space="preserve">Celkové náklady jednotlivých fakultních nemocnic </w:t>
      </w:r>
      <w:r w:rsidR="00CC64C6">
        <w:rPr>
          <w:rFonts w:cstheme="minorHAnsi"/>
          <w:noProof/>
          <w:color w:val="000000" w:themeColor="text1"/>
          <w:szCs w:val="24"/>
        </w:rPr>
        <w:t xml:space="preserve">ve sledovaném období </w:t>
      </w:r>
      <w:r w:rsidRPr="0077471E">
        <w:rPr>
          <w:rFonts w:cstheme="minorHAnsi"/>
          <w:noProof/>
          <w:color w:val="000000" w:themeColor="text1"/>
          <w:szCs w:val="24"/>
        </w:rPr>
        <w:t>mírně rostly. U FNB se pohybovaly ve výši cca 7 mld. Kč, u FNM ve výši cca 8 mld. Kč a u ÚVN ve výši cca 2,5</w:t>
      </w:r>
      <w:r w:rsidR="00CC64C6">
        <w:rPr>
          <w:rFonts w:cstheme="minorHAnsi"/>
          <w:noProof/>
          <w:color w:val="000000" w:themeColor="text1"/>
          <w:szCs w:val="24"/>
        </w:rPr>
        <w:t> </w:t>
      </w:r>
      <w:r w:rsidRPr="0077471E">
        <w:rPr>
          <w:rFonts w:cstheme="minorHAnsi"/>
          <w:noProof/>
          <w:color w:val="000000" w:themeColor="text1"/>
          <w:szCs w:val="24"/>
        </w:rPr>
        <w:t>mld.</w:t>
      </w:r>
      <w:r w:rsidR="00CC64C6">
        <w:rPr>
          <w:rFonts w:cstheme="minorHAnsi"/>
          <w:noProof/>
          <w:color w:val="000000" w:themeColor="text1"/>
          <w:szCs w:val="24"/>
        </w:rPr>
        <w:t> </w:t>
      </w:r>
      <w:r w:rsidRPr="0077471E">
        <w:rPr>
          <w:rFonts w:cstheme="minorHAnsi"/>
          <w:noProof/>
          <w:color w:val="000000" w:themeColor="text1"/>
          <w:szCs w:val="24"/>
        </w:rPr>
        <w:t>Kč, a to podle rozsahu poskytovných zdravotních služeb příslušné FN. U všech kontrolovaných FN činily ve sledovaném období z hlediska podílu jednotlivých nákladových položek největší</w:t>
      </w:r>
      <w:r w:rsidR="000013A5" w:rsidRPr="0077471E">
        <w:rPr>
          <w:rFonts w:cstheme="minorHAnsi"/>
          <w:noProof/>
          <w:color w:val="000000" w:themeColor="text1"/>
          <w:szCs w:val="24"/>
        </w:rPr>
        <w:t xml:space="preserve"> část spotřebované nákupy (32,81</w:t>
      </w:r>
      <w:r w:rsidRPr="0077471E">
        <w:rPr>
          <w:rFonts w:cstheme="minorHAnsi"/>
          <w:noProof/>
          <w:color w:val="000000" w:themeColor="text1"/>
          <w:szCs w:val="24"/>
        </w:rPr>
        <w:t xml:space="preserve"> % až 49,39 % celkových nákladů) a osobní náklady </w:t>
      </w:r>
      <w:r w:rsidR="000013A5" w:rsidRPr="0077471E">
        <w:rPr>
          <w:rFonts w:cstheme="minorHAnsi"/>
          <w:noProof/>
          <w:color w:val="000000" w:themeColor="text1"/>
          <w:szCs w:val="24"/>
        </w:rPr>
        <w:t>(38,94</w:t>
      </w:r>
      <w:r w:rsidRPr="0077471E">
        <w:rPr>
          <w:rFonts w:cstheme="minorHAnsi"/>
          <w:noProof/>
          <w:color w:val="000000" w:themeColor="text1"/>
          <w:szCs w:val="24"/>
        </w:rPr>
        <w:t xml:space="preserve"> % až 47,22 %). Osobní náklady nebyly předmětem kontroly. Podíl nákladů na služby na </w:t>
      </w:r>
      <w:r w:rsidR="00CC64C6">
        <w:rPr>
          <w:rFonts w:cstheme="minorHAnsi"/>
          <w:noProof/>
          <w:color w:val="000000" w:themeColor="text1"/>
          <w:szCs w:val="24"/>
        </w:rPr>
        <w:t xml:space="preserve">celkových </w:t>
      </w:r>
      <w:r w:rsidRPr="0077471E">
        <w:rPr>
          <w:rFonts w:cstheme="minorHAnsi"/>
          <w:noProof/>
          <w:color w:val="000000" w:themeColor="text1"/>
          <w:szCs w:val="24"/>
        </w:rPr>
        <w:t>nákladech byl cca 3,85 % až 11,55 %.</w:t>
      </w:r>
    </w:p>
    <w:p w14:paraId="34B4C355" w14:textId="7380FA01" w:rsidR="00A83EDB" w:rsidRPr="0077471E" w:rsidRDefault="00A83EDB" w:rsidP="004C3B13">
      <w:pPr>
        <w:spacing w:before="240" w:after="120"/>
        <w:rPr>
          <w:rFonts w:cstheme="minorHAnsi"/>
          <w:b/>
          <w:noProof/>
          <w:color w:val="000000" w:themeColor="text1"/>
          <w:szCs w:val="24"/>
        </w:rPr>
      </w:pPr>
      <w:r w:rsidRPr="0077471E">
        <w:rPr>
          <w:rFonts w:cstheme="minorHAnsi"/>
          <w:b/>
          <w:noProof/>
          <w:color w:val="000000" w:themeColor="text1"/>
          <w:szCs w:val="24"/>
        </w:rPr>
        <w:t xml:space="preserve">Náklady na </w:t>
      </w:r>
      <w:r w:rsidR="000A2806" w:rsidRPr="0077471E">
        <w:rPr>
          <w:rFonts w:cstheme="minorHAnsi"/>
          <w:b/>
          <w:noProof/>
          <w:color w:val="000000" w:themeColor="text1"/>
          <w:szCs w:val="24"/>
        </w:rPr>
        <w:t>léčiva</w:t>
      </w:r>
    </w:p>
    <w:p w14:paraId="15B66EEB" w14:textId="6C8CB4F6" w:rsidR="00A83EDB" w:rsidRPr="0077471E" w:rsidRDefault="00A83EDB" w:rsidP="0077471E">
      <w:pPr>
        <w:spacing w:before="120"/>
        <w:rPr>
          <w:rFonts w:cstheme="minorHAnsi"/>
          <w:noProof/>
          <w:color w:val="000000" w:themeColor="text1"/>
          <w:szCs w:val="24"/>
        </w:rPr>
      </w:pPr>
      <w:r w:rsidRPr="0077471E">
        <w:rPr>
          <w:rFonts w:cstheme="minorHAnsi"/>
          <w:noProof/>
          <w:color w:val="000000" w:themeColor="text1"/>
          <w:szCs w:val="24"/>
        </w:rPr>
        <w:t>FN pořizovaly v kontrolovaném období léčiva</w:t>
      </w:r>
      <w:r w:rsidR="00CC64C6">
        <w:rPr>
          <w:rFonts w:cstheme="minorHAnsi"/>
          <w:noProof/>
          <w:color w:val="000000" w:themeColor="text1"/>
          <w:szCs w:val="24"/>
        </w:rPr>
        <w:t>;</w:t>
      </w:r>
      <w:r w:rsidRPr="0077471E">
        <w:rPr>
          <w:rFonts w:cstheme="minorHAnsi"/>
          <w:noProof/>
          <w:color w:val="000000" w:themeColor="text1"/>
          <w:szCs w:val="24"/>
        </w:rPr>
        <w:t xml:space="preserve"> podíl</w:t>
      </w:r>
      <w:r w:rsidR="00CC64C6">
        <w:rPr>
          <w:rFonts w:cstheme="minorHAnsi"/>
          <w:noProof/>
          <w:color w:val="000000" w:themeColor="text1"/>
          <w:szCs w:val="24"/>
        </w:rPr>
        <w:t xml:space="preserve"> </w:t>
      </w:r>
      <w:r w:rsidR="008F53D1">
        <w:rPr>
          <w:rFonts w:cstheme="minorHAnsi"/>
          <w:noProof/>
          <w:color w:val="000000" w:themeColor="text1"/>
          <w:szCs w:val="24"/>
        </w:rPr>
        <w:t>nákladů na léčiva</w:t>
      </w:r>
      <w:r w:rsidRPr="0077471E">
        <w:rPr>
          <w:rFonts w:cstheme="minorHAnsi"/>
          <w:noProof/>
          <w:color w:val="000000" w:themeColor="text1"/>
          <w:szCs w:val="24"/>
        </w:rPr>
        <w:t xml:space="preserve"> na celkových nákladech je uveden v následujicí tabulce</w:t>
      </w:r>
      <w:r w:rsidR="00CC64C6">
        <w:rPr>
          <w:rFonts w:cstheme="minorHAnsi"/>
          <w:noProof/>
          <w:color w:val="000000" w:themeColor="text1"/>
          <w:szCs w:val="24"/>
        </w:rPr>
        <w:t>:</w:t>
      </w:r>
      <w:r w:rsidRPr="0077471E">
        <w:rPr>
          <w:rFonts w:cstheme="minorHAnsi"/>
          <w:noProof/>
          <w:color w:val="000000" w:themeColor="text1"/>
          <w:szCs w:val="24"/>
        </w:rPr>
        <w:t xml:space="preserve"> </w:t>
      </w:r>
    </w:p>
    <w:p w14:paraId="69C02897" w14:textId="36FAAB94" w:rsidR="00A83EDB" w:rsidRPr="005B75CD" w:rsidRDefault="00A83EDB" w:rsidP="00CC64C6">
      <w:pPr>
        <w:keepNext/>
        <w:spacing w:before="120" w:after="40"/>
        <w:rPr>
          <w:rFonts w:cstheme="minorHAnsi"/>
          <w:b/>
          <w:noProof/>
          <w:color w:val="000000" w:themeColor="text1"/>
          <w:szCs w:val="24"/>
        </w:rPr>
      </w:pPr>
      <w:r w:rsidRPr="005B75CD">
        <w:rPr>
          <w:rFonts w:cstheme="minorHAnsi"/>
          <w:b/>
          <w:noProof/>
          <w:color w:val="000000" w:themeColor="text1"/>
          <w:szCs w:val="24"/>
        </w:rPr>
        <w:t xml:space="preserve">Tabulka č. 5: Náklady na </w:t>
      </w:r>
      <w:r w:rsidR="000A2806" w:rsidRPr="005B75CD">
        <w:rPr>
          <w:rFonts w:cstheme="minorHAnsi"/>
          <w:b/>
          <w:noProof/>
          <w:color w:val="000000" w:themeColor="text1"/>
          <w:szCs w:val="24"/>
        </w:rPr>
        <w:t>léčiva</w:t>
      </w:r>
      <w:r w:rsidRPr="005B75CD">
        <w:rPr>
          <w:rFonts w:cstheme="minorHAnsi"/>
          <w:b/>
          <w:noProof/>
          <w:color w:val="000000" w:themeColor="text1"/>
          <w:szCs w:val="24"/>
        </w:rPr>
        <w:t xml:space="preserve"> ve vztahu k celkovým nákladům</w:t>
      </w:r>
    </w:p>
    <w:tbl>
      <w:tblPr>
        <w:tblW w:w="5000" w:type="pct"/>
        <w:tblCellMar>
          <w:left w:w="70" w:type="dxa"/>
          <w:right w:w="70" w:type="dxa"/>
        </w:tblCellMar>
        <w:tblLook w:val="04A0" w:firstRow="1" w:lastRow="0" w:firstColumn="1" w:lastColumn="0" w:noHBand="0" w:noVBand="1"/>
      </w:tblPr>
      <w:tblGrid>
        <w:gridCol w:w="882"/>
        <w:gridCol w:w="893"/>
        <w:gridCol w:w="3038"/>
        <w:gridCol w:w="3038"/>
        <w:gridCol w:w="1211"/>
      </w:tblGrid>
      <w:tr w:rsidR="00A83EDB" w:rsidRPr="00D435DC" w14:paraId="55AD41D6" w14:textId="77777777" w:rsidTr="00CC64C6">
        <w:trPr>
          <w:trHeight w:val="293"/>
        </w:trPr>
        <w:tc>
          <w:tcPr>
            <w:tcW w:w="980" w:type="pct"/>
            <w:gridSpan w:val="2"/>
            <w:vMerge w:val="restart"/>
            <w:tcBorders>
              <w:top w:val="single" w:sz="4" w:space="0" w:color="auto"/>
              <w:left w:val="single" w:sz="4" w:space="0" w:color="auto"/>
              <w:bottom w:val="single" w:sz="4" w:space="0" w:color="000000"/>
              <w:right w:val="single" w:sz="4" w:space="0" w:color="000000"/>
            </w:tcBorders>
            <w:shd w:val="clear" w:color="000000" w:fill="E5F1FF"/>
            <w:noWrap/>
            <w:vAlign w:val="center"/>
            <w:hideMark/>
          </w:tcPr>
          <w:p w14:paraId="0BE22371" w14:textId="548C241B" w:rsidR="00A83EDB" w:rsidRPr="00D435DC" w:rsidRDefault="00A83EDB" w:rsidP="00CC64C6">
            <w:pPr>
              <w:keepNext/>
              <w:jc w:val="center"/>
              <w:rPr>
                <w:rFonts w:ascii="Calibri" w:hAnsi="Calibri" w:cs="Calibri"/>
                <w:b/>
                <w:bCs/>
                <w:color w:val="000000"/>
                <w:sz w:val="20"/>
              </w:rPr>
            </w:pPr>
          </w:p>
        </w:tc>
        <w:tc>
          <w:tcPr>
            <w:tcW w:w="1676" w:type="pct"/>
            <w:vMerge w:val="restart"/>
            <w:tcBorders>
              <w:top w:val="single" w:sz="4" w:space="0" w:color="auto"/>
              <w:left w:val="single" w:sz="4" w:space="0" w:color="auto"/>
              <w:bottom w:val="single" w:sz="4" w:space="0" w:color="000000"/>
              <w:right w:val="single" w:sz="4" w:space="0" w:color="auto"/>
            </w:tcBorders>
            <w:shd w:val="clear" w:color="000000" w:fill="E5F1FF"/>
            <w:vAlign w:val="center"/>
            <w:hideMark/>
          </w:tcPr>
          <w:p w14:paraId="7D765FD1" w14:textId="77777777" w:rsidR="00A83EDB" w:rsidRPr="00D435DC" w:rsidRDefault="00A83EDB" w:rsidP="00CC64C6">
            <w:pPr>
              <w:keepNext/>
              <w:jc w:val="center"/>
              <w:rPr>
                <w:rFonts w:ascii="Calibri" w:hAnsi="Calibri" w:cs="Calibri"/>
                <w:b/>
                <w:bCs/>
                <w:color w:val="000000"/>
                <w:sz w:val="20"/>
              </w:rPr>
            </w:pPr>
            <w:r w:rsidRPr="00D435DC">
              <w:rPr>
                <w:rFonts w:ascii="Calibri" w:hAnsi="Calibri" w:cs="Calibri"/>
                <w:b/>
                <w:bCs/>
                <w:color w:val="000000"/>
                <w:sz w:val="20"/>
              </w:rPr>
              <w:t>Náklady celkem (třída 5)</w:t>
            </w:r>
          </w:p>
        </w:tc>
        <w:tc>
          <w:tcPr>
            <w:tcW w:w="2344" w:type="pct"/>
            <w:gridSpan w:val="2"/>
            <w:vMerge w:val="restart"/>
            <w:tcBorders>
              <w:top w:val="single" w:sz="4" w:space="0" w:color="auto"/>
              <w:left w:val="single" w:sz="4" w:space="0" w:color="auto"/>
              <w:bottom w:val="single" w:sz="4" w:space="0" w:color="000000"/>
              <w:right w:val="single" w:sz="4" w:space="0" w:color="000000"/>
            </w:tcBorders>
            <w:shd w:val="clear" w:color="000000" w:fill="E5F1FF"/>
            <w:noWrap/>
            <w:vAlign w:val="center"/>
            <w:hideMark/>
          </w:tcPr>
          <w:p w14:paraId="4146D6DA" w14:textId="77777777" w:rsidR="00A83EDB" w:rsidRPr="00D435DC" w:rsidRDefault="00A83EDB" w:rsidP="00CC64C6">
            <w:pPr>
              <w:keepNext/>
              <w:jc w:val="center"/>
              <w:rPr>
                <w:rFonts w:ascii="Calibri" w:hAnsi="Calibri" w:cs="Calibri"/>
                <w:b/>
                <w:bCs/>
                <w:color w:val="000000"/>
                <w:sz w:val="20"/>
              </w:rPr>
            </w:pPr>
            <w:r w:rsidRPr="00D435DC">
              <w:rPr>
                <w:rFonts w:ascii="Calibri" w:hAnsi="Calibri" w:cs="Calibri"/>
                <w:b/>
                <w:bCs/>
                <w:color w:val="000000"/>
                <w:sz w:val="20"/>
              </w:rPr>
              <w:t>Náklady na léčiva*</w:t>
            </w:r>
          </w:p>
        </w:tc>
      </w:tr>
      <w:tr w:rsidR="00A83EDB" w:rsidRPr="00D435DC" w14:paraId="1C561204" w14:textId="77777777" w:rsidTr="00D435DC">
        <w:trPr>
          <w:trHeight w:val="293"/>
        </w:trPr>
        <w:tc>
          <w:tcPr>
            <w:tcW w:w="980" w:type="pct"/>
            <w:gridSpan w:val="2"/>
            <w:vMerge/>
            <w:tcBorders>
              <w:top w:val="single" w:sz="4" w:space="0" w:color="auto"/>
              <w:left w:val="single" w:sz="4" w:space="0" w:color="auto"/>
              <w:bottom w:val="single" w:sz="4" w:space="0" w:color="000000"/>
              <w:right w:val="single" w:sz="4" w:space="0" w:color="000000"/>
            </w:tcBorders>
            <w:vAlign w:val="center"/>
            <w:hideMark/>
          </w:tcPr>
          <w:p w14:paraId="72C38402" w14:textId="77777777" w:rsidR="00A83EDB" w:rsidRPr="00D435DC" w:rsidRDefault="00A83EDB" w:rsidP="00CC64C6">
            <w:pPr>
              <w:keepNext/>
              <w:jc w:val="center"/>
              <w:rPr>
                <w:rFonts w:ascii="Calibri" w:hAnsi="Calibri" w:cs="Calibri"/>
                <w:b/>
                <w:bCs/>
                <w:color w:val="000000"/>
                <w:sz w:val="20"/>
              </w:rPr>
            </w:pPr>
          </w:p>
        </w:tc>
        <w:tc>
          <w:tcPr>
            <w:tcW w:w="1676" w:type="pct"/>
            <w:vMerge/>
            <w:tcBorders>
              <w:top w:val="single" w:sz="4" w:space="0" w:color="auto"/>
              <w:left w:val="single" w:sz="4" w:space="0" w:color="auto"/>
              <w:bottom w:val="single" w:sz="4" w:space="0" w:color="000000"/>
              <w:right w:val="single" w:sz="4" w:space="0" w:color="auto"/>
            </w:tcBorders>
            <w:vAlign w:val="center"/>
            <w:hideMark/>
          </w:tcPr>
          <w:p w14:paraId="51AC35B0" w14:textId="77777777" w:rsidR="00A83EDB" w:rsidRPr="00D435DC" w:rsidRDefault="00A83EDB" w:rsidP="00CC64C6">
            <w:pPr>
              <w:keepNext/>
              <w:jc w:val="center"/>
              <w:rPr>
                <w:rFonts w:ascii="Calibri" w:hAnsi="Calibri" w:cs="Calibri"/>
                <w:b/>
                <w:bCs/>
                <w:color w:val="000000"/>
                <w:sz w:val="20"/>
              </w:rPr>
            </w:pPr>
          </w:p>
        </w:tc>
        <w:tc>
          <w:tcPr>
            <w:tcW w:w="2344" w:type="pct"/>
            <w:gridSpan w:val="2"/>
            <w:vMerge/>
            <w:tcBorders>
              <w:top w:val="single" w:sz="4" w:space="0" w:color="auto"/>
              <w:left w:val="single" w:sz="4" w:space="0" w:color="auto"/>
              <w:bottom w:val="single" w:sz="4" w:space="0" w:color="000000"/>
              <w:right w:val="single" w:sz="4" w:space="0" w:color="000000"/>
            </w:tcBorders>
            <w:vAlign w:val="center"/>
            <w:hideMark/>
          </w:tcPr>
          <w:p w14:paraId="56948F9B" w14:textId="77777777" w:rsidR="00A83EDB" w:rsidRPr="00D435DC" w:rsidRDefault="00A83EDB" w:rsidP="00CC64C6">
            <w:pPr>
              <w:keepNext/>
              <w:jc w:val="center"/>
              <w:rPr>
                <w:rFonts w:ascii="Calibri" w:hAnsi="Calibri" w:cs="Calibri"/>
                <w:b/>
                <w:bCs/>
                <w:color w:val="000000"/>
                <w:sz w:val="20"/>
              </w:rPr>
            </w:pPr>
          </w:p>
        </w:tc>
      </w:tr>
      <w:tr w:rsidR="00A83EDB" w:rsidRPr="00D435DC" w14:paraId="4A00609E" w14:textId="77777777" w:rsidTr="00CC64C6">
        <w:trPr>
          <w:trHeight w:val="227"/>
        </w:trPr>
        <w:tc>
          <w:tcPr>
            <w:tcW w:w="980" w:type="pct"/>
            <w:gridSpan w:val="2"/>
            <w:vMerge/>
            <w:tcBorders>
              <w:top w:val="single" w:sz="4" w:space="0" w:color="auto"/>
              <w:left w:val="single" w:sz="4" w:space="0" w:color="auto"/>
              <w:bottom w:val="single" w:sz="4" w:space="0" w:color="000000"/>
              <w:right w:val="single" w:sz="4" w:space="0" w:color="000000"/>
            </w:tcBorders>
            <w:vAlign w:val="center"/>
            <w:hideMark/>
          </w:tcPr>
          <w:p w14:paraId="2CFDDBBA" w14:textId="77777777" w:rsidR="00A83EDB" w:rsidRPr="00D435DC" w:rsidRDefault="00A83EDB" w:rsidP="00CC64C6">
            <w:pPr>
              <w:keepNext/>
              <w:jc w:val="center"/>
              <w:rPr>
                <w:rFonts w:ascii="Calibri" w:hAnsi="Calibri" w:cs="Calibri"/>
                <w:b/>
                <w:bCs/>
                <w:color w:val="000000"/>
                <w:sz w:val="20"/>
              </w:rPr>
            </w:pPr>
          </w:p>
        </w:tc>
        <w:tc>
          <w:tcPr>
            <w:tcW w:w="1676" w:type="pct"/>
            <w:tcBorders>
              <w:top w:val="nil"/>
              <w:left w:val="nil"/>
              <w:bottom w:val="single" w:sz="4" w:space="0" w:color="auto"/>
              <w:right w:val="single" w:sz="4" w:space="0" w:color="auto"/>
            </w:tcBorders>
            <w:shd w:val="clear" w:color="000000" w:fill="E5F1FF"/>
            <w:noWrap/>
            <w:vAlign w:val="center"/>
            <w:hideMark/>
          </w:tcPr>
          <w:p w14:paraId="21E331DC" w14:textId="77777777" w:rsidR="00A83EDB" w:rsidRPr="00D435DC" w:rsidRDefault="00A83EDB" w:rsidP="00CC64C6">
            <w:pPr>
              <w:keepNext/>
              <w:jc w:val="center"/>
              <w:rPr>
                <w:rFonts w:ascii="Calibri" w:hAnsi="Calibri" w:cs="Calibri"/>
                <w:b/>
                <w:bCs/>
                <w:color w:val="000000"/>
                <w:sz w:val="20"/>
              </w:rPr>
            </w:pPr>
            <w:r w:rsidRPr="00D435DC">
              <w:rPr>
                <w:rFonts w:ascii="Calibri" w:hAnsi="Calibri" w:cs="Calibri"/>
                <w:b/>
                <w:bCs/>
                <w:color w:val="000000"/>
                <w:sz w:val="20"/>
              </w:rPr>
              <w:t>Kč</w:t>
            </w:r>
          </w:p>
        </w:tc>
        <w:tc>
          <w:tcPr>
            <w:tcW w:w="1676" w:type="pct"/>
            <w:tcBorders>
              <w:top w:val="nil"/>
              <w:left w:val="nil"/>
              <w:bottom w:val="single" w:sz="4" w:space="0" w:color="auto"/>
              <w:right w:val="single" w:sz="4" w:space="0" w:color="auto"/>
            </w:tcBorders>
            <w:shd w:val="clear" w:color="000000" w:fill="E5F1FF"/>
            <w:noWrap/>
            <w:vAlign w:val="center"/>
            <w:hideMark/>
          </w:tcPr>
          <w:p w14:paraId="23FC7CBF" w14:textId="77777777" w:rsidR="00A83EDB" w:rsidRPr="00D435DC" w:rsidRDefault="00A83EDB" w:rsidP="00CC64C6">
            <w:pPr>
              <w:keepNext/>
              <w:jc w:val="center"/>
              <w:rPr>
                <w:rFonts w:ascii="Calibri" w:hAnsi="Calibri" w:cs="Calibri"/>
                <w:b/>
                <w:bCs/>
                <w:color w:val="000000"/>
                <w:sz w:val="20"/>
              </w:rPr>
            </w:pPr>
            <w:r w:rsidRPr="00D435DC">
              <w:rPr>
                <w:rFonts w:ascii="Calibri" w:hAnsi="Calibri" w:cs="Calibri"/>
                <w:b/>
                <w:bCs/>
                <w:color w:val="000000"/>
                <w:sz w:val="20"/>
              </w:rPr>
              <w:t>Kč</w:t>
            </w:r>
          </w:p>
        </w:tc>
        <w:tc>
          <w:tcPr>
            <w:tcW w:w="668" w:type="pct"/>
            <w:tcBorders>
              <w:top w:val="nil"/>
              <w:left w:val="nil"/>
              <w:bottom w:val="single" w:sz="4" w:space="0" w:color="auto"/>
              <w:right w:val="single" w:sz="4" w:space="0" w:color="auto"/>
            </w:tcBorders>
            <w:shd w:val="clear" w:color="000000" w:fill="E5F1FF"/>
            <w:noWrap/>
            <w:vAlign w:val="center"/>
            <w:hideMark/>
          </w:tcPr>
          <w:p w14:paraId="284A6B3A" w14:textId="77777777" w:rsidR="00A83EDB" w:rsidRPr="00D435DC" w:rsidRDefault="00A83EDB" w:rsidP="00CC64C6">
            <w:pPr>
              <w:keepNext/>
              <w:jc w:val="center"/>
              <w:rPr>
                <w:rFonts w:ascii="Calibri" w:hAnsi="Calibri" w:cs="Calibri"/>
                <w:b/>
                <w:bCs/>
                <w:color w:val="000000"/>
                <w:sz w:val="20"/>
              </w:rPr>
            </w:pPr>
            <w:r w:rsidRPr="00D435DC">
              <w:rPr>
                <w:rFonts w:ascii="Calibri" w:hAnsi="Calibri" w:cs="Calibri"/>
                <w:b/>
                <w:bCs/>
                <w:color w:val="000000"/>
                <w:sz w:val="20"/>
              </w:rPr>
              <w:t>%</w:t>
            </w:r>
          </w:p>
        </w:tc>
      </w:tr>
      <w:tr w:rsidR="00A83EDB" w:rsidRPr="00D435DC" w14:paraId="4FEA9CD9" w14:textId="77777777" w:rsidTr="00CC64C6">
        <w:trPr>
          <w:trHeight w:val="227"/>
        </w:trPr>
        <w:tc>
          <w:tcPr>
            <w:tcW w:w="48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B87715B" w14:textId="77777777" w:rsidR="00A83EDB" w:rsidRPr="00D435DC" w:rsidRDefault="00A83EDB" w:rsidP="00CC64C6">
            <w:pPr>
              <w:keepNext/>
              <w:jc w:val="left"/>
              <w:rPr>
                <w:rFonts w:ascii="Calibri" w:hAnsi="Calibri" w:cs="Calibri"/>
                <w:b/>
                <w:bCs/>
                <w:color w:val="000000"/>
                <w:sz w:val="20"/>
              </w:rPr>
            </w:pPr>
            <w:r w:rsidRPr="00D435DC">
              <w:rPr>
                <w:rFonts w:ascii="Calibri" w:hAnsi="Calibri" w:cs="Calibri"/>
                <w:b/>
                <w:bCs/>
                <w:color w:val="000000"/>
                <w:sz w:val="20"/>
              </w:rPr>
              <w:t>FNB</w:t>
            </w:r>
          </w:p>
        </w:tc>
        <w:tc>
          <w:tcPr>
            <w:tcW w:w="493" w:type="pct"/>
            <w:tcBorders>
              <w:top w:val="nil"/>
              <w:left w:val="nil"/>
              <w:bottom w:val="single" w:sz="4" w:space="0" w:color="auto"/>
              <w:right w:val="single" w:sz="4" w:space="0" w:color="auto"/>
            </w:tcBorders>
            <w:shd w:val="clear" w:color="auto" w:fill="auto"/>
            <w:noWrap/>
            <w:vAlign w:val="center"/>
            <w:hideMark/>
          </w:tcPr>
          <w:p w14:paraId="66146F5F" w14:textId="77777777" w:rsidR="00A83EDB" w:rsidRPr="00D435DC" w:rsidRDefault="00A83EDB" w:rsidP="00CC64C6">
            <w:pPr>
              <w:keepNext/>
              <w:jc w:val="center"/>
              <w:rPr>
                <w:rFonts w:ascii="Calibri" w:hAnsi="Calibri" w:cs="Calibri"/>
                <w:color w:val="000000"/>
                <w:sz w:val="20"/>
              </w:rPr>
            </w:pPr>
            <w:r w:rsidRPr="00D435DC">
              <w:rPr>
                <w:rFonts w:ascii="Calibri" w:hAnsi="Calibri" w:cs="Calibri"/>
                <w:color w:val="000000"/>
                <w:sz w:val="20"/>
              </w:rPr>
              <w:t>2014</w:t>
            </w:r>
          </w:p>
        </w:tc>
        <w:tc>
          <w:tcPr>
            <w:tcW w:w="1676" w:type="pct"/>
            <w:tcBorders>
              <w:top w:val="nil"/>
              <w:left w:val="nil"/>
              <w:bottom w:val="single" w:sz="4" w:space="0" w:color="auto"/>
              <w:right w:val="single" w:sz="4" w:space="0" w:color="auto"/>
            </w:tcBorders>
            <w:shd w:val="clear" w:color="auto" w:fill="auto"/>
            <w:noWrap/>
            <w:vAlign w:val="center"/>
            <w:hideMark/>
          </w:tcPr>
          <w:p w14:paraId="39017C02"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6 587 570 407,22</w:t>
            </w:r>
          </w:p>
        </w:tc>
        <w:tc>
          <w:tcPr>
            <w:tcW w:w="1676" w:type="pct"/>
            <w:tcBorders>
              <w:top w:val="nil"/>
              <w:left w:val="nil"/>
              <w:bottom w:val="single" w:sz="4" w:space="0" w:color="auto"/>
              <w:right w:val="single" w:sz="4" w:space="0" w:color="auto"/>
            </w:tcBorders>
            <w:shd w:val="clear" w:color="auto" w:fill="auto"/>
            <w:noWrap/>
            <w:vAlign w:val="center"/>
            <w:hideMark/>
          </w:tcPr>
          <w:p w14:paraId="08FF332B" w14:textId="77777777" w:rsidR="00A83EDB" w:rsidRPr="00D435DC" w:rsidRDefault="00A83EDB" w:rsidP="00D435DC">
            <w:pPr>
              <w:keepNext/>
              <w:ind w:right="274"/>
              <w:jc w:val="right"/>
              <w:rPr>
                <w:rFonts w:ascii="Calibri" w:hAnsi="Calibri" w:cs="Calibri"/>
                <w:color w:val="000000"/>
                <w:sz w:val="20"/>
              </w:rPr>
            </w:pPr>
            <w:r w:rsidRPr="00D435DC">
              <w:rPr>
                <w:rFonts w:ascii="Calibri" w:hAnsi="Calibri" w:cs="Calibri"/>
                <w:color w:val="000000"/>
                <w:sz w:val="20"/>
              </w:rPr>
              <w:t>1 655 371 940,00</w:t>
            </w:r>
          </w:p>
        </w:tc>
        <w:tc>
          <w:tcPr>
            <w:tcW w:w="668" w:type="pct"/>
            <w:tcBorders>
              <w:top w:val="nil"/>
              <w:left w:val="nil"/>
              <w:bottom w:val="single" w:sz="4" w:space="0" w:color="auto"/>
              <w:right w:val="single" w:sz="4" w:space="0" w:color="auto"/>
            </w:tcBorders>
            <w:shd w:val="clear" w:color="auto" w:fill="auto"/>
            <w:noWrap/>
            <w:vAlign w:val="center"/>
            <w:hideMark/>
          </w:tcPr>
          <w:p w14:paraId="415AB550"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25,13</w:t>
            </w:r>
          </w:p>
        </w:tc>
      </w:tr>
      <w:tr w:rsidR="00A83EDB" w:rsidRPr="00D435DC" w14:paraId="52D06833" w14:textId="77777777" w:rsidTr="00CC64C6">
        <w:trPr>
          <w:trHeight w:val="227"/>
        </w:trPr>
        <w:tc>
          <w:tcPr>
            <w:tcW w:w="487" w:type="pct"/>
            <w:vMerge/>
            <w:tcBorders>
              <w:top w:val="nil"/>
              <w:left w:val="single" w:sz="4" w:space="0" w:color="auto"/>
              <w:bottom w:val="single" w:sz="4" w:space="0" w:color="000000"/>
              <w:right w:val="single" w:sz="4" w:space="0" w:color="auto"/>
            </w:tcBorders>
            <w:vAlign w:val="center"/>
            <w:hideMark/>
          </w:tcPr>
          <w:p w14:paraId="7690020D" w14:textId="77777777" w:rsidR="00A83EDB" w:rsidRPr="00D435DC" w:rsidRDefault="00A83EDB" w:rsidP="00CC64C6">
            <w:pPr>
              <w:keepNext/>
              <w:jc w:val="left"/>
              <w:rPr>
                <w:rFonts w:ascii="Calibri" w:hAnsi="Calibri" w:cs="Calibri"/>
                <w:b/>
                <w:bCs/>
                <w:color w:val="000000"/>
                <w:sz w:val="20"/>
              </w:rPr>
            </w:pPr>
          </w:p>
        </w:tc>
        <w:tc>
          <w:tcPr>
            <w:tcW w:w="493" w:type="pct"/>
            <w:tcBorders>
              <w:top w:val="nil"/>
              <w:left w:val="nil"/>
              <w:bottom w:val="single" w:sz="4" w:space="0" w:color="auto"/>
              <w:right w:val="single" w:sz="4" w:space="0" w:color="auto"/>
            </w:tcBorders>
            <w:shd w:val="clear" w:color="auto" w:fill="auto"/>
            <w:noWrap/>
            <w:vAlign w:val="center"/>
            <w:hideMark/>
          </w:tcPr>
          <w:p w14:paraId="0DABA908" w14:textId="77777777" w:rsidR="00A83EDB" w:rsidRPr="00D435DC" w:rsidRDefault="00A83EDB" w:rsidP="00CC64C6">
            <w:pPr>
              <w:keepNext/>
              <w:jc w:val="center"/>
              <w:rPr>
                <w:rFonts w:ascii="Calibri" w:hAnsi="Calibri" w:cs="Calibri"/>
                <w:color w:val="000000"/>
                <w:sz w:val="20"/>
              </w:rPr>
            </w:pPr>
            <w:r w:rsidRPr="00D435DC">
              <w:rPr>
                <w:rFonts w:ascii="Calibri" w:hAnsi="Calibri" w:cs="Calibri"/>
                <w:color w:val="000000"/>
                <w:sz w:val="20"/>
              </w:rPr>
              <w:t>2015</w:t>
            </w:r>
          </w:p>
        </w:tc>
        <w:tc>
          <w:tcPr>
            <w:tcW w:w="1676" w:type="pct"/>
            <w:tcBorders>
              <w:top w:val="nil"/>
              <w:left w:val="nil"/>
              <w:bottom w:val="single" w:sz="4" w:space="0" w:color="auto"/>
              <w:right w:val="single" w:sz="4" w:space="0" w:color="auto"/>
            </w:tcBorders>
            <w:shd w:val="clear" w:color="auto" w:fill="auto"/>
            <w:noWrap/>
            <w:vAlign w:val="center"/>
            <w:hideMark/>
          </w:tcPr>
          <w:p w14:paraId="0D805893"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6 873 887 657,55</w:t>
            </w:r>
          </w:p>
        </w:tc>
        <w:tc>
          <w:tcPr>
            <w:tcW w:w="1676" w:type="pct"/>
            <w:tcBorders>
              <w:top w:val="nil"/>
              <w:left w:val="nil"/>
              <w:bottom w:val="single" w:sz="4" w:space="0" w:color="auto"/>
              <w:right w:val="single" w:sz="4" w:space="0" w:color="auto"/>
            </w:tcBorders>
            <w:shd w:val="clear" w:color="auto" w:fill="auto"/>
            <w:noWrap/>
            <w:vAlign w:val="center"/>
            <w:hideMark/>
          </w:tcPr>
          <w:p w14:paraId="0FD2A984" w14:textId="77777777" w:rsidR="00A83EDB" w:rsidRPr="00D435DC" w:rsidRDefault="00A83EDB" w:rsidP="00D435DC">
            <w:pPr>
              <w:keepNext/>
              <w:ind w:right="274"/>
              <w:jc w:val="right"/>
              <w:rPr>
                <w:rFonts w:ascii="Calibri" w:hAnsi="Calibri" w:cs="Calibri"/>
                <w:color w:val="000000"/>
                <w:sz w:val="20"/>
              </w:rPr>
            </w:pPr>
            <w:r w:rsidRPr="00D435DC">
              <w:rPr>
                <w:rFonts w:ascii="Calibri" w:hAnsi="Calibri" w:cs="Calibri"/>
                <w:color w:val="000000"/>
                <w:sz w:val="20"/>
              </w:rPr>
              <w:t>1 806 487 170,00</w:t>
            </w:r>
          </w:p>
        </w:tc>
        <w:tc>
          <w:tcPr>
            <w:tcW w:w="668" w:type="pct"/>
            <w:tcBorders>
              <w:top w:val="nil"/>
              <w:left w:val="nil"/>
              <w:bottom w:val="single" w:sz="4" w:space="0" w:color="auto"/>
              <w:right w:val="single" w:sz="4" w:space="0" w:color="auto"/>
            </w:tcBorders>
            <w:shd w:val="clear" w:color="auto" w:fill="auto"/>
            <w:noWrap/>
            <w:vAlign w:val="center"/>
            <w:hideMark/>
          </w:tcPr>
          <w:p w14:paraId="1FBDE394"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26,28</w:t>
            </w:r>
          </w:p>
        </w:tc>
      </w:tr>
      <w:tr w:rsidR="00A83EDB" w:rsidRPr="00D435DC" w14:paraId="209E5118" w14:textId="77777777" w:rsidTr="00CC64C6">
        <w:trPr>
          <w:trHeight w:val="227"/>
        </w:trPr>
        <w:tc>
          <w:tcPr>
            <w:tcW w:w="487" w:type="pct"/>
            <w:vMerge/>
            <w:tcBorders>
              <w:top w:val="nil"/>
              <w:left w:val="single" w:sz="4" w:space="0" w:color="auto"/>
              <w:bottom w:val="single" w:sz="4" w:space="0" w:color="000000"/>
              <w:right w:val="single" w:sz="4" w:space="0" w:color="auto"/>
            </w:tcBorders>
            <w:vAlign w:val="center"/>
            <w:hideMark/>
          </w:tcPr>
          <w:p w14:paraId="203A58A7" w14:textId="77777777" w:rsidR="00A83EDB" w:rsidRPr="00D435DC" w:rsidRDefault="00A83EDB" w:rsidP="00CC64C6">
            <w:pPr>
              <w:keepNext/>
              <w:jc w:val="left"/>
              <w:rPr>
                <w:rFonts w:ascii="Calibri" w:hAnsi="Calibri" w:cs="Calibri"/>
                <w:b/>
                <w:bCs/>
                <w:color w:val="000000"/>
                <w:sz w:val="20"/>
              </w:rPr>
            </w:pPr>
          </w:p>
        </w:tc>
        <w:tc>
          <w:tcPr>
            <w:tcW w:w="493" w:type="pct"/>
            <w:tcBorders>
              <w:top w:val="nil"/>
              <w:left w:val="nil"/>
              <w:bottom w:val="single" w:sz="4" w:space="0" w:color="auto"/>
              <w:right w:val="single" w:sz="4" w:space="0" w:color="auto"/>
            </w:tcBorders>
            <w:shd w:val="clear" w:color="auto" w:fill="auto"/>
            <w:noWrap/>
            <w:vAlign w:val="center"/>
            <w:hideMark/>
          </w:tcPr>
          <w:p w14:paraId="7967B643" w14:textId="77777777" w:rsidR="00A83EDB" w:rsidRPr="00D435DC" w:rsidRDefault="00A83EDB" w:rsidP="00CC64C6">
            <w:pPr>
              <w:keepNext/>
              <w:jc w:val="center"/>
              <w:rPr>
                <w:rFonts w:ascii="Calibri" w:hAnsi="Calibri" w:cs="Calibri"/>
                <w:color w:val="000000"/>
                <w:sz w:val="20"/>
              </w:rPr>
            </w:pPr>
            <w:r w:rsidRPr="00D435DC">
              <w:rPr>
                <w:rFonts w:ascii="Calibri" w:hAnsi="Calibri" w:cs="Calibri"/>
                <w:color w:val="000000"/>
                <w:sz w:val="20"/>
              </w:rPr>
              <w:t>2016</w:t>
            </w:r>
          </w:p>
        </w:tc>
        <w:tc>
          <w:tcPr>
            <w:tcW w:w="1676" w:type="pct"/>
            <w:tcBorders>
              <w:top w:val="nil"/>
              <w:left w:val="nil"/>
              <w:bottom w:val="single" w:sz="4" w:space="0" w:color="auto"/>
              <w:right w:val="single" w:sz="4" w:space="0" w:color="auto"/>
            </w:tcBorders>
            <w:shd w:val="clear" w:color="auto" w:fill="auto"/>
            <w:noWrap/>
            <w:vAlign w:val="center"/>
            <w:hideMark/>
          </w:tcPr>
          <w:p w14:paraId="1AC82001"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7 658 859 583,03</w:t>
            </w:r>
          </w:p>
        </w:tc>
        <w:tc>
          <w:tcPr>
            <w:tcW w:w="1676" w:type="pct"/>
            <w:tcBorders>
              <w:top w:val="nil"/>
              <w:left w:val="nil"/>
              <w:bottom w:val="single" w:sz="4" w:space="0" w:color="auto"/>
              <w:right w:val="single" w:sz="4" w:space="0" w:color="auto"/>
            </w:tcBorders>
            <w:shd w:val="clear" w:color="auto" w:fill="auto"/>
            <w:noWrap/>
            <w:vAlign w:val="center"/>
            <w:hideMark/>
          </w:tcPr>
          <w:p w14:paraId="0A807CFD" w14:textId="77777777" w:rsidR="00A83EDB" w:rsidRPr="00D435DC" w:rsidRDefault="00A83EDB" w:rsidP="00D435DC">
            <w:pPr>
              <w:keepNext/>
              <w:ind w:right="274"/>
              <w:jc w:val="right"/>
              <w:rPr>
                <w:rFonts w:ascii="Calibri" w:hAnsi="Calibri" w:cs="Calibri"/>
                <w:color w:val="000000"/>
                <w:sz w:val="20"/>
              </w:rPr>
            </w:pPr>
            <w:r w:rsidRPr="00D435DC">
              <w:rPr>
                <w:rFonts w:ascii="Calibri" w:hAnsi="Calibri" w:cs="Calibri"/>
                <w:color w:val="000000"/>
                <w:sz w:val="20"/>
              </w:rPr>
              <w:t>2 085 461 230,00</w:t>
            </w:r>
          </w:p>
        </w:tc>
        <w:tc>
          <w:tcPr>
            <w:tcW w:w="668" w:type="pct"/>
            <w:tcBorders>
              <w:top w:val="nil"/>
              <w:left w:val="nil"/>
              <w:bottom w:val="single" w:sz="4" w:space="0" w:color="auto"/>
              <w:right w:val="single" w:sz="4" w:space="0" w:color="auto"/>
            </w:tcBorders>
            <w:shd w:val="clear" w:color="auto" w:fill="auto"/>
            <w:noWrap/>
            <w:vAlign w:val="center"/>
            <w:hideMark/>
          </w:tcPr>
          <w:p w14:paraId="7E47B958"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27,23</w:t>
            </w:r>
          </w:p>
        </w:tc>
      </w:tr>
      <w:tr w:rsidR="00A83EDB" w:rsidRPr="00D435DC" w14:paraId="22A06389" w14:textId="77777777" w:rsidTr="00CC64C6">
        <w:trPr>
          <w:trHeight w:val="227"/>
        </w:trPr>
        <w:tc>
          <w:tcPr>
            <w:tcW w:w="48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499BD63" w14:textId="77777777" w:rsidR="00A83EDB" w:rsidRPr="00D435DC" w:rsidRDefault="00A83EDB" w:rsidP="00CC64C6">
            <w:pPr>
              <w:keepNext/>
              <w:jc w:val="left"/>
              <w:rPr>
                <w:rFonts w:ascii="Calibri" w:hAnsi="Calibri" w:cs="Calibri"/>
                <w:b/>
                <w:bCs/>
                <w:color w:val="000000"/>
                <w:sz w:val="20"/>
              </w:rPr>
            </w:pPr>
            <w:r w:rsidRPr="00D435DC">
              <w:rPr>
                <w:rFonts w:ascii="Calibri" w:hAnsi="Calibri" w:cs="Calibri"/>
                <w:b/>
                <w:bCs/>
                <w:color w:val="000000"/>
                <w:sz w:val="20"/>
              </w:rPr>
              <w:t>FNM</w:t>
            </w:r>
          </w:p>
        </w:tc>
        <w:tc>
          <w:tcPr>
            <w:tcW w:w="493" w:type="pct"/>
            <w:tcBorders>
              <w:top w:val="nil"/>
              <w:left w:val="nil"/>
              <w:bottom w:val="single" w:sz="4" w:space="0" w:color="auto"/>
              <w:right w:val="single" w:sz="4" w:space="0" w:color="auto"/>
            </w:tcBorders>
            <w:shd w:val="clear" w:color="auto" w:fill="auto"/>
            <w:noWrap/>
            <w:vAlign w:val="center"/>
            <w:hideMark/>
          </w:tcPr>
          <w:p w14:paraId="49037D98" w14:textId="77777777" w:rsidR="00A83EDB" w:rsidRPr="00D435DC" w:rsidRDefault="00A83EDB" w:rsidP="00CC64C6">
            <w:pPr>
              <w:keepNext/>
              <w:jc w:val="center"/>
              <w:rPr>
                <w:rFonts w:ascii="Calibri" w:hAnsi="Calibri" w:cs="Calibri"/>
                <w:color w:val="000000"/>
                <w:sz w:val="20"/>
              </w:rPr>
            </w:pPr>
            <w:r w:rsidRPr="00D435DC">
              <w:rPr>
                <w:rFonts w:ascii="Calibri" w:hAnsi="Calibri" w:cs="Calibri"/>
                <w:color w:val="000000"/>
                <w:sz w:val="20"/>
              </w:rPr>
              <w:t>2014</w:t>
            </w:r>
          </w:p>
        </w:tc>
        <w:tc>
          <w:tcPr>
            <w:tcW w:w="1676" w:type="pct"/>
            <w:tcBorders>
              <w:top w:val="nil"/>
              <w:left w:val="nil"/>
              <w:bottom w:val="single" w:sz="4" w:space="0" w:color="auto"/>
              <w:right w:val="single" w:sz="4" w:space="0" w:color="auto"/>
            </w:tcBorders>
            <w:shd w:val="clear" w:color="auto" w:fill="auto"/>
            <w:noWrap/>
            <w:vAlign w:val="center"/>
            <w:hideMark/>
          </w:tcPr>
          <w:p w14:paraId="25F60929"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7 486 988 592,69</w:t>
            </w:r>
          </w:p>
        </w:tc>
        <w:tc>
          <w:tcPr>
            <w:tcW w:w="1676" w:type="pct"/>
            <w:tcBorders>
              <w:top w:val="nil"/>
              <w:left w:val="nil"/>
              <w:bottom w:val="single" w:sz="4" w:space="0" w:color="auto"/>
              <w:right w:val="single" w:sz="4" w:space="0" w:color="auto"/>
            </w:tcBorders>
            <w:shd w:val="clear" w:color="auto" w:fill="auto"/>
            <w:noWrap/>
            <w:vAlign w:val="center"/>
            <w:hideMark/>
          </w:tcPr>
          <w:p w14:paraId="6ACA34AC" w14:textId="77777777" w:rsidR="00A83EDB" w:rsidRPr="00D435DC" w:rsidRDefault="00A83EDB" w:rsidP="00D435DC">
            <w:pPr>
              <w:keepNext/>
              <w:ind w:right="274"/>
              <w:jc w:val="right"/>
              <w:rPr>
                <w:rFonts w:ascii="Calibri" w:hAnsi="Calibri" w:cs="Calibri"/>
                <w:color w:val="000000"/>
                <w:sz w:val="20"/>
              </w:rPr>
            </w:pPr>
            <w:r w:rsidRPr="00D435DC">
              <w:rPr>
                <w:rFonts w:ascii="Calibri" w:hAnsi="Calibri" w:cs="Calibri"/>
                <w:color w:val="000000"/>
                <w:sz w:val="20"/>
              </w:rPr>
              <w:t>1 251 483 939,18</w:t>
            </w:r>
          </w:p>
        </w:tc>
        <w:tc>
          <w:tcPr>
            <w:tcW w:w="668" w:type="pct"/>
            <w:tcBorders>
              <w:top w:val="nil"/>
              <w:left w:val="nil"/>
              <w:bottom w:val="single" w:sz="4" w:space="0" w:color="auto"/>
              <w:right w:val="single" w:sz="4" w:space="0" w:color="auto"/>
            </w:tcBorders>
            <w:shd w:val="clear" w:color="auto" w:fill="auto"/>
            <w:noWrap/>
            <w:vAlign w:val="center"/>
            <w:hideMark/>
          </w:tcPr>
          <w:p w14:paraId="6A538EF6"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16,72</w:t>
            </w:r>
          </w:p>
        </w:tc>
      </w:tr>
      <w:tr w:rsidR="00A83EDB" w:rsidRPr="00D435DC" w14:paraId="6E32A0A6" w14:textId="77777777" w:rsidTr="00CC64C6">
        <w:trPr>
          <w:trHeight w:val="227"/>
        </w:trPr>
        <w:tc>
          <w:tcPr>
            <w:tcW w:w="487" w:type="pct"/>
            <w:vMerge/>
            <w:tcBorders>
              <w:top w:val="nil"/>
              <w:left w:val="single" w:sz="4" w:space="0" w:color="auto"/>
              <w:bottom w:val="single" w:sz="4" w:space="0" w:color="000000"/>
              <w:right w:val="single" w:sz="4" w:space="0" w:color="auto"/>
            </w:tcBorders>
            <w:vAlign w:val="center"/>
            <w:hideMark/>
          </w:tcPr>
          <w:p w14:paraId="7E175562" w14:textId="77777777" w:rsidR="00A83EDB" w:rsidRPr="00D435DC" w:rsidRDefault="00A83EDB" w:rsidP="00CC64C6">
            <w:pPr>
              <w:keepNext/>
              <w:jc w:val="left"/>
              <w:rPr>
                <w:rFonts w:ascii="Calibri" w:hAnsi="Calibri" w:cs="Calibri"/>
                <w:b/>
                <w:bCs/>
                <w:color w:val="000000"/>
                <w:sz w:val="20"/>
              </w:rPr>
            </w:pPr>
          </w:p>
        </w:tc>
        <w:tc>
          <w:tcPr>
            <w:tcW w:w="493" w:type="pct"/>
            <w:tcBorders>
              <w:top w:val="nil"/>
              <w:left w:val="nil"/>
              <w:bottom w:val="single" w:sz="4" w:space="0" w:color="auto"/>
              <w:right w:val="single" w:sz="4" w:space="0" w:color="auto"/>
            </w:tcBorders>
            <w:shd w:val="clear" w:color="auto" w:fill="auto"/>
            <w:noWrap/>
            <w:vAlign w:val="center"/>
            <w:hideMark/>
          </w:tcPr>
          <w:p w14:paraId="60338FE7" w14:textId="77777777" w:rsidR="00A83EDB" w:rsidRPr="00D435DC" w:rsidRDefault="00A83EDB" w:rsidP="00CC64C6">
            <w:pPr>
              <w:keepNext/>
              <w:jc w:val="center"/>
              <w:rPr>
                <w:rFonts w:ascii="Calibri" w:hAnsi="Calibri" w:cs="Calibri"/>
                <w:color w:val="000000"/>
                <w:sz w:val="20"/>
              </w:rPr>
            </w:pPr>
            <w:r w:rsidRPr="00D435DC">
              <w:rPr>
                <w:rFonts w:ascii="Calibri" w:hAnsi="Calibri" w:cs="Calibri"/>
                <w:color w:val="000000"/>
                <w:sz w:val="20"/>
              </w:rPr>
              <w:t>2015</w:t>
            </w:r>
          </w:p>
        </w:tc>
        <w:tc>
          <w:tcPr>
            <w:tcW w:w="1676" w:type="pct"/>
            <w:tcBorders>
              <w:top w:val="nil"/>
              <w:left w:val="nil"/>
              <w:bottom w:val="single" w:sz="4" w:space="0" w:color="auto"/>
              <w:right w:val="single" w:sz="4" w:space="0" w:color="auto"/>
            </w:tcBorders>
            <w:shd w:val="clear" w:color="auto" w:fill="auto"/>
            <w:noWrap/>
            <w:vAlign w:val="center"/>
            <w:hideMark/>
          </w:tcPr>
          <w:p w14:paraId="35248223"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7 775 201 097,39</w:t>
            </w:r>
          </w:p>
        </w:tc>
        <w:tc>
          <w:tcPr>
            <w:tcW w:w="1676" w:type="pct"/>
            <w:tcBorders>
              <w:top w:val="nil"/>
              <w:left w:val="nil"/>
              <w:bottom w:val="single" w:sz="4" w:space="0" w:color="auto"/>
              <w:right w:val="single" w:sz="4" w:space="0" w:color="auto"/>
            </w:tcBorders>
            <w:shd w:val="clear" w:color="auto" w:fill="auto"/>
            <w:noWrap/>
            <w:vAlign w:val="center"/>
            <w:hideMark/>
          </w:tcPr>
          <w:p w14:paraId="54A13DCC" w14:textId="77777777" w:rsidR="00A83EDB" w:rsidRPr="00D435DC" w:rsidRDefault="00A83EDB" w:rsidP="00D435DC">
            <w:pPr>
              <w:keepNext/>
              <w:ind w:right="274"/>
              <w:jc w:val="right"/>
              <w:rPr>
                <w:rFonts w:ascii="Calibri" w:hAnsi="Calibri" w:cs="Calibri"/>
                <w:color w:val="000000"/>
                <w:sz w:val="20"/>
              </w:rPr>
            </w:pPr>
            <w:r w:rsidRPr="00D435DC">
              <w:rPr>
                <w:rFonts w:ascii="Calibri" w:hAnsi="Calibri" w:cs="Calibri"/>
                <w:color w:val="000000"/>
                <w:sz w:val="20"/>
              </w:rPr>
              <w:t>1 333 835 771,82</w:t>
            </w:r>
          </w:p>
        </w:tc>
        <w:tc>
          <w:tcPr>
            <w:tcW w:w="668" w:type="pct"/>
            <w:tcBorders>
              <w:top w:val="nil"/>
              <w:left w:val="nil"/>
              <w:bottom w:val="single" w:sz="4" w:space="0" w:color="auto"/>
              <w:right w:val="single" w:sz="4" w:space="0" w:color="auto"/>
            </w:tcBorders>
            <w:shd w:val="clear" w:color="auto" w:fill="auto"/>
            <w:noWrap/>
            <w:vAlign w:val="center"/>
            <w:hideMark/>
          </w:tcPr>
          <w:p w14:paraId="48CCA715"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17,16</w:t>
            </w:r>
          </w:p>
        </w:tc>
      </w:tr>
      <w:tr w:rsidR="00A83EDB" w:rsidRPr="00D435DC" w14:paraId="54A1C81A" w14:textId="77777777" w:rsidTr="00CC64C6">
        <w:trPr>
          <w:trHeight w:val="227"/>
        </w:trPr>
        <w:tc>
          <w:tcPr>
            <w:tcW w:w="487" w:type="pct"/>
            <w:vMerge/>
            <w:tcBorders>
              <w:top w:val="nil"/>
              <w:left w:val="single" w:sz="4" w:space="0" w:color="auto"/>
              <w:bottom w:val="single" w:sz="4" w:space="0" w:color="000000"/>
              <w:right w:val="single" w:sz="4" w:space="0" w:color="auto"/>
            </w:tcBorders>
            <w:vAlign w:val="center"/>
            <w:hideMark/>
          </w:tcPr>
          <w:p w14:paraId="274A0036" w14:textId="77777777" w:rsidR="00A83EDB" w:rsidRPr="00D435DC" w:rsidRDefault="00A83EDB" w:rsidP="00CC64C6">
            <w:pPr>
              <w:keepNext/>
              <w:jc w:val="left"/>
              <w:rPr>
                <w:rFonts w:ascii="Calibri" w:hAnsi="Calibri" w:cs="Calibri"/>
                <w:b/>
                <w:bCs/>
                <w:color w:val="000000"/>
                <w:sz w:val="20"/>
              </w:rPr>
            </w:pPr>
          </w:p>
        </w:tc>
        <w:tc>
          <w:tcPr>
            <w:tcW w:w="493" w:type="pct"/>
            <w:tcBorders>
              <w:top w:val="nil"/>
              <w:left w:val="nil"/>
              <w:bottom w:val="single" w:sz="4" w:space="0" w:color="auto"/>
              <w:right w:val="single" w:sz="4" w:space="0" w:color="auto"/>
            </w:tcBorders>
            <w:shd w:val="clear" w:color="auto" w:fill="auto"/>
            <w:noWrap/>
            <w:vAlign w:val="center"/>
            <w:hideMark/>
          </w:tcPr>
          <w:p w14:paraId="5CF6CD7D" w14:textId="77777777" w:rsidR="00A83EDB" w:rsidRPr="00D435DC" w:rsidRDefault="00A83EDB" w:rsidP="00CC64C6">
            <w:pPr>
              <w:keepNext/>
              <w:jc w:val="center"/>
              <w:rPr>
                <w:rFonts w:ascii="Calibri" w:hAnsi="Calibri" w:cs="Calibri"/>
                <w:color w:val="000000"/>
                <w:sz w:val="20"/>
              </w:rPr>
            </w:pPr>
            <w:r w:rsidRPr="00D435DC">
              <w:rPr>
                <w:rFonts w:ascii="Calibri" w:hAnsi="Calibri" w:cs="Calibri"/>
                <w:color w:val="000000"/>
                <w:sz w:val="20"/>
              </w:rPr>
              <w:t>2016</w:t>
            </w:r>
          </w:p>
        </w:tc>
        <w:tc>
          <w:tcPr>
            <w:tcW w:w="1676" w:type="pct"/>
            <w:tcBorders>
              <w:top w:val="nil"/>
              <w:left w:val="nil"/>
              <w:bottom w:val="single" w:sz="4" w:space="0" w:color="auto"/>
              <w:right w:val="single" w:sz="4" w:space="0" w:color="auto"/>
            </w:tcBorders>
            <w:shd w:val="clear" w:color="auto" w:fill="auto"/>
            <w:noWrap/>
            <w:vAlign w:val="center"/>
            <w:hideMark/>
          </w:tcPr>
          <w:p w14:paraId="03362542"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8 134 270 527,66</w:t>
            </w:r>
          </w:p>
        </w:tc>
        <w:tc>
          <w:tcPr>
            <w:tcW w:w="1676" w:type="pct"/>
            <w:tcBorders>
              <w:top w:val="nil"/>
              <w:left w:val="nil"/>
              <w:bottom w:val="single" w:sz="4" w:space="0" w:color="auto"/>
              <w:right w:val="single" w:sz="4" w:space="0" w:color="auto"/>
            </w:tcBorders>
            <w:shd w:val="clear" w:color="auto" w:fill="auto"/>
            <w:noWrap/>
            <w:vAlign w:val="center"/>
            <w:hideMark/>
          </w:tcPr>
          <w:p w14:paraId="4F3FF738" w14:textId="77777777" w:rsidR="00A83EDB" w:rsidRPr="00D435DC" w:rsidRDefault="00A83EDB" w:rsidP="00D435DC">
            <w:pPr>
              <w:keepNext/>
              <w:ind w:right="274"/>
              <w:jc w:val="right"/>
              <w:rPr>
                <w:rFonts w:ascii="Calibri" w:hAnsi="Calibri" w:cs="Calibri"/>
                <w:color w:val="000000"/>
                <w:sz w:val="20"/>
              </w:rPr>
            </w:pPr>
            <w:r w:rsidRPr="00D435DC">
              <w:rPr>
                <w:rFonts w:ascii="Calibri" w:hAnsi="Calibri" w:cs="Calibri"/>
                <w:color w:val="000000"/>
                <w:sz w:val="20"/>
              </w:rPr>
              <w:t>1 477 736 106,26</w:t>
            </w:r>
          </w:p>
        </w:tc>
        <w:tc>
          <w:tcPr>
            <w:tcW w:w="668" w:type="pct"/>
            <w:tcBorders>
              <w:top w:val="nil"/>
              <w:left w:val="nil"/>
              <w:bottom w:val="single" w:sz="4" w:space="0" w:color="auto"/>
              <w:right w:val="single" w:sz="4" w:space="0" w:color="auto"/>
            </w:tcBorders>
            <w:shd w:val="clear" w:color="auto" w:fill="auto"/>
            <w:noWrap/>
            <w:vAlign w:val="center"/>
            <w:hideMark/>
          </w:tcPr>
          <w:p w14:paraId="63FBF98F"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18,17</w:t>
            </w:r>
          </w:p>
        </w:tc>
      </w:tr>
      <w:tr w:rsidR="00A83EDB" w:rsidRPr="00D435DC" w14:paraId="7F31EF4B" w14:textId="77777777" w:rsidTr="00CC64C6">
        <w:trPr>
          <w:trHeight w:val="227"/>
        </w:trPr>
        <w:tc>
          <w:tcPr>
            <w:tcW w:w="48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D866F86" w14:textId="77777777" w:rsidR="00A83EDB" w:rsidRPr="00D435DC" w:rsidRDefault="00A83EDB" w:rsidP="00CC64C6">
            <w:pPr>
              <w:keepNext/>
              <w:jc w:val="left"/>
              <w:rPr>
                <w:rFonts w:ascii="Calibri" w:hAnsi="Calibri" w:cs="Calibri"/>
                <w:b/>
                <w:bCs/>
                <w:color w:val="000000"/>
                <w:sz w:val="20"/>
              </w:rPr>
            </w:pPr>
            <w:r w:rsidRPr="00D435DC">
              <w:rPr>
                <w:rFonts w:ascii="Calibri" w:hAnsi="Calibri" w:cs="Calibri"/>
                <w:b/>
                <w:bCs/>
                <w:color w:val="000000"/>
                <w:sz w:val="20"/>
              </w:rPr>
              <w:t>ÚVN</w:t>
            </w:r>
          </w:p>
        </w:tc>
        <w:tc>
          <w:tcPr>
            <w:tcW w:w="493" w:type="pct"/>
            <w:tcBorders>
              <w:top w:val="nil"/>
              <w:left w:val="nil"/>
              <w:bottom w:val="single" w:sz="4" w:space="0" w:color="auto"/>
              <w:right w:val="single" w:sz="4" w:space="0" w:color="auto"/>
            </w:tcBorders>
            <w:shd w:val="clear" w:color="auto" w:fill="auto"/>
            <w:noWrap/>
            <w:vAlign w:val="center"/>
            <w:hideMark/>
          </w:tcPr>
          <w:p w14:paraId="09715EF8" w14:textId="77777777" w:rsidR="00A83EDB" w:rsidRPr="00D435DC" w:rsidRDefault="00A83EDB" w:rsidP="00CC64C6">
            <w:pPr>
              <w:keepNext/>
              <w:jc w:val="center"/>
              <w:rPr>
                <w:rFonts w:ascii="Calibri" w:hAnsi="Calibri" w:cs="Calibri"/>
                <w:color w:val="000000"/>
                <w:sz w:val="20"/>
              </w:rPr>
            </w:pPr>
            <w:r w:rsidRPr="00D435DC">
              <w:rPr>
                <w:rFonts w:ascii="Calibri" w:hAnsi="Calibri" w:cs="Calibri"/>
                <w:color w:val="000000"/>
                <w:sz w:val="20"/>
              </w:rPr>
              <w:t>2014</w:t>
            </w:r>
          </w:p>
        </w:tc>
        <w:tc>
          <w:tcPr>
            <w:tcW w:w="1676" w:type="pct"/>
            <w:tcBorders>
              <w:top w:val="nil"/>
              <w:left w:val="nil"/>
              <w:bottom w:val="single" w:sz="4" w:space="0" w:color="auto"/>
              <w:right w:val="single" w:sz="4" w:space="0" w:color="auto"/>
            </w:tcBorders>
            <w:shd w:val="clear" w:color="auto" w:fill="auto"/>
            <w:noWrap/>
            <w:vAlign w:val="center"/>
            <w:hideMark/>
          </w:tcPr>
          <w:p w14:paraId="5D550A29"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2 211 717 268,54</w:t>
            </w:r>
          </w:p>
        </w:tc>
        <w:tc>
          <w:tcPr>
            <w:tcW w:w="1676" w:type="pct"/>
            <w:tcBorders>
              <w:top w:val="nil"/>
              <w:left w:val="nil"/>
              <w:bottom w:val="single" w:sz="4" w:space="0" w:color="auto"/>
              <w:right w:val="single" w:sz="4" w:space="0" w:color="auto"/>
            </w:tcBorders>
            <w:shd w:val="clear" w:color="auto" w:fill="auto"/>
            <w:noWrap/>
            <w:vAlign w:val="center"/>
            <w:hideMark/>
          </w:tcPr>
          <w:p w14:paraId="2273BE55" w14:textId="77777777" w:rsidR="00A83EDB" w:rsidRPr="00D435DC" w:rsidRDefault="00A83EDB" w:rsidP="00D435DC">
            <w:pPr>
              <w:keepNext/>
              <w:ind w:right="274"/>
              <w:jc w:val="right"/>
              <w:rPr>
                <w:rFonts w:ascii="Calibri" w:hAnsi="Calibri" w:cs="Calibri"/>
                <w:color w:val="000000"/>
                <w:sz w:val="20"/>
              </w:rPr>
            </w:pPr>
            <w:r w:rsidRPr="00D435DC">
              <w:rPr>
                <w:rFonts w:ascii="Calibri" w:hAnsi="Calibri" w:cs="Calibri"/>
                <w:color w:val="000000"/>
                <w:sz w:val="20"/>
              </w:rPr>
              <w:t>141 119 580,00</w:t>
            </w:r>
          </w:p>
        </w:tc>
        <w:tc>
          <w:tcPr>
            <w:tcW w:w="668" w:type="pct"/>
            <w:tcBorders>
              <w:top w:val="nil"/>
              <w:left w:val="nil"/>
              <w:bottom w:val="single" w:sz="4" w:space="0" w:color="auto"/>
              <w:right w:val="single" w:sz="4" w:space="0" w:color="auto"/>
            </w:tcBorders>
            <w:shd w:val="clear" w:color="auto" w:fill="auto"/>
            <w:noWrap/>
            <w:vAlign w:val="center"/>
            <w:hideMark/>
          </w:tcPr>
          <w:p w14:paraId="4D598AE2"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6,38</w:t>
            </w:r>
          </w:p>
        </w:tc>
      </w:tr>
      <w:tr w:rsidR="00A83EDB" w:rsidRPr="00D435DC" w14:paraId="6BB4E42B" w14:textId="77777777" w:rsidTr="00CC64C6">
        <w:trPr>
          <w:trHeight w:val="227"/>
        </w:trPr>
        <w:tc>
          <w:tcPr>
            <w:tcW w:w="487" w:type="pct"/>
            <w:vMerge/>
            <w:tcBorders>
              <w:top w:val="nil"/>
              <w:left w:val="single" w:sz="4" w:space="0" w:color="auto"/>
              <w:bottom w:val="single" w:sz="4" w:space="0" w:color="000000"/>
              <w:right w:val="single" w:sz="4" w:space="0" w:color="auto"/>
            </w:tcBorders>
            <w:vAlign w:val="center"/>
            <w:hideMark/>
          </w:tcPr>
          <w:p w14:paraId="39B5FF5E" w14:textId="77777777" w:rsidR="00A83EDB" w:rsidRPr="00D435DC" w:rsidRDefault="00A83EDB" w:rsidP="00CC64C6">
            <w:pPr>
              <w:keepNext/>
              <w:jc w:val="left"/>
              <w:rPr>
                <w:rFonts w:ascii="Calibri" w:hAnsi="Calibri" w:cs="Calibri"/>
                <w:b/>
                <w:bCs/>
                <w:color w:val="000000"/>
                <w:sz w:val="20"/>
              </w:rPr>
            </w:pPr>
          </w:p>
        </w:tc>
        <w:tc>
          <w:tcPr>
            <w:tcW w:w="493" w:type="pct"/>
            <w:tcBorders>
              <w:top w:val="nil"/>
              <w:left w:val="nil"/>
              <w:bottom w:val="single" w:sz="4" w:space="0" w:color="auto"/>
              <w:right w:val="single" w:sz="4" w:space="0" w:color="auto"/>
            </w:tcBorders>
            <w:shd w:val="clear" w:color="auto" w:fill="auto"/>
            <w:noWrap/>
            <w:vAlign w:val="center"/>
            <w:hideMark/>
          </w:tcPr>
          <w:p w14:paraId="16127B03" w14:textId="77777777" w:rsidR="00A83EDB" w:rsidRPr="00D435DC" w:rsidRDefault="00A83EDB" w:rsidP="00CC64C6">
            <w:pPr>
              <w:keepNext/>
              <w:jc w:val="center"/>
              <w:rPr>
                <w:rFonts w:ascii="Calibri" w:hAnsi="Calibri" w:cs="Calibri"/>
                <w:color w:val="000000"/>
                <w:sz w:val="20"/>
              </w:rPr>
            </w:pPr>
            <w:r w:rsidRPr="00D435DC">
              <w:rPr>
                <w:rFonts w:ascii="Calibri" w:hAnsi="Calibri" w:cs="Calibri"/>
                <w:color w:val="000000"/>
                <w:sz w:val="20"/>
              </w:rPr>
              <w:t>2015</w:t>
            </w:r>
          </w:p>
        </w:tc>
        <w:tc>
          <w:tcPr>
            <w:tcW w:w="1676" w:type="pct"/>
            <w:tcBorders>
              <w:top w:val="nil"/>
              <w:left w:val="nil"/>
              <w:bottom w:val="single" w:sz="4" w:space="0" w:color="auto"/>
              <w:right w:val="single" w:sz="4" w:space="0" w:color="auto"/>
            </w:tcBorders>
            <w:shd w:val="clear" w:color="auto" w:fill="auto"/>
            <w:noWrap/>
            <w:vAlign w:val="center"/>
            <w:hideMark/>
          </w:tcPr>
          <w:p w14:paraId="5E05EEF7"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2 454 898 588,02</w:t>
            </w:r>
          </w:p>
        </w:tc>
        <w:tc>
          <w:tcPr>
            <w:tcW w:w="1676" w:type="pct"/>
            <w:tcBorders>
              <w:top w:val="nil"/>
              <w:left w:val="nil"/>
              <w:bottom w:val="single" w:sz="4" w:space="0" w:color="auto"/>
              <w:right w:val="single" w:sz="4" w:space="0" w:color="auto"/>
            </w:tcBorders>
            <w:shd w:val="clear" w:color="auto" w:fill="auto"/>
            <w:noWrap/>
            <w:vAlign w:val="center"/>
            <w:hideMark/>
          </w:tcPr>
          <w:p w14:paraId="24AD6182" w14:textId="77777777" w:rsidR="00A83EDB" w:rsidRPr="00D435DC" w:rsidRDefault="00A83EDB" w:rsidP="00D435DC">
            <w:pPr>
              <w:keepNext/>
              <w:ind w:right="274"/>
              <w:jc w:val="right"/>
              <w:rPr>
                <w:rFonts w:ascii="Calibri" w:hAnsi="Calibri" w:cs="Calibri"/>
                <w:color w:val="000000"/>
                <w:sz w:val="20"/>
              </w:rPr>
            </w:pPr>
            <w:r w:rsidRPr="00D435DC">
              <w:rPr>
                <w:rFonts w:ascii="Calibri" w:hAnsi="Calibri" w:cs="Calibri"/>
                <w:color w:val="000000"/>
                <w:sz w:val="20"/>
              </w:rPr>
              <w:t>157 737 610,00</w:t>
            </w:r>
          </w:p>
        </w:tc>
        <w:tc>
          <w:tcPr>
            <w:tcW w:w="668" w:type="pct"/>
            <w:tcBorders>
              <w:top w:val="nil"/>
              <w:left w:val="nil"/>
              <w:bottom w:val="single" w:sz="4" w:space="0" w:color="auto"/>
              <w:right w:val="single" w:sz="4" w:space="0" w:color="auto"/>
            </w:tcBorders>
            <w:shd w:val="clear" w:color="auto" w:fill="auto"/>
            <w:noWrap/>
            <w:vAlign w:val="center"/>
            <w:hideMark/>
          </w:tcPr>
          <w:p w14:paraId="2A8281A8"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6,43</w:t>
            </w:r>
          </w:p>
        </w:tc>
      </w:tr>
      <w:tr w:rsidR="00A83EDB" w:rsidRPr="00D435DC" w14:paraId="3A122861" w14:textId="77777777" w:rsidTr="00CC64C6">
        <w:trPr>
          <w:trHeight w:val="227"/>
        </w:trPr>
        <w:tc>
          <w:tcPr>
            <w:tcW w:w="487" w:type="pct"/>
            <w:vMerge/>
            <w:tcBorders>
              <w:top w:val="nil"/>
              <w:left w:val="single" w:sz="4" w:space="0" w:color="auto"/>
              <w:bottom w:val="single" w:sz="4" w:space="0" w:color="000000"/>
              <w:right w:val="single" w:sz="4" w:space="0" w:color="auto"/>
            </w:tcBorders>
            <w:vAlign w:val="center"/>
            <w:hideMark/>
          </w:tcPr>
          <w:p w14:paraId="15A2332B" w14:textId="77777777" w:rsidR="00A83EDB" w:rsidRPr="00D435DC" w:rsidRDefault="00A83EDB" w:rsidP="00CC64C6">
            <w:pPr>
              <w:keepNext/>
              <w:jc w:val="left"/>
              <w:rPr>
                <w:rFonts w:ascii="Calibri" w:hAnsi="Calibri" w:cs="Calibri"/>
                <w:b/>
                <w:bCs/>
                <w:color w:val="000000"/>
                <w:sz w:val="20"/>
              </w:rPr>
            </w:pPr>
          </w:p>
        </w:tc>
        <w:tc>
          <w:tcPr>
            <w:tcW w:w="493" w:type="pct"/>
            <w:tcBorders>
              <w:top w:val="nil"/>
              <w:left w:val="nil"/>
              <w:bottom w:val="single" w:sz="4" w:space="0" w:color="auto"/>
              <w:right w:val="single" w:sz="4" w:space="0" w:color="auto"/>
            </w:tcBorders>
            <w:shd w:val="clear" w:color="auto" w:fill="auto"/>
            <w:noWrap/>
            <w:vAlign w:val="center"/>
            <w:hideMark/>
          </w:tcPr>
          <w:p w14:paraId="0A91C1AE" w14:textId="77777777" w:rsidR="00A83EDB" w:rsidRPr="00D435DC" w:rsidRDefault="00A83EDB" w:rsidP="00CC64C6">
            <w:pPr>
              <w:keepNext/>
              <w:jc w:val="center"/>
              <w:rPr>
                <w:rFonts w:ascii="Calibri" w:hAnsi="Calibri" w:cs="Calibri"/>
                <w:color w:val="000000"/>
                <w:sz w:val="20"/>
              </w:rPr>
            </w:pPr>
            <w:r w:rsidRPr="00D435DC">
              <w:rPr>
                <w:rFonts w:ascii="Calibri" w:hAnsi="Calibri" w:cs="Calibri"/>
                <w:color w:val="000000"/>
                <w:sz w:val="20"/>
              </w:rPr>
              <w:t>2016</w:t>
            </w:r>
          </w:p>
        </w:tc>
        <w:tc>
          <w:tcPr>
            <w:tcW w:w="1676" w:type="pct"/>
            <w:tcBorders>
              <w:top w:val="nil"/>
              <w:left w:val="nil"/>
              <w:bottom w:val="single" w:sz="4" w:space="0" w:color="auto"/>
              <w:right w:val="single" w:sz="4" w:space="0" w:color="auto"/>
            </w:tcBorders>
            <w:shd w:val="clear" w:color="auto" w:fill="auto"/>
            <w:noWrap/>
            <w:vAlign w:val="center"/>
            <w:hideMark/>
          </w:tcPr>
          <w:p w14:paraId="14BFE783"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2 550 626 659,83</w:t>
            </w:r>
          </w:p>
        </w:tc>
        <w:tc>
          <w:tcPr>
            <w:tcW w:w="1676" w:type="pct"/>
            <w:tcBorders>
              <w:top w:val="nil"/>
              <w:left w:val="nil"/>
              <w:bottom w:val="single" w:sz="4" w:space="0" w:color="auto"/>
              <w:right w:val="single" w:sz="4" w:space="0" w:color="auto"/>
            </w:tcBorders>
            <w:shd w:val="clear" w:color="auto" w:fill="auto"/>
            <w:noWrap/>
            <w:vAlign w:val="center"/>
            <w:hideMark/>
          </w:tcPr>
          <w:p w14:paraId="21214204"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210 317 440,00</w:t>
            </w:r>
            <w:r w:rsidRPr="00D435DC">
              <w:rPr>
                <w:rFonts w:ascii="Calibri" w:hAnsi="Calibri" w:cs="Calibri"/>
                <w:bCs/>
                <w:color w:val="000000"/>
                <w:sz w:val="20"/>
              </w:rPr>
              <w:t>**</w:t>
            </w:r>
          </w:p>
        </w:tc>
        <w:tc>
          <w:tcPr>
            <w:tcW w:w="668" w:type="pct"/>
            <w:tcBorders>
              <w:top w:val="nil"/>
              <w:left w:val="nil"/>
              <w:bottom w:val="single" w:sz="4" w:space="0" w:color="auto"/>
              <w:right w:val="single" w:sz="4" w:space="0" w:color="auto"/>
            </w:tcBorders>
            <w:shd w:val="clear" w:color="auto" w:fill="auto"/>
            <w:noWrap/>
            <w:vAlign w:val="center"/>
            <w:hideMark/>
          </w:tcPr>
          <w:p w14:paraId="13EE5A7D" w14:textId="77777777" w:rsidR="00A83EDB" w:rsidRPr="00D435DC" w:rsidRDefault="00A83EDB" w:rsidP="00CC64C6">
            <w:pPr>
              <w:keepNext/>
              <w:ind w:right="77"/>
              <w:jc w:val="right"/>
              <w:rPr>
                <w:rFonts w:ascii="Calibri" w:hAnsi="Calibri" w:cs="Calibri"/>
                <w:color w:val="000000"/>
                <w:sz w:val="20"/>
              </w:rPr>
            </w:pPr>
            <w:r w:rsidRPr="00D435DC">
              <w:rPr>
                <w:rFonts w:ascii="Calibri" w:hAnsi="Calibri" w:cs="Calibri"/>
                <w:color w:val="000000"/>
                <w:sz w:val="20"/>
              </w:rPr>
              <w:t>8,25</w:t>
            </w:r>
          </w:p>
        </w:tc>
      </w:tr>
    </w:tbl>
    <w:p w14:paraId="65A3E934" w14:textId="6D073AE6" w:rsidR="00A83EDB" w:rsidRPr="008A1604" w:rsidRDefault="00A83EDB" w:rsidP="00CC64C6">
      <w:pPr>
        <w:pStyle w:val="Zdroj"/>
        <w:keepNext/>
        <w:spacing w:before="40"/>
        <w:ind w:left="567" w:hanging="567"/>
        <w:rPr>
          <w:i w:val="0"/>
          <w:noProof/>
        </w:rPr>
      </w:pPr>
      <w:r w:rsidRPr="008A1604">
        <w:rPr>
          <w:b/>
          <w:i w:val="0"/>
          <w:noProof/>
        </w:rPr>
        <w:t>Zdroj:</w:t>
      </w:r>
      <w:r w:rsidRPr="008A1604">
        <w:rPr>
          <w:i w:val="0"/>
          <w:noProof/>
        </w:rPr>
        <w:t xml:space="preserve"> </w:t>
      </w:r>
      <w:r w:rsidR="008A1604" w:rsidRPr="008A1604">
        <w:rPr>
          <w:i w:val="0"/>
          <w:noProof/>
        </w:rPr>
        <w:tab/>
      </w:r>
      <w:r w:rsidR="00D435DC">
        <w:rPr>
          <w:i w:val="0"/>
          <w:noProof/>
        </w:rPr>
        <w:t>h</w:t>
      </w:r>
      <w:r w:rsidR="009B77AE" w:rsidRPr="008A1604">
        <w:rPr>
          <w:i w:val="0"/>
          <w:noProof/>
        </w:rPr>
        <w:t xml:space="preserve">lavní </w:t>
      </w:r>
      <w:r w:rsidR="003417AC" w:rsidRPr="008A1604">
        <w:rPr>
          <w:i w:val="0"/>
          <w:noProof/>
        </w:rPr>
        <w:t xml:space="preserve">knihy </w:t>
      </w:r>
      <w:r w:rsidR="009B77AE" w:rsidRPr="008A1604">
        <w:rPr>
          <w:i w:val="0"/>
          <w:noProof/>
        </w:rPr>
        <w:t xml:space="preserve">jednotlivých FN k 31. 12. 2014, k 31. 12. 2015 a k 31. 12. </w:t>
      </w:r>
      <w:r w:rsidR="00E67BDE" w:rsidRPr="008A1604">
        <w:rPr>
          <w:i w:val="0"/>
          <w:noProof/>
        </w:rPr>
        <w:t>2016 a účetní závěrky k 31. 12. 2014, k 31. 12. 2015 a k 31. 12. 2016.</w:t>
      </w:r>
    </w:p>
    <w:p w14:paraId="5C36532B" w14:textId="20907314" w:rsidR="00A83EDB" w:rsidRPr="008A1604" w:rsidRDefault="00A83EDB" w:rsidP="008F777B">
      <w:pPr>
        <w:pStyle w:val="Zdroj"/>
        <w:keepNext/>
        <w:ind w:left="284" w:hanging="284"/>
        <w:rPr>
          <w:i w:val="0"/>
          <w:noProof/>
        </w:rPr>
      </w:pPr>
      <w:r w:rsidRPr="008A1604">
        <w:rPr>
          <w:i w:val="0"/>
          <w:noProof/>
        </w:rPr>
        <w:t xml:space="preserve">* </w:t>
      </w:r>
      <w:r w:rsidR="008F777B">
        <w:rPr>
          <w:i w:val="0"/>
          <w:noProof/>
        </w:rPr>
        <w:tab/>
      </w:r>
      <w:r w:rsidRPr="008A1604">
        <w:rPr>
          <w:i w:val="0"/>
          <w:noProof/>
        </w:rPr>
        <w:t>Náklady na léčiva jsou uvedeny bez nákladů na krev, krevní deriváty, medicinální plyny.</w:t>
      </w:r>
    </w:p>
    <w:p w14:paraId="2B218C50" w14:textId="626B9013" w:rsidR="00A83EDB" w:rsidRPr="008A1604" w:rsidRDefault="00A83EDB" w:rsidP="008F777B">
      <w:pPr>
        <w:pStyle w:val="Zdroj"/>
        <w:ind w:left="284" w:hanging="284"/>
        <w:rPr>
          <w:i w:val="0"/>
          <w:noProof/>
        </w:rPr>
      </w:pPr>
      <w:r w:rsidRPr="008A1604">
        <w:rPr>
          <w:i w:val="0"/>
          <w:noProof/>
        </w:rPr>
        <w:t xml:space="preserve">** </w:t>
      </w:r>
      <w:r w:rsidR="008F777B">
        <w:rPr>
          <w:i w:val="0"/>
          <w:noProof/>
        </w:rPr>
        <w:tab/>
      </w:r>
      <w:r w:rsidRPr="008A1604">
        <w:rPr>
          <w:i w:val="0"/>
          <w:noProof/>
        </w:rPr>
        <w:t xml:space="preserve">Skokový nárůst nákladů na léčiva ÚVN v roce 2016 byl </w:t>
      </w:r>
      <w:r w:rsidR="00D435DC">
        <w:rPr>
          <w:i w:val="0"/>
          <w:noProof/>
        </w:rPr>
        <w:t>způsoben</w:t>
      </w:r>
      <w:r w:rsidRPr="008A1604">
        <w:rPr>
          <w:i w:val="0"/>
          <w:noProof/>
        </w:rPr>
        <w:t xml:space="preserve"> zahájení</w:t>
      </w:r>
      <w:r w:rsidR="00D435DC">
        <w:rPr>
          <w:i w:val="0"/>
          <w:noProof/>
        </w:rPr>
        <w:t>m</w:t>
      </w:r>
      <w:r w:rsidRPr="008A1604">
        <w:rPr>
          <w:i w:val="0"/>
          <w:noProof/>
        </w:rPr>
        <w:t xml:space="preserve"> léčby hepatitidy typu C.</w:t>
      </w:r>
    </w:p>
    <w:p w14:paraId="41109DEC" w14:textId="17CC3787" w:rsidR="00A83EDB" w:rsidRPr="008A1604" w:rsidRDefault="00A83EDB" w:rsidP="008A1604">
      <w:pPr>
        <w:autoSpaceDE w:val="0"/>
        <w:autoSpaceDN w:val="0"/>
        <w:adjustRightInd w:val="0"/>
        <w:spacing w:before="120"/>
        <w:rPr>
          <w:rFonts w:cs="Arial"/>
          <w:szCs w:val="24"/>
        </w:rPr>
      </w:pPr>
      <w:r w:rsidRPr="008A1604">
        <w:rPr>
          <w:rFonts w:cs="Arial"/>
          <w:szCs w:val="24"/>
        </w:rPr>
        <w:t xml:space="preserve">Podíl nákladů vynaložených na léčiva na </w:t>
      </w:r>
      <w:r w:rsidR="00D435DC">
        <w:rPr>
          <w:rFonts w:cs="Arial"/>
          <w:szCs w:val="24"/>
        </w:rPr>
        <w:t xml:space="preserve">celkových </w:t>
      </w:r>
      <w:r w:rsidRPr="008A1604">
        <w:rPr>
          <w:rFonts w:cs="Arial"/>
          <w:szCs w:val="24"/>
        </w:rPr>
        <w:t>nákladech se za kontrolované období u FNB pohyboval cca ve výši 26 %, u FNM se pohyboval cca ve výši 17 %, u ÚVN cca ve výši 7 %.</w:t>
      </w:r>
    </w:p>
    <w:p w14:paraId="2BC8D8D0" w14:textId="77777777" w:rsidR="00A83EDB" w:rsidRPr="008A1604" w:rsidRDefault="00A83EDB" w:rsidP="004C3B13">
      <w:pPr>
        <w:spacing w:before="240" w:after="120"/>
        <w:rPr>
          <w:rFonts w:cstheme="minorHAnsi"/>
          <w:b/>
          <w:noProof/>
          <w:color w:val="000000" w:themeColor="text1"/>
          <w:szCs w:val="24"/>
        </w:rPr>
      </w:pPr>
      <w:r w:rsidRPr="008A1604">
        <w:rPr>
          <w:rFonts w:cstheme="minorHAnsi"/>
          <w:b/>
          <w:noProof/>
          <w:color w:val="000000" w:themeColor="text1"/>
          <w:szCs w:val="24"/>
        </w:rPr>
        <w:t>Náklady na zdravotnické prostředky</w:t>
      </w:r>
    </w:p>
    <w:p w14:paraId="533263A0" w14:textId="57F8174C" w:rsidR="00A83EDB" w:rsidRPr="008A1604" w:rsidRDefault="00A83EDB" w:rsidP="008A1604">
      <w:pPr>
        <w:spacing w:before="120"/>
        <w:rPr>
          <w:rFonts w:cstheme="minorHAnsi"/>
          <w:noProof/>
          <w:color w:val="000000" w:themeColor="text1"/>
          <w:szCs w:val="24"/>
        </w:rPr>
      </w:pPr>
      <w:r w:rsidRPr="008A1604">
        <w:rPr>
          <w:rFonts w:cstheme="minorHAnsi"/>
          <w:noProof/>
          <w:color w:val="000000" w:themeColor="text1"/>
          <w:szCs w:val="24"/>
        </w:rPr>
        <w:t>Fakultní nemocnice pořizovaly v kontrolovaném období zdravotnické prostředky</w:t>
      </w:r>
      <w:r w:rsidR="00D435DC">
        <w:rPr>
          <w:rFonts w:cstheme="minorHAnsi"/>
          <w:noProof/>
          <w:color w:val="000000" w:themeColor="text1"/>
          <w:szCs w:val="24"/>
        </w:rPr>
        <w:t>;</w:t>
      </w:r>
      <w:r w:rsidRPr="008A1604">
        <w:rPr>
          <w:rFonts w:cstheme="minorHAnsi"/>
          <w:noProof/>
          <w:color w:val="000000" w:themeColor="text1"/>
          <w:szCs w:val="24"/>
        </w:rPr>
        <w:t xml:space="preserve"> podíl </w:t>
      </w:r>
      <w:r w:rsidR="00D435DC">
        <w:rPr>
          <w:rFonts w:cstheme="minorHAnsi"/>
          <w:noProof/>
          <w:color w:val="000000" w:themeColor="text1"/>
          <w:szCs w:val="24"/>
        </w:rPr>
        <w:t xml:space="preserve">jejich pořizovacích nákladů </w:t>
      </w:r>
      <w:r w:rsidRPr="008A1604">
        <w:rPr>
          <w:rFonts w:cstheme="minorHAnsi"/>
          <w:noProof/>
          <w:color w:val="000000" w:themeColor="text1"/>
          <w:szCs w:val="24"/>
        </w:rPr>
        <w:t>na celkových nákladech je uveden v následujicí tabulce</w:t>
      </w:r>
      <w:r w:rsidR="00D435DC">
        <w:rPr>
          <w:rFonts w:cstheme="minorHAnsi"/>
          <w:noProof/>
          <w:color w:val="000000" w:themeColor="text1"/>
          <w:szCs w:val="24"/>
        </w:rPr>
        <w:t>:</w:t>
      </w:r>
      <w:r w:rsidRPr="008A1604">
        <w:rPr>
          <w:rFonts w:cstheme="minorHAnsi"/>
          <w:noProof/>
          <w:color w:val="000000" w:themeColor="text1"/>
          <w:szCs w:val="24"/>
        </w:rPr>
        <w:t xml:space="preserve"> </w:t>
      </w:r>
    </w:p>
    <w:p w14:paraId="5348C35B" w14:textId="3033B356" w:rsidR="00A83EDB" w:rsidRPr="005B75CD" w:rsidRDefault="00A83EDB" w:rsidP="008A1604">
      <w:pPr>
        <w:spacing w:before="120" w:after="40"/>
        <w:rPr>
          <w:rFonts w:cstheme="minorHAnsi"/>
          <w:b/>
          <w:noProof/>
          <w:color w:val="000000" w:themeColor="text1"/>
          <w:szCs w:val="24"/>
        </w:rPr>
      </w:pPr>
      <w:r w:rsidRPr="005B75CD">
        <w:rPr>
          <w:rFonts w:cstheme="minorHAnsi"/>
          <w:b/>
          <w:noProof/>
          <w:color w:val="000000" w:themeColor="text1"/>
          <w:szCs w:val="24"/>
        </w:rPr>
        <w:t xml:space="preserve">Tabulka č. </w:t>
      </w:r>
      <w:r w:rsidR="00C465C8" w:rsidRPr="005B75CD">
        <w:rPr>
          <w:rFonts w:cstheme="minorHAnsi"/>
          <w:b/>
          <w:noProof/>
          <w:color w:val="000000" w:themeColor="text1"/>
          <w:szCs w:val="24"/>
        </w:rPr>
        <w:t>6</w:t>
      </w:r>
      <w:r w:rsidRPr="005B75CD">
        <w:rPr>
          <w:rFonts w:cstheme="minorHAnsi"/>
          <w:b/>
          <w:noProof/>
          <w:color w:val="000000" w:themeColor="text1"/>
          <w:szCs w:val="24"/>
        </w:rPr>
        <w:t>: Podíl nákladů na zdravotnické prostředky k celkovým nákladům</w:t>
      </w:r>
    </w:p>
    <w:tbl>
      <w:tblPr>
        <w:tblW w:w="5000" w:type="pct"/>
        <w:tblCellMar>
          <w:left w:w="70" w:type="dxa"/>
          <w:right w:w="70" w:type="dxa"/>
        </w:tblCellMar>
        <w:tblLook w:val="04A0" w:firstRow="1" w:lastRow="0" w:firstColumn="1" w:lastColumn="0" w:noHBand="0" w:noVBand="1"/>
      </w:tblPr>
      <w:tblGrid>
        <w:gridCol w:w="890"/>
        <w:gridCol w:w="901"/>
        <w:gridCol w:w="3010"/>
        <w:gridCol w:w="3010"/>
        <w:gridCol w:w="1251"/>
      </w:tblGrid>
      <w:tr w:rsidR="00A83EDB" w:rsidRPr="005B75CD" w14:paraId="2845C253" w14:textId="77777777" w:rsidTr="00757BF0">
        <w:trPr>
          <w:trHeight w:val="293"/>
        </w:trPr>
        <w:tc>
          <w:tcPr>
            <w:tcW w:w="988" w:type="pct"/>
            <w:gridSpan w:val="2"/>
            <w:vMerge w:val="restart"/>
            <w:tcBorders>
              <w:top w:val="single" w:sz="4" w:space="0" w:color="auto"/>
              <w:left w:val="single" w:sz="4" w:space="0" w:color="auto"/>
              <w:bottom w:val="single" w:sz="4" w:space="0" w:color="000000"/>
              <w:right w:val="single" w:sz="4" w:space="0" w:color="000000"/>
            </w:tcBorders>
            <w:shd w:val="clear" w:color="000000" w:fill="E5F1FF"/>
            <w:noWrap/>
            <w:vAlign w:val="center"/>
            <w:hideMark/>
          </w:tcPr>
          <w:p w14:paraId="297B60DD" w14:textId="2A584F7E" w:rsidR="00A83EDB" w:rsidRPr="005B75CD" w:rsidRDefault="00A83EDB" w:rsidP="00757BF0">
            <w:pPr>
              <w:jc w:val="center"/>
              <w:rPr>
                <w:rFonts w:ascii="Calibri" w:hAnsi="Calibri" w:cs="Calibri"/>
                <w:b/>
                <w:bCs/>
                <w:color w:val="000000"/>
                <w:sz w:val="20"/>
              </w:rPr>
            </w:pPr>
          </w:p>
        </w:tc>
        <w:tc>
          <w:tcPr>
            <w:tcW w:w="1661" w:type="pct"/>
            <w:vMerge w:val="restart"/>
            <w:tcBorders>
              <w:top w:val="single" w:sz="4" w:space="0" w:color="auto"/>
              <w:left w:val="single" w:sz="4" w:space="0" w:color="auto"/>
              <w:bottom w:val="single" w:sz="4" w:space="0" w:color="000000"/>
              <w:right w:val="single" w:sz="4" w:space="0" w:color="auto"/>
            </w:tcBorders>
            <w:shd w:val="clear" w:color="000000" w:fill="E5F1FF"/>
            <w:vAlign w:val="center"/>
            <w:hideMark/>
          </w:tcPr>
          <w:p w14:paraId="7D3FB9DA" w14:textId="77777777" w:rsidR="00A83EDB" w:rsidRPr="005B75CD" w:rsidRDefault="00A83EDB" w:rsidP="00757BF0">
            <w:pPr>
              <w:jc w:val="center"/>
              <w:rPr>
                <w:rFonts w:ascii="Calibri" w:hAnsi="Calibri" w:cs="Calibri"/>
                <w:b/>
                <w:bCs/>
                <w:color w:val="000000"/>
                <w:sz w:val="20"/>
              </w:rPr>
            </w:pPr>
            <w:r w:rsidRPr="005B75CD">
              <w:rPr>
                <w:rFonts w:ascii="Calibri" w:hAnsi="Calibri" w:cs="Calibri"/>
                <w:b/>
                <w:bCs/>
                <w:color w:val="000000"/>
                <w:sz w:val="20"/>
              </w:rPr>
              <w:t>Náklady celkem (třída 5)</w:t>
            </w:r>
          </w:p>
        </w:tc>
        <w:tc>
          <w:tcPr>
            <w:tcW w:w="2352" w:type="pct"/>
            <w:gridSpan w:val="2"/>
            <w:vMerge w:val="restart"/>
            <w:tcBorders>
              <w:top w:val="single" w:sz="4" w:space="0" w:color="auto"/>
              <w:left w:val="single" w:sz="4" w:space="0" w:color="auto"/>
              <w:bottom w:val="single" w:sz="4" w:space="0" w:color="000000"/>
              <w:right w:val="single" w:sz="4" w:space="0" w:color="000000"/>
            </w:tcBorders>
            <w:shd w:val="clear" w:color="000000" w:fill="E5F1FF"/>
            <w:noWrap/>
            <w:vAlign w:val="center"/>
            <w:hideMark/>
          </w:tcPr>
          <w:p w14:paraId="10C9C98C" w14:textId="77777777" w:rsidR="00A83EDB" w:rsidRPr="005B75CD" w:rsidRDefault="00A83EDB" w:rsidP="00757BF0">
            <w:pPr>
              <w:jc w:val="center"/>
              <w:rPr>
                <w:rFonts w:ascii="Calibri" w:hAnsi="Calibri" w:cs="Calibri"/>
                <w:b/>
                <w:bCs/>
                <w:color w:val="000000"/>
                <w:sz w:val="20"/>
              </w:rPr>
            </w:pPr>
            <w:r w:rsidRPr="005B75CD">
              <w:rPr>
                <w:rFonts w:ascii="Calibri" w:hAnsi="Calibri" w:cs="Calibri"/>
                <w:b/>
                <w:bCs/>
                <w:color w:val="000000"/>
                <w:sz w:val="20"/>
              </w:rPr>
              <w:t>Náklady na zdravotnické prostředky</w:t>
            </w:r>
          </w:p>
        </w:tc>
      </w:tr>
      <w:tr w:rsidR="00A83EDB" w:rsidRPr="005B75CD" w14:paraId="5FCB93B5" w14:textId="77777777" w:rsidTr="00757BF0">
        <w:trPr>
          <w:trHeight w:val="293"/>
        </w:trPr>
        <w:tc>
          <w:tcPr>
            <w:tcW w:w="988" w:type="pct"/>
            <w:gridSpan w:val="2"/>
            <w:vMerge/>
            <w:tcBorders>
              <w:top w:val="single" w:sz="4" w:space="0" w:color="auto"/>
              <w:left w:val="single" w:sz="4" w:space="0" w:color="auto"/>
              <w:bottom w:val="single" w:sz="4" w:space="0" w:color="000000"/>
              <w:right w:val="single" w:sz="4" w:space="0" w:color="000000"/>
            </w:tcBorders>
            <w:vAlign w:val="center"/>
            <w:hideMark/>
          </w:tcPr>
          <w:p w14:paraId="173CA20D" w14:textId="77777777" w:rsidR="00A83EDB" w:rsidRPr="005B75CD" w:rsidRDefault="00A83EDB" w:rsidP="00A62436">
            <w:pPr>
              <w:jc w:val="left"/>
              <w:rPr>
                <w:rFonts w:ascii="Calibri" w:hAnsi="Calibri" w:cs="Calibri"/>
                <w:b/>
                <w:bCs/>
                <w:color w:val="000000"/>
                <w:sz w:val="20"/>
              </w:rPr>
            </w:pPr>
          </w:p>
        </w:tc>
        <w:tc>
          <w:tcPr>
            <w:tcW w:w="1661" w:type="pct"/>
            <w:vMerge/>
            <w:tcBorders>
              <w:top w:val="single" w:sz="4" w:space="0" w:color="auto"/>
              <w:left w:val="single" w:sz="4" w:space="0" w:color="auto"/>
              <w:bottom w:val="single" w:sz="4" w:space="0" w:color="000000"/>
              <w:right w:val="single" w:sz="4" w:space="0" w:color="auto"/>
            </w:tcBorders>
            <w:vAlign w:val="center"/>
            <w:hideMark/>
          </w:tcPr>
          <w:p w14:paraId="0C219389" w14:textId="77777777" w:rsidR="00A83EDB" w:rsidRPr="005B75CD" w:rsidRDefault="00A83EDB" w:rsidP="005B75CD">
            <w:pPr>
              <w:jc w:val="center"/>
              <w:rPr>
                <w:rFonts w:ascii="Calibri" w:hAnsi="Calibri" w:cs="Calibri"/>
                <w:b/>
                <w:bCs/>
                <w:color w:val="000000"/>
                <w:sz w:val="20"/>
              </w:rPr>
            </w:pPr>
          </w:p>
        </w:tc>
        <w:tc>
          <w:tcPr>
            <w:tcW w:w="2352" w:type="pct"/>
            <w:gridSpan w:val="2"/>
            <w:vMerge/>
            <w:tcBorders>
              <w:top w:val="single" w:sz="4" w:space="0" w:color="auto"/>
              <w:left w:val="single" w:sz="4" w:space="0" w:color="auto"/>
              <w:bottom w:val="single" w:sz="4" w:space="0" w:color="000000"/>
              <w:right w:val="single" w:sz="4" w:space="0" w:color="000000"/>
            </w:tcBorders>
            <w:vAlign w:val="center"/>
            <w:hideMark/>
          </w:tcPr>
          <w:p w14:paraId="7F2594D4" w14:textId="77777777" w:rsidR="00A83EDB" w:rsidRPr="005B75CD" w:rsidRDefault="00A83EDB" w:rsidP="005B75CD">
            <w:pPr>
              <w:jc w:val="center"/>
              <w:rPr>
                <w:rFonts w:ascii="Calibri" w:hAnsi="Calibri" w:cs="Calibri"/>
                <w:b/>
                <w:bCs/>
                <w:color w:val="000000"/>
                <w:sz w:val="20"/>
              </w:rPr>
            </w:pPr>
          </w:p>
        </w:tc>
      </w:tr>
      <w:tr w:rsidR="00A83EDB" w:rsidRPr="005B75CD" w14:paraId="202C8C1F" w14:textId="77777777" w:rsidTr="00757BF0">
        <w:trPr>
          <w:trHeight w:val="227"/>
        </w:trPr>
        <w:tc>
          <w:tcPr>
            <w:tcW w:w="988" w:type="pct"/>
            <w:gridSpan w:val="2"/>
            <w:vMerge/>
            <w:tcBorders>
              <w:top w:val="single" w:sz="4" w:space="0" w:color="auto"/>
              <w:left w:val="single" w:sz="4" w:space="0" w:color="auto"/>
              <w:bottom w:val="single" w:sz="4" w:space="0" w:color="000000"/>
              <w:right w:val="single" w:sz="4" w:space="0" w:color="000000"/>
            </w:tcBorders>
            <w:vAlign w:val="center"/>
            <w:hideMark/>
          </w:tcPr>
          <w:p w14:paraId="1FEE68FD" w14:textId="77777777" w:rsidR="00A83EDB" w:rsidRPr="005B75CD" w:rsidRDefault="00A83EDB" w:rsidP="00A62436">
            <w:pPr>
              <w:jc w:val="left"/>
              <w:rPr>
                <w:rFonts w:ascii="Calibri" w:hAnsi="Calibri" w:cs="Calibri"/>
                <w:b/>
                <w:bCs/>
                <w:color w:val="000000"/>
                <w:sz w:val="20"/>
              </w:rPr>
            </w:pPr>
          </w:p>
        </w:tc>
        <w:tc>
          <w:tcPr>
            <w:tcW w:w="1661" w:type="pct"/>
            <w:tcBorders>
              <w:top w:val="nil"/>
              <w:left w:val="nil"/>
              <w:bottom w:val="single" w:sz="4" w:space="0" w:color="auto"/>
              <w:right w:val="single" w:sz="4" w:space="0" w:color="auto"/>
            </w:tcBorders>
            <w:shd w:val="clear" w:color="000000" w:fill="E5F1FF"/>
            <w:noWrap/>
            <w:vAlign w:val="center"/>
            <w:hideMark/>
          </w:tcPr>
          <w:p w14:paraId="183E6A69" w14:textId="77777777" w:rsidR="00A83EDB" w:rsidRPr="005B75CD" w:rsidRDefault="00A83EDB" w:rsidP="005B75CD">
            <w:pPr>
              <w:jc w:val="center"/>
              <w:rPr>
                <w:rFonts w:ascii="Calibri" w:hAnsi="Calibri" w:cs="Calibri"/>
                <w:b/>
                <w:bCs/>
                <w:color w:val="000000"/>
                <w:sz w:val="20"/>
              </w:rPr>
            </w:pPr>
            <w:r w:rsidRPr="005B75CD">
              <w:rPr>
                <w:rFonts w:ascii="Calibri" w:hAnsi="Calibri" w:cs="Calibri"/>
                <w:b/>
                <w:bCs/>
                <w:color w:val="000000"/>
                <w:sz w:val="20"/>
              </w:rPr>
              <w:t>Kč</w:t>
            </w:r>
          </w:p>
        </w:tc>
        <w:tc>
          <w:tcPr>
            <w:tcW w:w="1661" w:type="pct"/>
            <w:tcBorders>
              <w:top w:val="nil"/>
              <w:left w:val="nil"/>
              <w:bottom w:val="single" w:sz="4" w:space="0" w:color="auto"/>
              <w:right w:val="single" w:sz="4" w:space="0" w:color="auto"/>
            </w:tcBorders>
            <w:shd w:val="clear" w:color="000000" w:fill="E5F1FF"/>
            <w:noWrap/>
            <w:vAlign w:val="center"/>
            <w:hideMark/>
          </w:tcPr>
          <w:p w14:paraId="2D84EFF9" w14:textId="77777777" w:rsidR="00A83EDB" w:rsidRPr="005B75CD" w:rsidRDefault="00A83EDB" w:rsidP="005B75CD">
            <w:pPr>
              <w:jc w:val="center"/>
              <w:rPr>
                <w:rFonts w:ascii="Calibri" w:hAnsi="Calibri" w:cs="Calibri"/>
                <w:b/>
                <w:bCs/>
                <w:color w:val="000000"/>
                <w:sz w:val="20"/>
              </w:rPr>
            </w:pPr>
            <w:r w:rsidRPr="005B75CD">
              <w:rPr>
                <w:rFonts w:ascii="Calibri" w:hAnsi="Calibri" w:cs="Calibri"/>
                <w:b/>
                <w:bCs/>
                <w:color w:val="000000"/>
                <w:sz w:val="20"/>
              </w:rPr>
              <w:t>Kč</w:t>
            </w:r>
          </w:p>
        </w:tc>
        <w:tc>
          <w:tcPr>
            <w:tcW w:w="691" w:type="pct"/>
            <w:tcBorders>
              <w:top w:val="nil"/>
              <w:left w:val="nil"/>
              <w:bottom w:val="single" w:sz="4" w:space="0" w:color="auto"/>
              <w:right w:val="single" w:sz="4" w:space="0" w:color="auto"/>
            </w:tcBorders>
            <w:shd w:val="clear" w:color="000000" w:fill="E5F1FF"/>
            <w:noWrap/>
            <w:vAlign w:val="center"/>
            <w:hideMark/>
          </w:tcPr>
          <w:p w14:paraId="5FF6F547" w14:textId="77777777" w:rsidR="00A83EDB" w:rsidRPr="005B75CD" w:rsidRDefault="00A83EDB" w:rsidP="005B75CD">
            <w:pPr>
              <w:jc w:val="center"/>
              <w:rPr>
                <w:rFonts w:ascii="Calibri" w:hAnsi="Calibri" w:cs="Calibri"/>
                <w:b/>
                <w:bCs/>
                <w:color w:val="000000"/>
                <w:sz w:val="20"/>
              </w:rPr>
            </w:pPr>
            <w:r w:rsidRPr="005B75CD">
              <w:rPr>
                <w:rFonts w:ascii="Calibri" w:hAnsi="Calibri" w:cs="Calibri"/>
                <w:b/>
                <w:bCs/>
                <w:color w:val="000000"/>
                <w:sz w:val="20"/>
              </w:rPr>
              <w:t>%</w:t>
            </w:r>
          </w:p>
        </w:tc>
      </w:tr>
      <w:tr w:rsidR="00A83EDB" w:rsidRPr="005B75CD" w14:paraId="63D038DF" w14:textId="77777777" w:rsidTr="00757BF0">
        <w:trPr>
          <w:trHeight w:val="227"/>
        </w:trPr>
        <w:tc>
          <w:tcPr>
            <w:tcW w:w="4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808473E" w14:textId="77777777" w:rsidR="00A83EDB" w:rsidRPr="005B75CD" w:rsidRDefault="00A83EDB" w:rsidP="005B75CD">
            <w:pPr>
              <w:jc w:val="left"/>
              <w:rPr>
                <w:rFonts w:ascii="Calibri" w:hAnsi="Calibri" w:cs="Calibri"/>
                <w:b/>
                <w:bCs/>
                <w:color w:val="000000"/>
                <w:sz w:val="20"/>
              </w:rPr>
            </w:pPr>
            <w:r w:rsidRPr="005B75CD">
              <w:rPr>
                <w:rFonts w:ascii="Calibri" w:hAnsi="Calibri" w:cs="Calibri"/>
                <w:b/>
                <w:bCs/>
                <w:color w:val="000000"/>
                <w:sz w:val="20"/>
              </w:rPr>
              <w:t>FNB</w:t>
            </w:r>
          </w:p>
        </w:tc>
        <w:tc>
          <w:tcPr>
            <w:tcW w:w="497" w:type="pct"/>
            <w:tcBorders>
              <w:top w:val="nil"/>
              <w:left w:val="nil"/>
              <w:bottom w:val="single" w:sz="4" w:space="0" w:color="auto"/>
              <w:right w:val="single" w:sz="4" w:space="0" w:color="auto"/>
            </w:tcBorders>
            <w:shd w:val="clear" w:color="auto" w:fill="auto"/>
            <w:noWrap/>
            <w:vAlign w:val="center"/>
            <w:hideMark/>
          </w:tcPr>
          <w:p w14:paraId="20A20864" w14:textId="77777777" w:rsidR="00A83EDB" w:rsidRPr="005B75CD" w:rsidRDefault="00A83EDB" w:rsidP="00A62436">
            <w:pPr>
              <w:jc w:val="center"/>
              <w:rPr>
                <w:rFonts w:ascii="Calibri" w:hAnsi="Calibri" w:cs="Calibri"/>
                <w:color w:val="000000"/>
                <w:sz w:val="20"/>
              </w:rPr>
            </w:pPr>
            <w:r w:rsidRPr="005B75CD">
              <w:rPr>
                <w:rFonts w:ascii="Calibri" w:hAnsi="Calibri" w:cs="Calibri"/>
                <w:color w:val="000000"/>
                <w:sz w:val="20"/>
              </w:rPr>
              <w:t>2014</w:t>
            </w:r>
          </w:p>
        </w:tc>
        <w:tc>
          <w:tcPr>
            <w:tcW w:w="1661" w:type="pct"/>
            <w:tcBorders>
              <w:top w:val="nil"/>
              <w:left w:val="nil"/>
              <w:bottom w:val="single" w:sz="4" w:space="0" w:color="auto"/>
              <w:right w:val="single" w:sz="4" w:space="0" w:color="auto"/>
            </w:tcBorders>
            <w:shd w:val="clear" w:color="auto" w:fill="auto"/>
            <w:noWrap/>
            <w:vAlign w:val="center"/>
            <w:hideMark/>
          </w:tcPr>
          <w:p w14:paraId="0328A944"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6 587 570 407,22</w:t>
            </w:r>
          </w:p>
        </w:tc>
        <w:tc>
          <w:tcPr>
            <w:tcW w:w="1661" w:type="pct"/>
            <w:tcBorders>
              <w:top w:val="nil"/>
              <w:left w:val="nil"/>
              <w:bottom w:val="single" w:sz="4" w:space="0" w:color="auto"/>
              <w:right w:val="single" w:sz="4" w:space="0" w:color="auto"/>
            </w:tcBorders>
            <w:shd w:val="clear" w:color="auto" w:fill="auto"/>
            <w:noWrap/>
            <w:vAlign w:val="center"/>
            <w:hideMark/>
          </w:tcPr>
          <w:p w14:paraId="49F24D60"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708 273 046,45</w:t>
            </w:r>
          </w:p>
        </w:tc>
        <w:tc>
          <w:tcPr>
            <w:tcW w:w="691" w:type="pct"/>
            <w:tcBorders>
              <w:top w:val="nil"/>
              <w:left w:val="nil"/>
              <w:bottom w:val="single" w:sz="4" w:space="0" w:color="auto"/>
              <w:right w:val="single" w:sz="4" w:space="0" w:color="auto"/>
            </w:tcBorders>
            <w:shd w:val="clear" w:color="auto" w:fill="auto"/>
            <w:noWrap/>
            <w:vAlign w:val="center"/>
            <w:hideMark/>
          </w:tcPr>
          <w:p w14:paraId="6F8F3424"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10,75</w:t>
            </w:r>
          </w:p>
        </w:tc>
      </w:tr>
      <w:tr w:rsidR="00A83EDB" w:rsidRPr="005B75CD" w14:paraId="4E5C4E73" w14:textId="77777777" w:rsidTr="00757BF0">
        <w:trPr>
          <w:trHeight w:val="227"/>
        </w:trPr>
        <w:tc>
          <w:tcPr>
            <w:tcW w:w="491" w:type="pct"/>
            <w:vMerge/>
            <w:tcBorders>
              <w:top w:val="nil"/>
              <w:left w:val="single" w:sz="4" w:space="0" w:color="auto"/>
              <w:bottom w:val="single" w:sz="4" w:space="0" w:color="000000"/>
              <w:right w:val="single" w:sz="4" w:space="0" w:color="auto"/>
            </w:tcBorders>
            <w:vAlign w:val="center"/>
            <w:hideMark/>
          </w:tcPr>
          <w:p w14:paraId="46229D27" w14:textId="77777777" w:rsidR="00A83EDB" w:rsidRPr="005B75CD" w:rsidRDefault="00A83EDB" w:rsidP="005B75CD">
            <w:pPr>
              <w:jc w:val="left"/>
              <w:rPr>
                <w:rFonts w:ascii="Calibri" w:hAnsi="Calibri" w:cs="Calibri"/>
                <w:b/>
                <w:bCs/>
                <w:color w:val="000000"/>
                <w:sz w:val="20"/>
              </w:rPr>
            </w:pPr>
          </w:p>
        </w:tc>
        <w:tc>
          <w:tcPr>
            <w:tcW w:w="497" w:type="pct"/>
            <w:tcBorders>
              <w:top w:val="nil"/>
              <w:left w:val="nil"/>
              <w:bottom w:val="single" w:sz="4" w:space="0" w:color="auto"/>
              <w:right w:val="single" w:sz="4" w:space="0" w:color="auto"/>
            </w:tcBorders>
            <w:shd w:val="clear" w:color="auto" w:fill="auto"/>
            <w:noWrap/>
            <w:vAlign w:val="center"/>
            <w:hideMark/>
          </w:tcPr>
          <w:p w14:paraId="38F3A85A" w14:textId="77777777" w:rsidR="00A83EDB" w:rsidRPr="005B75CD" w:rsidRDefault="00A83EDB" w:rsidP="00A62436">
            <w:pPr>
              <w:jc w:val="center"/>
              <w:rPr>
                <w:rFonts w:ascii="Calibri" w:hAnsi="Calibri" w:cs="Calibri"/>
                <w:color w:val="000000"/>
                <w:sz w:val="20"/>
              </w:rPr>
            </w:pPr>
            <w:r w:rsidRPr="005B75CD">
              <w:rPr>
                <w:rFonts w:ascii="Calibri" w:hAnsi="Calibri" w:cs="Calibri"/>
                <w:color w:val="000000"/>
                <w:sz w:val="20"/>
              </w:rPr>
              <w:t>2015</w:t>
            </w:r>
          </w:p>
        </w:tc>
        <w:tc>
          <w:tcPr>
            <w:tcW w:w="1661" w:type="pct"/>
            <w:tcBorders>
              <w:top w:val="nil"/>
              <w:left w:val="nil"/>
              <w:bottom w:val="single" w:sz="4" w:space="0" w:color="auto"/>
              <w:right w:val="single" w:sz="4" w:space="0" w:color="auto"/>
            </w:tcBorders>
            <w:shd w:val="clear" w:color="auto" w:fill="auto"/>
            <w:noWrap/>
            <w:vAlign w:val="center"/>
            <w:hideMark/>
          </w:tcPr>
          <w:p w14:paraId="768E4D99"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6 873 887 657,55</w:t>
            </w:r>
          </w:p>
        </w:tc>
        <w:tc>
          <w:tcPr>
            <w:tcW w:w="1661" w:type="pct"/>
            <w:tcBorders>
              <w:top w:val="nil"/>
              <w:left w:val="nil"/>
              <w:bottom w:val="single" w:sz="4" w:space="0" w:color="auto"/>
              <w:right w:val="single" w:sz="4" w:space="0" w:color="auto"/>
            </w:tcBorders>
            <w:shd w:val="clear" w:color="auto" w:fill="auto"/>
            <w:noWrap/>
            <w:vAlign w:val="center"/>
            <w:hideMark/>
          </w:tcPr>
          <w:p w14:paraId="4C43DCAB"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703 494 775,10</w:t>
            </w:r>
          </w:p>
        </w:tc>
        <w:tc>
          <w:tcPr>
            <w:tcW w:w="691" w:type="pct"/>
            <w:tcBorders>
              <w:top w:val="nil"/>
              <w:left w:val="nil"/>
              <w:bottom w:val="single" w:sz="4" w:space="0" w:color="auto"/>
              <w:right w:val="single" w:sz="4" w:space="0" w:color="auto"/>
            </w:tcBorders>
            <w:shd w:val="clear" w:color="auto" w:fill="auto"/>
            <w:noWrap/>
            <w:vAlign w:val="center"/>
            <w:hideMark/>
          </w:tcPr>
          <w:p w14:paraId="62757026"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10,23</w:t>
            </w:r>
          </w:p>
        </w:tc>
      </w:tr>
      <w:tr w:rsidR="00A83EDB" w:rsidRPr="005B75CD" w14:paraId="695C5233" w14:textId="77777777" w:rsidTr="00757BF0">
        <w:trPr>
          <w:trHeight w:val="227"/>
        </w:trPr>
        <w:tc>
          <w:tcPr>
            <w:tcW w:w="491" w:type="pct"/>
            <w:vMerge/>
            <w:tcBorders>
              <w:top w:val="nil"/>
              <w:left w:val="single" w:sz="4" w:space="0" w:color="auto"/>
              <w:bottom w:val="single" w:sz="4" w:space="0" w:color="000000"/>
              <w:right w:val="single" w:sz="4" w:space="0" w:color="auto"/>
            </w:tcBorders>
            <w:vAlign w:val="center"/>
            <w:hideMark/>
          </w:tcPr>
          <w:p w14:paraId="463A7A27" w14:textId="77777777" w:rsidR="00A83EDB" w:rsidRPr="005B75CD" w:rsidRDefault="00A83EDB" w:rsidP="005B75CD">
            <w:pPr>
              <w:jc w:val="left"/>
              <w:rPr>
                <w:rFonts w:ascii="Calibri" w:hAnsi="Calibri" w:cs="Calibri"/>
                <w:b/>
                <w:bCs/>
                <w:color w:val="000000"/>
                <w:sz w:val="20"/>
              </w:rPr>
            </w:pPr>
          </w:p>
        </w:tc>
        <w:tc>
          <w:tcPr>
            <w:tcW w:w="497" w:type="pct"/>
            <w:tcBorders>
              <w:top w:val="nil"/>
              <w:left w:val="nil"/>
              <w:bottom w:val="single" w:sz="4" w:space="0" w:color="auto"/>
              <w:right w:val="single" w:sz="4" w:space="0" w:color="auto"/>
            </w:tcBorders>
            <w:shd w:val="clear" w:color="auto" w:fill="auto"/>
            <w:noWrap/>
            <w:vAlign w:val="center"/>
            <w:hideMark/>
          </w:tcPr>
          <w:p w14:paraId="4C6D04FB" w14:textId="77777777" w:rsidR="00A83EDB" w:rsidRPr="005B75CD" w:rsidRDefault="00A83EDB" w:rsidP="00A62436">
            <w:pPr>
              <w:jc w:val="center"/>
              <w:rPr>
                <w:rFonts w:ascii="Calibri" w:hAnsi="Calibri" w:cs="Calibri"/>
                <w:color w:val="000000"/>
                <w:sz w:val="20"/>
              </w:rPr>
            </w:pPr>
            <w:r w:rsidRPr="005B75CD">
              <w:rPr>
                <w:rFonts w:ascii="Calibri" w:hAnsi="Calibri" w:cs="Calibri"/>
                <w:color w:val="000000"/>
                <w:sz w:val="20"/>
              </w:rPr>
              <w:t>2016</w:t>
            </w:r>
          </w:p>
        </w:tc>
        <w:tc>
          <w:tcPr>
            <w:tcW w:w="1661" w:type="pct"/>
            <w:tcBorders>
              <w:top w:val="nil"/>
              <w:left w:val="nil"/>
              <w:bottom w:val="single" w:sz="4" w:space="0" w:color="auto"/>
              <w:right w:val="single" w:sz="4" w:space="0" w:color="auto"/>
            </w:tcBorders>
            <w:shd w:val="clear" w:color="auto" w:fill="auto"/>
            <w:noWrap/>
            <w:vAlign w:val="center"/>
            <w:hideMark/>
          </w:tcPr>
          <w:p w14:paraId="0D64F0B8"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7 658 859 583,03</w:t>
            </w:r>
          </w:p>
        </w:tc>
        <w:tc>
          <w:tcPr>
            <w:tcW w:w="1661" w:type="pct"/>
            <w:tcBorders>
              <w:top w:val="nil"/>
              <w:left w:val="nil"/>
              <w:bottom w:val="single" w:sz="4" w:space="0" w:color="auto"/>
              <w:right w:val="single" w:sz="4" w:space="0" w:color="auto"/>
            </w:tcBorders>
            <w:shd w:val="clear" w:color="auto" w:fill="auto"/>
            <w:noWrap/>
            <w:vAlign w:val="center"/>
            <w:hideMark/>
          </w:tcPr>
          <w:p w14:paraId="74738D05"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730 820 716,63</w:t>
            </w:r>
          </w:p>
        </w:tc>
        <w:tc>
          <w:tcPr>
            <w:tcW w:w="691" w:type="pct"/>
            <w:tcBorders>
              <w:top w:val="nil"/>
              <w:left w:val="nil"/>
              <w:bottom w:val="single" w:sz="4" w:space="0" w:color="auto"/>
              <w:right w:val="single" w:sz="4" w:space="0" w:color="auto"/>
            </w:tcBorders>
            <w:shd w:val="clear" w:color="auto" w:fill="auto"/>
            <w:noWrap/>
            <w:vAlign w:val="center"/>
            <w:hideMark/>
          </w:tcPr>
          <w:p w14:paraId="0FF5F247"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9,54</w:t>
            </w:r>
          </w:p>
        </w:tc>
      </w:tr>
      <w:tr w:rsidR="00A83EDB" w:rsidRPr="005B75CD" w14:paraId="78081AE3" w14:textId="77777777" w:rsidTr="00757BF0">
        <w:trPr>
          <w:trHeight w:val="227"/>
        </w:trPr>
        <w:tc>
          <w:tcPr>
            <w:tcW w:w="4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CA6883" w14:textId="77777777" w:rsidR="00A83EDB" w:rsidRPr="005B75CD" w:rsidRDefault="00A83EDB" w:rsidP="005B75CD">
            <w:pPr>
              <w:jc w:val="left"/>
              <w:rPr>
                <w:rFonts w:ascii="Calibri" w:hAnsi="Calibri" w:cs="Calibri"/>
                <w:b/>
                <w:bCs/>
                <w:color w:val="000000"/>
                <w:sz w:val="20"/>
              </w:rPr>
            </w:pPr>
            <w:r w:rsidRPr="005B75CD">
              <w:rPr>
                <w:rFonts w:ascii="Calibri" w:hAnsi="Calibri" w:cs="Calibri"/>
                <w:b/>
                <w:bCs/>
                <w:color w:val="000000"/>
                <w:sz w:val="20"/>
              </w:rPr>
              <w:t>FNM</w:t>
            </w:r>
          </w:p>
        </w:tc>
        <w:tc>
          <w:tcPr>
            <w:tcW w:w="497" w:type="pct"/>
            <w:tcBorders>
              <w:top w:val="nil"/>
              <w:left w:val="nil"/>
              <w:bottom w:val="single" w:sz="4" w:space="0" w:color="auto"/>
              <w:right w:val="single" w:sz="4" w:space="0" w:color="auto"/>
            </w:tcBorders>
            <w:shd w:val="clear" w:color="auto" w:fill="auto"/>
            <w:noWrap/>
            <w:vAlign w:val="center"/>
            <w:hideMark/>
          </w:tcPr>
          <w:p w14:paraId="11183858" w14:textId="77777777" w:rsidR="00A83EDB" w:rsidRPr="005B75CD" w:rsidRDefault="00A83EDB" w:rsidP="00A62436">
            <w:pPr>
              <w:jc w:val="center"/>
              <w:rPr>
                <w:rFonts w:ascii="Calibri" w:hAnsi="Calibri" w:cs="Calibri"/>
                <w:color w:val="000000"/>
                <w:sz w:val="20"/>
              </w:rPr>
            </w:pPr>
            <w:r w:rsidRPr="005B75CD">
              <w:rPr>
                <w:rFonts w:ascii="Calibri" w:hAnsi="Calibri" w:cs="Calibri"/>
                <w:color w:val="000000"/>
                <w:sz w:val="20"/>
              </w:rPr>
              <w:t>2014</w:t>
            </w:r>
          </w:p>
        </w:tc>
        <w:tc>
          <w:tcPr>
            <w:tcW w:w="1661" w:type="pct"/>
            <w:tcBorders>
              <w:top w:val="nil"/>
              <w:left w:val="nil"/>
              <w:bottom w:val="single" w:sz="4" w:space="0" w:color="auto"/>
              <w:right w:val="single" w:sz="4" w:space="0" w:color="auto"/>
            </w:tcBorders>
            <w:shd w:val="clear" w:color="auto" w:fill="auto"/>
            <w:noWrap/>
            <w:vAlign w:val="center"/>
            <w:hideMark/>
          </w:tcPr>
          <w:p w14:paraId="693637C5"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7 486 988 592,69</w:t>
            </w:r>
          </w:p>
        </w:tc>
        <w:tc>
          <w:tcPr>
            <w:tcW w:w="1661" w:type="pct"/>
            <w:tcBorders>
              <w:top w:val="nil"/>
              <w:left w:val="nil"/>
              <w:bottom w:val="single" w:sz="4" w:space="0" w:color="auto"/>
              <w:right w:val="single" w:sz="4" w:space="0" w:color="auto"/>
            </w:tcBorders>
            <w:shd w:val="clear" w:color="auto" w:fill="auto"/>
            <w:noWrap/>
            <w:vAlign w:val="center"/>
            <w:hideMark/>
          </w:tcPr>
          <w:p w14:paraId="60067C6C"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808 992 739,12</w:t>
            </w:r>
          </w:p>
        </w:tc>
        <w:tc>
          <w:tcPr>
            <w:tcW w:w="691" w:type="pct"/>
            <w:tcBorders>
              <w:top w:val="nil"/>
              <w:left w:val="nil"/>
              <w:bottom w:val="single" w:sz="4" w:space="0" w:color="auto"/>
              <w:right w:val="single" w:sz="4" w:space="0" w:color="auto"/>
            </w:tcBorders>
            <w:shd w:val="clear" w:color="auto" w:fill="auto"/>
            <w:noWrap/>
            <w:vAlign w:val="center"/>
            <w:hideMark/>
          </w:tcPr>
          <w:p w14:paraId="73E01EBC"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10,81</w:t>
            </w:r>
          </w:p>
        </w:tc>
      </w:tr>
      <w:tr w:rsidR="00A83EDB" w:rsidRPr="005B75CD" w14:paraId="38400252" w14:textId="77777777" w:rsidTr="00757BF0">
        <w:trPr>
          <w:trHeight w:val="227"/>
        </w:trPr>
        <w:tc>
          <w:tcPr>
            <w:tcW w:w="491" w:type="pct"/>
            <w:vMerge/>
            <w:tcBorders>
              <w:top w:val="nil"/>
              <w:left w:val="single" w:sz="4" w:space="0" w:color="auto"/>
              <w:bottom w:val="single" w:sz="4" w:space="0" w:color="000000"/>
              <w:right w:val="single" w:sz="4" w:space="0" w:color="auto"/>
            </w:tcBorders>
            <w:vAlign w:val="center"/>
            <w:hideMark/>
          </w:tcPr>
          <w:p w14:paraId="69FC7BC3" w14:textId="77777777" w:rsidR="00A83EDB" w:rsidRPr="005B75CD" w:rsidRDefault="00A83EDB" w:rsidP="005B75CD">
            <w:pPr>
              <w:jc w:val="left"/>
              <w:rPr>
                <w:rFonts w:ascii="Calibri" w:hAnsi="Calibri" w:cs="Calibri"/>
                <w:b/>
                <w:bCs/>
                <w:color w:val="000000"/>
                <w:sz w:val="20"/>
              </w:rPr>
            </w:pPr>
          </w:p>
        </w:tc>
        <w:tc>
          <w:tcPr>
            <w:tcW w:w="497" w:type="pct"/>
            <w:tcBorders>
              <w:top w:val="nil"/>
              <w:left w:val="nil"/>
              <w:bottom w:val="single" w:sz="4" w:space="0" w:color="auto"/>
              <w:right w:val="single" w:sz="4" w:space="0" w:color="auto"/>
            </w:tcBorders>
            <w:shd w:val="clear" w:color="auto" w:fill="auto"/>
            <w:noWrap/>
            <w:vAlign w:val="center"/>
            <w:hideMark/>
          </w:tcPr>
          <w:p w14:paraId="1624C714" w14:textId="77777777" w:rsidR="00A83EDB" w:rsidRPr="005B75CD" w:rsidRDefault="00A83EDB" w:rsidP="00A62436">
            <w:pPr>
              <w:jc w:val="center"/>
              <w:rPr>
                <w:rFonts w:ascii="Calibri" w:hAnsi="Calibri" w:cs="Calibri"/>
                <w:color w:val="000000"/>
                <w:sz w:val="20"/>
              </w:rPr>
            </w:pPr>
            <w:r w:rsidRPr="005B75CD">
              <w:rPr>
                <w:rFonts w:ascii="Calibri" w:hAnsi="Calibri" w:cs="Calibri"/>
                <w:color w:val="000000"/>
                <w:sz w:val="20"/>
              </w:rPr>
              <w:t>2015</w:t>
            </w:r>
          </w:p>
        </w:tc>
        <w:tc>
          <w:tcPr>
            <w:tcW w:w="1661" w:type="pct"/>
            <w:tcBorders>
              <w:top w:val="nil"/>
              <w:left w:val="nil"/>
              <w:bottom w:val="single" w:sz="4" w:space="0" w:color="auto"/>
              <w:right w:val="single" w:sz="4" w:space="0" w:color="auto"/>
            </w:tcBorders>
            <w:shd w:val="clear" w:color="auto" w:fill="auto"/>
            <w:noWrap/>
            <w:vAlign w:val="center"/>
            <w:hideMark/>
          </w:tcPr>
          <w:p w14:paraId="1BF5F893"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7 775 201 097,39</w:t>
            </w:r>
          </w:p>
        </w:tc>
        <w:tc>
          <w:tcPr>
            <w:tcW w:w="1661" w:type="pct"/>
            <w:tcBorders>
              <w:top w:val="nil"/>
              <w:left w:val="nil"/>
              <w:bottom w:val="single" w:sz="4" w:space="0" w:color="auto"/>
              <w:right w:val="single" w:sz="4" w:space="0" w:color="auto"/>
            </w:tcBorders>
            <w:shd w:val="clear" w:color="auto" w:fill="auto"/>
            <w:noWrap/>
            <w:vAlign w:val="center"/>
            <w:hideMark/>
          </w:tcPr>
          <w:p w14:paraId="464DDC9E"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829 716 836,53</w:t>
            </w:r>
          </w:p>
        </w:tc>
        <w:tc>
          <w:tcPr>
            <w:tcW w:w="691" w:type="pct"/>
            <w:tcBorders>
              <w:top w:val="nil"/>
              <w:left w:val="nil"/>
              <w:bottom w:val="single" w:sz="4" w:space="0" w:color="auto"/>
              <w:right w:val="single" w:sz="4" w:space="0" w:color="auto"/>
            </w:tcBorders>
            <w:shd w:val="clear" w:color="auto" w:fill="auto"/>
            <w:noWrap/>
            <w:vAlign w:val="center"/>
            <w:hideMark/>
          </w:tcPr>
          <w:p w14:paraId="34158299"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10,67</w:t>
            </w:r>
          </w:p>
        </w:tc>
      </w:tr>
      <w:tr w:rsidR="00A83EDB" w:rsidRPr="005B75CD" w14:paraId="3D4FEDA5" w14:textId="77777777" w:rsidTr="00757BF0">
        <w:trPr>
          <w:trHeight w:val="227"/>
        </w:trPr>
        <w:tc>
          <w:tcPr>
            <w:tcW w:w="491" w:type="pct"/>
            <w:vMerge/>
            <w:tcBorders>
              <w:top w:val="nil"/>
              <w:left w:val="single" w:sz="4" w:space="0" w:color="auto"/>
              <w:bottom w:val="single" w:sz="4" w:space="0" w:color="000000"/>
              <w:right w:val="single" w:sz="4" w:space="0" w:color="auto"/>
            </w:tcBorders>
            <w:vAlign w:val="center"/>
            <w:hideMark/>
          </w:tcPr>
          <w:p w14:paraId="0AA5DC5C" w14:textId="77777777" w:rsidR="00A83EDB" w:rsidRPr="005B75CD" w:rsidRDefault="00A83EDB" w:rsidP="005B75CD">
            <w:pPr>
              <w:jc w:val="left"/>
              <w:rPr>
                <w:rFonts w:ascii="Calibri" w:hAnsi="Calibri" w:cs="Calibri"/>
                <w:b/>
                <w:bCs/>
                <w:color w:val="000000"/>
                <w:sz w:val="20"/>
              </w:rPr>
            </w:pPr>
          </w:p>
        </w:tc>
        <w:tc>
          <w:tcPr>
            <w:tcW w:w="497" w:type="pct"/>
            <w:tcBorders>
              <w:top w:val="nil"/>
              <w:left w:val="nil"/>
              <w:bottom w:val="single" w:sz="4" w:space="0" w:color="auto"/>
              <w:right w:val="single" w:sz="4" w:space="0" w:color="auto"/>
            </w:tcBorders>
            <w:shd w:val="clear" w:color="auto" w:fill="auto"/>
            <w:noWrap/>
            <w:vAlign w:val="center"/>
            <w:hideMark/>
          </w:tcPr>
          <w:p w14:paraId="18035D5D" w14:textId="77777777" w:rsidR="00A83EDB" w:rsidRPr="005B75CD" w:rsidRDefault="00A83EDB" w:rsidP="00A62436">
            <w:pPr>
              <w:jc w:val="center"/>
              <w:rPr>
                <w:rFonts w:ascii="Calibri" w:hAnsi="Calibri" w:cs="Calibri"/>
                <w:color w:val="000000"/>
                <w:sz w:val="20"/>
              </w:rPr>
            </w:pPr>
            <w:r w:rsidRPr="005B75CD">
              <w:rPr>
                <w:rFonts w:ascii="Calibri" w:hAnsi="Calibri" w:cs="Calibri"/>
                <w:color w:val="000000"/>
                <w:sz w:val="20"/>
              </w:rPr>
              <w:t>2016</w:t>
            </w:r>
          </w:p>
        </w:tc>
        <w:tc>
          <w:tcPr>
            <w:tcW w:w="1661" w:type="pct"/>
            <w:tcBorders>
              <w:top w:val="nil"/>
              <w:left w:val="nil"/>
              <w:bottom w:val="single" w:sz="4" w:space="0" w:color="auto"/>
              <w:right w:val="single" w:sz="4" w:space="0" w:color="auto"/>
            </w:tcBorders>
            <w:shd w:val="clear" w:color="auto" w:fill="auto"/>
            <w:noWrap/>
            <w:vAlign w:val="center"/>
            <w:hideMark/>
          </w:tcPr>
          <w:p w14:paraId="54216524"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8 134 270 527,66</w:t>
            </w:r>
          </w:p>
        </w:tc>
        <w:tc>
          <w:tcPr>
            <w:tcW w:w="1661" w:type="pct"/>
            <w:tcBorders>
              <w:top w:val="nil"/>
              <w:left w:val="nil"/>
              <w:bottom w:val="single" w:sz="4" w:space="0" w:color="auto"/>
              <w:right w:val="single" w:sz="4" w:space="0" w:color="auto"/>
            </w:tcBorders>
            <w:shd w:val="clear" w:color="auto" w:fill="auto"/>
            <w:noWrap/>
            <w:vAlign w:val="center"/>
            <w:hideMark/>
          </w:tcPr>
          <w:p w14:paraId="2032044D"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894 714 299,45</w:t>
            </w:r>
          </w:p>
        </w:tc>
        <w:tc>
          <w:tcPr>
            <w:tcW w:w="691" w:type="pct"/>
            <w:tcBorders>
              <w:top w:val="nil"/>
              <w:left w:val="nil"/>
              <w:bottom w:val="single" w:sz="4" w:space="0" w:color="auto"/>
              <w:right w:val="single" w:sz="4" w:space="0" w:color="auto"/>
            </w:tcBorders>
            <w:shd w:val="clear" w:color="auto" w:fill="auto"/>
            <w:noWrap/>
            <w:vAlign w:val="center"/>
            <w:hideMark/>
          </w:tcPr>
          <w:p w14:paraId="39DBB8DE"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11,00</w:t>
            </w:r>
          </w:p>
        </w:tc>
      </w:tr>
      <w:tr w:rsidR="00A83EDB" w:rsidRPr="005B75CD" w14:paraId="104823BB" w14:textId="77777777" w:rsidTr="00757BF0">
        <w:trPr>
          <w:trHeight w:val="227"/>
        </w:trPr>
        <w:tc>
          <w:tcPr>
            <w:tcW w:w="4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E5CBA58" w14:textId="77777777" w:rsidR="00A83EDB" w:rsidRPr="005B75CD" w:rsidRDefault="00A83EDB" w:rsidP="005B75CD">
            <w:pPr>
              <w:jc w:val="left"/>
              <w:rPr>
                <w:rFonts w:ascii="Calibri" w:hAnsi="Calibri" w:cs="Calibri"/>
                <w:b/>
                <w:bCs/>
                <w:color w:val="000000"/>
                <w:sz w:val="20"/>
              </w:rPr>
            </w:pPr>
            <w:r w:rsidRPr="005B75CD">
              <w:rPr>
                <w:rFonts w:ascii="Calibri" w:hAnsi="Calibri" w:cs="Calibri"/>
                <w:b/>
                <w:bCs/>
                <w:color w:val="000000"/>
                <w:sz w:val="20"/>
              </w:rPr>
              <w:t>ÚVN</w:t>
            </w:r>
          </w:p>
        </w:tc>
        <w:tc>
          <w:tcPr>
            <w:tcW w:w="497" w:type="pct"/>
            <w:tcBorders>
              <w:top w:val="nil"/>
              <w:left w:val="nil"/>
              <w:bottom w:val="single" w:sz="4" w:space="0" w:color="auto"/>
              <w:right w:val="single" w:sz="4" w:space="0" w:color="auto"/>
            </w:tcBorders>
            <w:shd w:val="clear" w:color="auto" w:fill="auto"/>
            <w:noWrap/>
            <w:vAlign w:val="center"/>
            <w:hideMark/>
          </w:tcPr>
          <w:p w14:paraId="06658EED" w14:textId="77777777" w:rsidR="00A83EDB" w:rsidRPr="005B75CD" w:rsidRDefault="00A83EDB" w:rsidP="00A62436">
            <w:pPr>
              <w:jc w:val="center"/>
              <w:rPr>
                <w:rFonts w:ascii="Calibri" w:hAnsi="Calibri" w:cs="Calibri"/>
                <w:color w:val="000000"/>
                <w:sz w:val="20"/>
              </w:rPr>
            </w:pPr>
            <w:r w:rsidRPr="005B75CD">
              <w:rPr>
                <w:rFonts w:ascii="Calibri" w:hAnsi="Calibri" w:cs="Calibri"/>
                <w:color w:val="000000"/>
                <w:sz w:val="20"/>
              </w:rPr>
              <w:t>2014</w:t>
            </w:r>
          </w:p>
        </w:tc>
        <w:tc>
          <w:tcPr>
            <w:tcW w:w="1661" w:type="pct"/>
            <w:tcBorders>
              <w:top w:val="nil"/>
              <w:left w:val="nil"/>
              <w:bottom w:val="single" w:sz="4" w:space="0" w:color="auto"/>
              <w:right w:val="single" w:sz="4" w:space="0" w:color="auto"/>
            </w:tcBorders>
            <w:shd w:val="clear" w:color="auto" w:fill="auto"/>
            <w:noWrap/>
            <w:vAlign w:val="center"/>
            <w:hideMark/>
          </w:tcPr>
          <w:p w14:paraId="0128BC1F"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2 211 717 268,54</w:t>
            </w:r>
          </w:p>
        </w:tc>
        <w:tc>
          <w:tcPr>
            <w:tcW w:w="1661" w:type="pct"/>
            <w:tcBorders>
              <w:top w:val="nil"/>
              <w:left w:val="nil"/>
              <w:bottom w:val="single" w:sz="4" w:space="0" w:color="auto"/>
              <w:right w:val="single" w:sz="4" w:space="0" w:color="auto"/>
            </w:tcBorders>
            <w:shd w:val="clear" w:color="auto" w:fill="auto"/>
            <w:noWrap/>
            <w:vAlign w:val="center"/>
            <w:hideMark/>
          </w:tcPr>
          <w:p w14:paraId="12C59036"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349 256 990,00</w:t>
            </w:r>
          </w:p>
        </w:tc>
        <w:tc>
          <w:tcPr>
            <w:tcW w:w="691" w:type="pct"/>
            <w:tcBorders>
              <w:top w:val="nil"/>
              <w:left w:val="nil"/>
              <w:bottom w:val="single" w:sz="4" w:space="0" w:color="auto"/>
              <w:right w:val="single" w:sz="4" w:space="0" w:color="auto"/>
            </w:tcBorders>
            <w:shd w:val="clear" w:color="auto" w:fill="auto"/>
            <w:noWrap/>
            <w:vAlign w:val="center"/>
            <w:hideMark/>
          </w:tcPr>
          <w:p w14:paraId="403A1BC5"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15,79</w:t>
            </w:r>
          </w:p>
        </w:tc>
      </w:tr>
      <w:tr w:rsidR="00A83EDB" w:rsidRPr="005B75CD" w14:paraId="05C23BD9" w14:textId="77777777" w:rsidTr="00757BF0">
        <w:trPr>
          <w:trHeight w:val="227"/>
        </w:trPr>
        <w:tc>
          <w:tcPr>
            <w:tcW w:w="491" w:type="pct"/>
            <w:vMerge/>
            <w:tcBorders>
              <w:top w:val="nil"/>
              <w:left w:val="single" w:sz="4" w:space="0" w:color="auto"/>
              <w:bottom w:val="single" w:sz="4" w:space="0" w:color="000000"/>
              <w:right w:val="single" w:sz="4" w:space="0" w:color="auto"/>
            </w:tcBorders>
            <w:vAlign w:val="center"/>
            <w:hideMark/>
          </w:tcPr>
          <w:p w14:paraId="3A8F7FEC" w14:textId="77777777" w:rsidR="00A83EDB" w:rsidRPr="005B75CD" w:rsidRDefault="00A83EDB" w:rsidP="00A62436">
            <w:pPr>
              <w:jc w:val="left"/>
              <w:rPr>
                <w:rFonts w:ascii="Calibri" w:hAnsi="Calibri" w:cs="Calibri"/>
                <w:b/>
                <w:bCs/>
                <w:color w:val="000000"/>
                <w:sz w:val="20"/>
              </w:rPr>
            </w:pPr>
          </w:p>
        </w:tc>
        <w:tc>
          <w:tcPr>
            <w:tcW w:w="497" w:type="pct"/>
            <w:tcBorders>
              <w:top w:val="nil"/>
              <w:left w:val="nil"/>
              <w:bottom w:val="single" w:sz="4" w:space="0" w:color="auto"/>
              <w:right w:val="single" w:sz="4" w:space="0" w:color="auto"/>
            </w:tcBorders>
            <w:shd w:val="clear" w:color="auto" w:fill="auto"/>
            <w:noWrap/>
            <w:vAlign w:val="center"/>
            <w:hideMark/>
          </w:tcPr>
          <w:p w14:paraId="2E2B430C" w14:textId="77777777" w:rsidR="00A83EDB" w:rsidRPr="005B75CD" w:rsidRDefault="00A83EDB" w:rsidP="00A62436">
            <w:pPr>
              <w:jc w:val="center"/>
              <w:rPr>
                <w:rFonts w:ascii="Calibri" w:hAnsi="Calibri" w:cs="Calibri"/>
                <w:color w:val="000000"/>
                <w:sz w:val="20"/>
              </w:rPr>
            </w:pPr>
            <w:r w:rsidRPr="005B75CD">
              <w:rPr>
                <w:rFonts w:ascii="Calibri" w:hAnsi="Calibri" w:cs="Calibri"/>
                <w:color w:val="000000"/>
                <w:sz w:val="20"/>
              </w:rPr>
              <w:t>2015</w:t>
            </w:r>
          </w:p>
        </w:tc>
        <w:tc>
          <w:tcPr>
            <w:tcW w:w="1661" w:type="pct"/>
            <w:tcBorders>
              <w:top w:val="nil"/>
              <w:left w:val="nil"/>
              <w:bottom w:val="single" w:sz="4" w:space="0" w:color="auto"/>
              <w:right w:val="single" w:sz="4" w:space="0" w:color="auto"/>
            </w:tcBorders>
            <w:shd w:val="clear" w:color="auto" w:fill="auto"/>
            <w:noWrap/>
            <w:vAlign w:val="center"/>
            <w:hideMark/>
          </w:tcPr>
          <w:p w14:paraId="4CB7F3AF"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2 454 898 588,02</w:t>
            </w:r>
          </w:p>
        </w:tc>
        <w:tc>
          <w:tcPr>
            <w:tcW w:w="1661" w:type="pct"/>
            <w:tcBorders>
              <w:top w:val="nil"/>
              <w:left w:val="nil"/>
              <w:bottom w:val="single" w:sz="4" w:space="0" w:color="auto"/>
              <w:right w:val="single" w:sz="4" w:space="0" w:color="auto"/>
            </w:tcBorders>
            <w:shd w:val="clear" w:color="auto" w:fill="auto"/>
            <w:noWrap/>
            <w:vAlign w:val="center"/>
            <w:hideMark/>
          </w:tcPr>
          <w:p w14:paraId="480C4FA0"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365 104 470,00</w:t>
            </w:r>
          </w:p>
        </w:tc>
        <w:tc>
          <w:tcPr>
            <w:tcW w:w="691" w:type="pct"/>
            <w:tcBorders>
              <w:top w:val="nil"/>
              <w:left w:val="nil"/>
              <w:bottom w:val="single" w:sz="4" w:space="0" w:color="auto"/>
              <w:right w:val="single" w:sz="4" w:space="0" w:color="auto"/>
            </w:tcBorders>
            <w:shd w:val="clear" w:color="auto" w:fill="auto"/>
            <w:noWrap/>
            <w:vAlign w:val="center"/>
            <w:hideMark/>
          </w:tcPr>
          <w:p w14:paraId="1B5778CE"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14,87</w:t>
            </w:r>
          </w:p>
        </w:tc>
      </w:tr>
      <w:tr w:rsidR="00A83EDB" w:rsidRPr="005B75CD" w14:paraId="3AB1CE34" w14:textId="77777777" w:rsidTr="00757BF0">
        <w:trPr>
          <w:trHeight w:val="227"/>
        </w:trPr>
        <w:tc>
          <w:tcPr>
            <w:tcW w:w="491" w:type="pct"/>
            <w:vMerge/>
            <w:tcBorders>
              <w:top w:val="nil"/>
              <w:left w:val="single" w:sz="4" w:space="0" w:color="auto"/>
              <w:bottom w:val="single" w:sz="4" w:space="0" w:color="000000"/>
              <w:right w:val="single" w:sz="4" w:space="0" w:color="auto"/>
            </w:tcBorders>
            <w:vAlign w:val="center"/>
            <w:hideMark/>
          </w:tcPr>
          <w:p w14:paraId="077EB27A" w14:textId="77777777" w:rsidR="00A83EDB" w:rsidRPr="005B75CD" w:rsidRDefault="00A83EDB" w:rsidP="00A62436">
            <w:pPr>
              <w:jc w:val="left"/>
              <w:rPr>
                <w:rFonts w:ascii="Calibri" w:hAnsi="Calibri" w:cs="Calibri"/>
                <w:b/>
                <w:bCs/>
                <w:color w:val="000000"/>
                <w:sz w:val="20"/>
              </w:rPr>
            </w:pPr>
          </w:p>
        </w:tc>
        <w:tc>
          <w:tcPr>
            <w:tcW w:w="497" w:type="pct"/>
            <w:tcBorders>
              <w:top w:val="nil"/>
              <w:left w:val="nil"/>
              <w:bottom w:val="single" w:sz="4" w:space="0" w:color="auto"/>
              <w:right w:val="single" w:sz="4" w:space="0" w:color="auto"/>
            </w:tcBorders>
            <w:shd w:val="clear" w:color="auto" w:fill="auto"/>
            <w:noWrap/>
            <w:vAlign w:val="center"/>
            <w:hideMark/>
          </w:tcPr>
          <w:p w14:paraId="2291A01B" w14:textId="77777777" w:rsidR="00A83EDB" w:rsidRPr="005B75CD" w:rsidRDefault="00A83EDB" w:rsidP="00A62436">
            <w:pPr>
              <w:jc w:val="center"/>
              <w:rPr>
                <w:rFonts w:ascii="Calibri" w:hAnsi="Calibri" w:cs="Calibri"/>
                <w:color w:val="000000"/>
                <w:sz w:val="20"/>
              </w:rPr>
            </w:pPr>
            <w:r w:rsidRPr="005B75CD">
              <w:rPr>
                <w:rFonts w:ascii="Calibri" w:hAnsi="Calibri" w:cs="Calibri"/>
                <w:color w:val="000000"/>
                <w:sz w:val="20"/>
              </w:rPr>
              <w:t>2016</w:t>
            </w:r>
          </w:p>
        </w:tc>
        <w:tc>
          <w:tcPr>
            <w:tcW w:w="1661" w:type="pct"/>
            <w:tcBorders>
              <w:top w:val="nil"/>
              <w:left w:val="nil"/>
              <w:bottom w:val="single" w:sz="4" w:space="0" w:color="auto"/>
              <w:right w:val="single" w:sz="4" w:space="0" w:color="auto"/>
            </w:tcBorders>
            <w:shd w:val="clear" w:color="auto" w:fill="auto"/>
            <w:noWrap/>
            <w:vAlign w:val="center"/>
            <w:hideMark/>
          </w:tcPr>
          <w:p w14:paraId="47B7DE9C"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2 550 626 659,83</w:t>
            </w:r>
          </w:p>
        </w:tc>
        <w:tc>
          <w:tcPr>
            <w:tcW w:w="1661" w:type="pct"/>
            <w:tcBorders>
              <w:top w:val="nil"/>
              <w:left w:val="nil"/>
              <w:bottom w:val="single" w:sz="4" w:space="0" w:color="auto"/>
              <w:right w:val="single" w:sz="4" w:space="0" w:color="auto"/>
            </w:tcBorders>
            <w:shd w:val="clear" w:color="auto" w:fill="auto"/>
            <w:noWrap/>
            <w:vAlign w:val="center"/>
            <w:hideMark/>
          </w:tcPr>
          <w:p w14:paraId="73E3E65A"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370 461 960,00</w:t>
            </w:r>
          </w:p>
        </w:tc>
        <w:tc>
          <w:tcPr>
            <w:tcW w:w="691" w:type="pct"/>
            <w:tcBorders>
              <w:top w:val="nil"/>
              <w:left w:val="nil"/>
              <w:bottom w:val="single" w:sz="4" w:space="0" w:color="auto"/>
              <w:right w:val="single" w:sz="4" w:space="0" w:color="auto"/>
            </w:tcBorders>
            <w:shd w:val="clear" w:color="auto" w:fill="auto"/>
            <w:noWrap/>
            <w:vAlign w:val="center"/>
            <w:hideMark/>
          </w:tcPr>
          <w:p w14:paraId="0909092E" w14:textId="77777777" w:rsidR="00A83EDB" w:rsidRPr="005B75CD" w:rsidRDefault="00A83EDB" w:rsidP="005B75CD">
            <w:pPr>
              <w:ind w:right="204"/>
              <w:jc w:val="right"/>
              <w:rPr>
                <w:rFonts w:ascii="Calibri" w:hAnsi="Calibri" w:cs="Calibri"/>
                <w:color w:val="000000"/>
                <w:sz w:val="20"/>
              </w:rPr>
            </w:pPr>
            <w:r w:rsidRPr="005B75CD">
              <w:rPr>
                <w:rFonts w:ascii="Calibri" w:hAnsi="Calibri" w:cs="Calibri"/>
                <w:color w:val="000000"/>
                <w:sz w:val="20"/>
              </w:rPr>
              <w:t>14,52</w:t>
            </w:r>
          </w:p>
        </w:tc>
      </w:tr>
    </w:tbl>
    <w:p w14:paraId="524065F9" w14:textId="60D6BF59" w:rsidR="00A83EDB" w:rsidRPr="008A1604" w:rsidRDefault="00A83EDB" w:rsidP="008A1604">
      <w:pPr>
        <w:pStyle w:val="Zdroj"/>
        <w:ind w:left="567" w:hanging="567"/>
        <w:rPr>
          <w:i w:val="0"/>
          <w:noProof/>
        </w:rPr>
      </w:pPr>
      <w:r w:rsidRPr="008A1604">
        <w:rPr>
          <w:b/>
          <w:i w:val="0"/>
          <w:noProof/>
        </w:rPr>
        <w:t>Zdroj:</w:t>
      </w:r>
      <w:r w:rsidRPr="008A1604">
        <w:rPr>
          <w:i w:val="0"/>
          <w:noProof/>
        </w:rPr>
        <w:t xml:space="preserve"> </w:t>
      </w:r>
      <w:r w:rsidR="008A1604">
        <w:rPr>
          <w:i w:val="0"/>
          <w:noProof/>
        </w:rPr>
        <w:tab/>
      </w:r>
      <w:r w:rsidR="00D435DC">
        <w:rPr>
          <w:i w:val="0"/>
          <w:noProof/>
        </w:rPr>
        <w:t>h</w:t>
      </w:r>
      <w:r w:rsidR="00215B71" w:rsidRPr="008A1604">
        <w:rPr>
          <w:i w:val="0"/>
          <w:noProof/>
        </w:rPr>
        <w:t>lavní</w:t>
      </w:r>
      <w:r w:rsidR="003417AC" w:rsidRPr="008A1604">
        <w:rPr>
          <w:i w:val="0"/>
          <w:noProof/>
        </w:rPr>
        <w:t xml:space="preserve"> knihy</w:t>
      </w:r>
      <w:r w:rsidR="00215B71" w:rsidRPr="008A1604">
        <w:rPr>
          <w:i w:val="0"/>
          <w:noProof/>
        </w:rPr>
        <w:t xml:space="preserve"> jednotlivých FN k 31. 12. 2014, k 31. 12. 2015 a k 31. 12. 2016 a účetní závěrky k 31. 12. 2014, k 31. 12. 2015 a k 31. 12. 2016.</w:t>
      </w:r>
    </w:p>
    <w:p w14:paraId="0B94ED6F" w14:textId="6009D122" w:rsidR="00A83EDB" w:rsidRPr="008A1604" w:rsidRDefault="00A83EDB" w:rsidP="008A1604">
      <w:pPr>
        <w:autoSpaceDE w:val="0"/>
        <w:autoSpaceDN w:val="0"/>
        <w:adjustRightInd w:val="0"/>
        <w:spacing w:before="120"/>
        <w:rPr>
          <w:rFonts w:cs="Arial"/>
          <w:szCs w:val="24"/>
        </w:rPr>
      </w:pPr>
      <w:r w:rsidRPr="008A1604">
        <w:rPr>
          <w:rFonts w:cs="Arial"/>
          <w:szCs w:val="24"/>
        </w:rPr>
        <w:t xml:space="preserve">Podíl nákladů vynaložených na zdravotnické prostředky na </w:t>
      </w:r>
      <w:r w:rsidR="00D435DC">
        <w:rPr>
          <w:rFonts w:cs="Arial"/>
          <w:szCs w:val="24"/>
        </w:rPr>
        <w:t xml:space="preserve">celkových </w:t>
      </w:r>
      <w:r w:rsidRPr="008A1604">
        <w:rPr>
          <w:rFonts w:cs="Arial"/>
          <w:szCs w:val="24"/>
        </w:rPr>
        <w:t xml:space="preserve">nákladech se </w:t>
      </w:r>
      <w:r w:rsidR="00D435DC">
        <w:rPr>
          <w:rFonts w:cs="Arial"/>
          <w:szCs w:val="24"/>
        </w:rPr>
        <w:t>v </w:t>
      </w:r>
      <w:r w:rsidRPr="008A1604">
        <w:rPr>
          <w:rFonts w:cs="Arial"/>
          <w:szCs w:val="24"/>
        </w:rPr>
        <w:t>kontrolované</w:t>
      </w:r>
      <w:r w:rsidR="00D435DC">
        <w:rPr>
          <w:rFonts w:cs="Arial"/>
          <w:szCs w:val="24"/>
        </w:rPr>
        <w:t>m</w:t>
      </w:r>
      <w:r w:rsidRPr="008A1604">
        <w:rPr>
          <w:rFonts w:cs="Arial"/>
          <w:szCs w:val="24"/>
        </w:rPr>
        <w:t xml:space="preserve"> období u FNB a FNM pohyboval cca ve výši 10 %, u ÚVN cca ve výši 15 %.</w:t>
      </w:r>
    </w:p>
    <w:p w14:paraId="42041AA9" w14:textId="0C3D6882" w:rsidR="00625117" w:rsidRPr="008A1604" w:rsidRDefault="00625117" w:rsidP="004C3B13">
      <w:pPr>
        <w:keepNext/>
        <w:spacing w:before="240" w:after="120"/>
        <w:rPr>
          <w:rFonts w:cstheme="minorHAnsi"/>
          <w:b/>
          <w:noProof/>
          <w:color w:val="000000" w:themeColor="text1"/>
          <w:szCs w:val="24"/>
        </w:rPr>
      </w:pPr>
      <w:r w:rsidRPr="008A1604">
        <w:rPr>
          <w:rFonts w:cstheme="minorHAnsi"/>
          <w:b/>
          <w:noProof/>
          <w:color w:val="000000" w:themeColor="text1"/>
          <w:szCs w:val="24"/>
        </w:rPr>
        <w:t>Ostatní vybrané náklady</w:t>
      </w:r>
    </w:p>
    <w:p w14:paraId="327F8B61" w14:textId="30C5AE67" w:rsidR="00625117" w:rsidRPr="008A1604" w:rsidRDefault="00625117" w:rsidP="008A1604">
      <w:pPr>
        <w:spacing w:before="120"/>
        <w:rPr>
          <w:rFonts w:cstheme="minorHAnsi"/>
          <w:noProof/>
          <w:color w:val="000000" w:themeColor="text1"/>
          <w:szCs w:val="24"/>
        </w:rPr>
      </w:pPr>
      <w:r w:rsidRPr="008A1604">
        <w:rPr>
          <w:rFonts w:cstheme="minorHAnsi"/>
          <w:noProof/>
          <w:color w:val="000000" w:themeColor="text1"/>
          <w:szCs w:val="24"/>
        </w:rPr>
        <w:t>NKÚ ke kontrole vybral na základě posouzení finanční významnosti a rizik náklady na úklid, právní a poradenské služby, opravy a udržování zdravotnické techniky. V následující tabulce jsou uvedeny celkové částky účtů, na které fakultní nemocnice účtovaly tyto vybrané služby.</w:t>
      </w:r>
    </w:p>
    <w:p w14:paraId="6212D4BD" w14:textId="294F9117" w:rsidR="00625117" w:rsidRPr="005B75CD" w:rsidRDefault="00C465C8" w:rsidP="00D435DC">
      <w:pPr>
        <w:keepNext/>
        <w:spacing w:before="120" w:after="40"/>
        <w:rPr>
          <w:rFonts w:cstheme="minorHAnsi"/>
          <w:b/>
          <w:noProof/>
          <w:color w:val="000000" w:themeColor="text1"/>
          <w:szCs w:val="28"/>
        </w:rPr>
      </w:pPr>
      <w:r w:rsidRPr="005B75CD">
        <w:rPr>
          <w:rFonts w:cstheme="minorHAnsi"/>
          <w:b/>
          <w:noProof/>
          <w:color w:val="000000" w:themeColor="text1"/>
          <w:szCs w:val="24"/>
        </w:rPr>
        <w:t>Tabulk</w:t>
      </w:r>
      <w:r w:rsidRPr="005B75CD">
        <w:rPr>
          <w:rFonts w:cstheme="minorHAnsi"/>
          <w:b/>
          <w:noProof/>
          <w:color w:val="000000" w:themeColor="text1"/>
          <w:szCs w:val="28"/>
        </w:rPr>
        <w:t>a č. 7</w:t>
      </w:r>
      <w:r w:rsidR="00625117" w:rsidRPr="005B75CD">
        <w:rPr>
          <w:rFonts w:cstheme="minorHAnsi"/>
          <w:b/>
          <w:noProof/>
          <w:color w:val="000000" w:themeColor="text1"/>
          <w:szCs w:val="28"/>
        </w:rPr>
        <w:t>: Vybrané náklady fakultních nemocnic v období 2014 až 2016</w:t>
      </w:r>
    </w:p>
    <w:tbl>
      <w:tblPr>
        <w:tblW w:w="5000" w:type="pct"/>
        <w:tblLayout w:type="fixed"/>
        <w:tblCellMar>
          <w:left w:w="70" w:type="dxa"/>
          <w:right w:w="70" w:type="dxa"/>
        </w:tblCellMar>
        <w:tblLook w:val="04A0" w:firstRow="1" w:lastRow="0" w:firstColumn="1" w:lastColumn="0" w:noHBand="0" w:noVBand="1"/>
      </w:tblPr>
      <w:tblGrid>
        <w:gridCol w:w="661"/>
        <w:gridCol w:w="610"/>
        <w:gridCol w:w="1559"/>
        <w:gridCol w:w="1135"/>
        <w:gridCol w:w="850"/>
        <w:gridCol w:w="1276"/>
        <w:gridCol w:w="850"/>
        <w:gridCol w:w="1276"/>
        <w:gridCol w:w="845"/>
      </w:tblGrid>
      <w:tr w:rsidR="00625117" w:rsidRPr="005B75CD" w14:paraId="6754A093" w14:textId="77777777" w:rsidTr="00757BF0">
        <w:trPr>
          <w:trHeight w:val="227"/>
        </w:trPr>
        <w:tc>
          <w:tcPr>
            <w:tcW w:w="701" w:type="pct"/>
            <w:gridSpan w:val="2"/>
            <w:vMerge w:val="restart"/>
            <w:tcBorders>
              <w:top w:val="single" w:sz="4" w:space="0" w:color="auto"/>
              <w:left w:val="single" w:sz="4" w:space="0" w:color="auto"/>
              <w:bottom w:val="single" w:sz="4" w:space="0" w:color="000000"/>
              <w:right w:val="single" w:sz="4" w:space="0" w:color="000000"/>
            </w:tcBorders>
            <w:shd w:val="clear" w:color="000000" w:fill="E5F1FF"/>
            <w:noWrap/>
            <w:vAlign w:val="bottom"/>
            <w:hideMark/>
          </w:tcPr>
          <w:p w14:paraId="077841F6" w14:textId="77777777" w:rsidR="00625117" w:rsidRPr="005B75CD" w:rsidRDefault="00625117" w:rsidP="00D435DC">
            <w:pPr>
              <w:keepNext/>
              <w:jc w:val="center"/>
              <w:rPr>
                <w:rFonts w:ascii="Calibri" w:hAnsi="Calibri" w:cs="Calibri"/>
                <w:b/>
                <w:bCs/>
                <w:color w:val="000000"/>
                <w:sz w:val="20"/>
              </w:rPr>
            </w:pPr>
            <w:r w:rsidRPr="005B75CD">
              <w:rPr>
                <w:rFonts w:ascii="Calibri" w:hAnsi="Calibri" w:cs="Calibri"/>
                <w:b/>
                <w:bCs/>
                <w:color w:val="000000"/>
                <w:sz w:val="20"/>
              </w:rPr>
              <w:t> </w:t>
            </w:r>
          </w:p>
        </w:tc>
        <w:tc>
          <w:tcPr>
            <w:tcW w:w="860" w:type="pct"/>
            <w:tcBorders>
              <w:top w:val="single" w:sz="4" w:space="0" w:color="auto"/>
              <w:left w:val="nil"/>
              <w:bottom w:val="single" w:sz="4" w:space="0" w:color="auto"/>
              <w:right w:val="single" w:sz="4" w:space="0" w:color="auto"/>
            </w:tcBorders>
            <w:shd w:val="clear" w:color="000000" w:fill="E5F1FF"/>
            <w:vAlign w:val="center"/>
            <w:hideMark/>
          </w:tcPr>
          <w:p w14:paraId="2B87320A" w14:textId="478B1937" w:rsidR="00625117" w:rsidRPr="005B75CD" w:rsidRDefault="00625117" w:rsidP="00D435DC">
            <w:pPr>
              <w:keepNext/>
              <w:jc w:val="center"/>
              <w:rPr>
                <w:rFonts w:ascii="Calibri" w:hAnsi="Calibri" w:cs="Calibri"/>
                <w:b/>
                <w:bCs/>
                <w:color w:val="000000"/>
                <w:sz w:val="20"/>
              </w:rPr>
            </w:pPr>
            <w:r w:rsidRPr="005B75CD">
              <w:rPr>
                <w:rFonts w:ascii="Calibri" w:hAnsi="Calibri" w:cs="Calibri"/>
                <w:b/>
                <w:bCs/>
                <w:color w:val="000000"/>
                <w:sz w:val="20"/>
              </w:rPr>
              <w:t xml:space="preserve">Náklady celkem </w:t>
            </w:r>
            <w:r w:rsidR="005B75CD" w:rsidRPr="005B75CD">
              <w:rPr>
                <w:rFonts w:ascii="Calibri" w:hAnsi="Calibri" w:cs="Calibri"/>
                <w:b/>
                <w:bCs/>
                <w:color w:val="000000"/>
                <w:sz w:val="20"/>
              </w:rPr>
              <w:br/>
            </w:r>
            <w:r w:rsidRPr="005B75CD">
              <w:rPr>
                <w:rFonts w:ascii="Calibri" w:hAnsi="Calibri" w:cs="Calibri"/>
                <w:b/>
                <w:bCs/>
                <w:color w:val="000000"/>
                <w:sz w:val="20"/>
              </w:rPr>
              <w:t>(třída 5)</w:t>
            </w:r>
          </w:p>
        </w:tc>
        <w:tc>
          <w:tcPr>
            <w:tcW w:w="1095" w:type="pct"/>
            <w:gridSpan w:val="2"/>
            <w:tcBorders>
              <w:top w:val="single" w:sz="4" w:space="0" w:color="auto"/>
              <w:left w:val="nil"/>
              <w:bottom w:val="single" w:sz="4" w:space="0" w:color="auto"/>
              <w:right w:val="single" w:sz="4" w:space="0" w:color="000000"/>
            </w:tcBorders>
            <w:shd w:val="clear" w:color="000000" w:fill="E5F1FF"/>
            <w:noWrap/>
            <w:vAlign w:val="center"/>
            <w:hideMark/>
          </w:tcPr>
          <w:p w14:paraId="7C9781E5" w14:textId="73A8E662" w:rsidR="00625117" w:rsidRPr="005B75CD" w:rsidRDefault="00625117" w:rsidP="00D435DC">
            <w:pPr>
              <w:keepNext/>
              <w:jc w:val="center"/>
              <w:rPr>
                <w:rFonts w:ascii="Calibri" w:hAnsi="Calibri" w:cs="Calibri"/>
                <w:b/>
                <w:bCs/>
                <w:color w:val="000000"/>
                <w:sz w:val="20"/>
              </w:rPr>
            </w:pPr>
            <w:r w:rsidRPr="005B75CD">
              <w:rPr>
                <w:rFonts w:ascii="Calibri" w:hAnsi="Calibri" w:cs="Calibri"/>
                <w:b/>
                <w:bCs/>
                <w:color w:val="000000"/>
                <w:sz w:val="20"/>
              </w:rPr>
              <w:t xml:space="preserve">511 </w:t>
            </w:r>
            <w:r w:rsidR="00D435DC">
              <w:rPr>
                <w:rFonts w:ascii="Calibri" w:hAnsi="Calibri" w:cs="Calibri"/>
                <w:b/>
                <w:bCs/>
                <w:color w:val="000000"/>
                <w:sz w:val="20"/>
              </w:rPr>
              <w:t>–</w:t>
            </w:r>
            <w:r w:rsidRPr="005B75CD">
              <w:rPr>
                <w:rFonts w:ascii="Calibri" w:hAnsi="Calibri" w:cs="Calibri"/>
                <w:b/>
                <w:bCs/>
                <w:color w:val="000000"/>
                <w:sz w:val="20"/>
              </w:rPr>
              <w:t xml:space="preserve"> Opravy a</w:t>
            </w:r>
            <w:r w:rsidR="00CE292C">
              <w:rPr>
                <w:rFonts w:ascii="Calibri" w:hAnsi="Calibri" w:cs="Calibri"/>
                <w:b/>
                <w:bCs/>
                <w:color w:val="000000"/>
                <w:sz w:val="20"/>
              </w:rPr>
              <w:t> </w:t>
            </w:r>
            <w:r w:rsidRPr="005B75CD">
              <w:rPr>
                <w:rFonts w:ascii="Calibri" w:hAnsi="Calibri" w:cs="Calibri"/>
                <w:b/>
                <w:bCs/>
                <w:color w:val="000000"/>
                <w:sz w:val="20"/>
              </w:rPr>
              <w:t>udržování</w:t>
            </w:r>
          </w:p>
        </w:tc>
        <w:tc>
          <w:tcPr>
            <w:tcW w:w="1173" w:type="pct"/>
            <w:gridSpan w:val="2"/>
            <w:tcBorders>
              <w:top w:val="single" w:sz="4" w:space="0" w:color="auto"/>
              <w:left w:val="nil"/>
              <w:bottom w:val="single" w:sz="4" w:space="0" w:color="auto"/>
              <w:right w:val="single" w:sz="4" w:space="0" w:color="000000"/>
            </w:tcBorders>
            <w:shd w:val="clear" w:color="000000" w:fill="E5F1FF"/>
            <w:noWrap/>
            <w:vAlign w:val="center"/>
            <w:hideMark/>
          </w:tcPr>
          <w:p w14:paraId="5B5F2D58" w14:textId="319B200F" w:rsidR="00625117" w:rsidRPr="005B75CD" w:rsidRDefault="00625117" w:rsidP="00D435DC">
            <w:pPr>
              <w:keepNext/>
              <w:jc w:val="center"/>
              <w:rPr>
                <w:rFonts w:ascii="Calibri" w:hAnsi="Calibri" w:cs="Calibri"/>
                <w:b/>
                <w:bCs/>
                <w:color w:val="000000"/>
                <w:sz w:val="20"/>
              </w:rPr>
            </w:pPr>
            <w:r w:rsidRPr="005B75CD">
              <w:rPr>
                <w:rFonts w:ascii="Calibri" w:hAnsi="Calibri" w:cs="Calibri"/>
                <w:b/>
                <w:bCs/>
                <w:color w:val="000000"/>
                <w:sz w:val="20"/>
              </w:rPr>
              <w:t xml:space="preserve">518 </w:t>
            </w:r>
            <w:r w:rsidR="00D435DC">
              <w:rPr>
                <w:rFonts w:ascii="Calibri" w:hAnsi="Calibri" w:cs="Calibri"/>
                <w:b/>
                <w:bCs/>
                <w:color w:val="000000"/>
                <w:sz w:val="20"/>
              </w:rPr>
              <w:t>–</w:t>
            </w:r>
            <w:r w:rsidRPr="005B75CD">
              <w:rPr>
                <w:rFonts w:ascii="Calibri" w:hAnsi="Calibri" w:cs="Calibri"/>
                <w:b/>
                <w:bCs/>
                <w:color w:val="000000"/>
                <w:sz w:val="20"/>
              </w:rPr>
              <w:t xml:space="preserve"> Ostatní služby</w:t>
            </w:r>
          </w:p>
        </w:tc>
        <w:tc>
          <w:tcPr>
            <w:tcW w:w="1170" w:type="pct"/>
            <w:gridSpan w:val="2"/>
            <w:tcBorders>
              <w:top w:val="single" w:sz="4" w:space="0" w:color="auto"/>
              <w:left w:val="nil"/>
              <w:bottom w:val="single" w:sz="4" w:space="0" w:color="auto"/>
              <w:right w:val="single" w:sz="4" w:space="0" w:color="000000"/>
            </w:tcBorders>
            <w:shd w:val="clear" w:color="000000" w:fill="E5F1FF"/>
            <w:noWrap/>
            <w:vAlign w:val="center"/>
            <w:hideMark/>
          </w:tcPr>
          <w:p w14:paraId="6D5B6C3F" w14:textId="2729AD00" w:rsidR="00625117" w:rsidRPr="005B75CD" w:rsidRDefault="00625117" w:rsidP="00D435DC">
            <w:pPr>
              <w:keepNext/>
              <w:jc w:val="center"/>
              <w:rPr>
                <w:rFonts w:ascii="Calibri" w:hAnsi="Calibri" w:cs="Calibri"/>
                <w:b/>
                <w:bCs/>
                <w:color w:val="000000"/>
                <w:sz w:val="20"/>
              </w:rPr>
            </w:pPr>
            <w:r w:rsidRPr="005B75CD">
              <w:rPr>
                <w:rFonts w:ascii="Calibri" w:hAnsi="Calibri" w:cs="Calibri"/>
                <w:b/>
                <w:bCs/>
                <w:color w:val="000000"/>
                <w:sz w:val="20"/>
              </w:rPr>
              <w:t xml:space="preserve">549 </w:t>
            </w:r>
            <w:r w:rsidR="00D435DC">
              <w:rPr>
                <w:rFonts w:ascii="Calibri" w:hAnsi="Calibri" w:cs="Calibri"/>
                <w:b/>
                <w:bCs/>
                <w:color w:val="000000"/>
                <w:sz w:val="20"/>
              </w:rPr>
              <w:t>–</w:t>
            </w:r>
            <w:r w:rsidRPr="005B75CD">
              <w:rPr>
                <w:rFonts w:ascii="Calibri" w:hAnsi="Calibri" w:cs="Calibri"/>
                <w:b/>
                <w:bCs/>
                <w:color w:val="000000"/>
                <w:sz w:val="20"/>
              </w:rPr>
              <w:t xml:space="preserve"> Ostatní náklady z</w:t>
            </w:r>
            <w:r w:rsidR="00CE292C">
              <w:rPr>
                <w:rFonts w:ascii="Calibri" w:hAnsi="Calibri" w:cs="Calibri"/>
                <w:b/>
                <w:bCs/>
                <w:color w:val="000000"/>
                <w:sz w:val="20"/>
              </w:rPr>
              <w:t> </w:t>
            </w:r>
            <w:r w:rsidRPr="005B75CD">
              <w:rPr>
                <w:rFonts w:ascii="Calibri" w:hAnsi="Calibri" w:cs="Calibri"/>
                <w:b/>
                <w:bCs/>
                <w:color w:val="000000"/>
                <w:sz w:val="20"/>
              </w:rPr>
              <w:t>činnosti</w:t>
            </w:r>
          </w:p>
        </w:tc>
      </w:tr>
      <w:tr w:rsidR="00CE292C" w:rsidRPr="005B75CD" w14:paraId="41A3F14B" w14:textId="77777777" w:rsidTr="00757BF0">
        <w:trPr>
          <w:trHeight w:val="227"/>
        </w:trPr>
        <w:tc>
          <w:tcPr>
            <w:tcW w:w="701" w:type="pct"/>
            <w:gridSpan w:val="2"/>
            <w:vMerge/>
            <w:tcBorders>
              <w:top w:val="single" w:sz="4" w:space="0" w:color="auto"/>
              <w:left w:val="single" w:sz="4" w:space="0" w:color="auto"/>
              <w:bottom w:val="single" w:sz="4" w:space="0" w:color="000000"/>
              <w:right w:val="single" w:sz="4" w:space="0" w:color="000000"/>
            </w:tcBorders>
            <w:vAlign w:val="center"/>
            <w:hideMark/>
          </w:tcPr>
          <w:p w14:paraId="34A112A0" w14:textId="77777777" w:rsidR="00625117" w:rsidRPr="005B75CD" w:rsidRDefault="00625117" w:rsidP="00D435DC">
            <w:pPr>
              <w:keepNext/>
              <w:jc w:val="left"/>
              <w:rPr>
                <w:rFonts w:ascii="Calibri" w:hAnsi="Calibri" w:cs="Calibri"/>
                <w:b/>
                <w:bCs/>
                <w:color w:val="000000"/>
                <w:sz w:val="20"/>
              </w:rPr>
            </w:pPr>
          </w:p>
        </w:tc>
        <w:tc>
          <w:tcPr>
            <w:tcW w:w="860" w:type="pct"/>
            <w:tcBorders>
              <w:top w:val="nil"/>
              <w:left w:val="nil"/>
              <w:bottom w:val="single" w:sz="4" w:space="0" w:color="auto"/>
              <w:right w:val="single" w:sz="4" w:space="0" w:color="auto"/>
            </w:tcBorders>
            <w:shd w:val="clear" w:color="000000" w:fill="E5F1FF"/>
            <w:noWrap/>
            <w:vAlign w:val="center"/>
            <w:hideMark/>
          </w:tcPr>
          <w:p w14:paraId="22545B32" w14:textId="77777777" w:rsidR="00625117" w:rsidRPr="005B75CD" w:rsidRDefault="00625117" w:rsidP="00D435DC">
            <w:pPr>
              <w:keepNext/>
              <w:jc w:val="center"/>
              <w:rPr>
                <w:rFonts w:ascii="Calibri" w:hAnsi="Calibri" w:cs="Calibri"/>
                <w:b/>
                <w:bCs/>
                <w:color w:val="000000"/>
                <w:sz w:val="20"/>
              </w:rPr>
            </w:pPr>
            <w:r w:rsidRPr="005B75CD">
              <w:rPr>
                <w:rFonts w:ascii="Calibri" w:hAnsi="Calibri" w:cs="Calibri"/>
                <w:b/>
                <w:bCs/>
                <w:color w:val="000000"/>
                <w:sz w:val="20"/>
              </w:rPr>
              <w:t>tis. Kč</w:t>
            </w:r>
          </w:p>
        </w:tc>
        <w:tc>
          <w:tcPr>
            <w:tcW w:w="626" w:type="pct"/>
            <w:tcBorders>
              <w:top w:val="nil"/>
              <w:left w:val="nil"/>
              <w:bottom w:val="single" w:sz="4" w:space="0" w:color="auto"/>
              <w:right w:val="single" w:sz="4" w:space="0" w:color="auto"/>
            </w:tcBorders>
            <w:shd w:val="clear" w:color="000000" w:fill="E5F1FF"/>
            <w:noWrap/>
            <w:vAlign w:val="center"/>
            <w:hideMark/>
          </w:tcPr>
          <w:p w14:paraId="193B4331" w14:textId="77777777" w:rsidR="00625117" w:rsidRPr="005B75CD" w:rsidRDefault="00625117" w:rsidP="00D435DC">
            <w:pPr>
              <w:keepNext/>
              <w:jc w:val="center"/>
              <w:rPr>
                <w:rFonts w:ascii="Calibri" w:hAnsi="Calibri" w:cs="Calibri"/>
                <w:b/>
                <w:bCs/>
                <w:color w:val="000000"/>
                <w:sz w:val="20"/>
              </w:rPr>
            </w:pPr>
            <w:r w:rsidRPr="005B75CD">
              <w:rPr>
                <w:rFonts w:ascii="Calibri" w:hAnsi="Calibri" w:cs="Calibri"/>
                <w:b/>
                <w:bCs/>
                <w:color w:val="000000"/>
                <w:sz w:val="20"/>
              </w:rPr>
              <w:t>tis. Kč</w:t>
            </w:r>
          </w:p>
        </w:tc>
        <w:tc>
          <w:tcPr>
            <w:tcW w:w="469" w:type="pct"/>
            <w:tcBorders>
              <w:top w:val="nil"/>
              <w:left w:val="nil"/>
              <w:bottom w:val="single" w:sz="4" w:space="0" w:color="auto"/>
              <w:right w:val="single" w:sz="4" w:space="0" w:color="auto"/>
            </w:tcBorders>
            <w:shd w:val="clear" w:color="000000" w:fill="E5F1FF"/>
            <w:noWrap/>
            <w:vAlign w:val="center"/>
            <w:hideMark/>
          </w:tcPr>
          <w:p w14:paraId="118D60DB" w14:textId="77777777" w:rsidR="00625117" w:rsidRPr="005B75CD" w:rsidRDefault="00625117" w:rsidP="00D435DC">
            <w:pPr>
              <w:keepNext/>
              <w:jc w:val="center"/>
              <w:rPr>
                <w:rFonts w:ascii="Calibri" w:hAnsi="Calibri" w:cs="Calibri"/>
                <w:b/>
                <w:bCs/>
                <w:color w:val="000000"/>
                <w:sz w:val="20"/>
              </w:rPr>
            </w:pPr>
            <w:r w:rsidRPr="005B75CD">
              <w:rPr>
                <w:rFonts w:ascii="Calibri" w:hAnsi="Calibri" w:cs="Calibri"/>
                <w:b/>
                <w:bCs/>
                <w:color w:val="000000"/>
                <w:sz w:val="20"/>
              </w:rPr>
              <w:t>%</w:t>
            </w:r>
          </w:p>
        </w:tc>
        <w:tc>
          <w:tcPr>
            <w:tcW w:w="704" w:type="pct"/>
            <w:tcBorders>
              <w:top w:val="nil"/>
              <w:left w:val="nil"/>
              <w:bottom w:val="single" w:sz="4" w:space="0" w:color="auto"/>
              <w:right w:val="single" w:sz="4" w:space="0" w:color="auto"/>
            </w:tcBorders>
            <w:shd w:val="clear" w:color="000000" w:fill="E5F1FF"/>
            <w:noWrap/>
            <w:vAlign w:val="center"/>
            <w:hideMark/>
          </w:tcPr>
          <w:p w14:paraId="77C971EB" w14:textId="77777777" w:rsidR="00625117" w:rsidRPr="005B75CD" w:rsidRDefault="00625117" w:rsidP="00D435DC">
            <w:pPr>
              <w:keepNext/>
              <w:jc w:val="center"/>
              <w:rPr>
                <w:rFonts w:ascii="Calibri" w:hAnsi="Calibri" w:cs="Calibri"/>
                <w:b/>
                <w:bCs/>
                <w:color w:val="000000"/>
                <w:sz w:val="20"/>
              </w:rPr>
            </w:pPr>
            <w:r w:rsidRPr="005B75CD">
              <w:rPr>
                <w:rFonts w:ascii="Calibri" w:hAnsi="Calibri" w:cs="Calibri"/>
                <w:b/>
                <w:bCs/>
                <w:color w:val="000000"/>
                <w:sz w:val="20"/>
              </w:rPr>
              <w:t>tis. Kč</w:t>
            </w:r>
          </w:p>
        </w:tc>
        <w:tc>
          <w:tcPr>
            <w:tcW w:w="469" w:type="pct"/>
            <w:tcBorders>
              <w:top w:val="nil"/>
              <w:left w:val="nil"/>
              <w:bottom w:val="single" w:sz="4" w:space="0" w:color="auto"/>
              <w:right w:val="single" w:sz="4" w:space="0" w:color="auto"/>
            </w:tcBorders>
            <w:shd w:val="clear" w:color="000000" w:fill="E5F1FF"/>
            <w:noWrap/>
            <w:vAlign w:val="center"/>
            <w:hideMark/>
          </w:tcPr>
          <w:p w14:paraId="062445B4" w14:textId="77777777" w:rsidR="00625117" w:rsidRPr="005B75CD" w:rsidRDefault="00625117" w:rsidP="00D435DC">
            <w:pPr>
              <w:keepNext/>
              <w:jc w:val="center"/>
              <w:rPr>
                <w:rFonts w:ascii="Calibri" w:hAnsi="Calibri" w:cs="Calibri"/>
                <w:b/>
                <w:bCs/>
                <w:color w:val="000000"/>
                <w:sz w:val="20"/>
              </w:rPr>
            </w:pPr>
            <w:r w:rsidRPr="005B75CD">
              <w:rPr>
                <w:rFonts w:ascii="Calibri" w:hAnsi="Calibri" w:cs="Calibri"/>
                <w:b/>
                <w:bCs/>
                <w:color w:val="000000"/>
                <w:sz w:val="20"/>
              </w:rPr>
              <w:t>%</w:t>
            </w:r>
          </w:p>
        </w:tc>
        <w:tc>
          <w:tcPr>
            <w:tcW w:w="704" w:type="pct"/>
            <w:tcBorders>
              <w:top w:val="nil"/>
              <w:left w:val="nil"/>
              <w:bottom w:val="single" w:sz="4" w:space="0" w:color="auto"/>
              <w:right w:val="single" w:sz="4" w:space="0" w:color="auto"/>
            </w:tcBorders>
            <w:shd w:val="clear" w:color="000000" w:fill="E5F1FF"/>
            <w:noWrap/>
            <w:vAlign w:val="center"/>
            <w:hideMark/>
          </w:tcPr>
          <w:p w14:paraId="3892AB49" w14:textId="77777777" w:rsidR="00625117" w:rsidRPr="005B75CD" w:rsidRDefault="00625117" w:rsidP="00D435DC">
            <w:pPr>
              <w:keepNext/>
              <w:jc w:val="center"/>
              <w:rPr>
                <w:rFonts w:ascii="Calibri" w:hAnsi="Calibri" w:cs="Calibri"/>
                <w:b/>
                <w:bCs/>
                <w:color w:val="000000"/>
                <w:sz w:val="20"/>
              </w:rPr>
            </w:pPr>
            <w:r w:rsidRPr="005B75CD">
              <w:rPr>
                <w:rFonts w:ascii="Calibri" w:hAnsi="Calibri" w:cs="Calibri"/>
                <w:b/>
                <w:bCs/>
                <w:color w:val="000000"/>
                <w:sz w:val="20"/>
              </w:rPr>
              <w:t>tis. Kč</w:t>
            </w:r>
          </w:p>
        </w:tc>
        <w:tc>
          <w:tcPr>
            <w:tcW w:w="466" w:type="pct"/>
            <w:tcBorders>
              <w:top w:val="nil"/>
              <w:left w:val="nil"/>
              <w:bottom w:val="single" w:sz="4" w:space="0" w:color="auto"/>
              <w:right w:val="single" w:sz="4" w:space="0" w:color="auto"/>
            </w:tcBorders>
            <w:shd w:val="clear" w:color="000000" w:fill="E5F1FF"/>
            <w:noWrap/>
            <w:vAlign w:val="center"/>
            <w:hideMark/>
          </w:tcPr>
          <w:p w14:paraId="6DC1DF64" w14:textId="77777777" w:rsidR="00625117" w:rsidRPr="005B75CD" w:rsidRDefault="00625117" w:rsidP="00D435DC">
            <w:pPr>
              <w:keepNext/>
              <w:jc w:val="center"/>
              <w:rPr>
                <w:rFonts w:ascii="Calibri" w:hAnsi="Calibri" w:cs="Calibri"/>
                <w:b/>
                <w:bCs/>
                <w:color w:val="000000"/>
                <w:sz w:val="20"/>
              </w:rPr>
            </w:pPr>
            <w:r w:rsidRPr="005B75CD">
              <w:rPr>
                <w:rFonts w:ascii="Calibri" w:hAnsi="Calibri" w:cs="Calibri"/>
                <w:b/>
                <w:bCs/>
                <w:color w:val="000000"/>
                <w:sz w:val="20"/>
              </w:rPr>
              <w:t>%</w:t>
            </w:r>
          </w:p>
        </w:tc>
      </w:tr>
      <w:tr w:rsidR="00CE292C" w:rsidRPr="005B75CD" w14:paraId="70F4EEEC" w14:textId="77777777" w:rsidTr="00757BF0">
        <w:trPr>
          <w:trHeight w:val="227"/>
        </w:trPr>
        <w:tc>
          <w:tcPr>
            <w:tcW w:w="3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96CAEBA" w14:textId="77777777" w:rsidR="00625117" w:rsidRPr="005B75CD" w:rsidRDefault="00625117" w:rsidP="00D435DC">
            <w:pPr>
              <w:keepNext/>
              <w:jc w:val="left"/>
              <w:rPr>
                <w:rFonts w:ascii="Calibri" w:hAnsi="Calibri" w:cs="Calibri"/>
                <w:b/>
                <w:bCs/>
                <w:color w:val="000000"/>
                <w:sz w:val="20"/>
              </w:rPr>
            </w:pPr>
            <w:r w:rsidRPr="005B75CD">
              <w:rPr>
                <w:rFonts w:ascii="Calibri" w:hAnsi="Calibri" w:cs="Calibri"/>
                <w:b/>
                <w:bCs/>
                <w:color w:val="000000"/>
                <w:sz w:val="20"/>
              </w:rPr>
              <w:t>FNB</w:t>
            </w:r>
          </w:p>
        </w:tc>
        <w:tc>
          <w:tcPr>
            <w:tcW w:w="337" w:type="pct"/>
            <w:tcBorders>
              <w:top w:val="nil"/>
              <w:left w:val="nil"/>
              <w:bottom w:val="single" w:sz="4" w:space="0" w:color="auto"/>
              <w:right w:val="single" w:sz="4" w:space="0" w:color="auto"/>
            </w:tcBorders>
            <w:shd w:val="clear" w:color="auto" w:fill="auto"/>
            <w:noWrap/>
            <w:vAlign w:val="center"/>
            <w:hideMark/>
          </w:tcPr>
          <w:p w14:paraId="6977DF4C" w14:textId="77777777" w:rsidR="00625117" w:rsidRPr="00CE292C" w:rsidRDefault="00625117" w:rsidP="00D435DC">
            <w:pPr>
              <w:keepNext/>
              <w:jc w:val="center"/>
              <w:rPr>
                <w:rFonts w:ascii="Calibri" w:hAnsi="Calibri" w:cs="Calibri"/>
                <w:bCs/>
                <w:color w:val="000000"/>
                <w:sz w:val="20"/>
              </w:rPr>
            </w:pPr>
            <w:r w:rsidRPr="00CE292C">
              <w:rPr>
                <w:rFonts w:ascii="Calibri" w:hAnsi="Calibri" w:cs="Calibri"/>
                <w:bCs/>
                <w:color w:val="000000"/>
                <w:sz w:val="20"/>
              </w:rPr>
              <w:t>2014</w:t>
            </w:r>
          </w:p>
        </w:tc>
        <w:tc>
          <w:tcPr>
            <w:tcW w:w="860" w:type="pct"/>
            <w:tcBorders>
              <w:top w:val="nil"/>
              <w:left w:val="nil"/>
              <w:bottom w:val="single" w:sz="4" w:space="0" w:color="auto"/>
              <w:right w:val="single" w:sz="4" w:space="0" w:color="auto"/>
            </w:tcBorders>
            <w:shd w:val="clear" w:color="auto" w:fill="auto"/>
            <w:noWrap/>
            <w:vAlign w:val="center"/>
            <w:hideMark/>
          </w:tcPr>
          <w:p w14:paraId="36BE5C9F"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6 587 570,41</w:t>
            </w:r>
          </w:p>
        </w:tc>
        <w:tc>
          <w:tcPr>
            <w:tcW w:w="626" w:type="pct"/>
            <w:tcBorders>
              <w:top w:val="nil"/>
              <w:left w:val="nil"/>
              <w:bottom w:val="single" w:sz="4" w:space="0" w:color="auto"/>
              <w:right w:val="single" w:sz="4" w:space="0" w:color="auto"/>
            </w:tcBorders>
            <w:shd w:val="clear" w:color="auto" w:fill="auto"/>
            <w:vAlign w:val="center"/>
            <w:hideMark/>
          </w:tcPr>
          <w:p w14:paraId="3FF41CD3"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98 646,05</w:t>
            </w:r>
          </w:p>
        </w:tc>
        <w:tc>
          <w:tcPr>
            <w:tcW w:w="469" w:type="pct"/>
            <w:tcBorders>
              <w:top w:val="nil"/>
              <w:left w:val="nil"/>
              <w:bottom w:val="single" w:sz="4" w:space="0" w:color="auto"/>
              <w:right w:val="single" w:sz="4" w:space="0" w:color="auto"/>
            </w:tcBorders>
            <w:shd w:val="clear" w:color="auto" w:fill="auto"/>
            <w:noWrap/>
            <w:vAlign w:val="center"/>
            <w:hideMark/>
          </w:tcPr>
          <w:p w14:paraId="1302950F"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1,50</w:t>
            </w:r>
          </w:p>
        </w:tc>
        <w:tc>
          <w:tcPr>
            <w:tcW w:w="704" w:type="pct"/>
            <w:tcBorders>
              <w:top w:val="nil"/>
              <w:left w:val="nil"/>
              <w:bottom w:val="single" w:sz="4" w:space="0" w:color="auto"/>
              <w:right w:val="single" w:sz="4" w:space="0" w:color="auto"/>
            </w:tcBorders>
            <w:shd w:val="clear" w:color="auto" w:fill="auto"/>
            <w:vAlign w:val="center"/>
            <w:hideMark/>
          </w:tcPr>
          <w:p w14:paraId="651D2216"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157 706,26</w:t>
            </w:r>
          </w:p>
        </w:tc>
        <w:tc>
          <w:tcPr>
            <w:tcW w:w="469" w:type="pct"/>
            <w:tcBorders>
              <w:top w:val="nil"/>
              <w:left w:val="nil"/>
              <w:bottom w:val="single" w:sz="4" w:space="0" w:color="auto"/>
              <w:right w:val="single" w:sz="4" w:space="0" w:color="auto"/>
            </w:tcBorders>
            <w:shd w:val="clear" w:color="auto" w:fill="auto"/>
            <w:noWrap/>
            <w:vAlign w:val="center"/>
            <w:hideMark/>
          </w:tcPr>
          <w:p w14:paraId="29B18454"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2,39</w:t>
            </w:r>
          </w:p>
        </w:tc>
        <w:tc>
          <w:tcPr>
            <w:tcW w:w="704" w:type="pct"/>
            <w:tcBorders>
              <w:top w:val="nil"/>
              <w:left w:val="nil"/>
              <w:bottom w:val="single" w:sz="4" w:space="0" w:color="auto"/>
              <w:right w:val="single" w:sz="4" w:space="0" w:color="auto"/>
            </w:tcBorders>
            <w:shd w:val="clear" w:color="auto" w:fill="auto"/>
            <w:noWrap/>
            <w:vAlign w:val="center"/>
            <w:hideMark/>
          </w:tcPr>
          <w:p w14:paraId="1A2E584B"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0,00</w:t>
            </w:r>
          </w:p>
        </w:tc>
        <w:tc>
          <w:tcPr>
            <w:tcW w:w="466" w:type="pct"/>
            <w:tcBorders>
              <w:top w:val="nil"/>
              <w:left w:val="nil"/>
              <w:bottom w:val="single" w:sz="4" w:space="0" w:color="auto"/>
              <w:right w:val="single" w:sz="4" w:space="0" w:color="auto"/>
            </w:tcBorders>
            <w:shd w:val="clear" w:color="auto" w:fill="auto"/>
            <w:noWrap/>
            <w:vAlign w:val="center"/>
            <w:hideMark/>
          </w:tcPr>
          <w:p w14:paraId="7EFDFD8C"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0,00</w:t>
            </w:r>
          </w:p>
        </w:tc>
      </w:tr>
      <w:tr w:rsidR="00CE292C" w:rsidRPr="005B75CD" w14:paraId="275E87D3" w14:textId="77777777" w:rsidTr="00757BF0">
        <w:trPr>
          <w:trHeight w:val="227"/>
        </w:trPr>
        <w:tc>
          <w:tcPr>
            <w:tcW w:w="365" w:type="pct"/>
            <w:vMerge/>
            <w:tcBorders>
              <w:top w:val="nil"/>
              <w:left w:val="single" w:sz="4" w:space="0" w:color="auto"/>
              <w:bottom w:val="single" w:sz="4" w:space="0" w:color="000000"/>
              <w:right w:val="single" w:sz="4" w:space="0" w:color="auto"/>
            </w:tcBorders>
            <w:vAlign w:val="center"/>
            <w:hideMark/>
          </w:tcPr>
          <w:p w14:paraId="7F7ED8BB" w14:textId="77777777" w:rsidR="00625117" w:rsidRPr="005B75CD" w:rsidRDefault="00625117" w:rsidP="00D435DC">
            <w:pPr>
              <w:keepNext/>
              <w:jc w:val="left"/>
              <w:rPr>
                <w:rFonts w:ascii="Calibri" w:hAnsi="Calibri" w:cs="Calibri"/>
                <w:b/>
                <w:bCs/>
                <w:color w:val="000000"/>
                <w:sz w:val="20"/>
              </w:rPr>
            </w:pPr>
          </w:p>
        </w:tc>
        <w:tc>
          <w:tcPr>
            <w:tcW w:w="337" w:type="pct"/>
            <w:tcBorders>
              <w:top w:val="nil"/>
              <w:left w:val="nil"/>
              <w:bottom w:val="single" w:sz="4" w:space="0" w:color="auto"/>
              <w:right w:val="single" w:sz="4" w:space="0" w:color="auto"/>
            </w:tcBorders>
            <w:shd w:val="clear" w:color="auto" w:fill="auto"/>
            <w:noWrap/>
            <w:vAlign w:val="center"/>
            <w:hideMark/>
          </w:tcPr>
          <w:p w14:paraId="404D67A8" w14:textId="77777777" w:rsidR="00625117" w:rsidRPr="00CE292C" w:rsidRDefault="00625117" w:rsidP="00D435DC">
            <w:pPr>
              <w:keepNext/>
              <w:jc w:val="center"/>
              <w:rPr>
                <w:rFonts w:ascii="Calibri" w:hAnsi="Calibri" w:cs="Calibri"/>
                <w:bCs/>
                <w:color w:val="000000"/>
                <w:sz w:val="20"/>
              </w:rPr>
            </w:pPr>
            <w:r w:rsidRPr="00CE292C">
              <w:rPr>
                <w:rFonts w:ascii="Calibri" w:hAnsi="Calibri" w:cs="Calibri"/>
                <w:bCs/>
                <w:color w:val="000000"/>
                <w:sz w:val="20"/>
              </w:rPr>
              <w:t>2015</w:t>
            </w:r>
          </w:p>
        </w:tc>
        <w:tc>
          <w:tcPr>
            <w:tcW w:w="860" w:type="pct"/>
            <w:tcBorders>
              <w:top w:val="nil"/>
              <w:left w:val="nil"/>
              <w:bottom w:val="single" w:sz="4" w:space="0" w:color="auto"/>
              <w:right w:val="single" w:sz="4" w:space="0" w:color="auto"/>
            </w:tcBorders>
            <w:shd w:val="clear" w:color="auto" w:fill="auto"/>
            <w:noWrap/>
            <w:vAlign w:val="center"/>
            <w:hideMark/>
          </w:tcPr>
          <w:p w14:paraId="748E7D42"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6 873 887,66</w:t>
            </w:r>
          </w:p>
        </w:tc>
        <w:tc>
          <w:tcPr>
            <w:tcW w:w="626" w:type="pct"/>
            <w:tcBorders>
              <w:top w:val="nil"/>
              <w:left w:val="nil"/>
              <w:bottom w:val="single" w:sz="4" w:space="0" w:color="auto"/>
              <w:right w:val="single" w:sz="4" w:space="0" w:color="auto"/>
            </w:tcBorders>
            <w:shd w:val="clear" w:color="auto" w:fill="auto"/>
            <w:vAlign w:val="center"/>
            <w:hideMark/>
          </w:tcPr>
          <w:p w14:paraId="19683607"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109 603,19</w:t>
            </w:r>
          </w:p>
        </w:tc>
        <w:tc>
          <w:tcPr>
            <w:tcW w:w="469" w:type="pct"/>
            <w:tcBorders>
              <w:top w:val="nil"/>
              <w:left w:val="nil"/>
              <w:bottom w:val="single" w:sz="4" w:space="0" w:color="auto"/>
              <w:right w:val="single" w:sz="4" w:space="0" w:color="auto"/>
            </w:tcBorders>
            <w:shd w:val="clear" w:color="auto" w:fill="auto"/>
            <w:noWrap/>
            <w:vAlign w:val="center"/>
            <w:hideMark/>
          </w:tcPr>
          <w:p w14:paraId="4DED777E"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1,59</w:t>
            </w:r>
          </w:p>
        </w:tc>
        <w:tc>
          <w:tcPr>
            <w:tcW w:w="704" w:type="pct"/>
            <w:tcBorders>
              <w:top w:val="nil"/>
              <w:left w:val="nil"/>
              <w:bottom w:val="single" w:sz="4" w:space="0" w:color="auto"/>
              <w:right w:val="single" w:sz="4" w:space="0" w:color="auto"/>
            </w:tcBorders>
            <w:shd w:val="clear" w:color="auto" w:fill="auto"/>
            <w:vAlign w:val="center"/>
            <w:hideMark/>
          </w:tcPr>
          <w:p w14:paraId="2A0E0B85"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171 548,09</w:t>
            </w:r>
          </w:p>
        </w:tc>
        <w:tc>
          <w:tcPr>
            <w:tcW w:w="469" w:type="pct"/>
            <w:tcBorders>
              <w:top w:val="nil"/>
              <w:left w:val="nil"/>
              <w:bottom w:val="single" w:sz="4" w:space="0" w:color="auto"/>
              <w:right w:val="single" w:sz="4" w:space="0" w:color="auto"/>
            </w:tcBorders>
            <w:shd w:val="clear" w:color="auto" w:fill="auto"/>
            <w:noWrap/>
            <w:vAlign w:val="center"/>
            <w:hideMark/>
          </w:tcPr>
          <w:p w14:paraId="77DCB29F"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2,50</w:t>
            </w:r>
          </w:p>
        </w:tc>
        <w:tc>
          <w:tcPr>
            <w:tcW w:w="704" w:type="pct"/>
            <w:tcBorders>
              <w:top w:val="nil"/>
              <w:left w:val="nil"/>
              <w:bottom w:val="single" w:sz="4" w:space="0" w:color="auto"/>
              <w:right w:val="single" w:sz="4" w:space="0" w:color="auto"/>
            </w:tcBorders>
            <w:shd w:val="clear" w:color="auto" w:fill="auto"/>
            <w:vAlign w:val="center"/>
            <w:hideMark/>
          </w:tcPr>
          <w:p w14:paraId="68BD7EA3"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0,00</w:t>
            </w:r>
          </w:p>
        </w:tc>
        <w:tc>
          <w:tcPr>
            <w:tcW w:w="466" w:type="pct"/>
            <w:tcBorders>
              <w:top w:val="nil"/>
              <w:left w:val="nil"/>
              <w:bottom w:val="single" w:sz="4" w:space="0" w:color="auto"/>
              <w:right w:val="single" w:sz="4" w:space="0" w:color="auto"/>
            </w:tcBorders>
            <w:shd w:val="clear" w:color="auto" w:fill="auto"/>
            <w:noWrap/>
            <w:vAlign w:val="center"/>
            <w:hideMark/>
          </w:tcPr>
          <w:p w14:paraId="48B01D3D"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0,00</w:t>
            </w:r>
          </w:p>
        </w:tc>
      </w:tr>
      <w:tr w:rsidR="00CE292C" w:rsidRPr="005B75CD" w14:paraId="1C1BCBAB" w14:textId="77777777" w:rsidTr="00757BF0">
        <w:trPr>
          <w:trHeight w:val="227"/>
        </w:trPr>
        <w:tc>
          <w:tcPr>
            <w:tcW w:w="365" w:type="pct"/>
            <w:vMerge/>
            <w:tcBorders>
              <w:top w:val="nil"/>
              <w:left w:val="single" w:sz="4" w:space="0" w:color="auto"/>
              <w:bottom w:val="single" w:sz="4" w:space="0" w:color="000000"/>
              <w:right w:val="single" w:sz="4" w:space="0" w:color="auto"/>
            </w:tcBorders>
            <w:vAlign w:val="center"/>
            <w:hideMark/>
          </w:tcPr>
          <w:p w14:paraId="708D7B3F" w14:textId="77777777" w:rsidR="00625117" w:rsidRPr="005B75CD" w:rsidRDefault="00625117" w:rsidP="00D435DC">
            <w:pPr>
              <w:keepNext/>
              <w:jc w:val="left"/>
              <w:rPr>
                <w:rFonts w:ascii="Calibri" w:hAnsi="Calibri" w:cs="Calibri"/>
                <w:b/>
                <w:bCs/>
                <w:color w:val="000000"/>
                <w:sz w:val="20"/>
              </w:rPr>
            </w:pPr>
          </w:p>
        </w:tc>
        <w:tc>
          <w:tcPr>
            <w:tcW w:w="337" w:type="pct"/>
            <w:tcBorders>
              <w:top w:val="nil"/>
              <w:left w:val="nil"/>
              <w:bottom w:val="single" w:sz="4" w:space="0" w:color="auto"/>
              <w:right w:val="single" w:sz="4" w:space="0" w:color="auto"/>
            </w:tcBorders>
            <w:shd w:val="clear" w:color="auto" w:fill="auto"/>
            <w:noWrap/>
            <w:vAlign w:val="center"/>
            <w:hideMark/>
          </w:tcPr>
          <w:p w14:paraId="7EBE18AB" w14:textId="77777777" w:rsidR="00625117" w:rsidRPr="00CE292C" w:rsidRDefault="00625117" w:rsidP="00D435DC">
            <w:pPr>
              <w:keepNext/>
              <w:jc w:val="center"/>
              <w:rPr>
                <w:rFonts w:ascii="Calibri" w:hAnsi="Calibri" w:cs="Calibri"/>
                <w:bCs/>
                <w:color w:val="000000"/>
                <w:sz w:val="20"/>
              </w:rPr>
            </w:pPr>
            <w:r w:rsidRPr="00CE292C">
              <w:rPr>
                <w:rFonts w:ascii="Calibri" w:hAnsi="Calibri" w:cs="Calibri"/>
                <w:bCs/>
                <w:color w:val="000000"/>
                <w:sz w:val="20"/>
              </w:rPr>
              <w:t>2016</w:t>
            </w:r>
          </w:p>
        </w:tc>
        <w:tc>
          <w:tcPr>
            <w:tcW w:w="860" w:type="pct"/>
            <w:tcBorders>
              <w:top w:val="nil"/>
              <w:left w:val="nil"/>
              <w:bottom w:val="single" w:sz="4" w:space="0" w:color="auto"/>
              <w:right w:val="single" w:sz="4" w:space="0" w:color="auto"/>
            </w:tcBorders>
            <w:shd w:val="clear" w:color="auto" w:fill="auto"/>
            <w:noWrap/>
            <w:vAlign w:val="center"/>
            <w:hideMark/>
          </w:tcPr>
          <w:p w14:paraId="5DC550D4"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7 658 859,58</w:t>
            </w:r>
          </w:p>
        </w:tc>
        <w:tc>
          <w:tcPr>
            <w:tcW w:w="626" w:type="pct"/>
            <w:tcBorders>
              <w:top w:val="nil"/>
              <w:left w:val="nil"/>
              <w:bottom w:val="single" w:sz="4" w:space="0" w:color="auto"/>
              <w:right w:val="single" w:sz="4" w:space="0" w:color="auto"/>
            </w:tcBorders>
            <w:shd w:val="clear" w:color="auto" w:fill="auto"/>
            <w:vAlign w:val="center"/>
            <w:hideMark/>
          </w:tcPr>
          <w:p w14:paraId="75BAC6D4"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116 182,14</w:t>
            </w:r>
          </w:p>
        </w:tc>
        <w:tc>
          <w:tcPr>
            <w:tcW w:w="469" w:type="pct"/>
            <w:tcBorders>
              <w:top w:val="nil"/>
              <w:left w:val="nil"/>
              <w:bottom w:val="single" w:sz="4" w:space="0" w:color="auto"/>
              <w:right w:val="single" w:sz="4" w:space="0" w:color="auto"/>
            </w:tcBorders>
            <w:shd w:val="clear" w:color="auto" w:fill="auto"/>
            <w:noWrap/>
            <w:vAlign w:val="center"/>
            <w:hideMark/>
          </w:tcPr>
          <w:p w14:paraId="196AAFD9"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1,52</w:t>
            </w:r>
          </w:p>
        </w:tc>
        <w:tc>
          <w:tcPr>
            <w:tcW w:w="704" w:type="pct"/>
            <w:tcBorders>
              <w:top w:val="nil"/>
              <w:left w:val="nil"/>
              <w:bottom w:val="single" w:sz="4" w:space="0" w:color="auto"/>
              <w:right w:val="single" w:sz="4" w:space="0" w:color="auto"/>
            </w:tcBorders>
            <w:shd w:val="clear" w:color="auto" w:fill="auto"/>
            <w:vAlign w:val="center"/>
            <w:hideMark/>
          </w:tcPr>
          <w:p w14:paraId="2CE8E2FD"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172 606,17</w:t>
            </w:r>
          </w:p>
        </w:tc>
        <w:tc>
          <w:tcPr>
            <w:tcW w:w="469" w:type="pct"/>
            <w:tcBorders>
              <w:top w:val="nil"/>
              <w:left w:val="nil"/>
              <w:bottom w:val="single" w:sz="4" w:space="0" w:color="auto"/>
              <w:right w:val="single" w:sz="4" w:space="0" w:color="auto"/>
            </w:tcBorders>
            <w:shd w:val="clear" w:color="auto" w:fill="auto"/>
            <w:noWrap/>
            <w:vAlign w:val="center"/>
            <w:hideMark/>
          </w:tcPr>
          <w:p w14:paraId="7D58BE80"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2,25</w:t>
            </w:r>
          </w:p>
        </w:tc>
        <w:tc>
          <w:tcPr>
            <w:tcW w:w="704" w:type="pct"/>
            <w:tcBorders>
              <w:top w:val="nil"/>
              <w:left w:val="nil"/>
              <w:bottom w:val="single" w:sz="4" w:space="0" w:color="auto"/>
              <w:right w:val="single" w:sz="4" w:space="0" w:color="auto"/>
            </w:tcBorders>
            <w:shd w:val="clear" w:color="auto" w:fill="auto"/>
            <w:noWrap/>
            <w:vAlign w:val="center"/>
            <w:hideMark/>
          </w:tcPr>
          <w:p w14:paraId="5091365A"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0,00</w:t>
            </w:r>
          </w:p>
        </w:tc>
        <w:tc>
          <w:tcPr>
            <w:tcW w:w="466" w:type="pct"/>
            <w:tcBorders>
              <w:top w:val="nil"/>
              <w:left w:val="nil"/>
              <w:bottom w:val="single" w:sz="4" w:space="0" w:color="auto"/>
              <w:right w:val="single" w:sz="4" w:space="0" w:color="auto"/>
            </w:tcBorders>
            <w:shd w:val="clear" w:color="auto" w:fill="auto"/>
            <w:noWrap/>
            <w:vAlign w:val="center"/>
            <w:hideMark/>
          </w:tcPr>
          <w:p w14:paraId="6DDEEC4A"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0,00</w:t>
            </w:r>
          </w:p>
        </w:tc>
      </w:tr>
      <w:tr w:rsidR="00CE292C" w:rsidRPr="005B75CD" w14:paraId="49BEAF19" w14:textId="77777777" w:rsidTr="00757BF0">
        <w:trPr>
          <w:trHeight w:val="227"/>
        </w:trPr>
        <w:tc>
          <w:tcPr>
            <w:tcW w:w="3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1613177" w14:textId="77777777" w:rsidR="00625117" w:rsidRPr="005B75CD" w:rsidRDefault="00625117" w:rsidP="00D435DC">
            <w:pPr>
              <w:keepNext/>
              <w:jc w:val="left"/>
              <w:rPr>
                <w:rFonts w:ascii="Calibri" w:hAnsi="Calibri" w:cs="Calibri"/>
                <w:b/>
                <w:bCs/>
                <w:color w:val="000000"/>
                <w:sz w:val="20"/>
              </w:rPr>
            </w:pPr>
            <w:r w:rsidRPr="005B75CD">
              <w:rPr>
                <w:rFonts w:ascii="Calibri" w:hAnsi="Calibri" w:cs="Calibri"/>
                <w:b/>
                <w:bCs/>
                <w:color w:val="000000"/>
                <w:sz w:val="20"/>
              </w:rPr>
              <w:t>FNM</w:t>
            </w:r>
          </w:p>
        </w:tc>
        <w:tc>
          <w:tcPr>
            <w:tcW w:w="337" w:type="pct"/>
            <w:tcBorders>
              <w:top w:val="nil"/>
              <w:left w:val="nil"/>
              <w:bottom w:val="single" w:sz="4" w:space="0" w:color="auto"/>
              <w:right w:val="single" w:sz="4" w:space="0" w:color="auto"/>
            </w:tcBorders>
            <w:shd w:val="clear" w:color="auto" w:fill="auto"/>
            <w:noWrap/>
            <w:vAlign w:val="center"/>
            <w:hideMark/>
          </w:tcPr>
          <w:p w14:paraId="38B393F9" w14:textId="77777777" w:rsidR="00625117" w:rsidRPr="00CE292C" w:rsidRDefault="00625117" w:rsidP="00D435DC">
            <w:pPr>
              <w:keepNext/>
              <w:jc w:val="center"/>
              <w:rPr>
                <w:rFonts w:ascii="Calibri" w:hAnsi="Calibri" w:cs="Calibri"/>
                <w:bCs/>
                <w:color w:val="000000"/>
                <w:sz w:val="20"/>
              </w:rPr>
            </w:pPr>
            <w:r w:rsidRPr="00CE292C">
              <w:rPr>
                <w:rFonts w:ascii="Calibri" w:hAnsi="Calibri" w:cs="Calibri"/>
                <w:bCs/>
                <w:color w:val="000000"/>
                <w:sz w:val="20"/>
              </w:rPr>
              <w:t>2014</w:t>
            </w:r>
          </w:p>
        </w:tc>
        <w:tc>
          <w:tcPr>
            <w:tcW w:w="860" w:type="pct"/>
            <w:tcBorders>
              <w:top w:val="nil"/>
              <w:left w:val="nil"/>
              <w:bottom w:val="single" w:sz="4" w:space="0" w:color="auto"/>
              <w:right w:val="single" w:sz="4" w:space="0" w:color="auto"/>
            </w:tcBorders>
            <w:shd w:val="clear" w:color="auto" w:fill="auto"/>
            <w:noWrap/>
            <w:vAlign w:val="center"/>
            <w:hideMark/>
          </w:tcPr>
          <w:p w14:paraId="5C40871B"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7 486 988,59</w:t>
            </w:r>
          </w:p>
        </w:tc>
        <w:tc>
          <w:tcPr>
            <w:tcW w:w="626" w:type="pct"/>
            <w:tcBorders>
              <w:top w:val="nil"/>
              <w:left w:val="nil"/>
              <w:bottom w:val="single" w:sz="4" w:space="0" w:color="auto"/>
              <w:right w:val="single" w:sz="4" w:space="0" w:color="auto"/>
            </w:tcBorders>
            <w:shd w:val="clear" w:color="auto" w:fill="auto"/>
            <w:noWrap/>
            <w:vAlign w:val="center"/>
            <w:hideMark/>
          </w:tcPr>
          <w:p w14:paraId="328BF3DF"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321 987,36</w:t>
            </w:r>
          </w:p>
        </w:tc>
        <w:tc>
          <w:tcPr>
            <w:tcW w:w="469" w:type="pct"/>
            <w:tcBorders>
              <w:top w:val="nil"/>
              <w:left w:val="nil"/>
              <w:bottom w:val="single" w:sz="4" w:space="0" w:color="auto"/>
              <w:right w:val="single" w:sz="4" w:space="0" w:color="auto"/>
            </w:tcBorders>
            <w:shd w:val="clear" w:color="auto" w:fill="auto"/>
            <w:noWrap/>
            <w:vAlign w:val="center"/>
            <w:hideMark/>
          </w:tcPr>
          <w:p w14:paraId="3E177C6A"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4,30</w:t>
            </w:r>
          </w:p>
        </w:tc>
        <w:tc>
          <w:tcPr>
            <w:tcW w:w="704" w:type="pct"/>
            <w:tcBorders>
              <w:top w:val="nil"/>
              <w:left w:val="nil"/>
              <w:bottom w:val="single" w:sz="4" w:space="0" w:color="auto"/>
              <w:right w:val="single" w:sz="4" w:space="0" w:color="auto"/>
            </w:tcBorders>
            <w:shd w:val="clear" w:color="auto" w:fill="auto"/>
            <w:vAlign w:val="center"/>
            <w:hideMark/>
          </w:tcPr>
          <w:p w14:paraId="260CD683"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344 307,64</w:t>
            </w:r>
          </w:p>
        </w:tc>
        <w:tc>
          <w:tcPr>
            <w:tcW w:w="469" w:type="pct"/>
            <w:tcBorders>
              <w:top w:val="nil"/>
              <w:left w:val="nil"/>
              <w:bottom w:val="single" w:sz="4" w:space="0" w:color="auto"/>
              <w:right w:val="single" w:sz="4" w:space="0" w:color="auto"/>
            </w:tcBorders>
            <w:shd w:val="clear" w:color="auto" w:fill="auto"/>
            <w:noWrap/>
            <w:vAlign w:val="center"/>
            <w:hideMark/>
          </w:tcPr>
          <w:p w14:paraId="558E178F"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4,60</w:t>
            </w:r>
          </w:p>
        </w:tc>
        <w:tc>
          <w:tcPr>
            <w:tcW w:w="704" w:type="pct"/>
            <w:tcBorders>
              <w:top w:val="nil"/>
              <w:left w:val="nil"/>
              <w:bottom w:val="single" w:sz="4" w:space="0" w:color="auto"/>
              <w:right w:val="single" w:sz="4" w:space="0" w:color="auto"/>
            </w:tcBorders>
            <w:shd w:val="clear" w:color="auto" w:fill="auto"/>
            <w:noWrap/>
            <w:vAlign w:val="center"/>
            <w:hideMark/>
          </w:tcPr>
          <w:p w14:paraId="472ABD17"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145 223,46</w:t>
            </w:r>
          </w:p>
        </w:tc>
        <w:tc>
          <w:tcPr>
            <w:tcW w:w="466" w:type="pct"/>
            <w:tcBorders>
              <w:top w:val="nil"/>
              <w:left w:val="nil"/>
              <w:bottom w:val="single" w:sz="4" w:space="0" w:color="auto"/>
              <w:right w:val="single" w:sz="4" w:space="0" w:color="auto"/>
            </w:tcBorders>
            <w:shd w:val="clear" w:color="auto" w:fill="auto"/>
            <w:noWrap/>
            <w:vAlign w:val="center"/>
            <w:hideMark/>
          </w:tcPr>
          <w:p w14:paraId="4DA4E3A9"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1,94</w:t>
            </w:r>
          </w:p>
        </w:tc>
      </w:tr>
      <w:tr w:rsidR="00CE292C" w:rsidRPr="005B75CD" w14:paraId="6BE2E1A3" w14:textId="77777777" w:rsidTr="00757BF0">
        <w:trPr>
          <w:trHeight w:val="227"/>
        </w:trPr>
        <w:tc>
          <w:tcPr>
            <w:tcW w:w="365" w:type="pct"/>
            <w:vMerge/>
            <w:tcBorders>
              <w:top w:val="nil"/>
              <w:left w:val="single" w:sz="4" w:space="0" w:color="auto"/>
              <w:bottom w:val="single" w:sz="4" w:space="0" w:color="000000"/>
              <w:right w:val="single" w:sz="4" w:space="0" w:color="auto"/>
            </w:tcBorders>
            <w:vAlign w:val="center"/>
            <w:hideMark/>
          </w:tcPr>
          <w:p w14:paraId="335030B8" w14:textId="77777777" w:rsidR="00625117" w:rsidRPr="005B75CD" w:rsidRDefault="00625117" w:rsidP="00D435DC">
            <w:pPr>
              <w:keepNext/>
              <w:jc w:val="left"/>
              <w:rPr>
                <w:rFonts w:ascii="Calibri" w:hAnsi="Calibri" w:cs="Calibri"/>
                <w:b/>
                <w:bCs/>
                <w:color w:val="000000"/>
                <w:sz w:val="20"/>
              </w:rPr>
            </w:pPr>
          </w:p>
        </w:tc>
        <w:tc>
          <w:tcPr>
            <w:tcW w:w="337" w:type="pct"/>
            <w:tcBorders>
              <w:top w:val="nil"/>
              <w:left w:val="nil"/>
              <w:bottom w:val="single" w:sz="4" w:space="0" w:color="auto"/>
              <w:right w:val="single" w:sz="4" w:space="0" w:color="auto"/>
            </w:tcBorders>
            <w:shd w:val="clear" w:color="auto" w:fill="auto"/>
            <w:noWrap/>
            <w:vAlign w:val="center"/>
            <w:hideMark/>
          </w:tcPr>
          <w:p w14:paraId="2669C622" w14:textId="77777777" w:rsidR="00625117" w:rsidRPr="00CE292C" w:rsidRDefault="00625117" w:rsidP="00D435DC">
            <w:pPr>
              <w:keepNext/>
              <w:jc w:val="center"/>
              <w:rPr>
                <w:rFonts w:ascii="Calibri" w:hAnsi="Calibri" w:cs="Calibri"/>
                <w:bCs/>
                <w:color w:val="000000"/>
                <w:sz w:val="20"/>
              </w:rPr>
            </w:pPr>
            <w:r w:rsidRPr="00CE292C">
              <w:rPr>
                <w:rFonts w:ascii="Calibri" w:hAnsi="Calibri" w:cs="Calibri"/>
                <w:bCs/>
                <w:color w:val="000000"/>
                <w:sz w:val="20"/>
              </w:rPr>
              <w:t>2015</w:t>
            </w:r>
          </w:p>
        </w:tc>
        <w:tc>
          <w:tcPr>
            <w:tcW w:w="860" w:type="pct"/>
            <w:tcBorders>
              <w:top w:val="nil"/>
              <w:left w:val="nil"/>
              <w:bottom w:val="single" w:sz="4" w:space="0" w:color="auto"/>
              <w:right w:val="single" w:sz="4" w:space="0" w:color="auto"/>
            </w:tcBorders>
            <w:shd w:val="clear" w:color="auto" w:fill="auto"/>
            <w:noWrap/>
            <w:vAlign w:val="center"/>
            <w:hideMark/>
          </w:tcPr>
          <w:p w14:paraId="42E2BE2C"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7 775 201,10</w:t>
            </w:r>
          </w:p>
        </w:tc>
        <w:tc>
          <w:tcPr>
            <w:tcW w:w="626" w:type="pct"/>
            <w:tcBorders>
              <w:top w:val="nil"/>
              <w:left w:val="nil"/>
              <w:bottom w:val="single" w:sz="4" w:space="0" w:color="auto"/>
              <w:right w:val="single" w:sz="4" w:space="0" w:color="auto"/>
            </w:tcBorders>
            <w:shd w:val="clear" w:color="auto" w:fill="auto"/>
            <w:noWrap/>
            <w:vAlign w:val="center"/>
            <w:hideMark/>
          </w:tcPr>
          <w:p w14:paraId="0FA68431"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323 650,41</w:t>
            </w:r>
          </w:p>
        </w:tc>
        <w:tc>
          <w:tcPr>
            <w:tcW w:w="469" w:type="pct"/>
            <w:tcBorders>
              <w:top w:val="nil"/>
              <w:left w:val="nil"/>
              <w:bottom w:val="single" w:sz="4" w:space="0" w:color="auto"/>
              <w:right w:val="single" w:sz="4" w:space="0" w:color="auto"/>
            </w:tcBorders>
            <w:shd w:val="clear" w:color="auto" w:fill="auto"/>
            <w:noWrap/>
            <w:vAlign w:val="center"/>
            <w:hideMark/>
          </w:tcPr>
          <w:p w14:paraId="0229F5FD"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4,16</w:t>
            </w:r>
          </w:p>
        </w:tc>
        <w:tc>
          <w:tcPr>
            <w:tcW w:w="704" w:type="pct"/>
            <w:tcBorders>
              <w:top w:val="nil"/>
              <w:left w:val="nil"/>
              <w:bottom w:val="single" w:sz="4" w:space="0" w:color="auto"/>
              <w:right w:val="single" w:sz="4" w:space="0" w:color="auto"/>
            </w:tcBorders>
            <w:shd w:val="clear" w:color="auto" w:fill="auto"/>
            <w:vAlign w:val="center"/>
            <w:hideMark/>
          </w:tcPr>
          <w:p w14:paraId="1ECEA881"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343 582,40</w:t>
            </w:r>
          </w:p>
        </w:tc>
        <w:tc>
          <w:tcPr>
            <w:tcW w:w="469" w:type="pct"/>
            <w:tcBorders>
              <w:top w:val="nil"/>
              <w:left w:val="nil"/>
              <w:bottom w:val="single" w:sz="4" w:space="0" w:color="auto"/>
              <w:right w:val="single" w:sz="4" w:space="0" w:color="auto"/>
            </w:tcBorders>
            <w:shd w:val="clear" w:color="auto" w:fill="auto"/>
            <w:noWrap/>
            <w:vAlign w:val="center"/>
            <w:hideMark/>
          </w:tcPr>
          <w:p w14:paraId="79231C2D"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4,42</w:t>
            </w:r>
          </w:p>
        </w:tc>
        <w:tc>
          <w:tcPr>
            <w:tcW w:w="704" w:type="pct"/>
            <w:tcBorders>
              <w:top w:val="nil"/>
              <w:left w:val="nil"/>
              <w:bottom w:val="single" w:sz="4" w:space="0" w:color="auto"/>
              <w:right w:val="single" w:sz="4" w:space="0" w:color="auto"/>
            </w:tcBorders>
            <w:shd w:val="clear" w:color="auto" w:fill="auto"/>
            <w:noWrap/>
            <w:vAlign w:val="center"/>
            <w:hideMark/>
          </w:tcPr>
          <w:p w14:paraId="52FCEDD9"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172 643,22</w:t>
            </w:r>
          </w:p>
        </w:tc>
        <w:tc>
          <w:tcPr>
            <w:tcW w:w="466" w:type="pct"/>
            <w:tcBorders>
              <w:top w:val="nil"/>
              <w:left w:val="nil"/>
              <w:bottom w:val="single" w:sz="4" w:space="0" w:color="auto"/>
              <w:right w:val="single" w:sz="4" w:space="0" w:color="auto"/>
            </w:tcBorders>
            <w:shd w:val="clear" w:color="auto" w:fill="auto"/>
            <w:noWrap/>
            <w:vAlign w:val="center"/>
            <w:hideMark/>
          </w:tcPr>
          <w:p w14:paraId="4C3D6F47"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2,22</w:t>
            </w:r>
          </w:p>
        </w:tc>
      </w:tr>
      <w:tr w:rsidR="00CE292C" w:rsidRPr="005B75CD" w14:paraId="3CD92266" w14:textId="77777777" w:rsidTr="00757BF0">
        <w:trPr>
          <w:trHeight w:val="227"/>
        </w:trPr>
        <w:tc>
          <w:tcPr>
            <w:tcW w:w="365" w:type="pct"/>
            <w:vMerge/>
            <w:tcBorders>
              <w:top w:val="nil"/>
              <w:left w:val="single" w:sz="4" w:space="0" w:color="auto"/>
              <w:bottom w:val="single" w:sz="4" w:space="0" w:color="000000"/>
              <w:right w:val="single" w:sz="4" w:space="0" w:color="auto"/>
            </w:tcBorders>
            <w:vAlign w:val="center"/>
            <w:hideMark/>
          </w:tcPr>
          <w:p w14:paraId="79F72B2A" w14:textId="77777777" w:rsidR="00625117" w:rsidRPr="005B75CD" w:rsidRDefault="00625117" w:rsidP="00D435DC">
            <w:pPr>
              <w:keepNext/>
              <w:jc w:val="left"/>
              <w:rPr>
                <w:rFonts w:ascii="Calibri" w:hAnsi="Calibri" w:cs="Calibri"/>
                <w:b/>
                <w:bCs/>
                <w:color w:val="000000"/>
                <w:sz w:val="20"/>
              </w:rPr>
            </w:pPr>
          </w:p>
        </w:tc>
        <w:tc>
          <w:tcPr>
            <w:tcW w:w="337" w:type="pct"/>
            <w:tcBorders>
              <w:top w:val="nil"/>
              <w:left w:val="nil"/>
              <w:bottom w:val="single" w:sz="4" w:space="0" w:color="auto"/>
              <w:right w:val="single" w:sz="4" w:space="0" w:color="auto"/>
            </w:tcBorders>
            <w:shd w:val="clear" w:color="auto" w:fill="auto"/>
            <w:noWrap/>
            <w:vAlign w:val="center"/>
            <w:hideMark/>
          </w:tcPr>
          <w:p w14:paraId="1A3FDB54" w14:textId="77777777" w:rsidR="00625117" w:rsidRPr="00CE292C" w:rsidRDefault="00625117" w:rsidP="00D435DC">
            <w:pPr>
              <w:keepNext/>
              <w:jc w:val="center"/>
              <w:rPr>
                <w:rFonts w:ascii="Calibri" w:hAnsi="Calibri" w:cs="Calibri"/>
                <w:bCs/>
                <w:color w:val="000000"/>
                <w:sz w:val="20"/>
              </w:rPr>
            </w:pPr>
            <w:r w:rsidRPr="00CE292C">
              <w:rPr>
                <w:rFonts w:ascii="Calibri" w:hAnsi="Calibri" w:cs="Calibri"/>
                <w:bCs/>
                <w:color w:val="000000"/>
                <w:sz w:val="20"/>
              </w:rPr>
              <w:t>2016</w:t>
            </w:r>
          </w:p>
        </w:tc>
        <w:tc>
          <w:tcPr>
            <w:tcW w:w="860" w:type="pct"/>
            <w:tcBorders>
              <w:top w:val="nil"/>
              <w:left w:val="nil"/>
              <w:bottom w:val="single" w:sz="4" w:space="0" w:color="auto"/>
              <w:right w:val="single" w:sz="4" w:space="0" w:color="auto"/>
            </w:tcBorders>
            <w:shd w:val="clear" w:color="auto" w:fill="auto"/>
            <w:noWrap/>
            <w:vAlign w:val="center"/>
            <w:hideMark/>
          </w:tcPr>
          <w:p w14:paraId="1ECDDCBD" w14:textId="04DEB2C5"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8 134 270,53</w:t>
            </w:r>
          </w:p>
        </w:tc>
        <w:tc>
          <w:tcPr>
            <w:tcW w:w="626" w:type="pct"/>
            <w:tcBorders>
              <w:top w:val="nil"/>
              <w:left w:val="nil"/>
              <w:bottom w:val="single" w:sz="4" w:space="0" w:color="auto"/>
              <w:right w:val="single" w:sz="4" w:space="0" w:color="auto"/>
            </w:tcBorders>
            <w:shd w:val="clear" w:color="auto" w:fill="auto"/>
            <w:noWrap/>
            <w:vAlign w:val="center"/>
            <w:hideMark/>
          </w:tcPr>
          <w:p w14:paraId="5A9A137A"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360 481,61</w:t>
            </w:r>
          </w:p>
        </w:tc>
        <w:tc>
          <w:tcPr>
            <w:tcW w:w="469" w:type="pct"/>
            <w:tcBorders>
              <w:top w:val="nil"/>
              <w:left w:val="nil"/>
              <w:bottom w:val="single" w:sz="4" w:space="0" w:color="auto"/>
              <w:right w:val="single" w:sz="4" w:space="0" w:color="auto"/>
            </w:tcBorders>
            <w:shd w:val="clear" w:color="auto" w:fill="auto"/>
            <w:noWrap/>
            <w:vAlign w:val="center"/>
            <w:hideMark/>
          </w:tcPr>
          <w:p w14:paraId="63EA20D6"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4,43</w:t>
            </w:r>
          </w:p>
        </w:tc>
        <w:tc>
          <w:tcPr>
            <w:tcW w:w="704" w:type="pct"/>
            <w:tcBorders>
              <w:top w:val="nil"/>
              <w:left w:val="nil"/>
              <w:bottom w:val="single" w:sz="4" w:space="0" w:color="auto"/>
              <w:right w:val="single" w:sz="4" w:space="0" w:color="auto"/>
            </w:tcBorders>
            <w:shd w:val="clear" w:color="auto" w:fill="auto"/>
            <w:vAlign w:val="center"/>
            <w:hideMark/>
          </w:tcPr>
          <w:p w14:paraId="27FA92B4"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366 216,41</w:t>
            </w:r>
          </w:p>
        </w:tc>
        <w:tc>
          <w:tcPr>
            <w:tcW w:w="469" w:type="pct"/>
            <w:tcBorders>
              <w:top w:val="nil"/>
              <w:left w:val="nil"/>
              <w:bottom w:val="single" w:sz="4" w:space="0" w:color="auto"/>
              <w:right w:val="single" w:sz="4" w:space="0" w:color="auto"/>
            </w:tcBorders>
            <w:shd w:val="clear" w:color="auto" w:fill="auto"/>
            <w:noWrap/>
            <w:vAlign w:val="center"/>
            <w:hideMark/>
          </w:tcPr>
          <w:p w14:paraId="52DAB884"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4,50</w:t>
            </w:r>
          </w:p>
        </w:tc>
        <w:tc>
          <w:tcPr>
            <w:tcW w:w="704" w:type="pct"/>
            <w:tcBorders>
              <w:top w:val="nil"/>
              <w:left w:val="nil"/>
              <w:bottom w:val="single" w:sz="4" w:space="0" w:color="auto"/>
              <w:right w:val="single" w:sz="4" w:space="0" w:color="auto"/>
            </w:tcBorders>
            <w:shd w:val="clear" w:color="auto" w:fill="auto"/>
            <w:noWrap/>
            <w:vAlign w:val="center"/>
            <w:hideMark/>
          </w:tcPr>
          <w:p w14:paraId="2BE5717A"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61 206,22</w:t>
            </w:r>
          </w:p>
        </w:tc>
        <w:tc>
          <w:tcPr>
            <w:tcW w:w="466" w:type="pct"/>
            <w:tcBorders>
              <w:top w:val="nil"/>
              <w:left w:val="nil"/>
              <w:bottom w:val="single" w:sz="4" w:space="0" w:color="auto"/>
              <w:right w:val="single" w:sz="4" w:space="0" w:color="auto"/>
            </w:tcBorders>
            <w:shd w:val="clear" w:color="auto" w:fill="auto"/>
            <w:noWrap/>
            <w:vAlign w:val="center"/>
            <w:hideMark/>
          </w:tcPr>
          <w:p w14:paraId="1C3F20C7"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0,75</w:t>
            </w:r>
          </w:p>
        </w:tc>
      </w:tr>
      <w:tr w:rsidR="00CE292C" w:rsidRPr="005B75CD" w14:paraId="5D4BA82C" w14:textId="77777777" w:rsidTr="00757BF0">
        <w:trPr>
          <w:trHeight w:val="227"/>
        </w:trPr>
        <w:tc>
          <w:tcPr>
            <w:tcW w:w="3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1096E0E" w14:textId="77777777" w:rsidR="00625117" w:rsidRPr="005B75CD" w:rsidRDefault="00625117" w:rsidP="00D435DC">
            <w:pPr>
              <w:keepNext/>
              <w:jc w:val="left"/>
              <w:rPr>
                <w:rFonts w:ascii="Calibri" w:hAnsi="Calibri" w:cs="Calibri"/>
                <w:b/>
                <w:bCs/>
                <w:color w:val="000000"/>
                <w:sz w:val="20"/>
              </w:rPr>
            </w:pPr>
            <w:r w:rsidRPr="005B75CD">
              <w:rPr>
                <w:rFonts w:ascii="Calibri" w:hAnsi="Calibri" w:cs="Calibri"/>
                <w:b/>
                <w:bCs/>
                <w:color w:val="000000"/>
                <w:sz w:val="20"/>
              </w:rPr>
              <w:t>ÚVN</w:t>
            </w:r>
          </w:p>
        </w:tc>
        <w:tc>
          <w:tcPr>
            <w:tcW w:w="337" w:type="pct"/>
            <w:tcBorders>
              <w:top w:val="nil"/>
              <w:left w:val="nil"/>
              <w:bottom w:val="single" w:sz="4" w:space="0" w:color="auto"/>
              <w:right w:val="single" w:sz="4" w:space="0" w:color="auto"/>
            </w:tcBorders>
            <w:shd w:val="clear" w:color="auto" w:fill="auto"/>
            <w:noWrap/>
            <w:vAlign w:val="center"/>
            <w:hideMark/>
          </w:tcPr>
          <w:p w14:paraId="11D00879" w14:textId="77777777" w:rsidR="00625117" w:rsidRPr="00CE292C" w:rsidRDefault="00625117" w:rsidP="00D435DC">
            <w:pPr>
              <w:keepNext/>
              <w:jc w:val="center"/>
              <w:rPr>
                <w:rFonts w:ascii="Calibri" w:hAnsi="Calibri" w:cs="Calibri"/>
                <w:bCs/>
                <w:color w:val="000000"/>
                <w:sz w:val="20"/>
              </w:rPr>
            </w:pPr>
            <w:r w:rsidRPr="00CE292C">
              <w:rPr>
                <w:rFonts w:ascii="Calibri" w:hAnsi="Calibri" w:cs="Calibri"/>
                <w:bCs/>
                <w:color w:val="000000"/>
                <w:sz w:val="20"/>
              </w:rPr>
              <w:t>2014</w:t>
            </w:r>
          </w:p>
        </w:tc>
        <w:tc>
          <w:tcPr>
            <w:tcW w:w="860" w:type="pct"/>
            <w:tcBorders>
              <w:top w:val="nil"/>
              <w:left w:val="nil"/>
              <w:bottom w:val="single" w:sz="4" w:space="0" w:color="auto"/>
              <w:right w:val="single" w:sz="4" w:space="0" w:color="auto"/>
            </w:tcBorders>
            <w:shd w:val="clear" w:color="auto" w:fill="auto"/>
            <w:noWrap/>
            <w:vAlign w:val="center"/>
            <w:hideMark/>
          </w:tcPr>
          <w:p w14:paraId="74E1C752"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2 211 717,27</w:t>
            </w:r>
          </w:p>
        </w:tc>
        <w:tc>
          <w:tcPr>
            <w:tcW w:w="626" w:type="pct"/>
            <w:tcBorders>
              <w:top w:val="nil"/>
              <w:left w:val="nil"/>
              <w:bottom w:val="single" w:sz="4" w:space="0" w:color="auto"/>
              <w:right w:val="single" w:sz="4" w:space="0" w:color="auto"/>
            </w:tcBorders>
            <w:shd w:val="clear" w:color="auto" w:fill="auto"/>
            <w:vAlign w:val="center"/>
            <w:hideMark/>
          </w:tcPr>
          <w:p w14:paraId="14A88BEE"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92 448,78</w:t>
            </w:r>
          </w:p>
        </w:tc>
        <w:tc>
          <w:tcPr>
            <w:tcW w:w="469" w:type="pct"/>
            <w:tcBorders>
              <w:top w:val="nil"/>
              <w:left w:val="nil"/>
              <w:bottom w:val="single" w:sz="4" w:space="0" w:color="auto"/>
              <w:right w:val="single" w:sz="4" w:space="0" w:color="auto"/>
            </w:tcBorders>
            <w:shd w:val="clear" w:color="auto" w:fill="auto"/>
            <w:noWrap/>
            <w:vAlign w:val="center"/>
            <w:hideMark/>
          </w:tcPr>
          <w:p w14:paraId="210CD5BF"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4,18</w:t>
            </w:r>
          </w:p>
        </w:tc>
        <w:tc>
          <w:tcPr>
            <w:tcW w:w="704" w:type="pct"/>
            <w:tcBorders>
              <w:top w:val="nil"/>
              <w:left w:val="nil"/>
              <w:bottom w:val="single" w:sz="4" w:space="0" w:color="auto"/>
              <w:right w:val="single" w:sz="4" w:space="0" w:color="auto"/>
            </w:tcBorders>
            <w:shd w:val="clear" w:color="auto" w:fill="auto"/>
            <w:vAlign w:val="center"/>
            <w:hideMark/>
          </w:tcPr>
          <w:p w14:paraId="0470C147"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125 654,42</w:t>
            </w:r>
          </w:p>
        </w:tc>
        <w:tc>
          <w:tcPr>
            <w:tcW w:w="469" w:type="pct"/>
            <w:tcBorders>
              <w:top w:val="nil"/>
              <w:left w:val="nil"/>
              <w:bottom w:val="single" w:sz="4" w:space="0" w:color="auto"/>
              <w:right w:val="single" w:sz="4" w:space="0" w:color="auto"/>
            </w:tcBorders>
            <w:shd w:val="clear" w:color="auto" w:fill="auto"/>
            <w:noWrap/>
            <w:vAlign w:val="center"/>
            <w:hideMark/>
          </w:tcPr>
          <w:p w14:paraId="74B37FCE"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5,68</w:t>
            </w:r>
          </w:p>
        </w:tc>
        <w:tc>
          <w:tcPr>
            <w:tcW w:w="704" w:type="pct"/>
            <w:tcBorders>
              <w:top w:val="nil"/>
              <w:left w:val="nil"/>
              <w:bottom w:val="single" w:sz="4" w:space="0" w:color="auto"/>
              <w:right w:val="single" w:sz="4" w:space="0" w:color="auto"/>
            </w:tcBorders>
            <w:shd w:val="clear" w:color="auto" w:fill="auto"/>
            <w:vAlign w:val="center"/>
            <w:hideMark/>
          </w:tcPr>
          <w:p w14:paraId="253AF8D3"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10 159,77</w:t>
            </w:r>
          </w:p>
        </w:tc>
        <w:tc>
          <w:tcPr>
            <w:tcW w:w="466" w:type="pct"/>
            <w:tcBorders>
              <w:top w:val="nil"/>
              <w:left w:val="nil"/>
              <w:bottom w:val="single" w:sz="4" w:space="0" w:color="auto"/>
              <w:right w:val="single" w:sz="4" w:space="0" w:color="auto"/>
            </w:tcBorders>
            <w:shd w:val="clear" w:color="auto" w:fill="auto"/>
            <w:noWrap/>
            <w:vAlign w:val="center"/>
            <w:hideMark/>
          </w:tcPr>
          <w:p w14:paraId="62687B36"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0,46</w:t>
            </w:r>
          </w:p>
        </w:tc>
      </w:tr>
      <w:tr w:rsidR="00CE292C" w:rsidRPr="005B75CD" w14:paraId="18181077" w14:textId="77777777" w:rsidTr="00757BF0">
        <w:trPr>
          <w:trHeight w:val="227"/>
        </w:trPr>
        <w:tc>
          <w:tcPr>
            <w:tcW w:w="365" w:type="pct"/>
            <w:vMerge/>
            <w:tcBorders>
              <w:top w:val="nil"/>
              <w:left w:val="single" w:sz="4" w:space="0" w:color="auto"/>
              <w:bottom w:val="single" w:sz="4" w:space="0" w:color="000000"/>
              <w:right w:val="single" w:sz="4" w:space="0" w:color="auto"/>
            </w:tcBorders>
            <w:vAlign w:val="center"/>
            <w:hideMark/>
          </w:tcPr>
          <w:p w14:paraId="3A7F8CDB" w14:textId="77777777" w:rsidR="00625117" w:rsidRPr="005B75CD" w:rsidRDefault="00625117" w:rsidP="00D435DC">
            <w:pPr>
              <w:keepNext/>
              <w:jc w:val="left"/>
              <w:rPr>
                <w:rFonts w:ascii="Calibri" w:hAnsi="Calibri" w:cs="Calibri"/>
                <w:b/>
                <w:bCs/>
                <w:color w:val="000000"/>
                <w:sz w:val="20"/>
              </w:rPr>
            </w:pPr>
          </w:p>
        </w:tc>
        <w:tc>
          <w:tcPr>
            <w:tcW w:w="337" w:type="pct"/>
            <w:tcBorders>
              <w:top w:val="nil"/>
              <w:left w:val="nil"/>
              <w:bottom w:val="single" w:sz="4" w:space="0" w:color="auto"/>
              <w:right w:val="single" w:sz="4" w:space="0" w:color="auto"/>
            </w:tcBorders>
            <w:shd w:val="clear" w:color="auto" w:fill="auto"/>
            <w:noWrap/>
            <w:vAlign w:val="center"/>
            <w:hideMark/>
          </w:tcPr>
          <w:p w14:paraId="4A4B847A" w14:textId="77777777" w:rsidR="00625117" w:rsidRPr="00CE292C" w:rsidRDefault="00625117" w:rsidP="00D435DC">
            <w:pPr>
              <w:keepNext/>
              <w:jc w:val="center"/>
              <w:rPr>
                <w:rFonts w:ascii="Calibri" w:hAnsi="Calibri" w:cs="Calibri"/>
                <w:bCs/>
                <w:color w:val="000000"/>
                <w:sz w:val="20"/>
              </w:rPr>
            </w:pPr>
            <w:r w:rsidRPr="00CE292C">
              <w:rPr>
                <w:rFonts w:ascii="Calibri" w:hAnsi="Calibri" w:cs="Calibri"/>
                <w:bCs/>
                <w:color w:val="000000"/>
                <w:sz w:val="20"/>
              </w:rPr>
              <w:t>2015</w:t>
            </w:r>
          </w:p>
        </w:tc>
        <w:tc>
          <w:tcPr>
            <w:tcW w:w="860" w:type="pct"/>
            <w:tcBorders>
              <w:top w:val="nil"/>
              <w:left w:val="nil"/>
              <w:bottom w:val="single" w:sz="4" w:space="0" w:color="auto"/>
              <w:right w:val="single" w:sz="4" w:space="0" w:color="auto"/>
            </w:tcBorders>
            <w:shd w:val="clear" w:color="auto" w:fill="auto"/>
            <w:noWrap/>
            <w:vAlign w:val="center"/>
            <w:hideMark/>
          </w:tcPr>
          <w:p w14:paraId="4E260AC5"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2 454 898,59</w:t>
            </w:r>
          </w:p>
        </w:tc>
        <w:tc>
          <w:tcPr>
            <w:tcW w:w="626" w:type="pct"/>
            <w:tcBorders>
              <w:top w:val="nil"/>
              <w:left w:val="nil"/>
              <w:bottom w:val="single" w:sz="4" w:space="0" w:color="auto"/>
              <w:right w:val="single" w:sz="4" w:space="0" w:color="auto"/>
            </w:tcBorders>
            <w:shd w:val="clear" w:color="auto" w:fill="auto"/>
            <w:vAlign w:val="center"/>
            <w:hideMark/>
          </w:tcPr>
          <w:p w14:paraId="2478083A"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118 276,76</w:t>
            </w:r>
          </w:p>
        </w:tc>
        <w:tc>
          <w:tcPr>
            <w:tcW w:w="469" w:type="pct"/>
            <w:tcBorders>
              <w:top w:val="nil"/>
              <w:left w:val="nil"/>
              <w:bottom w:val="single" w:sz="4" w:space="0" w:color="auto"/>
              <w:right w:val="single" w:sz="4" w:space="0" w:color="auto"/>
            </w:tcBorders>
            <w:shd w:val="clear" w:color="auto" w:fill="auto"/>
            <w:noWrap/>
            <w:vAlign w:val="center"/>
            <w:hideMark/>
          </w:tcPr>
          <w:p w14:paraId="2BE058B0"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4,82</w:t>
            </w:r>
          </w:p>
        </w:tc>
        <w:tc>
          <w:tcPr>
            <w:tcW w:w="704" w:type="pct"/>
            <w:tcBorders>
              <w:top w:val="nil"/>
              <w:left w:val="nil"/>
              <w:bottom w:val="single" w:sz="4" w:space="0" w:color="auto"/>
              <w:right w:val="single" w:sz="4" w:space="0" w:color="auto"/>
            </w:tcBorders>
            <w:shd w:val="clear" w:color="auto" w:fill="auto"/>
            <w:vAlign w:val="center"/>
            <w:hideMark/>
          </w:tcPr>
          <w:p w14:paraId="58B71394"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159 831,36</w:t>
            </w:r>
          </w:p>
        </w:tc>
        <w:tc>
          <w:tcPr>
            <w:tcW w:w="469" w:type="pct"/>
            <w:tcBorders>
              <w:top w:val="nil"/>
              <w:left w:val="nil"/>
              <w:bottom w:val="single" w:sz="4" w:space="0" w:color="auto"/>
              <w:right w:val="single" w:sz="4" w:space="0" w:color="auto"/>
            </w:tcBorders>
            <w:shd w:val="clear" w:color="auto" w:fill="auto"/>
            <w:noWrap/>
            <w:vAlign w:val="center"/>
            <w:hideMark/>
          </w:tcPr>
          <w:p w14:paraId="02770516"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6,51</w:t>
            </w:r>
          </w:p>
        </w:tc>
        <w:tc>
          <w:tcPr>
            <w:tcW w:w="704" w:type="pct"/>
            <w:tcBorders>
              <w:top w:val="nil"/>
              <w:left w:val="nil"/>
              <w:bottom w:val="single" w:sz="4" w:space="0" w:color="auto"/>
              <w:right w:val="single" w:sz="4" w:space="0" w:color="auto"/>
            </w:tcBorders>
            <w:shd w:val="clear" w:color="auto" w:fill="auto"/>
            <w:vAlign w:val="center"/>
            <w:hideMark/>
          </w:tcPr>
          <w:p w14:paraId="2B0ADB2F"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15 499,97</w:t>
            </w:r>
          </w:p>
        </w:tc>
        <w:tc>
          <w:tcPr>
            <w:tcW w:w="466" w:type="pct"/>
            <w:tcBorders>
              <w:top w:val="nil"/>
              <w:left w:val="nil"/>
              <w:bottom w:val="single" w:sz="4" w:space="0" w:color="auto"/>
              <w:right w:val="single" w:sz="4" w:space="0" w:color="auto"/>
            </w:tcBorders>
            <w:shd w:val="clear" w:color="auto" w:fill="auto"/>
            <w:noWrap/>
            <w:vAlign w:val="center"/>
            <w:hideMark/>
          </w:tcPr>
          <w:p w14:paraId="5A876AC6"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0,63</w:t>
            </w:r>
          </w:p>
        </w:tc>
      </w:tr>
      <w:tr w:rsidR="00CE292C" w:rsidRPr="005B75CD" w14:paraId="0C2A7B47" w14:textId="77777777" w:rsidTr="00757BF0">
        <w:trPr>
          <w:trHeight w:val="227"/>
        </w:trPr>
        <w:tc>
          <w:tcPr>
            <w:tcW w:w="365" w:type="pct"/>
            <w:vMerge/>
            <w:tcBorders>
              <w:top w:val="nil"/>
              <w:left w:val="single" w:sz="4" w:space="0" w:color="auto"/>
              <w:bottom w:val="single" w:sz="4" w:space="0" w:color="000000"/>
              <w:right w:val="single" w:sz="4" w:space="0" w:color="auto"/>
            </w:tcBorders>
            <w:vAlign w:val="center"/>
            <w:hideMark/>
          </w:tcPr>
          <w:p w14:paraId="6E3C533C" w14:textId="77777777" w:rsidR="00625117" w:rsidRPr="005B75CD" w:rsidRDefault="00625117" w:rsidP="00D435DC">
            <w:pPr>
              <w:keepNext/>
              <w:jc w:val="left"/>
              <w:rPr>
                <w:rFonts w:ascii="Calibri" w:hAnsi="Calibri" w:cs="Calibri"/>
                <w:b/>
                <w:bCs/>
                <w:color w:val="000000"/>
                <w:sz w:val="20"/>
              </w:rPr>
            </w:pPr>
          </w:p>
        </w:tc>
        <w:tc>
          <w:tcPr>
            <w:tcW w:w="337" w:type="pct"/>
            <w:tcBorders>
              <w:top w:val="nil"/>
              <w:left w:val="nil"/>
              <w:bottom w:val="single" w:sz="4" w:space="0" w:color="auto"/>
              <w:right w:val="single" w:sz="4" w:space="0" w:color="auto"/>
            </w:tcBorders>
            <w:shd w:val="clear" w:color="auto" w:fill="auto"/>
            <w:noWrap/>
            <w:vAlign w:val="center"/>
            <w:hideMark/>
          </w:tcPr>
          <w:p w14:paraId="1B5212DE" w14:textId="77777777" w:rsidR="00625117" w:rsidRPr="00CE292C" w:rsidRDefault="00625117" w:rsidP="00D435DC">
            <w:pPr>
              <w:keepNext/>
              <w:jc w:val="center"/>
              <w:rPr>
                <w:rFonts w:ascii="Calibri" w:hAnsi="Calibri" w:cs="Calibri"/>
                <w:bCs/>
                <w:color w:val="000000"/>
                <w:sz w:val="20"/>
              </w:rPr>
            </w:pPr>
            <w:r w:rsidRPr="00CE292C">
              <w:rPr>
                <w:rFonts w:ascii="Calibri" w:hAnsi="Calibri" w:cs="Calibri"/>
                <w:bCs/>
                <w:color w:val="000000"/>
                <w:sz w:val="20"/>
              </w:rPr>
              <w:t>2016</w:t>
            </w:r>
          </w:p>
        </w:tc>
        <w:tc>
          <w:tcPr>
            <w:tcW w:w="860" w:type="pct"/>
            <w:tcBorders>
              <w:top w:val="nil"/>
              <w:left w:val="nil"/>
              <w:bottom w:val="single" w:sz="4" w:space="0" w:color="auto"/>
              <w:right w:val="single" w:sz="4" w:space="0" w:color="auto"/>
            </w:tcBorders>
            <w:shd w:val="clear" w:color="auto" w:fill="auto"/>
            <w:noWrap/>
            <w:vAlign w:val="center"/>
            <w:hideMark/>
          </w:tcPr>
          <w:p w14:paraId="36AAA20B"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2 550 626,66</w:t>
            </w:r>
          </w:p>
        </w:tc>
        <w:tc>
          <w:tcPr>
            <w:tcW w:w="626" w:type="pct"/>
            <w:tcBorders>
              <w:top w:val="nil"/>
              <w:left w:val="nil"/>
              <w:bottom w:val="single" w:sz="4" w:space="0" w:color="auto"/>
              <w:right w:val="single" w:sz="4" w:space="0" w:color="auto"/>
            </w:tcBorders>
            <w:shd w:val="clear" w:color="auto" w:fill="auto"/>
            <w:vAlign w:val="center"/>
            <w:hideMark/>
          </w:tcPr>
          <w:p w14:paraId="4B176034"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102 543,91</w:t>
            </w:r>
          </w:p>
        </w:tc>
        <w:tc>
          <w:tcPr>
            <w:tcW w:w="469" w:type="pct"/>
            <w:tcBorders>
              <w:top w:val="nil"/>
              <w:left w:val="nil"/>
              <w:bottom w:val="single" w:sz="4" w:space="0" w:color="auto"/>
              <w:right w:val="single" w:sz="4" w:space="0" w:color="auto"/>
            </w:tcBorders>
            <w:shd w:val="clear" w:color="auto" w:fill="auto"/>
            <w:noWrap/>
            <w:vAlign w:val="center"/>
            <w:hideMark/>
          </w:tcPr>
          <w:p w14:paraId="5AD28D6C"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4,02</w:t>
            </w:r>
          </w:p>
        </w:tc>
        <w:tc>
          <w:tcPr>
            <w:tcW w:w="704" w:type="pct"/>
            <w:tcBorders>
              <w:top w:val="nil"/>
              <w:left w:val="nil"/>
              <w:bottom w:val="single" w:sz="4" w:space="0" w:color="auto"/>
              <w:right w:val="single" w:sz="4" w:space="0" w:color="auto"/>
            </w:tcBorders>
            <w:shd w:val="clear" w:color="auto" w:fill="auto"/>
            <w:vAlign w:val="center"/>
            <w:hideMark/>
          </w:tcPr>
          <w:p w14:paraId="5A883C9A"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187 138,98</w:t>
            </w:r>
          </w:p>
        </w:tc>
        <w:tc>
          <w:tcPr>
            <w:tcW w:w="469" w:type="pct"/>
            <w:tcBorders>
              <w:top w:val="nil"/>
              <w:left w:val="nil"/>
              <w:bottom w:val="single" w:sz="4" w:space="0" w:color="auto"/>
              <w:right w:val="single" w:sz="4" w:space="0" w:color="auto"/>
            </w:tcBorders>
            <w:shd w:val="clear" w:color="auto" w:fill="auto"/>
            <w:noWrap/>
            <w:vAlign w:val="center"/>
            <w:hideMark/>
          </w:tcPr>
          <w:p w14:paraId="3789CE04"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7,34</w:t>
            </w:r>
          </w:p>
        </w:tc>
        <w:tc>
          <w:tcPr>
            <w:tcW w:w="704" w:type="pct"/>
            <w:tcBorders>
              <w:top w:val="nil"/>
              <w:left w:val="nil"/>
              <w:bottom w:val="single" w:sz="4" w:space="0" w:color="auto"/>
              <w:right w:val="single" w:sz="4" w:space="0" w:color="auto"/>
            </w:tcBorders>
            <w:shd w:val="clear" w:color="auto" w:fill="auto"/>
            <w:vAlign w:val="center"/>
            <w:hideMark/>
          </w:tcPr>
          <w:p w14:paraId="3CB142C6"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22 222,78</w:t>
            </w:r>
          </w:p>
        </w:tc>
        <w:tc>
          <w:tcPr>
            <w:tcW w:w="466" w:type="pct"/>
            <w:tcBorders>
              <w:top w:val="nil"/>
              <w:left w:val="nil"/>
              <w:bottom w:val="single" w:sz="4" w:space="0" w:color="auto"/>
              <w:right w:val="single" w:sz="4" w:space="0" w:color="auto"/>
            </w:tcBorders>
            <w:shd w:val="clear" w:color="auto" w:fill="auto"/>
            <w:noWrap/>
            <w:vAlign w:val="center"/>
            <w:hideMark/>
          </w:tcPr>
          <w:p w14:paraId="775B7F2B" w14:textId="77777777" w:rsidR="00625117" w:rsidRPr="005B75CD" w:rsidRDefault="00625117" w:rsidP="00D435DC">
            <w:pPr>
              <w:keepNext/>
              <w:ind w:right="66"/>
              <w:jc w:val="right"/>
              <w:rPr>
                <w:rFonts w:ascii="Calibri" w:hAnsi="Calibri" w:cs="Calibri"/>
                <w:color w:val="000000"/>
                <w:sz w:val="20"/>
              </w:rPr>
            </w:pPr>
            <w:r w:rsidRPr="005B75CD">
              <w:rPr>
                <w:rFonts w:ascii="Calibri" w:hAnsi="Calibri" w:cs="Calibri"/>
                <w:color w:val="000000"/>
                <w:sz w:val="20"/>
              </w:rPr>
              <w:t>0,87</w:t>
            </w:r>
          </w:p>
        </w:tc>
      </w:tr>
    </w:tbl>
    <w:p w14:paraId="54C80093" w14:textId="29779D70" w:rsidR="00625117" w:rsidRPr="008A1604" w:rsidRDefault="00625117" w:rsidP="008A1604">
      <w:pPr>
        <w:pStyle w:val="Zdroj"/>
        <w:spacing w:before="40"/>
        <w:ind w:left="567" w:hanging="567"/>
        <w:rPr>
          <w:i w:val="0"/>
          <w:noProof/>
        </w:rPr>
      </w:pPr>
      <w:r w:rsidRPr="008A1604">
        <w:rPr>
          <w:b/>
          <w:i w:val="0"/>
          <w:noProof/>
        </w:rPr>
        <w:t>Zdroj:</w:t>
      </w:r>
      <w:r w:rsidRPr="008A1604">
        <w:rPr>
          <w:i w:val="0"/>
          <w:noProof/>
        </w:rPr>
        <w:t xml:space="preserve"> </w:t>
      </w:r>
      <w:r w:rsidR="008A1604">
        <w:rPr>
          <w:i w:val="0"/>
          <w:noProof/>
        </w:rPr>
        <w:tab/>
      </w:r>
      <w:r w:rsidR="00D435DC">
        <w:rPr>
          <w:i w:val="0"/>
          <w:noProof/>
        </w:rPr>
        <w:t>h</w:t>
      </w:r>
      <w:r w:rsidR="003176F8" w:rsidRPr="008A1604">
        <w:rPr>
          <w:i w:val="0"/>
          <w:noProof/>
        </w:rPr>
        <w:t>lavní</w:t>
      </w:r>
      <w:r w:rsidR="003417AC" w:rsidRPr="008A1604">
        <w:rPr>
          <w:i w:val="0"/>
          <w:noProof/>
        </w:rPr>
        <w:t xml:space="preserve"> knihy</w:t>
      </w:r>
      <w:r w:rsidR="003176F8" w:rsidRPr="008A1604">
        <w:rPr>
          <w:i w:val="0"/>
          <w:noProof/>
        </w:rPr>
        <w:t xml:space="preserve"> jednotlivých FN k 31. 12. 2014, k 31. 12. 2015 a k 31. 12. 2016 a účetní závěrky k 31. 12. 2014, k 31. 12. 2015 a k 31. 12. 2016.</w:t>
      </w:r>
    </w:p>
    <w:p w14:paraId="17CAE092" w14:textId="7BD931C9" w:rsidR="00625117" w:rsidRDefault="00625117" w:rsidP="008A1604">
      <w:pPr>
        <w:autoSpaceDE w:val="0"/>
        <w:autoSpaceDN w:val="0"/>
        <w:adjustRightInd w:val="0"/>
        <w:spacing w:before="120"/>
        <w:rPr>
          <w:rFonts w:cs="Arial"/>
        </w:rPr>
      </w:pPr>
      <w:r w:rsidRPr="00625117">
        <w:rPr>
          <w:rFonts w:cs="Arial"/>
        </w:rPr>
        <w:t>Vlastními zaměstnanci kontrolované nemocnice částečně zajišťovaly servis zdravotnického přístrojového vybavení, právní služby, FNM i úklid. Poradenské služby zajišťovaly FN externě.</w:t>
      </w:r>
    </w:p>
    <w:p w14:paraId="1E76E17A" w14:textId="05317370" w:rsidR="008A1604" w:rsidRDefault="008A1604" w:rsidP="008A1604">
      <w:pPr>
        <w:rPr>
          <w:rFonts w:cstheme="minorHAnsi"/>
          <w:color w:val="000000" w:themeColor="text1"/>
        </w:rPr>
      </w:pPr>
    </w:p>
    <w:p w14:paraId="5526493B" w14:textId="77777777" w:rsidR="008A1604" w:rsidRPr="008A1604" w:rsidRDefault="008A1604" w:rsidP="008A1604">
      <w:pPr>
        <w:rPr>
          <w:rFonts w:cstheme="minorHAnsi"/>
          <w:color w:val="000000" w:themeColor="text1"/>
        </w:rPr>
      </w:pPr>
    </w:p>
    <w:p w14:paraId="5AEDA6F7" w14:textId="7C9F211C" w:rsidR="004F30C6" w:rsidRPr="008A1604" w:rsidRDefault="008A1604" w:rsidP="00757BF0">
      <w:pPr>
        <w:pStyle w:val="Nadpis1"/>
        <w:spacing w:after="120"/>
        <w:jc w:val="center"/>
        <w:rPr>
          <w:u w:val="none"/>
        </w:rPr>
      </w:pPr>
      <w:r>
        <w:rPr>
          <w:u w:val="none"/>
        </w:rPr>
        <w:t xml:space="preserve">III. </w:t>
      </w:r>
      <w:r w:rsidR="009221B7" w:rsidRPr="008A1604">
        <w:rPr>
          <w:u w:val="none"/>
        </w:rPr>
        <w:t>Rozsah kontroly</w:t>
      </w:r>
    </w:p>
    <w:p w14:paraId="11819A31" w14:textId="3DB41DAD" w:rsidR="004F30C6" w:rsidRDefault="005215B9" w:rsidP="008A1604">
      <w:pPr>
        <w:spacing w:before="120"/>
        <w:rPr>
          <w:rFonts w:eastAsia="Calibri"/>
        </w:rPr>
      </w:pPr>
      <w:r>
        <w:t>Cílem kontrolní akce bylo</w:t>
      </w:r>
      <w:r w:rsidR="004F30C6" w:rsidRPr="007C2388">
        <w:t xml:space="preserve"> </w:t>
      </w:r>
      <w:r w:rsidR="004F30C6" w:rsidRPr="007C2388">
        <w:rPr>
          <w:rFonts w:eastAsia="Calibri"/>
        </w:rPr>
        <w:t xml:space="preserve">prověřit, zda pořizování materiálu, zboží a služeb fakultními nemocnicemi (zejména </w:t>
      </w:r>
      <w:r w:rsidR="000A2806">
        <w:rPr>
          <w:rFonts w:eastAsia="Calibri"/>
        </w:rPr>
        <w:t>léčiv</w:t>
      </w:r>
      <w:r w:rsidR="004F30C6" w:rsidRPr="007C2388">
        <w:rPr>
          <w:rFonts w:eastAsia="Calibri"/>
        </w:rPr>
        <w:t xml:space="preserve"> a </w:t>
      </w:r>
      <w:proofErr w:type="spellStart"/>
      <w:r w:rsidR="000A2806">
        <w:rPr>
          <w:rFonts w:eastAsia="Calibri"/>
        </w:rPr>
        <w:t>ZPr</w:t>
      </w:r>
      <w:proofErr w:type="spellEnd"/>
      <w:r>
        <w:rPr>
          <w:rFonts w:eastAsia="Calibri"/>
        </w:rPr>
        <w:t>) probíhalo</w:t>
      </w:r>
      <w:r w:rsidR="004F30C6" w:rsidRPr="007C2388">
        <w:rPr>
          <w:rFonts w:eastAsia="Calibri"/>
        </w:rPr>
        <w:t xml:space="preserve"> v soul</w:t>
      </w:r>
      <w:r w:rsidR="001525ED">
        <w:rPr>
          <w:rFonts w:eastAsia="Calibri"/>
        </w:rPr>
        <w:t>adu s právními předpisy a zda bylo účelné a hospodárné. Dále</w:t>
      </w:r>
      <w:r w:rsidR="004F30C6" w:rsidRPr="007C2388">
        <w:rPr>
          <w:rFonts w:eastAsia="Calibri"/>
        </w:rPr>
        <w:t xml:space="preserve"> </w:t>
      </w:r>
      <w:r w:rsidR="00D435DC">
        <w:rPr>
          <w:rFonts w:eastAsia="Calibri"/>
        </w:rPr>
        <w:t xml:space="preserve">bylo cílem </w:t>
      </w:r>
      <w:r w:rsidR="004F30C6" w:rsidRPr="007C2388">
        <w:rPr>
          <w:rFonts w:eastAsia="Calibri"/>
        </w:rPr>
        <w:t>prověřit, zda Ministerstvo zdravotn</w:t>
      </w:r>
      <w:r>
        <w:rPr>
          <w:rFonts w:eastAsia="Calibri"/>
        </w:rPr>
        <w:t xml:space="preserve">ictví a </w:t>
      </w:r>
      <w:r w:rsidRPr="005215B9">
        <w:rPr>
          <w:rFonts w:eastAsia="Calibri"/>
        </w:rPr>
        <w:t>Ministerstvo obrany plnilo</w:t>
      </w:r>
      <w:r w:rsidR="004F30C6" w:rsidRPr="005215B9">
        <w:rPr>
          <w:rFonts w:eastAsia="Calibri"/>
        </w:rPr>
        <w:t xml:space="preserve"> roli zřizovatele fakultních nemocnic.</w:t>
      </w:r>
    </w:p>
    <w:p w14:paraId="60994DAD" w14:textId="59D3ABA3" w:rsidR="00930B50" w:rsidRPr="00717AB6" w:rsidRDefault="00930B50" w:rsidP="008A1604">
      <w:pPr>
        <w:spacing w:before="120"/>
        <w:rPr>
          <w:rFonts w:cstheme="minorHAnsi"/>
        </w:rPr>
      </w:pPr>
      <w:r w:rsidRPr="00717AB6">
        <w:rPr>
          <w:rFonts w:eastAsia="Calibri"/>
          <w:b/>
        </w:rPr>
        <w:t xml:space="preserve">U kontrolovaných </w:t>
      </w:r>
      <w:r w:rsidR="00153BEA" w:rsidRPr="00717AB6">
        <w:rPr>
          <w:rFonts w:eastAsia="Calibri"/>
          <w:b/>
        </w:rPr>
        <w:t>FN</w:t>
      </w:r>
      <w:r w:rsidRPr="00717AB6">
        <w:rPr>
          <w:rFonts w:eastAsia="Calibri"/>
        </w:rPr>
        <w:t xml:space="preserve"> byla kontrola zamě</w:t>
      </w:r>
      <w:r w:rsidR="00576613" w:rsidRPr="00717AB6">
        <w:rPr>
          <w:rFonts w:eastAsia="Calibri"/>
        </w:rPr>
        <w:t>řena na p</w:t>
      </w:r>
      <w:r w:rsidR="005215B9" w:rsidRPr="00717AB6">
        <w:rPr>
          <w:rFonts w:cstheme="minorHAnsi"/>
        </w:rPr>
        <w:t>orovnání vybraných ukazatelů</w:t>
      </w:r>
      <w:r w:rsidR="00576613" w:rsidRPr="00717AB6">
        <w:rPr>
          <w:rFonts w:cstheme="minorHAnsi"/>
        </w:rPr>
        <w:t>;</w:t>
      </w:r>
      <w:r w:rsidR="005215B9" w:rsidRPr="00717AB6">
        <w:rPr>
          <w:rFonts w:cstheme="minorHAnsi"/>
        </w:rPr>
        <w:t xml:space="preserve"> </w:t>
      </w:r>
      <w:r w:rsidR="00576613" w:rsidRPr="00717AB6">
        <w:rPr>
          <w:rFonts w:cstheme="minorHAnsi"/>
        </w:rPr>
        <w:t>způsob zajišťování vybraných</w:t>
      </w:r>
      <w:r w:rsidR="00B17079" w:rsidRPr="00717AB6">
        <w:rPr>
          <w:rFonts w:cstheme="minorHAnsi"/>
        </w:rPr>
        <w:t xml:space="preserve"> služ</w:t>
      </w:r>
      <w:r w:rsidR="00576613" w:rsidRPr="00717AB6">
        <w:rPr>
          <w:rFonts w:cstheme="minorHAnsi"/>
        </w:rPr>
        <w:t>e</w:t>
      </w:r>
      <w:r w:rsidR="00B17079" w:rsidRPr="00717AB6">
        <w:rPr>
          <w:rFonts w:cstheme="minorHAnsi"/>
        </w:rPr>
        <w:t>b</w:t>
      </w:r>
      <w:r w:rsidR="00576613" w:rsidRPr="00717AB6">
        <w:rPr>
          <w:rFonts w:cstheme="minorHAnsi"/>
        </w:rPr>
        <w:t xml:space="preserve"> a </w:t>
      </w:r>
      <w:r w:rsidR="00B17079" w:rsidRPr="00717AB6">
        <w:rPr>
          <w:rFonts w:cstheme="minorHAnsi"/>
        </w:rPr>
        <w:t xml:space="preserve">výběr </w:t>
      </w:r>
      <w:r w:rsidR="00576613" w:rsidRPr="00717AB6">
        <w:rPr>
          <w:rFonts w:cstheme="minorHAnsi"/>
        </w:rPr>
        <w:t xml:space="preserve">jejich dodavatelů; pořizování </w:t>
      </w:r>
      <w:r w:rsidR="000A2806" w:rsidRPr="00717AB6">
        <w:rPr>
          <w:rFonts w:cstheme="minorHAnsi"/>
        </w:rPr>
        <w:t>léčiv</w:t>
      </w:r>
      <w:r w:rsidR="00576613" w:rsidRPr="00717AB6">
        <w:rPr>
          <w:rFonts w:cstheme="minorHAnsi"/>
        </w:rPr>
        <w:t xml:space="preserve"> a </w:t>
      </w:r>
      <w:proofErr w:type="spellStart"/>
      <w:r w:rsidR="000A2806" w:rsidRPr="00717AB6">
        <w:rPr>
          <w:rFonts w:cstheme="minorHAnsi"/>
        </w:rPr>
        <w:t>ZPr</w:t>
      </w:r>
      <w:proofErr w:type="spellEnd"/>
      <w:r w:rsidR="00576613" w:rsidRPr="00717AB6">
        <w:rPr>
          <w:rFonts w:cstheme="minorHAnsi"/>
        </w:rPr>
        <w:t xml:space="preserve"> včetně porovnání jejich nákupních jednotkových cen</w:t>
      </w:r>
      <w:r w:rsidR="002E38F8" w:rsidRPr="00717AB6">
        <w:rPr>
          <w:rFonts w:cstheme="minorHAnsi"/>
        </w:rPr>
        <w:t xml:space="preserve"> a souvisejících bonusů; </w:t>
      </w:r>
      <w:r w:rsidR="00B17079" w:rsidRPr="00717AB6">
        <w:rPr>
          <w:rFonts w:cstheme="minorHAnsi"/>
        </w:rPr>
        <w:t xml:space="preserve">evidenci </w:t>
      </w:r>
      <w:r w:rsidR="002E38F8" w:rsidRPr="00717AB6">
        <w:rPr>
          <w:rFonts w:cstheme="minorHAnsi"/>
        </w:rPr>
        <w:t xml:space="preserve">a </w:t>
      </w:r>
      <w:r w:rsidR="000A2806" w:rsidRPr="00717AB6">
        <w:rPr>
          <w:rFonts w:cstheme="minorHAnsi"/>
        </w:rPr>
        <w:t>vyřazování léčiv</w:t>
      </w:r>
      <w:r w:rsidR="00B17079" w:rsidRPr="00717AB6">
        <w:rPr>
          <w:rFonts w:cstheme="minorHAnsi"/>
        </w:rPr>
        <w:t xml:space="preserve"> z důvodu nepoužitelnosti</w:t>
      </w:r>
      <w:r w:rsidR="002E38F8" w:rsidRPr="00717AB6">
        <w:rPr>
          <w:rFonts w:cstheme="minorHAnsi"/>
        </w:rPr>
        <w:t xml:space="preserve">. </w:t>
      </w:r>
      <w:r w:rsidR="007B1193" w:rsidRPr="00717AB6">
        <w:rPr>
          <w:rFonts w:cstheme="minorHAnsi"/>
        </w:rPr>
        <w:t>U vybraných kontrolovaných přístrojů byl</w:t>
      </w:r>
      <w:r w:rsidR="00075DF6" w:rsidRPr="00717AB6">
        <w:rPr>
          <w:rFonts w:cstheme="minorHAnsi"/>
        </w:rPr>
        <w:t>a kontrola zaměřena nejen</w:t>
      </w:r>
      <w:r w:rsidR="007B1193" w:rsidRPr="00717AB6">
        <w:rPr>
          <w:rFonts w:cstheme="minorHAnsi"/>
        </w:rPr>
        <w:t xml:space="preserve"> na náklady </w:t>
      </w:r>
      <w:r w:rsidR="00075DF6" w:rsidRPr="00717AB6">
        <w:rPr>
          <w:rFonts w:cstheme="minorHAnsi"/>
        </w:rPr>
        <w:t>související s jejich opravami</w:t>
      </w:r>
      <w:r w:rsidR="007B1193" w:rsidRPr="00717AB6">
        <w:rPr>
          <w:rFonts w:cstheme="minorHAnsi"/>
        </w:rPr>
        <w:t xml:space="preserve"> a udržování</w:t>
      </w:r>
      <w:r w:rsidR="00075DF6" w:rsidRPr="00717AB6">
        <w:rPr>
          <w:rFonts w:cstheme="minorHAnsi"/>
        </w:rPr>
        <w:t>m</w:t>
      </w:r>
      <w:r w:rsidR="007B1193" w:rsidRPr="00717AB6">
        <w:rPr>
          <w:rFonts w:cstheme="minorHAnsi"/>
        </w:rPr>
        <w:t xml:space="preserve">, ale také </w:t>
      </w:r>
      <w:r w:rsidR="00F2433A">
        <w:rPr>
          <w:rFonts w:cstheme="minorHAnsi"/>
        </w:rPr>
        <w:t xml:space="preserve">na </w:t>
      </w:r>
      <w:r w:rsidR="00075DF6" w:rsidRPr="00717AB6">
        <w:rPr>
          <w:rFonts w:cstheme="minorHAnsi"/>
        </w:rPr>
        <w:t xml:space="preserve">evidenci </w:t>
      </w:r>
      <w:r w:rsidR="001A01AE" w:rsidRPr="00717AB6">
        <w:rPr>
          <w:rFonts w:cstheme="minorHAnsi"/>
        </w:rPr>
        <w:t xml:space="preserve">tohoto </w:t>
      </w:r>
      <w:r w:rsidR="00075DF6" w:rsidRPr="00717AB6">
        <w:rPr>
          <w:rFonts w:cstheme="minorHAnsi"/>
        </w:rPr>
        <w:t>majetku</w:t>
      </w:r>
      <w:r w:rsidR="007B1193" w:rsidRPr="00717AB6">
        <w:rPr>
          <w:rFonts w:cstheme="minorHAnsi"/>
        </w:rPr>
        <w:t>.</w:t>
      </w:r>
    </w:p>
    <w:p w14:paraId="10D05DBD" w14:textId="5E6B4AE9" w:rsidR="004906BB" w:rsidRPr="00717AB6" w:rsidRDefault="004906BB" w:rsidP="008A1604">
      <w:pPr>
        <w:spacing w:before="120"/>
        <w:rPr>
          <w:rFonts w:cstheme="minorHAnsi"/>
        </w:rPr>
      </w:pPr>
      <w:r w:rsidRPr="00717AB6">
        <w:rPr>
          <w:rFonts w:cstheme="minorHAnsi"/>
          <w:b/>
          <w:bCs/>
        </w:rPr>
        <w:t xml:space="preserve">U ministerstev </w:t>
      </w:r>
      <w:r w:rsidRPr="00717AB6">
        <w:rPr>
          <w:rFonts w:cstheme="minorHAnsi"/>
        </w:rPr>
        <w:t>byla kontrola zaměřena na výkon zřizovatelských funkcí MZ/MO ve vztahu k</w:t>
      </w:r>
      <w:r w:rsidR="00810805">
        <w:rPr>
          <w:rFonts w:cstheme="minorHAnsi"/>
        </w:rPr>
        <w:t> </w:t>
      </w:r>
      <w:r w:rsidRPr="00717AB6">
        <w:rPr>
          <w:rFonts w:cstheme="minorHAnsi"/>
        </w:rPr>
        <w:t>fakultním nemocnicím; finanční vztahy stanovené zřizovatelem; kontrolu prováděnou zřizovatelem u FN.</w:t>
      </w:r>
    </w:p>
    <w:p w14:paraId="191C5838" w14:textId="2A19E48E" w:rsidR="004F30C6" w:rsidRDefault="002C38A0" w:rsidP="008A1604">
      <w:pPr>
        <w:spacing w:before="120"/>
        <w:rPr>
          <w:rFonts w:cstheme="minorHAnsi"/>
          <w:bCs/>
          <w:spacing w:val="-4"/>
        </w:rPr>
      </w:pPr>
      <w:r w:rsidRPr="002C38A0">
        <w:rPr>
          <w:rFonts w:cstheme="minorHAnsi"/>
          <w:bCs/>
          <w:spacing w:val="-4"/>
        </w:rPr>
        <w:t>Kontrolovaným obdobím byly roky 2014 až 2016.</w:t>
      </w:r>
    </w:p>
    <w:p w14:paraId="30E0F6F6" w14:textId="732E2210" w:rsidR="008E32CA" w:rsidRDefault="002752C1" w:rsidP="008A1604">
      <w:pPr>
        <w:spacing w:before="120"/>
        <w:rPr>
          <w:rFonts w:cstheme="minorHAnsi"/>
          <w:szCs w:val="22"/>
        </w:rPr>
      </w:pPr>
      <w:r w:rsidRPr="000F0A00">
        <w:rPr>
          <w:rFonts w:cstheme="minorHAnsi"/>
          <w:szCs w:val="22"/>
        </w:rPr>
        <w:t xml:space="preserve">Kontrolovaný objem </w:t>
      </w:r>
      <w:r w:rsidR="00FA09D7">
        <w:rPr>
          <w:rFonts w:cstheme="minorHAnsi"/>
          <w:szCs w:val="22"/>
        </w:rPr>
        <w:t>činil 2</w:t>
      </w:r>
      <w:r w:rsidR="008E32CA">
        <w:rPr>
          <w:rFonts w:cstheme="minorHAnsi"/>
          <w:szCs w:val="22"/>
        </w:rPr>
        <w:t> 275 631 308,58 Kč</w:t>
      </w:r>
      <w:r w:rsidR="00F2433A">
        <w:rPr>
          <w:rFonts w:cstheme="minorHAnsi"/>
          <w:szCs w:val="22"/>
        </w:rPr>
        <w:t>,</w:t>
      </w:r>
      <w:r w:rsidR="008E32CA">
        <w:rPr>
          <w:rFonts w:cstheme="minorHAnsi"/>
          <w:szCs w:val="22"/>
        </w:rPr>
        <w:t xml:space="preserve"> z toho:</w:t>
      </w:r>
    </w:p>
    <w:p w14:paraId="10F478C6" w14:textId="26CCFE80" w:rsidR="008E32CA" w:rsidRPr="008E32CA" w:rsidRDefault="00F2433A" w:rsidP="008E32CA">
      <w:pPr>
        <w:pStyle w:val="Odstavecseseznamem"/>
        <w:numPr>
          <w:ilvl w:val="0"/>
          <w:numId w:val="41"/>
        </w:numPr>
        <w:rPr>
          <w:rFonts w:cstheme="minorHAnsi"/>
          <w:szCs w:val="22"/>
        </w:rPr>
      </w:pPr>
      <w:r>
        <w:rPr>
          <w:rFonts w:cstheme="minorHAnsi"/>
          <w:szCs w:val="22"/>
        </w:rPr>
        <w:t xml:space="preserve">objem </w:t>
      </w:r>
      <w:r w:rsidR="008E32CA" w:rsidRPr="008E32CA">
        <w:rPr>
          <w:rFonts w:cstheme="minorHAnsi"/>
          <w:szCs w:val="22"/>
        </w:rPr>
        <w:t>majetku</w:t>
      </w:r>
      <w:r w:rsidR="009A35AC" w:rsidRPr="008E32CA">
        <w:rPr>
          <w:rFonts w:cstheme="minorHAnsi"/>
          <w:szCs w:val="22"/>
        </w:rPr>
        <w:t xml:space="preserve"> </w:t>
      </w:r>
      <w:r>
        <w:rPr>
          <w:rFonts w:cstheme="minorHAnsi"/>
          <w:szCs w:val="22"/>
        </w:rPr>
        <w:t xml:space="preserve">činil </w:t>
      </w:r>
      <w:r w:rsidR="00B5204D" w:rsidRPr="008E32CA">
        <w:rPr>
          <w:rFonts w:cstheme="minorHAnsi"/>
          <w:szCs w:val="22"/>
        </w:rPr>
        <w:t>402 562 688,86</w:t>
      </w:r>
      <w:r w:rsidR="008E32CA" w:rsidRPr="008E32CA">
        <w:rPr>
          <w:rFonts w:cstheme="minorHAnsi"/>
          <w:szCs w:val="22"/>
        </w:rPr>
        <w:t xml:space="preserve"> Kč, </w:t>
      </w:r>
    </w:p>
    <w:p w14:paraId="09F19D90" w14:textId="45DA48CB" w:rsidR="008E32CA" w:rsidRDefault="00F2433A" w:rsidP="008E32CA">
      <w:pPr>
        <w:pStyle w:val="Odstavecseseznamem"/>
        <w:numPr>
          <w:ilvl w:val="0"/>
          <w:numId w:val="41"/>
        </w:numPr>
      </w:pPr>
      <w:r>
        <w:rPr>
          <w:rFonts w:cstheme="minorHAnsi"/>
          <w:szCs w:val="22"/>
        </w:rPr>
        <w:t xml:space="preserve">objem </w:t>
      </w:r>
      <w:r w:rsidR="008E32CA" w:rsidRPr="008E32CA">
        <w:rPr>
          <w:rFonts w:cstheme="minorHAnsi"/>
          <w:szCs w:val="22"/>
        </w:rPr>
        <w:t xml:space="preserve">peněžních prostředků </w:t>
      </w:r>
      <w:r>
        <w:rPr>
          <w:rFonts w:cstheme="minorHAnsi"/>
          <w:szCs w:val="22"/>
        </w:rPr>
        <w:t xml:space="preserve">činil </w:t>
      </w:r>
      <w:r w:rsidR="008E32CA">
        <w:rPr>
          <w:rFonts w:cstheme="minorHAnsi"/>
          <w:szCs w:val="22"/>
        </w:rPr>
        <w:t>808 302 270,01</w:t>
      </w:r>
      <w:r w:rsidR="002752C1" w:rsidRPr="000F0A00">
        <w:t xml:space="preserve"> </w:t>
      </w:r>
      <w:r w:rsidR="00F75E12">
        <w:t>Kč</w:t>
      </w:r>
      <w:r w:rsidR="008E32CA">
        <w:t xml:space="preserve">, </w:t>
      </w:r>
    </w:p>
    <w:p w14:paraId="2945249B" w14:textId="17A1566B" w:rsidR="008A1604" w:rsidRPr="00757BF0" w:rsidRDefault="00F2433A" w:rsidP="00BA09ED">
      <w:pPr>
        <w:pStyle w:val="Odstavecseseznamem"/>
        <w:numPr>
          <w:ilvl w:val="0"/>
          <w:numId w:val="41"/>
        </w:numPr>
        <w:rPr>
          <w:rFonts w:cstheme="minorHAnsi"/>
          <w:color w:val="000000" w:themeColor="text1"/>
        </w:rPr>
      </w:pPr>
      <w:r>
        <w:t xml:space="preserve">objem </w:t>
      </w:r>
      <w:r w:rsidR="00644F23">
        <w:t>veřejných zakázek</w:t>
      </w:r>
      <w:r w:rsidR="00A96383">
        <w:t xml:space="preserve"> </w:t>
      </w:r>
      <w:r>
        <w:t xml:space="preserve">činil </w:t>
      </w:r>
      <w:r w:rsidR="00A96383">
        <w:t>1 064 766 349,71 Kč</w:t>
      </w:r>
      <w:r w:rsidR="000F0A00" w:rsidRPr="00757BF0">
        <w:rPr>
          <w:rFonts w:cstheme="minorHAnsi"/>
          <w:szCs w:val="22"/>
        </w:rPr>
        <w:t>.</w:t>
      </w:r>
      <w:r w:rsidR="00F948F9">
        <w:rPr>
          <w:rStyle w:val="Znakapoznpodarou"/>
          <w:rFonts w:cstheme="minorHAnsi"/>
          <w:szCs w:val="22"/>
        </w:rPr>
        <w:footnoteReference w:id="29"/>
      </w:r>
    </w:p>
    <w:p w14:paraId="6C54904B" w14:textId="41D9493E" w:rsidR="00C3302D" w:rsidRPr="008A1604" w:rsidRDefault="008A1604" w:rsidP="00D435DC">
      <w:pPr>
        <w:pStyle w:val="Nadpis1"/>
        <w:jc w:val="center"/>
        <w:rPr>
          <w:u w:val="none"/>
        </w:rPr>
      </w:pPr>
      <w:r>
        <w:rPr>
          <w:u w:val="none"/>
        </w:rPr>
        <w:t xml:space="preserve">IV. </w:t>
      </w:r>
      <w:r w:rsidR="009221B7" w:rsidRPr="008A1604">
        <w:rPr>
          <w:u w:val="none"/>
        </w:rPr>
        <w:t>Podrobné skutečnosti zjištěné kontrolou</w:t>
      </w:r>
    </w:p>
    <w:p w14:paraId="75535C71" w14:textId="0EEBF8C2" w:rsidR="002F187E" w:rsidRPr="00757BF0" w:rsidRDefault="008A1604" w:rsidP="00D435DC">
      <w:pPr>
        <w:keepNext/>
        <w:spacing w:before="240" w:after="120"/>
        <w:rPr>
          <w:rFonts w:cstheme="minorHAnsi"/>
          <w:b/>
          <w:noProof/>
          <w:color w:val="000000" w:themeColor="text1"/>
          <w:szCs w:val="28"/>
        </w:rPr>
      </w:pPr>
      <w:r w:rsidRPr="00757BF0">
        <w:rPr>
          <w:rFonts w:cstheme="minorHAnsi"/>
          <w:b/>
          <w:noProof/>
          <w:color w:val="000000" w:themeColor="text1"/>
          <w:szCs w:val="28"/>
        </w:rPr>
        <w:t xml:space="preserve">1. </w:t>
      </w:r>
      <w:r w:rsidR="00DD5264" w:rsidRPr="00757BF0">
        <w:rPr>
          <w:rFonts w:cstheme="minorHAnsi"/>
          <w:b/>
          <w:noProof/>
          <w:color w:val="000000" w:themeColor="text1"/>
          <w:szCs w:val="28"/>
        </w:rPr>
        <w:t>Fakultní nemocnice</w:t>
      </w:r>
    </w:p>
    <w:p w14:paraId="0BF3A03E" w14:textId="7222C78F" w:rsidR="00CF25F1" w:rsidRPr="00757BF0" w:rsidRDefault="008A1604" w:rsidP="00D435DC">
      <w:pPr>
        <w:keepNext/>
        <w:spacing w:before="240" w:after="120"/>
        <w:rPr>
          <w:rFonts w:cstheme="minorHAnsi"/>
          <w:b/>
          <w:noProof/>
          <w:color w:val="000000" w:themeColor="text1"/>
          <w:szCs w:val="26"/>
        </w:rPr>
      </w:pPr>
      <w:r w:rsidRPr="00757BF0">
        <w:rPr>
          <w:rFonts w:cstheme="minorHAnsi"/>
          <w:b/>
          <w:noProof/>
          <w:color w:val="000000" w:themeColor="text1"/>
          <w:szCs w:val="26"/>
        </w:rPr>
        <w:t xml:space="preserve">1.1 </w:t>
      </w:r>
      <w:r w:rsidR="00CF25F1" w:rsidRPr="00757BF0">
        <w:rPr>
          <w:rFonts w:cstheme="minorHAnsi"/>
          <w:b/>
          <w:noProof/>
          <w:color w:val="000000" w:themeColor="text1"/>
          <w:szCs w:val="26"/>
        </w:rPr>
        <w:t xml:space="preserve">Veřejné zakázky na </w:t>
      </w:r>
      <w:r w:rsidR="009F69E7" w:rsidRPr="00757BF0">
        <w:rPr>
          <w:rFonts w:cstheme="minorHAnsi"/>
          <w:b/>
          <w:noProof/>
          <w:color w:val="000000" w:themeColor="text1"/>
          <w:szCs w:val="26"/>
        </w:rPr>
        <w:t>nákup</w:t>
      </w:r>
      <w:r w:rsidR="00FF0072" w:rsidRPr="00757BF0">
        <w:rPr>
          <w:rFonts w:cstheme="minorHAnsi"/>
          <w:b/>
          <w:noProof/>
          <w:color w:val="000000" w:themeColor="text1"/>
          <w:szCs w:val="26"/>
        </w:rPr>
        <w:t xml:space="preserve"> léčiv</w:t>
      </w:r>
    </w:p>
    <w:p w14:paraId="351DC295" w14:textId="62276198" w:rsidR="009F69E7" w:rsidRDefault="009F69E7" w:rsidP="008A1604">
      <w:pPr>
        <w:shd w:val="clear" w:color="auto" w:fill="FFFFFF"/>
        <w:spacing w:before="120" w:line="293" w:lineRule="exact"/>
        <w:rPr>
          <w:szCs w:val="22"/>
        </w:rPr>
      </w:pPr>
      <w:r>
        <w:rPr>
          <w:rFonts w:cs="Arial"/>
          <w:b/>
        </w:rPr>
        <w:t>Z</w:t>
      </w:r>
      <w:r w:rsidRPr="009F69E7">
        <w:rPr>
          <w:rFonts w:cs="Arial"/>
          <w:b/>
        </w:rPr>
        <w:t>e sdělení jednotlivých FN vyplývá, že z celkového objemu všech nákupů léčiv</w:t>
      </w:r>
      <w:r w:rsidR="00F2433A">
        <w:rPr>
          <w:rFonts w:cs="Arial"/>
          <w:b/>
        </w:rPr>
        <w:t xml:space="preserve"> </w:t>
      </w:r>
      <w:r w:rsidRPr="009F69E7">
        <w:rPr>
          <w:rFonts w:cs="Arial"/>
          <w:b/>
        </w:rPr>
        <w:t xml:space="preserve">provedených v letech 2014 až 2016 tvořily nákupy realizované na základě zadávacího řízení dle zákona </w:t>
      </w:r>
      <w:r w:rsidRPr="00E8617B">
        <w:rPr>
          <w:rFonts w:cs="Arial"/>
          <w:b/>
        </w:rPr>
        <w:t>o</w:t>
      </w:r>
      <w:r w:rsidR="00810805">
        <w:rPr>
          <w:rFonts w:cs="Arial"/>
          <w:b/>
        </w:rPr>
        <w:t> </w:t>
      </w:r>
      <w:r w:rsidRPr="00E8617B">
        <w:rPr>
          <w:rFonts w:cs="Arial"/>
          <w:b/>
        </w:rPr>
        <w:t>v</w:t>
      </w:r>
      <w:r w:rsidRPr="009F69E7">
        <w:rPr>
          <w:rFonts w:cs="Arial"/>
          <w:b/>
        </w:rPr>
        <w:t xml:space="preserve">eřejných zakázkách u FNB 9,94 %, u FNM 20,61 %. </w:t>
      </w:r>
      <w:r>
        <w:rPr>
          <w:rFonts w:cs="Arial"/>
          <w:b/>
        </w:rPr>
        <w:t>ÚVN ú</w:t>
      </w:r>
      <w:r w:rsidR="00A53E26">
        <w:rPr>
          <w:rFonts w:cs="Arial"/>
          <w:b/>
        </w:rPr>
        <w:t>daje nesledovala</w:t>
      </w:r>
      <w:r w:rsidR="00C72B37">
        <w:rPr>
          <w:rFonts w:cs="Arial"/>
          <w:b/>
          <w:color w:val="000000" w:themeColor="text1"/>
        </w:rPr>
        <w:t>, neboť tato povinnost není stanovena právními předpisy.</w:t>
      </w:r>
    </w:p>
    <w:p w14:paraId="16525480" w14:textId="6CDF9EF0" w:rsidR="009103CF" w:rsidRDefault="00CF25F1" w:rsidP="008A1604">
      <w:pPr>
        <w:shd w:val="clear" w:color="auto" w:fill="FFFFFF"/>
        <w:spacing w:before="120" w:line="293" w:lineRule="exact"/>
        <w:rPr>
          <w:rFonts w:cstheme="minorHAnsi"/>
        </w:rPr>
      </w:pPr>
      <w:r w:rsidRPr="00B80786">
        <w:rPr>
          <w:szCs w:val="22"/>
        </w:rPr>
        <w:t>NKÚ na vybraném kont</w:t>
      </w:r>
      <w:r w:rsidR="000A2806">
        <w:rPr>
          <w:szCs w:val="22"/>
        </w:rPr>
        <w:t xml:space="preserve">rolním vzorku shodných léčiv </w:t>
      </w:r>
      <w:r w:rsidRPr="00B80786">
        <w:rPr>
          <w:szCs w:val="22"/>
        </w:rPr>
        <w:t xml:space="preserve">používaných </w:t>
      </w:r>
      <w:r>
        <w:rPr>
          <w:szCs w:val="22"/>
        </w:rPr>
        <w:t>fakultními</w:t>
      </w:r>
      <w:r w:rsidRPr="00B80786">
        <w:rPr>
          <w:szCs w:val="22"/>
        </w:rPr>
        <w:t xml:space="preserve"> nemocnicemi </w:t>
      </w:r>
      <w:r w:rsidR="0031664A">
        <w:rPr>
          <w:szCs w:val="22"/>
        </w:rPr>
        <w:t>v </w:t>
      </w:r>
      <w:r w:rsidRPr="00B80786">
        <w:rPr>
          <w:szCs w:val="22"/>
        </w:rPr>
        <w:t xml:space="preserve">celkové </w:t>
      </w:r>
      <w:r w:rsidRPr="00550706">
        <w:rPr>
          <w:szCs w:val="22"/>
        </w:rPr>
        <w:t xml:space="preserve">hodnotě </w:t>
      </w:r>
      <w:r w:rsidR="003648F0" w:rsidRPr="00550706">
        <w:rPr>
          <w:szCs w:val="22"/>
        </w:rPr>
        <w:t>107 255 </w:t>
      </w:r>
      <w:r w:rsidR="00550706" w:rsidRPr="00550706">
        <w:rPr>
          <w:szCs w:val="22"/>
        </w:rPr>
        <w:t>2</w:t>
      </w:r>
      <w:r w:rsidR="003648F0" w:rsidRPr="00550706">
        <w:rPr>
          <w:szCs w:val="22"/>
        </w:rPr>
        <w:t>60,90</w:t>
      </w:r>
      <w:r w:rsidR="00550706" w:rsidRPr="00550706">
        <w:rPr>
          <w:szCs w:val="22"/>
        </w:rPr>
        <w:t xml:space="preserve"> Kč vč. DPH</w:t>
      </w:r>
      <w:r w:rsidR="003648F0">
        <w:rPr>
          <w:szCs w:val="22"/>
        </w:rPr>
        <w:t xml:space="preserve"> </w:t>
      </w:r>
      <w:r w:rsidR="0063489E">
        <w:rPr>
          <w:szCs w:val="22"/>
        </w:rPr>
        <w:t>za roky 2014 až 2016 ověřil</w:t>
      </w:r>
      <w:r w:rsidRPr="00B80786">
        <w:rPr>
          <w:szCs w:val="22"/>
        </w:rPr>
        <w:t xml:space="preserve"> způsob jejich pořizování. K</w:t>
      </w:r>
      <w:r w:rsidRPr="00B80786">
        <w:rPr>
          <w:rFonts w:cstheme="minorHAnsi"/>
        </w:rPr>
        <w:t xml:space="preserve">ontrolní vzorek </w:t>
      </w:r>
      <w:r w:rsidRPr="008D515E">
        <w:rPr>
          <w:rFonts w:cstheme="minorHAnsi"/>
        </w:rPr>
        <w:t xml:space="preserve">vybraných 16 </w:t>
      </w:r>
      <w:r w:rsidR="00B92057">
        <w:rPr>
          <w:rFonts w:cstheme="minorHAnsi"/>
        </w:rPr>
        <w:t xml:space="preserve">druhů </w:t>
      </w:r>
      <w:proofErr w:type="spellStart"/>
      <w:r w:rsidRPr="008D515E">
        <w:rPr>
          <w:rFonts w:cstheme="minorHAnsi"/>
        </w:rPr>
        <w:t>centrových</w:t>
      </w:r>
      <w:proofErr w:type="spellEnd"/>
      <w:r w:rsidRPr="008D515E">
        <w:rPr>
          <w:rFonts w:cstheme="minorHAnsi"/>
        </w:rPr>
        <w:t xml:space="preserve"> léků byl v celkové hodnotě </w:t>
      </w:r>
      <w:r w:rsidRPr="00550706">
        <w:rPr>
          <w:rFonts w:cstheme="minorHAnsi"/>
        </w:rPr>
        <w:t>9</w:t>
      </w:r>
      <w:r w:rsidR="00550706" w:rsidRPr="00550706">
        <w:rPr>
          <w:rFonts w:cstheme="minorHAnsi"/>
        </w:rPr>
        <w:t>4 180 832,88</w:t>
      </w:r>
      <w:r w:rsidRPr="00550706">
        <w:rPr>
          <w:rFonts w:cstheme="minorHAnsi"/>
        </w:rPr>
        <w:t xml:space="preserve"> Kč vč. DPH.</w:t>
      </w:r>
      <w:r w:rsidRPr="008D515E">
        <w:rPr>
          <w:rFonts w:cstheme="minorHAnsi"/>
        </w:rPr>
        <w:t xml:space="preserve"> Kontrolní vzorek 19 </w:t>
      </w:r>
      <w:r w:rsidR="00B92057">
        <w:rPr>
          <w:rFonts w:cstheme="minorHAnsi"/>
        </w:rPr>
        <w:t xml:space="preserve">druhů </w:t>
      </w:r>
      <w:r w:rsidRPr="008D515E">
        <w:rPr>
          <w:rFonts w:cstheme="minorHAnsi"/>
        </w:rPr>
        <w:t>vybraných léčiv ze skupiny</w:t>
      </w:r>
      <w:r w:rsidRPr="00B80786">
        <w:rPr>
          <w:rFonts w:cstheme="minorHAnsi"/>
        </w:rPr>
        <w:t xml:space="preserve"> ATC</w:t>
      </w:r>
      <w:r w:rsidR="00481090">
        <w:rPr>
          <w:rFonts w:cstheme="minorHAnsi"/>
        </w:rPr>
        <w:t xml:space="preserve"> – </w:t>
      </w:r>
      <w:r w:rsidRPr="00B80786">
        <w:rPr>
          <w:rFonts w:cstheme="minorHAnsi"/>
        </w:rPr>
        <w:t>J</w:t>
      </w:r>
      <w:r w:rsidR="00B72E42">
        <w:rPr>
          <w:rFonts w:cstheme="minorHAnsi"/>
        </w:rPr>
        <w:t xml:space="preserve"> </w:t>
      </w:r>
      <w:r w:rsidR="0031664A">
        <w:rPr>
          <w:rFonts w:cstheme="minorHAnsi"/>
        </w:rPr>
        <w:t>byl v </w:t>
      </w:r>
      <w:r w:rsidRPr="00B80786">
        <w:rPr>
          <w:rFonts w:cstheme="minorHAnsi"/>
        </w:rPr>
        <w:t xml:space="preserve">celkové </w:t>
      </w:r>
      <w:r w:rsidRPr="00550706">
        <w:rPr>
          <w:rFonts w:cstheme="minorHAnsi"/>
        </w:rPr>
        <w:t>hodnotě 13</w:t>
      </w:r>
      <w:r w:rsidR="00550706" w:rsidRPr="00550706">
        <w:rPr>
          <w:rFonts w:cstheme="minorHAnsi"/>
        </w:rPr>
        <w:t> 074 428,02</w:t>
      </w:r>
      <w:r w:rsidRPr="00550706">
        <w:rPr>
          <w:rFonts w:cstheme="minorHAnsi"/>
        </w:rPr>
        <w:t xml:space="preserve"> Kč vč. DPH. Způsob</w:t>
      </w:r>
      <w:r w:rsidRPr="00B80786">
        <w:rPr>
          <w:rFonts w:cstheme="minorHAnsi"/>
        </w:rPr>
        <w:t xml:space="preserve"> jejich pořízení je uveden v následující tabulce</w:t>
      </w:r>
      <w:r w:rsidR="00F2433A">
        <w:rPr>
          <w:rFonts w:cstheme="minorHAnsi"/>
        </w:rPr>
        <w:t>:</w:t>
      </w:r>
    </w:p>
    <w:p w14:paraId="57EF9799" w14:textId="25ED24B3" w:rsidR="00CF25F1" w:rsidRPr="00CE292C" w:rsidRDefault="00C465C8" w:rsidP="008A1604">
      <w:pPr>
        <w:shd w:val="clear" w:color="auto" w:fill="FFFFFF"/>
        <w:spacing w:before="120" w:after="40"/>
        <w:rPr>
          <w:rFonts w:cstheme="minorHAnsi"/>
          <w:b/>
        </w:rPr>
      </w:pPr>
      <w:r w:rsidRPr="00CE292C">
        <w:rPr>
          <w:rFonts w:cstheme="minorHAnsi"/>
          <w:b/>
        </w:rPr>
        <w:t>Tabulka č. 8</w:t>
      </w:r>
      <w:r w:rsidR="00CF25F1" w:rsidRPr="00CE292C">
        <w:rPr>
          <w:rFonts w:cstheme="minorHAnsi"/>
          <w:b/>
        </w:rPr>
        <w:t xml:space="preserve">: Veřejné zakázky na </w:t>
      </w:r>
      <w:r w:rsidR="00BF05EB" w:rsidRPr="00CE292C">
        <w:rPr>
          <w:rFonts w:cstheme="minorHAnsi"/>
          <w:b/>
        </w:rPr>
        <w:t>léčiva</w:t>
      </w:r>
      <w:r w:rsidR="004D03C8" w:rsidRPr="00CE292C">
        <w:rPr>
          <w:rFonts w:cstheme="minorHAnsi"/>
          <w:b/>
        </w:rPr>
        <w:t xml:space="preserve"> na </w:t>
      </w:r>
      <w:r w:rsidR="0079299D" w:rsidRPr="00CE292C">
        <w:rPr>
          <w:rFonts w:cstheme="minorHAnsi"/>
          <w:b/>
        </w:rPr>
        <w:t xml:space="preserve">shodném </w:t>
      </w:r>
      <w:r w:rsidR="004D03C8" w:rsidRPr="00CE292C">
        <w:rPr>
          <w:rFonts w:cstheme="minorHAnsi"/>
          <w:b/>
        </w:rPr>
        <w:t>kontrolním vzorku</w:t>
      </w:r>
    </w:p>
    <w:tbl>
      <w:tblPr>
        <w:tblW w:w="5000" w:type="pct"/>
        <w:tblCellMar>
          <w:left w:w="0" w:type="dxa"/>
          <w:right w:w="0" w:type="dxa"/>
        </w:tblCellMar>
        <w:tblLook w:val="04A0" w:firstRow="1" w:lastRow="0" w:firstColumn="1" w:lastColumn="0" w:noHBand="0" w:noVBand="1"/>
      </w:tblPr>
      <w:tblGrid>
        <w:gridCol w:w="1603"/>
        <w:gridCol w:w="1937"/>
        <w:gridCol w:w="2267"/>
        <w:gridCol w:w="2410"/>
        <w:gridCol w:w="845"/>
      </w:tblGrid>
      <w:tr w:rsidR="00CF25F1" w:rsidRPr="00CE292C" w14:paraId="468CE814" w14:textId="77777777" w:rsidTr="00CE292C">
        <w:trPr>
          <w:trHeight w:val="283"/>
        </w:trPr>
        <w:tc>
          <w:tcPr>
            <w:tcW w:w="884" w:type="pct"/>
            <w:tcBorders>
              <w:top w:val="single" w:sz="4" w:space="0" w:color="auto"/>
              <w:left w:val="single" w:sz="4" w:space="0" w:color="auto"/>
              <w:bottom w:val="single" w:sz="4" w:space="0" w:color="auto"/>
              <w:right w:val="single" w:sz="4" w:space="0" w:color="auto"/>
            </w:tcBorders>
            <w:shd w:val="clear" w:color="auto" w:fill="E5F1FF"/>
            <w:noWrap/>
            <w:tcMar>
              <w:top w:w="15" w:type="dxa"/>
              <w:left w:w="15" w:type="dxa"/>
              <w:bottom w:w="0" w:type="dxa"/>
              <w:right w:w="15" w:type="dxa"/>
            </w:tcMar>
            <w:vAlign w:val="center"/>
            <w:hideMark/>
          </w:tcPr>
          <w:p w14:paraId="1D97AFC3" w14:textId="77777777" w:rsidR="00CF25F1" w:rsidRPr="00CE292C" w:rsidRDefault="00CF25F1" w:rsidP="00CE292C">
            <w:pPr>
              <w:jc w:val="center"/>
              <w:rPr>
                <w:rFonts w:ascii="Calibri" w:hAnsi="Calibri" w:cs="Calibri"/>
                <w:b/>
                <w:bCs/>
                <w:color w:val="000000"/>
                <w:sz w:val="20"/>
              </w:rPr>
            </w:pPr>
            <w:r w:rsidRPr="00CE292C">
              <w:rPr>
                <w:rFonts w:ascii="Calibri" w:hAnsi="Calibri" w:cs="Calibri"/>
                <w:b/>
                <w:bCs/>
                <w:color w:val="000000"/>
                <w:sz w:val="20"/>
              </w:rPr>
              <w:t>Název nemocnice</w:t>
            </w:r>
          </w:p>
        </w:tc>
        <w:tc>
          <w:tcPr>
            <w:tcW w:w="1068" w:type="pct"/>
            <w:tcBorders>
              <w:top w:val="single" w:sz="4" w:space="0" w:color="auto"/>
              <w:left w:val="nil"/>
              <w:bottom w:val="single" w:sz="4" w:space="0" w:color="auto"/>
              <w:right w:val="single" w:sz="4" w:space="0" w:color="auto"/>
            </w:tcBorders>
            <w:shd w:val="clear" w:color="auto" w:fill="E5F1FF"/>
            <w:noWrap/>
            <w:tcMar>
              <w:top w:w="15" w:type="dxa"/>
              <w:left w:w="15" w:type="dxa"/>
              <w:bottom w:w="0" w:type="dxa"/>
              <w:right w:w="15" w:type="dxa"/>
            </w:tcMar>
            <w:vAlign w:val="center"/>
            <w:hideMark/>
          </w:tcPr>
          <w:p w14:paraId="5F3E83E2" w14:textId="77777777" w:rsidR="00CF25F1" w:rsidRPr="00CE292C" w:rsidRDefault="00CF25F1" w:rsidP="00CE292C">
            <w:pPr>
              <w:jc w:val="center"/>
              <w:rPr>
                <w:rFonts w:ascii="Calibri" w:hAnsi="Calibri" w:cs="Calibri"/>
                <w:b/>
                <w:bCs/>
                <w:color w:val="000000"/>
                <w:sz w:val="20"/>
              </w:rPr>
            </w:pPr>
            <w:r w:rsidRPr="00CE292C">
              <w:rPr>
                <w:rFonts w:ascii="Calibri" w:hAnsi="Calibri" w:cs="Calibri"/>
                <w:b/>
                <w:bCs/>
                <w:color w:val="000000"/>
                <w:sz w:val="20"/>
              </w:rPr>
              <w:t>Kontrolované položky</w:t>
            </w:r>
          </w:p>
        </w:tc>
        <w:tc>
          <w:tcPr>
            <w:tcW w:w="1251" w:type="pct"/>
            <w:tcBorders>
              <w:top w:val="single" w:sz="4" w:space="0" w:color="auto"/>
              <w:left w:val="nil"/>
              <w:bottom w:val="single" w:sz="4" w:space="0" w:color="auto"/>
              <w:right w:val="single" w:sz="4" w:space="0" w:color="auto"/>
            </w:tcBorders>
            <w:shd w:val="clear" w:color="auto" w:fill="E5F1FF"/>
            <w:noWrap/>
            <w:tcMar>
              <w:top w:w="15" w:type="dxa"/>
              <w:left w:w="15" w:type="dxa"/>
              <w:bottom w:w="0" w:type="dxa"/>
              <w:right w:w="15" w:type="dxa"/>
            </w:tcMar>
            <w:vAlign w:val="center"/>
            <w:hideMark/>
          </w:tcPr>
          <w:p w14:paraId="7C567035" w14:textId="77777777" w:rsidR="00CF25F1" w:rsidRPr="00CE292C" w:rsidRDefault="00CF25F1" w:rsidP="00CE292C">
            <w:pPr>
              <w:jc w:val="center"/>
              <w:rPr>
                <w:rFonts w:ascii="Calibri" w:hAnsi="Calibri" w:cs="Calibri"/>
                <w:b/>
                <w:bCs/>
                <w:color w:val="000000"/>
                <w:sz w:val="20"/>
              </w:rPr>
            </w:pPr>
            <w:r w:rsidRPr="00CE292C">
              <w:rPr>
                <w:rFonts w:ascii="Calibri" w:hAnsi="Calibri" w:cs="Calibri"/>
                <w:b/>
                <w:bCs/>
                <w:color w:val="000000"/>
                <w:sz w:val="20"/>
              </w:rPr>
              <w:t>Kontrolovaný objem (v Kč)</w:t>
            </w:r>
          </w:p>
        </w:tc>
        <w:tc>
          <w:tcPr>
            <w:tcW w:w="1330" w:type="pct"/>
            <w:tcBorders>
              <w:top w:val="single" w:sz="4" w:space="0" w:color="auto"/>
              <w:left w:val="nil"/>
              <w:bottom w:val="single" w:sz="4" w:space="0" w:color="auto"/>
              <w:right w:val="single" w:sz="4" w:space="0" w:color="auto"/>
            </w:tcBorders>
            <w:shd w:val="clear" w:color="auto" w:fill="E5F1FF"/>
            <w:noWrap/>
            <w:tcMar>
              <w:top w:w="15" w:type="dxa"/>
              <w:left w:w="15" w:type="dxa"/>
              <w:bottom w:w="0" w:type="dxa"/>
              <w:right w:w="15" w:type="dxa"/>
            </w:tcMar>
            <w:vAlign w:val="center"/>
            <w:hideMark/>
          </w:tcPr>
          <w:p w14:paraId="1B1B8BCE" w14:textId="77777777" w:rsidR="00CF25F1" w:rsidRPr="00CE292C" w:rsidRDefault="00CF25F1" w:rsidP="00CE292C">
            <w:pPr>
              <w:jc w:val="center"/>
              <w:rPr>
                <w:rFonts w:ascii="Calibri" w:hAnsi="Calibri" w:cs="Calibri"/>
                <w:b/>
                <w:bCs/>
                <w:color w:val="000000"/>
                <w:sz w:val="20"/>
              </w:rPr>
            </w:pPr>
            <w:r w:rsidRPr="00CE292C">
              <w:rPr>
                <w:rFonts w:ascii="Calibri" w:hAnsi="Calibri" w:cs="Calibri"/>
                <w:b/>
                <w:bCs/>
                <w:color w:val="000000"/>
                <w:sz w:val="20"/>
              </w:rPr>
              <w:t>Způsob výběru dodavatele</w:t>
            </w:r>
          </w:p>
        </w:tc>
        <w:tc>
          <w:tcPr>
            <w:tcW w:w="466" w:type="pct"/>
            <w:tcBorders>
              <w:top w:val="single" w:sz="4" w:space="0" w:color="auto"/>
              <w:left w:val="nil"/>
              <w:bottom w:val="single" w:sz="4" w:space="0" w:color="auto"/>
              <w:right w:val="single" w:sz="4" w:space="0" w:color="auto"/>
            </w:tcBorders>
            <w:shd w:val="clear" w:color="auto" w:fill="E5F1FF"/>
            <w:noWrap/>
            <w:tcMar>
              <w:top w:w="15" w:type="dxa"/>
              <w:left w:w="15" w:type="dxa"/>
              <w:bottom w:w="0" w:type="dxa"/>
              <w:right w:w="15" w:type="dxa"/>
            </w:tcMar>
            <w:vAlign w:val="center"/>
            <w:hideMark/>
          </w:tcPr>
          <w:p w14:paraId="0ACF1CB4" w14:textId="77777777" w:rsidR="00CF25F1" w:rsidRPr="00CE292C" w:rsidRDefault="00CF25F1" w:rsidP="00CE292C">
            <w:pPr>
              <w:jc w:val="center"/>
              <w:rPr>
                <w:rFonts w:ascii="Calibri" w:hAnsi="Calibri" w:cs="Calibri"/>
                <w:b/>
                <w:bCs/>
                <w:color w:val="000000"/>
                <w:sz w:val="20"/>
              </w:rPr>
            </w:pPr>
            <w:r w:rsidRPr="00CE292C">
              <w:rPr>
                <w:rFonts w:ascii="Calibri" w:hAnsi="Calibri" w:cs="Calibri"/>
                <w:b/>
                <w:bCs/>
                <w:color w:val="000000"/>
                <w:sz w:val="20"/>
              </w:rPr>
              <w:t>%</w:t>
            </w:r>
          </w:p>
        </w:tc>
      </w:tr>
      <w:tr w:rsidR="00CF25F1" w:rsidRPr="00CE292C" w14:paraId="507A0431" w14:textId="77777777" w:rsidTr="00CE292C">
        <w:trPr>
          <w:trHeight w:val="244"/>
        </w:trPr>
        <w:tc>
          <w:tcPr>
            <w:tcW w:w="884" w:type="pct"/>
            <w:vMerge w:val="restart"/>
            <w:tcBorders>
              <w:top w:val="nil"/>
              <w:left w:val="single" w:sz="4" w:space="0" w:color="auto"/>
              <w:bottom w:val="single" w:sz="4" w:space="0" w:color="000000"/>
              <w:right w:val="single" w:sz="4" w:space="0" w:color="auto"/>
            </w:tcBorders>
            <w:vAlign w:val="center"/>
            <w:hideMark/>
          </w:tcPr>
          <w:p w14:paraId="003A94F7" w14:textId="123C982D" w:rsidR="00CF25F1" w:rsidRPr="00CE292C" w:rsidRDefault="003648F0" w:rsidP="00CE292C">
            <w:pPr>
              <w:jc w:val="left"/>
              <w:rPr>
                <w:rFonts w:ascii="Calibri" w:hAnsi="Calibri" w:cs="Calibri"/>
                <w:color w:val="000000"/>
                <w:sz w:val="20"/>
              </w:rPr>
            </w:pPr>
            <w:r w:rsidRPr="00CE292C">
              <w:rPr>
                <w:rFonts w:ascii="Calibri" w:hAnsi="Calibri" w:cs="Calibri"/>
                <w:color w:val="000000"/>
                <w:sz w:val="20"/>
              </w:rPr>
              <w:t>FNB</w:t>
            </w:r>
            <w:r w:rsidR="00C02A66" w:rsidRPr="00CE292C">
              <w:rPr>
                <w:rFonts w:ascii="Calibri" w:hAnsi="Calibri" w:cs="Calibri"/>
                <w:color w:val="000000"/>
                <w:sz w:val="20"/>
              </w:rPr>
              <w:t>*</w:t>
            </w:r>
          </w:p>
        </w:tc>
        <w:tc>
          <w:tcPr>
            <w:tcW w:w="106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271755C" w14:textId="77777777" w:rsidR="00CF25F1" w:rsidRPr="00CE292C" w:rsidRDefault="00CF25F1" w:rsidP="001C4A50">
            <w:pPr>
              <w:jc w:val="center"/>
              <w:rPr>
                <w:rFonts w:ascii="Calibri" w:hAnsi="Calibri" w:cs="Calibri"/>
                <w:color w:val="000000"/>
                <w:sz w:val="20"/>
              </w:rPr>
            </w:pPr>
            <w:proofErr w:type="spellStart"/>
            <w:r w:rsidRPr="00CE292C">
              <w:rPr>
                <w:rFonts w:ascii="Calibri" w:hAnsi="Calibri" w:cs="Calibri"/>
                <w:color w:val="000000"/>
                <w:sz w:val="20"/>
              </w:rPr>
              <w:t>Centrové</w:t>
            </w:r>
            <w:proofErr w:type="spellEnd"/>
            <w:r w:rsidRPr="00CE292C">
              <w:rPr>
                <w:rFonts w:ascii="Calibri" w:hAnsi="Calibri" w:cs="Calibri"/>
                <w:color w:val="000000"/>
                <w:sz w:val="20"/>
              </w:rPr>
              <w:t xml:space="preserve"> léky</w:t>
            </w:r>
          </w:p>
        </w:tc>
        <w:tc>
          <w:tcPr>
            <w:tcW w:w="125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5B03C04" w14:textId="770C5D1C" w:rsidR="00CF25F1" w:rsidRPr="00CE292C" w:rsidRDefault="008B7145" w:rsidP="00CE292C">
            <w:pPr>
              <w:ind w:right="613"/>
              <w:jc w:val="right"/>
              <w:rPr>
                <w:rFonts w:ascii="Calibri" w:hAnsi="Calibri" w:cs="Calibri"/>
                <w:color w:val="000000"/>
                <w:sz w:val="20"/>
                <w:highlight w:val="yellow"/>
              </w:rPr>
            </w:pPr>
            <w:r w:rsidRPr="00CE292C">
              <w:rPr>
                <w:rFonts w:ascii="Calibri" w:hAnsi="Calibri" w:cs="Calibri"/>
                <w:color w:val="000000"/>
                <w:sz w:val="20"/>
              </w:rPr>
              <w:t>32 999 431,70</w:t>
            </w: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B3567" w14:textId="77777777" w:rsidR="00CF25F1" w:rsidRPr="00CE292C" w:rsidRDefault="00CF25F1" w:rsidP="00CE292C">
            <w:pPr>
              <w:jc w:val="left"/>
              <w:rPr>
                <w:rFonts w:ascii="Calibri" w:hAnsi="Calibri" w:cs="Calibri"/>
                <w:color w:val="000000"/>
                <w:sz w:val="20"/>
              </w:rPr>
            </w:pPr>
            <w:r w:rsidRPr="00CE292C">
              <w:rPr>
                <w:rFonts w:ascii="Calibri" w:hAnsi="Calibri" w:cs="Calibri"/>
                <w:color w:val="000000"/>
                <w:sz w:val="20"/>
              </w:rPr>
              <w:t>Zadávací řízení</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C82FC" w14:textId="77777777" w:rsidR="00CF25F1" w:rsidRPr="00CE292C" w:rsidRDefault="00CF25F1" w:rsidP="00CE292C">
            <w:pPr>
              <w:ind w:right="57"/>
              <w:jc w:val="right"/>
              <w:rPr>
                <w:rFonts w:ascii="Calibri" w:hAnsi="Calibri" w:cs="Calibri"/>
                <w:color w:val="000000"/>
                <w:sz w:val="20"/>
              </w:rPr>
            </w:pPr>
            <w:r w:rsidRPr="00CE292C">
              <w:rPr>
                <w:rFonts w:ascii="Calibri" w:hAnsi="Calibri" w:cs="Calibri"/>
                <w:color w:val="000000"/>
                <w:sz w:val="20"/>
              </w:rPr>
              <w:t>0,00</w:t>
            </w:r>
          </w:p>
        </w:tc>
      </w:tr>
      <w:tr w:rsidR="00CF25F1" w:rsidRPr="00CE292C" w14:paraId="1C07A030" w14:textId="77777777"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14:paraId="73FFB55F" w14:textId="77777777" w:rsidR="00CF25F1" w:rsidRPr="00CE292C" w:rsidRDefault="00CF25F1" w:rsidP="00CE292C">
            <w:pPr>
              <w:jc w:val="left"/>
              <w:rPr>
                <w:rFonts w:ascii="Calibri" w:hAnsi="Calibri" w:cs="Calibri"/>
                <w:color w:val="000000"/>
                <w:sz w:val="20"/>
              </w:rPr>
            </w:pPr>
          </w:p>
        </w:tc>
        <w:tc>
          <w:tcPr>
            <w:tcW w:w="1068" w:type="pct"/>
            <w:vMerge/>
            <w:tcBorders>
              <w:top w:val="nil"/>
              <w:left w:val="single" w:sz="4" w:space="0" w:color="auto"/>
              <w:bottom w:val="single" w:sz="4" w:space="0" w:color="000000"/>
              <w:right w:val="single" w:sz="4" w:space="0" w:color="auto"/>
            </w:tcBorders>
            <w:vAlign w:val="center"/>
            <w:hideMark/>
          </w:tcPr>
          <w:p w14:paraId="33DDFB18" w14:textId="77777777" w:rsidR="00CF25F1" w:rsidRPr="00CE292C" w:rsidRDefault="00CF25F1" w:rsidP="001C4A50">
            <w:pPr>
              <w:jc w:val="center"/>
              <w:rPr>
                <w:rFonts w:ascii="Calibri" w:hAnsi="Calibri" w:cs="Calibri"/>
                <w:color w:val="000000"/>
                <w:sz w:val="20"/>
              </w:rPr>
            </w:pPr>
          </w:p>
        </w:tc>
        <w:tc>
          <w:tcPr>
            <w:tcW w:w="1251" w:type="pct"/>
            <w:vMerge/>
            <w:tcBorders>
              <w:top w:val="nil"/>
              <w:left w:val="single" w:sz="4" w:space="0" w:color="auto"/>
              <w:bottom w:val="single" w:sz="4" w:space="0" w:color="000000"/>
              <w:right w:val="single" w:sz="4" w:space="0" w:color="auto"/>
            </w:tcBorders>
            <w:vAlign w:val="center"/>
            <w:hideMark/>
          </w:tcPr>
          <w:p w14:paraId="65F68BAD" w14:textId="77777777" w:rsidR="00CF25F1" w:rsidRPr="00CE292C" w:rsidRDefault="00CF25F1" w:rsidP="00CE292C">
            <w:pPr>
              <w:ind w:right="613"/>
              <w:jc w:val="right"/>
              <w:rPr>
                <w:rFonts w:ascii="Calibri" w:hAnsi="Calibri" w:cs="Calibri"/>
                <w:color w:val="000000"/>
                <w:sz w:val="20"/>
              </w:rPr>
            </w:pP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96262" w14:textId="68742D53" w:rsidR="00CF25F1" w:rsidRPr="00CE292C" w:rsidRDefault="00CF25F1" w:rsidP="00CE292C">
            <w:pPr>
              <w:jc w:val="left"/>
              <w:rPr>
                <w:rFonts w:ascii="Calibri" w:hAnsi="Calibri" w:cs="Calibri"/>
                <w:color w:val="000000"/>
                <w:sz w:val="20"/>
              </w:rPr>
            </w:pPr>
            <w:r w:rsidRPr="00CE292C">
              <w:rPr>
                <w:rFonts w:ascii="Calibri" w:hAnsi="Calibri" w:cs="Calibri"/>
                <w:color w:val="000000"/>
                <w:sz w:val="20"/>
              </w:rPr>
              <w:t>Ostatní</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03115" w14:textId="77777777" w:rsidR="00CF25F1" w:rsidRPr="00CE292C" w:rsidRDefault="00CF25F1" w:rsidP="00CE292C">
            <w:pPr>
              <w:ind w:right="57"/>
              <w:jc w:val="right"/>
              <w:rPr>
                <w:rFonts w:ascii="Calibri" w:hAnsi="Calibri" w:cs="Calibri"/>
                <w:color w:val="000000"/>
                <w:sz w:val="20"/>
              </w:rPr>
            </w:pPr>
            <w:r w:rsidRPr="00CE292C">
              <w:rPr>
                <w:rFonts w:ascii="Calibri" w:hAnsi="Calibri" w:cs="Calibri"/>
                <w:color w:val="000000"/>
                <w:sz w:val="20"/>
              </w:rPr>
              <w:t>100,00</w:t>
            </w:r>
          </w:p>
        </w:tc>
      </w:tr>
      <w:tr w:rsidR="00CF25F1" w:rsidRPr="00CE292C" w14:paraId="6906EEF9" w14:textId="77777777"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14:paraId="6B9915B2" w14:textId="77777777" w:rsidR="00CF25F1" w:rsidRPr="00CE292C" w:rsidRDefault="00CF25F1" w:rsidP="00CE292C">
            <w:pPr>
              <w:jc w:val="left"/>
              <w:rPr>
                <w:rFonts w:ascii="Calibri" w:hAnsi="Calibri" w:cs="Calibri"/>
                <w:color w:val="000000"/>
                <w:sz w:val="20"/>
              </w:rPr>
            </w:pPr>
          </w:p>
        </w:tc>
        <w:tc>
          <w:tcPr>
            <w:tcW w:w="106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AE239B5" w14:textId="59E14171" w:rsidR="00CF25F1" w:rsidRPr="00CE292C" w:rsidRDefault="00CF25F1" w:rsidP="00481090">
            <w:pPr>
              <w:jc w:val="center"/>
              <w:rPr>
                <w:rFonts w:ascii="Calibri" w:hAnsi="Calibri" w:cs="Calibri"/>
                <w:color w:val="000000"/>
                <w:sz w:val="20"/>
              </w:rPr>
            </w:pPr>
            <w:r w:rsidRPr="00CE292C">
              <w:rPr>
                <w:rFonts w:ascii="Calibri" w:hAnsi="Calibri" w:cs="Calibri"/>
                <w:color w:val="000000"/>
                <w:sz w:val="20"/>
              </w:rPr>
              <w:t>ATC</w:t>
            </w:r>
            <w:r w:rsidR="00481090">
              <w:rPr>
                <w:rFonts w:ascii="Calibri" w:hAnsi="Calibri" w:cs="Calibri"/>
                <w:color w:val="000000"/>
                <w:sz w:val="20"/>
              </w:rPr>
              <w:t xml:space="preserve"> – </w:t>
            </w:r>
            <w:r w:rsidRPr="00CE292C">
              <w:rPr>
                <w:rFonts w:ascii="Calibri" w:hAnsi="Calibri" w:cs="Calibri"/>
                <w:color w:val="000000"/>
                <w:sz w:val="20"/>
              </w:rPr>
              <w:t>J</w:t>
            </w:r>
          </w:p>
        </w:tc>
        <w:tc>
          <w:tcPr>
            <w:tcW w:w="125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3CCD243" w14:textId="6F26371D" w:rsidR="00CF25F1" w:rsidRPr="00CE292C" w:rsidRDefault="00AD468F" w:rsidP="00CE292C">
            <w:pPr>
              <w:ind w:right="613"/>
              <w:jc w:val="right"/>
              <w:rPr>
                <w:rFonts w:ascii="Calibri" w:hAnsi="Calibri" w:cs="Calibri"/>
                <w:color w:val="000000"/>
                <w:sz w:val="20"/>
              </w:rPr>
            </w:pPr>
            <w:r w:rsidRPr="00CE292C">
              <w:rPr>
                <w:rFonts w:ascii="Calibri" w:hAnsi="Calibri" w:cs="Calibri"/>
                <w:color w:val="000000"/>
                <w:sz w:val="20"/>
              </w:rPr>
              <w:t>4 913 723,92</w:t>
            </w: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B1168" w14:textId="77777777" w:rsidR="00CF25F1" w:rsidRPr="00CE292C" w:rsidRDefault="00CF25F1" w:rsidP="00CE292C">
            <w:pPr>
              <w:jc w:val="left"/>
              <w:rPr>
                <w:rFonts w:ascii="Calibri" w:hAnsi="Calibri" w:cs="Calibri"/>
                <w:color w:val="000000"/>
                <w:sz w:val="20"/>
              </w:rPr>
            </w:pPr>
            <w:r w:rsidRPr="00CE292C">
              <w:rPr>
                <w:rFonts w:ascii="Calibri" w:hAnsi="Calibri" w:cs="Calibri"/>
                <w:color w:val="000000"/>
                <w:sz w:val="20"/>
              </w:rPr>
              <w:t>Zadávací řízení</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C79E0B" w14:textId="397524D5" w:rsidR="00CF25F1" w:rsidRPr="00CE292C" w:rsidRDefault="003D2CB1" w:rsidP="00CE292C">
            <w:pPr>
              <w:ind w:right="57"/>
              <w:jc w:val="right"/>
              <w:rPr>
                <w:rFonts w:ascii="Calibri" w:hAnsi="Calibri" w:cs="Calibri"/>
                <w:color w:val="000000"/>
                <w:sz w:val="20"/>
              </w:rPr>
            </w:pPr>
            <w:r w:rsidRPr="00CE292C">
              <w:rPr>
                <w:rFonts w:ascii="Calibri" w:hAnsi="Calibri" w:cs="Calibri"/>
                <w:color w:val="000000"/>
                <w:sz w:val="20"/>
              </w:rPr>
              <w:t>14,94</w:t>
            </w:r>
          </w:p>
        </w:tc>
      </w:tr>
      <w:tr w:rsidR="00CF25F1" w:rsidRPr="00CE292C" w14:paraId="204EECFD" w14:textId="77777777"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14:paraId="4A0AC4A3" w14:textId="77777777" w:rsidR="00CF25F1" w:rsidRPr="00CE292C" w:rsidRDefault="00CF25F1" w:rsidP="00CE292C">
            <w:pPr>
              <w:jc w:val="left"/>
              <w:rPr>
                <w:rFonts w:ascii="Calibri" w:hAnsi="Calibri" w:cs="Calibri"/>
                <w:color w:val="000000"/>
                <w:sz w:val="20"/>
              </w:rPr>
            </w:pPr>
          </w:p>
        </w:tc>
        <w:tc>
          <w:tcPr>
            <w:tcW w:w="1068" w:type="pct"/>
            <w:vMerge/>
            <w:tcBorders>
              <w:top w:val="nil"/>
              <w:left w:val="single" w:sz="4" w:space="0" w:color="auto"/>
              <w:bottom w:val="single" w:sz="4" w:space="0" w:color="000000"/>
              <w:right w:val="single" w:sz="4" w:space="0" w:color="auto"/>
            </w:tcBorders>
            <w:vAlign w:val="center"/>
            <w:hideMark/>
          </w:tcPr>
          <w:p w14:paraId="1A267690" w14:textId="77777777" w:rsidR="00CF25F1" w:rsidRPr="00CE292C" w:rsidRDefault="00CF25F1" w:rsidP="001C4A50">
            <w:pPr>
              <w:jc w:val="center"/>
              <w:rPr>
                <w:rFonts w:ascii="Calibri" w:hAnsi="Calibri" w:cs="Calibri"/>
                <w:color w:val="000000"/>
                <w:sz w:val="20"/>
              </w:rPr>
            </w:pPr>
          </w:p>
        </w:tc>
        <w:tc>
          <w:tcPr>
            <w:tcW w:w="1251" w:type="pct"/>
            <w:vMerge/>
            <w:tcBorders>
              <w:top w:val="nil"/>
              <w:left w:val="single" w:sz="4" w:space="0" w:color="auto"/>
              <w:bottom w:val="single" w:sz="4" w:space="0" w:color="000000"/>
              <w:right w:val="single" w:sz="4" w:space="0" w:color="auto"/>
            </w:tcBorders>
            <w:vAlign w:val="center"/>
            <w:hideMark/>
          </w:tcPr>
          <w:p w14:paraId="509F2184" w14:textId="77777777" w:rsidR="00CF25F1" w:rsidRPr="00CE292C" w:rsidRDefault="00CF25F1" w:rsidP="00CE292C">
            <w:pPr>
              <w:ind w:right="613"/>
              <w:jc w:val="right"/>
              <w:rPr>
                <w:rFonts w:ascii="Calibri" w:hAnsi="Calibri" w:cs="Calibri"/>
                <w:color w:val="000000"/>
                <w:sz w:val="20"/>
              </w:rPr>
            </w:pP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5AF6E" w14:textId="0FCB425D" w:rsidR="00CF25F1" w:rsidRPr="00CE292C" w:rsidRDefault="00E8617B" w:rsidP="00CE292C">
            <w:pPr>
              <w:jc w:val="left"/>
              <w:rPr>
                <w:rFonts w:ascii="Calibri" w:hAnsi="Calibri" w:cs="Calibri"/>
                <w:color w:val="000000"/>
                <w:sz w:val="20"/>
              </w:rPr>
            </w:pPr>
            <w:r w:rsidRPr="00CE292C">
              <w:rPr>
                <w:rFonts w:ascii="Calibri" w:hAnsi="Calibri" w:cs="Calibri"/>
                <w:color w:val="000000"/>
                <w:sz w:val="20"/>
              </w:rPr>
              <w:t>Ostatní</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B7C6B5" w14:textId="1629A59F" w:rsidR="00CF25F1" w:rsidRPr="00CE292C" w:rsidRDefault="00853899" w:rsidP="00CE292C">
            <w:pPr>
              <w:ind w:right="57"/>
              <w:jc w:val="right"/>
              <w:rPr>
                <w:rFonts w:ascii="Calibri" w:hAnsi="Calibri" w:cs="Calibri"/>
                <w:color w:val="000000"/>
                <w:sz w:val="20"/>
              </w:rPr>
            </w:pPr>
            <w:r w:rsidRPr="00CE292C">
              <w:rPr>
                <w:rFonts w:ascii="Calibri" w:hAnsi="Calibri" w:cs="Calibri"/>
                <w:color w:val="000000"/>
                <w:sz w:val="20"/>
              </w:rPr>
              <w:t>85,06</w:t>
            </w:r>
          </w:p>
        </w:tc>
      </w:tr>
      <w:tr w:rsidR="00CF25F1" w:rsidRPr="00CE292C" w14:paraId="3E7FCC1F" w14:textId="77777777" w:rsidTr="00CE292C">
        <w:trPr>
          <w:trHeight w:val="244"/>
        </w:trPr>
        <w:tc>
          <w:tcPr>
            <w:tcW w:w="884" w:type="pct"/>
            <w:vMerge w:val="restart"/>
            <w:tcBorders>
              <w:top w:val="nil"/>
              <w:left w:val="single" w:sz="4" w:space="0" w:color="auto"/>
              <w:bottom w:val="single" w:sz="4" w:space="0" w:color="000000"/>
              <w:right w:val="single" w:sz="4" w:space="0" w:color="auto"/>
            </w:tcBorders>
            <w:vAlign w:val="center"/>
            <w:hideMark/>
          </w:tcPr>
          <w:p w14:paraId="29DB6300" w14:textId="6014A1A4" w:rsidR="00CF25F1" w:rsidRPr="00CE292C" w:rsidRDefault="003648F0" w:rsidP="00CE292C">
            <w:pPr>
              <w:jc w:val="left"/>
              <w:rPr>
                <w:rFonts w:ascii="Calibri" w:hAnsi="Calibri" w:cs="Calibri"/>
                <w:color w:val="000000"/>
                <w:sz w:val="20"/>
              </w:rPr>
            </w:pPr>
            <w:r w:rsidRPr="00CE292C">
              <w:rPr>
                <w:rFonts w:ascii="Calibri" w:hAnsi="Calibri" w:cs="Calibri"/>
                <w:color w:val="000000"/>
                <w:sz w:val="20"/>
              </w:rPr>
              <w:t>FNM</w:t>
            </w:r>
          </w:p>
        </w:tc>
        <w:tc>
          <w:tcPr>
            <w:tcW w:w="106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071BC4F" w14:textId="77777777" w:rsidR="00CF25F1" w:rsidRPr="00CE292C" w:rsidRDefault="00CF25F1" w:rsidP="001C4A50">
            <w:pPr>
              <w:jc w:val="center"/>
              <w:rPr>
                <w:rFonts w:ascii="Calibri" w:hAnsi="Calibri" w:cs="Calibri"/>
                <w:color w:val="000000"/>
                <w:sz w:val="20"/>
              </w:rPr>
            </w:pPr>
            <w:proofErr w:type="spellStart"/>
            <w:r w:rsidRPr="00CE292C">
              <w:rPr>
                <w:rFonts w:ascii="Calibri" w:hAnsi="Calibri" w:cs="Calibri"/>
                <w:color w:val="000000"/>
                <w:sz w:val="20"/>
              </w:rPr>
              <w:t>Centrové</w:t>
            </w:r>
            <w:proofErr w:type="spellEnd"/>
            <w:r w:rsidRPr="00CE292C">
              <w:rPr>
                <w:rFonts w:ascii="Calibri" w:hAnsi="Calibri" w:cs="Calibri"/>
                <w:color w:val="000000"/>
                <w:sz w:val="20"/>
              </w:rPr>
              <w:t xml:space="preserve"> léky</w:t>
            </w:r>
          </w:p>
        </w:tc>
        <w:tc>
          <w:tcPr>
            <w:tcW w:w="125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651FD37" w14:textId="77777777" w:rsidR="00CF25F1" w:rsidRPr="00CE292C" w:rsidRDefault="00CF25F1" w:rsidP="00CE292C">
            <w:pPr>
              <w:ind w:right="613"/>
              <w:jc w:val="right"/>
              <w:rPr>
                <w:rFonts w:ascii="Calibri" w:hAnsi="Calibri" w:cs="Calibri"/>
                <w:color w:val="000000"/>
                <w:sz w:val="20"/>
              </w:rPr>
            </w:pPr>
            <w:r w:rsidRPr="00CE292C">
              <w:rPr>
                <w:rFonts w:ascii="Calibri" w:hAnsi="Calibri" w:cs="Calibri"/>
                <w:color w:val="000000"/>
                <w:sz w:val="20"/>
              </w:rPr>
              <w:t>34 370 902,07</w:t>
            </w: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BEAA5" w14:textId="77777777" w:rsidR="00CF25F1" w:rsidRPr="00CE292C" w:rsidRDefault="00CF25F1" w:rsidP="00CE292C">
            <w:pPr>
              <w:jc w:val="left"/>
              <w:rPr>
                <w:rFonts w:ascii="Calibri" w:hAnsi="Calibri" w:cs="Calibri"/>
                <w:color w:val="000000"/>
                <w:sz w:val="20"/>
              </w:rPr>
            </w:pPr>
            <w:r w:rsidRPr="00CE292C">
              <w:rPr>
                <w:rFonts w:ascii="Calibri" w:hAnsi="Calibri" w:cs="Calibri"/>
                <w:color w:val="000000"/>
                <w:sz w:val="20"/>
              </w:rPr>
              <w:t>Zadávací řízení</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5703E" w14:textId="77777777" w:rsidR="00CF25F1" w:rsidRPr="00CE292C" w:rsidRDefault="00CF25F1" w:rsidP="00CE292C">
            <w:pPr>
              <w:ind w:right="57"/>
              <w:jc w:val="right"/>
              <w:rPr>
                <w:rFonts w:ascii="Calibri" w:hAnsi="Calibri" w:cs="Calibri"/>
                <w:color w:val="000000"/>
                <w:sz w:val="20"/>
              </w:rPr>
            </w:pPr>
            <w:r w:rsidRPr="00CE292C">
              <w:rPr>
                <w:rFonts w:ascii="Calibri" w:hAnsi="Calibri" w:cs="Calibri"/>
                <w:color w:val="000000"/>
                <w:sz w:val="20"/>
              </w:rPr>
              <w:t>19,27</w:t>
            </w:r>
          </w:p>
        </w:tc>
      </w:tr>
      <w:tr w:rsidR="00CF25F1" w:rsidRPr="00CE292C" w14:paraId="3040C457" w14:textId="77777777"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14:paraId="47C693AF" w14:textId="77777777" w:rsidR="00CF25F1" w:rsidRPr="00CE292C" w:rsidRDefault="00CF25F1" w:rsidP="00CE292C">
            <w:pPr>
              <w:jc w:val="left"/>
              <w:rPr>
                <w:rFonts w:ascii="Calibri" w:hAnsi="Calibri" w:cs="Calibri"/>
                <w:color w:val="000000"/>
                <w:sz w:val="20"/>
              </w:rPr>
            </w:pPr>
          </w:p>
        </w:tc>
        <w:tc>
          <w:tcPr>
            <w:tcW w:w="1068" w:type="pct"/>
            <w:vMerge/>
            <w:tcBorders>
              <w:top w:val="nil"/>
              <w:left w:val="single" w:sz="4" w:space="0" w:color="auto"/>
              <w:bottom w:val="single" w:sz="4" w:space="0" w:color="000000"/>
              <w:right w:val="single" w:sz="4" w:space="0" w:color="auto"/>
            </w:tcBorders>
            <w:vAlign w:val="center"/>
            <w:hideMark/>
          </w:tcPr>
          <w:p w14:paraId="281C72EC" w14:textId="77777777" w:rsidR="00CF25F1" w:rsidRPr="00CE292C" w:rsidRDefault="00CF25F1" w:rsidP="001C4A50">
            <w:pPr>
              <w:jc w:val="center"/>
              <w:rPr>
                <w:rFonts w:ascii="Calibri" w:hAnsi="Calibri" w:cs="Calibri"/>
                <w:color w:val="000000"/>
                <w:sz w:val="20"/>
              </w:rPr>
            </w:pPr>
          </w:p>
        </w:tc>
        <w:tc>
          <w:tcPr>
            <w:tcW w:w="1251" w:type="pct"/>
            <w:vMerge/>
            <w:tcBorders>
              <w:top w:val="nil"/>
              <w:left w:val="single" w:sz="4" w:space="0" w:color="auto"/>
              <w:bottom w:val="single" w:sz="4" w:space="0" w:color="000000"/>
              <w:right w:val="single" w:sz="4" w:space="0" w:color="auto"/>
            </w:tcBorders>
            <w:vAlign w:val="center"/>
            <w:hideMark/>
          </w:tcPr>
          <w:p w14:paraId="6671931C" w14:textId="77777777" w:rsidR="00CF25F1" w:rsidRPr="00CE292C" w:rsidRDefault="00CF25F1" w:rsidP="00CE292C">
            <w:pPr>
              <w:ind w:right="613"/>
              <w:jc w:val="right"/>
              <w:rPr>
                <w:rFonts w:ascii="Calibri" w:hAnsi="Calibri" w:cs="Calibri"/>
                <w:color w:val="000000"/>
                <w:sz w:val="20"/>
              </w:rPr>
            </w:pP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58F09" w14:textId="708E6CD4" w:rsidR="00CF25F1" w:rsidRPr="00CE292C" w:rsidRDefault="00E8617B" w:rsidP="00CE292C">
            <w:pPr>
              <w:jc w:val="left"/>
              <w:rPr>
                <w:rFonts w:ascii="Calibri" w:hAnsi="Calibri" w:cs="Calibri"/>
                <w:color w:val="000000"/>
                <w:sz w:val="20"/>
              </w:rPr>
            </w:pPr>
            <w:r w:rsidRPr="00CE292C">
              <w:rPr>
                <w:rFonts w:ascii="Calibri" w:hAnsi="Calibri" w:cs="Calibri"/>
                <w:color w:val="000000"/>
                <w:sz w:val="20"/>
              </w:rPr>
              <w:t>Ostatní</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D1B64" w14:textId="77777777" w:rsidR="00CF25F1" w:rsidRPr="00CE292C" w:rsidRDefault="00CF25F1" w:rsidP="00CE292C">
            <w:pPr>
              <w:ind w:right="57"/>
              <w:jc w:val="right"/>
              <w:rPr>
                <w:rFonts w:ascii="Calibri" w:hAnsi="Calibri" w:cs="Calibri"/>
                <w:color w:val="000000"/>
                <w:sz w:val="20"/>
              </w:rPr>
            </w:pPr>
            <w:r w:rsidRPr="00CE292C">
              <w:rPr>
                <w:rFonts w:ascii="Calibri" w:hAnsi="Calibri" w:cs="Calibri"/>
                <w:color w:val="000000"/>
                <w:sz w:val="20"/>
              </w:rPr>
              <w:t>80,73</w:t>
            </w:r>
          </w:p>
        </w:tc>
      </w:tr>
      <w:tr w:rsidR="00CF25F1" w:rsidRPr="00CE292C" w14:paraId="45CB9C9B" w14:textId="77777777"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14:paraId="3FB8FE92" w14:textId="77777777" w:rsidR="00CF25F1" w:rsidRPr="00CE292C" w:rsidRDefault="00CF25F1" w:rsidP="00CE292C">
            <w:pPr>
              <w:jc w:val="left"/>
              <w:rPr>
                <w:rFonts w:ascii="Calibri" w:hAnsi="Calibri" w:cs="Calibri"/>
                <w:color w:val="000000"/>
                <w:sz w:val="20"/>
              </w:rPr>
            </w:pPr>
          </w:p>
        </w:tc>
        <w:tc>
          <w:tcPr>
            <w:tcW w:w="106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70AED06" w14:textId="31986764" w:rsidR="00CF25F1" w:rsidRPr="00CE292C" w:rsidRDefault="00CF25F1" w:rsidP="00481090">
            <w:pPr>
              <w:jc w:val="center"/>
              <w:rPr>
                <w:rFonts w:ascii="Calibri" w:hAnsi="Calibri" w:cs="Calibri"/>
                <w:color w:val="000000"/>
                <w:sz w:val="20"/>
              </w:rPr>
            </w:pPr>
            <w:r w:rsidRPr="00CE292C">
              <w:rPr>
                <w:rFonts w:ascii="Calibri" w:hAnsi="Calibri" w:cs="Calibri"/>
                <w:color w:val="000000"/>
                <w:sz w:val="20"/>
              </w:rPr>
              <w:t>ATC</w:t>
            </w:r>
            <w:r w:rsidR="00481090">
              <w:rPr>
                <w:rFonts w:ascii="Calibri" w:hAnsi="Calibri" w:cs="Calibri"/>
                <w:color w:val="000000"/>
                <w:sz w:val="20"/>
              </w:rPr>
              <w:t xml:space="preserve"> – </w:t>
            </w:r>
            <w:r w:rsidRPr="00CE292C">
              <w:rPr>
                <w:rFonts w:ascii="Calibri" w:hAnsi="Calibri" w:cs="Calibri"/>
                <w:color w:val="000000"/>
                <w:sz w:val="20"/>
              </w:rPr>
              <w:t>J</w:t>
            </w:r>
          </w:p>
        </w:tc>
        <w:tc>
          <w:tcPr>
            <w:tcW w:w="125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933CBAF" w14:textId="77777777" w:rsidR="00CF25F1" w:rsidRPr="00CE292C" w:rsidRDefault="00CF25F1" w:rsidP="00CE292C">
            <w:pPr>
              <w:ind w:right="613"/>
              <w:jc w:val="right"/>
              <w:rPr>
                <w:rFonts w:ascii="Calibri" w:hAnsi="Calibri" w:cs="Calibri"/>
                <w:color w:val="000000"/>
                <w:sz w:val="20"/>
              </w:rPr>
            </w:pPr>
            <w:r w:rsidRPr="00CE292C">
              <w:rPr>
                <w:rFonts w:ascii="Calibri" w:hAnsi="Calibri" w:cs="Calibri"/>
                <w:color w:val="000000"/>
                <w:sz w:val="20"/>
              </w:rPr>
              <w:t>6 609 346,30</w:t>
            </w: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9BD83" w14:textId="77777777" w:rsidR="00CF25F1" w:rsidRPr="00CE292C" w:rsidRDefault="00CF25F1" w:rsidP="00CE292C">
            <w:pPr>
              <w:jc w:val="left"/>
              <w:rPr>
                <w:rFonts w:ascii="Calibri" w:hAnsi="Calibri" w:cs="Calibri"/>
                <w:color w:val="000000"/>
                <w:sz w:val="20"/>
              </w:rPr>
            </w:pPr>
            <w:r w:rsidRPr="00CE292C">
              <w:rPr>
                <w:rFonts w:ascii="Calibri" w:hAnsi="Calibri" w:cs="Calibri"/>
                <w:color w:val="000000"/>
                <w:sz w:val="20"/>
              </w:rPr>
              <w:t>Zadávací řízení</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80243" w14:textId="77777777" w:rsidR="00CF25F1" w:rsidRPr="00CE292C" w:rsidRDefault="00CF25F1" w:rsidP="00CE292C">
            <w:pPr>
              <w:ind w:right="57"/>
              <w:jc w:val="right"/>
              <w:rPr>
                <w:rFonts w:ascii="Calibri" w:hAnsi="Calibri" w:cs="Calibri"/>
                <w:color w:val="000000"/>
                <w:sz w:val="20"/>
              </w:rPr>
            </w:pPr>
            <w:r w:rsidRPr="00CE292C">
              <w:rPr>
                <w:rFonts w:ascii="Calibri" w:hAnsi="Calibri" w:cs="Calibri"/>
                <w:color w:val="000000"/>
                <w:sz w:val="20"/>
              </w:rPr>
              <w:t>4,96</w:t>
            </w:r>
          </w:p>
        </w:tc>
      </w:tr>
      <w:tr w:rsidR="00CF25F1" w:rsidRPr="00CE292C" w14:paraId="2A6D177F" w14:textId="77777777"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14:paraId="2F43BF1A" w14:textId="77777777" w:rsidR="00CF25F1" w:rsidRPr="00CE292C" w:rsidRDefault="00CF25F1" w:rsidP="00CE292C">
            <w:pPr>
              <w:jc w:val="left"/>
              <w:rPr>
                <w:rFonts w:ascii="Calibri" w:hAnsi="Calibri" w:cs="Calibri"/>
                <w:color w:val="000000"/>
                <w:sz w:val="20"/>
              </w:rPr>
            </w:pPr>
          </w:p>
        </w:tc>
        <w:tc>
          <w:tcPr>
            <w:tcW w:w="1068" w:type="pct"/>
            <w:vMerge/>
            <w:tcBorders>
              <w:top w:val="nil"/>
              <w:left w:val="single" w:sz="4" w:space="0" w:color="auto"/>
              <w:bottom w:val="single" w:sz="4" w:space="0" w:color="000000"/>
              <w:right w:val="single" w:sz="4" w:space="0" w:color="auto"/>
            </w:tcBorders>
            <w:vAlign w:val="center"/>
            <w:hideMark/>
          </w:tcPr>
          <w:p w14:paraId="55070549" w14:textId="77777777" w:rsidR="00CF25F1" w:rsidRPr="00CE292C" w:rsidRDefault="00CF25F1" w:rsidP="001C4A50">
            <w:pPr>
              <w:jc w:val="center"/>
              <w:rPr>
                <w:rFonts w:ascii="Calibri" w:hAnsi="Calibri" w:cs="Calibri"/>
                <w:color w:val="000000"/>
                <w:sz w:val="20"/>
              </w:rPr>
            </w:pPr>
          </w:p>
        </w:tc>
        <w:tc>
          <w:tcPr>
            <w:tcW w:w="1251" w:type="pct"/>
            <w:vMerge/>
            <w:tcBorders>
              <w:top w:val="nil"/>
              <w:left w:val="single" w:sz="4" w:space="0" w:color="auto"/>
              <w:bottom w:val="single" w:sz="4" w:space="0" w:color="000000"/>
              <w:right w:val="single" w:sz="4" w:space="0" w:color="auto"/>
            </w:tcBorders>
            <w:vAlign w:val="center"/>
            <w:hideMark/>
          </w:tcPr>
          <w:p w14:paraId="0962AE3E" w14:textId="77777777" w:rsidR="00CF25F1" w:rsidRPr="00CE292C" w:rsidRDefault="00CF25F1" w:rsidP="00CE292C">
            <w:pPr>
              <w:ind w:right="613"/>
              <w:jc w:val="right"/>
              <w:rPr>
                <w:rFonts w:ascii="Calibri" w:hAnsi="Calibri" w:cs="Calibri"/>
                <w:color w:val="000000"/>
                <w:sz w:val="20"/>
              </w:rPr>
            </w:pP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34981" w14:textId="7E608F79" w:rsidR="00CF25F1" w:rsidRPr="00CE292C" w:rsidRDefault="00E8617B" w:rsidP="00CE292C">
            <w:pPr>
              <w:jc w:val="left"/>
              <w:rPr>
                <w:rFonts w:ascii="Calibri" w:hAnsi="Calibri" w:cs="Calibri"/>
                <w:color w:val="000000"/>
                <w:sz w:val="20"/>
              </w:rPr>
            </w:pPr>
            <w:r w:rsidRPr="00CE292C">
              <w:rPr>
                <w:rFonts w:ascii="Calibri" w:hAnsi="Calibri" w:cs="Calibri"/>
                <w:color w:val="000000"/>
                <w:sz w:val="20"/>
              </w:rPr>
              <w:t>Ostatní</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7B08E" w14:textId="77777777" w:rsidR="00CF25F1" w:rsidRPr="00CE292C" w:rsidRDefault="00CF25F1" w:rsidP="00CE292C">
            <w:pPr>
              <w:ind w:right="57"/>
              <w:jc w:val="right"/>
              <w:rPr>
                <w:rFonts w:ascii="Calibri" w:hAnsi="Calibri" w:cs="Calibri"/>
                <w:color w:val="000000"/>
                <w:sz w:val="20"/>
              </w:rPr>
            </w:pPr>
            <w:r w:rsidRPr="00CE292C">
              <w:rPr>
                <w:rFonts w:ascii="Calibri" w:hAnsi="Calibri" w:cs="Calibri"/>
                <w:color w:val="000000"/>
                <w:sz w:val="20"/>
              </w:rPr>
              <w:t>95,04</w:t>
            </w:r>
          </w:p>
        </w:tc>
      </w:tr>
      <w:tr w:rsidR="00CF25F1" w:rsidRPr="00CE292C" w14:paraId="2FFE92A6" w14:textId="77777777" w:rsidTr="00CE292C">
        <w:trPr>
          <w:trHeight w:val="244"/>
        </w:trPr>
        <w:tc>
          <w:tcPr>
            <w:tcW w:w="884" w:type="pct"/>
            <w:vMerge w:val="restart"/>
            <w:tcBorders>
              <w:top w:val="nil"/>
              <w:left w:val="single" w:sz="4" w:space="0" w:color="auto"/>
              <w:bottom w:val="single" w:sz="4" w:space="0" w:color="000000"/>
              <w:right w:val="single" w:sz="4" w:space="0" w:color="auto"/>
            </w:tcBorders>
            <w:vAlign w:val="center"/>
            <w:hideMark/>
          </w:tcPr>
          <w:p w14:paraId="13150E8B" w14:textId="40D27283" w:rsidR="00CF25F1" w:rsidRPr="00CE292C" w:rsidRDefault="003648F0" w:rsidP="00CE292C">
            <w:pPr>
              <w:jc w:val="left"/>
              <w:rPr>
                <w:rFonts w:ascii="Calibri" w:hAnsi="Calibri" w:cs="Calibri"/>
                <w:color w:val="000000"/>
                <w:sz w:val="20"/>
              </w:rPr>
            </w:pPr>
            <w:r w:rsidRPr="00CE292C">
              <w:rPr>
                <w:rFonts w:ascii="Calibri" w:hAnsi="Calibri" w:cs="Calibri"/>
                <w:color w:val="000000"/>
                <w:sz w:val="20"/>
              </w:rPr>
              <w:t>ÚVN</w:t>
            </w:r>
          </w:p>
        </w:tc>
        <w:tc>
          <w:tcPr>
            <w:tcW w:w="106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9DBA22B" w14:textId="77777777" w:rsidR="00CF25F1" w:rsidRPr="00CE292C" w:rsidRDefault="00CF25F1" w:rsidP="001C4A50">
            <w:pPr>
              <w:jc w:val="center"/>
              <w:rPr>
                <w:rFonts w:ascii="Calibri" w:hAnsi="Calibri" w:cs="Calibri"/>
                <w:color w:val="000000"/>
                <w:sz w:val="20"/>
              </w:rPr>
            </w:pPr>
            <w:proofErr w:type="spellStart"/>
            <w:r w:rsidRPr="00CE292C">
              <w:rPr>
                <w:rFonts w:ascii="Calibri" w:hAnsi="Calibri" w:cs="Calibri"/>
                <w:color w:val="000000"/>
                <w:sz w:val="20"/>
              </w:rPr>
              <w:t>Centrové</w:t>
            </w:r>
            <w:proofErr w:type="spellEnd"/>
            <w:r w:rsidRPr="00CE292C">
              <w:rPr>
                <w:rFonts w:ascii="Calibri" w:hAnsi="Calibri" w:cs="Calibri"/>
                <w:color w:val="000000"/>
                <w:sz w:val="20"/>
              </w:rPr>
              <w:t xml:space="preserve"> léky</w:t>
            </w:r>
          </w:p>
        </w:tc>
        <w:tc>
          <w:tcPr>
            <w:tcW w:w="125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9E923E2" w14:textId="77777777" w:rsidR="00CF25F1" w:rsidRPr="00CE292C" w:rsidRDefault="00CF25F1" w:rsidP="00CE292C">
            <w:pPr>
              <w:ind w:right="613"/>
              <w:jc w:val="right"/>
              <w:rPr>
                <w:rFonts w:ascii="Calibri" w:hAnsi="Calibri" w:cs="Calibri"/>
                <w:color w:val="000000"/>
                <w:sz w:val="20"/>
              </w:rPr>
            </w:pPr>
            <w:r w:rsidRPr="00CE292C">
              <w:rPr>
                <w:rFonts w:ascii="Calibri" w:hAnsi="Calibri" w:cs="Calibri"/>
                <w:color w:val="000000"/>
                <w:sz w:val="20"/>
              </w:rPr>
              <w:t>26 810 499,11</w:t>
            </w: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29442" w14:textId="77777777" w:rsidR="00CF25F1" w:rsidRPr="00CE292C" w:rsidRDefault="00CF25F1" w:rsidP="00CE292C">
            <w:pPr>
              <w:jc w:val="left"/>
              <w:rPr>
                <w:rFonts w:ascii="Calibri" w:hAnsi="Calibri" w:cs="Calibri"/>
                <w:color w:val="000000"/>
                <w:sz w:val="20"/>
              </w:rPr>
            </w:pPr>
            <w:r w:rsidRPr="00CE292C">
              <w:rPr>
                <w:rFonts w:ascii="Calibri" w:hAnsi="Calibri" w:cs="Calibri"/>
                <w:color w:val="000000"/>
                <w:sz w:val="20"/>
              </w:rPr>
              <w:t>Zadávací řízení</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E64D1" w14:textId="77777777" w:rsidR="00CF25F1" w:rsidRPr="00CE292C" w:rsidRDefault="00CF25F1" w:rsidP="00CE292C">
            <w:pPr>
              <w:ind w:right="57"/>
              <w:jc w:val="right"/>
              <w:rPr>
                <w:rFonts w:ascii="Calibri" w:hAnsi="Calibri" w:cs="Calibri"/>
                <w:color w:val="000000"/>
                <w:sz w:val="20"/>
              </w:rPr>
            </w:pPr>
            <w:r w:rsidRPr="00CE292C">
              <w:rPr>
                <w:rFonts w:ascii="Calibri" w:hAnsi="Calibri" w:cs="Calibri"/>
                <w:color w:val="000000"/>
                <w:sz w:val="20"/>
              </w:rPr>
              <w:t>23,86</w:t>
            </w:r>
          </w:p>
        </w:tc>
      </w:tr>
      <w:tr w:rsidR="00CF25F1" w:rsidRPr="00CE292C" w14:paraId="5CBDE975" w14:textId="77777777"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14:paraId="544CB349" w14:textId="77777777" w:rsidR="00CF25F1" w:rsidRPr="00CE292C" w:rsidRDefault="00CF25F1" w:rsidP="001C4A50">
            <w:pPr>
              <w:rPr>
                <w:rFonts w:ascii="Calibri" w:hAnsi="Calibri" w:cs="Calibri"/>
                <w:color w:val="000000"/>
                <w:sz w:val="20"/>
              </w:rPr>
            </w:pPr>
          </w:p>
        </w:tc>
        <w:tc>
          <w:tcPr>
            <w:tcW w:w="1068" w:type="pct"/>
            <w:vMerge/>
            <w:tcBorders>
              <w:top w:val="nil"/>
              <w:left w:val="single" w:sz="4" w:space="0" w:color="auto"/>
              <w:bottom w:val="single" w:sz="4" w:space="0" w:color="000000"/>
              <w:right w:val="single" w:sz="4" w:space="0" w:color="auto"/>
            </w:tcBorders>
            <w:vAlign w:val="center"/>
            <w:hideMark/>
          </w:tcPr>
          <w:p w14:paraId="1D86CE37" w14:textId="77777777" w:rsidR="00CF25F1" w:rsidRPr="00CE292C" w:rsidRDefault="00CF25F1" w:rsidP="001C4A50">
            <w:pPr>
              <w:jc w:val="center"/>
              <w:rPr>
                <w:rFonts w:ascii="Calibri" w:hAnsi="Calibri" w:cs="Calibri"/>
                <w:color w:val="000000"/>
                <w:sz w:val="20"/>
              </w:rPr>
            </w:pPr>
          </w:p>
        </w:tc>
        <w:tc>
          <w:tcPr>
            <w:tcW w:w="1251" w:type="pct"/>
            <w:vMerge/>
            <w:tcBorders>
              <w:top w:val="nil"/>
              <w:left w:val="single" w:sz="4" w:space="0" w:color="auto"/>
              <w:bottom w:val="single" w:sz="4" w:space="0" w:color="000000"/>
              <w:right w:val="single" w:sz="4" w:space="0" w:color="auto"/>
            </w:tcBorders>
            <w:vAlign w:val="center"/>
            <w:hideMark/>
          </w:tcPr>
          <w:p w14:paraId="57A1CD86" w14:textId="77777777" w:rsidR="00CF25F1" w:rsidRPr="00CE292C" w:rsidRDefault="00CF25F1" w:rsidP="00CE292C">
            <w:pPr>
              <w:ind w:right="613"/>
              <w:jc w:val="right"/>
              <w:rPr>
                <w:rFonts w:ascii="Calibri" w:hAnsi="Calibri" w:cs="Calibri"/>
                <w:color w:val="000000"/>
                <w:sz w:val="20"/>
              </w:rPr>
            </w:pP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67AB3" w14:textId="187FF0CF" w:rsidR="00CF25F1" w:rsidRPr="00CE292C" w:rsidRDefault="00E8617B" w:rsidP="00CE292C">
            <w:pPr>
              <w:jc w:val="left"/>
              <w:rPr>
                <w:rFonts w:ascii="Calibri" w:hAnsi="Calibri" w:cs="Calibri"/>
                <w:color w:val="000000"/>
                <w:sz w:val="20"/>
              </w:rPr>
            </w:pPr>
            <w:r w:rsidRPr="00CE292C">
              <w:rPr>
                <w:rFonts w:ascii="Calibri" w:hAnsi="Calibri" w:cs="Calibri"/>
                <w:color w:val="000000"/>
                <w:sz w:val="20"/>
              </w:rPr>
              <w:t>Ostatní</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E09E2" w14:textId="77777777" w:rsidR="00CF25F1" w:rsidRPr="00CE292C" w:rsidRDefault="00CF25F1" w:rsidP="00CE292C">
            <w:pPr>
              <w:ind w:right="57"/>
              <w:jc w:val="right"/>
              <w:rPr>
                <w:rFonts w:ascii="Calibri" w:hAnsi="Calibri" w:cs="Calibri"/>
                <w:color w:val="000000"/>
                <w:sz w:val="20"/>
              </w:rPr>
            </w:pPr>
            <w:r w:rsidRPr="00CE292C">
              <w:rPr>
                <w:rFonts w:ascii="Calibri" w:hAnsi="Calibri" w:cs="Calibri"/>
                <w:color w:val="000000"/>
                <w:sz w:val="20"/>
              </w:rPr>
              <w:t>76,14</w:t>
            </w:r>
          </w:p>
        </w:tc>
      </w:tr>
      <w:tr w:rsidR="00CF25F1" w:rsidRPr="00CE292C" w14:paraId="0F52BF4B" w14:textId="77777777"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14:paraId="7CB21CD8" w14:textId="77777777" w:rsidR="00CF25F1" w:rsidRPr="00CE292C" w:rsidRDefault="00CF25F1" w:rsidP="001C4A50">
            <w:pPr>
              <w:rPr>
                <w:rFonts w:ascii="Calibri" w:hAnsi="Calibri" w:cs="Calibri"/>
                <w:color w:val="000000"/>
                <w:sz w:val="20"/>
              </w:rPr>
            </w:pPr>
          </w:p>
        </w:tc>
        <w:tc>
          <w:tcPr>
            <w:tcW w:w="106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8098786" w14:textId="3EC32AEA" w:rsidR="00CF25F1" w:rsidRPr="00CE292C" w:rsidRDefault="00CF25F1" w:rsidP="00481090">
            <w:pPr>
              <w:jc w:val="center"/>
              <w:rPr>
                <w:rFonts w:ascii="Calibri" w:hAnsi="Calibri" w:cs="Calibri"/>
                <w:color w:val="000000"/>
                <w:sz w:val="20"/>
              </w:rPr>
            </w:pPr>
            <w:r w:rsidRPr="00CE292C">
              <w:rPr>
                <w:rFonts w:ascii="Calibri" w:hAnsi="Calibri" w:cs="Calibri"/>
                <w:color w:val="000000"/>
                <w:sz w:val="20"/>
              </w:rPr>
              <w:t>ATC</w:t>
            </w:r>
            <w:r w:rsidR="00481090">
              <w:rPr>
                <w:rFonts w:ascii="Calibri" w:hAnsi="Calibri" w:cs="Calibri"/>
                <w:color w:val="000000"/>
                <w:sz w:val="20"/>
              </w:rPr>
              <w:t xml:space="preserve"> – </w:t>
            </w:r>
            <w:r w:rsidRPr="00CE292C">
              <w:rPr>
                <w:rFonts w:ascii="Calibri" w:hAnsi="Calibri" w:cs="Calibri"/>
                <w:color w:val="000000"/>
                <w:sz w:val="20"/>
              </w:rPr>
              <w:t>J</w:t>
            </w:r>
          </w:p>
        </w:tc>
        <w:tc>
          <w:tcPr>
            <w:tcW w:w="125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0A0FFAB" w14:textId="77777777" w:rsidR="00CF25F1" w:rsidRPr="00CE292C" w:rsidRDefault="00CF25F1" w:rsidP="00CE292C">
            <w:pPr>
              <w:ind w:right="613"/>
              <w:jc w:val="right"/>
              <w:rPr>
                <w:rFonts w:ascii="Calibri" w:hAnsi="Calibri" w:cs="Calibri"/>
                <w:color w:val="000000"/>
                <w:sz w:val="20"/>
              </w:rPr>
            </w:pPr>
            <w:r w:rsidRPr="00CE292C">
              <w:rPr>
                <w:rFonts w:ascii="Calibri" w:hAnsi="Calibri" w:cs="Calibri"/>
                <w:color w:val="000000"/>
                <w:sz w:val="20"/>
              </w:rPr>
              <w:t>1 551 357,80</w:t>
            </w: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CEA62" w14:textId="77777777" w:rsidR="00CF25F1" w:rsidRPr="00CE292C" w:rsidRDefault="00CF25F1" w:rsidP="00CE292C">
            <w:pPr>
              <w:jc w:val="left"/>
              <w:rPr>
                <w:rFonts w:ascii="Calibri" w:hAnsi="Calibri" w:cs="Calibri"/>
                <w:color w:val="000000"/>
                <w:sz w:val="20"/>
              </w:rPr>
            </w:pPr>
            <w:r w:rsidRPr="00CE292C">
              <w:rPr>
                <w:rFonts w:ascii="Calibri" w:hAnsi="Calibri" w:cs="Calibri"/>
                <w:color w:val="000000"/>
                <w:sz w:val="20"/>
              </w:rPr>
              <w:t>Zadávací řízení</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89256" w14:textId="77777777" w:rsidR="00CF25F1" w:rsidRPr="00CE292C" w:rsidRDefault="00CF25F1" w:rsidP="00CE292C">
            <w:pPr>
              <w:ind w:right="57"/>
              <w:jc w:val="right"/>
              <w:rPr>
                <w:rFonts w:ascii="Calibri" w:hAnsi="Calibri" w:cs="Calibri"/>
                <w:color w:val="000000"/>
                <w:sz w:val="20"/>
              </w:rPr>
            </w:pPr>
            <w:r w:rsidRPr="00CE292C">
              <w:rPr>
                <w:rFonts w:ascii="Calibri" w:hAnsi="Calibri" w:cs="Calibri"/>
                <w:color w:val="000000"/>
                <w:sz w:val="20"/>
              </w:rPr>
              <w:t>29,31</w:t>
            </w:r>
          </w:p>
        </w:tc>
      </w:tr>
      <w:tr w:rsidR="00CF25F1" w:rsidRPr="00CE292C" w14:paraId="1970C970" w14:textId="77777777" w:rsidTr="00757BF0">
        <w:trPr>
          <w:trHeight w:val="244"/>
        </w:trPr>
        <w:tc>
          <w:tcPr>
            <w:tcW w:w="884" w:type="pct"/>
            <w:vMerge/>
            <w:tcBorders>
              <w:top w:val="nil"/>
              <w:left w:val="single" w:sz="4" w:space="0" w:color="auto"/>
              <w:bottom w:val="single" w:sz="4" w:space="0" w:color="auto"/>
              <w:right w:val="single" w:sz="4" w:space="0" w:color="auto"/>
            </w:tcBorders>
            <w:vAlign w:val="center"/>
            <w:hideMark/>
          </w:tcPr>
          <w:p w14:paraId="74814FBF" w14:textId="77777777" w:rsidR="00CF25F1" w:rsidRPr="00CE292C" w:rsidRDefault="00CF25F1" w:rsidP="001C4A50">
            <w:pPr>
              <w:rPr>
                <w:rFonts w:ascii="Calibri" w:hAnsi="Calibri" w:cs="Calibri"/>
                <w:color w:val="000000"/>
                <w:sz w:val="20"/>
              </w:rPr>
            </w:pPr>
          </w:p>
        </w:tc>
        <w:tc>
          <w:tcPr>
            <w:tcW w:w="1068" w:type="pct"/>
            <w:vMerge/>
            <w:tcBorders>
              <w:top w:val="nil"/>
              <w:left w:val="single" w:sz="4" w:space="0" w:color="auto"/>
              <w:bottom w:val="single" w:sz="4" w:space="0" w:color="auto"/>
              <w:right w:val="single" w:sz="4" w:space="0" w:color="auto"/>
            </w:tcBorders>
            <w:vAlign w:val="center"/>
            <w:hideMark/>
          </w:tcPr>
          <w:p w14:paraId="1FDD58BC" w14:textId="77777777" w:rsidR="00CF25F1" w:rsidRPr="00CE292C" w:rsidRDefault="00CF25F1" w:rsidP="001C4A50">
            <w:pPr>
              <w:rPr>
                <w:rFonts w:ascii="Calibri" w:hAnsi="Calibri" w:cs="Calibri"/>
                <w:color w:val="000000"/>
                <w:sz w:val="20"/>
              </w:rPr>
            </w:pPr>
          </w:p>
        </w:tc>
        <w:tc>
          <w:tcPr>
            <w:tcW w:w="1251" w:type="pct"/>
            <w:vMerge/>
            <w:tcBorders>
              <w:top w:val="nil"/>
              <w:left w:val="single" w:sz="4" w:space="0" w:color="auto"/>
              <w:bottom w:val="single" w:sz="4" w:space="0" w:color="auto"/>
              <w:right w:val="single" w:sz="4" w:space="0" w:color="auto"/>
            </w:tcBorders>
            <w:vAlign w:val="center"/>
            <w:hideMark/>
          </w:tcPr>
          <w:p w14:paraId="09A1F200" w14:textId="77777777" w:rsidR="00CF25F1" w:rsidRPr="00CE292C" w:rsidRDefault="00CF25F1" w:rsidP="001C4A50">
            <w:pPr>
              <w:rPr>
                <w:rFonts w:ascii="Calibri" w:hAnsi="Calibri" w:cs="Calibri"/>
                <w:color w:val="000000"/>
                <w:sz w:val="20"/>
              </w:rPr>
            </w:pP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DAB57" w14:textId="0534C7B6" w:rsidR="00CF25F1" w:rsidRPr="00CE292C" w:rsidRDefault="00E8617B" w:rsidP="00CE292C">
            <w:pPr>
              <w:jc w:val="left"/>
              <w:rPr>
                <w:rFonts w:ascii="Calibri" w:hAnsi="Calibri" w:cs="Calibri"/>
                <w:color w:val="000000"/>
                <w:sz w:val="20"/>
              </w:rPr>
            </w:pPr>
            <w:r w:rsidRPr="00CE292C">
              <w:rPr>
                <w:rFonts w:ascii="Calibri" w:hAnsi="Calibri" w:cs="Calibri"/>
                <w:color w:val="000000"/>
                <w:sz w:val="20"/>
              </w:rPr>
              <w:t>Ostatní</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2EB12" w14:textId="77777777" w:rsidR="00CF25F1" w:rsidRPr="00CE292C" w:rsidRDefault="00CF25F1" w:rsidP="00CE292C">
            <w:pPr>
              <w:ind w:right="57"/>
              <w:jc w:val="right"/>
              <w:rPr>
                <w:rFonts w:ascii="Calibri" w:hAnsi="Calibri" w:cs="Calibri"/>
                <w:color w:val="000000"/>
                <w:sz w:val="20"/>
              </w:rPr>
            </w:pPr>
            <w:r w:rsidRPr="00CE292C">
              <w:rPr>
                <w:rFonts w:ascii="Calibri" w:hAnsi="Calibri" w:cs="Calibri"/>
                <w:color w:val="000000"/>
                <w:sz w:val="20"/>
              </w:rPr>
              <w:t>70,69</w:t>
            </w:r>
          </w:p>
        </w:tc>
      </w:tr>
    </w:tbl>
    <w:p w14:paraId="16EC9480" w14:textId="57FF05DD" w:rsidR="00CF25F1" w:rsidRPr="00B05C2B" w:rsidRDefault="00CF25F1" w:rsidP="00B05C2B">
      <w:pPr>
        <w:pStyle w:val="Zdroj"/>
        <w:spacing w:before="40"/>
        <w:ind w:left="567" w:hanging="567"/>
        <w:rPr>
          <w:i w:val="0"/>
        </w:rPr>
      </w:pPr>
      <w:r w:rsidRPr="00B05C2B">
        <w:rPr>
          <w:b/>
          <w:i w:val="0"/>
        </w:rPr>
        <w:t>Zdroj:</w:t>
      </w:r>
      <w:r w:rsidRPr="00B05C2B">
        <w:rPr>
          <w:i w:val="0"/>
        </w:rPr>
        <w:t xml:space="preserve"> </w:t>
      </w:r>
      <w:r w:rsidR="00B05C2B">
        <w:rPr>
          <w:i w:val="0"/>
        </w:rPr>
        <w:tab/>
      </w:r>
      <w:r w:rsidR="00F2433A">
        <w:rPr>
          <w:i w:val="0"/>
        </w:rPr>
        <w:t>p</w:t>
      </w:r>
      <w:r w:rsidR="00861DAF" w:rsidRPr="00B05C2B">
        <w:rPr>
          <w:i w:val="0"/>
        </w:rPr>
        <w:t>řílohy jednotlivých kontrolních protokolů FN; s</w:t>
      </w:r>
      <w:r w:rsidR="00CF4818" w:rsidRPr="00B05C2B">
        <w:rPr>
          <w:i w:val="0"/>
        </w:rPr>
        <w:t>dělení kontrolovaných FN.</w:t>
      </w:r>
    </w:p>
    <w:p w14:paraId="2CB2474E" w14:textId="4A0B6BAE" w:rsidR="00F66A27" w:rsidRPr="00B05C2B" w:rsidRDefault="005457D9" w:rsidP="00BC20B3">
      <w:pPr>
        <w:pStyle w:val="Zdroj"/>
        <w:ind w:left="284" w:hanging="284"/>
        <w:rPr>
          <w:i w:val="0"/>
        </w:rPr>
      </w:pPr>
      <w:r w:rsidRPr="00B05C2B">
        <w:rPr>
          <w:i w:val="0"/>
        </w:rPr>
        <w:t>*</w:t>
      </w:r>
      <w:r w:rsidR="00F2433A">
        <w:rPr>
          <w:i w:val="0"/>
        </w:rPr>
        <w:t xml:space="preserve"> </w:t>
      </w:r>
      <w:r w:rsidR="00BC20B3">
        <w:rPr>
          <w:i w:val="0"/>
        </w:rPr>
        <w:tab/>
      </w:r>
      <w:r w:rsidRPr="00B05C2B">
        <w:rPr>
          <w:i w:val="0"/>
        </w:rPr>
        <w:t>V kontrolním vzorku nejsou zahrnut</w:t>
      </w:r>
      <w:r w:rsidR="00F2433A">
        <w:rPr>
          <w:i w:val="0"/>
        </w:rPr>
        <w:t>a</w:t>
      </w:r>
      <w:r w:rsidRPr="00B05C2B">
        <w:rPr>
          <w:i w:val="0"/>
        </w:rPr>
        <w:t xml:space="preserve"> t</w:t>
      </w:r>
      <w:r w:rsidR="00F2433A">
        <w:rPr>
          <w:i w:val="0"/>
        </w:rPr>
        <w:t>a</w:t>
      </w:r>
      <w:r w:rsidRPr="00B05C2B">
        <w:rPr>
          <w:i w:val="0"/>
        </w:rPr>
        <w:t xml:space="preserve"> léčiva, jejichž dodávky zajišťovalo samostatně transfuzní oddělení a</w:t>
      </w:r>
      <w:r w:rsidR="00BC20B3">
        <w:rPr>
          <w:i w:val="0"/>
        </w:rPr>
        <w:t> </w:t>
      </w:r>
      <w:r w:rsidRPr="00B05C2B">
        <w:rPr>
          <w:i w:val="0"/>
        </w:rPr>
        <w:t>banka krve</w:t>
      </w:r>
      <w:r w:rsidR="00F31C71" w:rsidRPr="00B05C2B">
        <w:rPr>
          <w:i w:val="0"/>
        </w:rPr>
        <w:t>.</w:t>
      </w:r>
    </w:p>
    <w:p w14:paraId="0D09A412" w14:textId="77777777" w:rsidR="00CF25F1" w:rsidRDefault="00CF25F1" w:rsidP="00B05C2B">
      <w:pPr>
        <w:shd w:val="clear" w:color="auto" w:fill="FFFFFF"/>
        <w:spacing w:before="120"/>
        <w:rPr>
          <w:rFonts w:cstheme="minorHAnsi"/>
        </w:rPr>
      </w:pPr>
      <w:r>
        <w:rPr>
          <w:rFonts w:cstheme="minorHAnsi"/>
        </w:rPr>
        <w:t>Z kontrolního vzorku za období 2014 až 2016 bylo zjištěno, že:</w:t>
      </w:r>
    </w:p>
    <w:p w14:paraId="6D73E3F3" w14:textId="77777777" w:rsidR="00CF25F1" w:rsidRDefault="00CF25F1" w:rsidP="00B05C2B">
      <w:pPr>
        <w:pStyle w:val="Odstavecseseznamem"/>
        <w:numPr>
          <w:ilvl w:val="0"/>
          <w:numId w:val="4"/>
        </w:numPr>
        <w:shd w:val="clear" w:color="auto" w:fill="FFFFFF"/>
        <w:ind w:left="284" w:hanging="284"/>
        <w:rPr>
          <w:rFonts w:cstheme="minorHAnsi"/>
        </w:rPr>
      </w:pPr>
      <w:proofErr w:type="spellStart"/>
      <w:r w:rsidRPr="007B3311">
        <w:rPr>
          <w:rFonts w:cstheme="minorHAnsi"/>
          <w:b/>
        </w:rPr>
        <w:t>centrové</w:t>
      </w:r>
      <w:proofErr w:type="spellEnd"/>
      <w:r w:rsidRPr="007B3311">
        <w:rPr>
          <w:rFonts w:cstheme="minorHAnsi"/>
          <w:b/>
        </w:rPr>
        <w:t xml:space="preserve"> léky</w:t>
      </w:r>
      <w:r>
        <w:rPr>
          <w:rFonts w:cstheme="minorHAnsi"/>
        </w:rPr>
        <w:t xml:space="preserve"> pořizovaly fakultní nemocnice na základě zadávacího řízení v rozmezí od 0 % do 23,86 %;</w:t>
      </w:r>
    </w:p>
    <w:p w14:paraId="11FCCC47" w14:textId="605226B3" w:rsidR="00CF25F1" w:rsidRPr="007B3311" w:rsidRDefault="00CF25F1" w:rsidP="00B05C2B">
      <w:pPr>
        <w:pStyle w:val="Odstavecseseznamem"/>
        <w:numPr>
          <w:ilvl w:val="0"/>
          <w:numId w:val="4"/>
        </w:numPr>
        <w:shd w:val="clear" w:color="auto" w:fill="FFFFFF"/>
        <w:ind w:left="284" w:hanging="284"/>
        <w:rPr>
          <w:rFonts w:cstheme="minorHAnsi"/>
        </w:rPr>
      </w:pPr>
      <w:r w:rsidRPr="007B3311">
        <w:rPr>
          <w:rFonts w:cstheme="minorHAnsi"/>
          <w:b/>
        </w:rPr>
        <w:t>léčiva skupiny ATC</w:t>
      </w:r>
      <w:r w:rsidR="00481090">
        <w:rPr>
          <w:rFonts w:cstheme="minorHAnsi"/>
          <w:b/>
        </w:rPr>
        <w:t xml:space="preserve"> – </w:t>
      </w:r>
      <w:r w:rsidRPr="007B3311">
        <w:rPr>
          <w:rFonts w:cstheme="minorHAnsi"/>
          <w:b/>
        </w:rPr>
        <w:t>J</w:t>
      </w:r>
      <w:r>
        <w:rPr>
          <w:rFonts w:cstheme="minorHAnsi"/>
        </w:rPr>
        <w:t xml:space="preserve"> pořizovaly fakultní nemocnice v rozmezí od 4,96 % do 29,31 %.</w:t>
      </w:r>
    </w:p>
    <w:p w14:paraId="2CF8A892" w14:textId="10907F6B" w:rsidR="00E45A33" w:rsidRDefault="00F52614" w:rsidP="00B05C2B">
      <w:pPr>
        <w:shd w:val="clear" w:color="auto" w:fill="FFFFFF"/>
        <w:spacing w:before="120"/>
        <w:rPr>
          <w:rFonts w:cstheme="minorHAnsi"/>
        </w:rPr>
      </w:pPr>
      <w:r w:rsidRPr="00F52614">
        <w:rPr>
          <w:rFonts w:cstheme="minorHAnsi"/>
        </w:rPr>
        <w:t>V následujícím</w:t>
      </w:r>
      <w:r w:rsidR="00E45A33" w:rsidRPr="00F52614">
        <w:rPr>
          <w:rFonts w:cstheme="minorHAnsi"/>
        </w:rPr>
        <w:t xml:space="preserve"> text</w:t>
      </w:r>
      <w:r w:rsidRPr="00F52614">
        <w:rPr>
          <w:rFonts w:cstheme="minorHAnsi"/>
        </w:rPr>
        <w:t>u jsou uvedeny</w:t>
      </w:r>
      <w:r w:rsidR="00E45A33" w:rsidRPr="00F52614">
        <w:rPr>
          <w:rFonts w:cstheme="minorHAnsi"/>
        </w:rPr>
        <w:t xml:space="preserve"> ostatní způsob</w:t>
      </w:r>
      <w:r w:rsidRPr="00F52614">
        <w:rPr>
          <w:rFonts w:cstheme="minorHAnsi"/>
        </w:rPr>
        <w:t>y</w:t>
      </w:r>
      <w:r w:rsidR="00E45A33" w:rsidRPr="00F52614">
        <w:rPr>
          <w:rFonts w:cstheme="minorHAnsi"/>
        </w:rPr>
        <w:t xml:space="preserve"> výběru dodavatelů při nákupu kontrolního vzorku léčiv.</w:t>
      </w:r>
    </w:p>
    <w:p w14:paraId="2D9D115B" w14:textId="04637F91" w:rsidR="00CF25F1" w:rsidRDefault="00CF25F1" w:rsidP="00B05C2B">
      <w:pPr>
        <w:shd w:val="clear" w:color="auto" w:fill="FFFFFF"/>
        <w:spacing w:before="120"/>
        <w:rPr>
          <w:rFonts w:cstheme="minorHAnsi"/>
        </w:rPr>
      </w:pPr>
      <w:r w:rsidRPr="008B7145">
        <w:rPr>
          <w:rFonts w:cstheme="minorHAnsi"/>
        </w:rPr>
        <w:t xml:space="preserve">FNB pořídila </w:t>
      </w:r>
      <w:r w:rsidR="005C3EB5">
        <w:rPr>
          <w:rFonts w:cstheme="minorHAnsi"/>
        </w:rPr>
        <w:t xml:space="preserve">všechny </w:t>
      </w:r>
      <w:proofErr w:type="spellStart"/>
      <w:r w:rsidR="005C3EB5">
        <w:rPr>
          <w:rFonts w:cstheme="minorHAnsi"/>
        </w:rPr>
        <w:t>centrové</w:t>
      </w:r>
      <w:proofErr w:type="spellEnd"/>
      <w:r w:rsidR="005C3EB5">
        <w:rPr>
          <w:rFonts w:cstheme="minorHAnsi"/>
        </w:rPr>
        <w:t xml:space="preserve"> léky z kontrolního vzorku bez zadávacího řízení.</w:t>
      </w:r>
      <w:r w:rsidRPr="008B7145">
        <w:rPr>
          <w:rFonts w:cstheme="minorHAnsi"/>
        </w:rPr>
        <w:t xml:space="preserve"> </w:t>
      </w:r>
      <w:r w:rsidR="005C3EB5">
        <w:rPr>
          <w:rFonts w:cstheme="minorHAnsi"/>
        </w:rPr>
        <w:t xml:space="preserve">FNB pořídila </w:t>
      </w:r>
      <w:proofErr w:type="spellStart"/>
      <w:r w:rsidR="005C3EB5">
        <w:rPr>
          <w:rFonts w:cstheme="minorHAnsi"/>
        </w:rPr>
        <w:t>centrové</w:t>
      </w:r>
      <w:proofErr w:type="spellEnd"/>
      <w:r w:rsidR="005C3EB5">
        <w:rPr>
          <w:rFonts w:cstheme="minorHAnsi"/>
        </w:rPr>
        <w:t xml:space="preserve"> léky z důvodu přímé distribuce prostřednictvím distribučních kanálů </w:t>
      </w:r>
      <w:r w:rsidR="005C3EB5" w:rsidRPr="008B7145">
        <w:rPr>
          <w:rFonts w:cstheme="minorHAnsi"/>
        </w:rPr>
        <w:t>DTP</w:t>
      </w:r>
      <w:r w:rsidR="005C3EB5" w:rsidRPr="008B7145">
        <w:rPr>
          <w:rStyle w:val="Znakapoznpodarou"/>
          <w:rFonts w:cstheme="minorHAnsi"/>
        </w:rPr>
        <w:footnoteReference w:id="30"/>
      </w:r>
      <w:r w:rsidR="005C3EB5">
        <w:rPr>
          <w:rFonts w:cstheme="minorHAnsi"/>
        </w:rPr>
        <w:t xml:space="preserve">, </w:t>
      </w:r>
      <w:r w:rsidRPr="008B7145">
        <w:rPr>
          <w:rFonts w:cstheme="minorHAnsi"/>
        </w:rPr>
        <w:t xml:space="preserve">což </w:t>
      </w:r>
      <w:r w:rsidR="008B7145" w:rsidRPr="008B7145">
        <w:rPr>
          <w:rFonts w:cstheme="minorHAnsi"/>
        </w:rPr>
        <w:t>představuje 15,93</w:t>
      </w:r>
      <w:r w:rsidRPr="008B7145">
        <w:rPr>
          <w:rFonts w:cstheme="minorHAnsi"/>
        </w:rPr>
        <w:t xml:space="preserve"> % hodnoty kontrolního vzorku</w:t>
      </w:r>
      <w:r w:rsidR="005C3EB5">
        <w:rPr>
          <w:rFonts w:cstheme="minorHAnsi"/>
        </w:rPr>
        <w:t>.</w:t>
      </w:r>
      <w:r w:rsidRPr="008B7145">
        <w:rPr>
          <w:rFonts w:cstheme="minorHAnsi"/>
        </w:rPr>
        <w:t xml:space="preserve"> Dále </w:t>
      </w:r>
      <w:r w:rsidR="005C3EB5">
        <w:rPr>
          <w:rFonts w:cstheme="minorHAnsi"/>
        </w:rPr>
        <w:t xml:space="preserve">FNB </w:t>
      </w:r>
      <w:r w:rsidRPr="008B7145">
        <w:rPr>
          <w:rFonts w:cstheme="minorHAnsi"/>
        </w:rPr>
        <w:t xml:space="preserve">pořídila </w:t>
      </w:r>
      <w:r w:rsidR="005C3EB5">
        <w:rPr>
          <w:rFonts w:cstheme="minorHAnsi"/>
        </w:rPr>
        <w:t xml:space="preserve">dodávky </w:t>
      </w:r>
      <w:proofErr w:type="spellStart"/>
      <w:r w:rsidR="005C3EB5">
        <w:rPr>
          <w:rFonts w:cstheme="minorHAnsi"/>
        </w:rPr>
        <w:t>centrových</w:t>
      </w:r>
      <w:proofErr w:type="spellEnd"/>
      <w:r w:rsidR="005C3EB5">
        <w:rPr>
          <w:rFonts w:cstheme="minorHAnsi"/>
        </w:rPr>
        <w:t xml:space="preserve"> léčiv</w:t>
      </w:r>
      <w:r w:rsidRPr="008B7145">
        <w:rPr>
          <w:rFonts w:cstheme="minorHAnsi"/>
        </w:rPr>
        <w:t xml:space="preserve"> jako pomoc</w:t>
      </w:r>
      <w:r w:rsidR="001B2407">
        <w:rPr>
          <w:rFonts w:cstheme="minorHAnsi"/>
        </w:rPr>
        <w:t>i</w:t>
      </w:r>
      <w:r w:rsidRPr="008B7145">
        <w:rPr>
          <w:rFonts w:cstheme="minorHAnsi"/>
        </w:rPr>
        <w:t xml:space="preserve"> s </w:t>
      </w:r>
      <w:proofErr w:type="spellStart"/>
      <w:r w:rsidRPr="008B7145">
        <w:rPr>
          <w:rFonts w:cstheme="minorHAnsi"/>
        </w:rPr>
        <w:t>exs</w:t>
      </w:r>
      <w:r w:rsidR="00663CB5" w:rsidRPr="008B7145">
        <w:rPr>
          <w:rFonts w:cstheme="minorHAnsi"/>
        </w:rPr>
        <w:t>pirujícím</w:t>
      </w:r>
      <w:proofErr w:type="spellEnd"/>
      <w:r w:rsidR="00663CB5" w:rsidRPr="008B7145">
        <w:rPr>
          <w:rFonts w:cstheme="minorHAnsi"/>
        </w:rPr>
        <w:t xml:space="preserve"> zbožím ve výši 0,79</w:t>
      </w:r>
      <w:r w:rsidRPr="008B7145">
        <w:rPr>
          <w:rFonts w:cstheme="minorHAnsi"/>
        </w:rPr>
        <w:t xml:space="preserve"> % hodnoty kontrolního vzorku. FNB pořídila bez zadávacího řízení jako přímé dodávky od výrobce </w:t>
      </w:r>
      <w:r w:rsidR="00663CB5" w:rsidRPr="008B7145">
        <w:rPr>
          <w:rFonts w:cstheme="minorHAnsi"/>
        </w:rPr>
        <w:t>ve v</w:t>
      </w:r>
      <w:r w:rsidR="008B7145" w:rsidRPr="008B7145">
        <w:rPr>
          <w:rFonts w:cstheme="minorHAnsi"/>
        </w:rPr>
        <w:t>ýši 37,2</w:t>
      </w:r>
      <w:r w:rsidR="00663CB5" w:rsidRPr="008B7145">
        <w:rPr>
          <w:rFonts w:cstheme="minorHAnsi"/>
        </w:rPr>
        <w:t xml:space="preserve"> % hodnoty kontrolního vzorku</w:t>
      </w:r>
      <w:r w:rsidR="001B2407">
        <w:rPr>
          <w:rFonts w:cstheme="minorHAnsi"/>
        </w:rPr>
        <w:t>,</w:t>
      </w:r>
      <w:r w:rsidR="00663CB5" w:rsidRPr="008B7145">
        <w:rPr>
          <w:rFonts w:cstheme="minorHAnsi"/>
        </w:rPr>
        <w:t xml:space="preserve"> a</w:t>
      </w:r>
      <w:r w:rsidR="00810805">
        <w:rPr>
          <w:rFonts w:cstheme="minorHAnsi"/>
        </w:rPr>
        <w:t> </w:t>
      </w:r>
      <w:r w:rsidR="00663CB5" w:rsidRPr="008B7145">
        <w:rPr>
          <w:rFonts w:cstheme="minorHAnsi"/>
        </w:rPr>
        <w:t xml:space="preserve">to </w:t>
      </w:r>
      <w:r w:rsidRPr="008B7145">
        <w:rPr>
          <w:rFonts w:cstheme="minorHAnsi"/>
        </w:rPr>
        <w:t>z důvodu,</w:t>
      </w:r>
      <w:r w:rsidR="00663CB5" w:rsidRPr="008B7145">
        <w:rPr>
          <w:rFonts w:cstheme="minorHAnsi"/>
        </w:rPr>
        <w:t xml:space="preserve"> </w:t>
      </w:r>
      <w:r w:rsidRPr="008B7145">
        <w:rPr>
          <w:rFonts w:cstheme="minorHAnsi"/>
        </w:rPr>
        <w:t xml:space="preserve">že na trhu neexistovalo </w:t>
      </w:r>
      <w:proofErr w:type="spellStart"/>
      <w:r w:rsidRPr="008B7145">
        <w:rPr>
          <w:rFonts w:cstheme="minorHAnsi"/>
        </w:rPr>
        <w:t>generikum</w:t>
      </w:r>
      <w:proofErr w:type="spellEnd"/>
      <w:r w:rsidR="001B2407">
        <w:rPr>
          <w:rFonts w:cstheme="minorHAnsi"/>
        </w:rPr>
        <w:t>,</w:t>
      </w:r>
      <w:r w:rsidR="00663CB5" w:rsidRPr="008B7145">
        <w:rPr>
          <w:rFonts w:cstheme="minorHAnsi"/>
        </w:rPr>
        <w:t xml:space="preserve"> nebo </w:t>
      </w:r>
      <w:r w:rsidRPr="008B7145">
        <w:rPr>
          <w:rFonts w:cstheme="minorHAnsi"/>
        </w:rPr>
        <w:t xml:space="preserve">FNB pořídila </w:t>
      </w:r>
      <w:r w:rsidR="00663CB5" w:rsidRPr="008B7145">
        <w:rPr>
          <w:rFonts w:cstheme="minorHAnsi"/>
        </w:rPr>
        <w:t xml:space="preserve">léčiva </w:t>
      </w:r>
      <w:r w:rsidRPr="008B7145">
        <w:rPr>
          <w:rFonts w:cstheme="minorHAnsi"/>
        </w:rPr>
        <w:t xml:space="preserve">bez zadávacího řízení </w:t>
      </w:r>
      <w:r w:rsidR="004418EA">
        <w:rPr>
          <w:rFonts w:cstheme="minorHAnsi"/>
        </w:rPr>
        <w:t xml:space="preserve">od výhradního dodavatele </w:t>
      </w:r>
      <w:r w:rsidRPr="008B7145">
        <w:rPr>
          <w:rFonts w:cstheme="minorHAnsi"/>
        </w:rPr>
        <w:t>v režimu mimořádného dovozu dle ustanovení § 16 zákona č.</w:t>
      </w:r>
      <w:r w:rsidR="00810805">
        <w:rPr>
          <w:rFonts w:cstheme="minorHAnsi"/>
        </w:rPr>
        <w:t> </w:t>
      </w:r>
      <w:r w:rsidRPr="008B7145">
        <w:rPr>
          <w:rFonts w:cstheme="minorHAnsi"/>
        </w:rPr>
        <w:t>48/1997 Sb.</w:t>
      </w:r>
      <w:r w:rsidRPr="008B7145">
        <w:rPr>
          <w:rStyle w:val="Znakapoznpodarou"/>
          <w:rFonts w:cstheme="minorHAnsi"/>
        </w:rPr>
        <w:footnoteReference w:id="31"/>
      </w:r>
      <w:r w:rsidRPr="008B7145">
        <w:rPr>
          <w:rFonts w:cstheme="minorHAnsi"/>
        </w:rPr>
        <w:t xml:space="preserve"> FNB pořídila </w:t>
      </w:r>
      <w:r w:rsidR="004418EA">
        <w:rPr>
          <w:rFonts w:cstheme="minorHAnsi"/>
        </w:rPr>
        <w:t xml:space="preserve">léčiva </w:t>
      </w:r>
      <w:r w:rsidRPr="008B7145">
        <w:rPr>
          <w:rFonts w:cstheme="minorHAnsi"/>
        </w:rPr>
        <w:t xml:space="preserve">bez zadávacího řízení dle aktuální ceny na trhu a aktuálního stavu </w:t>
      </w:r>
      <w:r w:rsidR="008B7145" w:rsidRPr="008B7145">
        <w:rPr>
          <w:rFonts w:cstheme="minorHAnsi"/>
        </w:rPr>
        <w:t>zásob v distribuci ve výši 46,08</w:t>
      </w:r>
      <w:r w:rsidR="004418EA">
        <w:rPr>
          <w:rFonts w:cstheme="minorHAnsi"/>
        </w:rPr>
        <w:t xml:space="preserve"> % hodnoty kontrolního vzorku z důvodu</w:t>
      </w:r>
      <w:r w:rsidRPr="008B7145">
        <w:rPr>
          <w:rFonts w:cstheme="minorHAnsi"/>
        </w:rPr>
        <w:t xml:space="preserve"> nespokojenosti FNB </w:t>
      </w:r>
      <w:r w:rsidR="008402F5">
        <w:rPr>
          <w:rFonts w:cstheme="minorHAnsi"/>
        </w:rPr>
        <w:t xml:space="preserve">se </w:t>
      </w:r>
      <w:r w:rsidR="004418EA">
        <w:rPr>
          <w:rFonts w:cstheme="minorHAnsi"/>
        </w:rPr>
        <w:t>zajištění</w:t>
      </w:r>
      <w:r w:rsidR="008402F5">
        <w:rPr>
          <w:rFonts w:cstheme="minorHAnsi"/>
        </w:rPr>
        <w:t>m</w:t>
      </w:r>
      <w:r w:rsidR="004418EA">
        <w:rPr>
          <w:rFonts w:cstheme="minorHAnsi"/>
        </w:rPr>
        <w:t xml:space="preserve"> dodávek</w:t>
      </w:r>
      <w:r w:rsidRPr="008B7145">
        <w:rPr>
          <w:rFonts w:cstheme="minorHAnsi"/>
        </w:rPr>
        <w:t xml:space="preserve"> od stávajícího smluvního dodavatele</w:t>
      </w:r>
      <w:r w:rsidR="004418EA">
        <w:rPr>
          <w:rFonts w:cstheme="minorHAnsi"/>
        </w:rPr>
        <w:t xml:space="preserve">, dále z důvodu </w:t>
      </w:r>
      <w:r w:rsidR="008402F5">
        <w:rPr>
          <w:rFonts w:cstheme="minorHAnsi"/>
        </w:rPr>
        <w:t>reexportu</w:t>
      </w:r>
      <w:r w:rsidR="004418EA">
        <w:rPr>
          <w:rFonts w:cstheme="minorHAnsi"/>
        </w:rPr>
        <w:t xml:space="preserve"> léčiva do zahraničí nebo z důvodu výpadku sortimentu na trhu v České republice</w:t>
      </w:r>
      <w:r w:rsidR="008B7145">
        <w:rPr>
          <w:rFonts w:cstheme="minorHAnsi"/>
        </w:rPr>
        <w:t>.</w:t>
      </w:r>
      <w:r w:rsidR="00663CB5" w:rsidRPr="008B7145">
        <w:rPr>
          <w:rFonts w:cstheme="minorHAnsi"/>
        </w:rPr>
        <w:t xml:space="preserve"> </w:t>
      </w:r>
    </w:p>
    <w:p w14:paraId="7DAF918B" w14:textId="37FFC173" w:rsidR="00CF25F1" w:rsidRDefault="00CF25F1" w:rsidP="00B05C2B">
      <w:pPr>
        <w:shd w:val="clear" w:color="auto" w:fill="FFFFFF"/>
        <w:spacing w:before="120"/>
        <w:rPr>
          <w:rFonts w:cstheme="minorHAnsi"/>
        </w:rPr>
      </w:pPr>
      <w:r>
        <w:rPr>
          <w:rFonts w:cstheme="minorHAnsi"/>
        </w:rPr>
        <w:t xml:space="preserve">FNM pořídila </w:t>
      </w:r>
      <w:proofErr w:type="spellStart"/>
      <w:r>
        <w:rPr>
          <w:rFonts w:cstheme="minorHAnsi"/>
        </w:rPr>
        <w:t>centrové</w:t>
      </w:r>
      <w:proofErr w:type="spellEnd"/>
      <w:r>
        <w:rPr>
          <w:rFonts w:cstheme="minorHAnsi"/>
        </w:rPr>
        <w:t xml:space="preserve"> léky prostřednictvím DTP kanálů ve výš</w:t>
      </w:r>
      <w:r w:rsidR="00E45A33">
        <w:rPr>
          <w:rFonts w:cstheme="minorHAnsi"/>
        </w:rPr>
        <w:t>i 21,15 % z hodnoty kontrol</w:t>
      </w:r>
      <w:r w:rsidR="000B3D9D">
        <w:rPr>
          <w:rFonts w:cstheme="minorHAnsi"/>
        </w:rPr>
        <w:t>ní</w:t>
      </w:r>
      <w:r>
        <w:rPr>
          <w:rFonts w:cstheme="minorHAnsi"/>
        </w:rPr>
        <w:t xml:space="preserve">ho vzorku. Na základě poptávkového řízení pořizovala </w:t>
      </w:r>
      <w:proofErr w:type="spellStart"/>
      <w:r>
        <w:rPr>
          <w:rFonts w:cstheme="minorHAnsi"/>
        </w:rPr>
        <w:t>centrové</w:t>
      </w:r>
      <w:proofErr w:type="spellEnd"/>
      <w:r>
        <w:rPr>
          <w:rFonts w:cstheme="minorHAnsi"/>
        </w:rPr>
        <w:t xml:space="preserve"> léky ve výši 47,69 %. Zbývající část</w:t>
      </w:r>
      <w:r w:rsidR="001B2407">
        <w:rPr>
          <w:rFonts w:cstheme="minorHAnsi"/>
        </w:rPr>
        <w:t>,</w:t>
      </w:r>
      <w:r>
        <w:rPr>
          <w:rFonts w:cstheme="minorHAnsi"/>
        </w:rPr>
        <w:t xml:space="preserve"> tj. 11,89 %</w:t>
      </w:r>
      <w:r w:rsidR="001B2407">
        <w:rPr>
          <w:rFonts w:cstheme="minorHAnsi"/>
        </w:rPr>
        <w:t>,</w:t>
      </w:r>
      <w:r>
        <w:rPr>
          <w:rFonts w:cstheme="minorHAnsi"/>
        </w:rPr>
        <w:t xml:space="preserve"> připadá na přímé dodávky od výrobce.</w:t>
      </w:r>
    </w:p>
    <w:p w14:paraId="76655211" w14:textId="3971665C" w:rsidR="00CF25F1" w:rsidRDefault="00CF25F1" w:rsidP="00B05C2B">
      <w:pPr>
        <w:spacing w:before="120"/>
        <w:rPr>
          <w:color w:val="000000"/>
          <w:spacing w:val="-2"/>
        </w:rPr>
      </w:pPr>
      <w:r w:rsidRPr="00F02159">
        <w:rPr>
          <w:color w:val="000000"/>
          <w:spacing w:val="-2"/>
        </w:rPr>
        <w:t xml:space="preserve">ÚVN pořídila </w:t>
      </w:r>
      <w:proofErr w:type="spellStart"/>
      <w:r>
        <w:rPr>
          <w:color w:val="000000"/>
          <w:spacing w:val="-2"/>
        </w:rPr>
        <w:t>centrové</w:t>
      </w:r>
      <w:proofErr w:type="spellEnd"/>
      <w:r>
        <w:rPr>
          <w:color w:val="000000"/>
          <w:spacing w:val="-2"/>
        </w:rPr>
        <w:t xml:space="preserve"> léky </w:t>
      </w:r>
      <w:r w:rsidRPr="00F02159">
        <w:rPr>
          <w:color w:val="000000"/>
          <w:spacing w:val="-2"/>
        </w:rPr>
        <w:t>bez zadávacího řízení a bez smlouvy</w:t>
      </w:r>
      <w:r>
        <w:rPr>
          <w:color w:val="000000"/>
          <w:spacing w:val="-2"/>
        </w:rPr>
        <w:t xml:space="preserve"> </w:t>
      </w:r>
      <w:r w:rsidRPr="00F02159">
        <w:rPr>
          <w:color w:val="000000"/>
          <w:spacing w:val="-2"/>
        </w:rPr>
        <w:t>z</w:t>
      </w:r>
      <w:r>
        <w:rPr>
          <w:color w:val="000000"/>
          <w:spacing w:val="-2"/>
        </w:rPr>
        <w:t> </w:t>
      </w:r>
      <w:r w:rsidRPr="00F02159">
        <w:rPr>
          <w:color w:val="000000"/>
          <w:spacing w:val="-2"/>
        </w:rPr>
        <w:t>důvodu</w:t>
      </w:r>
      <w:r>
        <w:rPr>
          <w:color w:val="000000"/>
          <w:spacing w:val="-2"/>
        </w:rPr>
        <w:t xml:space="preserve"> přímé distribuce </w:t>
      </w:r>
      <w:r w:rsidRPr="00F02159">
        <w:rPr>
          <w:color w:val="000000"/>
          <w:spacing w:val="-2"/>
        </w:rPr>
        <w:t>výrobce</w:t>
      </w:r>
      <w:r>
        <w:rPr>
          <w:color w:val="000000"/>
          <w:spacing w:val="-2"/>
        </w:rPr>
        <w:t>m do lékárny ve výši</w:t>
      </w:r>
      <w:r w:rsidRPr="00F02159">
        <w:rPr>
          <w:color w:val="000000"/>
          <w:spacing w:val="-2"/>
        </w:rPr>
        <w:t xml:space="preserve"> 51,08 %</w:t>
      </w:r>
      <w:r w:rsidR="00D1349B">
        <w:rPr>
          <w:color w:val="000000"/>
          <w:spacing w:val="-2"/>
        </w:rPr>
        <w:t xml:space="preserve"> hodnoty kontrolního vzorku</w:t>
      </w:r>
      <w:r>
        <w:rPr>
          <w:color w:val="000000"/>
          <w:spacing w:val="-2"/>
        </w:rPr>
        <w:t xml:space="preserve">. </w:t>
      </w:r>
      <w:r w:rsidRPr="00A22D62">
        <w:rPr>
          <w:color w:val="000000"/>
          <w:spacing w:val="-2"/>
        </w:rPr>
        <w:t>ÚVN pořídila</w:t>
      </w:r>
      <w:r w:rsidR="001B2407">
        <w:rPr>
          <w:color w:val="000000"/>
          <w:spacing w:val="-2"/>
        </w:rPr>
        <w:t xml:space="preserve"> </w:t>
      </w:r>
      <w:proofErr w:type="spellStart"/>
      <w:r>
        <w:rPr>
          <w:color w:val="000000"/>
          <w:spacing w:val="-2"/>
        </w:rPr>
        <w:t>centrové</w:t>
      </w:r>
      <w:proofErr w:type="spellEnd"/>
      <w:r>
        <w:rPr>
          <w:color w:val="000000"/>
          <w:spacing w:val="-2"/>
        </w:rPr>
        <w:t xml:space="preserve"> léky </w:t>
      </w:r>
      <w:r w:rsidRPr="00A22D62">
        <w:rPr>
          <w:color w:val="000000"/>
          <w:spacing w:val="-2"/>
        </w:rPr>
        <w:t>bez zadávacího řízení a bez smlouvy</w:t>
      </w:r>
      <w:r w:rsidRPr="00F02159">
        <w:rPr>
          <w:color w:val="000000"/>
          <w:spacing w:val="-2"/>
        </w:rPr>
        <w:t xml:space="preserve"> </w:t>
      </w:r>
      <w:r>
        <w:rPr>
          <w:color w:val="000000"/>
          <w:spacing w:val="-2"/>
        </w:rPr>
        <w:t>z důvodu, že se jednalo o období mezi výpovědí smlouvy</w:t>
      </w:r>
      <w:r w:rsidR="00D1349B">
        <w:rPr>
          <w:color w:val="000000"/>
          <w:spacing w:val="-2"/>
        </w:rPr>
        <w:t xml:space="preserve"> </w:t>
      </w:r>
      <w:r>
        <w:rPr>
          <w:color w:val="000000"/>
          <w:spacing w:val="-2"/>
        </w:rPr>
        <w:t>a uzavřením nové smlouvy,</w:t>
      </w:r>
      <w:r w:rsidR="00D1349B">
        <w:rPr>
          <w:color w:val="000000"/>
          <w:spacing w:val="-2"/>
        </w:rPr>
        <w:t xml:space="preserve"> </w:t>
      </w:r>
      <w:r>
        <w:rPr>
          <w:color w:val="000000"/>
          <w:spacing w:val="-2"/>
        </w:rPr>
        <w:t xml:space="preserve">o jediného výrobce, o odběr dle aktuální dostupnosti </w:t>
      </w:r>
      <w:r w:rsidR="00D1349B">
        <w:rPr>
          <w:color w:val="000000"/>
          <w:spacing w:val="-2"/>
        </w:rPr>
        <w:t>a</w:t>
      </w:r>
      <w:r>
        <w:rPr>
          <w:color w:val="000000"/>
          <w:spacing w:val="-2"/>
        </w:rPr>
        <w:t> nejvýhodnější obchodní přirážky dodavatele ve výši</w:t>
      </w:r>
      <w:r w:rsidRPr="00A22D62">
        <w:rPr>
          <w:color w:val="000000"/>
          <w:spacing w:val="-2"/>
        </w:rPr>
        <w:t xml:space="preserve"> </w:t>
      </w:r>
      <w:r>
        <w:rPr>
          <w:color w:val="000000"/>
          <w:spacing w:val="-2"/>
        </w:rPr>
        <w:t>23,24</w:t>
      </w:r>
      <w:r w:rsidRPr="00A22D62">
        <w:rPr>
          <w:color w:val="000000"/>
          <w:spacing w:val="-2"/>
        </w:rPr>
        <w:t xml:space="preserve"> %</w:t>
      </w:r>
      <w:r>
        <w:rPr>
          <w:color w:val="000000"/>
          <w:spacing w:val="-2"/>
        </w:rPr>
        <w:t xml:space="preserve">. Zbývající část ve výši 1,82 % připadá na pořízení mimo platnou smlouvu </w:t>
      </w:r>
      <w:r w:rsidRPr="000B54D4">
        <w:rPr>
          <w:color w:val="000000"/>
          <w:spacing w:val="-2"/>
        </w:rPr>
        <w:t>na základě zadávacího řízení</w:t>
      </w:r>
      <w:r>
        <w:rPr>
          <w:color w:val="000000"/>
          <w:spacing w:val="-2"/>
        </w:rPr>
        <w:t>, kde</w:t>
      </w:r>
      <w:r w:rsidRPr="000B54D4">
        <w:rPr>
          <w:color w:val="000000"/>
          <w:spacing w:val="-2"/>
        </w:rPr>
        <w:t xml:space="preserve"> </w:t>
      </w:r>
      <w:r>
        <w:rPr>
          <w:color w:val="000000"/>
          <w:spacing w:val="-2"/>
        </w:rPr>
        <w:t>d</w:t>
      </w:r>
      <w:r w:rsidRPr="000B54D4">
        <w:rPr>
          <w:color w:val="000000"/>
          <w:spacing w:val="-2"/>
        </w:rPr>
        <w:t>ůvodem byl akutní požadavek a</w:t>
      </w:r>
      <w:r>
        <w:rPr>
          <w:color w:val="000000"/>
          <w:spacing w:val="-2"/>
        </w:rPr>
        <w:t> </w:t>
      </w:r>
      <w:r w:rsidRPr="000B54D4">
        <w:rPr>
          <w:color w:val="000000"/>
          <w:spacing w:val="-2"/>
        </w:rPr>
        <w:t xml:space="preserve">dodavatel neměl léčivo skladem, </w:t>
      </w:r>
      <w:r>
        <w:rPr>
          <w:color w:val="000000"/>
          <w:spacing w:val="-2"/>
        </w:rPr>
        <w:t xml:space="preserve">nebo </w:t>
      </w:r>
      <w:r w:rsidRPr="000B54D4">
        <w:rPr>
          <w:color w:val="000000"/>
          <w:spacing w:val="-2"/>
        </w:rPr>
        <w:t>dodavatel již dodával pouze novou lékovou formu.</w:t>
      </w:r>
    </w:p>
    <w:p w14:paraId="420F5D3B" w14:textId="4AA39D1C" w:rsidR="00853899" w:rsidRDefault="00CF25F1" w:rsidP="00B05C2B">
      <w:pPr>
        <w:shd w:val="clear" w:color="auto" w:fill="FFFFFF"/>
        <w:spacing w:before="120"/>
        <w:rPr>
          <w:rFonts w:cstheme="minorHAnsi"/>
        </w:rPr>
      </w:pPr>
      <w:r w:rsidRPr="00853899">
        <w:rPr>
          <w:rFonts w:cstheme="minorHAnsi"/>
        </w:rPr>
        <w:t>FNB pořídila léčiva skupiny ATC</w:t>
      </w:r>
      <w:r w:rsidR="00481090">
        <w:rPr>
          <w:rFonts w:cstheme="minorHAnsi"/>
        </w:rPr>
        <w:t xml:space="preserve"> – </w:t>
      </w:r>
      <w:r w:rsidRPr="00853899">
        <w:rPr>
          <w:rFonts w:cstheme="minorHAnsi"/>
        </w:rPr>
        <w:t xml:space="preserve">J bez zadávacího řízení na základě přímých dodávek od výrobce </w:t>
      </w:r>
      <w:r w:rsidR="00196962">
        <w:rPr>
          <w:rFonts w:cstheme="minorHAnsi"/>
        </w:rPr>
        <w:t xml:space="preserve">ve výši </w:t>
      </w:r>
      <w:r w:rsidRPr="00853899">
        <w:rPr>
          <w:rFonts w:cstheme="minorHAnsi"/>
        </w:rPr>
        <w:t>1,</w:t>
      </w:r>
      <w:r w:rsidR="00853899" w:rsidRPr="00853899">
        <w:rPr>
          <w:rFonts w:cstheme="minorHAnsi"/>
        </w:rPr>
        <w:t>90</w:t>
      </w:r>
      <w:r w:rsidRPr="00853899">
        <w:rPr>
          <w:rFonts w:cstheme="minorHAnsi"/>
        </w:rPr>
        <w:t xml:space="preserve"> %</w:t>
      </w:r>
      <w:r w:rsidR="00196962">
        <w:rPr>
          <w:rFonts w:cstheme="minorHAnsi"/>
        </w:rPr>
        <w:t xml:space="preserve"> hodnoty kontrolního vzorku z důvodu neexistence </w:t>
      </w:r>
      <w:proofErr w:type="spellStart"/>
      <w:r w:rsidR="00196962">
        <w:rPr>
          <w:rFonts w:cstheme="minorHAnsi"/>
        </w:rPr>
        <w:t>generika</w:t>
      </w:r>
      <w:proofErr w:type="spellEnd"/>
      <w:r w:rsidR="00196962">
        <w:rPr>
          <w:rFonts w:cstheme="minorHAnsi"/>
        </w:rPr>
        <w:t xml:space="preserve"> na trhu v České republice</w:t>
      </w:r>
      <w:r w:rsidRPr="00853899">
        <w:rPr>
          <w:rFonts w:cstheme="minorHAnsi"/>
        </w:rPr>
        <w:t xml:space="preserve">. FNB pořídila léčiva </w:t>
      </w:r>
      <w:r w:rsidR="00196962" w:rsidRPr="00853899">
        <w:rPr>
          <w:rFonts w:cstheme="minorHAnsi"/>
        </w:rPr>
        <w:t>bez zadávacího říze</w:t>
      </w:r>
      <w:r w:rsidR="00196962">
        <w:rPr>
          <w:rFonts w:cstheme="minorHAnsi"/>
        </w:rPr>
        <w:t xml:space="preserve">ní jako jednorázové dodávky </w:t>
      </w:r>
      <w:r w:rsidRPr="00853899">
        <w:rPr>
          <w:rFonts w:cstheme="minorHAnsi"/>
        </w:rPr>
        <w:t>dle aktuální dostupnosti a nejnižší ce</w:t>
      </w:r>
      <w:r w:rsidR="00853899" w:rsidRPr="00853899">
        <w:rPr>
          <w:rFonts w:cstheme="minorHAnsi"/>
        </w:rPr>
        <w:t>ny na trhu ve výši 16,91 %</w:t>
      </w:r>
      <w:r w:rsidR="00853899">
        <w:rPr>
          <w:rFonts w:cstheme="minorHAnsi"/>
        </w:rPr>
        <w:t xml:space="preserve"> hodnoty kontrolního vzorku</w:t>
      </w:r>
      <w:r w:rsidR="00853899" w:rsidRPr="00853899">
        <w:rPr>
          <w:rFonts w:cstheme="minorHAnsi"/>
        </w:rPr>
        <w:t xml:space="preserve">. </w:t>
      </w:r>
      <w:r w:rsidR="00853899">
        <w:rPr>
          <w:rFonts w:cstheme="minorHAnsi"/>
        </w:rPr>
        <w:t xml:space="preserve">Dále </w:t>
      </w:r>
      <w:r w:rsidR="00853899" w:rsidRPr="00853899">
        <w:rPr>
          <w:rFonts w:cstheme="minorHAnsi"/>
        </w:rPr>
        <w:t>1,21</w:t>
      </w:r>
      <w:r w:rsidRPr="00853899">
        <w:rPr>
          <w:rFonts w:cstheme="minorHAnsi"/>
        </w:rPr>
        <w:t xml:space="preserve"> % </w:t>
      </w:r>
      <w:r w:rsidR="00853899">
        <w:rPr>
          <w:rFonts w:cstheme="minorHAnsi"/>
        </w:rPr>
        <w:t xml:space="preserve">hodnoty </w:t>
      </w:r>
      <w:r w:rsidRPr="00853899">
        <w:rPr>
          <w:rFonts w:cstheme="minorHAnsi"/>
        </w:rPr>
        <w:t xml:space="preserve">kontrolního vzorku připadá </w:t>
      </w:r>
      <w:r w:rsidR="00196962">
        <w:rPr>
          <w:rFonts w:cstheme="minorHAnsi"/>
        </w:rPr>
        <w:t xml:space="preserve">na dodávky léčiva jako </w:t>
      </w:r>
      <w:r w:rsidRPr="00853899">
        <w:rPr>
          <w:rFonts w:cstheme="minorHAnsi"/>
        </w:rPr>
        <w:t>pomoc</w:t>
      </w:r>
      <w:r w:rsidR="001B2407">
        <w:rPr>
          <w:rFonts w:cstheme="minorHAnsi"/>
        </w:rPr>
        <w:t>i</w:t>
      </w:r>
      <w:r w:rsidRPr="00853899">
        <w:rPr>
          <w:rFonts w:cstheme="minorHAnsi"/>
        </w:rPr>
        <w:t xml:space="preserve"> s </w:t>
      </w:r>
      <w:proofErr w:type="spellStart"/>
      <w:r w:rsidRPr="00853899">
        <w:rPr>
          <w:rFonts w:cstheme="minorHAnsi"/>
        </w:rPr>
        <w:t>exspirujícím</w:t>
      </w:r>
      <w:proofErr w:type="spellEnd"/>
      <w:r w:rsidRPr="00853899">
        <w:rPr>
          <w:rFonts w:cstheme="minorHAnsi"/>
        </w:rPr>
        <w:t xml:space="preserve"> zbožím. FNB pořídila léčiva bez zadávacího řízení dle aktuální ceny na trhu, distribuční marže a aktuálního stavu zásob v distribuci </w:t>
      </w:r>
      <w:r w:rsidR="00853899">
        <w:rPr>
          <w:rFonts w:cstheme="minorHAnsi"/>
        </w:rPr>
        <w:t>či výpadků sortimentu</w:t>
      </w:r>
      <w:r w:rsidR="00196962">
        <w:rPr>
          <w:rFonts w:cstheme="minorHAnsi"/>
        </w:rPr>
        <w:t>, nebo z důvodu nespokojenosti FNB s dodávkami od stávajícího smluvního dodavatele vybraného v řádné soutěži</w:t>
      </w:r>
      <w:r w:rsidR="00853899">
        <w:rPr>
          <w:rFonts w:cstheme="minorHAnsi"/>
        </w:rPr>
        <w:t xml:space="preserve"> </w:t>
      </w:r>
      <w:r w:rsidRPr="00853899">
        <w:rPr>
          <w:rFonts w:cstheme="minorHAnsi"/>
        </w:rPr>
        <w:t>ve výši</w:t>
      </w:r>
      <w:r w:rsidR="00853899" w:rsidRPr="00853899">
        <w:rPr>
          <w:rFonts w:cstheme="minorHAnsi"/>
        </w:rPr>
        <w:t xml:space="preserve"> 65,04</w:t>
      </w:r>
      <w:r w:rsidRPr="00853899">
        <w:rPr>
          <w:rFonts w:cstheme="minorHAnsi"/>
        </w:rPr>
        <w:t xml:space="preserve"> % hodnoty kontrolního vzorku. </w:t>
      </w:r>
    </w:p>
    <w:p w14:paraId="2DEE8C71" w14:textId="01CF0D39" w:rsidR="00CF25F1" w:rsidRDefault="00CF25F1" w:rsidP="00B05C2B">
      <w:pPr>
        <w:shd w:val="clear" w:color="auto" w:fill="FFFFFF"/>
        <w:spacing w:before="120"/>
        <w:rPr>
          <w:rFonts w:cstheme="minorHAnsi"/>
        </w:rPr>
      </w:pPr>
      <w:r>
        <w:rPr>
          <w:rFonts w:cstheme="minorHAnsi"/>
        </w:rPr>
        <w:t>FNM pořídila léčiva skupiny ATC</w:t>
      </w:r>
      <w:r w:rsidR="00481090">
        <w:rPr>
          <w:rFonts w:cstheme="minorHAnsi"/>
        </w:rPr>
        <w:t xml:space="preserve"> – </w:t>
      </w:r>
      <w:r>
        <w:rPr>
          <w:rFonts w:cstheme="minorHAnsi"/>
        </w:rPr>
        <w:t xml:space="preserve">J prostřednictvím DTP kanálů ve výši 10,10 % </w:t>
      </w:r>
      <w:r w:rsidR="00D1349B">
        <w:rPr>
          <w:rFonts w:cstheme="minorHAnsi"/>
        </w:rPr>
        <w:t xml:space="preserve">hodnoty </w:t>
      </w:r>
      <w:r>
        <w:rPr>
          <w:rFonts w:cstheme="minorHAnsi"/>
        </w:rPr>
        <w:t>kontrol</w:t>
      </w:r>
      <w:r w:rsidR="00820B09">
        <w:rPr>
          <w:rFonts w:cstheme="minorHAnsi"/>
        </w:rPr>
        <w:t>ního</w:t>
      </w:r>
      <w:r>
        <w:rPr>
          <w:rFonts w:cstheme="minorHAnsi"/>
        </w:rPr>
        <w:t xml:space="preserve"> vzorku. Na základě poptávkového řízení pořizovala 81 % hodnoty kontrolního vzorku. Dodávky od náhradního dodavatele představovaly 1,56 % </w:t>
      </w:r>
      <w:r w:rsidR="00D1349B">
        <w:rPr>
          <w:rFonts w:cstheme="minorHAnsi"/>
        </w:rPr>
        <w:t xml:space="preserve">hodnoty </w:t>
      </w:r>
      <w:r>
        <w:rPr>
          <w:rFonts w:cstheme="minorHAnsi"/>
        </w:rPr>
        <w:t>kontrolního vzorku. Zbývající část ve výši 2,38 % připadá na přímé dodávky od výrobce.</w:t>
      </w:r>
    </w:p>
    <w:p w14:paraId="7DCC64E0" w14:textId="13913E9B" w:rsidR="00CF25F1" w:rsidRDefault="00CF25F1" w:rsidP="00B05C2B">
      <w:pPr>
        <w:spacing w:before="120"/>
        <w:rPr>
          <w:color w:val="000000"/>
          <w:spacing w:val="-2"/>
        </w:rPr>
      </w:pPr>
      <w:r w:rsidRPr="00887D59">
        <w:rPr>
          <w:color w:val="000000"/>
          <w:spacing w:val="-2"/>
        </w:rPr>
        <w:t>ÚVN pořídila léčiv</w:t>
      </w:r>
      <w:r>
        <w:rPr>
          <w:color w:val="000000"/>
          <w:spacing w:val="-2"/>
        </w:rPr>
        <w:t>a</w:t>
      </w:r>
      <w:r w:rsidRPr="00887D59">
        <w:rPr>
          <w:color w:val="000000"/>
          <w:spacing w:val="-2"/>
        </w:rPr>
        <w:t xml:space="preserve"> skupiny ATC</w:t>
      </w:r>
      <w:r w:rsidR="00481090">
        <w:rPr>
          <w:color w:val="000000"/>
          <w:spacing w:val="-2"/>
        </w:rPr>
        <w:t xml:space="preserve"> – </w:t>
      </w:r>
      <w:r w:rsidRPr="00887D59">
        <w:rPr>
          <w:color w:val="000000"/>
          <w:spacing w:val="-2"/>
        </w:rPr>
        <w:t>J bez zadá</w:t>
      </w:r>
      <w:r>
        <w:rPr>
          <w:color w:val="000000"/>
          <w:spacing w:val="-2"/>
        </w:rPr>
        <w:t>vacího řízení a bez smlouvy ve výši</w:t>
      </w:r>
      <w:r w:rsidRPr="00887D59">
        <w:rPr>
          <w:color w:val="000000"/>
          <w:spacing w:val="-2"/>
        </w:rPr>
        <w:t xml:space="preserve"> 46,19 %</w:t>
      </w:r>
      <w:r>
        <w:rPr>
          <w:color w:val="000000"/>
          <w:spacing w:val="-2"/>
        </w:rPr>
        <w:t xml:space="preserve"> </w:t>
      </w:r>
      <w:r w:rsidR="00D35D0D">
        <w:rPr>
          <w:color w:val="000000"/>
          <w:spacing w:val="-2"/>
        </w:rPr>
        <w:t xml:space="preserve">hodnoty kontrolního vzorku </w:t>
      </w:r>
      <w:r>
        <w:rPr>
          <w:color w:val="000000"/>
          <w:spacing w:val="-2"/>
        </w:rPr>
        <w:t xml:space="preserve">z důvodu, </w:t>
      </w:r>
      <w:r w:rsidRPr="00887D59">
        <w:rPr>
          <w:color w:val="000000"/>
          <w:spacing w:val="-2"/>
        </w:rPr>
        <w:t xml:space="preserve">že se jednalo o období mezi dvěma smlouvami, neúspěšné soutěžení, </w:t>
      </w:r>
      <w:r w:rsidR="00336573">
        <w:rPr>
          <w:color w:val="000000"/>
          <w:spacing w:val="-2"/>
        </w:rPr>
        <w:t>o </w:t>
      </w:r>
      <w:r w:rsidRPr="00887D59">
        <w:rPr>
          <w:color w:val="000000"/>
          <w:spacing w:val="-2"/>
        </w:rPr>
        <w:t xml:space="preserve">odběr přímo od výrobce, </w:t>
      </w:r>
      <w:r w:rsidR="00336573">
        <w:rPr>
          <w:color w:val="000000"/>
          <w:spacing w:val="-2"/>
        </w:rPr>
        <w:t>o </w:t>
      </w:r>
      <w:r w:rsidRPr="00887D59">
        <w:rPr>
          <w:color w:val="000000"/>
          <w:spacing w:val="-2"/>
        </w:rPr>
        <w:t>odběr dle aktuální dostupnosti</w:t>
      </w:r>
      <w:r>
        <w:rPr>
          <w:color w:val="000000"/>
          <w:spacing w:val="-2"/>
        </w:rPr>
        <w:t xml:space="preserve">. </w:t>
      </w:r>
      <w:r w:rsidRPr="002069FB">
        <w:rPr>
          <w:color w:val="000000"/>
          <w:spacing w:val="-2"/>
        </w:rPr>
        <w:t>ÚVN nakoupila léčiv</w:t>
      </w:r>
      <w:r>
        <w:rPr>
          <w:color w:val="000000"/>
          <w:spacing w:val="-2"/>
        </w:rPr>
        <w:t>a</w:t>
      </w:r>
      <w:r w:rsidRPr="002069FB">
        <w:rPr>
          <w:color w:val="000000"/>
          <w:spacing w:val="-2"/>
        </w:rPr>
        <w:t xml:space="preserve"> skupiny ATC</w:t>
      </w:r>
      <w:r w:rsidR="00481090">
        <w:rPr>
          <w:color w:val="000000"/>
          <w:spacing w:val="-2"/>
        </w:rPr>
        <w:t xml:space="preserve"> – </w:t>
      </w:r>
      <w:r w:rsidRPr="002069FB">
        <w:rPr>
          <w:color w:val="000000"/>
          <w:spacing w:val="-2"/>
        </w:rPr>
        <w:t xml:space="preserve">J </w:t>
      </w:r>
      <w:r>
        <w:rPr>
          <w:color w:val="000000"/>
          <w:spacing w:val="-2"/>
        </w:rPr>
        <w:t xml:space="preserve">ve výši </w:t>
      </w:r>
      <w:r w:rsidRPr="002069FB">
        <w:rPr>
          <w:color w:val="000000"/>
          <w:spacing w:val="-2"/>
        </w:rPr>
        <w:t>21 %</w:t>
      </w:r>
      <w:r w:rsidR="00336573" w:rsidRPr="00336573">
        <w:rPr>
          <w:color w:val="000000"/>
          <w:spacing w:val="-2"/>
        </w:rPr>
        <w:t xml:space="preserve"> </w:t>
      </w:r>
      <w:r w:rsidR="00336573">
        <w:rPr>
          <w:color w:val="000000"/>
          <w:spacing w:val="-2"/>
        </w:rPr>
        <w:t>hodnoty kontrolního vzorku</w:t>
      </w:r>
      <w:r w:rsidRPr="002069FB">
        <w:rPr>
          <w:color w:val="000000"/>
          <w:spacing w:val="-2"/>
        </w:rPr>
        <w:t xml:space="preserve"> mimo platnou smlouvu</w:t>
      </w:r>
      <w:r>
        <w:rPr>
          <w:color w:val="000000"/>
          <w:spacing w:val="-2"/>
        </w:rPr>
        <w:t xml:space="preserve"> z</w:t>
      </w:r>
      <w:r w:rsidRPr="002069FB">
        <w:rPr>
          <w:color w:val="000000"/>
          <w:spacing w:val="-2"/>
        </w:rPr>
        <w:t xml:space="preserve"> </w:t>
      </w:r>
      <w:r>
        <w:rPr>
          <w:color w:val="000000"/>
          <w:spacing w:val="-2"/>
        </w:rPr>
        <w:t>důvodu</w:t>
      </w:r>
      <w:r w:rsidRPr="002069FB">
        <w:rPr>
          <w:color w:val="000000"/>
          <w:spacing w:val="-2"/>
        </w:rPr>
        <w:t xml:space="preserve"> </w:t>
      </w:r>
      <w:r>
        <w:rPr>
          <w:color w:val="000000"/>
          <w:spacing w:val="-2"/>
        </w:rPr>
        <w:t>výpad</w:t>
      </w:r>
      <w:r w:rsidRPr="002069FB">
        <w:rPr>
          <w:color w:val="000000"/>
          <w:spacing w:val="-2"/>
        </w:rPr>
        <w:t>k</w:t>
      </w:r>
      <w:r>
        <w:rPr>
          <w:color w:val="000000"/>
          <w:spacing w:val="-2"/>
        </w:rPr>
        <w:t>u dodávky</w:t>
      </w:r>
      <w:r w:rsidRPr="002069FB">
        <w:rPr>
          <w:color w:val="000000"/>
          <w:spacing w:val="-2"/>
        </w:rPr>
        <w:t xml:space="preserve"> léčiva u</w:t>
      </w:r>
      <w:r w:rsidR="00810805">
        <w:rPr>
          <w:color w:val="000000"/>
          <w:spacing w:val="-2"/>
        </w:rPr>
        <w:t> </w:t>
      </w:r>
      <w:r w:rsidRPr="002069FB">
        <w:rPr>
          <w:color w:val="000000"/>
          <w:spacing w:val="-2"/>
        </w:rPr>
        <w:t>smluvního dodavatele</w:t>
      </w:r>
      <w:r>
        <w:rPr>
          <w:color w:val="000000"/>
          <w:spacing w:val="-2"/>
        </w:rPr>
        <w:t xml:space="preserve">. </w:t>
      </w:r>
      <w:r w:rsidRPr="002069FB">
        <w:rPr>
          <w:color w:val="000000"/>
          <w:spacing w:val="-2"/>
        </w:rPr>
        <w:t xml:space="preserve">Na </w:t>
      </w:r>
      <w:r>
        <w:rPr>
          <w:color w:val="000000"/>
          <w:spacing w:val="-2"/>
        </w:rPr>
        <w:t xml:space="preserve">pořízení prostřednictvím </w:t>
      </w:r>
      <w:r w:rsidRPr="002069FB">
        <w:rPr>
          <w:color w:val="000000"/>
          <w:spacing w:val="-2"/>
        </w:rPr>
        <w:t xml:space="preserve">marketingového průzkumu trhu </w:t>
      </w:r>
      <w:r>
        <w:rPr>
          <w:color w:val="000000"/>
          <w:spacing w:val="-2"/>
        </w:rPr>
        <w:t>připadá 0</w:t>
      </w:r>
      <w:r w:rsidRPr="002069FB">
        <w:rPr>
          <w:color w:val="000000"/>
          <w:spacing w:val="-2"/>
        </w:rPr>
        <w:t>,64 %</w:t>
      </w:r>
      <w:r>
        <w:rPr>
          <w:color w:val="000000"/>
          <w:spacing w:val="-2"/>
        </w:rPr>
        <w:t>. Z</w:t>
      </w:r>
      <w:r w:rsidRPr="002069FB">
        <w:rPr>
          <w:color w:val="000000"/>
          <w:spacing w:val="-2"/>
        </w:rPr>
        <w:t>bývající</w:t>
      </w:r>
      <w:r>
        <w:rPr>
          <w:color w:val="000000"/>
          <w:spacing w:val="-2"/>
        </w:rPr>
        <w:t xml:space="preserve"> </w:t>
      </w:r>
      <w:r w:rsidR="00D35D0D">
        <w:rPr>
          <w:color w:val="000000"/>
          <w:spacing w:val="-2"/>
        </w:rPr>
        <w:t xml:space="preserve">část ve výši </w:t>
      </w:r>
      <w:r>
        <w:rPr>
          <w:color w:val="000000"/>
          <w:spacing w:val="-2"/>
        </w:rPr>
        <w:t xml:space="preserve">2,86 % </w:t>
      </w:r>
      <w:r w:rsidR="006C5ABD">
        <w:rPr>
          <w:color w:val="000000"/>
          <w:spacing w:val="-2"/>
        </w:rPr>
        <w:t>připadá</w:t>
      </w:r>
      <w:r>
        <w:rPr>
          <w:color w:val="000000"/>
          <w:spacing w:val="-2"/>
        </w:rPr>
        <w:t xml:space="preserve"> na nákupy dle smlouvy. </w:t>
      </w:r>
    </w:p>
    <w:p w14:paraId="7B661AC3" w14:textId="27D3A512" w:rsidR="002F713B" w:rsidRDefault="00920186" w:rsidP="00B05C2B">
      <w:pPr>
        <w:autoSpaceDE w:val="0"/>
        <w:autoSpaceDN w:val="0"/>
        <w:adjustRightInd w:val="0"/>
        <w:spacing w:before="120"/>
        <w:rPr>
          <w:rFonts w:cs="Arial"/>
          <w:b/>
        </w:rPr>
      </w:pPr>
      <w:r w:rsidRPr="005709C2">
        <w:rPr>
          <w:rFonts w:cs="Arial"/>
          <w:b/>
        </w:rPr>
        <w:t>Na kontrolním vzorku NKÚ zjistil</w:t>
      </w:r>
      <w:r w:rsidR="00336573">
        <w:rPr>
          <w:rFonts w:cs="Arial"/>
          <w:b/>
        </w:rPr>
        <w:t>,</w:t>
      </w:r>
      <w:r w:rsidRPr="005709C2">
        <w:rPr>
          <w:rFonts w:cs="Arial"/>
          <w:b/>
        </w:rPr>
        <w:t xml:space="preserve"> že </w:t>
      </w:r>
      <w:r w:rsidR="005709C2" w:rsidRPr="005709C2">
        <w:rPr>
          <w:rFonts w:cs="Arial"/>
          <w:b/>
        </w:rPr>
        <w:t>p</w:t>
      </w:r>
      <w:r w:rsidR="002F713B" w:rsidRPr="005709C2">
        <w:rPr>
          <w:rFonts w:cs="Arial"/>
          <w:b/>
        </w:rPr>
        <w:t>odíl dodávek</w:t>
      </w:r>
      <w:r w:rsidRPr="005709C2">
        <w:rPr>
          <w:rFonts w:cs="Arial"/>
          <w:b/>
        </w:rPr>
        <w:t xml:space="preserve"> </w:t>
      </w:r>
      <w:proofErr w:type="spellStart"/>
      <w:r w:rsidRPr="005709C2">
        <w:rPr>
          <w:rFonts w:cs="Arial"/>
          <w:b/>
        </w:rPr>
        <w:t>centrových</w:t>
      </w:r>
      <w:proofErr w:type="spellEnd"/>
      <w:r w:rsidRPr="005709C2">
        <w:rPr>
          <w:rFonts w:cs="Arial"/>
          <w:b/>
        </w:rPr>
        <w:t xml:space="preserve"> léků a léčiv skupiny ATC</w:t>
      </w:r>
      <w:r w:rsidR="00481090">
        <w:rPr>
          <w:rFonts w:cs="Arial"/>
          <w:b/>
        </w:rPr>
        <w:t xml:space="preserve"> – </w:t>
      </w:r>
      <w:r w:rsidRPr="005709C2">
        <w:rPr>
          <w:rFonts w:cs="Arial"/>
          <w:b/>
        </w:rPr>
        <w:t xml:space="preserve">J </w:t>
      </w:r>
      <w:r w:rsidR="002F713B" w:rsidRPr="005709C2">
        <w:rPr>
          <w:rFonts w:cs="Arial"/>
          <w:b/>
        </w:rPr>
        <w:t>mimo zadávací řízení je značný</w:t>
      </w:r>
      <w:r w:rsidR="004748BB">
        <w:rPr>
          <w:rFonts w:cs="Arial"/>
          <w:b/>
        </w:rPr>
        <w:t xml:space="preserve">. </w:t>
      </w:r>
      <w:r w:rsidR="0044275D">
        <w:rPr>
          <w:rFonts w:cs="Arial"/>
          <w:b/>
          <w:color w:val="000000" w:themeColor="text1"/>
          <w:szCs w:val="24"/>
        </w:rPr>
        <w:t xml:space="preserve">V nízkém procentu zadávacích řízení </w:t>
      </w:r>
      <w:proofErr w:type="spellStart"/>
      <w:r w:rsidR="0044275D" w:rsidRPr="005709C2">
        <w:rPr>
          <w:rFonts w:cs="Arial"/>
          <w:b/>
        </w:rPr>
        <w:t>centrových</w:t>
      </w:r>
      <w:proofErr w:type="spellEnd"/>
      <w:r w:rsidR="0044275D" w:rsidRPr="005709C2">
        <w:rPr>
          <w:rFonts w:cs="Arial"/>
          <w:b/>
        </w:rPr>
        <w:t xml:space="preserve"> léků a léčiv skupiny ATC</w:t>
      </w:r>
      <w:r w:rsidR="00481090">
        <w:rPr>
          <w:rFonts w:cs="Arial"/>
          <w:b/>
        </w:rPr>
        <w:t xml:space="preserve"> – </w:t>
      </w:r>
      <w:r w:rsidR="0044275D" w:rsidRPr="005709C2">
        <w:rPr>
          <w:rFonts w:cs="Arial"/>
          <w:b/>
        </w:rPr>
        <w:t xml:space="preserve">J </w:t>
      </w:r>
      <w:r w:rsidR="00336573" w:rsidRPr="002D0662">
        <w:rPr>
          <w:rFonts w:cs="Arial"/>
          <w:b/>
          <w:color w:val="000000" w:themeColor="text1"/>
          <w:szCs w:val="24"/>
        </w:rPr>
        <w:t>spatřuje</w:t>
      </w:r>
      <w:r w:rsidR="0044275D" w:rsidRPr="005709C2">
        <w:rPr>
          <w:rFonts w:cs="Arial"/>
          <w:b/>
        </w:rPr>
        <w:t xml:space="preserve"> </w:t>
      </w:r>
      <w:r w:rsidR="0044275D" w:rsidRPr="002D0662">
        <w:rPr>
          <w:rFonts w:cs="Arial"/>
          <w:b/>
          <w:color w:val="000000" w:themeColor="text1"/>
          <w:szCs w:val="24"/>
        </w:rPr>
        <w:t>NKÚ prostor pro snižování nákladů</w:t>
      </w:r>
      <w:r w:rsidR="0044275D">
        <w:rPr>
          <w:rFonts w:cs="Arial"/>
          <w:b/>
          <w:color w:val="000000" w:themeColor="text1"/>
          <w:szCs w:val="24"/>
        </w:rPr>
        <w:t xml:space="preserve">. </w:t>
      </w:r>
      <w:r w:rsidR="002F713B" w:rsidRPr="005709C2">
        <w:rPr>
          <w:rFonts w:cs="Arial"/>
          <w:b/>
        </w:rPr>
        <w:t>NKÚ vyhodnotil tento stav jako nežádoucí</w:t>
      </w:r>
      <w:r w:rsidR="0044275D">
        <w:rPr>
          <w:rFonts w:cs="Arial"/>
          <w:b/>
        </w:rPr>
        <w:t>.</w:t>
      </w:r>
      <w:r w:rsidR="002F713B" w:rsidRPr="005709C2">
        <w:rPr>
          <w:rFonts w:cs="Arial"/>
          <w:b/>
        </w:rPr>
        <w:t xml:space="preserve"> FN jsou jako veřejní zadavatelé povinn</w:t>
      </w:r>
      <w:r w:rsidRPr="005709C2">
        <w:rPr>
          <w:rFonts w:cs="Arial"/>
          <w:b/>
        </w:rPr>
        <w:t>y</w:t>
      </w:r>
      <w:r w:rsidR="00DD7BD5" w:rsidRPr="005709C2">
        <w:rPr>
          <w:rFonts w:cs="Arial"/>
          <w:b/>
        </w:rPr>
        <w:t xml:space="preserve"> </w:t>
      </w:r>
      <w:r w:rsidR="002F713B" w:rsidRPr="005709C2">
        <w:rPr>
          <w:rFonts w:cs="Arial"/>
          <w:b/>
        </w:rPr>
        <w:t>důsledně postupovat podle zákona o</w:t>
      </w:r>
      <w:r w:rsidR="00810805">
        <w:rPr>
          <w:rFonts w:cs="Arial"/>
          <w:b/>
        </w:rPr>
        <w:t> </w:t>
      </w:r>
      <w:r w:rsidR="002F713B" w:rsidRPr="005709C2">
        <w:rPr>
          <w:rFonts w:cs="Arial"/>
          <w:b/>
        </w:rPr>
        <w:t>veřejných zakázkách</w:t>
      </w:r>
      <w:r w:rsidR="00500C81">
        <w:rPr>
          <w:rFonts w:cs="Arial"/>
          <w:b/>
        </w:rPr>
        <w:t>.</w:t>
      </w:r>
    </w:p>
    <w:p w14:paraId="2546D22C" w14:textId="271AB608" w:rsidR="00CF25F1" w:rsidRPr="00BF5D38" w:rsidRDefault="00DD7BD5" w:rsidP="00B05C2B">
      <w:pPr>
        <w:autoSpaceDE w:val="0"/>
        <w:autoSpaceDN w:val="0"/>
        <w:adjustRightInd w:val="0"/>
        <w:spacing w:before="120"/>
        <w:rPr>
          <w:rFonts w:cs="Arial"/>
          <w:b/>
          <w:color w:val="000000" w:themeColor="text1"/>
        </w:rPr>
      </w:pPr>
      <w:r w:rsidRPr="005709C2">
        <w:rPr>
          <w:rFonts w:cs="Arial"/>
          <w:b/>
          <w:color w:val="000000" w:themeColor="text1"/>
        </w:rPr>
        <w:t xml:space="preserve">Na kontrolním vzorku NKÚ zjistil, že </w:t>
      </w:r>
      <w:r w:rsidR="005709C2" w:rsidRPr="005709C2">
        <w:rPr>
          <w:rFonts w:cs="Arial"/>
          <w:b/>
          <w:color w:val="000000" w:themeColor="text1"/>
        </w:rPr>
        <w:t>f</w:t>
      </w:r>
      <w:r w:rsidR="00CF25F1" w:rsidRPr="005709C2">
        <w:rPr>
          <w:rFonts w:cs="Arial"/>
          <w:b/>
          <w:color w:val="000000" w:themeColor="text1"/>
        </w:rPr>
        <w:t>akultní nemocnice nepostupovaly stejně při stanovování kritérií v zadávacích řízeních</w:t>
      </w:r>
      <w:r w:rsidR="005709C2" w:rsidRPr="005709C2">
        <w:rPr>
          <w:rFonts w:cs="Arial"/>
          <w:b/>
          <w:color w:val="000000" w:themeColor="text1"/>
        </w:rPr>
        <w:t xml:space="preserve"> </w:t>
      </w:r>
      <w:r w:rsidR="000A2806">
        <w:rPr>
          <w:rFonts w:cs="Arial"/>
          <w:b/>
          <w:color w:val="000000" w:themeColor="text1"/>
        </w:rPr>
        <w:t>na nákup léčiv</w:t>
      </w:r>
      <w:r w:rsidR="00CF25F1" w:rsidRPr="00BF5D38">
        <w:rPr>
          <w:rFonts w:cs="Arial"/>
          <w:b/>
          <w:color w:val="000000" w:themeColor="text1"/>
        </w:rPr>
        <w:t xml:space="preserve">. </w:t>
      </w:r>
      <w:r w:rsidR="00C17CFA" w:rsidRPr="00E96180">
        <w:rPr>
          <w:rFonts w:cs="Arial"/>
          <w:b/>
        </w:rPr>
        <w:t>Podle zákona č. 137/2006 Sb. neměl veřejný zadavatel povinnost stanovit jako hodnot</w:t>
      </w:r>
      <w:r w:rsidR="00336573">
        <w:rPr>
          <w:rFonts w:cs="Arial"/>
          <w:b/>
        </w:rPr>
        <w:t>i</w:t>
      </w:r>
      <w:r w:rsidR="00C17CFA" w:rsidRPr="00E96180">
        <w:rPr>
          <w:rFonts w:cs="Arial"/>
          <w:b/>
        </w:rPr>
        <w:t xml:space="preserve">cí kritérium nabídek nejnižší cenu včetně bonusů, byl však povinen stanovit kritérium hodnocení nabídek s ohledem na druh a složitost předmětu veřejné zakázky tak, aby vyjadřovalo vztah užitné hodnoty a ceny. </w:t>
      </w:r>
      <w:r w:rsidR="00CF25F1" w:rsidRPr="00E96180">
        <w:rPr>
          <w:rFonts w:cs="Arial"/>
          <w:b/>
          <w:color w:val="000000" w:themeColor="text1"/>
        </w:rPr>
        <w:t>FN</w:t>
      </w:r>
      <w:r w:rsidR="00CF25F1" w:rsidRPr="00BF5D38">
        <w:rPr>
          <w:rFonts w:cs="Arial"/>
          <w:b/>
          <w:color w:val="000000" w:themeColor="text1"/>
        </w:rPr>
        <w:t>B</w:t>
      </w:r>
      <w:r w:rsidR="00623726">
        <w:rPr>
          <w:rFonts w:cs="Arial"/>
          <w:b/>
          <w:color w:val="000000" w:themeColor="text1"/>
        </w:rPr>
        <w:t xml:space="preserve"> nesoutěžila nákupy </w:t>
      </w:r>
      <w:proofErr w:type="spellStart"/>
      <w:r w:rsidR="00623726">
        <w:rPr>
          <w:rFonts w:cs="Arial"/>
          <w:b/>
          <w:color w:val="000000" w:themeColor="text1"/>
        </w:rPr>
        <w:t>centrových</w:t>
      </w:r>
      <w:proofErr w:type="spellEnd"/>
      <w:r w:rsidR="00623726">
        <w:rPr>
          <w:rFonts w:cs="Arial"/>
          <w:b/>
          <w:color w:val="000000" w:themeColor="text1"/>
        </w:rPr>
        <w:t xml:space="preserve"> léků vůbec a FNM nestanovila</w:t>
      </w:r>
      <w:r w:rsidR="00CF25F1" w:rsidRPr="00BF5D38">
        <w:rPr>
          <w:rFonts w:cs="Arial"/>
          <w:b/>
          <w:color w:val="000000" w:themeColor="text1"/>
        </w:rPr>
        <w:t xml:space="preserve"> </w:t>
      </w:r>
      <w:r w:rsidR="007E33AE" w:rsidRPr="00BF5D38">
        <w:rPr>
          <w:rFonts w:cs="Arial"/>
          <w:b/>
          <w:color w:val="000000" w:themeColor="text1"/>
        </w:rPr>
        <w:t>jako hodnot</w:t>
      </w:r>
      <w:r w:rsidR="00336573">
        <w:rPr>
          <w:rFonts w:cs="Arial"/>
          <w:b/>
          <w:color w:val="000000" w:themeColor="text1"/>
        </w:rPr>
        <w:t>i</w:t>
      </w:r>
      <w:r w:rsidR="007E33AE" w:rsidRPr="00BF5D38">
        <w:rPr>
          <w:rFonts w:cs="Arial"/>
          <w:b/>
          <w:color w:val="000000" w:themeColor="text1"/>
        </w:rPr>
        <w:t xml:space="preserve">cí kritérium současně cenu a </w:t>
      </w:r>
      <w:r w:rsidR="00CF25F1" w:rsidRPr="00BF5D38">
        <w:rPr>
          <w:rFonts w:cs="Arial"/>
          <w:b/>
          <w:color w:val="000000" w:themeColor="text1"/>
        </w:rPr>
        <w:t>bonus tak</w:t>
      </w:r>
      <w:r w:rsidR="007E33AE" w:rsidRPr="00BF5D38">
        <w:rPr>
          <w:rFonts w:cs="Arial"/>
          <w:b/>
          <w:color w:val="000000" w:themeColor="text1"/>
        </w:rPr>
        <w:t>,</w:t>
      </w:r>
      <w:r w:rsidR="00CF25F1" w:rsidRPr="00BF5D38">
        <w:rPr>
          <w:rFonts w:cs="Arial"/>
          <w:b/>
          <w:color w:val="000000" w:themeColor="text1"/>
        </w:rPr>
        <w:t xml:space="preserve"> aby konečná cena byla nejnižší</w:t>
      </w:r>
      <w:r w:rsidR="007E33AE" w:rsidRPr="00BF5D38">
        <w:rPr>
          <w:rFonts w:cs="Arial"/>
          <w:b/>
          <w:color w:val="000000" w:themeColor="text1"/>
        </w:rPr>
        <w:t xml:space="preserve">. </w:t>
      </w:r>
      <w:r w:rsidR="00CF25F1" w:rsidRPr="00BF5D38">
        <w:rPr>
          <w:rFonts w:cs="Arial"/>
          <w:b/>
          <w:color w:val="000000" w:themeColor="text1"/>
        </w:rPr>
        <w:t>Za transparentní postup lze považovat zadávací řízení, kde hodnot</w:t>
      </w:r>
      <w:r w:rsidR="00336573">
        <w:rPr>
          <w:rFonts w:cs="Arial"/>
          <w:b/>
          <w:color w:val="000000" w:themeColor="text1"/>
        </w:rPr>
        <w:t>i</w:t>
      </w:r>
      <w:r w:rsidR="00CF25F1" w:rsidRPr="00BF5D38">
        <w:rPr>
          <w:rFonts w:cs="Arial"/>
          <w:b/>
          <w:color w:val="000000" w:themeColor="text1"/>
        </w:rPr>
        <w:t>cím kritériem byla nejen nabídková cena ale i bonus.</w:t>
      </w:r>
      <w:r w:rsidR="00136DF1" w:rsidRPr="00BF5D38">
        <w:rPr>
          <w:rFonts w:cs="Arial"/>
          <w:b/>
          <w:color w:val="000000" w:themeColor="text1"/>
        </w:rPr>
        <w:t xml:space="preserve"> ÚVN bonusy</w:t>
      </w:r>
      <w:r w:rsidR="00B92057">
        <w:rPr>
          <w:rFonts w:cs="Arial"/>
          <w:b/>
          <w:color w:val="000000" w:themeColor="text1"/>
        </w:rPr>
        <w:t xml:space="preserve"> </w:t>
      </w:r>
      <w:r w:rsidR="00136DF1" w:rsidRPr="00BF5D38">
        <w:rPr>
          <w:rFonts w:cs="Arial"/>
          <w:b/>
          <w:color w:val="000000" w:themeColor="text1"/>
        </w:rPr>
        <w:t>za léčiva v letech 2014 a 2015 nepřijímala</w:t>
      </w:r>
      <w:r w:rsidR="00E96180">
        <w:rPr>
          <w:rFonts w:cs="Arial"/>
          <w:b/>
          <w:color w:val="000000" w:themeColor="text1"/>
        </w:rPr>
        <w:t xml:space="preserve"> </w:t>
      </w:r>
      <w:r w:rsidR="00136DF1" w:rsidRPr="00BF5D38">
        <w:rPr>
          <w:rFonts w:cs="Arial"/>
          <w:b/>
          <w:color w:val="000000" w:themeColor="text1"/>
        </w:rPr>
        <w:t>a ojediněle je přijala v zanedbatelné výši v roce 2016.</w:t>
      </w:r>
    </w:p>
    <w:p w14:paraId="17FF15CD" w14:textId="2AA2A61A" w:rsidR="00FF0072" w:rsidRPr="00B05C2B" w:rsidRDefault="00B05C2B" w:rsidP="00757BF0">
      <w:pPr>
        <w:spacing w:before="240" w:after="120"/>
        <w:rPr>
          <w:rFonts w:cstheme="minorHAnsi"/>
          <w:b/>
          <w:noProof/>
          <w:color w:val="000000" w:themeColor="text1"/>
          <w:szCs w:val="26"/>
        </w:rPr>
      </w:pPr>
      <w:r w:rsidRPr="00B05C2B">
        <w:rPr>
          <w:rFonts w:cstheme="minorHAnsi"/>
          <w:b/>
          <w:noProof/>
          <w:color w:val="000000" w:themeColor="text1"/>
          <w:szCs w:val="26"/>
        </w:rPr>
        <w:t xml:space="preserve">1.2 </w:t>
      </w:r>
      <w:r w:rsidR="00FF0072" w:rsidRPr="00B05C2B">
        <w:rPr>
          <w:rFonts w:cstheme="minorHAnsi"/>
          <w:b/>
          <w:noProof/>
          <w:color w:val="000000" w:themeColor="text1"/>
          <w:szCs w:val="26"/>
        </w:rPr>
        <w:t xml:space="preserve">Cenové rozdíly </w:t>
      </w:r>
      <w:r w:rsidR="0039341B" w:rsidRPr="00B05C2B">
        <w:rPr>
          <w:rFonts w:cstheme="minorHAnsi"/>
          <w:b/>
          <w:noProof/>
          <w:color w:val="000000" w:themeColor="text1"/>
          <w:szCs w:val="26"/>
        </w:rPr>
        <w:t xml:space="preserve">u </w:t>
      </w:r>
      <w:r w:rsidR="00FF0072" w:rsidRPr="00B05C2B">
        <w:rPr>
          <w:rFonts w:cstheme="minorHAnsi"/>
          <w:b/>
          <w:noProof/>
          <w:color w:val="000000" w:themeColor="text1"/>
          <w:szCs w:val="26"/>
        </w:rPr>
        <w:t>léčiv</w:t>
      </w:r>
    </w:p>
    <w:p w14:paraId="653F501F" w14:textId="487E0E24" w:rsidR="00925367" w:rsidRDefault="00CE4F3A" w:rsidP="00757BF0">
      <w:pPr>
        <w:spacing w:before="240" w:after="120"/>
        <w:rPr>
          <w:rFonts w:cstheme="minorHAnsi"/>
          <w:b/>
          <w:noProof/>
          <w:color w:val="000000" w:themeColor="text1"/>
          <w:szCs w:val="24"/>
        </w:rPr>
      </w:pPr>
      <w:r w:rsidRPr="00117F40">
        <w:rPr>
          <w:rFonts w:cstheme="minorHAnsi"/>
          <w:b/>
          <w:noProof/>
          <w:color w:val="000000" w:themeColor="text1"/>
          <w:szCs w:val="24"/>
        </w:rPr>
        <w:t>Cenové rozdíly centrových</w:t>
      </w:r>
      <w:r w:rsidR="00925367" w:rsidRPr="00117F40">
        <w:rPr>
          <w:rFonts w:cstheme="minorHAnsi"/>
          <w:b/>
          <w:noProof/>
          <w:color w:val="000000" w:themeColor="text1"/>
          <w:szCs w:val="24"/>
        </w:rPr>
        <w:t xml:space="preserve"> l</w:t>
      </w:r>
      <w:r w:rsidRPr="00117F40">
        <w:rPr>
          <w:rFonts w:cstheme="minorHAnsi"/>
          <w:b/>
          <w:noProof/>
          <w:color w:val="000000" w:themeColor="text1"/>
          <w:szCs w:val="24"/>
        </w:rPr>
        <w:t>éků</w:t>
      </w:r>
    </w:p>
    <w:p w14:paraId="48F19F36" w14:textId="235B5FDB" w:rsidR="00925367" w:rsidRPr="007D3448" w:rsidRDefault="00925367" w:rsidP="00B05C2B">
      <w:pPr>
        <w:spacing w:before="120"/>
        <w:rPr>
          <w:rFonts w:cstheme="minorHAnsi"/>
          <w:noProof/>
          <w:color w:val="000000" w:themeColor="text1"/>
          <w:szCs w:val="28"/>
        </w:rPr>
      </w:pPr>
      <w:r w:rsidRPr="007D3448">
        <w:rPr>
          <w:rFonts w:cstheme="minorHAnsi"/>
          <w:noProof/>
          <w:color w:val="000000" w:themeColor="text1"/>
          <w:szCs w:val="28"/>
        </w:rPr>
        <w:t xml:space="preserve">Na kontrolním vzorku 16 druhů centrových léků, které pořizovaly v období 2014 až 2016 všechny </w:t>
      </w:r>
      <w:r>
        <w:rPr>
          <w:rFonts w:cstheme="minorHAnsi"/>
          <w:noProof/>
          <w:color w:val="000000" w:themeColor="text1"/>
          <w:szCs w:val="28"/>
        </w:rPr>
        <w:t>fakultní</w:t>
      </w:r>
      <w:r w:rsidRPr="007D3448">
        <w:rPr>
          <w:rFonts w:cstheme="minorHAnsi"/>
          <w:noProof/>
          <w:color w:val="000000" w:themeColor="text1"/>
          <w:szCs w:val="28"/>
        </w:rPr>
        <w:t xml:space="preserve"> nemocnice, NKÚ zjistil při porovnání jednotkových cen za jedno balení v jednotlivých letech rozdíly, které se </w:t>
      </w:r>
      <w:r w:rsidR="00B6487F" w:rsidRPr="007D3448">
        <w:rPr>
          <w:rFonts w:cstheme="minorHAnsi"/>
          <w:noProof/>
          <w:color w:val="000000" w:themeColor="text1"/>
          <w:szCs w:val="28"/>
        </w:rPr>
        <w:t xml:space="preserve">v procentuálním vyjádření </w:t>
      </w:r>
      <w:r w:rsidR="002D52C0" w:rsidRPr="007D3448">
        <w:rPr>
          <w:rFonts w:cstheme="minorHAnsi"/>
          <w:noProof/>
          <w:color w:val="000000" w:themeColor="text1"/>
          <w:szCs w:val="28"/>
        </w:rPr>
        <w:t xml:space="preserve">pohybovaly </w:t>
      </w:r>
      <w:r w:rsidR="00B6487F" w:rsidRPr="007D3448">
        <w:rPr>
          <w:rFonts w:cstheme="minorHAnsi"/>
          <w:noProof/>
          <w:color w:val="000000" w:themeColor="text1"/>
          <w:szCs w:val="28"/>
        </w:rPr>
        <w:t>od 0 % do 39,14</w:t>
      </w:r>
      <w:r w:rsidR="002D52C0">
        <w:rPr>
          <w:rFonts w:cstheme="minorHAnsi"/>
          <w:noProof/>
          <w:color w:val="000000" w:themeColor="text1"/>
          <w:szCs w:val="28"/>
        </w:rPr>
        <w:t> </w:t>
      </w:r>
      <w:r w:rsidR="00B6487F" w:rsidRPr="007D3448">
        <w:rPr>
          <w:rFonts w:cstheme="minorHAnsi"/>
          <w:noProof/>
          <w:color w:val="000000" w:themeColor="text1"/>
          <w:szCs w:val="28"/>
        </w:rPr>
        <w:t>%</w:t>
      </w:r>
      <w:r w:rsidR="00B6487F">
        <w:rPr>
          <w:rFonts w:cstheme="minorHAnsi"/>
          <w:noProof/>
          <w:color w:val="000000" w:themeColor="text1"/>
          <w:szCs w:val="28"/>
        </w:rPr>
        <w:t xml:space="preserve"> a</w:t>
      </w:r>
      <w:r w:rsidR="00810805">
        <w:rPr>
          <w:rFonts w:cstheme="minorHAnsi"/>
          <w:noProof/>
          <w:color w:val="000000" w:themeColor="text1"/>
          <w:szCs w:val="28"/>
        </w:rPr>
        <w:t> </w:t>
      </w:r>
      <w:r w:rsidRPr="007D3448">
        <w:rPr>
          <w:rFonts w:cstheme="minorHAnsi"/>
          <w:noProof/>
          <w:color w:val="000000" w:themeColor="text1"/>
          <w:szCs w:val="28"/>
        </w:rPr>
        <w:t>v absolutním vyjádření pohybovaly od 0 Kč</w:t>
      </w:r>
      <w:r w:rsidR="00B6487F">
        <w:rPr>
          <w:rFonts w:cstheme="minorHAnsi"/>
          <w:noProof/>
          <w:color w:val="000000" w:themeColor="text1"/>
          <w:szCs w:val="28"/>
        </w:rPr>
        <w:t xml:space="preserve"> </w:t>
      </w:r>
      <w:r w:rsidRPr="007D3448">
        <w:rPr>
          <w:rFonts w:cstheme="minorHAnsi"/>
          <w:noProof/>
          <w:color w:val="000000" w:themeColor="text1"/>
          <w:szCs w:val="28"/>
        </w:rPr>
        <w:t>do 95 210,72</w:t>
      </w:r>
      <w:r w:rsidR="00906280">
        <w:rPr>
          <w:rFonts w:cstheme="minorHAnsi"/>
          <w:noProof/>
          <w:color w:val="000000" w:themeColor="text1"/>
          <w:szCs w:val="28"/>
        </w:rPr>
        <w:t> </w:t>
      </w:r>
      <w:r w:rsidRPr="007D3448">
        <w:rPr>
          <w:rFonts w:cstheme="minorHAnsi"/>
          <w:noProof/>
          <w:color w:val="000000" w:themeColor="text1"/>
          <w:szCs w:val="28"/>
        </w:rPr>
        <w:t xml:space="preserve">Kč. Ve zjištěných rozdílech nejsou zohledněna nakupovaná množství jednotlivých léků a objem získaných množstevních bonusů od dodavatelů. Všechny zjištěné rozdíly jsou </w:t>
      </w:r>
      <w:r w:rsidR="00F10342">
        <w:rPr>
          <w:rFonts w:cstheme="minorHAnsi"/>
          <w:noProof/>
          <w:color w:val="000000" w:themeColor="text1"/>
          <w:szCs w:val="28"/>
        </w:rPr>
        <w:t>uvedeny v </w:t>
      </w:r>
      <w:r w:rsidR="002D52C0">
        <w:rPr>
          <w:rFonts w:cstheme="minorHAnsi"/>
          <w:noProof/>
          <w:color w:val="000000" w:themeColor="text1"/>
          <w:szCs w:val="28"/>
        </w:rPr>
        <w:t>p</w:t>
      </w:r>
      <w:r w:rsidR="00F10342">
        <w:rPr>
          <w:rFonts w:cstheme="minorHAnsi"/>
          <w:noProof/>
          <w:color w:val="000000" w:themeColor="text1"/>
          <w:szCs w:val="28"/>
        </w:rPr>
        <w:t>říloze č. 1</w:t>
      </w:r>
      <w:r w:rsidRPr="008D515E">
        <w:rPr>
          <w:rFonts w:cstheme="minorHAnsi"/>
          <w:noProof/>
          <w:color w:val="000000" w:themeColor="text1"/>
          <w:szCs w:val="28"/>
        </w:rPr>
        <w:t xml:space="preserve"> tohoto kontrolního</w:t>
      </w:r>
      <w:r w:rsidRPr="007D3448">
        <w:rPr>
          <w:rFonts w:cstheme="minorHAnsi"/>
          <w:noProof/>
          <w:color w:val="000000" w:themeColor="text1"/>
          <w:szCs w:val="28"/>
        </w:rPr>
        <w:t xml:space="preserve"> závěru. </w:t>
      </w:r>
    </w:p>
    <w:p w14:paraId="7875AE4F" w14:textId="188799E0" w:rsidR="00925367" w:rsidRDefault="00925367" w:rsidP="00B05C2B">
      <w:pPr>
        <w:spacing w:before="120"/>
        <w:rPr>
          <w:rFonts w:cstheme="minorHAnsi"/>
          <w:noProof/>
          <w:color w:val="000000" w:themeColor="text1"/>
          <w:szCs w:val="28"/>
        </w:rPr>
      </w:pPr>
      <w:r>
        <w:rPr>
          <w:rFonts w:cstheme="minorHAnsi"/>
          <w:noProof/>
          <w:color w:val="000000" w:themeColor="text1"/>
          <w:szCs w:val="28"/>
        </w:rPr>
        <w:t>Největší rozdíl v absolutní hodnotě nebo v procentuál</w:t>
      </w:r>
      <w:r w:rsidR="00B6465F">
        <w:rPr>
          <w:rFonts w:cstheme="minorHAnsi"/>
          <w:noProof/>
          <w:color w:val="000000" w:themeColor="text1"/>
          <w:szCs w:val="28"/>
        </w:rPr>
        <w:t>ním vyjádření byl zjištěn u léčiv</w:t>
      </w:r>
      <w:r>
        <w:rPr>
          <w:rFonts w:cstheme="minorHAnsi"/>
          <w:noProof/>
          <w:color w:val="000000" w:themeColor="text1"/>
          <w:szCs w:val="28"/>
        </w:rPr>
        <w:t xml:space="preserve"> pod kódy</w:t>
      </w:r>
      <w:r w:rsidR="00B6465F">
        <w:rPr>
          <w:rFonts w:cstheme="minorHAnsi"/>
          <w:noProof/>
          <w:color w:val="000000" w:themeColor="text1"/>
          <w:szCs w:val="28"/>
        </w:rPr>
        <w:t xml:space="preserve"> SÚKL</w:t>
      </w:r>
      <w:r>
        <w:rPr>
          <w:rFonts w:cstheme="minorHAnsi"/>
          <w:noProof/>
          <w:color w:val="000000" w:themeColor="text1"/>
          <w:szCs w:val="28"/>
        </w:rPr>
        <w:t>:</w:t>
      </w:r>
      <w:r w:rsidR="00BB7C08">
        <w:rPr>
          <w:rFonts w:cstheme="minorHAnsi"/>
          <w:noProof/>
          <w:color w:val="000000" w:themeColor="text1"/>
          <w:szCs w:val="28"/>
        </w:rPr>
        <w:t xml:space="preserve"> </w:t>
      </w:r>
    </w:p>
    <w:p w14:paraId="55AD08C8" w14:textId="735C5F0E" w:rsidR="00925367" w:rsidRDefault="0073188E" w:rsidP="00B05C2B">
      <w:pPr>
        <w:pStyle w:val="Odstavecseseznamem"/>
        <w:numPr>
          <w:ilvl w:val="0"/>
          <w:numId w:val="32"/>
        </w:numPr>
        <w:ind w:left="284" w:hanging="284"/>
        <w:rPr>
          <w:rFonts w:cstheme="minorHAnsi"/>
          <w:noProof/>
          <w:color w:val="000000" w:themeColor="text1"/>
          <w:szCs w:val="28"/>
        </w:rPr>
      </w:pPr>
      <w:r>
        <w:rPr>
          <w:rFonts w:cstheme="minorHAnsi"/>
          <w:noProof/>
          <w:color w:val="000000" w:themeColor="text1"/>
          <w:szCs w:val="28"/>
        </w:rPr>
        <w:t>0</w:t>
      </w:r>
      <w:r w:rsidR="00925367" w:rsidRPr="000E2A91">
        <w:rPr>
          <w:rFonts w:cstheme="minorHAnsi"/>
          <w:noProof/>
          <w:color w:val="000000" w:themeColor="text1"/>
          <w:szCs w:val="28"/>
        </w:rPr>
        <w:t xml:space="preserve">210201 (HARVONI) v roce 2015 činil 95 210,72 Kč (tj. 25 %), kdy FNB pořídila jedno balení za 380 842,88 Kč a ÚVN za 476 053,60 Kč. </w:t>
      </w:r>
      <w:r w:rsidR="000A2806">
        <w:rPr>
          <w:rFonts w:cstheme="minorHAnsi"/>
          <w:noProof/>
          <w:color w:val="000000" w:themeColor="text1"/>
          <w:szCs w:val="28"/>
        </w:rPr>
        <w:t>Toto léčivo</w:t>
      </w:r>
      <w:r w:rsidR="00925367">
        <w:rPr>
          <w:rFonts w:cstheme="minorHAnsi"/>
          <w:noProof/>
          <w:color w:val="000000" w:themeColor="text1"/>
          <w:szCs w:val="28"/>
        </w:rPr>
        <w:t xml:space="preserve"> dodával</w:t>
      </w:r>
      <w:r w:rsidR="00925367" w:rsidRPr="000E2A91">
        <w:rPr>
          <w:rFonts w:cstheme="minorHAnsi"/>
          <w:noProof/>
          <w:color w:val="000000" w:themeColor="text1"/>
          <w:szCs w:val="28"/>
        </w:rPr>
        <w:t xml:space="preserve"> výhradní dodavatel</w:t>
      </w:r>
      <w:r w:rsidR="00925367">
        <w:rPr>
          <w:rFonts w:cstheme="minorHAnsi"/>
          <w:noProof/>
          <w:color w:val="000000" w:themeColor="text1"/>
          <w:szCs w:val="28"/>
        </w:rPr>
        <w:t>/výrobce</w:t>
      </w:r>
      <w:r w:rsidR="00925367" w:rsidRPr="000E2A91">
        <w:rPr>
          <w:rFonts w:cstheme="minorHAnsi"/>
          <w:noProof/>
          <w:color w:val="000000" w:themeColor="text1"/>
          <w:szCs w:val="28"/>
        </w:rPr>
        <w:t xml:space="preserve"> a jinde jej nebylo možné objednat. Důvode</w:t>
      </w:r>
      <w:r w:rsidR="004A242A">
        <w:rPr>
          <w:rFonts w:cstheme="minorHAnsi"/>
          <w:noProof/>
          <w:color w:val="000000" w:themeColor="text1"/>
          <w:szCs w:val="28"/>
        </w:rPr>
        <w:t>m rozdílu bylo, že ÚVN nakoupila</w:t>
      </w:r>
      <w:r w:rsidR="00925367" w:rsidRPr="000E2A91">
        <w:rPr>
          <w:rFonts w:cstheme="minorHAnsi"/>
          <w:noProof/>
          <w:color w:val="000000" w:themeColor="text1"/>
          <w:szCs w:val="28"/>
        </w:rPr>
        <w:t xml:space="preserve"> </w:t>
      </w:r>
      <w:r w:rsidR="000A2806">
        <w:rPr>
          <w:rFonts w:cstheme="minorHAnsi"/>
          <w:noProof/>
          <w:color w:val="000000" w:themeColor="text1"/>
          <w:szCs w:val="28"/>
        </w:rPr>
        <w:t>toto léčivo</w:t>
      </w:r>
      <w:r w:rsidR="00925367" w:rsidRPr="000E2A91">
        <w:rPr>
          <w:rFonts w:cstheme="minorHAnsi"/>
          <w:noProof/>
          <w:color w:val="000000" w:themeColor="text1"/>
          <w:szCs w:val="28"/>
        </w:rPr>
        <w:t xml:space="preserve"> ojediněle a </w:t>
      </w:r>
      <w:r w:rsidR="00925367">
        <w:rPr>
          <w:rFonts w:cstheme="minorHAnsi"/>
          <w:noProof/>
          <w:color w:val="000000" w:themeColor="text1"/>
          <w:szCs w:val="28"/>
        </w:rPr>
        <w:t>FNB obd</w:t>
      </w:r>
      <w:r w:rsidR="002D52C0">
        <w:rPr>
          <w:rFonts w:cstheme="minorHAnsi"/>
          <w:noProof/>
          <w:color w:val="000000" w:themeColor="text1"/>
          <w:szCs w:val="28"/>
        </w:rPr>
        <w:t>r</w:t>
      </w:r>
      <w:r w:rsidR="00925367">
        <w:rPr>
          <w:rFonts w:cstheme="minorHAnsi"/>
          <w:noProof/>
          <w:color w:val="000000" w:themeColor="text1"/>
          <w:szCs w:val="28"/>
        </w:rPr>
        <w:t>žela přímou slevu od</w:t>
      </w:r>
      <w:r w:rsidR="00925367" w:rsidRPr="000E2A91">
        <w:rPr>
          <w:rFonts w:cstheme="minorHAnsi"/>
          <w:noProof/>
          <w:color w:val="000000" w:themeColor="text1"/>
          <w:szCs w:val="28"/>
        </w:rPr>
        <w:t xml:space="preserve"> dodavatele.</w:t>
      </w:r>
    </w:p>
    <w:p w14:paraId="6A36B2B3" w14:textId="03790E2F" w:rsidR="00925367" w:rsidRPr="000E2A91" w:rsidRDefault="00304B23" w:rsidP="00B05C2B">
      <w:pPr>
        <w:pStyle w:val="Odstavecseseznamem"/>
        <w:numPr>
          <w:ilvl w:val="0"/>
          <w:numId w:val="32"/>
        </w:numPr>
        <w:ind w:left="284" w:hanging="284"/>
        <w:rPr>
          <w:rFonts w:cstheme="minorHAnsi"/>
          <w:noProof/>
          <w:color w:val="000000" w:themeColor="text1"/>
          <w:szCs w:val="28"/>
        </w:rPr>
      </w:pPr>
      <w:r>
        <w:rPr>
          <w:rFonts w:cstheme="minorHAnsi"/>
          <w:noProof/>
          <w:color w:val="000000" w:themeColor="text1"/>
          <w:szCs w:val="28"/>
        </w:rPr>
        <w:t>0</w:t>
      </w:r>
      <w:r w:rsidR="00925367" w:rsidRPr="00752C58">
        <w:rPr>
          <w:rFonts w:cstheme="minorHAnsi"/>
          <w:noProof/>
          <w:color w:val="000000" w:themeColor="text1"/>
          <w:szCs w:val="28"/>
        </w:rPr>
        <w:t>210118 (DAKLINZA) v roce 2016 činil 25</w:t>
      </w:r>
      <w:r w:rsidR="00925367">
        <w:rPr>
          <w:rFonts w:cstheme="minorHAnsi"/>
          <w:noProof/>
          <w:color w:val="000000" w:themeColor="text1"/>
          <w:szCs w:val="28"/>
        </w:rPr>
        <w:t xml:space="preserve"> </w:t>
      </w:r>
      <w:r w:rsidR="00925367" w:rsidRPr="00752C58">
        <w:rPr>
          <w:rFonts w:cstheme="minorHAnsi"/>
          <w:noProof/>
          <w:color w:val="000000" w:themeColor="text1"/>
          <w:szCs w:val="28"/>
        </w:rPr>
        <w:t>336,29 Kč (tj. 25 %), kdy FNM pořídila jedno balení za 101 338,91 Kč a FNB za</w:t>
      </w:r>
      <w:r w:rsidR="000A2806">
        <w:rPr>
          <w:rFonts w:cstheme="minorHAnsi"/>
          <w:noProof/>
          <w:color w:val="000000" w:themeColor="text1"/>
          <w:szCs w:val="28"/>
        </w:rPr>
        <w:t xml:space="preserve"> 126 675,20 Kč. Léčivo</w:t>
      </w:r>
      <w:r w:rsidR="00925367" w:rsidRPr="00752C58">
        <w:rPr>
          <w:rFonts w:cstheme="minorHAnsi"/>
          <w:noProof/>
          <w:color w:val="000000" w:themeColor="text1"/>
          <w:szCs w:val="28"/>
        </w:rPr>
        <w:t xml:space="preserve"> byl</w:t>
      </w:r>
      <w:r w:rsidR="000A2806">
        <w:rPr>
          <w:rFonts w:cstheme="minorHAnsi"/>
          <w:noProof/>
          <w:color w:val="000000" w:themeColor="text1"/>
          <w:szCs w:val="28"/>
        </w:rPr>
        <w:t>o</w:t>
      </w:r>
      <w:r w:rsidR="00925367" w:rsidRPr="00752C58">
        <w:rPr>
          <w:rFonts w:cstheme="minorHAnsi"/>
          <w:noProof/>
          <w:color w:val="000000" w:themeColor="text1"/>
          <w:szCs w:val="28"/>
        </w:rPr>
        <w:t xml:space="preserve"> k léčbě</w:t>
      </w:r>
      <w:r w:rsidR="000A2806">
        <w:rPr>
          <w:rFonts w:cstheme="minorHAnsi"/>
          <w:noProof/>
          <w:color w:val="000000" w:themeColor="text1"/>
          <w:szCs w:val="28"/>
        </w:rPr>
        <w:t xml:space="preserve"> dostupné</w:t>
      </w:r>
      <w:r w:rsidR="00820B09">
        <w:rPr>
          <w:rFonts w:cstheme="minorHAnsi"/>
          <w:noProof/>
          <w:color w:val="000000" w:themeColor="text1"/>
          <w:szCs w:val="28"/>
        </w:rPr>
        <w:t xml:space="preserve"> teprve od roku 2015 pouze </w:t>
      </w:r>
      <w:r w:rsidR="00925367" w:rsidRPr="00752C58">
        <w:rPr>
          <w:rFonts w:cstheme="minorHAnsi"/>
          <w:noProof/>
          <w:color w:val="000000" w:themeColor="text1"/>
          <w:szCs w:val="28"/>
        </w:rPr>
        <w:t>výhradn</w:t>
      </w:r>
      <w:r w:rsidR="000A2806">
        <w:rPr>
          <w:rFonts w:cstheme="minorHAnsi"/>
          <w:noProof/>
          <w:color w:val="000000" w:themeColor="text1"/>
          <w:szCs w:val="28"/>
        </w:rPr>
        <w:t>ím dodavatelem. Léčivo</w:t>
      </w:r>
      <w:r w:rsidR="00925367" w:rsidRPr="00752C58">
        <w:rPr>
          <w:rFonts w:cstheme="minorHAnsi"/>
          <w:noProof/>
          <w:color w:val="000000" w:themeColor="text1"/>
          <w:szCs w:val="28"/>
        </w:rPr>
        <w:t xml:space="preserve"> byl</w:t>
      </w:r>
      <w:r w:rsidR="000A2806">
        <w:rPr>
          <w:rFonts w:cstheme="minorHAnsi"/>
          <w:noProof/>
          <w:color w:val="000000" w:themeColor="text1"/>
          <w:szCs w:val="28"/>
        </w:rPr>
        <w:t>o</w:t>
      </w:r>
      <w:r w:rsidR="00925367" w:rsidRPr="00752C58">
        <w:rPr>
          <w:rFonts w:cstheme="minorHAnsi"/>
          <w:noProof/>
          <w:color w:val="000000" w:themeColor="text1"/>
          <w:szCs w:val="28"/>
        </w:rPr>
        <w:t xml:space="preserve"> nejprve nakupován</w:t>
      </w:r>
      <w:r w:rsidR="000A2806">
        <w:rPr>
          <w:rFonts w:cstheme="minorHAnsi"/>
          <w:noProof/>
          <w:color w:val="000000" w:themeColor="text1"/>
          <w:szCs w:val="28"/>
        </w:rPr>
        <w:t>o</w:t>
      </w:r>
      <w:r w:rsidR="00DD3B29">
        <w:rPr>
          <w:rFonts w:cstheme="minorHAnsi"/>
          <w:noProof/>
          <w:color w:val="000000" w:themeColor="text1"/>
          <w:szCs w:val="28"/>
        </w:rPr>
        <w:t xml:space="preserve"> v </w:t>
      </w:r>
      <w:r w:rsidR="00925367" w:rsidRPr="00752C58">
        <w:rPr>
          <w:rFonts w:cstheme="minorHAnsi"/>
          <w:noProof/>
          <w:color w:val="000000" w:themeColor="text1"/>
          <w:szCs w:val="28"/>
        </w:rPr>
        <w:t>režimu mimořádného dovozu</w:t>
      </w:r>
      <w:r w:rsidR="00925367">
        <w:rPr>
          <w:rStyle w:val="Znakapoznpodarou"/>
          <w:rFonts w:cstheme="minorHAnsi"/>
          <w:noProof/>
          <w:color w:val="000000" w:themeColor="text1"/>
          <w:szCs w:val="28"/>
        </w:rPr>
        <w:footnoteReference w:id="32"/>
      </w:r>
      <w:r w:rsidR="00925367" w:rsidRPr="00752C58">
        <w:rPr>
          <w:rFonts w:cstheme="minorHAnsi"/>
          <w:noProof/>
          <w:color w:val="000000" w:themeColor="text1"/>
          <w:szCs w:val="28"/>
        </w:rPr>
        <w:t xml:space="preserve"> a po stanovení maximální ceny (cenové regulaci SÚKL) byl nakupován za cenu nižší o zjištěný rozdíl.</w:t>
      </w:r>
    </w:p>
    <w:p w14:paraId="4F727942" w14:textId="280584EB" w:rsidR="00925367" w:rsidRPr="00986619" w:rsidRDefault="00304B23" w:rsidP="00B05C2B">
      <w:pPr>
        <w:pStyle w:val="Odstavecseseznamem"/>
        <w:numPr>
          <w:ilvl w:val="0"/>
          <w:numId w:val="32"/>
        </w:numPr>
        <w:ind w:left="284" w:hanging="284"/>
        <w:rPr>
          <w:rFonts w:cstheme="minorHAnsi"/>
          <w:noProof/>
          <w:color w:val="000000" w:themeColor="text1"/>
          <w:szCs w:val="28"/>
        </w:rPr>
      </w:pPr>
      <w:r>
        <w:rPr>
          <w:rFonts w:cstheme="minorHAnsi"/>
          <w:noProof/>
          <w:color w:val="000000" w:themeColor="text1"/>
          <w:szCs w:val="28"/>
        </w:rPr>
        <w:t>0</w:t>
      </w:r>
      <w:r w:rsidR="00925367" w:rsidRPr="00986619">
        <w:rPr>
          <w:rFonts w:cstheme="minorHAnsi"/>
          <w:noProof/>
          <w:color w:val="000000" w:themeColor="text1"/>
          <w:szCs w:val="28"/>
        </w:rPr>
        <w:t>194770 (SOVALDI) v roce 2015</w:t>
      </w:r>
      <w:r w:rsidR="00925367">
        <w:rPr>
          <w:rFonts w:cstheme="minorHAnsi"/>
          <w:noProof/>
          <w:color w:val="000000" w:themeColor="text1"/>
          <w:szCs w:val="28"/>
        </w:rPr>
        <w:t xml:space="preserve"> činil 84 250,76 Kč (tj. 25 %)</w:t>
      </w:r>
      <w:r w:rsidR="007763B5">
        <w:rPr>
          <w:rFonts w:cstheme="minorHAnsi"/>
          <w:noProof/>
          <w:color w:val="000000" w:themeColor="text1"/>
          <w:szCs w:val="28"/>
        </w:rPr>
        <w:t>, kdy FNB a FNM pořídily</w:t>
      </w:r>
      <w:r w:rsidR="00925367" w:rsidRPr="00986619">
        <w:rPr>
          <w:rFonts w:cstheme="minorHAnsi"/>
          <w:noProof/>
          <w:color w:val="000000" w:themeColor="text1"/>
          <w:szCs w:val="28"/>
        </w:rPr>
        <w:t xml:space="preserve"> jedno balení za 337 003,04 Kč a ÚVN za 421 253,80 Kč. </w:t>
      </w:r>
      <w:r w:rsidR="00925367">
        <w:rPr>
          <w:rFonts w:cstheme="minorHAnsi"/>
          <w:noProof/>
          <w:color w:val="000000" w:themeColor="text1"/>
          <w:szCs w:val="28"/>
        </w:rPr>
        <w:t>V</w:t>
      </w:r>
      <w:r w:rsidR="00925367" w:rsidRPr="00986619">
        <w:rPr>
          <w:rFonts w:cstheme="minorHAnsi"/>
          <w:noProof/>
          <w:color w:val="000000" w:themeColor="text1"/>
          <w:szCs w:val="28"/>
        </w:rPr>
        <w:t xml:space="preserve"> roce 2016 </w:t>
      </w:r>
      <w:r w:rsidR="00925367">
        <w:rPr>
          <w:rFonts w:cstheme="minorHAnsi"/>
          <w:noProof/>
          <w:color w:val="000000" w:themeColor="text1"/>
          <w:szCs w:val="28"/>
        </w:rPr>
        <w:t>činil rozdíl 69 029,15 Kč (20,48</w:t>
      </w:r>
      <w:r w:rsidR="00162A64">
        <w:rPr>
          <w:rFonts w:cstheme="minorHAnsi"/>
          <w:noProof/>
          <w:color w:val="000000" w:themeColor="text1"/>
          <w:szCs w:val="28"/>
        </w:rPr>
        <w:t> </w:t>
      </w:r>
      <w:r w:rsidR="00925367">
        <w:rPr>
          <w:rFonts w:cstheme="minorHAnsi"/>
          <w:noProof/>
          <w:color w:val="000000" w:themeColor="text1"/>
          <w:szCs w:val="28"/>
        </w:rPr>
        <w:t>%), kdy</w:t>
      </w:r>
      <w:r w:rsidR="00925367" w:rsidRPr="00986619">
        <w:rPr>
          <w:rFonts w:cstheme="minorHAnsi"/>
          <w:noProof/>
          <w:color w:val="000000" w:themeColor="text1"/>
          <w:szCs w:val="28"/>
        </w:rPr>
        <w:t xml:space="preserve"> ÚVN pořídila jedno balení za 337 003,04 Kč a FNM a ÚVN za 406 032,19 Kč. </w:t>
      </w:r>
      <w:r w:rsidR="000A2806">
        <w:rPr>
          <w:rFonts w:cstheme="minorHAnsi"/>
          <w:noProof/>
          <w:color w:val="000000" w:themeColor="text1"/>
          <w:szCs w:val="28"/>
        </w:rPr>
        <w:t>Toto léčivo</w:t>
      </w:r>
      <w:r w:rsidR="00925367">
        <w:rPr>
          <w:rFonts w:cstheme="minorHAnsi"/>
          <w:noProof/>
          <w:color w:val="000000" w:themeColor="text1"/>
          <w:szCs w:val="28"/>
        </w:rPr>
        <w:t xml:space="preserve"> dodával</w:t>
      </w:r>
      <w:r w:rsidR="00925367" w:rsidRPr="000E2A91">
        <w:rPr>
          <w:rFonts w:cstheme="minorHAnsi"/>
          <w:noProof/>
          <w:color w:val="000000" w:themeColor="text1"/>
          <w:szCs w:val="28"/>
        </w:rPr>
        <w:t xml:space="preserve"> jediný výhradní dodavatel</w:t>
      </w:r>
      <w:r w:rsidR="00925367">
        <w:rPr>
          <w:rFonts w:cstheme="minorHAnsi"/>
          <w:noProof/>
          <w:color w:val="000000" w:themeColor="text1"/>
          <w:szCs w:val="28"/>
        </w:rPr>
        <w:t>/výrobce</w:t>
      </w:r>
      <w:r w:rsidR="00925367" w:rsidRPr="000E2A91">
        <w:rPr>
          <w:rFonts w:cstheme="minorHAnsi"/>
          <w:noProof/>
          <w:color w:val="000000" w:themeColor="text1"/>
          <w:szCs w:val="28"/>
        </w:rPr>
        <w:t xml:space="preserve"> a jinde je nebylo možné objednat. </w:t>
      </w:r>
      <w:r w:rsidR="00925367">
        <w:rPr>
          <w:rFonts w:cstheme="minorHAnsi"/>
          <w:noProof/>
          <w:color w:val="000000" w:themeColor="text1"/>
          <w:szCs w:val="28"/>
        </w:rPr>
        <w:t>Nebyla konkurence na trhu, ceny byly stanovovány dodavatelem.</w:t>
      </w:r>
    </w:p>
    <w:p w14:paraId="75A2B8F5" w14:textId="0B87A5D9" w:rsidR="00925367" w:rsidRPr="00A2105D" w:rsidRDefault="00304B23" w:rsidP="00B05C2B">
      <w:pPr>
        <w:pStyle w:val="Odstavecseseznamem"/>
        <w:numPr>
          <w:ilvl w:val="0"/>
          <w:numId w:val="32"/>
        </w:numPr>
        <w:ind w:left="284" w:hanging="284"/>
        <w:rPr>
          <w:rFonts w:cstheme="minorHAnsi"/>
          <w:noProof/>
          <w:color w:val="000000" w:themeColor="text1"/>
          <w:szCs w:val="28"/>
        </w:rPr>
      </w:pPr>
      <w:r>
        <w:rPr>
          <w:rFonts w:cstheme="minorHAnsi"/>
          <w:noProof/>
          <w:color w:val="000000" w:themeColor="text1"/>
          <w:szCs w:val="28"/>
        </w:rPr>
        <w:t>0</w:t>
      </w:r>
      <w:r w:rsidR="001A57E4">
        <w:rPr>
          <w:rFonts w:cstheme="minorHAnsi"/>
          <w:noProof/>
          <w:color w:val="000000" w:themeColor="text1"/>
          <w:szCs w:val="28"/>
        </w:rPr>
        <w:t>0</w:t>
      </w:r>
      <w:r w:rsidR="00925367" w:rsidRPr="00986619">
        <w:rPr>
          <w:rFonts w:cstheme="minorHAnsi"/>
          <w:noProof/>
          <w:color w:val="000000" w:themeColor="text1"/>
          <w:szCs w:val="28"/>
        </w:rPr>
        <w:t>25566 (HUMIRA) v roce 2015</w:t>
      </w:r>
      <w:r w:rsidR="00925367">
        <w:rPr>
          <w:rFonts w:cstheme="minorHAnsi"/>
          <w:noProof/>
          <w:color w:val="000000" w:themeColor="text1"/>
          <w:szCs w:val="28"/>
        </w:rPr>
        <w:t xml:space="preserve"> činil </w:t>
      </w:r>
      <w:r w:rsidR="00925367" w:rsidRPr="00861290">
        <w:rPr>
          <w:rFonts w:cstheme="minorHAnsi"/>
          <w:noProof/>
          <w:color w:val="000000" w:themeColor="text1"/>
          <w:szCs w:val="28"/>
        </w:rPr>
        <w:t xml:space="preserve">5 984,43 Kč (tj. 39,14 %), kdy FNB pořídila jedno balení za 15 290 </w:t>
      </w:r>
      <w:r w:rsidR="00925367" w:rsidRPr="00A2105D">
        <w:rPr>
          <w:rFonts w:cstheme="minorHAnsi"/>
          <w:noProof/>
          <w:color w:val="000000" w:themeColor="text1"/>
          <w:szCs w:val="28"/>
        </w:rPr>
        <w:t xml:space="preserve">Kč a FNM za 21 274,43 Kč. Důvodem bylo, že FNB nakoupila </w:t>
      </w:r>
      <w:r w:rsidR="00554E97">
        <w:rPr>
          <w:rFonts w:cstheme="minorHAnsi"/>
          <w:noProof/>
          <w:color w:val="000000" w:themeColor="text1"/>
          <w:szCs w:val="28"/>
        </w:rPr>
        <w:t>toto léčivo</w:t>
      </w:r>
      <w:r w:rsidR="00925367" w:rsidRPr="00A2105D">
        <w:rPr>
          <w:rFonts w:cstheme="minorHAnsi"/>
          <w:noProof/>
          <w:color w:val="000000" w:themeColor="text1"/>
          <w:szCs w:val="28"/>
        </w:rPr>
        <w:t xml:space="preserve"> se slevou z důvodu blížící se exspirace.</w:t>
      </w:r>
    </w:p>
    <w:p w14:paraId="7E9E82FD" w14:textId="6FDE6314" w:rsidR="00925367" w:rsidRDefault="001A57E4" w:rsidP="00B05C2B">
      <w:pPr>
        <w:pStyle w:val="Odstavecseseznamem"/>
        <w:numPr>
          <w:ilvl w:val="0"/>
          <w:numId w:val="33"/>
        </w:numPr>
        <w:ind w:left="284" w:hanging="284"/>
        <w:rPr>
          <w:rFonts w:cstheme="minorHAnsi"/>
          <w:noProof/>
          <w:color w:val="000000" w:themeColor="text1"/>
          <w:szCs w:val="28"/>
        </w:rPr>
      </w:pPr>
      <w:r>
        <w:rPr>
          <w:rFonts w:cstheme="minorHAnsi"/>
          <w:noProof/>
          <w:color w:val="000000" w:themeColor="text1"/>
          <w:szCs w:val="28"/>
        </w:rPr>
        <w:t>0</w:t>
      </w:r>
      <w:r w:rsidR="00925367" w:rsidRPr="00A2105D">
        <w:rPr>
          <w:rFonts w:cstheme="minorHAnsi"/>
          <w:noProof/>
          <w:color w:val="000000" w:themeColor="text1"/>
          <w:szCs w:val="28"/>
        </w:rPr>
        <w:t>27283 (REMICADE) v roce 2015 činil 2 261 Kč (tj. 24,33 %), kdy FNM pořídila jedno balení za 9 294,76 Kč a FNB za 11 555,76 Kč. Důvodem bylo mj., že na trhu pravidelně docházelo k výpadkům dodávek, proto FNB nakupovala dle aktuálních zásob v</w:t>
      </w:r>
      <w:r w:rsidR="004C67D7">
        <w:rPr>
          <w:rFonts w:cstheme="minorHAnsi"/>
          <w:noProof/>
          <w:color w:val="000000" w:themeColor="text1"/>
          <w:szCs w:val="28"/>
        </w:rPr>
        <w:t> </w:t>
      </w:r>
      <w:r w:rsidR="00925367" w:rsidRPr="00A2105D">
        <w:rPr>
          <w:rFonts w:cstheme="minorHAnsi"/>
          <w:noProof/>
          <w:color w:val="000000" w:themeColor="text1"/>
          <w:szCs w:val="28"/>
        </w:rPr>
        <w:t>distribuci, zpravidla na základě jednorázových nabídek bez veřejné zakázky.</w:t>
      </w:r>
    </w:p>
    <w:p w14:paraId="418BF545" w14:textId="77777777" w:rsidR="00BC20B3" w:rsidRPr="00BC20B3" w:rsidRDefault="00BC20B3" w:rsidP="00BC20B3">
      <w:pPr>
        <w:rPr>
          <w:rFonts w:cstheme="minorHAnsi"/>
          <w:noProof/>
          <w:color w:val="000000" w:themeColor="text1"/>
          <w:szCs w:val="28"/>
        </w:rPr>
      </w:pPr>
    </w:p>
    <w:p w14:paraId="7AC2B261" w14:textId="7D706AF1" w:rsidR="00925367" w:rsidRDefault="00CE4F3A" w:rsidP="00757BF0">
      <w:pPr>
        <w:keepNext/>
        <w:spacing w:before="240" w:after="120"/>
        <w:rPr>
          <w:rFonts w:cstheme="minorHAnsi"/>
          <w:b/>
          <w:noProof/>
          <w:color w:val="000000" w:themeColor="text1"/>
          <w:szCs w:val="24"/>
        </w:rPr>
      </w:pPr>
      <w:r w:rsidRPr="00117F40">
        <w:rPr>
          <w:rFonts w:cstheme="minorHAnsi"/>
          <w:b/>
          <w:noProof/>
          <w:color w:val="000000" w:themeColor="text1"/>
          <w:szCs w:val="24"/>
        </w:rPr>
        <w:t>Cenové rozdíly l</w:t>
      </w:r>
      <w:r w:rsidR="00925367" w:rsidRPr="00117F40">
        <w:rPr>
          <w:rFonts w:cstheme="minorHAnsi"/>
          <w:b/>
          <w:noProof/>
          <w:color w:val="000000" w:themeColor="text1"/>
          <w:szCs w:val="24"/>
        </w:rPr>
        <w:t>éči</w:t>
      </w:r>
      <w:r w:rsidRPr="00117F40">
        <w:rPr>
          <w:rFonts w:cstheme="minorHAnsi"/>
          <w:b/>
          <w:noProof/>
          <w:color w:val="000000" w:themeColor="text1"/>
          <w:szCs w:val="24"/>
        </w:rPr>
        <w:t>v</w:t>
      </w:r>
      <w:r w:rsidR="00925367" w:rsidRPr="00117F40">
        <w:rPr>
          <w:rFonts w:cstheme="minorHAnsi"/>
          <w:b/>
          <w:noProof/>
          <w:color w:val="000000" w:themeColor="text1"/>
          <w:szCs w:val="24"/>
        </w:rPr>
        <w:t xml:space="preserve"> skupiny ATC</w:t>
      </w:r>
      <w:r w:rsidR="00481090">
        <w:rPr>
          <w:rFonts w:cstheme="minorHAnsi"/>
          <w:b/>
          <w:noProof/>
          <w:color w:val="000000" w:themeColor="text1"/>
          <w:szCs w:val="24"/>
        </w:rPr>
        <w:t xml:space="preserve"> – </w:t>
      </w:r>
      <w:r w:rsidR="00925367" w:rsidRPr="00117F40">
        <w:rPr>
          <w:rFonts w:cstheme="minorHAnsi"/>
          <w:b/>
          <w:noProof/>
          <w:color w:val="000000" w:themeColor="text1"/>
          <w:szCs w:val="24"/>
        </w:rPr>
        <w:t>J</w:t>
      </w:r>
    </w:p>
    <w:p w14:paraId="1A423E75" w14:textId="5CC3A3B9" w:rsidR="00925367" w:rsidRPr="009B6BB9" w:rsidRDefault="00925367" w:rsidP="00B05C2B">
      <w:pPr>
        <w:spacing w:before="120"/>
        <w:rPr>
          <w:rFonts w:cstheme="minorHAnsi"/>
          <w:noProof/>
          <w:color w:val="000000" w:themeColor="text1"/>
          <w:szCs w:val="28"/>
        </w:rPr>
      </w:pPr>
      <w:r w:rsidRPr="009B6BB9">
        <w:rPr>
          <w:rFonts w:cstheme="minorHAnsi"/>
          <w:noProof/>
          <w:color w:val="000000" w:themeColor="text1"/>
          <w:szCs w:val="28"/>
        </w:rPr>
        <w:t>Na kontrolním vzorku 19 druhů léčiv skupiny ATC</w:t>
      </w:r>
      <w:r w:rsidR="00481090">
        <w:rPr>
          <w:rFonts w:cstheme="minorHAnsi"/>
          <w:noProof/>
          <w:color w:val="000000" w:themeColor="text1"/>
          <w:szCs w:val="28"/>
        </w:rPr>
        <w:t xml:space="preserve"> – </w:t>
      </w:r>
      <w:r w:rsidRPr="009B6BB9">
        <w:rPr>
          <w:rFonts w:cstheme="minorHAnsi"/>
          <w:noProof/>
          <w:color w:val="000000" w:themeColor="text1"/>
          <w:szCs w:val="28"/>
        </w:rPr>
        <w:t xml:space="preserve">J, které pořizovaly v období 2014 až 2016 všechny </w:t>
      </w:r>
      <w:r>
        <w:rPr>
          <w:rFonts w:cstheme="minorHAnsi"/>
          <w:noProof/>
          <w:color w:val="000000" w:themeColor="text1"/>
          <w:szCs w:val="28"/>
        </w:rPr>
        <w:t>fakultní</w:t>
      </w:r>
      <w:r w:rsidRPr="009B6BB9">
        <w:rPr>
          <w:rFonts w:cstheme="minorHAnsi"/>
          <w:noProof/>
          <w:color w:val="000000" w:themeColor="text1"/>
          <w:szCs w:val="28"/>
        </w:rPr>
        <w:t xml:space="preserve"> nemocnice, NKÚ zjistil při porovnání jednotkových cen za jedno balení v jednotlivých letech rozdíly, které se </w:t>
      </w:r>
      <w:r w:rsidR="00B6487F" w:rsidRPr="009B6BB9">
        <w:rPr>
          <w:rFonts w:cstheme="minorHAnsi"/>
          <w:noProof/>
          <w:color w:val="000000" w:themeColor="text1"/>
          <w:szCs w:val="28"/>
        </w:rPr>
        <w:t xml:space="preserve">v procentuálním vyjádření </w:t>
      </w:r>
      <w:r w:rsidR="002D52C0" w:rsidRPr="007D3448">
        <w:rPr>
          <w:rFonts w:cstheme="minorHAnsi"/>
          <w:noProof/>
          <w:color w:val="000000" w:themeColor="text1"/>
          <w:szCs w:val="28"/>
        </w:rPr>
        <w:t xml:space="preserve">pohybovaly </w:t>
      </w:r>
      <w:r w:rsidR="00B6487F" w:rsidRPr="009B6BB9">
        <w:rPr>
          <w:rFonts w:cstheme="minorHAnsi"/>
          <w:noProof/>
          <w:color w:val="000000" w:themeColor="text1"/>
          <w:szCs w:val="28"/>
        </w:rPr>
        <w:t>od 0 % do 448,93</w:t>
      </w:r>
      <w:r w:rsidR="002D52C0">
        <w:rPr>
          <w:rFonts w:cstheme="minorHAnsi"/>
          <w:noProof/>
          <w:color w:val="000000" w:themeColor="text1"/>
          <w:szCs w:val="28"/>
        </w:rPr>
        <w:t> </w:t>
      </w:r>
      <w:r w:rsidR="00B6487F" w:rsidRPr="009B6BB9">
        <w:rPr>
          <w:rFonts w:cstheme="minorHAnsi"/>
          <w:noProof/>
          <w:color w:val="000000" w:themeColor="text1"/>
          <w:szCs w:val="28"/>
        </w:rPr>
        <w:t>%</w:t>
      </w:r>
      <w:r w:rsidR="002B1045">
        <w:rPr>
          <w:rFonts w:cstheme="minorHAnsi"/>
          <w:noProof/>
          <w:color w:val="000000" w:themeColor="text1"/>
          <w:szCs w:val="28"/>
        </w:rPr>
        <w:t xml:space="preserve"> a </w:t>
      </w:r>
      <w:r w:rsidRPr="009B6BB9">
        <w:rPr>
          <w:rFonts w:cstheme="minorHAnsi"/>
          <w:noProof/>
          <w:color w:val="000000" w:themeColor="text1"/>
          <w:szCs w:val="28"/>
        </w:rPr>
        <w:t>v absolutním vyjádření pohybovaly od 0 Kč do 9 496,28</w:t>
      </w:r>
      <w:r w:rsidR="00EF6D2C">
        <w:rPr>
          <w:rFonts w:cstheme="minorHAnsi"/>
          <w:noProof/>
          <w:color w:val="000000" w:themeColor="text1"/>
          <w:szCs w:val="28"/>
        </w:rPr>
        <w:t> </w:t>
      </w:r>
      <w:r w:rsidR="00B6487F">
        <w:rPr>
          <w:rFonts w:cstheme="minorHAnsi"/>
          <w:noProof/>
          <w:color w:val="000000" w:themeColor="text1"/>
          <w:szCs w:val="28"/>
        </w:rPr>
        <w:t>Kč</w:t>
      </w:r>
      <w:r w:rsidRPr="009B6BB9">
        <w:rPr>
          <w:rFonts w:cstheme="minorHAnsi"/>
          <w:noProof/>
          <w:color w:val="000000" w:themeColor="text1"/>
          <w:szCs w:val="28"/>
        </w:rPr>
        <w:t xml:space="preserve">. Ve zjištěných rozdílech nejsou zohledněna nakupovaná množství jednotlivých léků a objem získaných množstevních bonusů od dodavatelů. Všechny zjištěné rozdíly jsou </w:t>
      </w:r>
      <w:r w:rsidR="00F10342">
        <w:rPr>
          <w:rFonts w:cstheme="minorHAnsi"/>
          <w:noProof/>
          <w:color w:val="000000" w:themeColor="text1"/>
          <w:szCs w:val="28"/>
        </w:rPr>
        <w:t>uvedeny v </w:t>
      </w:r>
      <w:r w:rsidR="002D52C0">
        <w:rPr>
          <w:rFonts w:cstheme="minorHAnsi"/>
          <w:noProof/>
          <w:color w:val="000000" w:themeColor="text1"/>
          <w:szCs w:val="28"/>
        </w:rPr>
        <w:t>p</w:t>
      </w:r>
      <w:r w:rsidR="00F10342">
        <w:rPr>
          <w:rFonts w:cstheme="minorHAnsi"/>
          <w:noProof/>
          <w:color w:val="000000" w:themeColor="text1"/>
          <w:szCs w:val="28"/>
        </w:rPr>
        <w:t>říloze č. 2</w:t>
      </w:r>
      <w:r w:rsidRPr="008D515E">
        <w:rPr>
          <w:rFonts w:cstheme="minorHAnsi"/>
          <w:noProof/>
          <w:color w:val="000000" w:themeColor="text1"/>
          <w:szCs w:val="28"/>
        </w:rPr>
        <w:t xml:space="preserve"> tohoto kontrolního</w:t>
      </w:r>
      <w:r w:rsidRPr="009B6BB9">
        <w:rPr>
          <w:rFonts w:cstheme="minorHAnsi"/>
          <w:noProof/>
          <w:color w:val="000000" w:themeColor="text1"/>
          <w:szCs w:val="28"/>
        </w:rPr>
        <w:t xml:space="preserve"> závěru. </w:t>
      </w:r>
    </w:p>
    <w:p w14:paraId="7A62D4DC" w14:textId="2F7BD2F4" w:rsidR="00925367" w:rsidRDefault="00925367" w:rsidP="00B05C2B">
      <w:pPr>
        <w:spacing w:before="120"/>
        <w:rPr>
          <w:rFonts w:cstheme="minorHAnsi"/>
          <w:noProof/>
          <w:color w:val="000000" w:themeColor="text1"/>
          <w:szCs w:val="28"/>
        </w:rPr>
      </w:pPr>
      <w:r>
        <w:rPr>
          <w:rFonts w:cstheme="minorHAnsi"/>
          <w:noProof/>
          <w:color w:val="000000" w:themeColor="text1"/>
          <w:szCs w:val="28"/>
        </w:rPr>
        <w:t>Největší rozdíl v absolutní hodnotě nebo v procentuál</w:t>
      </w:r>
      <w:r w:rsidR="00B6465F">
        <w:rPr>
          <w:rFonts w:cstheme="minorHAnsi"/>
          <w:noProof/>
          <w:color w:val="000000" w:themeColor="text1"/>
          <w:szCs w:val="28"/>
        </w:rPr>
        <w:t>ním vyjádření byl zjištěn u léčiv</w:t>
      </w:r>
      <w:r>
        <w:rPr>
          <w:rFonts w:cstheme="minorHAnsi"/>
          <w:noProof/>
          <w:color w:val="000000" w:themeColor="text1"/>
          <w:szCs w:val="28"/>
        </w:rPr>
        <w:t xml:space="preserve"> pod kódy</w:t>
      </w:r>
      <w:r w:rsidR="00B6465F">
        <w:rPr>
          <w:rFonts w:cstheme="minorHAnsi"/>
          <w:noProof/>
          <w:color w:val="000000" w:themeColor="text1"/>
          <w:szCs w:val="28"/>
        </w:rPr>
        <w:t xml:space="preserve"> SÚKL</w:t>
      </w:r>
      <w:r>
        <w:rPr>
          <w:rFonts w:cstheme="minorHAnsi"/>
          <w:noProof/>
          <w:color w:val="000000" w:themeColor="text1"/>
          <w:szCs w:val="28"/>
        </w:rPr>
        <w:t>:</w:t>
      </w:r>
    </w:p>
    <w:p w14:paraId="3C8CEB44" w14:textId="4494ED6E" w:rsidR="00925367" w:rsidRPr="007D6E52" w:rsidRDefault="00262D89" w:rsidP="00B05C2B">
      <w:pPr>
        <w:pStyle w:val="Odstavecseseznamem"/>
        <w:numPr>
          <w:ilvl w:val="0"/>
          <w:numId w:val="34"/>
        </w:numPr>
        <w:ind w:left="284" w:hanging="284"/>
        <w:rPr>
          <w:rFonts w:cstheme="minorHAnsi"/>
          <w:noProof/>
          <w:color w:val="000000" w:themeColor="text1"/>
          <w:szCs w:val="28"/>
        </w:rPr>
      </w:pPr>
      <w:r>
        <w:rPr>
          <w:rFonts w:cstheme="minorHAnsi"/>
          <w:noProof/>
          <w:color w:val="000000" w:themeColor="text1"/>
          <w:szCs w:val="28"/>
        </w:rPr>
        <w:t>0</w:t>
      </w:r>
      <w:r w:rsidR="001A57E4">
        <w:rPr>
          <w:rFonts w:cstheme="minorHAnsi"/>
          <w:noProof/>
          <w:color w:val="000000" w:themeColor="text1"/>
          <w:szCs w:val="28"/>
        </w:rPr>
        <w:t>00</w:t>
      </w:r>
      <w:r w:rsidR="00925367">
        <w:rPr>
          <w:rFonts w:cstheme="minorHAnsi"/>
          <w:noProof/>
          <w:color w:val="000000" w:themeColor="text1"/>
          <w:szCs w:val="28"/>
        </w:rPr>
        <w:t>3708 (ZYVOXID</w:t>
      </w:r>
      <w:r w:rsidR="00925367" w:rsidRPr="00986619">
        <w:rPr>
          <w:rFonts w:cstheme="minorHAnsi"/>
          <w:noProof/>
          <w:color w:val="000000" w:themeColor="text1"/>
          <w:szCs w:val="28"/>
        </w:rPr>
        <w:t>) v roce 2015</w:t>
      </w:r>
      <w:r w:rsidR="00925367">
        <w:rPr>
          <w:rFonts w:cstheme="minorHAnsi"/>
          <w:noProof/>
          <w:color w:val="000000" w:themeColor="text1"/>
          <w:szCs w:val="28"/>
        </w:rPr>
        <w:t xml:space="preserve"> činil </w:t>
      </w:r>
      <w:r w:rsidR="004E0C94">
        <w:rPr>
          <w:rFonts w:cstheme="minorHAnsi"/>
          <w:noProof/>
          <w:color w:val="000000" w:themeColor="text1"/>
          <w:szCs w:val="28"/>
        </w:rPr>
        <w:t xml:space="preserve">rozdíl </w:t>
      </w:r>
      <w:r w:rsidR="00925367">
        <w:rPr>
          <w:rFonts w:cstheme="minorHAnsi"/>
          <w:noProof/>
          <w:color w:val="000000" w:themeColor="text1"/>
          <w:szCs w:val="28"/>
        </w:rPr>
        <w:t>9 496,28</w:t>
      </w:r>
      <w:r w:rsidR="00925367" w:rsidRPr="00986619">
        <w:rPr>
          <w:rFonts w:cstheme="minorHAnsi"/>
          <w:noProof/>
          <w:color w:val="000000" w:themeColor="text1"/>
          <w:szCs w:val="28"/>
        </w:rPr>
        <w:t xml:space="preserve"> Kč</w:t>
      </w:r>
      <w:r w:rsidR="00925367">
        <w:rPr>
          <w:rFonts w:cstheme="minorHAnsi"/>
          <w:noProof/>
          <w:color w:val="000000" w:themeColor="text1"/>
          <w:szCs w:val="28"/>
        </w:rPr>
        <w:t xml:space="preserve"> (tj. 448,93 %)</w:t>
      </w:r>
      <w:r w:rsidR="00925367" w:rsidRPr="00986619">
        <w:rPr>
          <w:rFonts w:cstheme="minorHAnsi"/>
          <w:noProof/>
          <w:color w:val="000000" w:themeColor="text1"/>
          <w:szCs w:val="28"/>
        </w:rPr>
        <w:t xml:space="preserve">, kdy </w:t>
      </w:r>
      <w:r w:rsidR="00925367">
        <w:rPr>
          <w:rFonts w:cstheme="minorHAnsi"/>
          <w:noProof/>
          <w:color w:val="000000" w:themeColor="text1"/>
          <w:szCs w:val="28"/>
        </w:rPr>
        <w:t>FNM</w:t>
      </w:r>
      <w:r w:rsidR="00925367" w:rsidRPr="00986619">
        <w:rPr>
          <w:rFonts w:cstheme="minorHAnsi"/>
          <w:noProof/>
          <w:color w:val="000000" w:themeColor="text1"/>
          <w:szCs w:val="28"/>
        </w:rPr>
        <w:t xml:space="preserve"> pořídila jedno balení za </w:t>
      </w:r>
      <w:r w:rsidR="00925367">
        <w:rPr>
          <w:rFonts w:cstheme="minorHAnsi"/>
          <w:noProof/>
          <w:color w:val="000000" w:themeColor="text1"/>
          <w:szCs w:val="28"/>
        </w:rPr>
        <w:t>2 115,30</w:t>
      </w:r>
      <w:r w:rsidR="00A60CF5">
        <w:rPr>
          <w:rFonts w:cstheme="minorHAnsi"/>
          <w:noProof/>
          <w:color w:val="000000" w:themeColor="text1"/>
          <w:szCs w:val="28"/>
        </w:rPr>
        <w:t xml:space="preserve"> Kč a FNB</w:t>
      </w:r>
      <w:r w:rsidR="00925367">
        <w:rPr>
          <w:rFonts w:cstheme="minorHAnsi"/>
          <w:noProof/>
          <w:color w:val="000000" w:themeColor="text1"/>
          <w:szCs w:val="28"/>
        </w:rPr>
        <w:t xml:space="preserve"> za 11 611,58 Kč. V roce 2016 činil 4 982,70</w:t>
      </w:r>
      <w:r w:rsidR="00925367" w:rsidRPr="00986619">
        <w:rPr>
          <w:rFonts w:cstheme="minorHAnsi"/>
          <w:noProof/>
          <w:color w:val="000000" w:themeColor="text1"/>
          <w:szCs w:val="28"/>
        </w:rPr>
        <w:t xml:space="preserve"> Kč</w:t>
      </w:r>
      <w:r w:rsidR="00925367">
        <w:rPr>
          <w:rFonts w:cstheme="minorHAnsi"/>
          <w:noProof/>
          <w:color w:val="000000" w:themeColor="text1"/>
          <w:szCs w:val="28"/>
        </w:rPr>
        <w:t xml:space="preserve"> (tj.</w:t>
      </w:r>
      <w:r w:rsidR="004E0C94">
        <w:rPr>
          <w:rFonts w:cstheme="minorHAnsi"/>
          <w:noProof/>
          <w:color w:val="000000" w:themeColor="text1"/>
          <w:szCs w:val="28"/>
        </w:rPr>
        <w:t> </w:t>
      </w:r>
      <w:r w:rsidR="00925367">
        <w:rPr>
          <w:rFonts w:cstheme="minorHAnsi"/>
          <w:noProof/>
          <w:color w:val="000000" w:themeColor="text1"/>
          <w:szCs w:val="28"/>
        </w:rPr>
        <w:t>235,56</w:t>
      </w:r>
      <w:r w:rsidR="004E0C94">
        <w:rPr>
          <w:rFonts w:cstheme="minorHAnsi"/>
          <w:noProof/>
          <w:color w:val="000000" w:themeColor="text1"/>
          <w:szCs w:val="28"/>
        </w:rPr>
        <w:t> </w:t>
      </w:r>
      <w:r w:rsidR="00925367">
        <w:rPr>
          <w:rFonts w:cstheme="minorHAnsi"/>
          <w:noProof/>
          <w:color w:val="000000" w:themeColor="text1"/>
          <w:szCs w:val="28"/>
        </w:rPr>
        <w:t>%)</w:t>
      </w:r>
      <w:r w:rsidR="00925367" w:rsidRPr="00986619">
        <w:rPr>
          <w:rFonts w:cstheme="minorHAnsi"/>
          <w:noProof/>
          <w:color w:val="000000" w:themeColor="text1"/>
          <w:szCs w:val="28"/>
        </w:rPr>
        <w:t xml:space="preserve">, kdy </w:t>
      </w:r>
      <w:r w:rsidR="00925367">
        <w:rPr>
          <w:rFonts w:cstheme="minorHAnsi"/>
          <w:noProof/>
          <w:color w:val="000000" w:themeColor="text1"/>
          <w:szCs w:val="28"/>
        </w:rPr>
        <w:t>FNM</w:t>
      </w:r>
      <w:r w:rsidR="00925367" w:rsidRPr="00986619">
        <w:rPr>
          <w:rFonts w:cstheme="minorHAnsi"/>
          <w:noProof/>
          <w:color w:val="000000" w:themeColor="text1"/>
          <w:szCs w:val="28"/>
        </w:rPr>
        <w:t xml:space="preserve"> pořídila jedno balení za </w:t>
      </w:r>
      <w:r w:rsidR="00925367">
        <w:rPr>
          <w:rFonts w:cstheme="minorHAnsi"/>
          <w:noProof/>
          <w:color w:val="000000" w:themeColor="text1"/>
          <w:szCs w:val="28"/>
        </w:rPr>
        <w:t>2 115,30</w:t>
      </w:r>
      <w:r w:rsidR="00925367" w:rsidRPr="00986619">
        <w:rPr>
          <w:rFonts w:cstheme="minorHAnsi"/>
          <w:noProof/>
          <w:color w:val="000000" w:themeColor="text1"/>
          <w:szCs w:val="28"/>
        </w:rPr>
        <w:t xml:space="preserve"> Kč a ÚVN</w:t>
      </w:r>
      <w:r w:rsidR="00925367">
        <w:rPr>
          <w:rFonts w:cstheme="minorHAnsi"/>
          <w:noProof/>
          <w:color w:val="000000" w:themeColor="text1"/>
          <w:szCs w:val="28"/>
        </w:rPr>
        <w:t xml:space="preserve"> za 7 098,00</w:t>
      </w:r>
      <w:r w:rsidR="00925367" w:rsidRPr="00986619">
        <w:rPr>
          <w:rFonts w:cstheme="minorHAnsi"/>
          <w:noProof/>
          <w:color w:val="000000" w:themeColor="text1"/>
          <w:szCs w:val="28"/>
        </w:rPr>
        <w:t xml:space="preserve"> Kč. </w:t>
      </w:r>
      <w:r w:rsidR="00925367">
        <w:rPr>
          <w:rFonts w:cstheme="minorHAnsi"/>
          <w:noProof/>
          <w:color w:val="000000" w:themeColor="text1"/>
          <w:szCs w:val="28"/>
        </w:rPr>
        <w:t xml:space="preserve">ÚVN nakupovala </w:t>
      </w:r>
      <w:r w:rsidR="00554E97">
        <w:rPr>
          <w:rFonts w:cstheme="minorHAnsi"/>
          <w:noProof/>
          <w:color w:val="000000" w:themeColor="text1"/>
          <w:szCs w:val="28"/>
        </w:rPr>
        <w:t xml:space="preserve">toto léčivo </w:t>
      </w:r>
      <w:r w:rsidR="00925367" w:rsidRPr="00F76CAE">
        <w:rPr>
          <w:rFonts w:cstheme="minorHAnsi"/>
          <w:noProof/>
          <w:color w:val="000000" w:themeColor="text1"/>
          <w:szCs w:val="28"/>
        </w:rPr>
        <w:t>v zanedbatelném množství. Pokles ceny od</w:t>
      </w:r>
      <w:r w:rsidR="004E0C94">
        <w:rPr>
          <w:rFonts w:cstheme="minorHAnsi"/>
          <w:noProof/>
          <w:color w:val="000000" w:themeColor="text1"/>
          <w:szCs w:val="28"/>
        </w:rPr>
        <w:t xml:space="preserve"> </w:t>
      </w:r>
      <w:r w:rsidR="00925367" w:rsidRPr="00F76CAE">
        <w:rPr>
          <w:rFonts w:cstheme="minorHAnsi"/>
          <w:noProof/>
          <w:color w:val="000000" w:themeColor="text1"/>
          <w:szCs w:val="28"/>
        </w:rPr>
        <w:t>roku 2015 byl způsoben ukončením patentové ochrany původního přípravku a vstupem generi</w:t>
      </w:r>
      <w:r w:rsidR="00925367">
        <w:rPr>
          <w:rFonts w:cstheme="minorHAnsi"/>
          <w:noProof/>
          <w:color w:val="000000" w:themeColor="text1"/>
          <w:szCs w:val="28"/>
        </w:rPr>
        <w:t>k na trh</w:t>
      </w:r>
      <w:r w:rsidR="00925367" w:rsidRPr="00F76CAE">
        <w:rPr>
          <w:rFonts w:cstheme="minorHAnsi"/>
          <w:noProof/>
          <w:color w:val="000000" w:themeColor="text1"/>
          <w:szCs w:val="28"/>
        </w:rPr>
        <w:t>.</w:t>
      </w:r>
    </w:p>
    <w:p w14:paraId="052A668D" w14:textId="3454DADD" w:rsidR="00925367" w:rsidRPr="001D78E4" w:rsidRDefault="00262D89" w:rsidP="00B05C2B">
      <w:pPr>
        <w:pStyle w:val="Odstavecseseznamem"/>
        <w:numPr>
          <w:ilvl w:val="0"/>
          <w:numId w:val="34"/>
        </w:numPr>
        <w:ind w:left="284" w:hanging="284"/>
        <w:rPr>
          <w:rFonts w:cstheme="minorHAnsi"/>
          <w:noProof/>
          <w:color w:val="000000" w:themeColor="text1"/>
          <w:szCs w:val="28"/>
        </w:rPr>
      </w:pPr>
      <w:r>
        <w:rPr>
          <w:rFonts w:cstheme="minorHAnsi"/>
          <w:noProof/>
          <w:color w:val="000000" w:themeColor="text1"/>
          <w:szCs w:val="28"/>
        </w:rPr>
        <w:t>0</w:t>
      </w:r>
      <w:r w:rsidR="001A57E4">
        <w:rPr>
          <w:rFonts w:cstheme="minorHAnsi"/>
          <w:noProof/>
          <w:color w:val="000000" w:themeColor="text1"/>
          <w:szCs w:val="28"/>
        </w:rPr>
        <w:t>0</w:t>
      </w:r>
      <w:r w:rsidR="00925367">
        <w:rPr>
          <w:rFonts w:cstheme="minorHAnsi"/>
          <w:noProof/>
          <w:color w:val="000000" w:themeColor="text1"/>
          <w:szCs w:val="28"/>
        </w:rPr>
        <w:t>26889 (VFEND</w:t>
      </w:r>
      <w:r w:rsidR="00A60CF5">
        <w:rPr>
          <w:rFonts w:cstheme="minorHAnsi"/>
          <w:noProof/>
          <w:color w:val="000000" w:themeColor="text1"/>
          <w:szCs w:val="28"/>
        </w:rPr>
        <w:t>) v roce 2016</w:t>
      </w:r>
      <w:r w:rsidR="00925367">
        <w:rPr>
          <w:rFonts w:cstheme="minorHAnsi"/>
          <w:noProof/>
          <w:color w:val="000000" w:themeColor="text1"/>
          <w:szCs w:val="28"/>
        </w:rPr>
        <w:t xml:space="preserve"> činil </w:t>
      </w:r>
      <w:r w:rsidR="004E0C94">
        <w:rPr>
          <w:rFonts w:cstheme="minorHAnsi"/>
          <w:noProof/>
          <w:color w:val="000000" w:themeColor="text1"/>
          <w:szCs w:val="28"/>
        </w:rPr>
        <w:t xml:space="preserve">rozdíl </w:t>
      </w:r>
      <w:r w:rsidR="00925367">
        <w:rPr>
          <w:rFonts w:cstheme="minorHAnsi"/>
          <w:noProof/>
          <w:color w:val="000000" w:themeColor="text1"/>
          <w:szCs w:val="28"/>
        </w:rPr>
        <w:t>6 223,42</w:t>
      </w:r>
      <w:r w:rsidR="00925367" w:rsidRPr="00986619">
        <w:rPr>
          <w:rFonts w:cstheme="minorHAnsi"/>
          <w:noProof/>
          <w:color w:val="000000" w:themeColor="text1"/>
          <w:szCs w:val="28"/>
        </w:rPr>
        <w:t xml:space="preserve"> Kč</w:t>
      </w:r>
      <w:r w:rsidR="00925367">
        <w:rPr>
          <w:rFonts w:cstheme="minorHAnsi"/>
          <w:noProof/>
          <w:color w:val="000000" w:themeColor="text1"/>
          <w:szCs w:val="28"/>
        </w:rPr>
        <w:t xml:space="preserve"> (tj. 83,67 %)</w:t>
      </w:r>
      <w:r w:rsidR="00925367" w:rsidRPr="00986619">
        <w:rPr>
          <w:rFonts w:cstheme="minorHAnsi"/>
          <w:noProof/>
          <w:color w:val="000000" w:themeColor="text1"/>
          <w:szCs w:val="28"/>
        </w:rPr>
        <w:t xml:space="preserve">, kdy </w:t>
      </w:r>
      <w:r w:rsidR="00925367">
        <w:rPr>
          <w:rFonts w:cstheme="minorHAnsi"/>
          <w:noProof/>
          <w:color w:val="000000" w:themeColor="text1"/>
          <w:szCs w:val="28"/>
        </w:rPr>
        <w:t>FNM</w:t>
      </w:r>
      <w:r w:rsidR="00925367" w:rsidRPr="00986619">
        <w:rPr>
          <w:rFonts w:cstheme="minorHAnsi"/>
          <w:noProof/>
          <w:color w:val="000000" w:themeColor="text1"/>
          <w:szCs w:val="28"/>
        </w:rPr>
        <w:t xml:space="preserve"> pořídila jedno balení za </w:t>
      </w:r>
      <w:r w:rsidR="00A60CF5">
        <w:rPr>
          <w:rFonts w:cstheme="minorHAnsi"/>
          <w:noProof/>
          <w:color w:val="000000" w:themeColor="text1"/>
          <w:szCs w:val="28"/>
        </w:rPr>
        <w:t>7 438,43 Kč a ÚVN</w:t>
      </w:r>
      <w:r w:rsidR="00925367">
        <w:rPr>
          <w:rFonts w:cstheme="minorHAnsi"/>
          <w:noProof/>
          <w:color w:val="000000" w:themeColor="text1"/>
          <w:szCs w:val="28"/>
        </w:rPr>
        <w:t xml:space="preserve"> za 13 661,85</w:t>
      </w:r>
      <w:r w:rsidR="00925367" w:rsidRPr="00986619">
        <w:rPr>
          <w:rFonts w:cstheme="minorHAnsi"/>
          <w:noProof/>
          <w:color w:val="000000" w:themeColor="text1"/>
          <w:szCs w:val="28"/>
        </w:rPr>
        <w:t xml:space="preserve"> </w:t>
      </w:r>
      <w:r w:rsidR="00925367" w:rsidRPr="00B4415A">
        <w:rPr>
          <w:rFonts w:cstheme="minorHAnsi"/>
          <w:noProof/>
          <w:color w:val="000000" w:themeColor="text1"/>
          <w:szCs w:val="28"/>
        </w:rPr>
        <w:t>Kč.</w:t>
      </w:r>
      <w:r w:rsidR="00820B09">
        <w:rPr>
          <w:rFonts w:cstheme="minorHAnsi"/>
          <w:noProof/>
          <w:color w:val="000000" w:themeColor="text1"/>
          <w:szCs w:val="28"/>
        </w:rPr>
        <w:t xml:space="preserve"> Důvodem snížení ceny bylo</w:t>
      </w:r>
      <w:r w:rsidR="00925367" w:rsidRPr="00B4415A">
        <w:rPr>
          <w:rFonts w:cstheme="minorHAnsi"/>
          <w:noProof/>
          <w:color w:val="000000" w:themeColor="text1"/>
          <w:szCs w:val="28"/>
        </w:rPr>
        <w:t xml:space="preserve"> </w:t>
      </w:r>
      <w:r w:rsidR="00925367" w:rsidRPr="001D78E4">
        <w:rPr>
          <w:rFonts w:cstheme="minorHAnsi"/>
          <w:noProof/>
          <w:color w:val="000000" w:themeColor="text1"/>
          <w:szCs w:val="28"/>
        </w:rPr>
        <w:t xml:space="preserve">uvedení </w:t>
      </w:r>
      <w:r w:rsidR="002E24A5" w:rsidRPr="001D78E4">
        <w:rPr>
          <w:rFonts w:cstheme="minorHAnsi"/>
          <w:noProof/>
          <w:color w:val="000000" w:themeColor="text1"/>
          <w:szCs w:val="28"/>
        </w:rPr>
        <w:t xml:space="preserve">generika </w:t>
      </w:r>
      <w:r w:rsidR="00925367" w:rsidRPr="001D78E4">
        <w:rPr>
          <w:rFonts w:cstheme="minorHAnsi"/>
          <w:noProof/>
          <w:color w:val="000000" w:themeColor="text1"/>
          <w:szCs w:val="28"/>
        </w:rPr>
        <w:t xml:space="preserve">na trh v druhé polovině roku 2016. </w:t>
      </w:r>
    </w:p>
    <w:p w14:paraId="46ACD057" w14:textId="6B1292A8" w:rsidR="00925367" w:rsidRDefault="00262D89" w:rsidP="00B05C2B">
      <w:pPr>
        <w:pStyle w:val="Odstavecseseznamem"/>
        <w:numPr>
          <w:ilvl w:val="0"/>
          <w:numId w:val="34"/>
        </w:numPr>
        <w:ind w:left="284" w:hanging="284"/>
        <w:rPr>
          <w:rFonts w:cstheme="minorHAnsi"/>
          <w:noProof/>
          <w:color w:val="000000" w:themeColor="text1"/>
          <w:szCs w:val="28"/>
        </w:rPr>
      </w:pPr>
      <w:r>
        <w:rPr>
          <w:rFonts w:cstheme="minorHAnsi"/>
          <w:noProof/>
          <w:color w:val="000000" w:themeColor="text1"/>
          <w:szCs w:val="28"/>
        </w:rPr>
        <w:t>0</w:t>
      </w:r>
      <w:r w:rsidR="00925367">
        <w:rPr>
          <w:rFonts w:cstheme="minorHAnsi"/>
          <w:noProof/>
          <w:color w:val="000000" w:themeColor="text1"/>
          <w:szCs w:val="28"/>
        </w:rPr>
        <w:t>198417 (ABELCET</w:t>
      </w:r>
      <w:r w:rsidR="00925367" w:rsidRPr="00986619">
        <w:rPr>
          <w:rFonts w:cstheme="minorHAnsi"/>
          <w:noProof/>
          <w:color w:val="000000" w:themeColor="text1"/>
          <w:szCs w:val="28"/>
        </w:rPr>
        <w:t>) v roce 2015</w:t>
      </w:r>
      <w:r w:rsidR="00925367">
        <w:rPr>
          <w:rFonts w:cstheme="minorHAnsi"/>
          <w:noProof/>
          <w:color w:val="000000" w:themeColor="text1"/>
          <w:szCs w:val="28"/>
        </w:rPr>
        <w:t xml:space="preserve"> činil </w:t>
      </w:r>
      <w:r w:rsidR="004E0C94">
        <w:rPr>
          <w:rFonts w:cstheme="minorHAnsi"/>
          <w:noProof/>
          <w:color w:val="000000" w:themeColor="text1"/>
          <w:szCs w:val="28"/>
        </w:rPr>
        <w:t xml:space="preserve">rozdíl </w:t>
      </w:r>
      <w:r w:rsidR="00925367">
        <w:rPr>
          <w:rFonts w:cstheme="minorHAnsi"/>
          <w:noProof/>
          <w:color w:val="000000" w:themeColor="text1"/>
          <w:szCs w:val="28"/>
        </w:rPr>
        <w:t>4 357,99</w:t>
      </w:r>
      <w:r w:rsidR="00925367" w:rsidRPr="00986619">
        <w:rPr>
          <w:rFonts w:cstheme="minorHAnsi"/>
          <w:noProof/>
          <w:color w:val="000000" w:themeColor="text1"/>
          <w:szCs w:val="28"/>
        </w:rPr>
        <w:t xml:space="preserve"> Kč</w:t>
      </w:r>
      <w:r w:rsidR="00925367">
        <w:rPr>
          <w:rFonts w:cstheme="minorHAnsi"/>
          <w:noProof/>
          <w:color w:val="000000" w:themeColor="text1"/>
          <w:szCs w:val="28"/>
        </w:rPr>
        <w:t xml:space="preserve"> (tj. 19,74 %)</w:t>
      </w:r>
      <w:r w:rsidR="00925367" w:rsidRPr="00986619">
        <w:rPr>
          <w:rFonts w:cstheme="minorHAnsi"/>
          <w:noProof/>
          <w:color w:val="000000" w:themeColor="text1"/>
          <w:szCs w:val="28"/>
        </w:rPr>
        <w:t xml:space="preserve">, kdy </w:t>
      </w:r>
      <w:r w:rsidR="00925367">
        <w:rPr>
          <w:rFonts w:cstheme="minorHAnsi"/>
          <w:noProof/>
          <w:color w:val="000000" w:themeColor="text1"/>
          <w:szCs w:val="28"/>
        </w:rPr>
        <w:t>ÚVN</w:t>
      </w:r>
      <w:r w:rsidR="00925367" w:rsidRPr="00986619">
        <w:rPr>
          <w:rFonts w:cstheme="minorHAnsi"/>
          <w:noProof/>
          <w:color w:val="000000" w:themeColor="text1"/>
          <w:szCs w:val="28"/>
        </w:rPr>
        <w:t xml:space="preserve"> pořídila jedno balení za </w:t>
      </w:r>
      <w:r w:rsidR="00925367">
        <w:rPr>
          <w:rFonts w:cstheme="minorHAnsi"/>
          <w:noProof/>
          <w:color w:val="000000" w:themeColor="text1"/>
          <w:szCs w:val="28"/>
        </w:rPr>
        <w:t>22 074,45 Kč a FNB za 26 432,44</w:t>
      </w:r>
      <w:r w:rsidR="00925367" w:rsidRPr="00986619">
        <w:rPr>
          <w:rFonts w:cstheme="minorHAnsi"/>
          <w:noProof/>
          <w:color w:val="000000" w:themeColor="text1"/>
          <w:szCs w:val="28"/>
        </w:rPr>
        <w:t xml:space="preserve"> Kč. </w:t>
      </w:r>
      <w:r w:rsidR="00925367" w:rsidRPr="00DD31CF">
        <w:rPr>
          <w:rFonts w:cstheme="minorHAnsi"/>
          <w:noProof/>
          <w:color w:val="000000" w:themeColor="text1"/>
          <w:szCs w:val="28"/>
        </w:rPr>
        <w:t xml:space="preserve">Důvodem </w:t>
      </w:r>
      <w:r w:rsidR="00925367">
        <w:rPr>
          <w:rFonts w:cstheme="minorHAnsi"/>
          <w:noProof/>
          <w:color w:val="000000" w:themeColor="text1"/>
          <w:szCs w:val="28"/>
        </w:rPr>
        <w:t xml:space="preserve">rozdílu </w:t>
      </w:r>
      <w:r w:rsidR="00925367" w:rsidRPr="00DD31CF">
        <w:rPr>
          <w:rFonts w:cstheme="minorHAnsi"/>
          <w:noProof/>
          <w:color w:val="000000" w:themeColor="text1"/>
          <w:szCs w:val="28"/>
        </w:rPr>
        <w:t xml:space="preserve">bylo, že </w:t>
      </w:r>
      <w:r w:rsidR="00925367">
        <w:rPr>
          <w:rFonts w:cstheme="minorHAnsi"/>
          <w:noProof/>
          <w:color w:val="000000" w:themeColor="text1"/>
          <w:szCs w:val="28"/>
        </w:rPr>
        <w:t xml:space="preserve">FNB pořizovala </w:t>
      </w:r>
      <w:r w:rsidR="00554E97">
        <w:rPr>
          <w:rFonts w:cstheme="minorHAnsi"/>
          <w:noProof/>
          <w:color w:val="000000" w:themeColor="text1"/>
          <w:szCs w:val="28"/>
        </w:rPr>
        <w:t>toto léčivo</w:t>
      </w:r>
      <w:r w:rsidR="00925367">
        <w:rPr>
          <w:rFonts w:cstheme="minorHAnsi"/>
          <w:noProof/>
          <w:color w:val="000000" w:themeColor="text1"/>
          <w:szCs w:val="28"/>
        </w:rPr>
        <w:t xml:space="preserve"> bez zadávacího řízení</w:t>
      </w:r>
      <w:r w:rsidR="004E0C94">
        <w:rPr>
          <w:rFonts w:cstheme="minorHAnsi"/>
          <w:noProof/>
          <w:color w:val="000000" w:themeColor="text1"/>
          <w:szCs w:val="28"/>
        </w:rPr>
        <w:t>,</w:t>
      </w:r>
      <w:r w:rsidR="00925367">
        <w:rPr>
          <w:rFonts w:cstheme="minorHAnsi"/>
          <w:noProof/>
          <w:color w:val="000000" w:themeColor="text1"/>
          <w:szCs w:val="28"/>
        </w:rPr>
        <w:t xml:space="preserve"> na rozdíl od ÚVN.</w:t>
      </w:r>
    </w:p>
    <w:p w14:paraId="6EC17E62" w14:textId="2065661C" w:rsidR="00925367" w:rsidRPr="00986619" w:rsidRDefault="00262D89" w:rsidP="00B05C2B">
      <w:pPr>
        <w:pStyle w:val="Odstavecseseznamem"/>
        <w:numPr>
          <w:ilvl w:val="0"/>
          <w:numId w:val="34"/>
        </w:numPr>
        <w:ind w:left="284" w:hanging="284"/>
        <w:rPr>
          <w:rFonts w:cstheme="minorHAnsi"/>
          <w:noProof/>
          <w:color w:val="000000" w:themeColor="text1"/>
          <w:szCs w:val="28"/>
        </w:rPr>
      </w:pPr>
      <w:r>
        <w:rPr>
          <w:rFonts w:cstheme="minorHAnsi"/>
          <w:noProof/>
          <w:color w:val="000000" w:themeColor="text1"/>
          <w:szCs w:val="28"/>
        </w:rPr>
        <w:t>0</w:t>
      </w:r>
      <w:r w:rsidR="00925367">
        <w:rPr>
          <w:rFonts w:cstheme="minorHAnsi"/>
          <w:noProof/>
          <w:color w:val="000000" w:themeColor="text1"/>
          <w:szCs w:val="28"/>
        </w:rPr>
        <w:t>113453 (PIPERACILIN/TAZOBACTAM</w:t>
      </w:r>
      <w:r w:rsidR="00925367" w:rsidRPr="00986619">
        <w:rPr>
          <w:rFonts w:cstheme="minorHAnsi"/>
          <w:noProof/>
          <w:color w:val="000000" w:themeColor="text1"/>
          <w:szCs w:val="28"/>
        </w:rPr>
        <w:t>) v roce 2015</w:t>
      </w:r>
      <w:r w:rsidR="00925367">
        <w:rPr>
          <w:rFonts w:cstheme="minorHAnsi"/>
          <w:noProof/>
          <w:color w:val="000000" w:themeColor="text1"/>
          <w:szCs w:val="28"/>
        </w:rPr>
        <w:t xml:space="preserve"> činil </w:t>
      </w:r>
      <w:r w:rsidR="004E0C94">
        <w:rPr>
          <w:rFonts w:cstheme="minorHAnsi"/>
          <w:noProof/>
          <w:color w:val="000000" w:themeColor="text1"/>
          <w:szCs w:val="28"/>
        </w:rPr>
        <w:t xml:space="preserve">rozdíl </w:t>
      </w:r>
      <w:r w:rsidR="00925367">
        <w:rPr>
          <w:rFonts w:cstheme="minorHAnsi"/>
          <w:noProof/>
          <w:color w:val="000000" w:themeColor="text1"/>
          <w:szCs w:val="28"/>
        </w:rPr>
        <w:t>1 717,50</w:t>
      </w:r>
      <w:r w:rsidR="00925367" w:rsidRPr="00986619">
        <w:rPr>
          <w:rFonts w:cstheme="minorHAnsi"/>
          <w:noProof/>
          <w:color w:val="000000" w:themeColor="text1"/>
          <w:szCs w:val="28"/>
        </w:rPr>
        <w:t xml:space="preserve"> Kč</w:t>
      </w:r>
      <w:r w:rsidR="00925367">
        <w:rPr>
          <w:rFonts w:cstheme="minorHAnsi"/>
          <w:noProof/>
          <w:color w:val="000000" w:themeColor="text1"/>
          <w:szCs w:val="28"/>
        </w:rPr>
        <w:t xml:space="preserve"> (tj. 446,10 %)</w:t>
      </w:r>
      <w:r w:rsidR="00925367" w:rsidRPr="00986619">
        <w:rPr>
          <w:rFonts w:cstheme="minorHAnsi"/>
          <w:noProof/>
          <w:color w:val="000000" w:themeColor="text1"/>
          <w:szCs w:val="28"/>
        </w:rPr>
        <w:t xml:space="preserve">, kdy </w:t>
      </w:r>
      <w:r w:rsidR="00925367">
        <w:rPr>
          <w:rFonts w:cstheme="minorHAnsi"/>
          <w:noProof/>
          <w:color w:val="000000" w:themeColor="text1"/>
          <w:szCs w:val="28"/>
        </w:rPr>
        <w:t>FNM</w:t>
      </w:r>
      <w:r w:rsidR="00925367" w:rsidRPr="00986619">
        <w:rPr>
          <w:rFonts w:cstheme="minorHAnsi"/>
          <w:noProof/>
          <w:color w:val="000000" w:themeColor="text1"/>
          <w:szCs w:val="28"/>
        </w:rPr>
        <w:t xml:space="preserve"> pořídila jedno balení za </w:t>
      </w:r>
      <w:r w:rsidR="00925367">
        <w:rPr>
          <w:rFonts w:cstheme="minorHAnsi"/>
          <w:noProof/>
          <w:color w:val="000000" w:themeColor="text1"/>
          <w:szCs w:val="28"/>
        </w:rPr>
        <w:t>385,00 Kč a ÚVN za 2 102,50</w:t>
      </w:r>
      <w:r w:rsidR="00925367" w:rsidRPr="00986619">
        <w:rPr>
          <w:rFonts w:cstheme="minorHAnsi"/>
          <w:noProof/>
          <w:color w:val="000000" w:themeColor="text1"/>
          <w:szCs w:val="28"/>
        </w:rPr>
        <w:t xml:space="preserve"> Kč. </w:t>
      </w:r>
      <w:r w:rsidR="00925367">
        <w:rPr>
          <w:rFonts w:cstheme="minorHAnsi"/>
          <w:noProof/>
          <w:color w:val="000000" w:themeColor="text1"/>
          <w:szCs w:val="28"/>
        </w:rPr>
        <w:t>Jednalo se o nákupy od stejného dodavatele v rozmezí dvou měsíců bez zadávacího řízení. ÚVN nakupovala od 8. 7.</w:t>
      </w:r>
      <w:r w:rsidR="004E0C94">
        <w:rPr>
          <w:rFonts w:cstheme="minorHAnsi"/>
          <w:noProof/>
          <w:color w:val="000000" w:themeColor="text1"/>
          <w:szCs w:val="28"/>
        </w:rPr>
        <w:t> </w:t>
      </w:r>
      <w:r w:rsidR="00925367">
        <w:rPr>
          <w:rFonts w:cstheme="minorHAnsi"/>
          <w:noProof/>
          <w:color w:val="000000" w:themeColor="text1"/>
          <w:szCs w:val="28"/>
        </w:rPr>
        <w:t>2015 na základě zadávacího řízení za cenu 1 154,89 Kč vč. DPH.</w:t>
      </w:r>
    </w:p>
    <w:p w14:paraId="101A5B35" w14:textId="4A0E70C8" w:rsidR="00925367" w:rsidRDefault="00262D89" w:rsidP="00B05C2B">
      <w:pPr>
        <w:pStyle w:val="Odstavecseseznamem"/>
        <w:numPr>
          <w:ilvl w:val="0"/>
          <w:numId w:val="34"/>
        </w:numPr>
        <w:ind w:left="284" w:hanging="284"/>
        <w:rPr>
          <w:rFonts w:cstheme="minorHAnsi"/>
          <w:noProof/>
          <w:color w:val="000000" w:themeColor="text1"/>
          <w:szCs w:val="28"/>
        </w:rPr>
      </w:pPr>
      <w:r>
        <w:rPr>
          <w:rFonts w:cstheme="minorHAnsi"/>
          <w:noProof/>
          <w:color w:val="000000" w:themeColor="text1"/>
          <w:szCs w:val="28"/>
        </w:rPr>
        <w:t>0</w:t>
      </w:r>
      <w:r w:rsidR="00925367">
        <w:rPr>
          <w:rFonts w:cstheme="minorHAnsi"/>
          <w:noProof/>
          <w:color w:val="000000" w:themeColor="text1"/>
          <w:szCs w:val="28"/>
        </w:rPr>
        <w:t>156835 (MEROPENEM</w:t>
      </w:r>
      <w:r w:rsidR="00DD5E91">
        <w:rPr>
          <w:rFonts w:cstheme="minorHAnsi"/>
          <w:noProof/>
          <w:color w:val="000000" w:themeColor="text1"/>
          <w:szCs w:val="28"/>
        </w:rPr>
        <w:t xml:space="preserve"> </w:t>
      </w:r>
      <w:r w:rsidR="00925367">
        <w:rPr>
          <w:rFonts w:cstheme="minorHAnsi"/>
          <w:noProof/>
          <w:color w:val="000000" w:themeColor="text1"/>
          <w:szCs w:val="28"/>
        </w:rPr>
        <w:t>KABI</w:t>
      </w:r>
      <w:r w:rsidR="00925367" w:rsidRPr="00986619">
        <w:rPr>
          <w:rFonts w:cstheme="minorHAnsi"/>
          <w:noProof/>
          <w:color w:val="000000" w:themeColor="text1"/>
          <w:szCs w:val="28"/>
        </w:rPr>
        <w:t xml:space="preserve">) </w:t>
      </w:r>
      <w:r w:rsidR="00925367">
        <w:rPr>
          <w:rFonts w:cstheme="minorHAnsi"/>
          <w:noProof/>
          <w:color w:val="000000" w:themeColor="text1"/>
          <w:szCs w:val="28"/>
        </w:rPr>
        <w:t xml:space="preserve">v roce 2015 činil </w:t>
      </w:r>
      <w:r w:rsidR="004E0C94">
        <w:rPr>
          <w:rFonts w:cstheme="minorHAnsi"/>
          <w:noProof/>
          <w:color w:val="000000" w:themeColor="text1"/>
          <w:szCs w:val="28"/>
        </w:rPr>
        <w:t xml:space="preserve">rozdíl </w:t>
      </w:r>
      <w:r w:rsidR="00925367">
        <w:rPr>
          <w:rFonts w:cstheme="minorHAnsi"/>
          <w:noProof/>
          <w:color w:val="000000" w:themeColor="text1"/>
          <w:szCs w:val="28"/>
        </w:rPr>
        <w:t>2 344,10</w:t>
      </w:r>
      <w:r w:rsidR="00925367" w:rsidRPr="00986619">
        <w:rPr>
          <w:rFonts w:cstheme="minorHAnsi"/>
          <w:noProof/>
          <w:color w:val="000000" w:themeColor="text1"/>
          <w:szCs w:val="28"/>
        </w:rPr>
        <w:t xml:space="preserve"> Kč</w:t>
      </w:r>
      <w:r w:rsidR="00925367">
        <w:rPr>
          <w:rFonts w:cstheme="minorHAnsi"/>
          <w:noProof/>
          <w:color w:val="000000" w:themeColor="text1"/>
          <w:szCs w:val="28"/>
        </w:rPr>
        <w:t xml:space="preserve"> (tj. 245,22 %)</w:t>
      </w:r>
      <w:r w:rsidR="00925367" w:rsidRPr="00986619">
        <w:rPr>
          <w:rFonts w:cstheme="minorHAnsi"/>
          <w:noProof/>
          <w:color w:val="000000" w:themeColor="text1"/>
          <w:szCs w:val="28"/>
        </w:rPr>
        <w:t xml:space="preserve">, kdy </w:t>
      </w:r>
      <w:r w:rsidR="00925367">
        <w:rPr>
          <w:rFonts w:cstheme="minorHAnsi"/>
          <w:noProof/>
          <w:color w:val="000000" w:themeColor="text1"/>
          <w:szCs w:val="28"/>
        </w:rPr>
        <w:t>ÚVN</w:t>
      </w:r>
      <w:r w:rsidR="00925367" w:rsidRPr="00986619">
        <w:rPr>
          <w:rFonts w:cstheme="minorHAnsi"/>
          <w:noProof/>
          <w:color w:val="000000" w:themeColor="text1"/>
          <w:szCs w:val="28"/>
        </w:rPr>
        <w:t xml:space="preserve"> pořídila jedno balení za </w:t>
      </w:r>
      <w:r w:rsidR="00925367">
        <w:rPr>
          <w:rFonts w:cstheme="minorHAnsi"/>
          <w:noProof/>
          <w:color w:val="000000" w:themeColor="text1"/>
          <w:szCs w:val="28"/>
        </w:rPr>
        <w:t>955,90 Kč a FNB za 3 300,00</w:t>
      </w:r>
      <w:r w:rsidR="00925367" w:rsidRPr="00986619">
        <w:rPr>
          <w:rFonts w:cstheme="minorHAnsi"/>
          <w:noProof/>
          <w:color w:val="000000" w:themeColor="text1"/>
          <w:szCs w:val="28"/>
        </w:rPr>
        <w:t xml:space="preserve"> Kč. </w:t>
      </w:r>
      <w:r w:rsidR="00925367">
        <w:rPr>
          <w:rFonts w:cstheme="minorHAnsi"/>
          <w:noProof/>
          <w:color w:val="000000" w:themeColor="text1"/>
          <w:szCs w:val="28"/>
        </w:rPr>
        <w:t xml:space="preserve">FNB pořizovala </w:t>
      </w:r>
      <w:r w:rsidR="00554E97">
        <w:rPr>
          <w:rFonts w:cstheme="minorHAnsi"/>
          <w:noProof/>
          <w:color w:val="000000" w:themeColor="text1"/>
          <w:szCs w:val="28"/>
        </w:rPr>
        <w:t xml:space="preserve">léčivo </w:t>
      </w:r>
      <w:r w:rsidR="00925367">
        <w:rPr>
          <w:rFonts w:cstheme="minorHAnsi"/>
          <w:noProof/>
          <w:color w:val="000000" w:themeColor="text1"/>
          <w:szCs w:val="28"/>
        </w:rPr>
        <w:t xml:space="preserve">k </w:t>
      </w:r>
      <w:r w:rsidR="00DD5E91">
        <w:rPr>
          <w:rFonts w:cstheme="minorHAnsi"/>
          <w:noProof/>
          <w:color w:val="000000" w:themeColor="text1"/>
          <w:szCs w:val="28"/>
        </w:rPr>
        <w:t xml:space="preserve">na základě objednávky </w:t>
      </w:r>
      <w:r w:rsidR="00925367">
        <w:rPr>
          <w:rFonts w:cstheme="minorHAnsi"/>
          <w:noProof/>
          <w:color w:val="000000" w:themeColor="text1"/>
          <w:szCs w:val="28"/>
        </w:rPr>
        <w:t>bez zadávacího řízení na rozdíl od ÚVN.</w:t>
      </w:r>
    </w:p>
    <w:p w14:paraId="0DF38789" w14:textId="3B45E948" w:rsidR="00BF5D38" w:rsidRPr="00D8341A" w:rsidRDefault="0008554B" w:rsidP="00B05C2B">
      <w:pPr>
        <w:spacing w:before="120"/>
        <w:rPr>
          <w:rFonts w:cstheme="minorHAnsi"/>
          <w:i/>
        </w:rPr>
      </w:pPr>
      <w:r w:rsidRPr="0008554B">
        <w:rPr>
          <w:rFonts w:cs="Arial"/>
          <w:b/>
          <w:color w:val="000000" w:themeColor="text1"/>
          <w:szCs w:val="24"/>
        </w:rPr>
        <w:t xml:space="preserve">Mezi FN byly </w:t>
      </w:r>
      <w:r w:rsidR="004E0C94">
        <w:rPr>
          <w:rFonts w:cs="Arial"/>
          <w:b/>
          <w:color w:val="000000" w:themeColor="text1"/>
          <w:szCs w:val="24"/>
        </w:rPr>
        <w:t xml:space="preserve">zjištěny </w:t>
      </w:r>
      <w:r w:rsidR="004E0C94" w:rsidRPr="0008554B">
        <w:rPr>
          <w:rFonts w:cs="Arial"/>
          <w:b/>
          <w:color w:val="000000" w:themeColor="text1"/>
          <w:szCs w:val="24"/>
        </w:rPr>
        <w:t xml:space="preserve">významné cenové rozdíly </w:t>
      </w:r>
      <w:r w:rsidRPr="0008554B">
        <w:rPr>
          <w:rFonts w:cs="Arial"/>
          <w:b/>
          <w:color w:val="000000" w:themeColor="text1"/>
          <w:szCs w:val="24"/>
        </w:rPr>
        <w:t xml:space="preserve">v jednotkových nákupních cenách vybraného vzorku léčiv, často i od stejných dodavatelů. </w:t>
      </w:r>
      <w:r w:rsidR="00D8341A" w:rsidRPr="00D8341A">
        <w:rPr>
          <w:rFonts w:cstheme="minorHAnsi"/>
          <w:b/>
        </w:rPr>
        <w:t xml:space="preserve">Rozdílné jednotkové ceny vybraného vzorku léčiv byly ovlivněny zejména mimořádnými slevami dodavatelů při doprodeji v distribuci, marží dodavatelů, průběžnou změnou ceníků dodavatelů, existencí jediného výrobce, výpadky smluvního dodavatele, pořizováním bez zadávacího řízení, přímou distribucí jediným dodavatelem a zavedením </w:t>
      </w:r>
      <w:proofErr w:type="spellStart"/>
      <w:r w:rsidR="00D8341A" w:rsidRPr="00D8341A">
        <w:rPr>
          <w:rFonts w:cstheme="minorHAnsi"/>
          <w:b/>
        </w:rPr>
        <w:t>generika</w:t>
      </w:r>
      <w:proofErr w:type="spellEnd"/>
      <w:r w:rsidR="00D8341A" w:rsidRPr="00D8341A">
        <w:rPr>
          <w:rFonts w:cstheme="minorHAnsi"/>
          <w:b/>
        </w:rPr>
        <w:t xml:space="preserve"> na trh.</w:t>
      </w:r>
      <w:r w:rsidR="00D8341A">
        <w:rPr>
          <w:rFonts w:cstheme="minorHAnsi"/>
          <w:i/>
        </w:rPr>
        <w:t xml:space="preserve"> </w:t>
      </w:r>
      <w:r w:rsidR="00F81886" w:rsidRPr="00F81886">
        <w:rPr>
          <w:rFonts w:cs="Arial"/>
          <w:b/>
          <w:color w:val="000000" w:themeColor="text1"/>
          <w:szCs w:val="24"/>
        </w:rPr>
        <w:t>Ve značných cenových rozdílech léčiv</w:t>
      </w:r>
      <w:r w:rsidR="00F81886">
        <w:rPr>
          <w:rFonts w:cs="Arial"/>
          <w:color w:val="000000" w:themeColor="text1"/>
          <w:szCs w:val="24"/>
        </w:rPr>
        <w:t xml:space="preserve"> </w:t>
      </w:r>
      <w:r w:rsidR="002D0662" w:rsidRPr="002D0662">
        <w:rPr>
          <w:rFonts w:cs="Arial"/>
          <w:b/>
          <w:color w:val="000000" w:themeColor="text1"/>
          <w:szCs w:val="24"/>
        </w:rPr>
        <w:t>NKÚ spatřuje prostor pro snižování nákladů</w:t>
      </w:r>
      <w:r w:rsidR="00507B53">
        <w:rPr>
          <w:rFonts w:cs="Arial"/>
          <w:b/>
          <w:color w:val="000000" w:themeColor="text1"/>
          <w:szCs w:val="24"/>
        </w:rPr>
        <w:t>, jak bylo zjištěno např. při porovnání cen u</w:t>
      </w:r>
      <w:r w:rsidR="00BC20B3">
        <w:rPr>
          <w:rFonts w:cs="Arial"/>
          <w:b/>
          <w:color w:val="000000" w:themeColor="text1"/>
          <w:szCs w:val="24"/>
        </w:rPr>
        <w:t> </w:t>
      </w:r>
      <w:r w:rsidR="00507B53">
        <w:rPr>
          <w:rFonts w:cs="Arial"/>
          <w:b/>
          <w:color w:val="000000" w:themeColor="text1"/>
          <w:szCs w:val="24"/>
        </w:rPr>
        <w:t xml:space="preserve">léčiva kód SÚKL </w:t>
      </w:r>
      <w:r w:rsidR="00E22AF0">
        <w:rPr>
          <w:rFonts w:cs="Arial"/>
          <w:b/>
          <w:color w:val="000000" w:themeColor="text1"/>
          <w:szCs w:val="24"/>
        </w:rPr>
        <w:t>0</w:t>
      </w:r>
      <w:r w:rsidR="00507B53" w:rsidRPr="00507B53">
        <w:rPr>
          <w:rFonts w:cs="Arial"/>
          <w:b/>
          <w:color w:val="000000" w:themeColor="text1"/>
          <w:szCs w:val="24"/>
        </w:rPr>
        <w:t>198417 (ABELCET</w:t>
      </w:r>
      <w:r w:rsidR="00507B53">
        <w:rPr>
          <w:rFonts w:cs="Arial"/>
          <w:b/>
          <w:color w:val="000000" w:themeColor="text1"/>
          <w:szCs w:val="24"/>
        </w:rPr>
        <w:t xml:space="preserve">) a kód SÚKL </w:t>
      </w:r>
      <w:r w:rsidR="00E22AF0">
        <w:rPr>
          <w:rFonts w:cs="Arial"/>
          <w:b/>
          <w:color w:val="000000" w:themeColor="text1"/>
          <w:szCs w:val="24"/>
        </w:rPr>
        <w:t>0</w:t>
      </w:r>
      <w:r w:rsidR="00507B53" w:rsidRPr="00507B53">
        <w:rPr>
          <w:rFonts w:cs="Arial"/>
          <w:b/>
          <w:color w:val="000000" w:themeColor="text1"/>
          <w:szCs w:val="24"/>
        </w:rPr>
        <w:t>156835 (MEROPENEM</w:t>
      </w:r>
      <w:r w:rsidR="00DD5E91">
        <w:rPr>
          <w:rFonts w:cs="Arial"/>
          <w:b/>
          <w:color w:val="000000" w:themeColor="text1"/>
          <w:szCs w:val="24"/>
        </w:rPr>
        <w:t xml:space="preserve"> </w:t>
      </w:r>
      <w:r w:rsidR="00507B53" w:rsidRPr="00507B53">
        <w:rPr>
          <w:rFonts w:cs="Arial"/>
          <w:b/>
          <w:color w:val="000000" w:themeColor="text1"/>
          <w:szCs w:val="24"/>
        </w:rPr>
        <w:t>KABI)</w:t>
      </w:r>
      <w:r w:rsidR="00507B53">
        <w:rPr>
          <w:rFonts w:cs="Arial"/>
          <w:b/>
          <w:color w:val="000000" w:themeColor="text1"/>
          <w:szCs w:val="24"/>
        </w:rPr>
        <w:t>, kdy levněji byly pořízeny na základě zadávacího řízení.</w:t>
      </w:r>
    </w:p>
    <w:p w14:paraId="7A9D3994" w14:textId="32856DC7" w:rsidR="00CF25F1" w:rsidRPr="00B05C2B" w:rsidRDefault="00B05C2B" w:rsidP="00757BF0">
      <w:pPr>
        <w:spacing w:before="240" w:after="120"/>
        <w:rPr>
          <w:rFonts w:cstheme="minorHAnsi"/>
          <w:b/>
          <w:noProof/>
          <w:color w:val="000000" w:themeColor="text1"/>
          <w:szCs w:val="26"/>
        </w:rPr>
      </w:pPr>
      <w:r w:rsidRPr="00B05C2B">
        <w:rPr>
          <w:rFonts w:cs="Arial"/>
          <w:b/>
          <w:color w:val="000000" w:themeColor="text1"/>
          <w:szCs w:val="26"/>
        </w:rPr>
        <w:t xml:space="preserve">1.3 </w:t>
      </w:r>
      <w:r w:rsidR="00CF25F1" w:rsidRPr="00B05C2B">
        <w:rPr>
          <w:rFonts w:cs="Arial"/>
          <w:b/>
          <w:color w:val="000000" w:themeColor="text1"/>
          <w:szCs w:val="26"/>
        </w:rPr>
        <w:t>Bonusy</w:t>
      </w:r>
      <w:r w:rsidR="00C62B7E" w:rsidRPr="00B05C2B">
        <w:rPr>
          <w:rFonts w:cs="Arial"/>
          <w:b/>
          <w:color w:val="000000" w:themeColor="text1"/>
          <w:szCs w:val="26"/>
        </w:rPr>
        <w:t xml:space="preserve"> za léčiva</w:t>
      </w:r>
    </w:p>
    <w:p w14:paraId="1778C476" w14:textId="5C50E983" w:rsidR="00CF25F1" w:rsidRDefault="00CF25F1" w:rsidP="00B05C2B">
      <w:pPr>
        <w:autoSpaceDE w:val="0"/>
        <w:autoSpaceDN w:val="0"/>
        <w:adjustRightInd w:val="0"/>
        <w:spacing w:before="120"/>
        <w:rPr>
          <w:rFonts w:cs="Arial"/>
          <w:color w:val="000000" w:themeColor="text1"/>
        </w:rPr>
      </w:pPr>
      <w:r>
        <w:rPr>
          <w:rFonts w:cs="Arial"/>
          <w:color w:val="000000" w:themeColor="text1"/>
        </w:rPr>
        <w:t xml:space="preserve">V následující tabulce jsou uvedeny přijaté bonusy </w:t>
      </w:r>
      <w:r w:rsidR="00802443">
        <w:rPr>
          <w:rFonts w:cs="Arial"/>
          <w:color w:val="000000" w:themeColor="text1"/>
        </w:rPr>
        <w:t>související s nákupy léčiv jednotlivých fakultních nemocnic</w:t>
      </w:r>
      <w:r>
        <w:rPr>
          <w:rFonts w:cs="Arial"/>
          <w:color w:val="000000" w:themeColor="text1"/>
        </w:rPr>
        <w:t xml:space="preserve"> v o</w:t>
      </w:r>
      <w:r w:rsidR="00445BEE">
        <w:rPr>
          <w:rFonts w:cs="Arial"/>
          <w:color w:val="000000" w:themeColor="text1"/>
        </w:rPr>
        <w:t xml:space="preserve">bdobí 2014 až 2016. </w:t>
      </w:r>
    </w:p>
    <w:p w14:paraId="0BF53CD0" w14:textId="2D6D8D59" w:rsidR="0021797B" w:rsidRPr="00162A64" w:rsidRDefault="000C4D53" w:rsidP="00162A64">
      <w:pPr>
        <w:keepNext/>
        <w:tabs>
          <w:tab w:val="right" w:pos="9072"/>
        </w:tabs>
        <w:autoSpaceDE w:val="0"/>
        <w:autoSpaceDN w:val="0"/>
        <w:adjustRightInd w:val="0"/>
        <w:spacing w:before="120" w:after="40"/>
        <w:rPr>
          <w:rFonts w:cs="Arial"/>
          <w:b/>
          <w:color w:val="000000" w:themeColor="text1"/>
        </w:rPr>
      </w:pPr>
      <w:r w:rsidRPr="00162A64">
        <w:rPr>
          <w:rFonts w:cs="Arial"/>
          <w:b/>
          <w:color w:val="000000" w:themeColor="text1"/>
        </w:rPr>
        <w:t>Tabul</w:t>
      </w:r>
      <w:r w:rsidR="00C465C8" w:rsidRPr="00162A64">
        <w:rPr>
          <w:rFonts w:cs="Arial"/>
          <w:b/>
          <w:color w:val="000000" w:themeColor="text1"/>
        </w:rPr>
        <w:t>ka č. 9</w:t>
      </w:r>
      <w:r w:rsidR="00802443" w:rsidRPr="00162A64">
        <w:rPr>
          <w:rFonts w:cs="Arial"/>
          <w:b/>
          <w:color w:val="000000" w:themeColor="text1"/>
        </w:rPr>
        <w:t xml:space="preserve">: </w:t>
      </w:r>
      <w:r w:rsidR="00445BEE" w:rsidRPr="00162A64">
        <w:rPr>
          <w:rFonts w:cs="Arial"/>
          <w:b/>
          <w:color w:val="000000" w:themeColor="text1"/>
        </w:rPr>
        <w:t>Podíl bonusů</w:t>
      </w:r>
      <w:r w:rsidR="00802443" w:rsidRPr="00162A64">
        <w:rPr>
          <w:rFonts w:cs="Arial"/>
          <w:b/>
          <w:color w:val="000000" w:themeColor="text1"/>
        </w:rPr>
        <w:t xml:space="preserve"> </w:t>
      </w:r>
      <w:r w:rsidR="00445BEE" w:rsidRPr="00162A64">
        <w:rPr>
          <w:rFonts w:cs="Arial"/>
          <w:b/>
          <w:color w:val="000000" w:themeColor="text1"/>
        </w:rPr>
        <w:t xml:space="preserve">na nákladech </w:t>
      </w:r>
      <w:r w:rsidR="00802443" w:rsidRPr="00162A64">
        <w:rPr>
          <w:rFonts w:cs="Arial"/>
          <w:b/>
          <w:color w:val="000000" w:themeColor="text1"/>
        </w:rPr>
        <w:t>za léčiva v období 2014 až 2016</w:t>
      </w:r>
      <w:r w:rsidR="00445BEE" w:rsidRPr="00162A64">
        <w:rPr>
          <w:rFonts w:cs="Arial"/>
          <w:b/>
          <w:color w:val="000000" w:themeColor="text1"/>
        </w:rPr>
        <w:t xml:space="preserve"> </w:t>
      </w:r>
      <w:r w:rsidR="0021797B" w:rsidRPr="00162A64">
        <w:rPr>
          <w:rFonts w:cs="Arial"/>
          <w:b/>
          <w:color w:val="000000" w:themeColor="text1"/>
        </w:rPr>
        <w:tab/>
      </w:r>
      <w:r w:rsidR="00E2602E" w:rsidRPr="00162A64">
        <w:rPr>
          <w:rFonts w:cs="Arial"/>
          <w:b/>
          <w:color w:val="000000" w:themeColor="text1"/>
        </w:rPr>
        <w:t>(</w:t>
      </w:r>
      <w:r w:rsidR="004E0C94">
        <w:rPr>
          <w:rFonts w:cs="Arial"/>
          <w:b/>
          <w:color w:val="000000" w:themeColor="text1"/>
        </w:rPr>
        <w:t>v </w:t>
      </w:r>
      <w:r w:rsidR="0021797B" w:rsidRPr="00162A64">
        <w:rPr>
          <w:rFonts w:cs="Arial"/>
          <w:b/>
          <w:color w:val="000000" w:themeColor="text1"/>
        </w:rPr>
        <w:t>tis. Kč</w:t>
      </w:r>
      <w:r w:rsidR="00E2602E" w:rsidRPr="00162A64">
        <w:rPr>
          <w:rFonts w:cs="Arial"/>
          <w:b/>
          <w:color w:val="000000" w:themeColor="text1"/>
        </w:rPr>
        <w:t>)</w:t>
      </w:r>
    </w:p>
    <w:tbl>
      <w:tblPr>
        <w:tblW w:w="5000" w:type="pct"/>
        <w:tblCellMar>
          <w:left w:w="70" w:type="dxa"/>
          <w:right w:w="70" w:type="dxa"/>
        </w:tblCellMar>
        <w:tblLook w:val="04A0" w:firstRow="1" w:lastRow="0" w:firstColumn="1" w:lastColumn="0" w:noHBand="0" w:noVBand="1"/>
      </w:tblPr>
      <w:tblGrid>
        <w:gridCol w:w="557"/>
        <w:gridCol w:w="1234"/>
        <w:gridCol w:w="998"/>
        <w:gridCol w:w="571"/>
        <w:gridCol w:w="1234"/>
        <w:gridCol w:w="998"/>
        <w:gridCol w:w="571"/>
        <w:gridCol w:w="1234"/>
        <w:gridCol w:w="1094"/>
        <w:gridCol w:w="571"/>
      </w:tblGrid>
      <w:tr w:rsidR="0021797B" w:rsidRPr="00D51887" w14:paraId="45BD6609" w14:textId="77777777" w:rsidTr="00757BF0">
        <w:trPr>
          <w:trHeight w:val="227"/>
        </w:trPr>
        <w:tc>
          <w:tcPr>
            <w:tcW w:w="297" w:type="pct"/>
            <w:vMerge w:val="restart"/>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5A2AB3CE" w14:textId="77777777" w:rsidR="0021797B" w:rsidRPr="00D51887" w:rsidRDefault="0021797B" w:rsidP="00162A64">
            <w:pPr>
              <w:keepNext/>
              <w:jc w:val="left"/>
              <w:rPr>
                <w:rFonts w:ascii="Calibri" w:hAnsi="Calibri"/>
                <w:b/>
                <w:bCs/>
                <w:color w:val="000000"/>
                <w:sz w:val="20"/>
              </w:rPr>
            </w:pPr>
            <w:r w:rsidRPr="00D51887">
              <w:rPr>
                <w:rFonts w:ascii="Calibri" w:hAnsi="Calibri"/>
                <w:b/>
                <w:bCs/>
                <w:color w:val="000000"/>
                <w:sz w:val="20"/>
              </w:rPr>
              <w:t> </w:t>
            </w:r>
          </w:p>
        </w:tc>
        <w:tc>
          <w:tcPr>
            <w:tcW w:w="1522" w:type="pct"/>
            <w:gridSpan w:val="3"/>
            <w:tcBorders>
              <w:top w:val="single" w:sz="4" w:space="0" w:color="auto"/>
              <w:left w:val="nil"/>
              <w:bottom w:val="single" w:sz="4" w:space="0" w:color="auto"/>
              <w:right w:val="single" w:sz="4" w:space="0" w:color="auto"/>
            </w:tcBorders>
            <w:shd w:val="clear" w:color="000000" w:fill="E5F1FF"/>
            <w:noWrap/>
            <w:vAlign w:val="center"/>
            <w:hideMark/>
          </w:tcPr>
          <w:p w14:paraId="3340C12D" w14:textId="77777777" w:rsidR="0021797B" w:rsidRPr="00D51887" w:rsidRDefault="0021797B" w:rsidP="00162A64">
            <w:pPr>
              <w:keepNext/>
              <w:jc w:val="center"/>
              <w:rPr>
                <w:rFonts w:ascii="Calibri" w:hAnsi="Calibri"/>
                <w:b/>
                <w:bCs/>
                <w:color w:val="000000"/>
                <w:sz w:val="20"/>
              </w:rPr>
            </w:pPr>
            <w:r w:rsidRPr="00D51887">
              <w:rPr>
                <w:rFonts w:ascii="Calibri" w:hAnsi="Calibri"/>
                <w:b/>
                <w:bCs/>
                <w:color w:val="000000"/>
                <w:sz w:val="20"/>
              </w:rPr>
              <w:t>2014</w:t>
            </w:r>
          </w:p>
        </w:tc>
        <w:tc>
          <w:tcPr>
            <w:tcW w:w="1522" w:type="pct"/>
            <w:gridSpan w:val="3"/>
            <w:tcBorders>
              <w:top w:val="single" w:sz="4" w:space="0" w:color="auto"/>
              <w:left w:val="nil"/>
              <w:bottom w:val="single" w:sz="4" w:space="0" w:color="auto"/>
              <w:right w:val="single" w:sz="4" w:space="0" w:color="auto"/>
            </w:tcBorders>
            <w:shd w:val="clear" w:color="000000" w:fill="E5F1FF"/>
            <w:noWrap/>
            <w:vAlign w:val="center"/>
            <w:hideMark/>
          </w:tcPr>
          <w:p w14:paraId="563F9EEF" w14:textId="77777777" w:rsidR="0021797B" w:rsidRPr="00D51887" w:rsidRDefault="0021797B" w:rsidP="00162A64">
            <w:pPr>
              <w:keepNext/>
              <w:jc w:val="center"/>
              <w:rPr>
                <w:rFonts w:ascii="Calibri" w:hAnsi="Calibri"/>
                <w:b/>
                <w:bCs/>
                <w:color w:val="000000"/>
                <w:sz w:val="20"/>
              </w:rPr>
            </w:pPr>
            <w:r w:rsidRPr="00D51887">
              <w:rPr>
                <w:rFonts w:ascii="Calibri" w:hAnsi="Calibri"/>
                <w:b/>
                <w:bCs/>
                <w:color w:val="000000"/>
                <w:sz w:val="20"/>
              </w:rPr>
              <w:t>2015</w:t>
            </w:r>
          </w:p>
        </w:tc>
        <w:tc>
          <w:tcPr>
            <w:tcW w:w="1658" w:type="pct"/>
            <w:gridSpan w:val="3"/>
            <w:tcBorders>
              <w:top w:val="single" w:sz="4" w:space="0" w:color="auto"/>
              <w:left w:val="nil"/>
              <w:bottom w:val="single" w:sz="4" w:space="0" w:color="auto"/>
              <w:right w:val="single" w:sz="4" w:space="0" w:color="auto"/>
            </w:tcBorders>
            <w:shd w:val="clear" w:color="000000" w:fill="E5F1FF"/>
            <w:noWrap/>
            <w:vAlign w:val="center"/>
            <w:hideMark/>
          </w:tcPr>
          <w:p w14:paraId="61C10A84" w14:textId="77777777" w:rsidR="0021797B" w:rsidRPr="00D51887" w:rsidRDefault="0021797B" w:rsidP="00162A64">
            <w:pPr>
              <w:keepNext/>
              <w:jc w:val="center"/>
              <w:rPr>
                <w:rFonts w:ascii="Calibri" w:hAnsi="Calibri"/>
                <w:b/>
                <w:bCs/>
                <w:color w:val="000000"/>
                <w:sz w:val="20"/>
              </w:rPr>
            </w:pPr>
            <w:r w:rsidRPr="00D51887">
              <w:rPr>
                <w:rFonts w:ascii="Calibri" w:hAnsi="Calibri"/>
                <w:b/>
                <w:bCs/>
                <w:color w:val="000000"/>
                <w:sz w:val="20"/>
              </w:rPr>
              <w:t>2016</w:t>
            </w:r>
          </w:p>
        </w:tc>
      </w:tr>
      <w:tr w:rsidR="0021797B" w:rsidRPr="00D51887" w14:paraId="674E4DFE" w14:textId="77777777" w:rsidTr="00757BF0">
        <w:trPr>
          <w:trHeight w:val="227"/>
        </w:trPr>
        <w:tc>
          <w:tcPr>
            <w:tcW w:w="297" w:type="pct"/>
            <w:vMerge/>
            <w:tcBorders>
              <w:top w:val="single" w:sz="4" w:space="0" w:color="auto"/>
              <w:left w:val="single" w:sz="4" w:space="0" w:color="auto"/>
              <w:bottom w:val="single" w:sz="4" w:space="0" w:color="auto"/>
              <w:right w:val="single" w:sz="4" w:space="0" w:color="auto"/>
            </w:tcBorders>
            <w:vAlign w:val="center"/>
            <w:hideMark/>
          </w:tcPr>
          <w:p w14:paraId="0E003952" w14:textId="77777777" w:rsidR="0021797B" w:rsidRPr="00D51887" w:rsidRDefault="0021797B" w:rsidP="00162A64">
            <w:pPr>
              <w:keepNext/>
              <w:jc w:val="left"/>
              <w:rPr>
                <w:rFonts w:ascii="Calibri" w:hAnsi="Calibri"/>
                <w:b/>
                <w:bCs/>
                <w:color w:val="000000"/>
                <w:sz w:val="20"/>
              </w:rPr>
            </w:pPr>
          </w:p>
        </w:tc>
        <w:tc>
          <w:tcPr>
            <w:tcW w:w="728" w:type="pct"/>
            <w:tcBorders>
              <w:top w:val="nil"/>
              <w:left w:val="nil"/>
              <w:bottom w:val="single" w:sz="4" w:space="0" w:color="auto"/>
              <w:right w:val="single" w:sz="4" w:space="0" w:color="auto"/>
            </w:tcBorders>
            <w:shd w:val="clear" w:color="000000" w:fill="E5F1FF"/>
            <w:noWrap/>
            <w:vAlign w:val="center"/>
            <w:hideMark/>
          </w:tcPr>
          <w:p w14:paraId="39A3AE4B" w14:textId="77777777" w:rsidR="0021797B" w:rsidRPr="00D51887" w:rsidRDefault="0021797B" w:rsidP="00162A64">
            <w:pPr>
              <w:keepNext/>
              <w:jc w:val="center"/>
              <w:rPr>
                <w:rFonts w:ascii="Calibri" w:hAnsi="Calibri"/>
                <w:b/>
                <w:bCs/>
                <w:color w:val="000000"/>
                <w:sz w:val="20"/>
              </w:rPr>
            </w:pPr>
            <w:r w:rsidRPr="00D51887">
              <w:rPr>
                <w:rFonts w:ascii="Calibri" w:hAnsi="Calibri"/>
                <w:b/>
                <w:bCs/>
                <w:color w:val="000000"/>
                <w:sz w:val="20"/>
              </w:rPr>
              <w:t>Náklady</w:t>
            </w:r>
          </w:p>
        </w:tc>
        <w:tc>
          <w:tcPr>
            <w:tcW w:w="521" w:type="pct"/>
            <w:tcBorders>
              <w:top w:val="nil"/>
              <w:left w:val="nil"/>
              <w:bottom w:val="single" w:sz="4" w:space="0" w:color="auto"/>
              <w:right w:val="single" w:sz="4" w:space="0" w:color="auto"/>
            </w:tcBorders>
            <w:shd w:val="clear" w:color="000000" w:fill="E5F1FF"/>
            <w:noWrap/>
            <w:vAlign w:val="center"/>
            <w:hideMark/>
          </w:tcPr>
          <w:p w14:paraId="5762533A" w14:textId="77777777" w:rsidR="0021797B" w:rsidRPr="00D51887" w:rsidRDefault="0021797B" w:rsidP="00162A64">
            <w:pPr>
              <w:keepNext/>
              <w:jc w:val="center"/>
              <w:rPr>
                <w:rFonts w:ascii="Calibri" w:hAnsi="Calibri"/>
                <w:b/>
                <w:bCs/>
                <w:color w:val="000000"/>
                <w:sz w:val="20"/>
              </w:rPr>
            </w:pPr>
            <w:r w:rsidRPr="00D51887">
              <w:rPr>
                <w:rFonts w:ascii="Calibri" w:hAnsi="Calibri"/>
                <w:b/>
                <w:bCs/>
                <w:color w:val="000000"/>
                <w:sz w:val="20"/>
              </w:rPr>
              <w:t>Bonusy</w:t>
            </w:r>
          </w:p>
        </w:tc>
        <w:tc>
          <w:tcPr>
            <w:tcW w:w="273" w:type="pct"/>
            <w:tcBorders>
              <w:top w:val="nil"/>
              <w:left w:val="nil"/>
              <w:bottom w:val="single" w:sz="4" w:space="0" w:color="auto"/>
              <w:right w:val="single" w:sz="4" w:space="0" w:color="auto"/>
            </w:tcBorders>
            <w:shd w:val="clear" w:color="000000" w:fill="E5F1FF"/>
            <w:noWrap/>
            <w:vAlign w:val="center"/>
            <w:hideMark/>
          </w:tcPr>
          <w:p w14:paraId="721FCC0E" w14:textId="77777777" w:rsidR="0021797B" w:rsidRPr="00D51887" w:rsidRDefault="0021797B" w:rsidP="00162A64">
            <w:pPr>
              <w:keepNext/>
              <w:jc w:val="center"/>
              <w:rPr>
                <w:rFonts w:ascii="Calibri" w:hAnsi="Calibri"/>
                <w:b/>
                <w:bCs/>
                <w:color w:val="000000"/>
                <w:sz w:val="20"/>
              </w:rPr>
            </w:pPr>
            <w:r w:rsidRPr="00D51887">
              <w:rPr>
                <w:rFonts w:ascii="Calibri" w:hAnsi="Calibri"/>
                <w:b/>
                <w:bCs/>
                <w:color w:val="000000"/>
                <w:sz w:val="20"/>
              </w:rPr>
              <w:t>%</w:t>
            </w:r>
          </w:p>
        </w:tc>
        <w:tc>
          <w:tcPr>
            <w:tcW w:w="728" w:type="pct"/>
            <w:tcBorders>
              <w:top w:val="nil"/>
              <w:left w:val="nil"/>
              <w:bottom w:val="single" w:sz="4" w:space="0" w:color="auto"/>
              <w:right w:val="single" w:sz="4" w:space="0" w:color="auto"/>
            </w:tcBorders>
            <w:shd w:val="clear" w:color="000000" w:fill="E5F1FF"/>
            <w:noWrap/>
            <w:vAlign w:val="center"/>
            <w:hideMark/>
          </w:tcPr>
          <w:p w14:paraId="48E43C2E" w14:textId="77777777" w:rsidR="0021797B" w:rsidRPr="00D51887" w:rsidRDefault="0021797B" w:rsidP="00162A64">
            <w:pPr>
              <w:keepNext/>
              <w:jc w:val="center"/>
              <w:rPr>
                <w:rFonts w:ascii="Calibri" w:hAnsi="Calibri"/>
                <w:b/>
                <w:bCs/>
                <w:color w:val="000000"/>
                <w:sz w:val="20"/>
              </w:rPr>
            </w:pPr>
            <w:r w:rsidRPr="00D51887">
              <w:rPr>
                <w:rFonts w:ascii="Calibri" w:hAnsi="Calibri"/>
                <w:b/>
                <w:bCs/>
                <w:color w:val="000000"/>
                <w:sz w:val="20"/>
              </w:rPr>
              <w:t>Náklady</w:t>
            </w:r>
          </w:p>
        </w:tc>
        <w:tc>
          <w:tcPr>
            <w:tcW w:w="521" w:type="pct"/>
            <w:tcBorders>
              <w:top w:val="nil"/>
              <w:left w:val="nil"/>
              <w:bottom w:val="single" w:sz="4" w:space="0" w:color="auto"/>
              <w:right w:val="single" w:sz="4" w:space="0" w:color="auto"/>
            </w:tcBorders>
            <w:shd w:val="clear" w:color="000000" w:fill="E5F1FF"/>
            <w:noWrap/>
            <w:vAlign w:val="center"/>
            <w:hideMark/>
          </w:tcPr>
          <w:p w14:paraId="76E59DBB" w14:textId="77777777" w:rsidR="0021797B" w:rsidRPr="00D51887" w:rsidRDefault="0021797B" w:rsidP="00162A64">
            <w:pPr>
              <w:keepNext/>
              <w:jc w:val="center"/>
              <w:rPr>
                <w:rFonts w:ascii="Calibri" w:hAnsi="Calibri"/>
                <w:b/>
                <w:bCs/>
                <w:color w:val="000000"/>
                <w:sz w:val="20"/>
              </w:rPr>
            </w:pPr>
            <w:r w:rsidRPr="00D51887">
              <w:rPr>
                <w:rFonts w:ascii="Calibri" w:hAnsi="Calibri"/>
                <w:b/>
                <w:bCs/>
                <w:color w:val="000000"/>
                <w:sz w:val="20"/>
              </w:rPr>
              <w:t>Bonusy</w:t>
            </w:r>
          </w:p>
        </w:tc>
        <w:tc>
          <w:tcPr>
            <w:tcW w:w="273" w:type="pct"/>
            <w:tcBorders>
              <w:top w:val="nil"/>
              <w:left w:val="nil"/>
              <w:bottom w:val="single" w:sz="4" w:space="0" w:color="auto"/>
              <w:right w:val="single" w:sz="4" w:space="0" w:color="auto"/>
            </w:tcBorders>
            <w:shd w:val="clear" w:color="000000" w:fill="E5F1FF"/>
            <w:noWrap/>
            <w:vAlign w:val="center"/>
            <w:hideMark/>
          </w:tcPr>
          <w:p w14:paraId="61E0F3C9" w14:textId="77777777" w:rsidR="0021797B" w:rsidRPr="00D51887" w:rsidRDefault="0021797B" w:rsidP="00162A64">
            <w:pPr>
              <w:keepNext/>
              <w:jc w:val="center"/>
              <w:rPr>
                <w:rFonts w:ascii="Calibri" w:hAnsi="Calibri"/>
                <w:b/>
                <w:bCs/>
                <w:color w:val="000000"/>
                <w:sz w:val="20"/>
              </w:rPr>
            </w:pPr>
            <w:r w:rsidRPr="00D51887">
              <w:rPr>
                <w:rFonts w:ascii="Calibri" w:hAnsi="Calibri"/>
                <w:b/>
                <w:bCs/>
                <w:color w:val="000000"/>
                <w:sz w:val="20"/>
              </w:rPr>
              <w:t>%</w:t>
            </w:r>
          </w:p>
        </w:tc>
        <w:tc>
          <w:tcPr>
            <w:tcW w:w="807" w:type="pct"/>
            <w:tcBorders>
              <w:top w:val="nil"/>
              <w:left w:val="nil"/>
              <w:bottom w:val="single" w:sz="4" w:space="0" w:color="auto"/>
              <w:right w:val="single" w:sz="4" w:space="0" w:color="auto"/>
            </w:tcBorders>
            <w:shd w:val="clear" w:color="000000" w:fill="E5F1FF"/>
            <w:noWrap/>
            <w:vAlign w:val="center"/>
            <w:hideMark/>
          </w:tcPr>
          <w:p w14:paraId="0DF552BE" w14:textId="77777777" w:rsidR="0021797B" w:rsidRPr="00D51887" w:rsidRDefault="0021797B" w:rsidP="00162A64">
            <w:pPr>
              <w:keepNext/>
              <w:jc w:val="center"/>
              <w:rPr>
                <w:rFonts w:ascii="Calibri" w:hAnsi="Calibri"/>
                <w:b/>
                <w:bCs/>
                <w:color w:val="000000"/>
                <w:sz w:val="20"/>
              </w:rPr>
            </w:pPr>
            <w:r w:rsidRPr="00D51887">
              <w:rPr>
                <w:rFonts w:ascii="Calibri" w:hAnsi="Calibri"/>
                <w:b/>
                <w:bCs/>
                <w:color w:val="000000"/>
                <w:sz w:val="20"/>
              </w:rPr>
              <w:t>Náklady</w:t>
            </w:r>
          </w:p>
        </w:tc>
        <w:tc>
          <w:tcPr>
            <w:tcW w:w="578" w:type="pct"/>
            <w:tcBorders>
              <w:top w:val="nil"/>
              <w:left w:val="nil"/>
              <w:bottom w:val="single" w:sz="4" w:space="0" w:color="auto"/>
              <w:right w:val="single" w:sz="4" w:space="0" w:color="auto"/>
            </w:tcBorders>
            <w:shd w:val="clear" w:color="000000" w:fill="E5F1FF"/>
            <w:noWrap/>
            <w:vAlign w:val="center"/>
            <w:hideMark/>
          </w:tcPr>
          <w:p w14:paraId="17740C02" w14:textId="77777777" w:rsidR="0021797B" w:rsidRPr="00D51887" w:rsidRDefault="0021797B" w:rsidP="00162A64">
            <w:pPr>
              <w:keepNext/>
              <w:jc w:val="center"/>
              <w:rPr>
                <w:rFonts w:ascii="Calibri" w:hAnsi="Calibri"/>
                <w:b/>
                <w:bCs/>
                <w:color w:val="000000"/>
                <w:sz w:val="20"/>
              </w:rPr>
            </w:pPr>
            <w:r w:rsidRPr="00D51887">
              <w:rPr>
                <w:rFonts w:ascii="Calibri" w:hAnsi="Calibri"/>
                <w:b/>
                <w:bCs/>
                <w:color w:val="000000"/>
                <w:sz w:val="20"/>
              </w:rPr>
              <w:t>Bonusy</w:t>
            </w:r>
          </w:p>
        </w:tc>
        <w:tc>
          <w:tcPr>
            <w:tcW w:w="273" w:type="pct"/>
            <w:tcBorders>
              <w:top w:val="nil"/>
              <w:left w:val="nil"/>
              <w:bottom w:val="single" w:sz="4" w:space="0" w:color="auto"/>
              <w:right w:val="single" w:sz="4" w:space="0" w:color="auto"/>
            </w:tcBorders>
            <w:shd w:val="clear" w:color="000000" w:fill="E5F1FF"/>
            <w:noWrap/>
            <w:vAlign w:val="center"/>
            <w:hideMark/>
          </w:tcPr>
          <w:p w14:paraId="59FD590E" w14:textId="77777777" w:rsidR="0021797B" w:rsidRPr="00D51887" w:rsidRDefault="0021797B" w:rsidP="00162A64">
            <w:pPr>
              <w:keepNext/>
              <w:jc w:val="center"/>
              <w:rPr>
                <w:rFonts w:ascii="Calibri" w:hAnsi="Calibri"/>
                <w:b/>
                <w:bCs/>
                <w:color w:val="000000"/>
                <w:sz w:val="20"/>
              </w:rPr>
            </w:pPr>
            <w:r w:rsidRPr="00D51887">
              <w:rPr>
                <w:rFonts w:ascii="Calibri" w:hAnsi="Calibri"/>
                <w:b/>
                <w:bCs/>
                <w:color w:val="000000"/>
                <w:sz w:val="20"/>
              </w:rPr>
              <w:t>%</w:t>
            </w:r>
          </w:p>
        </w:tc>
      </w:tr>
      <w:tr w:rsidR="0021797B" w:rsidRPr="00D51887" w14:paraId="74F8B795" w14:textId="77777777" w:rsidTr="00757BF0">
        <w:trPr>
          <w:trHeight w:val="227"/>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212F64B" w14:textId="77777777" w:rsidR="0021797B" w:rsidRPr="00D51887" w:rsidRDefault="0021797B" w:rsidP="00162A64">
            <w:pPr>
              <w:keepNext/>
              <w:ind w:left="-57" w:right="-57"/>
              <w:jc w:val="left"/>
              <w:rPr>
                <w:rFonts w:ascii="Calibri" w:hAnsi="Calibri"/>
                <w:b/>
                <w:bCs/>
                <w:color w:val="000000"/>
                <w:sz w:val="20"/>
              </w:rPr>
            </w:pPr>
            <w:r w:rsidRPr="00D51887">
              <w:rPr>
                <w:rFonts w:ascii="Calibri" w:hAnsi="Calibri"/>
                <w:b/>
                <w:bCs/>
                <w:color w:val="000000"/>
                <w:sz w:val="20"/>
              </w:rPr>
              <w:t>FNB</w:t>
            </w:r>
          </w:p>
        </w:tc>
        <w:tc>
          <w:tcPr>
            <w:tcW w:w="728" w:type="pct"/>
            <w:tcBorders>
              <w:top w:val="nil"/>
              <w:left w:val="nil"/>
              <w:bottom w:val="single" w:sz="4" w:space="0" w:color="auto"/>
              <w:right w:val="single" w:sz="4" w:space="0" w:color="auto"/>
            </w:tcBorders>
            <w:shd w:val="clear" w:color="auto" w:fill="auto"/>
            <w:vAlign w:val="center"/>
            <w:hideMark/>
          </w:tcPr>
          <w:p w14:paraId="6C7F8019"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1 934 865,47</w:t>
            </w:r>
          </w:p>
        </w:tc>
        <w:tc>
          <w:tcPr>
            <w:tcW w:w="521" w:type="pct"/>
            <w:tcBorders>
              <w:top w:val="nil"/>
              <w:left w:val="nil"/>
              <w:bottom w:val="single" w:sz="4" w:space="0" w:color="auto"/>
              <w:right w:val="single" w:sz="4" w:space="0" w:color="auto"/>
            </w:tcBorders>
            <w:shd w:val="clear" w:color="auto" w:fill="auto"/>
            <w:noWrap/>
            <w:vAlign w:val="center"/>
            <w:hideMark/>
          </w:tcPr>
          <w:p w14:paraId="72622BA6"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92 212,67</w:t>
            </w:r>
          </w:p>
        </w:tc>
        <w:tc>
          <w:tcPr>
            <w:tcW w:w="273" w:type="pct"/>
            <w:tcBorders>
              <w:top w:val="nil"/>
              <w:left w:val="nil"/>
              <w:bottom w:val="single" w:sz="4" w:space="0" w:color="auto"/>
              <w:right w:val="single" w:sz="4" w:space="0" w:color="auto"/>
            </w:tcBorders>
            <w:shd w:val="clear" w:color="auto" w:fill="auto"/>
            <w:noWrap/>
            <w:vAlign w:val="center"/>
            <w:hideMark/>
          </w:tcPr>
          <w:p w14:paraId="3B318726" w14:textId="77777777" w:rsidR="0021797B" w:rsidRPr="00D51887" w:rsidRDefault="0021797B" w:rsidP="00162A64">
            <w:pPr>
              <w:keepNext/>
              <w:ind w:left="-57" w:right="57"/>
              <w:jc w:val="right"/>
              <w:rPr>
                <w:rFonts w:ascii="Calibri" w:hAnsi="Calibri"/>
                <w:color w:val="000000"/>
                <w:sz w:val="20"/>
              </w:rPr>
            </w:pPr>
            <w:r w:rsidRPr="00D51887">
              <w:rPr>
                <w:rFonts w:ascii="Calibri" w:hAnsi="Calibri"/>
                <w:color w:val="000000"/>
                <w:sz w:val="20"/>
              </w:rPr>
              <w:t>4,77</w:t>
            </w:r>
          </w:p>
        </w:tc>
        <w:tc>
          <w:tcPr>
            <w:tcW w:w="728" w:type="pct"/>
            <w:tcBorders>
              <w:top w:val="nil"/>
              <w:left w:val="nil"/>
              <w:bottom w:val="single" w:sz="4" w:space="0" w:color="auto"/>
              <w:right w:val="single" w:sz="4" w:space="0" w:color="auto"/>
            </w:tcBorders>
            <w:shd w:val="clear" w:color="auto" w:fill="auto"/>
            <w:vAlign w:val="center"/>
            <w:hideMark/>
          </w:tcPr>
          <w:p w14:paraId="761AA2C7"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2 100 988,62</w:t>
            </w:r>
          </w:p>
        </w:tc>
        <w:tc>
          <w:tcPr>
            <w:tcW w:w="521" w:type="pct"/>
            <w:tcBorders>
              <w:top w:val="nil"/>
              <w:left w:val="nil"/>
              <w:bottom w:val="single" w:sz="4" w:space="0" w:color="auto"/>
              <w:right w:val="single" w:sz="4" w:space="0" w:color="auto"/>
            </w:tcBorders>
            <w:shd w:val="clear" w:color="auto" w:fill="auto"/>
            <w:noWrap/>
            <w:vAlign w:val="center"/>
            <w:hideMark/>
          </w:tcPr>
          <w:p w14:paraId="76E3B4A9"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94 443,70</w:t>
            </w:r>
          </w:p>
        </w:tc>
        <w:tc>
          <w:tcPr>
            <w:tcW w:w="273" w:type="pct"/>
            <w:tcBorders>
              <w:top w:val="nil"/>
              <w:left w:val="nil"/>
              <w:bottom w:val="single" w:sz="4" w:space="0" w:color="auto"/>
              <w:right w:val="single" w:sz="4" w:space="0" w:color="auto"/>
            </w:tcBorders>
            <w:shd w:val="clear" w:color="auto" w:fill="auto"/>
            <w:noWrap/>
            <w:vAlign w:val="center"/>
            <w:hideMark/>
          </w:tcPr>
          <w:p w14:paraId="1896A7B7"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4,50</w:t>
            </w:r>
          </w:p>
        </w:tc>
        <w:tc>
          <w:tcPr>
            <w:tcW w:w="807" w:type="pct"/>
            <w:tcBorders>
              <w:top w:val="nil"/>
              <w:left w:val="nil"/>
              <w:bottom w:val="single" w:sz="4" w:space="0" w:color="auto"/>
              <w:right w:val="single" w:sz="4" w:space="0" w:color="auto"/>
            </w:tcBorders>
            <w:shd w:val="clear" w:color="auto" w:fill="auto"/>
            <w:vAlign w:val="center"/>
            <w:hideMark/>
          </w:tcPr>
          <w:p w14:paraId="66ACD5BE"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2 502 788,40</w:t>
            </w:r>
          </w:p>
        </w:tc>
        <w:tc>
          <w:tcPr>
            <w:tcW w:w="578" w:type="pct"/>
            <w:tcBorders>
              <w:top w:val="nil"/>
              <w:left w:val="nil"/>
              <w:bottom w:val="single" w:sz="4" w:space="0" w:color="auto"/>
              <w:right w:val="single" w:sz="4" w:space="0" w:color="auto"/>
            </w:tcBorders>
            <w:shd w:val="clear" w:color="auto" w:fill="auto"/>
            <w:noWrap/>
            <w:vAlign w:val="center"/>
            <w:hideMark/>
          </w:tcPr>
          <w:p w14:paraId="0F90D80E"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112 533,39</w:t>
            </w:r>
          </w:p>
        </w:tc>
        <w:tc>
          <w:tcPr>
            <w:tcW w:w="273" w:type="pct"/>
            <w:tcBorders>
              <w:top w:val="nil"/>
              <w:left w:val="nil"/>
              <w:bottom w:val="single" w:sz="4" w:space="0" w:color="auto"/>
              <w:right w:val="single" w:sz="4" w:space="0" w:color="auto"/>
            </w:tcBorders>
            <w:shd w:val="clear" w:color="auto" w:fill="auto"/>
            <w:noWrap/>
            <w:vAlign w:val="center"/>
            <w:hideMark/>
          </w:tcPr>
          <w:p w14:paraId="42BD587E"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4,50</w:t>
            </w:r>
          </w:p>
        </w:tc>
      </w:tr>
      <w:tr w:rsidR="0021797B" w:rsidRPr="00D51887" w14:paraId="1C372BD1" w14:textId="77777777" w:rsidTr="00757BF0">
        <w:trPr>
          <w:trHeight w:val="227"/>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4A7B8DB" w14:textId="074517E2" w:rsidR="0021797B" w:rsidRPr="00D51887" w:rsidRDefault="0021797B" w:rsidP="00162A64">
            <w:pPr>
              <w:keepNext/>
              <w:ind w:left="-57" w:right="-57"/>
              <w:jc w:val="left"/>
              <w:rPr>
                <w:rFonts w:ascii="Calibri" w:hAnsi="Calibri"/>
                <w:b/>
                <w:bCs/>
                <w:color w:val="000000"/>
                <w:sz w:val="20"/>
              </w:rPr>
            </w:pPr>
            <w:r w:rsidRPr="00D51887">
              <w:rPr>
                <w:rFonts w:ascii="Calibri" w:hAnsi="Calibri"/>
                <w:b/>
                <w:bCs/>
                <w:color w:val="000000"/>
                <w:sz w:val="20"/>
              </w:rPr>
              <w:t>FNM</w:t>
            </w:r>
          </w:p>
        </w:tc>
        <w:tc>
          <w:tcPr>
            <w:tcW w:w="728" w:type="pct"/>
            <w:tcBorders>
              <w:top w:val="nil"/>
              <w:left w:val="nil"/>
              <w:bottom w:val="single" w:sz="4" w:space="0" w:color="auto"/>
              <w:right w:val="single" w:sz="4" w:space="0" w:color="auto"/>
            </w:tcBorders>
            <w:shd w:val="clear" w:color="auto" w:fill="auto"/>
            <w:noWrap/>
            <w:vAlign w:val="center"/>
            <w:hideMark/>
          </w:tcPr>
          <w:p w14:paraId="316B686D" w14:textId="271B3629"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1 273 104,74</w:t>
            </w:r>
          </w:p>
        </w:tc>
        <w:tc>
          <w:tcPr>
            <w:tcW w:w="521" w:type="pct"/>
            <w:tcBorders>
              <w:top w:val="nil"/>
              <w:left w:val="nil"/>
              <w:bottom w:val="single" w:sz="4" w:space="0" w:color="auto"/>
              <w:right w:val="single" w:sz="4" w:space="0" w:color="auto"/>
            </w:tcBorders>
            <w:shd w:val="clear" w:color="auto" w:fill="auto"/>
            <w:noWrap/>
            <w:vAlign w:val="center"/>
            <w:hideMark/>
          </w:tcPr>
          <w:p w14:paraId="0091E04A" w14:textId="77777777" w:rsidR="0021797B" w:rsidRPr="00D51887" w:rsidRDefault="0021797B" w:rsidP="00162A64">
            <w:pPr>
              <w:keepNext/>
              <w:ind w:left="-57" w:right="57"/>
              <w:jc w:val="right"/>
              <w:rPr>
                <w:rFonts w:ascii="Calibri" w:hAnsi="Calibri"/>
                <w:color w:val="000000"/>
                <w:sz w:val="20"/>
              </w:rPr>
            </w:pPr>
            <w:r w:rsidRPr="00D51887">
              <w:rPr>
                <w:rFonts w:ascii="Calibri" w:hAnsi="Calibri"/>
                <w:color w:val="000000"/>
                <w:sz w:val="20"/>
              </w:rPr>
              <w:t>48</w:t>
            </w:r>
            <w:r>
              <w:rPr>
                <w:rFonts w:ascii="Calibri" w:hAnsi="Calibri"/>
                <w:color w:val="000000"/>
                <w:sz w:val="20"/>
              </w:rPr>
              <w:t> </w:t>
            </w:r>
            <w:r w:rsidRPr="00D51887">
              <w:rPr>
                <w:rFonts w:ascii="Calibri" w:hAnsi="Calibri"/>
                <w:color w:val="000000"/>
                <w:sz w:val="20"/>
              </w:rPr>
              <w:t>601</w:t>
            </w:r>
            <w:r>
              <w:rPr>
                <w:rFonts w:ascii="Calibri" w:hAnsi="Calibri"/>
                <w:color w:val="000000"/>
                <w:sz w:val="20"/>
              </w:rPr>
              <w:t>,</w:t>
            </w:r>
            <w:r w:rsidRPr="00D51887">
              <w:rPr>
                <w:rFonts w:ascii="Calibri" w:hAnsi="Calibri"/>
                <w:color w:val="000000"/>
                <w:sz w:val="20"/>
              </w:rPr>
              <w:t>50</w:t>
            </w:r>
          </w:p>
        </w:tc>
        <w:tc>
          <w:tcPr>
            <w:tcW w:w="273" w:type="pct"/>
            <w:tcBorders>
              <w:top w:val="nil"/>
              <w:left w:val="nil"/>
              <w:bottom w:val="single" w:sz="4" w:space="0" w:color="auto"/>
              <w:right w:val="single" w:sz="4" w:space="0" w:color="auto"/>
            </w:tcBorders>
            <w:shd w:val="clear" w:color="auto" w:fill="auto"/>
            <w:noWrap/>
            <w:vAlign w:val="center"/>
            <w:hideMark/>
          </w:tcPr>
          <w:p w14:paraId="77561D51"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3,82</w:t>
            </w:r>
          </w:p>
        </w:tc>
        <w:tc>
          <w:tcPr>
            <w:tcW w:w="728" w:type="pct"/>
            <w:tcBorders>
              <w:top w:val="nil"/>
              <w:left w:val="nil"/>
              <w:bottom w:val="single" w:sz="4" w:space="0" w:color="auto"/>
              <w:right w:val="single" w:sz="4" w:space="0" w:color="auto"/>
            </w:tcBorders>
            <w:shd w:val="clear" w:color="auto" w:fill="auto"/>
            <w:noWrap/>
            <w:vAlign w:val="center"/>
            <w:hideMark/>
          </w:tcPr>
          <w:p w14:paraId="3DAFB399"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1 369 906,43</w:t>
            </w:r>
          </w:p>
        </w:tc>
        <w:tc>
          <w:tcPr>
            <w:tcW w:w="521" w:type="pct"/>
            <w:tcBorders>
              <w:top w:val="nil"/>
              <w:left w:val="nil"/>
              <w:bottom w:val="single" w:sz="4" w:space="0" w:color="auto"/>
              <w:right w:val="single" w:sz="4" w:space="0" w:color="auto"/>
            </w:tcBorders>
            <w:shd w:val="clear" w:color="auto" w:fill="auto"/>
            <w:noWrap/>
            <w:vAlign w:val="center"/>
            <w:hideMark/>
          </w:tcPr>
          <w:p w14:paraId="1889CDAD"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77 848,92</w:t>
            </w:r>
          </w:p>
        </w:tc>
        <w:tc>
          <w:tcPr>
            <w:tcW w:w="273" w:type="pct"/>
            <w:tcBorders>
              <w:top w:val="nil"/>
              <w:left w:val="nil"/>
              <w:bottom w:val="single" w:sz="4" w:space="0" w:color="auto"/>
              <w:right w:val="single" w:sz="4" w:space="0" w:color="auto"/>
            </w:tcBorders>
            <w:shd w:val="clear" w:color="auto" w:fill="auto"/>
            <w:noWrap/>
            <w:vAlign w:val="center"/>
            <w:hideMark/>
          </w:tcPr>
          <w:p w14:paraId="79A41832"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5,68</w:t>
            </w:r>
          </w:p>
        </w:tc>
        <w:tc>
          <w:tcPr>
            <w:tcW w:w="807" w:type="pct"/>
            <w:tcBorders>
              <w:top w:val="nil"/>
              <w:left w:val="nil"/>
              <w:bottom w:val="single" w:sz="4" w:space="0" w:color="auto"/>
              <w:right w:val="single" w:sz="4" w:space="0" w:color="auto"/>
            </w:tcBorders>
            <w:shd w:val="clear" w:color="auto" w:fill="auto"/>
            <w:noWrap/>
            <w:vAlign w:val="center"/>
            <w:hideMark/>
          </w:tcPr>
          <w:p w14:paraId="274138C4"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1 521 071,72</w:t>
            </w:r>
          </w:p>
        </w:tc>
        <w:tc>
          <w:tcPr>
            <w:tcW w:w="578" w:type="pct"/>
            <w:tcBorders>
              <w:top w:val="nil"/>
              <w:left w:val="nil"/>
              <w:bottom w:val="single" w:sz="4" w:space="0" w:color="auto"/>
              <w:right w:val="single" w:sz="4" w:space="0" w:color="auto"/>
            </w:tcBorders>
            <w:shd w:val="clear" w:color="auto" w:fill="auto"/>
            <w:noWrap/>
            <w:vAlign w:val="center"/>
            <w:hideMark/>
          </w:tcPr>
          <w:p w14:paraId="0C2B81C3"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77 305,07</w:t>
            </w:r>
          </w:p>
        </w:tc>
        <w:tc>
          <w:tcPr>
            <w:tcW w:w="273" w:type="pct"/>
            <w:tcBorders>
              <w:top w:val="nil"/>
              <w:left w:val="nil"/>
              <w:bottom w:val="single" w:sz="4" w:space="0" w:color="auto"/>
              <w:right w:val="single" w:sz="4" w:space="0" w:color="auto"/>
            </w:tcBorders>
            <w:shd w:val="clear" w:color="auto" w:fill="auto"/>
            <w:noWrap/>
            <w:vAlign w:val="center"/>
            <w:hideMark/>
          </w:tcPr>
          <w:p w14:paraId="7C1DBF0C" w14:textId="77777777" w:rsidR="0021797B" w:rsidRPr="00D51887" w:rsidRDefault="0021797B" w:rsidP="00162A64">
            <w:pPr>
              <w:keepNext/>
              <w:ind w:left="-57" w:right="57"/>
              <w:jc w:val="right"/>
              <w:rPr>
                <w:rFonts w:ascii="Calibri" w:hAnsi="Calibri"/>
                <w:color w:val="000000"/>
                <w:sz w:val="20"/>
              </w:rPr>
            </w:pPr>
            <w:r w:rsidRPr="00D51887">
              <w:rPr>
                <w:rFonts w:ascii="Calibri" w:hAnsi="Calibri"/>
                <w:color w:val="000000"/>
                <w:sz w:val="20"/>
              </w:rPr>
              <w:t>5,08</w:t>
            </w:r>
          </w:p>
        </w:tc>
      </w:tr>
      <w:tr w:rsidR="0021797B" w:rsidRPr="00D51887" w14:paraId="7A20073A" w14:textId="77777777" w:rsidTr="00757BF0">
        <w:trPr>
          <w:trHeight w:val="227"/>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B98BF87" w14:textId="7AC68CD5" w:rsidR="0021797B" w:rsidRPr="00D51887" w:rsidRDefault="0021797B" w:rsidP="00162A64">
            <w:pPr>
              <w:keepNext/>
              <w:ind w:left="-57" w:right="-57"/>
              <w:jc w:val="left"/>
              <w:rPr>
                <w:rFonts w:ascii="Calibri" w:hAnsi="Calibri"/>
                <w:b/>
                <w:bCs/>
                <w:color w:val="000000"/>
                <w:sz w:val="20"/>
              </w:rPr>
            </w:pPr>
            <w:r w:rsidRPr="00D51887">
              <w:rPr>
                <w:rFonts w:ascii="Calibri" w:hAnsi="Calibri"/>
                <w:b/>
                <w:bCs/>
                <w:color w:val="000000"/>
                <w:sz w:val="20"/>
              </w:rPr>
              <w:t>ÚVN</w:t>
            </w:r>
          </w:p>
        </w:tc>
        <w:tc>
          <w:tcPr>
            <w:tcW w:w="728" w:type="pct"/>
            <w:tcBorders>
              <w:top w:val="nil"/>
              <w:left w:val="nil"/>
              <w:bottom w:val="single" w:sz="4" w:space="0" w:color="auto"/>
              <w:right w:val="single" w:sz="4" w:space="0" w:color="auto"/>
            </w:tcBorders>
            <w:shd w:val="clear" w:color="auto" w:fill="auto"/>
            <w:noWrap/>
            <w:vAlign w:val="center"/>
            <w:hideMark/>
          </w:tcPr>
          <w:p w14:paraId="7DF86645" w14:textId="59F98821"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141 119,58</w:t>
            </w:r>
          </w:p>
        </w:tc>
        <w:tc>
          <w:tcPr>
            <w:tcW w:w="521" w:type="pct"/>
            <w:tcBorders>
              <w:top w:val="nil"/>
              <w:left w:val="nil"/>
              <w:bottom w:val="single" w:sz="4" w:space="0" w:color="auto"/>
              <w:right w:val="single" w:sz="4" w:space="0" w:color="auto"/>
            </w:tcBorders>
            <w:shd w:val="clear" w:color="auto" w:fill="auto"/>
            <w:noWrap/>
            <w:vAlign w:val="center"/>
            <w:hideMark/>
          </w:tcPr>
          <w:p w14:paraId="3D78692A" w14:textId="77777777" w:rsidR="0021797B" w:rsidRPr="00D51887" w:rsidRDefault="0021797B" w:rsidP="00162A64">
            <w:pPr>
              <w:keepNext/>
              <w:ind w:left="-57" w:right="57"/>
              <w:jc w:val="right"/>
              <w:rPr>
                <w:rFonts w:ascii="Calibri" w:hAnsi="Calibri"/>
                <w:color w:val="000000"/>
                <w:sz w:val="20"/>
              </w:rPr>
            </w:pPr>
            <w:r w:rsidRPr="00D51887">
              <w:rPr>
                <w:rFonts w:ascii="Calibri" w:hAnsi="Calibri"/>
                <w:color w:val="000000"/>
                <w:sz w:val="20"/>
              </w:rPr>
              <w:t>0,00</w:t>
            </w:r>
          </w:p>
        </w:tc>
        <w:tc>
          <w:tcPr>
            <w:tcW w:w="273" w:type="pct"/>
            <w:tcBorders>
              <w:top w:val="nil"/>
              <w:left w:val="nil"/>
              <w:bottom w:val="single" w:sz="4" w:space="0" w:color="auto"/>
              <w:right w:val="single" w:sz="4" w:space="0" w:color="auto"/>
            </w:tcBorders>
            <w:shd w:val="clear" w:color="auto" w:fill="auto"/>
            <w:noWrap/>
            <w:vAlign w:val="center"/>
            <w:hideMark/>
          </w:tcPr>
          <w:p w14:paraId="4F675316"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0,00</w:t>
            </w:r>
          </w:p>
        </w:tc>
        <w:tc>
          <w:tcPr>
            <w:tcW w:w="728" w:type="pct"/>
            <w:tcBorders>
              <w:top w:val="nil"/>
              <w:left w:val="nil"/>
              <w:bottom w:val="single" w:sz="4" w:space="0" w:color="auto"/>
              <w:right w:val="single" w:sz="4" w:space="0" w:color="auto"/>
            </w:tcBorders>
            <w:shd w:val="clear" w:color="auto" w:fill="auto"/>
            <w:noWrap/>
            <w:vAlign w:val="center"/>
            <w:hideMark/>
          </w:tcPr>
          <w:p w14:paraId="49EB633C"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157 737,61</w:t>
            </w:r>
          </w:p>
        </w:tc>
        <w:tc>
          <w:tcPr>
            <w:tcW w:w="521" w:type="pct"/>
            <w:tcBorders>
              <w:top w:val="nil"/>
              <w:left w:val="nil"/>
              <w:bottom w:val="single" w:sz="4" w:space="0" w:color="auto"/>
              <w:right w:val="single" w:sz="4" w:space="0" w:color="auto"/>
            </w:tcBorders>
            <w:shd w:val="clear" w:color="auto" w:fill="auto"/>
            <w:noWrap/>
            <w:vAlign w:val="center"/>
            <w:hideMark/>
          </w:tcPr>
          <w:p w14:paraId="664AD261" w14:textId="77777777" w:rsidR="0021797B" w:rsidRPr="00D51887" w:rsidRDefault="0021797B" w:rsidP="00162A64">
            <w:pPr>
              <w:keepNext/>
              <w:ind w:left="-57" w:right="57"/>
              <w:jc w:val="right"/>
              <w:rPr>
                <w:rFonts w:ascii="Calibri" w:hAnsi="Calibri"/>
                <w:color w:val="000000"/>
                <w:sz w:val="20"/>
              </w:rPr>
            </w:pPr>
            <w:r w:rsidRPr="00D51887">
              <w:rPr>
                <w:rFonts w:ascii="Calibri" w:hAnsi="Calibri"/>
                <w:color w:val="000000"/>
                <w:sz w:val="20"/>
              </w:rPr>
              <w:t>0,00</w:t>
            </w:r>
          </w:p>
        </w:tc>
        <w:tc>
          <w:tcPr>
            <w:tcW w:w="273" w:type="pct"/>
            <w:tcBorders>
              <w:top w:val="nil"/>
              <w:left w:val="nil"/>
              <w:bottom w:val="single" w:sz="4" w:space="0" w:color="auto"/>
              <w:right w:val="single" w:sz="4" w:space="0" w:color="auto"/>
            </w:tcBorders>
            <w:shd w:val="clear" w:color="auto" w:fill="auto"/>
            <w:noWrap/>
            <w:vAlign w:val="center"/>
            <w:hideMark/>
          </w:tcPr>
          <w:p w14:paraId="5F75CE6B"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0,00</w:t>
            </w:r>
          </w:p>
        </w:tc>
        <w:tc>
          <w:tcPr>
            <w:tcW w:w="807" w:type="pct"/>
            <w:tcBorders>
              <w:top w:val="nil"/>
              <w:left w:val="nil"/>
              <w:bottom w:val="single" w:sz="4" w:space="0" w:color="auto"/>
              <w:right w:val="single" w:sz="4" w:space="0" w:color="auto"/>
            </w:tcBorders>
            <w:shd w:val="clear" w:color="auto" w:fill="auto"/>
            <w:noWrap/>
            <w:vAlign w:val="center"/>
            <w:hideMark/>
          </w:tcPr>
          <w:p w14:paraId="457CD063"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210 317,45</w:t>
            </w:r>
          </w:p>
        </w:tc>
        <w:tc>
          <w:tcPr>
            <w:tcW w:w="578" w:type="pct"/>
            <w:tcBorders>
              <w:top w:val="nil"/>
              <w:left w:val="nil"/>
              <w:bottom w:val="single" w:sz="4" w:space="0" w:color="auto"/>
              <w:right w:val="single" w:sz="4" w:space="0" w:color="auto"/>
            </w:tcBorders>
            <w:shd w:val="clear" w:color="auto" w:fill="auto"/>
            <w:noWrap/>
            <w:vAlign w:val="center"/>
            <w:hideMark/>
          </w:tcPr>
          <w:p w14:paraId="605346EC"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142,48</w:t>
            </w:r>
          </w:p>
        </w:tc>
        <w:tc>
          <w:tcPr>
            <w:tcW w:w="273" w:type="pct"/>
            <w:tcBorders>
              <w:top w:val="nil"/>
              <w:left w:val="nil"/>
              <w:bottom w:val="single" w:sz="4" w:space="0" w:color="auto"/>
              <w:right w:val="single" w:sz="4" w:space="0" w:color="auto"/>
            </w:tcBorders>
            <w:shd w:val="clear" w:color="auto" w:fill="auto"/>
            <w:noWrap/>
            <w:vAlign w:val="center"/>
            <w:hideMark/>
          </w:tcPr>
          <w:p w14:paraId="75D4A738" w14:textId="77777777" w:rsidR="0021797B" w:rsidRPr="00D51887" w:rsidRDefault="0021797B" w:rsidP="00162A64">
            <w:pPr>
              <w:keepNext/>
              <w:ind w:left="-57" w:right="57"/>
              <w:jc w:val="right"/>
              <w:rPr>
                <w:rFonts w:ascii="Calibri" w:hAnsi="Calibri"/>
                <w:color w:val="000000"/>
                <w:sz w:val="20"/>
              </w:rPr>
            </w:pPr>
            <w:r>
              <w:rPr>
                <w:rFonts w:ascii="Calibri" w:hAnsi="Calibri"/>
                <w:color w:val="000000"/>
                <w:sz w:val="20"/>
              </w:rPr>
              <w:t>0,07</w:t>
            </w:r>
          </w:p>
        </w:tc>
      </w:tr>
    </w:tbl>
    <w:p w14:paraId="39C22DE3" w14:textId="586CD9EE" w:rsidR="0021797B" w:rsidRPr="00B05C2B" w:rsidRDefault="0021797B" w:rsidP="00162A64">
      <w:pPr>
        <w:pStyle w:val="Zdroj"/>
        <w:keepNext/>
        <w:spacing w:before="40"/>
        <w:ind w:left="567" w:hanging="567"/>
        <w:rPr>
          <w:i w:val="0"/>
          <w:noProof/>
        </w:rPr>
      </w:pPr>
      <w:r w:rsidRPr="00B05C2B">
        <w:rPr>
          <w:b/>
          <w:i w:val="0"/>
          <w:noProof/>
        </w:rPr>
        <w:t>Zdroj:</w:t>
      </w:r>
      <w:r w:rsidR="00D03571" w:rsidRPr="00B05C2B">
        <w:rPr>
          <w:i w:val="0"/>
          <w:noProof/>
        </w:rPr>
        <w:t xml:space="preserve"> </w:t>
      </w:r>
      <w:r w:rsidR="00B05C2B">
        <w:rPr>
          <w:i w:val="0"/>
          <w:noProof/>
        </w:rPr>
        <w:tab/>
      </w:r>
      <w:r w:rsidR="004E0C94">
        <w:rPr>
          <w:i w:val="0"/>
          <w:noProof/>
        </w:rPr>
        <w:t>h</w:t>
      </w:r>
      <w:r w:rsidR="00D03571" w:rsidRPr="00B05C2B">
        <w:rPr>
          <w:i w:val="0"/>
          <w:noProof/>
        </w:rPr>
        <w:t>lavní knihy jednotlivých FN k 31.12.2014, k 31.12.2015 a k 31.12.2016; předané sestavy FN na základě žádosti NKÚ.</w:t>
      </w:r>
    </w:p>
    <w:p w14:paraId="69673401" w14:textId="62F1649D" w:rsidR="0021797B" w:rsidRPr="00B05C2B" w:rsidRDefault="0021797B" w:rsidP="00B05C2B">
      <w:pPr>
        <w:pStyle w:val="Zdroj"/>
        <w:ind w:left="567" w:hanging="567"/>
        <w:rPr>
          <w:i w:val="0"/>
          <w:noProof/>
        </w:rPr>
      </w:pPr>
      <w:r w:rsidRPr="00B05C2B">
        <w:rPr>
          <w:b/>
          <w:i w:val="0"/>
          <w:noProof/>
        </w:rPr>
        <w:t>Pozn</w:t>
      </w:r>
      <w:r w:rsidR="008F777B">
        <w:rPr>
          <w:b/>
          <w:i w:val="0"/>
          <w:noProof/>
        </w:rPr>
        <w:t>.</w:t>
      </w:r>
      <w:r w:rsidRPr="00B05C2B">
        <w:rPr>
          <w:b/>
          <w:i w:val="0"/>
          <w:noProof/>
        </w:rPr>
        <w:t>:</w:t>
      </w:r>
      <w:r w:rsidRPr="00B05C2B">
        <w:rPr>
          <w:i w:val="0"/>
          <w:noProof/>
        </w:rPr>
        <w:t xml:space="preserve"> </w:t>
      </w:r>
      <w:r w:rsidR="00716A7C" w:rsidRPr="00B05C2B">
        <w:rPr>
          <w:i w:val="0"/>
          <w:noProof/>
        </w:rPr>
        <w:t>U FNM a ÚVN jsou n</w:t>
      </w:r>
      <w:r w:rsidRPr="00B05C2B">
        <w:rPr>
          <w:i w:val="0"/>
          <w:noProof/>
        </w:rPr>
        <w:t xml:space="preserve">áklady na léčiva uvedeny </w:t>
      </w:r>
      <w:r w:rsidR="00C07835" w:rsidRPr="00B05C2B">
        <w:rPr>
          <w:i w:val="0"/>
          <w:noProof/>
        </w:rPr>
        <w:t xml:space="preserve">bez nákladů na </w:t>
      </w:r>
      <w:r w:rsidRPr="00B05C2B">
        <w:rPr>
          <w:i w:val="0"/>
          <w:noProof/>
        </w:rPr>
        <w:t>kr</w:t>
      </w:r>
      <w:r w:rsidR="00C07835" w:rsidRPr="00B05C2B">
        <w:rPr>
          <w:i w:val="0"/>
          <w:noProof/>
        </w:rPr>
        <w:t>e</w:t>
      </w:r>
      <w:r w:rsidRPr="00B05C2B">
        <w:rPr>
          <w:i w:val="0"/>
          <w:noProof/>
        </w:rPr>
        <w:t>v, krevní derivát</w:t>
      </w:r>
      <w:r w:rsidR="004E0C94">
        <w:rPr>
          <w:i w:val="0"/>
          <w:noProof/>
        </w:rPr>
        <w:t>y</w:t>
      </w:r>
      <w:r w:rsidRPr="00B05C2B">
        <w:rPr>
          <w:i w:val="0"/>
          <w:noProof/>
        </w:rPr>
        <w:t xml:space="preserve"> a</w:t>
      </w:r>
      <w:r w:rsidR="00B05C2B">
        <w:rPr>
          <w:i w:val="0"/>
          <w:noProof/>
        </w:rPr>
        <w:t> </w:t>
      </w:r>
      <w:r w:rsidRPr="00B05C2B">
        <w:rPr>
          <w:i w:val="0"/>
          <w:noProof/>
        </w:rPr>
        <w:t>medicinální plyn</w:t>
      </w:r>
      <w:r w:rsidR="004E0C94">
        <w:rPr>
          <w:i w:val="0"/>
          <w:noProof/>
        </w:rPr>
        <w:t>y</w:t>
      </w:r>
      <w:r w:rsidR="00716A7C" w:rsidRPr="00B05C2B">
        <w:rPr>
          <w:i w:val="0"/>
          <w:noProof/>
        </w:rPr>
        <w:t>. U FNM jsou uvedeny náklady</w:t>
      </w:r>
      <w:r w:rsidR="004E0C94" w:rsidRPr="004E0C94">
        <w:rPr>
          <w:i w:val="0"/>
          <w:noProof/>
        </w:rPr>
        <w:t xml:space="preserve"> </w:t>
      </w:r>
      <w:r w:rsidR="004E0C94" w:rsidRPr="00B05C2B">
        <w:rPr>
          <w:i w:val="0"/>
          <w:noProof/>
        </w:rPr>
        <w:t>očištěné</w:t>
      </w:r>
      <w:r w:rsidR="00B061EF" w:rsidRPr="00B05C2B">
        <w:rPr>
          <w:i w:val="0"/>
          <w:noProof/>
        </w:rPr>
        <w:t xml:space="preserve"> o bonusy, které byly zaúčtovány do nákladů.</w:t>
      </w:r>
    </w:p>
    <w:p w14:paraId="3FBBC837" w14:textId="1F61B3EE" w:rsidR="00CF25F1" w:rsidRPr="00B05C2B" w:rsidRDefault="00340C92" w:rsidP="00B05C2B">
      <w:pPr>
        <w:spacing w:before="120"/>
        <w:rPr>
          <w:szCs w:val="24"/>
        </w:rPr>
      </w:pPr>
      <w:r w:rsidRPr="00B05C2B">
        <w:rPr>
          <w:rFonts w:cs="Arial"/>
          <w:color w:val="000000" w:themeColor="text1"/>
          <w:szCs w:val="24"/>
        </w:rPr>
        <w:t>Podíl bonusů za léčiva na souvisejících nákladech za léčiva se u FN pohyboval v období let 2014 až 2016 od 0 % do 5,68 %.</w:t>
      </w:r>
    </w:p>
    <w:p w14:paraId="31415107" w14:textId="15A93889" w:rsidR="001C1AB5" w:rsidRPr="00B05C2B" w:rsidRDefault="001C1AB5" w:rsidP="00B05C2B">
      <w:pPr>
        <w:spacing w:before="120"/>
        <w:rPr>
          <w:szCs w:val="24"/>
        </w:rPr>
      </w:pPr>
      <w:r w:rsidRPr="00B05C2B">
        <w:rPr>
          <w:szCs w:val="24"/>
        </w:rPr>
        <w:t>Celkové bonusy za léčiva u FNB v kontrolovaném období představovaly částku 299 189,76</w:t>
      </w:r>
      <w:r w:rsidR="004C67D7" w:rsidRPr="00B05C2B">
        <w:rPr>
          <w:szCs w:val="24"/>
        </w:rPr>
        <w:t> </w:t>
      </w:r>
      <w:r w:rsidRPr="00B05C2B">
        <w:rPr>
          <w:szCs w:val="24"/>
        </w:rPr>
        <w:t>tis.</w:t>
      </w:r>
      <w:r w:rsidR="004C67D7" w:rsidRPr="00B05C2B">
        <w:rPr>
          <w:szCs w:val="24"/>
        </w:rPr>
        <w:t> </w:t>
      </w:r>
      <w:r w:rsidRPr="00B05C2B">
        <w:rPr>
          <w:szCs w:val="24"/>
        </w:rPr>
        <w:t xml:space="preserve">Kč včetně DPH a pohybovaly se v rozmezí od 4,50 % do 4,77 %. </w:t>
      </w:r>
    </w:p>
    <w:p w14:paraId="1A6A5BC8" w14:textId="3BBE82FA" w:rsidR="00445BEE" w:rsidRPr="00B05C2B" w:rsidRDefault="00C93FC7" w:rsidP="00B05C2B">
      <w:pPr>
        <w:spacing w:before="120"/>
        <w:rPr>
          <w:szCs w:val="24"/>
        </w:rPr>
      </w:pPr>
      <w:r w:rsidRPr="00B05C2B">
        <w:rPr>
          <w:szCs w:val="24"/>
        </w:rPr>
        <w:t>Celkové bonusy za</w:t>
      </w:r>
      <w:r w:rsidR="00445BEE" w:rsidRPr="00B05C2B">
        <w:rPr>
          <w:szCs w:val="24"/>
        </w:rPr>
        <w:t xml:space="preserve"> léčiva u FNM v kontrolovaném období představovaly částku 203 755,49</w:t>
      </w:r>
      <w:r w:rsidR="004C67D7" w:rsidRPr="00B05C2B">
        <w:rPr>
          <w:szCs w:val="24"/>
        </w:rPr>
        <w:t> </w:t>
      </w:r>
      <w:r w:rsidR="00445BEE" w:rsidRPr="00B05C2B">
        <w:rPr>
          <w:szCs w:val="24"/>
        </w:rPr>
        <w:t>tis.</w:t>
      </w:r>
      <w:r w:rsidR="004C67D7" w:rsidRPr="00B05C2B">
        <w:rPr>
          <w:szCs w:val="24"/>
        </w:rPr>
        <w:t> </w:t>
      </w:r>
      <w:r w:rsidR="00445BEE" w:rsidRPr="00B05C2B">
        <w:rPr>
          <w:szCs w:val="24"/>
        </w:rPr>
        <w:t xml:space="preserve">Kč včetně DPH a pohybovaly se v rozmezí od 3,82 % do 5,68 %. </w:t>
      </w:r>
    </w:p>
    <w:p w14:paraId="6A3EEEA2" w14:textId="59E0CF0B" w:rsidR="00445BEE" w:rsidRPr="00B05C2B" w:rsidRDefault="00C93FC7" w:rsidP="00B05C2B">
      <w:pPr>
        <w:spacing w:before="120"/>
        <w:rPr>
          <w:szCs w:val="24"/>
        </w:rPr>
      </w:pPr>
      <w:r w:rsidRPr="00B05C2B">
        <w:rPr>
          <w:szCs w:val="24"/>
        </w:rPr>
        <w:t>Celkové bonusy za</w:t>
      </w:r>
      <w:r w:rsidR="00445BEE" w:rsidRPr="00B05C2B">
        <w:rPr>
          <w:szCs w:val="24"/>
        </w:rPr>
        <w:t xml:space="preserve"> léčiva </w:t>
      </w:r>
      <w:r w:rsidR="00760398" w:rsidRPr="00B05C2B">
        <w:rPr>
          <w:szCs w:val="24"/>
        </w:rPr>
        <w:t>u ÚVN</w:t>
      </w:r>
      <w:r w:rsidR="00445BEE" w:rsidRPr="00B05C2B">
        <w:rPr>
          <w:szCs w:val="24"/>
        </w:rPr>
        <w:t xml:space="preserve"> v kontrolovaném období představovaly částku </w:t>
      </w:r>
      <w:r w:rsidR="00B061EF" w:rsidRPr="00B05C2B">
        <w:rPr>
          <w:szCs w:val="24"/>
        </w:rPr>
        <w:t>142,48</w:t>
      </w:r>
      <w:r w:rsidR="00445BEE" w:rsidRPr="00B05C2B">
        <w:rPr>
          <w:szCs w:val="24"/>
        </w:rPr>
        <w:t xml:space="preserve"> tis. Kč včetně DPH a pohybovaly se v rozmezí od 0 % do 0,07 %. </w:t>
      </w:r>
    </w:p>
    <w:p w14:paraId="616F6B15" w14:textId="08C51285" w:rsidR="00686322" w:rsidRPr="00B05C2B" w:rsidRDefault="00686322" w:rsidP="00B05C2B">
      <w:pPr>
        <w:spacing w:before="120"/>
        <w:rPr>
          <w:rFonts w:cs="Arial"/>
          <w:color w:val="000000" w:themeColor="text1"/>
          <w:szCs w:val="24"/>
        </w:rPr>
      </w:pPr>
      <w:r w:rsidRPr="00B05C2B">
        <w:rPr>
          <w:rFonts w:cs="Arial"/>
          <w:color w:val="000000" w:themeColor="text1"/>
          <w:szCs w:val="24"/>
        </w:rPr>
        <w:t>Kontrolou NKÚ zjistil, že pojem bonus není právními předpisy definován a vychází z podmínek konkrétního smluvního vztahu mezi FN a dodavatelem.</w:t>
      </w:r>
      <w:r w:rsidRPr="00E60983">
        <w:rPr>
          <w:rFonts w:cs="Arial"/>
          <w:color w:val="000000" w:themeColor="text1"/>
          <w:szCs w:val="24"/>
        </w:rPr>
        <w:t xml:space="preserve"> </w:t>
      </w:r>
      <w:r w:rsidR="00145240" w:rsidRPr="00B05C2B">
        <w:rPr>
          <w:rFonts w:cs="Arial"/>
          <w:color w:val="000000" w:themeColor="text1"/>
          <w:szCs w:val="24"/>
        </w:rPr>
        <w:t xml:space="preserve">Bonus bývá převážně sjednáván mezi dodavatelem a poskytovatelem zdravotní péče písemně. </w:t>
      </w:r>
      <w:r w:rsidRPr="00B05C2B">
        <w:rPr>
          <w:rFonts w:cs="Arial"/>
          <w:color w:val="000000" w:themeColor="text1"/>
          <w:szCs w:val="24"/>
        </w:rPr>
        <w:t xml:space="preserve">FN při sjednávání bonusů a použití příjmů z bonusů nepostupovaly jednotně. </w:t>
      </w:r>
      <w:r w:rsidR="0084583B" w:rsidRPr="00B05C2B">
        <w:rPr>
          <w:rFonts w:cs="Arial"/>
          <w:color w:val="000000" w:themeColor="text1"/>
          <w:szCs w:val="24"/>
        </w:rPr>
        <w:t xml:space="preserve">Bonus </w:t>
      </w:r>
      <w:r w:rsidR="00057281" w:rsidRPr="00B05C2B">
        <w:rPr>
          <w:rFonts w:cs="Arial"/>
          <w:color w:val="000000" w:themeColor="text1"/>
          <w:szCs w:val="24"/>
        </w:rPr>
        <w:t>zpravidla</w:t>
      </w:r>
      <w:r w:rsidR="00145240" w:rsidRPr="00B05C2B">
        <w:rPr>
          <w:rFonts w:cs="Arial"/>
          <w:color w:val="000000" w:themeColor="text1"/>
          <w:szCs w:val="24"/>
        </w:rPr>
        <w:t xml:space="preserve"> </w:t>
      </w:r>
      <w:r w:rsidR="00057281" w:rsidRPr="00B05C2B">
        <w:rPr>
          <w:rFonts w:cs="Arial"/>
          <w:color w:val="000000" w:themeColor="text1"/>
          <w:szCs w:val="24"/>
        </w:rPr>
        <w:t>nemá vazbu na jednotlivé položky</w:t>
      </w:r>
      <w:r w:rsidR="0084583B" w:rsidRPr="00B05C2B">
        <w:rPr>
          <w:rFonts w:cs="Arial"/>
          <w:color w:val="000000" w:themeColor="text1"/>
          <w:szCs w:val="24"/>
        </w:rPr>
        <w:t xml:space="preserve"> provedených dodávek, ale naopak má vazbu k hodnotě či množství celkového odběru</w:t>
      </w:r>
    </w:p>
    <w:p w14:paraId="3A65DABA" w14:textId="63998FD4" w:rsidR="0084583B" w:rsidRPr="00B05C2B" w:rsidRDefault="00145240" w:rsidP="00B05C2B">
      <w:pPr>
        <w:spacing w:before="120"/>
        <w:rPr>
          <w:b/>
          <w:szCs w:val="24"/>
        </w:rPr>
      </w:pPr>
      <w:r w:rsidRPr="00B05C2B">
        <w:rPr>
          <w:rFonts w:cs="Arial"/>
          <w:color w:val="000000" w:themeColor="text1"/>
          <w:szCs w:val="24"/>
        </w:rPr>
        <w:t>Dohoda o způsobu vykazování zvlášť účtovaného materiálu (dále také „ZUM“) a zvlášť účtovaných léčivých přípravků (dále také „ZULP“) je součástí smlouvy mezi zdravotní pojišťovnou a poskytovatelem zdravot</w:t>
      </w:r>
      <w:r w:rsidR="00D06D37" w:rsidRPr="00B05C2B">
        <w:rPr>
          <w:rFonts w:cs="Arial"/>
          <w:color w:val="000000" w:themeColor="text1"/>
          <w:szCs w:val="24"/>
        </w:rPr>
        <w:t>ní péče</w:t>
      </w:r>
      <w:r w:rsidRPr="00B05C2B">
        <w:rPr>
          <w:rFonts w:cs="Arial"/>
          <w:color w:val="000000" w:themeColor="text1"/>
          <w:szCs w:val="24"/>
        </w:rPr>
        <w:t xml:space="preserve">. Definice či výklad smluvního ujednání </w:t>
      </w:r>
      <w:r w:rsidR="004B0609">
        <w:rPr>
          <w:rFonts w:cs="Arial"/>
          <w:color w:val="000000" w:themeColor="text1"/>
          <w:szCs w:val="24"/>
        </w:rPr>
        <w:t>jsou</w:t>
      </w:r>
      <w:r w:rsidRPr="00B05C2B">
        <w:rPr>
          <w:rFonts w:cs="Arial"/>
          <w:color w:val="000000" w:themeColor="text1"/>
          <w:szCs w:val="24"/>
        </w:rPr>
        <w:t xml:space="preserve"> záležitostí smluvních stran. Při úhradě zdravotní péče zdra</w:t>
      </w:r>
      <w:r w:rsidR="00582F15" w:rsidRPr="00B05C2B">
        <w:rPr>
          <w:rFonts w:cs="Arial"/>
          <w:color w:val="000000" w:themeColor="text1"/>
          <w:szCs w:val="24"/>
        </w:rPr>
        <w:t>votními pojišťovnami některou z </w:t>
      </w:r>
      <w:r w:rsidRPr="00B05C2B">
        <w:rPr>
          <w:rFonts w:cs="Arial"/>
          <w:color w:val="000000" w:themeColor="text1"/>
          <w:szCs w:val="24"/>
        </w:rPr>
        <w:t>forem paušální úhrady vykazovaná cena ZUM/ZULP nemá vliv na její výši.</w:t>
      </w:r>
      <w:r w:rsidRPr="00B05C2B">
        <w:rPr>
          <w:szCs w:val="24"/>
        </w:rPr>
        <w:t xml:space="preserve"> </w:t>
      </w:r>
      <w:r w:rsidRPr="00B05C2B">
        <w:rPr>
          <w:rFonts w:cs="Arial"/>
          <w:b/>
          <w:color w:val="000000" w:themeColor="text1"/>
          <w:szCs w:val="24"/>
        </w:rPr>
        <w:t>Přijímání</w:t>
      </w:r>
      <w:r w:rsidR="00F32D6C" w:rsidRPr="00B05C2B">
        <w:rPr>
          <w:rFonts w:cs="Arial"/>
          <w:b/>
          <w:color w:val="000000" w:themeColor="text1"/>
          <w:szCs w:val="24"/>
        </w:rPr>
        <w:t>, vykazování a nakládání s bonusy</w:t>
      </w:r>
      <w:r w:rsidRPr="00B05C2B">
        <w:rPr>
          <w:rFonts w:cs="Arial"/>
          <w:b/>
          <w:color w:val="000000" w:themeColor="text1"/>
          <w:szCs w:val="24"/>
        </w:rPr>
        <w:t xml:space="preserve"> od dodavatelů ve zdravotnictví je nesystémové a jejich </w:t>
      </w:r>
      <w:r w:rsidR="00E707A2" w:rsidRPr="00B05C2B">
        <w:rPr>
          <w:rFonts w:cs="Arial"/>
          <w:b/>
          <w:color w:val="000000" w:themeColor="text1"/>
          <w:szCs w:val="24"/>
        </w:rPr>
        <w:t xml:space="preserve">existenci umožňují vysoko nastavené maximální </w:t>
      </w:r>
      <w:r w:rsidRPr="00B05C2B">
        <w:rPr>
          <w:rFonts w:cs="Arial"/>
          <w:b/>
          <w:color w:val="000000" w:themeColor="text1"/>
          <w:szCs w:val="24"/>
        </w:rPr>
        <w:t>úhrad</w:t>
      </w:r>
      <w:r w:rsidR="00E707A2" w:rsidRPr="00B05C2B">
        <w:rPr>
          <w:rFonts w:cs="Arial"/>
          <w:b/>
          <w:color w:val="000000" w:themeColor="text1"/>
          <w:szCs w:val="24"/>
        </w:rPr>
        <w:t>y</w:t>
      </w:r>
      <w:r w:rsidRPr="00B05C2B">
        <w:rPr>
          <w:rFonts w:cs="Arial"/>
          <w:b/>
          <w:color w:val="000000" w:themeColor="text1"/>
          <w:szCs w:val="24"/>
        </w:rPr>
        <w:t xml:space="preserve"> </w:t>
      </w:r>
      <w:r w:rsidR="00E707A2" w:rsidRPr="00B05C2B">
        <w:rPr>
          <w:rFonts w:cs="Arial"/>
          <w:b/>
          <w:color w:val="000000" w:themeColor="text1"/>
          <w:szCs w:val="24"/>
        </w:rPr>
        <w:t>placené zdravotními pojišťovnami</w:t>
      </w:r>
      <w:r w:rsidRPr="00B05C2B">
        <w:rPr>
          <w:rFonts w:cs="Arial"/>
          <w:b/>
          <w:color w:val="000000" w:themeColor="text1"/>
          <w:szCs w:val="24"/>
        </w:rPr>
        <w:t>.</w:t>
      </w:r>
      <w:r w:rsidRPr="00B05C2B">
        <w:rPr>
          <w:rFonts w:cs="Arial"/>
          <w:color w:val="000000" w:themeColor="text1"/>
          <w:szCs w:val="24"/>
        </w:rPr>
        <w:t xml:space="preserve"> </w:t>
      </w:r>
      <w:r w:rsidR="0084583B" w:rsidRPr="00B05C2B">
        <w:rPr>
          <w:rFonts w:cs="Arial"/>
          <w:b/>
          <w:color w:val="000000" w:themeColor="text1"/>
          <w:szCs w:val="24"/>
        </w:rPr>
        <w:t>Systém bonusů ve zdravotnictví neměl při pořizování léčiv jasně stanovená pravidla.</w:t>
      </w:r>
      <w:r w:rsidR="00A7142D" w:rsidRPr="00B05C2B">
        <w:rPr>
          <w:rFonts w:cs="Arial"/>
          <w:b/>
          <w:color w:val="000000" w:themeColor="text1"/>
          <w:szCs w:val="24"/>
        </w:rPr>
        <w:t xml:space="preserve"> </w:t>
      </w:r>
    </w:p>
    <w:p w14:paraId="618F6E58" w14:textId="49D52167" w:rsidR="0084583B" w:rsidRPr="00B05C2B" w:rsidRDefault="0084583B" w:rsidP="00B05C2B">
      <w:pPr>
        <w:spacing w:before="120"/>
        <w:rPr>
          <w:szCs w:val="24"/>
        </w:rPr>
      </w:pPr>
      <w:r w:rsidRPr="00B05C2B">
        <w:rPr>
          <w:b/>
          <w:szCs w:val="24"/>
        </w:rPr>
        <w:t xml:space="preserve">Kontrolou NKÚ zjistil, že </w:t>
      </w:r>
      <w:r w:rsidR="00CF25F1" w:rsidRPr="00B05C2B">
        <w:rPr>
          <w:b/>
          <w:szCs w:val="24"/>
        </w:rPr>
        <w:t>FNB a FNM nesjednaly všechny smlouvy písemně s poskytovateli bonusů, tím nesplnily zákonnou povinnost</w:t>
      </w:r>
      <w:r w:rsidR="00AF20C6" w:rsidRPr="00B05C2B">
        <w:rPr>
          <w:rStyle w:val="Znakapoznpodarou"/>
          <w:b/>
          <w:szCs w:val="24"/>
        </w:rPr>
        <w:footnoteReference w:id="33"/>
      </w:r>
      <w:r w:rsidR="00CF25F1" w:rsidRPr="00B05C2B">
        <w:rPr>
          <w:b/>
          <w:szCs w:val="24"/>
        </w:rPr>
        <w:t xml:space="preserve"> a neřídily se </w:t>
      </w:r>
      <w:r w:rsidR="004B0609">
        <w:rPr>
          <w:b/>
          <w:szCs w:val="24"/>
        </w:rPr>
        <w:t>p</w:t>
      </w:r>
      <w:r w:rsidR="00CF25F1" w:rsidRPr="00B05C2B">
        <w:rPr>
          <w:b/>
          <w:szCs w:val="24"/>
        </w:rPr>
        <w:t>říkazem ministra č. 3/2013.</w:t>
      </w:r>
      <w:r w:rsidR="00CF25F1" w:rsidRPr="00B05C2B">
        <w:rPr>
          <w:szCs w:val="24"/>
        </w:rPr>
        <w:t xml:space="preserve"> </w:t>
      </w:r>
      <w:r w:rsidR="00A15CFF" w:rsidRPr="00B05C2B">
        <w:rPr>
          <w:rFonts w:cs="Arial"/>
          <w:color w:val="000000" w:themeColor="text1"/>
          <w:szCs w:val="24"/>
        </w:rPr>
        <w:t xml:space="preserve">FN </w:t>
      </w:r>
      <w:r w:rsidR="004B0609">
        <w:rPr>
          <w:rFonts w:cs="Arial"/>
          <w:color w:val="000000" w:themeColor="text1"/>
          <w:szCs w:val="24"/>
        </w:rPr>
        <w:t>u</w:t>
      </w:r>
      <w:r w:rsidR="00A15CFF" w:rsidRPr="00B05C2B">
        <w:rPr>
          <w:rFonts w:cs="Arial"/>
          <w:color w:val="000000" w:themeColor="text1"/>
          <w:szCs w:val="24"/>
        </w:rPr>
        <w:t xml:space="preserve">zavíraly smlouvy na bonusy zpravidla odděleně od hlavního závazkového vztahu na dodávky. FN s odkazem na obchodní tajemství nezveřejnily smlouvy na bonusy v registru smluv včetně hodnoty sjednaných bonusů. </w:t>
      </w:r>
      <w:r w:rsidR="00A15CFF" w:rsidRPr="00B05C2B">
        <w:rPr>
          <w:rFonts w:cs="Arial"/>
          <w:b/>
          <w:color w:val="000000" w:themeColor="text1"/>
          <w:szCs w:val="24"/>
        </w:rPr>
        <w:t>Proces nakládání s bonusy ve FN proto z těchto důvodů vykazuje netransparentní znaky.</w:t>
      </w:r>
    </w:p>
    <w:p w14:paraId="03F66FD4" w14:textId="2C3695BB" w:rsidR="00145240" w:rsidRPr="00B05C2B" w:rsidRDefault="00CF25F1" w:rsidP="00B05C2B">
      <w:pPr>
        <w:spacing w:before="120"/>
        <w:rPr>
          <w:rFonts w:cs="Arial"/>
          <w:color w:val="000000" w:themeColor="text1"/>
          <w:szCs w:val="24"/>
        </w:rPr>
      </w:pPr>
      <w:r w:rsidRPr="00B05C2B">
        <w:rPr>
          <w:szCs w:val="24"/>
        </w:rPr>
        <w:t xml:space="preserve">Fakultní nemocnice bonusy účtovaly do výnosů, FNM v některých případech o ně snižovala náklady. Všechny bonusy byly fakultními nemocnicemi účtovány na základě opravných daňových dokladů. </w:t>
      </w:r>
      <w:r w:rsidR="00821EB4" w:rsidRPr="00B05C2B">
        <w:rPr>
          <w:rFonts w:cs="Arial"/>
          <w:szCs w:val="24"/>
        </w:rPr>
        <w:t xml:space="preserve">Přijaté bonusy se netýkaly jednotlivých položek, ale kontrolované </w:t>
      </w:r>
      <w:r w:rsidR="00760398" w:rsidRPr="00B05C2B">
        <w:rPr>
          <w:rFonts w:cs="Arial"/>
          <w:szCs w:val="24"/>
        </w:rPr>
        <w:t>FN</w:t>
      </w:r>
      <w:r w:rsidR="00821EB4" w:rsidRPr="00B05C2B">
        <w:rPr>
          <w:rFonts w:cs="Arial"/>
          <w:szCs w:val="24"/>
        </w:rPr>
        <w:t xml:space="preserve"> je přijímaly za předem stanovený objem odebraného zboží. </w:t>
      </w:r>
    </w:p>
    <w:p w14:paraId="36E12AB5" w14:textId="730F3F53" w:rsidR="0084583B" w:rsidRPr="00B05C2B" w:rsidRDefault="0084583B" w:rsidP="00B05C2B">
      <w:pPr>
        <w:spacing w:before="120"/>
        <w:rPr>
          <w:szCs w:val="24"/>
        </w:rPr>
      </w:pPr>
      <w:r w:rsidRPr="00B05C2B">
        <w:rPr>
          <w:szCs w:val="24"/>
        </w:rPr>
        <w:t>Získávání bonusů neovlivnilo vykazování poskytnutých zdravotních služeb jednotlivým zdravotním pojišťovnám, jelikož fakultní nemocnice se zdravotními pojišťovnami sjednaly úhrady v převážné míře některou z forem paušálu. Např. u FNM bylo zjištěno, že v letech 2014 a 2015 tvořily paušální úhrady cca 99 % úhrad za poskytnuté zdravotní služby od zdravotních pojišťoven.</w:t>
      </w:r>
    </w:p>
    <w:p w14:paraId="5BD8F407" w14:textId="106F3F84" w:rsidR="00A15C84" w:rsidRPr="00B05C2B" w:rsidRDefault="00A15C84" w:rsidP="00B05C2B">
      <w:pPr>
        <w:spacing w:before="120"/>
        <w:rPr>
          <w:rFonts w:cs="Arial"/>
          <w:color w:val="000000" w:themeColor="text1"/>
          <w:szCs w:val="24"/>
        </w:rPr>
      </w:pPr>
      <w:r w:rsidRPr="00B05C2B">
        <w:rPr>
          <w:rFonts w:cs="Arial"/>
          <w:color w:val="000000" w:themeColor="text1"/>
          <w:szCs w:val="24"/>
        </w:rPr>
        <w:t>FN při zadávacích řízeních v oblasti bonusů nepostupovaly jednotně tak</w:t>
      </w:r>
      <w:r w:rsidR="004B0609">
        <w:rPr>
          <w:rFonts w:cs="Arial"/>
          <w:color w:val="000000" w:themeColor="text1"/>
          <w:szCs w:val="24"/>
        </w:rPr>
        <w:t>,</w:t>
      </w:r>
      <w:r w:rsidRPr="00B05C2B">
        <w:rPr>
          <w:rFonts w:cs="Arial"/>
          <w:color w:val="000000" w:themeColor="text1"/>
          <w:szCs w:val="24"/>
        </w:rPr>
        <w:t xml:space="preserve"> aby byl zajištěn transparentní výběr dodavatele. </w:t>
      </w:r>
      <w:r w:rsidR="00145240" w:rsidRPr="00B05C2B">
        <w:rPr>
          <w:rFonts w:cs="Arial"/>
          <w:color w:val="000000" w:themeColor="text1"/>
          <w:szCs w:val="24"/>
        </w:rPr>
        <w:t>Snahou poskytovatelů zdravotní péče by mělo být smluvně zajistit dodávky zboží za co nejvýhodnějších podmínek, tj. při zadávacím řízení zvolit jako kritérium nejen nabídkovou cenu, ale i bonus</w:t>
      </w:r>
      <w:r w:rsidRPr="00B05C2B">
        <w:rPr>
          <w:rFonts w:cs="Arial"/>
          <w:color w:val="000000" w:themeColor="text1"/>
          <w:szCs w:val="24"/>
        </w:rPr>
        <w:t>.</w:t>
      </w:r>
      <w:r w:rsidR="00145240" w:rsidRPr="00B05C2B">
        <w:rPr>
          <w:rFonts w:cs="Arial"/>
          <w:color w:val="000000" w:themeColor="text1"/>
          <w:szCs w:val="24"/>
        </w:rPr>
        <w:t xml:space="preserve"> </w:t>
      </w:r>
    </w:p>
    <w:p w14:paraId="2E6C9E74" w14:textId="00188D0D" w:rsidR="00145240" w:rsidRPr="00B05C2B" w:rsidRDefault="00145240" w:rsidP="00B05C2B">
      <w:pPr>
        <w:spacing w:before="120"/>
        <w:rPr>
          <w:szCs w:val="24"/>
        </w:rPr>
      </w:pPr>
      <w:r w:rsidRPr="00B05C2B">
        <w:rPr>
          <w:szCs w:val="24"/>
        </w:rPr>
        <w:t>V reakci na kontrolní závěr KA č. 16/28 vydal ministr zdravotnictví příkaz č. 13/2018</w:t>
      </w:r>
      <w:r w:rsidRPr="00B05C2B">
        <w:rPr>
          <w:rStyle w:val="Znakapoznpodarou"/>
          <w:szCs w:val="24"/>
        </w:rPr>
        <w:footnoteReference w:id="34"/>
      </w:r>
      <w:r w:rsidRPr="00B05C2B">
        <w:rPr>
          <w:szCs w:val="24"/>
        </w:rPr>
        <w:t>, kterým v článku 2 stanovil podřízeným FN závazné podmínky a pravidla pro nakládání s bonusy a jejich vykazování zdravotním pojišťovnám. Zda jsou pravidla defin</w:t>
      </w:r>
      <w:r w:rsidR="00582F15" w:rsidRPr="00B05C2B">
        <w:rPr>
          <w:szCs w:val="24"/>
        </w:rPr>
        <w:t>ována jednoznačně, dostatečně a </w:t>
      </w:r>
      <w:r w:rsidRPr="00B05C2B">
        <w:rPr>
          <w:szCs w:val="24"/>
        </w:rPr>
        <w:t>účinně však lze ověřit kontrolou u FN až s odstupem času.</w:t>
      </w:r>
    </w:p>
    <w:p w14:paraId="646E4BFD" w14:textId="73B9C0C4" w:rsidR="00F24E82" w:rsidRPr="00B05C2B" w:rsidRDefault="00B05C2B" w:rsidP="00757BF0">
      <w:pPr>
        <w:spacing w:before="240" w:after="120"/>
        <w:rPr>
          <w:rFonts w:cstheme="minorHAnsi"/>
          <w:b/>
          <w:noProof/>
          <w:color w:val="000000" w:themeColor="text1"/>
          <w:szCs w:val="26"/>
        </w:rPr>
      </w:pPr>
      <w:r>
        <w:rPr>
          <w:rFonts w:cstheme="minorHAnsi"/>
          <w:b/>
          <w:noProof/>
          <w:color w:val="000000" w:themeColor="text1"/>
          <w:szCs w:val="26"/>
        </w:rPr>
        <w:t xml:space="preserve">1.4 </w:t>
      </w:r>
      <w:r w:rsidR="00F24E82" w:rsidRPr="00B05C2B">
        <w:rPr>
          <w:rFonts w:cstheme="minorHAnsi"/>
          <w:b/>
          <w:noProof/>
          <w:color w:val="000000" w:themeColor="text1"/>
          <w:szCs w:val="26"/>
        </w:rPr>
        <w:t>Nakládání s léčivy a jejich likvidace</w:t>
      </w:r>
    </w:p>
    <w:p w14:paraId="76660F7C" w14:textId="77777777" w:rsidR="00F24E82" w:rsidRPr="007D3448" w:rsidRDefault="00F24E82" w:rsidP="00B05C2B">
      <w:pPr>
        <w:spacing w:before="120"/>
        <w:rPr>
          <w:rFonts w:cstheme="minorHAnsi"/>
          <w:noProof/>
          <w:color w:val="000000" w:themeColor="text1"/>
          <w:szCs w:val="28"/>
        </w:rPr>
      </w:pPr>
      <w:r w:rsidRPr="007D3448">
        <w:rPr>
          <w:rFonts w:cstheme="minorHAnsi"/>
          <w:noProof/>
          <w:color w:val="000000" w:themeColor="text1"/>
          <w:szCs w:val="28"/>
        </w:rPr>
        <w:t>Léčiva se stanou nepoužitelnými</w:t>
      </w:r>
      <w:r>
        <w:rPr>
          <w:rStyle w:val="Znakapoznpodarou"/>
          <w:rFonts w:cstheme="minorHAnsi"/>
          <w:noProof/>
          <w:color w:val="000000" w:themeColor="text1"/>
          <w:szCs w:val="28"/>
        </w:rPr>
        <w:footnoteReference w:id="35"/>
      </w:r>
      <w:r w:rsidRPr="007D3448">
        <w:rPr>
          <w:rFonts w:cstheme="minorHAnsi"/>
          <w:noProof/>
          <w:color w:val="000000" w:themeColor="text1"/>
          <w:szCs w:val="28"/>
        </w:rPr>
        <w:t xml:space="preserve"> především z</w:t>
      </w:r>
      <w:r>
        <w:rPr>
          <w:rFonts w:cstheme="minorHAnsi"/>
          <w:noProof/>
          <w:color w:val="000000" w:themeColor="text1"/>
          <w:szCs w:val="28"/>
        </w:rPr>
        <w:t xml:space="preserve"> </w:t>
      </w:r>
      <w:r w:rsidRPr="007D3448">
        <w:rPr>
          <w:rFonts w:cstheme="minorHAnsi"/>
          <w:noProof/>
          <w:color w:val="000000" w:themeColor="text1"/>
          <w:szCs w:val="28"/>
        </w:rPr>
        <w:t>důvodu nevyhovující jakosti, prošlé doby použitelnosti, uchovávání nebo přepravování za jiných než předepsaných podmínek, zjevného poškození nebo nespotřebování. Taková léčiva jsou určena k likvidaci.</w:t>
      </w:r>
    </w:p>
    <w:p w14:paraId="446CFB70" w14:textId="548E3689" w:rsidR="00F24E82" w:rsidRPr="00571D13" w:rsidRDefault="00F24E82" w:rsidP="00B05C2B">
      <w:pPr>
        <w:spacing w:before="120"/>
        <w:rPr>
          <w:rFonts w:cstheme="minorHAnsi"/>
          <w:noProof/>
          <w:color w:val="000000" w:themeColor="text1"/>
          <w:szCs w:val="28"/>
        </w:rPr>
      </w:pPr>
      <w:r>
        <w:rPr>
          <w:rFonts w:cstheme="minorHAnsi"/>
          <w:noProof/>
          <w:color w:val="000000" w:themeColor="text1"/>
          <w:szCs w:val="28"/>
        </w:rPr>
        <w:t>NKÚ zjistil</w:t>
      </w:r>
      <w:r w:rsidRPr="00157147">
        <w:rPr>
          <w:rFonts w:cstheme="minorHAnsi"/>
          <w:noProof/>
          <w:color w:val="000000" w:themeColor="text1"/>
          <w:szCs w:val="28"/>
        </w:rPr>
        <w:t>, že likvidaci léčiv FNB a ÚVN zajišťovaly dodavatelsky na základě smluv</w:t>
      </w:r>
      <w:r w:rsidR="00DC605B">
        <w:rPr>
          <w:rFonts w:cstheme="minorHAnsi"/>
          <w:noProof/>
          <w:color w:val="000000" w:themeColor="text1"/>
          <w:szCs w:val="28"/>
        </w:rPr>
        <w:t xml:space="preserve"> </w:t>
      </w:r>
      <w:r w:rsidRPr="00157147">
        <w:rPr>
          <w:rFonts w:cstheme="minorHAnsi"/>
          <w:noProof/>
          <w:color w:val="000000" w:themeColor="text1"/>
          <w:szCs w:val="28"/>
        </w:rPr>
        <w:t>a že likvidaci léčiv prováděly</w:t>
      </w:r>
      <w:r w:rsidR="00571D13">
        <w:rPr>
          <w:rFonts w:cstheme="minorHAnsi"/>
          <w:noProof/>
          <w:color w:val="000000" w:themeColor="text1"/>
          <w:szCs w:val="28"/>
        </w:rPr>
        <w:t xml:space="preserve"> společnosti, které k tomu měly</w:t>
      </w:r>
      <w:r w:rsidRPr="00157147">
        <w:rPr>
          <w:rFonts w:cstheme="minorHAnsi"/>
          <w:noProof/>
          <w:color w:val="000000" w:themeColor="text1"/>
          <w:szCs w:val="28"/>
        </w:rPr>
        <w:t xml:space="preserve"> </w:t>
      </w:r>
      <w:r w:rsidRPr="000807FE">
        <w:rPr>
          <w:rFonts w:cstheme="minorHAnsi"/>
          <w:noProof/>
          <w:color w:val="000000" w:themeColor="text1"/>
          <w:szCs w:val="28"/>
        </w:rPr>
        <w:t>oprávnění. FNM likvidovala nepotřebná léčiva ve vlastní spalovně.</w:t>
      </w:r>
      <w:r>
        <w:rPr>
          <w:rFonts w:cstheme="minorHAnsi"/>
          <w:noProof/>
          <w:color w:val="000000" w:themeColor="text1"/>
          <w:szCs w:val="28"/>
        </w:rPr>
        <w:t xml:space="preserve"> </w:t>
      </w:r>
      <w:r w:rsidRPr="004C7D21">
        <w:rPr>
          <w:rFonts w:cstheme="minorHAnsi"/>
          <w:noProof/>
          <w:color w:val="000000" w:themeColor="text1"/>
          <w:szCs w:val="28"/>
        </w:rPr>
        <w:t xml:space="preserve">U nepoužitelných </w:t>
      </w:r>
      <w:r w:rsidR="00554E97">
        <w:rPr>
          <w:rFonts w:cstheme="minorHAnsi"/>
          <w:noProof/>
          <w:color w:val="000000" w:themeColor="text1"/>
          <w:szCs w:val="28"/>
        </w:rPr>
        <w:t>léčiv</w:t>
      </w:r>
      <w:r w:rsidRPr="004C7D21">
        <w:rPr>
          <w:rFonts w:cstheme="minorHAnsi"/>
          <w:noProof/>
          <w:color w:val="000000" w:themeColor="text1"/>
          <w:szCs w:val="28"/>
        </w:rPr>
        <w:t xml:space="preserve"> odevzdaných fyzickými osobami do nemocniční lékárny </w:t>
      </w:r>
      <w:r w:rsidR="00724D15">
        <w:rPr>
          <w:rFonts w:cstheme="minorHAnsi"/>
          <w:noProof/>
          <w:color w:val="000000" w:themeColor="text1"/>
          <w:szCs w:val="28"/>
        </w:rPr>
        <w:t xml:space="preserve">FN </w:t>
      </w:r>
      <w:r>
        <w:rPr>
          <w:rFonts w:cstheme="minorHAnsi"/>
          <w:noProof/>
          <w:color w:val="000000" w:themeColor="text1"/>
          <w:szCs w:val="28"/>
        </w:rPr>
        <w:t>evidenci nevedly</w:t>
      </w:r>
      <w:r w:rsidRPr="004C7D21">
        <w:rPr>
          <w:rFonts w:cstheme="minorHAnsi"/>
          <w:noProof/>
          <w:color w:val="000000" w:themeColor="text1"/>
          <w:szCs w:val="28"/>
        </w:rPr>
        <w:t xml:space="preserve">, protože tato povinnost není stanovena žádným právním předpisem. </w:t>
      </w:r>
      <w:r w:rsidRPr="00571D13">
        <w:rPr>
          <w:rFonts w:cstheme="minorHAnsi"/>
          <w:noProof/>
          <w:color w:val="000000" w:themeColor="text1"/>
          <w:szCs w:val="28"/>
        </w:rPr>
        <w:t xml:space="preserve">Kontrolované nemocnice v letech 2014 až 2016 </w:t>
      </w:r>
      <w:r w:rsidR="00AF2C3D">
        <w:rPr>
          <w:rFonts w:cstheme="minorHAnsi"/>
          <w:noProof/>
          <w:color w:val="000000" w:themeColor="text1"/>
          <w:szCs w:val="28"/>
        </w:rPr>
        <w:t>nevyužily možnost dle zákona č. </w:t>
      </w:r>
      <w:r w:rsidRPr="00571D13">
        <w:rPr>
          <w:rFonts w:cstheme="minorHAnsi"/>
          <w:noProof/>
          <w:color w:val="000000" w:themeColor="text1"/>
          <w:szCs w:val="28"/>
        </w:rPr>
        <w:t>378/2007</w:t>
      </w:r>
      <w:r w:rsidR="00FC58DA" w:rsidRPr="00571D13">
        <w:rPr>
          <w:rFonts w:cstheme="minorHAnsi"/>
          <w:noProof/>
          <w:color w:val="000000" w:themeColor="text1"/>
          <w:szCs w:val="28"/>
        </w:rPr>
        <w:t> </w:t>
      </w:r>
      <w:r w:rsidRPr="00571D13">
        <w:rPr>
          <w:rFonts w:cstheme="minorHAnsi"/>
          <w:noProof/>
          <w:color w:val="000000" w:themeColor="text1"/>
          <w:szCs w:val="28"/>
        </w:rPr>
        <w:t>Sb.</w:t>
      </w:r>
      <w:r w:rsidRPr="00571D13">
        <w:rPr>
          <w:rStyle w:val="Znakapoznpodarou"/>
          <w:rFonts w:cstheme="minorHAnsi"/>
          <w:noProof/>
          <w:color w:val="000000" w:themeColor="text1"/>
          <w:szCs w:val="28"/>
        </w:rPr>
        <w:footnoteReference w:id="36"/>
      </w:r>
      <w:r w:rsidRPr="00571D13">
        <w:rPr>
          <w:rFonts w:cstheme="minorHAnsi"/>
          <w:noProof/>
          <w:color w:val="000000" w:themeColor="text1"/>
          <w:szCs w:val="28"/>
        </w:rPr>
        <w:t xml:space="preserve"> uplatnit u </w:t>
      </w:r>
      <w:r w:rsidR="00760398" w:rsidRPr="00571D13">
        <w:rPr>
          <w:rFonts w:cstheme="minorHAnsi"/>
          <w:noProof/>
          <w:color w:val="000000" w:themeColor="text1"/>
          <w:szCs w:val="28"/>
        </w:rPr>
        <w:t>k</w:t>
      </w:r>
      <w:r w:rsidRPr="00571D13">
        <w:rPr>
          <w:rFonts w:cstheme="minorHAnsi"/>
          <w:noProof/>
          <w:color w:val="000000" w:themeColor="text1"/>
          <w:szCs w:val="28"/>
        </w:rPr>
        <w:t>rajského úřadu náklady vzniklé nemocniční lékárně v souvislosti s odevzdáním nepoužitelných léčiv fyzickými osobami.</w:t>
      </w:r>
    </w:p>
    <w:p w14:paraId="23F6C70A" w14:textId="77777777" w:rsidR="00F24E82" w:rsidRPr="00571D13" w:rsidRDefault="00F24E82" w:rsidP="00B05C2B">
      <w:pPr>
        <w:spacing w:before="120"/>
        <w:rPr>
          <w:rFonts w:cstheme="minorHAnsi"/>
          <w:noProof/>
          <w:color w:val="000000" w:themeColor="text1"/>
          <w:szCs w:val="28"/>
        </w:rPr>
      </w:pPr>
      <w:r w:rsidRPr="00571D13">
        <w:rPr>
          <w:rFonts w:cstheme="minorHAnsi"/>
          <w:noProof/>
          <w:color w:val="000000" w:themeColor="text1"/>
          <w:szCs w:val="28"/>
        </w:rPr>
        <w:t>NKÚ kontorolou zjistil, že:</w:t>
      </w:r>
    </w:p>
    <w:p w14:paraId="4D3E8BD2" w14:textId="77777777" w:rsidR="00F24E82" w:rsidRPr="00E96180" w:rsidRDefault="00F24E82" w:rsidP="00B05C2B">
      <w:pPr>
        <w:pStyle w:val="Odstavecseseznamem"/>
        <w:numPr>
          <w:ilvl w:val="0"/>
          <w:numId w:val="35"/>
        </w:numPr>
        <w:ind w:left="284" w:hanging="284"/>
        <w:rPr>
          <w:rFonts w:cstheme="minorHAnsi"/>
          <w:noProof/>
          <w:color w:val="000000" w:themeColor="text1"/>
          <w:szCs w:val="28"/>
        </w:rPr>
      </w:pPr>
      <w:r w:rsidRPr="00E96180">
        <w:rPr>
          <w:rFonts w:cstheme="minorHAnsi"/>
          <w:noProof/>
          <w:color w:val="000000" w:themeColor="text1"/>
          <w:szCs w:val="28"/>
        </w:rPr>
        <w:t>FNB vedla evidenci nepoužitelných léčiv pouze v hmotnostních jednotkách;</w:t>
      </w:r>
    </w:p>
    <w:p w14:paraId="7386D22D" w14:textId="6C47BE92" w:rsidR="00F24E82" w:rsidRPr="00E96180" w:rsidRDefault="00F24E82" w:rsidP="00B05C2B">
      <w:pPr>
        <w:pStyle w:val="Odstavecseseznamem"/>
        <w:numPr>
          <w:ilvl w:val="0"/>
          <w:numId w:val="35"/>
        </w:numPr>
        <w:ind w:left="284" w:hanging="284"/>
        <w:rPr>
          <w:rFonts w:cstheme="minorHAnsi"/>
          <w:noProof/>
          <w:color w:val="000000" w:themeColor="text1"/>
          <w:szCs w:val="28"/>
        </w:rPr>
      </w:pPr>
      <w:r w:rsidRPr="00E96180">
        <w:rPr>
          <w:rFonts w:cstheme="minorHAnsi"/>
          <w:noProof/>
          <w:color w:val="000000" w:themeColor="text1"/>
          <w:szCs w:val="28"/>
        </w:rPr>
        <w:t>FNM vedla evidenci nepoužitelných léčiv z nemocniční lékárny jak v hmotnostních jednotk</w:t>
      </w:r>
      <w:r w:rsidR="00AE3BCC" w:rsidRPr="00E96180">
        <w:rPr>
          <w:rFonts w:cstheme="minorHAnsi"/>
          <w:noProof/>
          <w:color w:val="000000" w:themeColor="text1"/>
          <w:szCs w:val="28"/>
        </w:rPr>
        <w:t>ách</w:t>
      </w:r>
      <w:r w:rsidR="002A59EC">
        <w:rPr>
          <w:rFonts w:cstheme="minorHAnsi"/>
          <w:noProof/>
          <w:color w:val="000000" w:themeColor="text1"/>
          <w:szCs w:val="28"/>
        </w:rPr>
        <w:t>,</w:t>
      </w:r>
      <w:r w:rsidR="00AE3BCC" w:rsidRPr="00E96180">
        <w:rPr>
          <w:rFonts w:cstheme="minorHAnsi"/>
          <w:noProof/>
          <w:color w:val="000000" w:themeColor="text1"/>
          <w:szCs w:val="28"/>
        </w:rPr>
        <w:t xml:space="preserve"> tak i v korunovém vyjádření.</w:t>
      </w:r>
      <w:r w:rsidRPr="00E96180">
        <w:rPr>
          <w:rFonts w:cstheme="minorHAnsi"/>
          <w:noProof/>
          <w:color w:val="000000" w:themeColor="text1"/>
          <w:szCs w:val="28"/>
        </w:rPr>
        <w:t xml:space="preserve"> </w:t>
      </w:r>
      <w:r w:rsidR="00AE3BCC" w:rsidRPr="00E96180">
        <w:rPr>
          <w:rFonts w:cstheme="minorHAnsi"/>
          <w:noProof/>
          <w:color w:val="000000" w:themeColor="text1"/>
          <w:szCs w:val="28"/>
        </w:rPr>
        <w:t>N</w:t>
      </w:r>
      <w:r w:rsidRPr="00E96180">
        <w:rPr>
          <w:rFonts w:cstheme="minorHAnsi"/>
          <w:noProof/>
          <w:color w:val="000000" w:themeColor="text1"/>
          <w:szCs w:val="28"/>
        </w:rPr>
        <w:t xml:space="preserve">a odděleních tuto evidenci </w:t>
      </w:r>
      <w:r w:rsidR="00AE3BCC" w:rsidRPr="00E96180">
        <w:rPr>
          <w:rFonts w:cstheme="minorHAnsi"/>
          <w:noProof/>
          <w:color w:val="000000" w:themeColor="text1"/>
          <w:szCs w:val="28"/>
        </w:rPr>
        <w:t xml:space="preserve">FNM </w:t>
      </w:r>
      <w:r w:rsidR="00FB2BD1" w:rsidRPr="00E96180">
        <w:rPr>
          <w:rFonts w:cstheme="minorHAnsi"/>
          <w:noProof/>
          <w:color w:val="000000" w:themeColor="text1"/>
          <w:szCs w:val="28"/>
        </w:rPr>
        <w:t>vedla</w:t>
      </w:r>
      <w:r w:rsidRPr="00E96180">
        <w:rPr>
          <w:rFonts w:cstheme="minorHAnsi"/>
          <w:noProof/>
          <w:color w:val="000000" w:themeColor="text1"/>
          <w:szCs w:val="28"/>
        </w:rPr>
        <w:t xml:space="preserve"> pouze v počtu balení</w:t>
      </w:r>
      <w:r w:rsidR="00AE3BCC" w:rsidRPr="00E96180">
        <w:rPr>
          <w:rFonts w:cstheme="minorHAnsi"/>
          <w:noProof/>
          <w:color w:val="000000" w:themeColor="text1"/>
          <w:szCs w:val="28"/>
        </w:rPr>
        <w:t xml:space="preserve">, což </w:t>
      </w:r>
      <w:r w:rsidR="00BB7C08" w:rsidRPr="00E96180">
        <w:rPr>
          <w:rFonts w:cstheme="minorHAnsi"/>
          <w:noProof/>
          <w:color w:val="000000" w:themeColor="text1"/>
          <w:szCs w:val="28"/>
        </w:rPr>
        <w:t xml:space="preserve">vedlo </w:t>
      </w:r>
      <w:r w:rsidR="00AE3BCC" w:rsidRPr="00E96180">
        <w:rPr>
          <w:rFonts w:cstheme="minorHAnsi"/>
          <w:noProof/>
          <w:color w:val="000000" w:themeColor="text1"/>
          <w:szCs w:val="28"/>
        </w:rPr>
        <w:t>k tomu, že v případě likvidace nepoužitelných léčiv neznala jejich hodnotu</w:t>
      </w:r>
      <w:r w:rsidRPr="00E96180">
        <w:rPr>
          <w:rFonts w:cstheme="minorHAnsi"/>
          <w:noProof/>
          <w:color w:val="000000" w:themeColor="text1"/>
          <w:szCs w:val="28"/>
        </w:rPr>
        <w:t>;</w:t>
      </w:r>
    </w:p>
    <w:p w14:paraId="478CE741" w14:textId="46766804" w:rsidR="00F24E82" w:rsidRPr="00E96180" w:rsidRDefault="00FB2BD1" w:rsidP="00B05C2B">
      <w:pPr>
        <w:pStyle w:val="Odstavecseseznamem"/>
        <w:numPr>
          <w:ilvl w:val="0"/>
          <w:numId w:val="35"/>
        </w:numPr>
        <w:ind w:left="284" w:hanging="284"/>
        <w:rPr>
          <w:rFonts w:cstheme="minorHAnsi"/>
          <w:b/>
          <w:noProof/>
          <w:color w:val="000000" w:themeColor="text1"/>
          <w:sz w:val="28"/>
          <w:szCs w:val="28"/>
        </w:rPr>
      </w:pPr>
      <w:r w:rsidRPr="00E96180">
        <w:rPr>
          <w:rFonts w:cstheme="minorHAnsi"/>
          <w:noProof/>
          <w:color w:val="000000" w:themeColor="text1"/>
          <w:szCs w:val="28"/>
        </w:rPr>
        <w:t>ÚVN vedla evidenc</w:t>
      </w:r>
      <w:r w:rsidR="00F24E82" w:rsidRPr="00E96180">
        <w:rPr>
          <w:rFonts w:cstheme="minorHAnsi"/>
          <w:noProof/>
          <w:color w:val="000000" w:themeColor="text1"/>
          <w:szCs w:val="28"/>
        </w:rPr>
        <w:t>i nepoužitelných léčiv jak v hmotnostních jednotkách</w:t>
      </w:r>
      <w:r w:rsidR="00F611A5" w:rsidRPr="00E96180">
        <w:rPr>
          <w:rFonts w:cstheme="minorHAnsi"/>
          <w:noProof/>
          <w:color w:val="000000" w:themeColor="text1"/>
          <w:szCs w:val="28"/>
        </w:rPr>
        <w:t>,</w:t>
      </w:r>
      <w:r w:rsidR="00F24E82" w:rsidRPr="00E96180">
        <w:rPr>
          <w:rFonts w:cstheme="minorHAnsi"/>
          <w:noProof/>
          <w:color w:val="000000" w:themeColor="text1"/>
          <w:szCs w:val="28"/>
        </w:rPr>
        <w:t xml:space="preserve"> tak v korunovém vyjádření. ÚVN zavedla v průběhu roku 2016 elektronizaci podávání léčiv, kdy hlavním přínosem bylo snížení skladových zásob cca o 24 % na odborných odděleních, minimalizace nákladů na léčiva, maxi</w:t>
      </w:r>
      <w:r w:rsidR="00582F15">
        <w:rPr>
          <w:rFonts w:cstheme="minorHAnsi"/>
          <w:noProof/>
          <w:color w:val="000000" w:themeColor="text1"/>
          <w:szCs w:val="28"/>
        </w:rPr>
        <w:t>malizace jejich využitelnosti a </w:t>
      </w:r>
      <w:r w:rsidR="00F24E82" w:rsidRPr="00E96180">
        <w:rPr>
          <w:rFonts w:cstheme="minorHAnsi"/>
          <w:noProof/>
          <w:color w:val="000000" w:themeColor="text1"/>
          <w:szCs w:val="28"/>
        </w:rPr>
        <w:t xml:space="preserve">snížení chybovosti, což lze považovat za účelné a hospodárné. </w:t>
      </w:r>
      <w:r w:rsidR="00F24E82" w:rsidRPr="00E96180">
        <w:rPr>
          <w:rFonts w:cstheme="minorHAnsi"/>
          <w:b/>
          <w:noProof/>
          <w:color w:val="000000" w:themeColor="text1"/>
          <w:sz w:val="28"/>
          <w:szCs w:val="28"/>
        </w:rPr>
        <w:t xml:space="preserve"> </w:t>
      </w:r>
    </w:p>
    <w:p w14:paraId="7A5CA9B6" w14:textId="7CD9BE76" w:rsidR="00F611A5" w:rsidRPr="00F611A5" w:rsidRDefault="00F611A5" w:rsidP="00B05C2B">
      <w:pPr>
        <w:spacing w:before="120"/>
        <w:rPr>
          <w:rFonts w:cstheme="minorHAnsi"/>
          <w:b/>
          <w:strike/>
        </w:rPr>
      </w:pPr>
      <w:r w:rsidRPr="00F611A5">
        <w:rPr>
          <w:rFonts w:cstheme="minorHAnsi"/>
          <w:b/>
        </w:rPr>
        <w:t>Pro hospodárný způsob nakládání s nepoužitelnými léčivy je žádoucí vedení jejich evidence především v korunovém vyjádření.</w:t>
      </w:r>
    </w:p>
    <w:p w14:paraId="0004B3F9" w14:textId="6ECEF8A3" w:rsidR="00911982" w:rsidRDefault="00911982" w:rsidP="00B05C2B">
      <w:pPr>
        <w:pStyle w:val="Odstavecseseznamem"/>
        <w:spacing w:before="120"/>
        <w:ind w:left="0"/>
        <w:rPr>
          <w:rFonts w:cstheme="minorHAnsi"/>
          <w:noProof/>
          <w:color w:val="000000" w:themeColor="text1"/>
          <w:szCs w:val="28"/>
        </w:rPr>
      </w:pPr>
      <w:r w:rsidRPr="00911982">
        <w:rPr>
          <w:rFonts w:cstheme="minorHAnsi"/>
          <w:b/>
          <w:noProof/>
          <w:color w:val="000000" w:themeColor="text1"/>
          <w:szCs w:val="28"/>
        </w:rPr>
        <w:t>ÚVN nepostupovala při zadávacím řízení na odvoz a likvidaci nebezpečného odpadu v</w:t>
      </w:r>
      <w:r w:rsidR="004C67D7">
        <w:rPr>
          <w:rFonts w:cstheme="minorHAnsi"/>
          <w:b/>
          <w:noProof/>
          <w:color w:val="000000" w:themeColor="text1"/>
          <w:szCs w:val="28"/>
        </w:rPr>
        <w:t> </w:t>
      </w:r>
      <w:r w:rsidRPr="00911982">
        <w:rPr>
          <w:rFonts w:cstheme="minorHAnsi"/>
          <w:b/>
          <w:noProof/>
          <w:color w:val="000000" w:themeColor="text1"/>
          <w:szCs w:val="28"/>
        </w:rPr>
        <w:t>souladu zákonem č. 137/2006 Sb.</w:t>
      </w:r>
      <w:r w:rsidRPr="00911982">
        <w:rPr>
          <w:rStyle w:val="Znakapoznpodarou"/>
          <w:rFonts w:cstheme="minorHAnsi"/>
          <w:b/>
          <w:noProof/>
          <w:color w:val="000000" w:themeColor="text1"/>
          <w:szCs w:val="28"/>
        </w:rPr>
        <w:footnoteReference w:id="37"/>
      </w:r>
      <w:r w:rsidRPr="00911982">
        <w:rPr>
          <w:rFonts w:cstheme="minorHAnsi"/>
          <w:b/>
          <w:noProof/>
          <w:color w:val="000000" w:themeColor="text1"/>
          <w:szCs w:val="28"/>
        </w:rPr>
        <w:t xml:space="preserve"> </w:t>
      </w:r>
      <w:r w:rsidRPr="00EC6ED7">
        <w:rPr>
          <w:rFonts w:cstheme="minorHAnsi"/>
          <w:noProof/>
          <w:color w:val="000000" w:themeColor="text1"/>
          <w:szCs w:val="28"/>
        </w:rPr>
        <w:t>tím, že ne</w:t>
      </w:r>
      <w:r>
        <w:rPr>
          <w:rFonts w:cstheme="minorHAnsi"/>
          <w:noProof/>
          <w:color w:val="000000" w:themeColor="text1"/>
          <w:szCs w:val="28"/>
        </w:rPr>
        <w:t>doložila, že do pěti</w:t>
      </w:r>
      <w:r w:rsidRPr="00EC6ED7">
        <w:rPr>
          <w:rFonts w:cstheme="minorHAnsi"/>
          <w:noProof/>
          <w:color w:val="000000" w:themeColor="text1"/>
          <w:szCs w:val="28"/>
        </w:rPr>
        <w:t xml:space="preserve"> pracovních dnů po rozhodnutí zadavatele o výběru nejvhodnější nabídky odeslala oznám</w:t>
      </w:r>
      <w:r>
        <w:rPr>
          <w:rFonts w:cstheme="minorHAnsi"/>
          <w:noProof/>
          <w:color w:val="000000" w:themeColor="text1"/>
          <w:szCs w:val="28"/>
        </w:rPr>
        <w:t>ení o výběru nejvhodnější nabídk</w:t>
      </w:r>
      <w:r w:rsidRPr="00EC6ED7">
        <w:rPr>
          <w:rFonts w:cstheme="minorHAnsi"/>
          <w:noProof/>
          <w:color w:val="000000" w:themeColor="text1"/>
          <w:szCs w:val="28"/>
        </w:rPr>
        <w:t>y do</w:t>
      </w:r>
      <w:r>
        <w:rPr>
          <w:rFonts w:cstheme="minorHAnsi"/>
          <w:noProof/>
          <w:color w:val="000000" w:themeColor="text1"/>
          <w:szCs w:val="28"/>
        </w:rPr>
        <w:t>tčeným zájemcům a uchazečům, zne</w:t>
      </w:r>
      <w:r w:rsidRPr="00EC6ED7">
        <w:rPr>
          <w:rFonts w:cstheme="minorHAnsi"/>
          <w:noProof/>
          <w:color w:val="000000" w:themeColor="text1"/>
          <w:szCs w:val="28"/>
        </w:rPr>
        <w:t>možnila dotčeným uchazečům možnost v zákonné lhůtě podat námitky proti tomuto rozhodnutí a následně uzavřela smlouvy s vybraným uchazečem</w:t>
      </w:r>
      <w:r w:rsidR="002A59EC">
        <w:rPr>
          <w:rFonts w:cstheme="minorHAnsi"/>
          <w:noProof/>
          <w:color w:val="000000" w:themeColor="text1"/>
          <w:szCs w:val="28"/>
        </w:rPr>
        <w:t>,</w:t>
      </w:r>
      <w:r w:rsidRPr="00EC6ED7">
        <w:rPr>
          <w:rFonts w:cstheme="minorHAnsi"/>
          <w:noProof/>
          <w:color w:val="000000" w:themeColor="text1"/>
          <w:szCs w:val="28"/>
        </w:rPr>
        <w:t xml:space="preserve"> přestože zákon č. 137/2006 Sb. explicitně zakazuje uzavřít smlouvu s vybraným uchazečem před uplynutím lhůty pro podání námitek. ÚVN neodeslala k uveřejnění oznámení o výsledku zadávacího řízení ve lhůtě 15 dnů od uzavření smlouvy v rozporu se zákonem č. 137/2006 Sb.</w:t>
      </w:r>
      <w:r>
        <w:rPr>
          <w:rStyle w:val="Znakapoznpodarou"/>
          <w:rFonts w:cstheme="minorHAnsi"/>
          <w:noProof/>
          <w:color w:val="000000" w:themeColor="text1"/>
          <w:szCs w:val="28"/>
        </w:rPr>
        <w:footnoteReference w:id="38"/>
      </w:r>
    </w:p>
    <w:p w14:paraId="473B96B2" w14:textId="4AF5F4C3" w:rsidR="00CB3FBB" w:rsidRPr="00CB3FBB" w:rsidRDefault="00CB3FBB" w:rsidP="00B05C2B">
      <w:pPr>
        <w:pStyle w:val="Odstavecseseznamem"/>
        <w:spacing w:before="120"/>
        <w:ind w:left="0"/>
        <w:rPr>
          <w:rFonts w:cstheme="minorHAnsi"/>
          <w:b/>
          <w:noProof/>
          <w:color w:val="000000" w:themeColor="text1"/>
          <w:szCs w:val="28"/>
        </w:rPr>
      </w:pPr>
      <w:r w:rsidRPr="00CB3FBB">
        <w:rPr>
          <w:rFonts w:cstheme="minorHAnsi"/>
          <w:b/>
          <w:noProof/>
          <w:color w:val="000000" w:themeColor="text1"/>
          <w:szCs w:val="28"/>
        </w:rPr>
        <w:t>FNB porušila rozpočtovou kázeň</w:t>
      </w:r>
      <w:r w:rsidRPr="002105C0">
        <w:rPr>
          <w:rStyle w:val="Znakapoznpodarou"/>
          <w:rFonts w:cstheme="minorHAnsi"/>
          <w:b/>
          <w:noProof/>
          <w:color w:val="000000" w:themeColor="text1"/>
          <w:szCs w:val="28"/>
        </w:rPr>
        <w:footnoteReference w:id="39"/>
      </w:r>
      <w:r w:rsidR="002105C0" w:rsidRPr="002105C0">
        <w:rPr>
          <w:rFonts w:cstheme="minorHAnsi"/>
          <w:b/>
          <w:noProof/>
          <w:color w:val="000000" w:themeColor="text1"/>
          <w:szCs w:val="28"/>
        </w:rPr>
        <w:t xml:space="preserve"> </w:t>
      </w:r>
      <w:r w:rsidRPr="002105C0">
        <w:rPr>
          <w:rFonts w:cstheme="minorHAnsi"/>
          <w:b/>
          <w:noProof/>
          <w:color w:val="000000" w:themeColor="text1"/>
          <w:szCs w:val="28"/>
        </w:rPr>
        <w:t>tím</w:t>
      </w:r>
      <w:r w:rsidR="00BB7C08" w:rsidRPr="002105C0">
        <w:rPr>
          <w:rFonts w:cstheme="minorHAnsi"/>
          <w:b/>
          <w:noProof/>
          <w:color w:val="000000" w:themeColor="text1"/>
          <w:szCs w:val="28"/>
        </w:rPr>
        <w:t>,</w:t>
      </w:r>
      <w:r w:rsidRPr="002105C0">
        <w:rPr>
          <w:rFonts w:cstheme="minorHAnsi"/>
          <w:b/>
          <w:noProof/>
          <w:color w:val="000000" w:themeColor="text1"/>
          <w:szCs w:val="28"/>
        </w:rPr>
        <w:t xml:space="preserve"> že neoprávněně použila peněžní prostředky nejméně ve výši 8 214 984 Kč včetně DPH, když v rámci zadávacího řízení na nadlimitní veřejnou zakázku na dodavatele služeb likvidace odpadů</w:t>
      </w:r>
      <w:r w:rsidRPr="00CB3FBB">
        <w:rPr>
          <w:rFonts w:cstheme="minorHAnsi"/>
          <w:b/>
          <w:noProof/>
          <w:color w:val="000000" w:themeColor="text1"/>
          <w:szCs w:val="28"/>
        </w:rPr>
        <w:t xml:space="preserve"> (včetně nebezpečného odpadu) hodnotila jinou cenovou nabídku vítězného uchazeče, než jakou sdělila při otevírání obálek a zapsala do protokolu o otevírání obálek s nabídkami. FNB nabídku vítězného uchazeče, která obsahovala dvě rozdílné nabídkové ceny, nevyřadila z hodnocení a vybrala ji jako nejvýhodnější. FNB nedodržela zásadu transparentnosti a nepostupovala v souladu se zákonem</w:t>
      </w:r>
      <w:r w:rsidRPr="00CB3FBB">
        <w:rPr>
          <w:rStyle w:val="Znakapoznpodarou"/>
          <w:rFonts w:cstheme="minorHAnsi"/>
          <w:b/>
          <w:noProof/>
          <w:color w:val="000000" w:themeColor="text1"/>
          <w:szCs w:val="28"/>
        </w:rPr>
        <w:footnoteReference w:id="40"/>
      </w:r>
      <w:r w:rsidRPr="00CB3FBB">
        <w:rPr>
          <w:rFonts w:cstheme="minorHAnsi"/>
          <w:b/>
          <w:noProof/>
          <w:color w:val="000000" w:themeColor="text1"/>
          <w:szCs w:val="28"/>
        </w:rPr>
        <w:t>.</w:t>
      </w:r>
    </w:p>
    <w:p w14:paraId="4638150E" w14:textId="0145B6F9" w:rsidR="00CF25F1" w:rsidRPr="00B05C2B" w:rsidRDefault="00B05C2B" w:rsidP="00757BF0">
      <w:pPr>
        <w:spacing w:before="240" w:after="120"/>
        <w:rPr>
          <w:rFonts w:cstheme="minorHAnsi"/>
          <w:b/>
          <w:noProof/>
          <w:color w:val="000000" w:themeColor="text1"/>
          <w:szCs w:val="26"/>
        </w:rPr>
      </w:pPr>
      <w:r>
        <w:rPr>
          <w:rFonts w:cstheme="minorHAnsi"/>
          <w:b/>
          <w:noProof/>
          <w:color w:val="000000" w:themeColor="text1"/>
          <w:szCs w:val="26"/>
        </w:rPr>
        <w:t xml:space="preserve">1.5 </w:t>
      </w:r>
      <w:r w:rsidR="00CF25F1" w:rsidRPr="00B05C2B">
        <w:rPr>
          <w:rFonts w:cstheme="minorHAnsi"/>
          <w:b/>
          <w:noProof/>
          <w:color w:val="000000" w:themeColor="text1"/>
          <w:szCs w:val="26"/>
        </w:rPr>
        <w:t xml:space="preserve">Veřejné zakázky na </w:t>
      </w:r>
      <w:r w:rsidR="009F69E7" w:rsidRPr="00B05C2B">
        <w:rPr>
          <w:rFonts w:cstheme="minorHAnsi"/>
          <w:b/>
          <w:noProof/>
          <w:color w:val="000000" w:themeColor="text1"/>
          <w:szCs w:val="26"/>
        </w:rPr>
        <w:t>nákup</w:t>
      </w:r>
      <w:r w:rsidR="00694F91" w:rsidRPr="00B05C2B">
        <w:rPr>
          <w:rFonts w:cstheme="minorHAnsi"/>
          <w:b/>
          <w:noProof/>
          <w:color w:val="000000" w:themeColor="text1"/>
          <w:szCs w:val="26"/>
        </w:rPr>
        <w:t xml:space="preserve"> </w:t>
      </w:r>
      <w:r w:rsidR="0015179B" w:rsidRPr="00B05C2B">
        <w:rPr>
          <w:rFonts w:cstheme="minorHAnsi"/>
          <w:b/>
          <w:noProof/>
          <w:color w:val="000000" w:themeColor="text1"/>
          <w:szCs w:val="26"/>
        </w:rPr>
        <w:t>zdravotnických p</w:t>
      </w:r>
      <w:r w:rsidR="009F69E7" w:rsidRPr="00B05C2B">
        <w:rPr>
          <w:rFonts w:cstheme="minorHAnsi"/>
          <w:b/>
          <w:noProof/>
          <w:color w:val="000000" w:themeColor="text1"/>
          <w:szCs w:val="26"/>
        </w:rPr>
        <w:t>rostředků</w:t>
      </w:r>
    </w:p>
    <w:p w14:paraId="77C5B6A8" w14:textId="04D121A4" w:rsidR="009F69E7" w:rsidRDefault="009F69E7" w:rsidP="00B05C2B">
      <w:pPr>
        <w:autoSpaceDE w:val="0"/>
        <w:autoSpaceDN w:val="0"/>
        <w:adjustRightInd w:val="0"/>
        <w:spacing w:before="120"/>
        <w:rPr>
          <w:rFonts w:cs="Arial"/>
          <w:b/>
          <w:color w:val="000000" w:themeColor="text1"/>
        </w:rPr>
      </w:pPr>
      <w:r w:rsidRPr="009F69E7">
        <w:rPr>
          <w:rFonts w:cs="Arial"/>
          <w:b/>
          <w:color w:val="000000" w:themeColor="text1"/>
        </w:rPr>
        <w:t xml:space="preserve">Ze sdělení jednotlivých FN vyplývá, že z celkového objemu všech nákupů </w:t>
      </w:r>
      <w:proofErr w:type="spellStart"/>
      <w:r w:rsidRPr="009F69E7">
        <w:rPr>
          <w:rFonts w:cs="Arial"/>
          <w:b/>
          <w:color w:val="000000" w:themeColor="text1"/>
        </w:rPr>
        <w:t>ZPr</w:t>
      </w:r>
      <w:proofErr w:type="spellEnd"/>
      <w:r w:rsidRPr="009F69E7">
        <w:rPr>
          <w:rFonts w:cs="Arial"/>
          <w:b/>
          <w:color w:val="000000" w:themeColor="text1"/>
        </w:rPr>
        <w:t xml:space="preserve"> provedených v letech 2014 až 2016 tvořily nákupy realizované na základě zadávacího řízení dle zákona </w:t>
      </w:r>
      <w:r w:rsidRPr="002105C0">
        <w:rPr>
          <w:rFonts w:cs="Arial"/>
          <w:b/>
          <w:color w:val="000000" w:themeColor="text1"/>
        </w:rPr>
        <w:t>o</w:t>
      </w:r>
      <w:r w:rsidR="004C67D7">
        <w:rPr>
          <w:rFonts w:cs="Arial"/>
          <w:b/>
          <w:color w:val="000000" w:themeColor="text1"/>
        </w:rPr>
        <w:t> </w:t>
      </w:r>
      <w:r w:rsidRPr="002105C0">
        <w:rPr>
          <w:rFonts w:cs="Arial"/>
          <w:b/>
          <w:color w:val="000000" w:themeColor="text1"/>
        </w:rPr>
        <w:t>veřejných</w:t>
      </w:r>
      <w:r w:rsidRPr="009F69E7">
        <w:rPr>
          <w:rFonts w:cs="Arial"/>
          <w:b/>
          <w:color w:val="000000" w:themeColor="text1"/>
        </w:rPr>
        <w:t xml:space="preserve"> zakázkách u FNB 0,42 %, u F</w:t>
      </w:r>
      <w:r w:rsidR="00A53E26">
        <w:rPr>
          <w:rFonts w:cs="Arial"/>
          <w:b/>
          <w:color w:val="000000" w:themeColor="text1"/>
        </w:rPr>
        <w:t>NM 24,38 %. ÚVN údaje nesledovala</w:t>
      </w:r>
      <w:r w:rsidR="000A1605">
        <w:rPr>
          <w:rFonts w:cs="Arial"/>
          <w:b/>
          <w:color w:val="000000" w:themeColor="text1"/>
        </w:rPr>
        <w:t>, neboť tato povinnost není stanovena právními předpisy.</w:t>
      </w:r>
    </w:p>
    <w:p w14:paraId="55A04CC2" w14:textId="62DAA6AB" w:rsidR="002C07EA" w:rsidRPr="009F69E7" w:rsidRDefault="002C07EA" w:rsidP="00B05C2B">
      <w:pPr>
        <w:autoSpaceDE w:val="0"/>
        <w:autoSpaceDN w:val="0"/>
        <w:adjustRightInd w:val="0"/>
        <w:spacing w:before="120"/>
        <w:rPr>
          <w:rFonts w:cs="Arial"/>
          <w:b/>
          <w:color w:val="000000" w:themeColor="text1"/>
        </w:rPr>
      </w:pPr>
      <w:r w:rsidRPr="00154F85">
        <w:rPr>
          <w:rFonts w:cs="Arial"/>
        </w:rPr>
        <w:t>NKÚ</w:t>
      </w:r>
      <w:r>
        <w:rPr>
          <w:rFonts w:cs="Arial"/>
        </w:rPr>
        <w:t xml:space="preserve"> při kontrole zjistil, že FN</w:t>
      </w:r>
      <w:r w:rsidRPr="00154F85">
        <w:rPr>
          <w:rFonts w:cs="Arial"/>
        </w:rPr>
        <w:t xml:space="preserve"> měly smluvně ošetřeny nák</w:t>
      </w:r>
      <w:r w:rsidR="001C148F">
        <w:rPr>
          <w:rFonts w:cs="Arial"/>
        </w:rPr>
        <w:t>upy zdravotnických prostředků a </w:t>
      </w:r>
      <w:r w:rsidRPr="00154F85">
        <w:rPr>
          <w:rFonts w:cs="Arial"/>
        </w:rPr>
        <w:t>fakturované</w:t>
      </w:r>
      <w:r>
        <w:rPr>
          <w:rFonts w:cs="Arial"/>
        </w:rPr>
        <w:t xml:space="preserve"> ceny odpovídaly smluvním cenám, kromě ÚVN v případě 4 dodavatelů.</w:t>
      </w:r>
    </w:p>
    <w:p w14:paraId="708C99EB" w14:textId="02C7D6AA" w:rsidR="00CF25F1" w:rsidRPr="00B80786" w:rsidRDefault="00CF25F1" w:rsidP="00B05C2B">
      <w:pPr>
        <w:shd w:val="clear" w:color="auto" w:fill="FFFFFF"/>
        <w:spacing w:before="120"/>
        <w:rPr>
          <w:rFonts w:cstheme="minorHAnsi"/>
        </w:rPr>
      </w:pPr>
      <w:r w:rsidRPr="00B80786">
        <w:rPr>
          <w:szCs w:val="22"/>
        </w:rPr>
        <w:t xml:space="preserve">NKÚ na vybraném kontrolním vzorku shodných zdravotnických prostředků </w:t>
      </w:r>
      <w:r w:rsidR="00F166B5">
        <w:rPr>
          <w:szCs w:val="22"/>
        </w:rPr>
        <w:t>p</w:t>
      </w:r>
      <w:r w:rsidRPr="00B80786">
        <w:rPr>
          <w:szCs w:val="22"/>
        </w:rPr>
        <w:t xml:space="preserve">oužívaných </w:t>
      </w:r>
      <w:r>
        <w:rPr>
          <w:szCs w:val="22"/>
        </w:rPr>
        <w:t>fakultními</w:t>
      </w:r>
      <w:r w:rsidRPr="00B80786">
        <w:rPr>
          <w:szCs w:val="22"/>
        </w:rPr>
        <w:t xml:space="preserve"> nemocnicemi </w:t>
      </w:r>
      <w:r w:rsidR="00F166B5">
        <w:rPr>
          <w:szCs w:val="22"/>
        </w:rPr>
        <w:t>v období</w:t>
      </w:r>
      <w:r w:rsidRPr="00B80786">
        <w:rPr>
          <w:szCs w:val="22"/>
        </w:rPr>
        <w:t xml:space="preserve"> 2014 až 2016 zjistil způsob jejich pořizování. Kontrolní vzorek zdravotnických prostředků obsahoval zvlášť účtovaný materiál </w:t>
      </w:r>
      <w:r w:rsidRPr="00B80786">
        <w:rPr>
          <w:color w:val="000000"/>
          <w:spacing w:val="-2"/>
        </w:rPr>
        <w:t xml:space="preserve">s pořizovací hodnotou vyšší než 30 tis. Kč za kus (balení) </w:t>
      </w:r>
      <w:r w:rsidRPr="00B80786">
        <w:rPr>
          <w:szCs w:val="22"/>
        </w:rPr>
        <w:t xml:space="preserve">v celkové hodnotě 16 150 346,96 Kč vč. DPH. </w:t>
      </w:r>
      <w:r w:rsidRPr="00B80786">
        <w:rPr>
          <w:rFonts w:cstheme="minorHAnsi"/>
        </w:rPr>
        <w:t>Způsob jejich pořízení je uveden v následující tabulce</w:t>
      </w:r>
      <w:r w:rsidR="002A59EC">
        <w:rPr>
          <w:rFonts w:cstheme="minorHAnsi"/>
        </w:rPr>
        <w:t>:</w:t>
      </w:r>
    </w:p>
    <w:p w14:paraId="5CF9B26C" w14:textId="4F731F0A" w:rsidR="00CF25F1" w:rsidRPr="00162A64" w:rsidRDefault="00C465C8" w:rsidP="00B05C2B">
      <w:pPr>
        <w:shd w:val="clear" w:color="auto" w:fill="FFFFFF"/>
        <w:spacing w:before="120" w:after="40"/>
        <w:rPr>
          <w:rFonts w:cstheme="minorHAnsi"/>
          <w:b/>
        </w:rPr>
      </w:pPr>
      <w:r w:rsidRPr="00162A64">
        <w:rPr>
          <w:rFonts w:cstheme="minorHAnsi"/>
          <w:b/>
        </w:rPr>
        <w:t>Tabulka č. 10</w:t>
      </w:r>
      <w:r w:rsidR="00CF25F1" w:rsidRPr="00162A64">
        <w:rPr>
          <w:rFonts w:cstheme="minorHAnsi"/>
          <w:b/>
        </w:rPr>
        <w:t xml:space="preserve">: Veřejné zakázky </w:t>
      </w:r>
      <w:r w:rsidR="004D03C8" w:rsidRPr="00162A64">
        <w:rPr>
          <w:rFonts w:cstheme="minorHAnsi"/>
          <w:b/>
        </w:rPr>
        <w:t xml:space="preserve">na zdravotnické prostředky </w:t>
      </w:r>
      <w:r w:rsidR="0094328B" w:rsidRPr="00162A64">
        <w:rPr>
          <w:rFonts w:cstheme="minorHAnsi"/>
          <w:b/>
        </w:rPr>
        <w:t xml:space="preserve">na </w:t>
      </w:r>
      <w:r w:rsidR="0079299D" w:rsidRPr="00162A64">
        <w:rPr>
          <w:rFonts w:cstheme="minorHAnsi"/>
          <w:b/>
        </w:rPr>
        <w:t xml:space="preserve">shodném </w:t>
      </w:r>
      <w:r w:rsidR="0094328B" w:rsidRPr="00162A64">
        <w:rPr>
          <w:rFonts w:cstheme="minorHAnsi"/>
          <w:b/>
        </w:rPr>
        <w:t>kontrol</w:t>
      </w:r>
      <w:r w:rsidR="004D03C8" w:rsidRPr="00162A64">
        <w:rPr>
          <w:rFonts w:cstheme="minorHAnsi"/>
          <w:b/>
        </w:rPr>
        <w:t>ním</w:t>
      </w:r>
      <w:r w:rsidR="00CF25F1" w:rsidRPr="00162A64">
        <w:rPr>
          <w:rFonts w:cstheme="minorHAnsi"/>
          <w:b/>
        </w:rPr>
        <w:t xml:space="preserve"> vzorku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3"/>
        <w:gridCol w:w="1937"/>
        <w:gridCol w:w="2410"/>
        <w:gridCol w:w="2409"/>
        <w:gridCol w:w="703"/>
      </w:tblGrid>
      <w:tr w:rsidR="00CF25F1" w:rsidRPr="00162A64" w14:paraId="5D300CCE" w14:textId="77777777" w:rsidTr="00757BF0">
        <w:trPr>
          <w:trHeight w:val="283"/>
        </w:trPr>
        <w:tc>
          <w:tcPr>
            <w:tcW w:w="884" w:type="pct"/>
            <w:shd w:val="clear" w:color="auto" w:fill="E5F1FF"/>
            <w:noWrap/>
            <w:tcMar>
              <w:top w:w="15" w:type="dxa"/>
              <w:left w:w="15" w:type="dxa"/>
              <w:bottom w:w="0" w:type="dxa"/>
              <w:right w:w="15" w:type="dxa"/>
            </w:tcMar>
            <w:vAlign w:val="center"/>
            <w:hideMark/>
          </w:tcPr>
          <w:p w14:paraId="723EC25B" w14:textId="77777777" w:rsidR="00CF25F1" w:rsidRPr="00162A64" w:rsidRDefault="00CF25F1" w:rsidP="00162A64">
            <w:pPr>
              <w:jc w:val="center"/>
              <w:rPr>
                <w:rFonts w:ascii="Calibri" w:hAnsi="Calibri" w:cs="Calibri"/>
                <w:b/>
                <w:bCs/>
                <w:color w:val="000000"/>
                <w:sz w:val="20"/>
              </w:rPr>
            </w:pPr>
            <w:r w:rsidRPr="00162A64">
              <w:rPr>
                <w:rFonts w:ascii="Calibri" w:hAnsi="Calibri" w:cs="Calibri"/>
                <w:b/>
                <w:bCs/>
                <w:color w:val="000000"/>
                <w:sz w:val="20"/>
              </w:rPr>
              <w:t>Název nemocnice</w:t>
            </w:r>
          </w:p>
        </w:tc>
        <w:tc>
          <w:tcPr>
            <w:tcW w:w="1069" w:type="pct"/>
            <w:shd w:val="clear" w:color="auto" w:fill="E5F1FF"/>
            <w:noWrap/>
            <w:tcMar>
              <w:top w:w="15" w:type="dxa"/>
              <w:left w:w="15" w:type="dxa"/>
              <w:bottom w:w="0" w:type="dxa"/>
              <w:right w:w="15" w:type="dxa"/>
            </w:tcMar>
            <w:vAlign w:val="center"/>
            <w:hideMark/>
          </w:tcPr>
          <w:p w14:paraId="6CB31730" w14:textId="77777777" w:rsidR="00CF25F1" w:rsidRPr="00162A64" w:rsidRDefault="00CF25F1" w:rsidP="00162A64">
            <w:pPr>
              <w:jc w:val="center"/>
              <w:rPr>
                <w:rFonts w:ascii="Calibri" w:hAnsi="Calibri" w:cs="Calibri"/>
                <w:b/>
                <w:bCs/>
                <w:color w:val="000000"/>
                <w:sz w:val="20"/>
              </w:rPr>
            </w:pPr>
            <w:r w:rsidRPr="00162A64">
              <w:rPr>
                <w:rFonts w:ascii="Calibri" w:hAnsi="Calibri" w:cs="Calibri"/>
                <w:b/>
                <w:bCs/>
                <w:color w:val="000000"/>
                <w:sz w:val="20"/>
              </w:rPr>
              <w:t>Kontrolované položky</w:t>
            </w:r>
          </w:p>
        </w:tc>
        <w:tc>
          <w:tcPr>
            <w:tcW w:w="1330" w:type="pct"/>
            <w:shd w:val="clear" w:color="auto" w:fill="E5F1FF"/>
            <w:noWrap/>
            <w:tcMar>
              <w:top w:w="15" w:type="dxa"/>
              <w:left w:w="15" w:type="dxa"/>
              <w:bottom w:w="0" w:type="dxa"/>
              <w:right w:w="15" w:type="dxa"/>
            </w:tcMar>
            <w:vAlign w:val="center"/>
            <w:hideMark/>
          </w:tcPr>
          <w:p w14:paraId="2D8D8FA3" w14:textId="77777777" w:rsidR="00CF25F1" w:rsidRPr="00162A64" w:rsidRDefault="00CF25F1" w:rsidP="00162A64">
            <w:pPr>
              <w:jc w:val="center"/>
              <w:rPr>
                <w:rFonts w:ascii="Calibri" w:hAnsi="Calibri" w:cs="Calibri"/>
                <w:b/>
                <w:bCs/>
                <w:color w:val="000000"/>
                <w:sz w:val="20"/>
              </w:rPr>
            </w:pPr>
            <w:r w:rsidRPr="00162A64">
              <w:rPr>
                <w:rFonts w:ascii="Calibri" w:hAnsi="Calibri" w:cs="Calibri"/>
                <w:b/>
                <w:bCs/>
                <w:color w:val="000000"/>
                <w:sz w:val="20"/>
              </w:rPr>
              <w:t>Kontrolovaný objem (v Kč)</w:t>
            </w:r>
          </w:p>
        </w:tc>
        <w:tc>
          <w:tcPr>
            <w:tcW w:w="1329" w:type="pct"/>
            <w:shd w:val="clear" w:color="auto" w:fill="E5F1FF"/>
            <w:noWrap/>
            <w:tcMar>
              <w:top w:w="15" w:type="dxa"/>
              <w:left w:w="15" w:type="dxa"/>
              <w:bottom w:w="0" w:type="dxa"/>
              <w:right w:w="15" w:type="dxa"/>
            </w:tcMar>
            <w:vAlign w:val="center"/>
            <w:hideMark/>
          </w:tcPr>
          <w:p w14:paraId="2ACC3C27" w14:textId="77777777" w:rsidR="00CF25F1" w:rsidRPr="00162A64" w:rsidRDefault="00CF25F1" w:rsidP="00162A64">
            <w:pPr>
              <w:jc w:val="center"/>
              <w:rPr>
                <w:rFonts w:ascii="Calibri" w:hAnsi="Calibri" w:cs="Calibri"/>
                <w:b/>
                <w:bCs/>
                <w:color w:val="000000"/>
                <w:sz w:val="20"/>
              </w:rPr>
            </w:pPr>
            <w:r w:rsidRPr="00162A64">
              <w:rPr>
                <w:rFonts w:ascii="Calibri" w:hAnsi="Calibri" w:cs="Calibri"/>
                <w:b/>
                <w:bCs/>
                <w:color w:val="000000"/>
                <w:sz w:val="20"/>
              </w:rPr>
              <w:t>Způsob výběru dodavatele</w:t>
            </w:r>
          </w:p>
        </w:tc>
        <w:tc>
          <w:tcPr>
            <w:tcW w:w="388" w:type="pct"/>
            <w:shd w:val="clear" w:color="auto" w:fill="E5F1FF"/>
            <w:noWrap/>
            <w:tcMar>
              <w:top w:w="15" w:type="dxa"/>
              <w:left w:w="15" w:type="dxa"/>
              <w:bottom w:w="0" w:type="dxa"/>
              <w:right w:w="15" w:type="dxa"/>
            </w:tcMar>
            <w:vAlign w:val="center"/>
            <w:hideMark/>
          </w:tcPr>
          <w:p w14:paraId="782C7922" w14:textId="77777777" w:rsidR="00CF25F1" w:rsidRPr="00162A64" w:rsidRDefault="00CF25F1" w:rsidP="00162A64">
            <w:pPr>
              <w:jc w:val="center"/>
              <w:rPr>
                <w:rFonts w:ascii="Calibri" w:hAnsi="Calibri" w:cs="Calibri"/>
                <w:b/>
                <w:bCs/>
                <w:color w:val="000000"/>
                <w:sz w:val="20"/>
              </w:rPr>
            </w:pPr>
            <w:r w:rsidRPr="00162A64">
              <w:rPr>
                <w:rFonts w:ascii="Calibri" w:hAnsi="Calibri" w:cs="Calibri"/>
                <w:b/>
                <w:bCs/>
                <w:color w:val="000000"/>
                <w:sz w:val="20"/>
              </w:rPr>
              <w:t>%</w:t>
            </w:r>
          </w:p>
        </w:tc>
      </w:tr>
      <w:tr w:rsidR="00CF25F1" w:rsidRPr="00162A64" w14:paraId="7CE47C79" w14:textId="77777777" w:rsidTr="00757BF0">
        <w:trPr>
          <w:trHeight w:val="227"/>
        </w:trPr>
        <w:tc>
          <w:tcPr>
            <w:tcW w:w="884" w:type="pct"/>
            <w:vMerge w:val="restart"/>
            <w:shd w:val="clear" w:color="auto" w:fill="auto"/>
            <w:noWrap/>
            <w:tcMar>
              <w:top w:w="15" w:type="dxa"/>
              <w:left w:w="15" w:type="dxa"/>
              <w:bottom w:w="0" w:type="dxa"/>
              <w:right w:w="15" w:type="dxa"/>
            </w:tcMar>
            <w:vAlign w:val="center"/>
            <w:hideMark/>
          </w:tcPr>
          <w:p w14:paraId="176813A1" w14:textId="77777777" w:rsidR="00CF25F1" w:rsidRPr="00162A64" w:rsidRDefault="00CF25F1" w:rsidP="00162A64">
            <w:pPr>
              <w:jc w:val="left"/>
              <w:rPr>
                <w:rFonts w:ascii="Calibri" w:hAnsi="Calibri" w:cs="Calibri"/>
                <w:color w:val="000000"/>
                <w:sz w:val="20"/>
              </w:rPr>
            </w:pPr>
            <w:r w:rsidRPr="00162A64">
              <w:rPr>
                <w:rFonts w:ascii="Calibri" w:hAnsi="Calibri" w:cs="Calibri"/>
                <w:color w:val="000000"/>
                <w:sz w:val="20"/>
              </w:rPr>
              <w:t>FNB</w:t>
            </w:r>
          </w:p>
        </w:tc>
        <w:tc>
          <w:tcPr>
            <w:tcW w:w="1069" w:type="pct"/>
            <w:vMerge w:val="restart"/>
            <w:shd w:val="clear" w:color="auto" w:fill="auto"/>
            <w:noWrap/>
            <w:tcMar>
              <w:top w:w="15" w:type="dxa"/>
              <w:left w:w="15" w:type="dxa"/>
              <w:bottom w:w="0" w:type="dxa"/>
              <w:right w:w="15" w:type="dxa"/>
            </w:tcMar>
            <w:vAlign w:val="center"/>
            <w:hideMark/>
          </w:tcPr>
          <w:p w14:paraId="0EC5C455" w14:textId="671985D5" w:rsidR="00CF25F1" w:rsidRPr="00162A64" w:rsidRDefault="00CF25F1" w:rsidP="00D45A60">
            <w:pPr>
              <w:jc w:val="center"/>
              <w:rPr>
                <w:rFonts w:ascii="Calibri" w:hAnsi="Calibri" w:cs="Calibri"/>
                <w:color w:val="000000"/>
                <w:sz w:val="20"/>
              </w:rPr>
            </w:pPr>
            <w:proofErr w:type="spellStart"/>
            <w:r w:rsidRPr="00162A64">
              <w:rPr>
                <w:rFonts w:ascii="Calibri" w:hAnsi="Calibri" w:cs="Calibri"/>
                <w:color w:val="000000"/>
                <w:sz w:val="20"/>
              </w:rPr>
              <w:t>ZPr</w:t>
            </w:r>
            <w:proofErr w:type="spellEnd"/>
          </w:p>
        </w:tc>
        <w:tc>
          <w:tcPr>
            <w:tcW w:w="1330" w:type="pct"/>
            <w:vMerge w:val="restart"/>
            <w:shd w:val="clear" w:color="auto" w:fill="auto"/>
            <w:noWrap/>
            <w:tcMar>
              <w:top w:w="15" w:type="dxa"/>
              <w:left w:w="15" w:type="dxa"/>
              <w:bottom w:w="0" w:type="dxa"/>
              <w:right w:w="15" w:type="dxa"/>
            </w:tcMar>
            <w:vAlign w:val="center"/>
            <w:hideMark/>
          </w:tcPr>
          <w:p w14:paraId="5409B73C" w14:textId="77777777" w:rsidR="00CF25F1" w:rsidRPr="00162A64" w:rsidRDefault="00CF25F1" w:rsidP="00162A64">
            <w:pPr>
              <w:ind w:right="553"/>
              <w:jc w:val="right"/>
              <w:rPr>
                <w:rFonts w:ascii="Calibri" w:hAnsi="Calibri" w:cs="Calibri"/>
                <w:color w:val="000000"/>
                <w:sz w:val="20"/>
              </w:rPr>
            </w:pPr>
            <w:r w:rsidRPr="00162A64">
              <w:rPr>
                <w:rFonts w:ascii="Calibri" w:hAnsi="Calibri" w:cs="Calibri"/>
                <w:color w:val="000000"/>
                <w:sz w:val="20"/>
              </w:rPr>
              <w:t>3 878 919,49</w:t>
            </w:r>
          </w:p>
        </w:tc>
        <w:tc>
          <w:tcPr>
            <w:tcW w:w="1329" w:type="pct"/>
            <w:shd w:val="clear" w:color="auto" w:fill="auto"/>
            <w:noWrap/>
            <w:tcMar>
              <w:top w:w="15" w:type="dxa"/>
              <w:left w:w="15" w:type="dxa"/>
              <w:bottom w:w="0" w:type="dxa"/>
              <w:right w:w="15" w:type="dxa"/>
            </w:tcMar>
            <w:vAlign w:val="center"/>
            <w:hideMark/>
          </w:tcPr>
          <w:p w14:paraId="13C76825" w14:textId="77777777" w:rsidR="00CF25F1" w:rsidRPr="00162A64" w:rsidRDefault="00CF25F1" w:rsidP="00162A64">
            <w:pPr>
              <w:jc w:val="left"/>
              <w:rPr>
                <w:rFonts w:ascii="Calibri" w:hAnsi="Calibri" w:cs="Calibri"/>
                <w:color w:val="000000"/>
                <w:sz w:val="20"/>
              </w:rPr>
            </w:pPr>
            <w:r w:rsidRPr="00162A64">
              <w:rPr>
                <w:rFonts w:ascii="Calibri" w:hAnsi="Calibri" w:cs="Calibri"/>
                <w:color w:val="000000"/>
                <w:sz w:val="20"/>
              </w:rPr>
              <w:t>Zadávací řízení</w:t>
            </w:r>
          </w:p>
        </w:tc>
        <w:tc>
          <w:tcPr>
            <w:tcW w:w="388" w:type="pct"/>
            <w:shd w:val="clear" w:color="auto" w:fill="auto"/>
            <w:noWrap/>
            <w:tcMar>
              <w:top w:w="15" w:type="dxa"/>
              <w:left w:w="15" w:type="dxa"/>
              <w:bottom w:w="0" w:type="dxa"/>
              <w:right w:w="15" w:type="dxa"/>
            </w:tcMar>
            <w:vAlign w:val="center"/>
            <w:hideMark/>
          </w:tcPr>
          <w:p w14:paraId="63F303C5" w14:textId="77777777" w:rsidR="00CF25F1" w:rsidRPr="00162A64" w:rsidRDefault="00CF25F1" w:rsidP="00162A64">
            <w:pPr>
              <w:ind w:right="57"/>
              <w:jc w:val="right"/>
              <w:rPr>
                <w:rFonts w:ascii="Calibri" w:hAnsi="Calibri" w:cs="Calibri"/>
                <w:color w:val="000000"/>
                <w:sz w:val="20"/>
              </w:rPr>
            </w:pPr>
            <w:r w:rsidRPr="00162A64">
              <w:rPr>
                <w:rFonts w:ascii="Calibri" w:hAnsi="Calibri" w:cs="Calibri"/>
                <w:color w:val="000000"/>
                <w:sz w:val="20"/>
              </w:rPr>
              <w:t>0,00</w:t>
            </w:r>
          </w:p>
        </w:tc>
      </w:tr>
      <w:tr w:rsidR="00CF25F1" w:rsidRPr="00162A64" w14:paraId="5A90BC48" w14:textId="77777777" w:rsidTr="00757BF0">
        <w:trPr>
          <w:trHeight w:val="227"/>
        </w:trPr>
        <w:tc>
          <w:tcPr>
            <w:tcW w:w="884" w:type="pct"/>
            <w:vMerge/>
            <w:vAlign w:val="center"/>
            <w:hideMark/>
          </w:tcPr>
          <w:p w14:paraId="64881AFA" w14:textId="77777777" w:rsidR="00CF25F1" w:rsidRPr="00162A64" w:rsidRDefault="00CF25F1" w:rsidP="00162A64">
            <w:pPr>
              <w:jc w:val="left"/>
              <w:rPr>
                <w:rFonts w:ascii="Calibri" w:hAnsi="Calibri" w:cs="Calibri"/>
                <w:color w:val="000000"/>
                <w:sz w:val="20"/>
              </w:rPr>
            </w:pPr>
          </w:p>
        </w:tc>
        <w:tc>
          <w:tcPr>
            <w:tcW w:w="1069" w:type="pct"/>
            <w:vMerge/>
            <w:vAlign w:val="center"/>
            <w:hideMark/>
          </w:tcPr>
          <w:p w14:paraId="547FCDBF" w14:textId="77777777" w:rsidR="00CF25F1" w:rsidRPr="00162A64" w:rsidRDefault="00CF25F1" w:rsidP="001C4A50">
            <w:pPr>
              <w:jc w:val="center"/>
              <w:rPr>
                <w:rFonts w:ascii="Calibri" w:hAnsi="Calibri" w:cs="Calibri"/>
                <w:color w:val="000000"/>
                <w:sz w:val="20"/>
              </w:rPr>
            </w:pPr>
          </w:p>
        </w:tc>
        <w:tc>
          <w:tcPr>
            <w:tcW w:w="1330" w:type="pct"/>
            <w:vMerge/>
            <w:vAlign w:val="center"/>
            <w:hideMark/>
          </w:tcPr>
          <w:p w14:paraId="46050BED" w14:textId="77777777" w:rsidR="00CF25F1" w:rsidRPr="00162A64" w:rsidRDefault="00CF25F1" w:rsidP="00162A64">
            <w:pPr>
              <w:ind w:right="553"/>
              <w:jc w:val="right"/>
              <w:rPr>
                <w:rFonts w:ascii="Calibri" w:hAnsi="Calibri" w:cs="Calibri"/>
                <w:color w:val="000000"/>
                <w:sz w:val="20"/>
              </w:rPr>
            </w:pPr>
          </w:p>
        </w:tc>
        <w:tc>
          <w:tcPr>
            <w:tcW w:w="1329" w:type="pct"/>
            <w:shd w:val="clear" w:color="auto" w:fill="auto"/>
            <w:noWrap/>
            <w:tcMar>
              <w:top w:w="15" w:type="dxa"/>
              <w:left w:w="15" w:type="dxa"/>
              <w:bottom w:w="0" w:type="dxa"/>
              <w:right w:w="15" w:type="dxa"/>
            </w:tcMar>
            <w:vAlign w:val="center"/>
            <w:hideMark/>
          </w:tcPr>
          <w:p w14:paraId="4AA76062" w14:textId="1E4A6D16" w:rsidR="00CF25F1" w:rsidRPr="00162A64" w:rsidRDefault="00CF25F1" w:rsidP="00162A64">
            <w:pPr>
              <w:jc w:val="left"/>
              <w:rPr>
                <w:rFonts w:ascii="Calibri" w:hAnsi="Calibri" w:cs="Calibri"/>
                <w:color w:val="000000"/>
                <w:sz w:val="20"/>
              </w:rPr>
            </w:pPr>
            <w:r w:rsidRPr="00162A64">
              <w:rPr>
                <w:rFonts w:ascii="Calibri" w:hAnsi="Calibri" w:cs="Calibri"/>
                <w:color w:val="000000"/>
                <w:sz w:val="20"/>
              </w:rPr>
              <w:t>Ostatní</w:t>
            </w:r>
            <w:r w:rsidR="00C76907" w:rsidRPr="00162A64">
              <w:rPr>
                <w:rFonts w:ascii="Calibri" w:hAnsi="Calibri" w:cs="Calibri"/>
                <w:color w:val="000000"/>
                <w:sz w:val="20"/>
              </w:rPr>
              <w:t xml:space="preserve"> </w:t>
            </w:r>
          </w:p>
        </w:tc>
        <w:tc>
          <w:tcPr>
            <w:tcW w:w="388" w:type="pct"/>
            <w:shd w:val="clear" w:color="auto" w:fill="auto"/>
            <w:noWrap/>
            <w:tcMar>
              <w:top w:w="15" w:type="dxa"/>
              <w:left w:w="15" w:type="dxa"/>
              <w:bottom w:w="0" w:type="dxa"/>
              <w:right w:w="15" w:type="dxa"/>
            </w:tcMar>
            <w:vAlign w:val="center"/>
            <w:hideMark/>
          </w:tcPr>
          <w:p w14:paraId="12296EEA" w14:textId="77777777" w:rsidR="00CF25F1" w:rsidRPr="00162A64" w:rsidRDefault="00CF25F1" w:rsidP="00162A64">
            <w:pPr>
              <w:ind w:right="57"/>
              <w:jc w:val="right"/>
              <w:rPr>
                <w:rFonts w:ascii="Calibri" w:hAnsi="Calibri" w:cs="Calibri"/>
                <w:color w:val="000000"/>
                <w:sz w:val="20"/>
              </w:rPr>
            </w:pPr>
            <w:r w:rsidRPr="00162A64">
              <w:rPr>
                <w:rFonts w:ascii="Calibri" w:hAnsi="Calibri" w:cs="Calibri"/>
                <w:color w:val="000000"/>
                <w:sz w:val="20"/>
              </w:rPr>
              <w:t>100,00</w:t>
            </w:r>
          </w:p>
        </w:tc>
      </w:tr>
      <w:tr w:rsidR="00CF25F1" w:rsidRPr="00162A64" w14:paraId="24E3CA45" w14:textId="77777777" w:rsidTr="00757BF0">
        <w:trPr>
          <w:trHeight w:val="227"/>
        </w:trPr>
        <w:tc>
          <w:tcPr>
            <w:tcW w:w="884" w:type="pct"/>
            <w:vMerge w:val="restart"/>
            <w:shd w:val="clear" w:color="auto" w:fill="auto"/>
            <w:noWrap/>
            <w:tcMar>
              <w:top w:w="15" w:type="dxa"/>
              <w:left w:w="15" w:type="dxa"/>
              <w:bottom w:w="0" w:type="dxa"/>
              <w:right w:w="15" w:type="dxa"/>
            </w:tcMar>
            <w:vAlign w:val="center"/>
            <w:hideMark/>
          </w:tcPr>
          <w:p w14:paraId="6A3D849D" w14:textId="77777777" w:rsidR="00CF25F1" w:rsidRPr="00162A64" w:rsidRDefault="00CF25F1" w:rsidP="00162A64">
            <w:pPr>
              <w:jc w:val="left"/>
              <w:rPr>
                <w:rFonts w:ascii="Calibri" w:hAnsi="Calibri" w:cs="Calibri"/>
                <w:color w:val="000000"/>
                <w:sz w:val="20"/>
              </w:rPr>
            </w:pPr>
            <w:r w:rsidRPr="00162A64">
              <w:rPr>
                <w:rFonts w:ascii="Calibri" w:hAnsi="Calibri" w:cs="Calibri"/>
                <w:color w:val="000000"/>
                <w:sz w:val="20"/>
              </w:rPr>
              <w:t>FNM</w:t>
            </w:r>
          </w:p>
        </w:tc>
        <w:tc>
          <w:tcPr>
            <w:tcW w:w="1069" w:type="pct"/>
            <w:vMerge w:val="restart"/>
            <w:shd w:val="clear" w:color="auto" w:fill="auto"/>
            <w:noWrap/>
            <w:tcMar>
              <w:top w:w="15" w:type="dxa"/>
              <w:left w:w="15" w:type="dxa"/>
              <w:bottom w:w="0" w:type="dxa"/>
              <w:right w:w="15" w:type="dxa"/>
            </w:tcMar>
            <w:vAlign w:val="center"/>
            <w:hideMark/>
          </w:tcPr>
          <w:p w14:paraId="55155D57" w14:textId="77777777" w:rsidR="00CF25F1" w:rsidRPr="00162A64" w:rsidRDefault="00CF25F1" w:rsidP="001C4A50">
            <w:pPr>
              <w:jc w:val="center"/>
              <w:rPr>
                <w:rFonts w:ascii="Calibri" w:hAnsi="Calibri" w:cs="Calibri"/>
                <w:color w:val="000000"/>
                <w:sz w:val="20"/>
              </w:rPr>
            </w:pPr>
            <w:proofErr w:type="spellStart"/>
            <w:r w:rsidRPr="00162A64">
              <w:rPr>
                <w:rFonts w:ascii="Calibri" w:hAnsi="Calibri" w:cs="Calibri"/>
                <w:color w:val="000000"/>
                <w:sz w:val="20"/>
              </w:rPr>
              <w:t>ZPr</w:t>
            </w:r>
            <w:proofErr w:type="spellEnd"/>
          </w:p>
        </w:tc>
        <w:tc>
          <w:tcPr>
            <w:tcW w:w="1330" w:type="pct"/>
            <w:vMerge w:val="restart"/>
            <w:shd w:val="clear" w:color="auto" w:fill="auto"/>
            <w:noWrap/>
            <w:tcMar>
              <w:top w:w="15" w:type="dxa"/>
              <w:left w:w="15" w:type="dxa"/>
              <w:bottom w:w="0" w:type="dxa"/>
              <w:right w:w="15" w:type="dxa"/>
            </w:tcMar>
            <w:vAlign w:val="center"/>
            <w:hideMark/>
          </w:tcPr>
          <w:p w14:paraId="2FAAB86F" w14:textId="77777777" w:rsidR="00CF25F1" w:rsidRPr="00162A64" w:rsidRDefault="00CF25F1" w:rsidP="00162A64">
            <w:pPr>
              <w:ind w:right="553"/>
              <w:jc w:val="right"/>
              <w:rPr>
                <w:rFonts w:ascii="Calibri" w:hAnsi="Calibri" w:cs="Calibri"/>
                <w:color w:val="000000"/>
                <w:sz w:val="20"/>
              </w:rPr>
            </w:pPr>
            <w:r w:rsidRPr="00162A64">
              <w:rPr>
                <w:rFonts w:ascii="Calibri" w:hAnsi="Calibri" w:cs="Calibri"/>
                <w:color w:val="000000"/>
                <w:sz w:val="20"/>
              </w:rPr>
              <w:t>5 144 806,36</w:t>
            </w:r>
          </w:p>
        </w:tc>
        <w:tc>
          <w:tcPr>
            <w:tcW w:w="1329" w:type="pct"/>
            <w:shd w:val="clear" w:color="auto" w:fill="auto"/>
            <w:noWrap/>
            <w:tcMar>
              <w:top w:w="15" w:type="dxa"/>
              <w:left w:w="15" w:type="dxa"/>
              <w:bottom w:w="0" w:type="dxa"/>
              <w:right w:w="15" w:type="dxa"/>
            </w:tcMar>
            <w:vAlign w:val="center"/>
            <w:hideMark/>
          </w:tcPr>
          <w:p w14:paraId="43724E65" w14:textId="77777777" w:rsidR="00CF25F1" w:rsidRPr="00162A64" w:rsidRDefault="00CF25F1" w:rsidP="00162A64">
            <w:pPr>
              <w:jc w:val="left"/>
              <w:rPr>
                <w:rFonts w:ascii="Calibri" w:hAnsi="Calibri" w:cs="Calibri"/>
                <w:color w:val="000000"/>
                <w:sz w:val="20"/>
              </w:rPr>
            </w:pPr>
            <w:r w:rsidRPr="00162A64">
              <w:rPr>
                <w:rFonts w:ascii="Calibri" w:hAnsi="Calibri" w:cs="Calibri"/>
                <w:color w:val="000000"/>
                <w:sz w:val="20"/>
              </w:rPr>
              <w:t>Zadávací řízení</w:t>
            </w:r>
          </w:p>
        </w:tc>
        <w:tc>
          <w:tcPr>
            <w:tcW w:w="388" w:type="pct"/>
            <w:shd w:val="clear" w:color="auto" w:fill="auto"/>
            <w:noWrap/>
            <w:tcMar>
              <w:top w:w="15" w:type="dxa"/>
              <w:left w:w="15" w:type="dxa"/>
              <w:bottom w:w="0" w:type="dxa"/>
              <w:right w:w="15" w:type="dxa"/>
            </w:tcMar>
            <w:vAlign w:val="center"/>
            <w:hideMark/>
          </w:tcPr>
          <w:p w14:paraId="13364AE4" w14:textId="77777777" w:rsidR="00CF25F1" w:rsidRPr="00162A64" w:rsidRDefault="00CF25F1" w:rsidP="00162A64">
            <w:pPr>
              <w:ind w:right="57"/>
              <w:jc w:val="right"/>
              <w:rPr>
                <w:rFonts w:ascii="Calibri" w:hAnsi="Calibri" w:cs="Calibri"/>
                <w:color w:val="000000"/>
                <w:sz w:val="20"/>
              </w:rPr>
            </w:pPr>
            <w:r w:rsidRPr="00162A64">
              <w:rPr>
                <w:rFonts w:ascii="Calibri" w:hAnsi="Calibri" w:cs="Calibri"/>
                <w:color w:val="000000"/>
                <w:sz w:val="20"/>
              </w:rPr>
              <w:t>4,38</w:t>
            </w:r>
          </w:p>
        </w:tc>
      </w:tr>
      <w:tr w:rsidR="00CF25F1" w:rsidRPr="00162A64" w14:paraId="549E0468" w14:textId="77777777" w:rsidTr="00757BF0">
        <w:trPr>
          <w:trHeight w:val="227"/>
        </w:trPr>
        <w:tc>
          <w:tcPr>
            <w:tcW w:w="884" w:type="pct"/>
            <w:vMerge/>
            <w:vAlign w:val="center"/>
            <w:hideMark/>
          </w:tcPr>
          <w:p w14:paraId="51D390CF" w14:textId="77777777" w:rsidR="00CF25F1" w:rsidRPr="00162A64" w:rsidRDefault="00CF25F1" w:rsidP="00162A64">
            <w:pPr>
              <w:jc w:val="left"/>
              <w:rPr>
                <w:rFonts w:ascii="Calibri" w:hAnsi="Calibri" w:cs="Calibri"/>
                <w:color w:val="000000"/>
                <w:sz w:val="20"/>
              </w:rPr>
            </w:pPr>
          </w:p>
        </w:tc>
        <w:tc>
          <w:tcPr>
            <w:tcW w:w="1069" w:type="pct"/>
            <w:vMerge/>
            <w:vAlign w:val="center"/>
            <w:hideMark/>
          </w:tcPr>
          <w:p w14:paraId="3C672393" w14:textId="77777777" w:rsidR="00CF25F1" w:rsidRPr="00162A64" w:rsidRDefault="00CF25F1" w:rsidP="001C4A50">
            <w:pPr>
              <w:jc w:val="center"/>
              <w:rPr>
                <w:rFonts w:ascii="Calibri" w:hAnsi="Calibri" w:cs="Calibri"/>
                <w:color w:val="000000"/>
                <w:sz w:val="20"/>
              </w:rPr>
            </w:pPr>
          </w:p>
        </w:tc>
        <w:tc>
          <w:tcPr>
            <w:tcW w:w="1330" w:type="pct"/>
            <w:vMerge/>
            <w:vAlign w:val="center"/>
            <w:hideMark/>
          </w:tcPr>
          <w:p w14:paraId="5BCC9817" w14:textId="77777777" w:rsidR="00CF25F1" w:rsidRPr="00162A64" w:rsidRDefault="00CF25F1" w:rsidP="00162A64">
            <w:pPr>
              <w:ind w:right="553"/>
              <w:jc w:val="right"/>
              <w:rPr>
                <w:rFonts w:ascii="Calibri" w:hAnsi="Calibri" w:cs="Calibri"/>
                <w:color w:val="000000"/>
                <w:sz w:val="20"/>
              </w:rPr>
            </w:pPr>
          </w:p>
        </w:tc>
        <w:tc>
          <w:tcPr>
            <w:tcW w:w="1329" w:type="pct"/>
            <w:shd w:val="clear" w:color="auto" w:fill="auto"/>
            <w:noWrap/>
            <w:tcMar>
              <w:top w:w="15" w:type="dxa"/>
              <w:left w:w="15" w:type="dxa"/>
              <w:bottom w:w="0" w:type="dxa"/>
              <w:right w:w="15" w:type="dxa"/>
            </w:tcMar>
            <w:vAlign w:val="center"/>
            <w:hideMark/>
          </w:tcPr>
          <w:p w14:paraId="52F39474" w14:textId="77777777" w:rsidR="00CF25F1" w:rsidRPr="00162A64" w:rsidRDefault="00CF25F1" w:rsidP="00162A64">
            <w:pPr>
              <w:jc w:val="left"/>
              <w:rPr>
                <w:rFonts w:ascii="Calibri" w:hAnsi="Calibri" w:cs="Calibri"/>
                <w:color w:val="000000"/>
                <w:sz w:val="20"/>
              </w:rPr>
            </w:pPr>
            <w:r w:rsidRPr="00162A64">
              <w:rPr>
                <w:rFonts w:ascii="Calibri" w:hAnsi="Calibri" w:cs="Calibri"/>
                <w:color w:val="000000"/>
                <w:sz w:val="20"/>
              </w:rPr>
              <w:t>Ostatní</w:t>
            </w:r>
          </w:p>
        </w:tc>
        <w:tc>
          <w:tcPr>
            <w:tcW w:w="388" w:type="pct"/>
            <w:shd w:val="clear" w:color="auto" w:fill="auto"/>
            <w:noWrap/>
            <w:tcMar>
              <w:top w:w="15" w:type="dxa"/>
              <w:left w:w="15" w:type="dxa"/>
              <w:bottom w:w="0" w:type="dxa"/>
              <w:right w:w="15" w:type="dxa"/>
            </w:tcMar>
            <w:vAlign w:val="center"/>
            <w:hideMark/>
          </w:tcPr>
          <w:p w14:paraId="659307C5" w14:textId="77777777" w:rsidR="00CF25F1" w:rsidRPr="00162A64" w:rsidRDefault="00CF25F1" w:rsidP="00162A64">
            <w:pPr>
              <w:ind w:right="57"/>
              <w:jc w:val="right"/>
              <w:rPr>
                <w:rFonts w:ascii="Calibri" w:hAnsi="Calibri" w:cs="Calibri"/>
                <w:color w:val="000000"/>
                <w:sz w:val="20"/>
              </w:rPr>
            </w:pPr>
            <w:r w:rsidRPr="00162A64">
              <w:rPr>
                <w:rFonts w:ascii="Calibri" w:hAnsi="Calibri" w:cs="Calibri"/>
                <w:color w:val="000000"/>
                <w:sz w:val="20"/>
              </w:rPr>
              <w:t>95,62</w:t>
            </w:r>
          </w:p>
        </w:tc>
      </w:tr>
      <w:tr w:rsidR="00CF25F1" w:rsidRPr="00162A64" w14:paraId="2C716051" w14:textId="77777777" w:rsidTr="00757BF0">
        <w:trPr>
          <w:trHeight w:val="227"/>
        </w:trPr>
        <w:tc>
          <w:tcPr>
            <w:tcW w:w="884" w:type="pct"/>
            <w:vMerge w:val="restart"/>
            <w:shd w:val="clear" w:color="auto" w:fill="auto"/>
            <w:noWrap/>
            <w:tcMar>
              <w:top w:w="15" w:type="dxa"/>
              <w:left w:w="15" w:type="dxa"/>
              <w:bottom w:w="0" w:type="dxa"/>
              <w:right w:w="15" w:type="dxa"/>
            </w:tcMar>
            <w:vAlign w:val="center"/>
            <w:hideMark/>
          </w:tcPr>
          <w:p w14:paraId="790F8640" w14:textId="77777777" w:rsidR="00CF25F1" w:rsidRPr="00162A64" w:rsidRDefault="00CF25F1" w:rsidP="00162A64">
            <w:pPr>
              <w:jc w:val="left"/>
              <w:rPr>
                <w:rFonts w:ascii="Calibri" w:hAnsi="Calibri" w:cs="Calibri"/>
                <w:color w:val="000000"/>
                <w:sz w:val="20"/>
              </w:rPr>
            </w:pPr>
            <w:r w:rsidRPr="00162A64">
              <w:rPr>
                <w:rFonts w:ascii="Calibri" w:hAnsi="Calibri" w:cs="Calibri"/>
                <w:color w:val="000000"/>
                <w:sz w:val="20"/>
              </w:rPr>
              <w:t>ÚVN</w:t>
            </w:r>
          </w:p>
        </w:tc>
        <w:tc>
          <w:tcPr>
            <w:tcW w:w="1069" w:type="pct"/>
            <w:vMerge w:val="restart"/>
            <w:shd w:val="clear" w:color="auto" w:fill="auto"/>
            <w:noWrap/>
            <w:tcMar>
              <w:top w:w="15" w:type="dxa"/>
              <w:left w:w="15" w:type="dxa"/>
              <w:bottom w:w="0" w:type="dxa"/>
              <w:right w:w="15" w:type="dxa"/>
            </w:tcMar>
            <w:vAlign w:val="center"/>
            <w:hideMark/>
          </w:tcPr>
          <w:p w14:paraId="639E490C" w14:textId="77777777" w:rsidR="00CF25F1" w:rsidRPr="00162A64" w:rsidRDefault="00CF25F1" w:rsidP="001C4A50">
            <w:pPr>
              <w:jc w:val="center"/>
              <w:rPr>
                <w:rFonts w:ascii="Calibri" w:hAnsi="Calibri" w:cs="Calibri"/>
                <w:color w:val="000000"/>
                <w:sz w:val="20"/>
              </w:rPr>
            </w:pPr>
            <w:proofErr w:type="spellStart"/>
            <w:r w:rsidRPr="00162A64">
              <w:rPr>
                <w:rFonts w:ascii="Calibri" w:hAnsi="Calibri" w:cs="Calibri"/>
                <w:color w:val="000000"/>
                <w:sz w:val="20"/>
              </w:rPr>
              <w:t>ZPr</w:t>
            </w:r>
            <w:proofErr w:type="spellEnd"/>
          </w:p>
        </w:tc>
        <w:tc>
          <w:tcPr>
            <w:tcW w:w="1330" w:type="pct"/>
            <w:vMerge w:val="restart"/>
            <w:shd w:val="clear" w:color="auto" w:fill="auto"/>
            <w:noWrap/>
            <w:tcMar>
              <w:top w:w="15" w:type="dxa"/>
              <w:left w:w="15" w:type="dxa"/>
              <w:bottom w:w="0" w:type="dxa"/>
              <w:right w:w="15" w:type="dxa"/>
            </w:tcMar>
            <w:vAlign w:val="center"/>
            <w:hideMark/>
          </w:tcPr>
          <w:p w14:paraId="4A653EAE" w14:textId="77777777" w:rsidR="00CF25F1" w:rsidRPr="00162A64" w:rsidRDefault="00CF25F1" w:rsidP="00162A64">
            <w:pPr>
              <w:ind w:right="553"/>
              <w:jc w:val="right"/>
              <w:rPr>
                <w:rFonts w:ascii="Calibri" w:hAnsi="Calibri" w:cs="Calibri"/>
                <w:color w:val="000000"/>
                <w:sz w:val="20"/>
              </w:rPr>
            </w:pPr>
            <w:r w:rsidRPr="00162A64">
              <w:rPr>
                <w:rFonts w:ascii="Calibri" w:hAnsi="Calibri" w:cs="Calibri"/>
                <w:color w:val="000000"/>
                <w:sz w:val="20"/>
              </w:rPr>
              <w:t>7 126 621,11</w:t>
            </w:r>
          </w:p>
        </w:tc>
        <w:tc>
          <w:tcPr>
            <w:tcW w:w="1329" w:type="pct"/>
            <w:shd w:val="clear" w:color="auto" w:fill="auto"/>
            <w:noWrap/>
            <w:tcMar>
              <w:top w:w="15" w:type="dxa"/>
              <w:left w:w="15" w:type="dxa"/>
              <w:bottom w:w="0" w:type="dxa"/>
              <w:right w:w="15" w:type="dxa"/>
            </w:tcMar>
            <w:vAlign w:val="center"/>
            <w:hideMark/>
          </w:tcPr>
          <w:p w14:paraId="29227394" w14:textId="77777777" w:rsidR="00CF25F1" w:rsidRPr="00162A64" w:rsidRDefault="00CF25F1" w:rsidP="00162A64">
            <w:pPr>
              <w:jc w:val="left"/>
              <w:rPr>
                <w:rFonts w:ascii="Calibri" w:hAnsi="Calibri" w:cs="Calibri"/>
                <w:color w:val="000000"/>
                <w:sz w:val="20"/>
              </w:rPr>
            </w:pPr>
            <w:r w:rsidRPr="00162A64">
              <w:rPr>
                <w:rFonts w:ascii="Calibri" w:hAnsi="Calibri" w:cs="Calibri"/>
                <w:color w:val="000000"/>
                <w:sz w:val="20"/>
              </w:rPr>
              <w:t>Zadávací řízení</w:t>
            </w:r>
          </w:p>
        </w:tc>
        <w:tc>
          <w:tcPr>
            <w:tcW w:w="388" w:type="pct"/>
            <w:shd w:val="clear" w:color="auto" w:fill="auto"/>
            <w:noWrap/>
            <w:tcMar>
              <w:top w:w="15" w:type="dxa"/>
              <w:left w:w="15" w:type="dxa"/>
              <w:bottom w:w="0" w:type="dxa"/>
              <w:right w:w="15" w:type="dxa"/>
            </w:tcMar>
            <w:vAlign w:val="center"/>
            <w:hideMark/>
          </w:tcPr>
          <w:p w14:paraId="29B8AA7E" w14:textId="77777777" w:rsidR="00CF25F1" w:rsidRPr="00162A64" w:rsidRDefault="00CF25F1" w:rsidP="00162A64">
            <w:pPr>
              <w:ind w:right="57"/>
              <w:jc w:val="right"/>
              <w:rPr>
                <w:rFonts w:ascii="Calibri" w:hAnsi="Calibri" w:cs="Calibri"/>
                <w:color w:val="000000"/>
                <w:sz w:val="20"/>
              </w:rPr>
            </w:pPr>
            <w:r w:rsidRPr="00162A64">
              <w:rPr>
                <w:rFonts w:ascii="Calibri" w:hAnsi="Calibri" w:cs="Calibri"/>
                <w:color w:val="000000"/>
                <w:sz w:val="20"/>
              </w:rPr>
              <w:t>10,94</w:t>
            </w:r>
          </w:p>
        </w:tc>
      </w:tr>
      <w:tr w:rsidR="00CF25F1" w:rsidRPr="00162A64" w14:paraId="1AD76030" w14:textId="77777777" w:rsidTr="00757BF0">
        <w:trPr>
          <w:trHeight w:val="227"/>
        </w:trPr>
        <w:tc>
          <w:tcPr>
            <w:tcW w:w="884" w:type="pct"/>
            <w:vMerge/>
            <w:vAlign w:val="center"/>
            <w:hideMark/>
          </w:tcPr>
          <w:p w14:paraId="1488D447" w14:textId="77777777" w:rsidR="00CF25F1" w:rsidRPr="00162A64" w:rsidRDefault="00CF25F1" w:rsidP="001C4A50">
            <w:pPr>
              <w:rPr>
                <w:rFonts w:ascii="Calibri" w:hAnsi="Calibri" w:cs="Calibri"/>
                <w:color w:val="000000"/>
                <w:sz w:val="20"/>
              </w:rPr>
            </w:pPr>
          </w:p>
        </w:tc>
        <w:tc>
          <w:tcPr>
            <w:tcW w:w="1069" w:type="pct"/>
            <w:vMerge/>
            <w:vAlign w:val="center"/>
            <w:hideMark/>
          </w:tcPr>
          <w:p w14:paraId="60445AE4" w14:textId="77777777" w:rsidR="00CF25F1" w:rsidRPr="00162A64" w:rsidRDefault="00CF25F1" w:rsidP="001C4A50">
            <w:pPr>
              <w:jc w:val="center"/>
              <w:rPr>
                <w:rFonts w:ascii="Calibri" w:hAnsi="Calibri" w:cs="Calibri"/>
                <w:color w:val="000000"/>
                <w:sz w:val="20"/>
              </w:rPr>
            </w:pPr>
          </w:p>
        </w:tc>
        <w:tc>
          <w:tcPr>
            <w:tcW w:w="1330" w:type="pct"/>
            <w:vMerge/>
            <w:vAlign w:val="center"/>
            <w:hideMark/>
          </w:tcPr>
          <w:p w14:paraId="395FD863" w14:textId="77777777" w:rsidR="00CF25F1" w:rsidRPr="00162A64" w:rsidRDefault="00CF25F1" w:rsidP="001C4A50">
            <w:pPr>
              <w:rPr>
                <w:rFonts w:ascii="Calibri" w:hAnsi="Calibri" w:cs="Calibri"/>
                <w:color w:val="000000"/>
                <w:sz w:val="20"/>
              </w:rPr>
            </w:pPr>
          </w:p>
        </w:tc>
        <w:tc>
          <w:tcPr>
            <w:tcW w:w="1329" w:type="pct"/>
            <w:shd w:val="clear" w:color="auto" w:fill="auto"/>
            <w:noWrap/>
            <w:tcMar>
              <w:top w:w="15" w:type="dxa"/>
              <w:left w:w="15" w:type="dxa"/>
              <w:bottom w:w="0" w:type="dxa"/>
              <w:right w:w="15" w:type="dxa"/>
            </w:tcMar>
            <w:vAlign w:val="center"/>
            <w:hideMark/>
          </w:tcPr>
          <w:p w14:paraId="2CFD1599" w14:textId="77777777" w:rsidR="00CF25F1" w:rsidRPr="00162A64" w:rsidRDefault="00CF25F1" w:rsidP="00162A64">
            <w:pPr>
              <w:jc w:val="left"/>
              <w:rPr>
                <w:rFonts w:ascii="Calibri" w:hAnsi="Calibri" w:cs="Calibri"/>
                <w:color w:val="000000"/>
                <w:sz w:val="20"/>
              </w:rPr>
            </w:pPr>
            <w:r w:rsidRPr="00162A64">
              <w:rPr>
                <w:rFonts w:ascii="Calibri" w:hAnsi="Calibri" w:cs="Calibri"/>
                <w:color w:val="000000"/>
                <w:sz w:val="20"/>
              </w:rPr>
              <w:t>Ostatní</w:t>
            </w:r>
          </w:p>
        </w:tc>
        <w:tc>
          <w:tcPr>
            <w:tcW w:w="388" w:type="pct"/>
            <w:shd w:val="clear" w:color="auto" w:fill="auto"/>
            <w:noWrap/>
            <w:tcMar>
              <w:top w:w="15" w:type="dxa"/>
              <w:left w:w="15" w:type="dxa"/>
              <w:bottom w:w="0" w:type="dxa"/>
              <w:right w:w="15" w:type="dxa"/>
            </w:tcMar>
            <w:vAlign w:val="center"/>
            <w:hideMark/>
          </w:tcPr>
          <w:p w14:paraId="04325AF0" w14:textId="77777777" w:rsidR="00CF25F1" w:rsidRPr="00162A64" w:rsidRDefault="00CF25F1" w:rsidP="00162A64">
            <w:pPr>
              <w:ind w:right="57"/>
              <w:jc w:val="right"/>
              <w:rPr>
                <w:rFonts w:ascii="Calibri" w:hAnsi="Calibri" w:cs="Calibri"/>
                <w:color w:val="000000"/>
                <w:sz w:val="20"/>
              </w:rPr>
            </w:pPr>
            <w:r w:rsidRPr="00162A64">
              <w:rPr>
                <w:rFonts w:ascii="Calibri" w:hAnsi="Calibri" w:cs="Calibri"/>
                <w:color w:val="000000"/>
                <w:sz w:val="20"/>
              </w:rPr>
              <w:t>89,06</w:t>
            </w:r>
          </w:p>
        </w:tc>
      </w:tr>
    </w:tbl>
    <w:p w14:paraId="33E9566B" w14:textId="4782EDA2" w:rsidR="00CF25F1" w:rsidRPr="00B05C2B" w:rsidRDefault="00CF25F1" w:rsidP="00B05C2B">
      <w:pPr>
        <w:pStyle w:val="Zdroj"/>
        <w:spacing w:before="40"/>
        <w:ind w:left="0"/>
        <w:rPr>
          <w:i w:val="0"/>
        </w:rPr>
      </w:pPr>
      <w:r w:rsidRPr="00B05C2B">
        <w:rPr>
          <w:b/>
          <w:i w:val="0"/>
        </w:rPr>
        <w:t>Zdroj:</w:t>
      </w:r>
      <w:r w:rsidRPr="00B05C2B">
        <w:rPr>
          <w:i w:val="0"/>
        </w:rPr>
        <w:t xml:space="preserve"> </w:t>
      </w:r>
      <w:r w:rsidR="002A59EC">
        <w:rPr>
          <w:i w:val="0"/>
        </w:rPr>
        <w:t>p</w:t>
      </w:r>
      <w:r w:rsidR="00D03571" w:rsidRPr="00B05C2B">
        <w:rPr>
          <w:i w:val="0"/>
        </w:rPr>
        <w:t>řílohy jednotlivých kontrolních protokolů FN; sdělení kontrolovaných FN.</w:t>
      </w:r>
    </w:p>
    <w:p w14:paraId="19A52608" w14:textId="77777777" w:rsidR="00CF25F1" w:rsidRDefault="00CF25F1" w:rsidP="00B05C2B">
      <w:pPr>
        <w:shd w:val="clear" w:color="auto" w:fill="FFFFFF"/>
        <w:spacing w:before="120"/>
        <w:rPr>
          <w:rFonts w:cstheme="minorHAnsi"/>
        </w:rPr>
      </w:pPr>
      <w:r>
        <w:rPr>
          <w:rFonts w:cstheme="minorHAnsi"/>
        </w:rPr>
        <w:t>Z kontrolního vzorku za období 2014 až 2016 bylo zjištěno, že:</w:t>
      </w:r>
    </w:p>
    <w:p w14:paraId="6FB0CE9B" w14:textId="04E32A56" w:rsidR="00CF25F1" w:rsidRDefault="00CF25F1" w:rsidP="00B05C2B">
      <w:pPr>
        <w:pStyle w:val="Odstavecseseznamem"/>
        <w:numPr>
          <w:ilvl w:val="0"/>
          <w:numId w:val="4"/>
        </w:numPr>
        <w:shd w:val="clear" w:color="auto" w:fill="FFFFFF"/>
        <w:ind w:left="284" w:hanging="284"/>
        <w:rPr>
          <w:rFonts w:cstheme="minorHAnsi"/>
        </w:rPr>
      </w:pPr>
      <w:r w:rsidRPr="007B3311">
        <w:rPr>
          <w:rFonts w:cstheme="minorHAnsi"/>
          <w:b/>
        </w:rPr>
        <w:t>zdravotnické prostředky</w:t>
      </w:r>
      <w:r w:rsidRPr="007B3311">
        <w:rPr>
          <w:rFonts w:cstheme="minorHAnsi"/>
        </w:rPr>
        <w:t xml:space="preserve"> pořizovaly fakultní nemocnice na základě zadávacího řízení v rozmezí </w:t>
      </w:r>
      <w:r>
        <w:rPr>
          <w:rFonts w:cstheme="minorHAnsi"/>
        </w:rPr>
        <w:t>od 0 % do 10,94 %</w:t>
      </w:r>
      <w:r w:rsidR="002A59EC">
        <w:rPr>
          <w:rFonts w:cstheme="minorHAnsi"/>
        </w:rPr>
        <w:t>.</w:t>
      </w:r>
      <w:r w:rsidRPr="007B3311">
        <w:rPr>
          <w:rFonts w:cstheme="minorHAnsi"/>
        </w:rPr>
        <w:t xml:space="preserve"> </w:t>
      </w:r>
    </w:p>
    <w:p w14:paraId="06E46ED3" w14:textId="514DAD42" w:rsidR="00F52614" w:rsidRPr="00B05C2B" w:rsidRDefault="00F52614" w:rsidP="00B05C2B">
      <w:pPr>
        <w:shd w:val="clear" w:color="auto" w:fill="FFFFFF"/>
        <w:spacing w:before="120"/>
        <w:rPr>
          <w:rFonts w:cstheme="minorHAnsi"/>
          <w:szCs w:val="24"/>
        </w:rPr>
      </w:pPr>
      <w:r w:rsidRPr="00B05C2B">
        <w:rPr>
          <w:rFonts w:cstheme="minorHAnsi"/>
          <w:szCs w:val="24"/>
        </w:rPr>
        <w:t>V následujícím textu jsou uvedeny ostatní způsoby výběru dodavatelů při nákupu kontrolního vzorku zdravotnických prostředků.</w:t>
      </w:r>
    </w:p>
    <w:p w14:paraId="58A8F88E" w14:textId="4417EE04" w:rsidR="00CF25F1" w:rsidRPr="00B05C2B" w:rsidRDefault="00CF25F1" w:rsidP="00B05C2B">
      <w:pPr>
        <w:shd w:val="clear" w:color="auto" w:fill="FFFFFF"/>
        <w:spacing w:before="120"/>
        <w:rPr>
          <w:rFonts w:cstheme="minorHAnsi"/>
          <w:szCs w:val="24"/>
        </w:rPr>
      </w:pPr>
      <w:r w:rsidRPr="00B05C2B">
        <w:rPr>
          <w:rFonts w:cstheme="minorHAnsi"/>
          <w:szCs w:val="24"/>
        </w:rPr>
        <w:t>FNB nakupovala zdravotnické prostředky přímo od jednotlivých dodavatelů</w:t>
      </w:r>
      <w:r w:rsidR="00CB3FBB" w:rsidRPr="00B05C2B">
        <w:rPr>
          <w:rFonts w:cstheme="minorHAnsi"/>
          <w:szCs w:val="24"/>
        </w:rPr>
        <w:t>.</w:t>
      </w:r>
    </w:p>
    <w:p w14:paraId="655453B9" w14:textId="61ADBD1D" w:rsidR="00CF25F1" w:rsidRPr="00B05C2B" w:rsidRDefault="00CF25F1" w:rsidP="00B05C2B">
      <w:pPr>
        <w:shd w:val="clear" w:color="auto" w:fill="FFFFFF"/>
        <w:spacing w:before="120"/>
        <w:rPr>
          <w:rFonts w:cstheme="minorHAnsi"/>
          <w:szCs w:val="24"/>
        </w:rPr>
      </w:pPr>
      <w:r w:rsidRPr="00B05C2B">
        <w:rPr>
          <w:rFonts w:cstheme="minorHAnsi"/>
          <w:szCs w:val="24"/>
        </w:rPr>
        <w:t>U FNM podíl přímých nákupů spotřebního materiálu k</w:t>
      </w:r>
      <w:r w:rsidR="002A59EC">
        <w:rPr>
          <w:rFonts w:cstheme="minorHAnsi"/>
          <w:szCs w:val="24"/>
        </w:rPr>
        <w:t> </w:t>
      </w:r>
      <w:r w:rsidRPr="00B05C2B">
        <w:rPr>
          <w:rFonts w:cstheme="minorHAnsi"/>
          <w:szCs w:val="24"/>
        </w:rPr>
        <w:t>přístrojů</w:t>
      </w:r>
      <w:r w:rsidR="008F53D1">
        <w:rPr>
          <w:rFonts w:cstheme="minorHAnsi"/>
          <w:szCs w:val="24"/>
        </w:rPr>
        <w:t>m</w:t>
      </w:r>
      <w:r w:rsidRPr="00B05C2B">
        <w:rPr>
          <w:rFonts w:cstheme="minorHAnsi"/>
          <w:szCs w:val="24"/>
        </w:rPr>
        <w:t>, který je předem určen výrobcem přístroje</w:t>
      </w:r>
      <w:r w:rsidR="002A59EC">
        <w:rPr>
          <w:rFonts w:cstheme="minorHAnsi"/>
          <w:szCs w:val="24"/>
        </w:rPr>
        <w:t>,</w:t>
      </w:r>
      <w:r w:rsidRPr="00B05C2B">
        <w:rPr>
          <w:rFonts w:cstheme="minorHAnsi"/>
          <w:szCs w:val="24"/>
        </w:rPr>
        <w:t xml:space="preserve"> představoval 17,11 % </w:t>
      </w:r>
      <w:r w:rsidR="00953817" w:rsidRPr="00B05C2B">
        <w:rPr>
          <w:rFonts w:cstheme="minorHAnsi"/>
          <w:szCs w:val="24"/>
        </w:rPr>
        <w:t xml:space="preserve">hodnoty </w:t>
      </w:r>
      <w:r w:rsidRPr="00B05C2B">
        <w:rPr>
          <w:rFonts w:cstheme="minorHAnsi"/>
          <w:szCs w:val="24"/>
        </w:rPr>
        <w:t>kontrolního vzorku. Podíl nákupů na základě vitálních či zdravotních indikací představoval 78,51 % kontrolního vzorku.</w:t>
      </w:r>
    </w:p>
    <w:p w14:paraId="6F1CCEE0" w14:textId="103A0688" w:rsidR="00CF25F1" w:rsidRPr="00B05C2B" w:rsidRDefault="00CF25F1" w:rsidP="00B05C2B">
      <w:pPr>
        <w:spacing w:before="120"/>
        <w:rPr>
          <w:color w:val="000000"/>
          <w:spacing w:val="-2"/>
          <w:szCs w:val="24"/>
        </w:rPr>
      </w:pPr>
      <w:r w:rsidRPr="00B05C2B">
        <w:rPr>
          <w:color w:val="000000"/>
          <w:spacing w:val="-2"/>
          <w:szCs w:val="24"/>
        </w:rPr>
        <w:t xml:space="preserve">ÚVN pořídila ZUM na základě rámcových smluv ve výši 46,08 % </w:t>
      </w:r>
      <w:r w:rsidR="00953817" w:rsidRPr="00B05C2B">
        <w:rPr>
          <w:color w:val="000000"/>
          <w:spacing w:val="-2"/>
          <w:szCs w:val="24"/>
        </w:rPr>
        <w:t xml:space="preserve">hodnoty </w:t>
      </w:r>
      <w:r w:rsidRPr="00B05C2B">
        <w:rPr>
          <w:color w:val="000000"/>
          <w:spacing w:val="-2"/>
          <w:szCs w:val="24"/>
        </w:rPr>
        <w:t xml:space="preserve">kontrolního vzorku. Zbývající část ve výši 42,98 % připadá na nákup na základě objednávky bez </w:t>
      </w:r>
      <w:r w:rsidR="00870B87" w:rsidRPr="00B05C2B">
        <w:rPr>
          <w:color w:val="000000"/>
          <w:spacing w:val="-2"/>
          <w:szCs w:val="24"/>
        </w:rPr>
        <w:t xml:space="preserve">předešlého </w:t>
      </w:r>
      <w:r w:rsidRPr="00B05C2B">
        <w:rPr>
          <w:color w:val="000000"/>
          <w:spacing w:val="-2"/>
          <w:szCs w:val="24"/>
        </w:rPr>
        <w:t>smluvního ujednání.</w:t>
      </w:r>
    </w:p>
    <w:p w14:paraId="61E64A1F" w14:textId="566456CE" w:rsidR="002F713B" w:rsidRPr="00B05C2B" w:rsidRDefault="00C76907" w:rsidP="00B05C2B">
      <w:pPr>
        <w:autoSpaceDE w:val="0"/>
        <w:autoSpaceDN w:val="0"/>
        <w:adjustRightInd w:val="0"/>
        <w:spacing w:before="120"/>
        <w:rPr>
          <w:rFonts w:cs="Arial"/>
          <w:b/>
          <w:szCs w:val="24"/>
        </w:rPr>
      </w:pPr>
      <w:r w:rsidRPr="00B05C2B">
        <w:rPr>
          <w:rFonts w:cs="Arial"/>
          <w:b/>
          <w:szCs w:val="24"/>
        </w:rPr>
        <w:t xml:space="preserve">FNB nakupovala </w:t>
      </w:r>
      <w:proofErr w:type="spellStart"/>
      <w:r w:rsidRPr="00B05C2B">
        <w:rPr>
          <w:rFonts w:cs="Arial"/>
          <w:b/>
          <w:szCs w:val="24"/>
        </w:rPr>
        <w:t>ZPr</w:t>
      </w:r>
      <w:proofErr w:type="spellEnd"/>
      <w:r w:rsidRPr="00B05C2B">
        <w:rPr>
          <w:rFonts w:cs="Arial"/>
          <w:b/>
          <w:szCs w:val="24"/>
        </w:rPr>
        <w:t xml:space="preserve"> ve všech případech</w:t>
      </w:r>
      <w:r w:rsidR="00DD7BD5" w:rsidRPr="00B05C2B">
        <w:rPr>
          <w:rFonts w:cs="Arial"/>
          <w:b/>
          <w:szCs w:val="24"/>
        </w:rPr>
        <w:t xml:space="preserve"> kontrolního vzorku</w:t>
      </w:r>
      <w:r w:rsidRPr="00B05C2B">
        <w:rPr>
          <w:rFonts w:cs="Arial"/>
          <w:b/>
          <w:szCs w:val="24"/>
        </w:rPr>
        <w:t xml:space="preserve"> bez zadávacího řízení. </w:t>
      </w:r>
      <w:r w:rsidR="004F7CB6" w:rsidRPr="00B05C2B">
        <w:rPr>
          <w:rFonts w:cs="Arial"/>
          <w:b/>
          <w:szCs w:val="24"/>
        </w:rPr>
        <w:t>ÚVN a </w:t>
      </w:r>
      <w:r w:rsidR="00CB3FBB" w:rsidRPr="00B05C2B">
        <w:rPr>
          <w:rFonts w:cs="Arial"/>
          <w:b/>
          <w:szCs w:val="24"/>
        </w:rPr>
        <w:t xml:space="preserve">FNM </w:t>
      </w:r>
      <w:r w:rsidR="00DD509C" w:rsidRPr="00B05C2B">
        <w:rPr>
          <w:rFonts w:cs="Arial"/>
          <w:b/>
          <w:szCs w:val="24"/>
        </w:rPr>
        <w:t>uvedly</w:t>
      </w:r>
      <w:r w:rsidR="00126DD8" w:rsidRPr="00B05C2B">
        <w:rPr>
          <w:rFonts w:cs="Arial"/>
          <w:b/>
          <w:szCs w:val="24"/>
        </w:rPr>
        <w:t xml:space="preserve"> </w:t>
      </w:r>
      <w:r w:rsidR="00CB3FBB" w:rsidRPr="00B05C2B">
        <w:rPr>
          <w:rFonts w:cs="Arial"/>
          <w:b/>
          <w:szCs w:val="24"/>
        </w:rPr>
        <w:t xml:space="preserve">důvody, na </w:t>
      </w:r>
      <w:r w:rsidR="002A59EC">
        <w:rPr>
          <w:rFonts w:cs="Arial"/>
          <w:b/>
          <w:szCs w:val="24"/>
        </w:rPr>
        <w:t xml:space="preserve">jejichž </w:t>
      </w:r>
      <w:r w:rsidR="00CB3FBB" w:rsidRPr="00B05C2B">
        <w:rPr>
          <w:rFonts w:cs="Arial"/>
          <w:b/>
          <w:szCs w:val="24"/>
        </w:rPr>
        <w:t xml:space="preserve">základě nakoupily </w:t>
      </w:r>
      <w:proofErr w:type="spellStart"/>
      <w:r w:rsidR="0094328B" w:rsidRPr="00B05C2B">
        <w:rPr>
          <w:rFonts w:cs="Arial"/>
          <w:b/>
          <w:szCs w:val="24"/>
        </w:rPr>
        <w:t>Z</w:t>
      </w:r>
      <w:r w:rsidRPr="00B05C2B">
        <w:rPr>
          <w:rFonts w:cs="Arial"/>
          <w:b/>
          <w:szCs w:val="24"/>
        </w:rPr>
        <w:t>Pr</w:t>
      </w:r>
      <w:proofErr w:type="spellEnd"/>
      <w:r w:rsidR="00CB3FBB" w:rsidRPr="00B05C2B">
        <w:rPr>
          <w:rFonts w:cs="Arial"/>
          <w:b/>
          <w:szCs w:val="24"/>
        </w:rPr>
        <w:t xml:space="preserve"> bez zadávacího řízení, přesto je podíl dodávek mimo zadávací říze</w:t>
      </w:r>
      <w:r w:rsidR="00B8391E" w:rsidRPr="00B05C2B">
        <w:rPr>
          <w:rFonts w:cs="Arial"/>
          <w:b/>
          <w:szCs w:val="24"/>
        </w:rPr>
        <w:t>ní značný (ÚVN dosahuje 89,06 %</w:t>
      </w:r>
      <w:r w:rsidR="00A81B22" w:rsidRPr="00B05C2B">
        <w:rPr>
          <w:rFonts w:cs="Arial"/>
          <w:b/>
          <w:szCs w:val="24"/>
        </w:rPr>
        <w:t xml:space="preserve"> a</w:t>
      </w:r>
      <w:r w:rsidR="00CB3FBB" w:rsidRPr="00B05C2B">
        <w:rPr>
          <w:rFonts w:cs="Arial"/>
          <w:b/>
          <w:szCs w:val="24"/>
        </w:rPr>
        <w:t xml:space="preserve"> FNM 95,62 %</w:t>
      </w:r>
      <w:r w:rsidR="00437B29" w:rsidRPr="00B05C2B">
        <w:rPr>
          <w:rFonts w:cs="Arial"/>
          <w:b/>
          <w:szCs w:val="24"/>
        </w:rPr>
        <w:t>).</w:t>
      </w:r>
      <w:r w:rsidR="00CB3FBB" w:rsidRPr="00B05C2B">
        <w:rPr>
          <w:rFonts w:cs="Arial"/>
          <w:b/>
          <w:szCs w:val="24"/>
        </w:rPr>
        <w:t xml:space="preserve"> NKÚ vyhodnotil tento stav jako nežádoucí s tím, že ve FN existuje prostor pro snižování nákladů. </w:t>
      </w:r>
      <w:r w:rsidR="002F713B" w:rsidRPr="00B05C2B">
        <w:rPr>
          <w:rFonts w:cs="Arial"/>
          <w:b/>
          <w:szCs w:val="24"/>
        </w:rPr>
        <w:t>FN jsou jako veřejní zadavatelé povinn</w:t>
      </w:r>
      <w:r w:rsidRPr="00B05C2B">
        <w:rPr>
          <w:rFonts w:cs="Arial"/>
          <w:b/>
          <w:szCs w:val="24"/>
        </w:rPr>
        <w:t xml:space="preserve">y </w:t>
      </w:r>
      <w:r w:rsidR="002F713B" w:rsidRPr="00B05C2B">
        <w:rPr>
          <w:rFonts w:cs="Arial"/>
          <w:b/>
          <w:szCs w:val="24"/>
        </w:rPr>
        <w:t>důsledně postupovat podle zákona o veřejných zakázkách, jehož dodržení je základním předpokladem pro hodnocení hospodárného nakládá</w:t>
      </w:r>
      <w:r w:rsidR="00DD509C" w:rsidRPr="00B05C2B">
        <w:rPr>
          <w:rFonts w:cs="Arial"/>
          <w:b/>
          <w:szCs w:val="24"/>
        </w:rPr>
        <w:t>ní s peněžními prostředky státu a transparentní výběru dodavatele.</w:t>
      </w:r>
    </w:p>
    <w:p w14:paraId="233B0FF2" w14:textId="24126E94" w:rsidR="00CF25F1" w:rsidRPr="00B05C2B" w:rsidRDefault="00AD5085" w:rsidP="00B05C2B">
      <w:pPr>
        <w:autoSpaceDE w:val="0"/>
        <w:autoSpaceDN w:val="0"/>
        <w:adjustRightInd w:val="0"/>
        <w:spacing w:before="120"/>
        <w:rPr>
          <w:rFonts w:cs="Arial"/>
          <w:b/>
          <w:color w:val="000000" w:themeColor="text1"/>
          <w:szCs w:val="24"/>
        </w:rPr>
      </w:pPr>
      <w:r w:rsidRPr="00B05C2B">
        <w:rPr>
          <w:rFonts w:cs="Arial"/>
          <w:b/>
          <w:color w:val="000000" w:themeColor="text1"/>
          <w:szCs w:val="24"/>
        </w:rPr>
        <w:t>Na kontrolních</w:t>
      </w:r>
      <w:r w:rsidR="00DD7BD5" w:rsidRPr="00B05C2B">
        <w:rPr>
          <w:rFonts w:cs="Arial"/>
          <w:b/>
          <w:color w:val="000000" w:themeColor="text1"/>
          <w:szCs w:val="24"/>
        </w:rPr>
        <w:t xml:space="preserve"> </w:t>
      </w:r>
      <w:r w:rsidRPr="00B05C2B">
        <w:rPr>
          <w:rFonts w:cs="Arial"/>
          <w:b/>
          <w:color w:val="000000" w:themeColor="text1"/>
          <w:szCs w:val="24"/>
        </w:rPr>
        <w:t xml:space="preserve">vzorcích shodných léčiv a </w:t>
      </w:r>
      <w:proofErr w:type="spellStart"/>
      <w:r w:rsidRPr="00B05C2B">
        <w:rPr>
          <w:rFonts w:cs="Arial"/>
          <w:b/>
          <w:color w:val="000000" w:themeColor="text1"/>
          <w:szCs w:val="24"/>
        </w:rPr>
        <w:t>ZPr</w:t>
      </w:r>
      <w:proofErr w:type="spellEnd"/>
      <w:r w:rsidR="00DD7BD5" w:rsidRPr="00B05C2B">
        <w:rPr>
          <w:rFonts w:cs="Arial"/>
          <w:b/>
          <w:color w:val="000000" w:themeColor="text1"/>
          <w:szCs w:val="24"/>
        </w:rPr>
        <w:t xml:space="preserve"> NKÚ zjistil, že </w:t>
      </w:r>
      <w:r w:rsidR="001825BA" w:rsidRPr="00B05C2B">
        <w:rPr>
          <w:rFonts w:cs="Arial"/>
          <w:b/>
          <w:color w:val="000000" w:themeColor="text1"/>
          <w:szCs w:val="24"/>
        </w:rPr>
        <w:t>f</w:t>
      </w:r>
      <w:r w:rsidR="00CF25F1" w:rsidRPr="00B05C2B">
        <w:rPr>
          <w:rFonts w:cs="Arial"/>
          <w:b/>
          <w:color w:val="000000" w:themeColor="text1"/>
          <w:szCs w:val="24"/>
        </w:rPr>
        <w:t>akultní nemocnice nepostupovaly stejně při</w:t>
      </w:r>
      <w:r w:rsidR="001825BA" w:rsidRPr="00B05C2B">
        <w:rPr>
          <w:rFonts w:cs="Arial"/>
          <w:b/>
          <w:color w:val="000000" w:themeColor="text1"/>
          <w:szCs w:val="24"/>
        </w:rPr>
        <w:t xml:space="preserve"> </w:t>
      </w:r>
      <w:r w:rsidR="00CF25F1" w:rsidRPr="00B05C2B">
        <w:rPr>
          <w:rFonts w:cs="Arial"/>
          <w:b/>
          <w:color w:val="000000" w:themeColor="text1"/>
          <w:szCs w:val="24"/>
        </w:rPr>
        <w:t>stanovování kritérií v zadávacích řízeních</w:t>
      </w:r>
      <w:r w:rsidR="001825BA" w:rsidRPr="00B05C2B">
        <w:rPr>
          <w:rFonts w:cs="Arial"/>
          <w:b/>
          <w:color w:val="000000" w:themeColor="text1"/>
          <w:szCs w:val="24"/>
        </w:rPr>
        <w:t xml:space="preserve"> </w:t>
      </w:r>
      <w:r w:rsidR="00CF25F1" w:rsidRPr="00B05C2B">
        <w:rPr>
          <w:rFonts w:cs="Arial"/>
          <w:b/>
          <w:color w:val="000000" w:themeColor="text1"/>
          <w:szCs w:val="24"/>
        </w:rPr>
        <w:t xml:space="preserve">na </w:t>
      </w:r>
      <w:r w:rsidRPr="00B05C2B">
        <w:rPr>
          <w:rFonts w:cs="Arial"/>
          <w:b/>
          <w:color w:val="000000" w:themeColor="text1"/>
          <w:szCs w:val="24"/>
        </w:rPr>
        <w:t>n</w:t>
      </w:r>
      <w:r w:rsidR="00213575" w:rsidRPr="00B05C2B">
        <w:rPr>
          <w:rFonts w:cs="Arial"/>
          <w:b/>
          <w:color w:val="000000" w:themeColor="text1"/>
          <w:szCs w:val="24"/>
        </w:rPr>
        <w:t xml:space="preserve">ákup zdravotnických prostředků. </w:t>
      </w:r>
      <w:r w:rsidR="00213575" w:rsidRPr="00B05C2B">
        <w:rPr>
          <w:rFonts w:cs="Arial"/>
          <w:b/>
          <w:szCs w:val="24"/>
        </w:rPr>
        <w:t>Podle zákona č. 137/2006 Sb. neměl veřejný zadavatel povinnost stanovit jako hodnot</w:t>
      </w:r>
      <w:r w:rsidR="002A59EC">
        <w:rPr>
          <w:rFonts w:cs="Arial"/>
          <w:b/>
          <w:szCs w:val="24"/>
        </w:rPr>
        <w:t>i</w:t>
      </w:r>
      <w:r w:rsidR="00213575" w:rsidRPr="00B05C2B">
        <w:rPr>
          <w:rFonts w:cs="Arial"/>
          <w:b/>
          <w:szCs w:val="24"/>
        </w:rPr>
        <w:t xml:space="preserve">cí kritérium nabídek nejnižší cenu včetně bonusů, byl však povinen stanovit kritérium hodnocení nabídek s ohledem na druh a složitost předmětu veřejné zakázky tak, aby vyjadřovalo vztah užitné hodnoty a ceny. </w:t>
      </w:r>
      <w:r w:rsidR="00CF25F1" w:rsidRPr="00B05C2B">
        <w:rPr>
          <w:rFonts w:cs="Arial"/>
          <w:b/>
          <w:color w:val="000000" w:themeColor="text1"/>
          <w:szCs w:val="24"/>
        </w:rPr>
        <w:t>FNB</w:t>
      </w:r>
      <w:r w:rsidR="00623726" w:rsidRPr="00B05C2B">
        <w:rPr>
          <w:rFonts w:cs="Arial"/>
          <w:b/>
          <w:color w:val="000000" w:themeColor="text1"/>
          <w:szCs w:val="24"/>
        </w:rPr>
        <w:t xml:space="preserve"> nesoutěžila pořizování </w:t>
      </w:r>
      <w:proofErr w:type="spellStart"/>
      <w:r w:rsidR="00DD7BD5" w:rsidRPr="00B05C2B">
        <w:rPr>
          <w:rFonts w:cs="Arial"/>
          <w:b/>
          <w:color w:val="000000" w:themeColor="text1"/>
          <w:szCs w:val="24"/>
        </w:rPr>
        <w:t>ZPr</w:t>
      </w:r>
      <w:proofErr w:type="spellEnd"/>
      <w:r w:rsidR="00623726" w:rsidRPr="00B05C2B">
        <w:rPr>
          <w:rFonts w:cs="Arial"/>
          <w:b/>
          <w:color w:val="000000" w:themeColor="text1"/>
          <w:szCs w:val="24"/>
        </w:rPr>
        <w:t xml:space="preserve"> vůbec</w:t>
      </w:r>
      <w:r w:rsidR="00213575" w:rsidRPr="00B05C2B">
        <w:rPr>
          <w:rFonts w:cs="Arial"/>
          <w:b/>
          <w:color w:val="000000" w:themeColor="text1"/>
          <w:szCs w:val="24"/>
        </w:rPr>
        <w:t xml:space="preserve"> a </w:t>
      </w:r>
      <w:r w:rsidR="00623726" w:rsidRPr="00B05C2B">
        <w:rPr>
          <w:rFonts w:cs="Arial"/>
          <w:b/>
          <w:color w:val="000000" w:themeColor="text1"/>
          <w:szCs w:val="24"/>
        </w:rPr>
        <w:t>FNM nestanovila</w:t>
      </w:r>
      <w:r w:rsidR="00CF25F1" w:rsidRPr="00B05C2B">
        <w:rPr>
          <w:rFonts w:cs="Arial"/>
          <w:b/>
          <w:color w:val="000000" w:themeColor="text1"/>
          <w:szCs w:val="24"/>
        </w:rPr>
        <w:t xml:space="preserve"> </w:t>
      </w:r>
      <w:r w:rsidR="00F551C9" w:rsidRPr="00B05C2B">
        <w:rPr>
          <w:rFonts w:cs="Arial"/>
          <w:b/>
          <w:color w:val="000000" w:themeColor="text1"/>
          <w:szCs w:val="24"/>
        </w:rPr>
        <w:t>jako hod</w:t>
      </w:r>
      <w:r w:rsidR="004F7CB6" w:rsidRPr="00B05C2B">
        <w:rPr>
          <w:rFonts w:cs="Arial"/>
          <w:b/>
          <w:color w:val="000000" w:themeColor="text1"/>
          <w:szCs w:val="24"/>
        </w:rPr>
        <w:t>not</w:t>
      </w:r>
      <w:r w:rsidR="002A59EC">
        <w:rPr>
          <w:rFonts w:cs="Arial"/>
          <w:b/>
          <w:color w:val="000000" w:themeColor="text1"/>
          <w:szCs w:val="24"/>
        </w:rPr>
        <w:t>i</w:t>
      </w:r>
      <w:r w:rsidR="004F7CB6" w:rsidRPr="00B05C2B">
        <w:rPr>
          <w:rFonts w:cs="Arial"/>
          <w:b/>
          <w:color w:val="000000" w:themeColor="text1"/>
          <w:szCs w:val="24"/>
        </w:rPr>
        <w:t>cí kritéria současně cenu a </w:t>
      </w:r>
      <w:r w:rsidR="00CF25F1" w:rsidRPr="00B05C2B">
        <w:rPr>
          <w:rFonts w:cs="Arial"/>
          <w:b/>
          <w:color w:val="000000" w:themeColor="text1"/>
          <w:szCs w:val="24"/>
        </w:rPr>
        <w:t>bonus</w:t>
      </w:r>
      <w:r w:rsidR="00F551C9" w:rsidRPr="00B05C2B">
        <w:rPr>
          <w:rFonts w:cs="Arial"/>
          <w:b/>
          <w:color w:val="000000" w:themeColor="text1"/>
          <w:szCs w:val="24"/>
        </w:rPr>
        <w:t xml:space="preserve"> tak, </w:t>
      </w:r>
      <w:r w:rsidR="00CF25F1" w:rsidRPr="00B05C2B">
        <w:rPr>
          <w:rFonts w:cs="Arial"/>
          <w:b/>
          <w:color w:val="000000" w:themeColor="text1"/>
          <w:szCs w:val="24"/>
        </w:rPr>
        <w:t>aby konečná cena byla nejnižší</w:t>
      </w:r>
      <w:r w:rsidR="00F551C9" w:rsidRPr="00B05C2B">
        <w:rPr>
          <w:rFonts w:cs="Arial"/>
          <w:b/>
          <w:color w:val="000000" w:themeColor="text1"/>
          <w:szCs w:val="24"/>
        </w:rPr>
        <w:t>. Za transparentní</w:t>
      </w:r>
      <w:r w:rsidR="00CF25F1" w:rsidRPr="00B05C2B">
        <w:rPr>
          <w:rFonts w:cs="Arial"/>
          <w:b/>
          <w:color w:val="000000" w:themeColor="text1"/>
          <w:szCs w:val="24"/>
        </w:rPr>
        <w:t xml:space="preserve"> lze považovat </w:t>
      </w:r>
      <w:r w:rsidR="00F551C9" w:rsidRPr="00B05C2B">
        <w:rPr>
          <w:rFonts w:cs="Arial"/>
          <w:b/>
          <w:color w:val="000000" w:themeColor="text1"/>
          <w:szCs w:val="24"/>
        </w:rPr>
        <w:t>zadávací řízení uskutečněná</w:t>
      </w:r>
      <w:r w:rsidR="00CF25F1" w:rsidRPr="00B05C2B">
        <w:rPr>
          <w:rFonts w:cs="Arial"/>
          <w:b/>
          <w:color w:val="000000" w:themeColor="text1"/>
          <w:szCs w:val="24"/>
        </w:rPr>
        <w:t xml:space="preserve"> ÚVN, kde hodnot</w:t>
      </w:r>
      <w:r w:rsidR="002A59EC">
        <w:rPr>
          <w:rFonts w:cs="Arial"/>
          <w:b/>
          <w:color w:val="000000" w:themeColor="text1"/>
          <w:szCs w:val="24"/>
        </w:rPr>
        <w:t>i</w:t>
      </w:r>
      <w:r w:rsidR="00CF25F1" w:rsidRPr="00B05C2B">
        <w:rPr>
          <w:rFonts w:cs="Arial"/>
          <w:b/>
          <w:color w:val="000000" w:themeColor="text1"/>
          <w:szCs w:val="24"/>
        </w:rPr>
        <w:t>cím kritériem byla nejen nabídková cena</w:t>
      </w:r>
      <w:r w:rsidR="00953817" w:rsidRPr="00B05C2B">
        <w:rPr>
          <w:rFonts w:cs="Arial"/>
          <w:b/>
          <w:color w:val="000000" w:themeColor="text1"/>
          <w:szCs w:val="24"/>
        </w:rPr>
        <w:t>,</w:t>
      </w:r>
      <w:r w:rsidR="00CF25F1" w:rsidRPr="00B05C2B">
        <w:rPr>
          <w:rFonts w:cs="Arial"/>
          <w:b/>
          <w:color w:val="000000" w:themeColor="text1"/>
          <w:szCs w:val="24"/>
        </w:rPr>
        <w:t xml:space="preserve"> ale i bonus.</w:t>
      </w:r>
    </w:p>
    <w:p w14:paraId="4F51F957" w14:textId="04740A8B" w:rsidR="00C05802" w:rsidRPr="00B05C2B" w:rsidRDefault="00C05802" w:rsidP="00B05C2B">
      <w:pPr>
        <w:spacing w:before="120"/>
        <w:rPr>
          <w:color w:val="000000"/>
          <w:spacing w:val="-2"/>
          <w:szCs w:val="24"/>
        </w:rPr>
      </w:pPr>
      <w:r w:rsidRPr="00B05C2B">
        <w:rPr>
          <w:color w:val="000000"/>
          <w:spacing w:val="-2"/>
          <w:szCs w:val="24"/>
        </w:rPr>
        <w:t xml:space="preserve">NKÚ </w:t>
      </w:r>
      <w:r w:rsidR="008D0B02" w:rsidRPr="00B05C2B">
        <w:rPr>
          <w:color w:val="000000"/>
          <w:spacing w:val="-2"/>
          <w:szCs w:val="24"/>
        </w:rPr>
        <w:t xml:space="preserve">rozšířil kontrolní vzorek o jiné významné položky zdravotnických prostředků, které nebyly shodné </w:t>
      </w:r>
      <w:r w:rsidR="00A81B22" w:rsidRPr="00B05C2B">
        <w:rPr>
          <w:color w:val="000000"/>
          <w:spacing w:val="-2"/>
          <w:szCs w:val="24"/>
        </w:rPr>
        <w:t xml:space="preserve">u </w:t>
      </w:r>
      <w:r w:rsidR="008D0B02" w:rsidRPr="00B05C2B">
        <w:rPr>
          <w:color w:val="000000"/>
          <w:spacing w:val="-2"/>
          <w:szCs w:val="24"/>
        </w:rPr>
        <w:t>všech FN</w:t>
      </w:r>
      <w:r w:rsidR="00085EB5">
        <w:rPr>
          <w:color w:val="000000"/>
          <w:spacing w:val="-2"/>
          <w:szCs w:val="24"/>
        </w:rPr>
        <w:t>,</w:t>
      </w:r>
      <w:r w:rsidR="008D0B02" w:rsidRPr="00B05C2B">
        <w:rPr>
          <w:color w:val="000000"/>
          <w:spacing w:val="-2"/>
          <w:szCs w:val="24"/>
        </w:rPr>
        <w:t xml:space="preserve"> a to z důvodu, aby byl ověřen postup FN u zadávacích řízení dle zákona č.</w:t>
      </w:r>
      <w:r w:rsidR="004C67D7" w:rsidRPr="00B05C2B">
        <w:rPr>
          <w:color w:val="000000"/>
          <w:spacing w:val="-2"/>
          <w:szCs w:val="24"/>
        </w:rPr>
        <w:t> </w:t>
      </w:r>
      <w:r w:rsidR="008D0B02" w:rsidRPr="00B05C2B">
        <w:rPr>
          <w:color w:val="000000"/>
          <w:spacing w:val="-2"/>
          <w:szCs w:val="24"/>
        </w:rPr>
        <w:t>137/2006 Sb.</w:t>
      </w:r>
      <w:r w:rsidR="008D0B02" w:rsidRPr="00B05C2B">
        <w:rPr>
          <w:rStyle w:val="Znakapoznpodarou"/>
          <w:color w:val="000000"/>
          <w:spacing w:val="-2"/>
          <w:szCs w:val="24"/>
        </w:rPr>
        <w:footnoteReference w:id="41"/>
      </w:r>
      <w:r w:rsidR="008D0B02" w:rsidRPr="00B05C2B">
        <w:rPr>
          <w:color w:val="000000"/>
          <w:spacing w:val="-2"/>
          <w:szCs w:val="24"/>
        </w:rPr>
        <w:t xml:space="preserve"> Z</w:t>
      </w:r>
      <w:r w:rsidR="00C76907" w:rsidRPr="00B05C2B">
        <w:rPr>
          <w:color w:val="000000"/>
          <w:spacing w:val="-2"/>
          <w:szCs w:val="24"/>
        </w:rPr>
        <w:t xml:space="preserve"> </w:t>
      </w:r>
      <w:r w:rsidRPr="00B05C2B">
        <w:rPr>
          <w:color w:val="000000"/>
          <w:spacing w:val="-2"/>
          <w:szCs w:val="24"/>
        </w:rPr>
        <w:t>rozšířeného kontrolního vzorku</w:t>
      </w:r>
      <w:r w:rsidR="008D0B02" w:rsidRPr="00B05C2B">
        <w:rPr>
          <w:color w:val="000000"/>
          <w:spacing w:val="-2"/>
          <w:szCs w:val="24"/>
        </w:rPr>
        <w:t xml:space="preserve"> </w:t>
      </w:r>
      <w:r w:rsidR="00085EB5">
        <w:rPr>
          <w:color w:val="000000"/>
          <w:spacing w:val="-2"/>
          <w:szCs w:val="24"/>
        </w:rPr>
        <w:t>bylo zjištěno</w:t>
      </w:r>
      <w:r w:rsidRPr="00B05C2B">
        <w:rPr>
          <w:color w:val="000000"/>
          <w:spacing w:val="-2"/>
          <w:szCs w:val="24"/>
        </w:rPr>
        <w:t>, že FNB v letech 2014 až 2016 v rozporu s</w:t>
      </w:r>
      <w:r w:rsidR="004F7CB6" w:rsidRPr="00B05C2B">
        <w:rPr>
          <w:color w:val="000000"/>
          <w:spacing w:val="-2"/>
          <w:szCs w:val="24"/>
        </w:rPr>
        <w:t xml:space="preserve"> ustanovením </w:t>
      </w:r>
      <w:r w:rsidRPr="00B05C2B">
        <w:rPr>
          <w:color w:val="000000"/>
          <w:spacing w:val="-2"/>
          <w:szCs w:val="24"/>
        </w:rPr>
        <w:t>§ 13 odst. 3 zákona č. 137/2006 Sb. a § 24 zákona č. 134/2016</w:t>
      </w:r>
      <w:r w:rsidR="00085EB5">
        <w:rPr>
          <w:color w:val="000000"/>
          <w:spacing w:val="-2"/>
          <w:szCs w:val="24"/>
        </w:rPr>
        <w:t> </w:t>
      </w:r>
      <w:r w:rsidRPr="00B05C2B">
        <w:rPr>
          <w:color w:val="000000"/>
          <w:spacing w:val="-2"/>
          <w:szCs w:val="24"/>
        </w:rPr>
        <w:t>Sb. nesečetla předpokládané hodnoty těchto dodávek, které hodlala poříd</w:t>
      </w:r>
      <w:r w:rsidR="004F7CB6" w:rsidRPr="00B05C2B">
        <w:rPr>
          <w:color w:val="000000"/>
          <w:spacing w:val="-2"/>
          <w:szCs w:val="24"/>
        </w:rPr>
        <w:t>it v průběhu účetního období, a </w:t>
      </w:r>
      <w:r w:rsidRPr="00B05C2B">
        <w:rPr>
          <w:color w:val="000000"/>
          <w:spacing w:val="-2"/>
          <w:szCs w:val="24"/>
        </w:rPr>
        <w:t>zadala průběžné a opakované veřejné zakázky na dodávky přímo vybraným dodavatelům jako zakázky malého rozsahu, ačkoli</w:t>
      </w:r>
      <w:r w:rsidR="00085EB5">
        <w:rPr>
          <w:color w:val="000000"/>
          <w:spacing w:val="-2"/>
          <w:szCs w:val="24"/>
        </w:rPr>
        <w:t xml:space="preserve"> </w:t>
      </w:r>
      <w:r w:rsidRPr="00B05C2B">
        <w:rPr>
          <w:color w:val="000000"/>
          <w:spacing w:val="-2"/>
          <w:szCs w:val="24"/>
        </w:rPr>
        <w:t>celková hodnota předmětných dodávek činila za celé kontrolované období 115 486 746,31 Kč bez DPH. FNB současně uzavřela s těmito</w:t>
      </w:r>
      <w:r w:rsidR="004F7CB6" w:rsidRPr="00B05C2B">
        <w:rPr>
          <w:color w:val="000000"/>
          <w:spacing w:val="-2"/>
          <w:szCs w:val="24"/>
        </w:rPr>
        <w:t xml:space="preserve"> dodavateli samostatné smlouvy </w:t>
      </w:r>
      <w:r w:rsidRPr="00B05C2B">
        <w:rPr>
          <w:color w:val="000000"/>
          <w:spacing w:val="-2"/>
          <w:szCs w:val="24"/>
        </w:rPr>
        <w:t xml:space="preserve">o obchodním zvýhodnění, na </w:t>
      </w:r>
      <w:r w:rsidR="00085EB5">
        <w:rPr>
          <w:color w:val="000000"/>
          <w:spacing w:val="-2"/>
          <w:szCs w:val="24"/>
        </w:rPr>
        <w:t xml:space="preserve">jejichž </w:t>
      </w:r>
      <w:r w:rsidRPr="00B05C2B">
        <w:rPr>
          <w:color w:val="000000"/>
          <w:spacing w:val="-2"/>
          <w:szCs w:val="24"/>
        </w:rPr>
        <w:t xml:space="preserve">základě v kontrolovaném období obdržela za dodávky bonusy ve výši 52 223 118,52 Kč vč. DPH. </w:t>
      </w:r>
      <w:r w:rsidR="000E43D3" w:rsidRPr="00B05C2B">
        <w:rPr>
          <w:color w:val="000000"/>
          <w:spacing w:val="-2"/>
          <w:szCs w:val="24"/>
        </w:rPr>
        <w:t>FNB rozdělila předmět nadlimitní veřejné zakázky na opakované dodávky zdravotnického materiálu, čímž došlo ke snížení předpokládané hodnoty pod finanční limit stanovený zákonem. Celková hodnota dodávek dle uzavřených smluv činila 115 486 746,31 Kč bez DPH.</w:t>
      </w:r>
    </w:p>
    <w:p w14:paraId="4C0736F3" w14:textId="72C52852" w:rsidR="009D37B9" w:rsidRPr="00B05C2B" w:rsidRDefault="001F7C0E" w:rsidP="00B05C2B">
      <w:pPr>
        <w:autoSpaceDE w:val="0"/>
        <w:autoSpaceDN w:val="0"/>
        <w:adjustRightInd w:val="0"/>
        <w:spacing w:before="120"/>
        <w:rPr>
          <w:rFonts w:cs="Arial"/>
          <w:b/>
          <w:color w:val="000000" w:themeColor="text1"/>
          <w:szCs w:val="24"/>
        </w:rPr>
      </w:pPr>
      <w:r w:rsidRPr="00B05C2B">
        <w:rPr>
          <w:rFonts w:cs="Arial"/>
          <w:b/>
          <w:color w:val="000000" w:themeColor="text1"/>
          <w:szCs w:val="24"/>
        </w:rPr>
        <w:t xml:space="preserve">FNB </w:t>
      </w:r>
      <w:r w:rsidR="00CB3FBB" w:rsidRPr="00B05C2B">
        <w:rPr>
          <w:rFonts w:cs="Arial"/>
          <w:b/>
          <w:color w:val="000000" w:themeColor="text1"/>
          <w:szCs w:val="24"/>
        </w:rPr>
        <w:t>porušila rozpočtovou kázeň</w:t>
      </w:r>
      <w:r w:rsidR="00CB3FBB" w:rsidRPr="00B05C2B">
        <w:rPr>
          <w:rFonts w:cs="Arial"/>
          <w:szCs w:val="24"/>
          <w:vertAlign w:val="superscript"/>
        </w:rPr>
        <w:footnoteReference w:id="42"/>
      </w:r>
      <w:r w:rsidR="00CB3FBB" w:rsidRPr="00B05C2B">
        <w:rPr>
          <w:rFonts w:cs="Arial"/>
          <w:b/>
          <w:color w:val="000000" w:themeColor="text1"/>
          <w:szCs w:val="24"/>
        </w:rPr>
        <w:t xml:space="preserve"> </w:t>
      </w:r>
      <w:r w:rsidRPr="00B05C2B">
        <w:rPr>
          <w:rFonts w:cs="Arial"/>
          <w:b/>
          <w:color w:val="000000" w:themeColor="text1"/>
          <w:szCs w:val="24"/>
        </w:rPr>
        <w:t xml:space="preserve">tím, že neprovedla zadávací řízení na dodávky </w:t>
      </w:r>
      <w:r w:rsidR="00570E30" w:rsidRPr="00B05C2B">
        <w:rPr>
          <w:rFonts w:cs="Arial"/>
          <w:b/>
          <w:color w:val="000000" w:themeColor="text1"/>
          <w:szCs w:val="24"/>
        </w:rPr>
        <w:t>specializovaného</w:t>
      </w:r>
      <w:r w:rsidRPr="00B05C2B">
        <w:rPr>
          <w:rFonts w:cs="Arial"/>
          <w:b/>
          <w:color w:val="000000" w:themeColor="text1"/>
          <w:szCs w:val="24"/>
        </w:rPr>
        <w:t xml:space="preserve"> zdravotnického materiálu dle zákona č. 137/2006 Sb.</w:t>
      </w:r>
      <w:r w:rsidR="00085EB5">
        <w:rPr>
          <w:rFonts w:cs="Arial"/>
          <w:b/>
          <w:color w:val="000000" w:themeColor="text1"/>
          <w:szCs w:val="24"/>
        </w:rPr>
        <w:t>,</w:t>
      </w:r>
      <w:r w:rsidRPr="00B05C2B">
        <w:rPr>
          <w:rFonts w:cs="Arial"/>
          <w:b/>
          <w:color w:val="000000" w:themeColor="text1"/>
          <w:szCs w:val="24"/>
        </w:rPr>
        <w:t xml:space="preserve"> resp. zákona č.</w:t>
      </w:r>
      <w:r w:rsidR="004D2D96" w:rsidRPr="00B05C2B">
        <w:rPr>
          <w:rFonts w:cs="Arial"/>
          <w:b/>
          <w:color w:val="000000" w:themeColor="text1"/>
          <w:szCs w:val="24"/>
        </w:rPr>
        <w:t> </w:t>
      </w:r>
      <w:r w:rsidRPr="00B05C2B">
        <w:rPr>
          <w:rFonts w:cs="Arial"/>
          <w:b/>
          <w:color w:val="000000" w:themeColor="text1"/>
          <w:szCs w:val="24"/>
        </w:rPr>
        <w:t>134/2016 Sb.</w:t>
      </w:r>
      <w:r w:rsidR="00085EB5">
        <w:rPr>
          <w:rFonts w:cs="Arial"/>
          <w:b/>
          <w:color w:val="000000" w:themeColor="text1"/>
          <w:szCs w:val="24"/>
        </w:rPr>
        <w:t>,</w:t>
      </w:r>
      <w:r w:rsidRPr="00B05C2B">
        <w:rPr>
          <w:rFonts w:cs="Arial"/>
          <w:b/>
          <w:color w:val="000000" w:themeColor="text1"/>
          <w:szCs w:val="24"/>
        </w:rPr>
        <w:t xml:space="preserve"> a </w:t>
      </w:r>
      <w:r w:rsidR="00B511D0" w:rsidRPr="00B05C2B">
        <w:rPr>
          <w:rFonts w:cs="Arial"/>
          <w:b/>
          <w:color w:val="000000" w:themeColor="text1"/>
          <w:szCs w:val="24"/>
        </w:rPr>
        <w:t>uzavřela smlouvy o uložení v konsig</w:t>
      </w:r>
      <w:r w:rsidR="00755B8E" w:rsidRPr="00B05C2B">
        <w:rPr>
          <w:rFonts w:cs="Arial"/>
          <w:b/>
          <w:color w:val="000000" w:themeColor="text1"/>
          <w:szCs w:val="24"/>
        </w:rPr>
        <w:t>n</w:t>
      </w:r>
      <w:r w:rsidR="00B511D0" w:rsidRPr="00B05C2B">
        <w:rPr>
          <w:rFonts w:cs="Arial"/>
          <w:b/>
          <w:color w:val="000000" w:themeColor="text1"/>
          <w:szCs w:val="24"/>
        </w:rPr>
        <w:t>ačních skladech</w:t>
      </w:r>
      <w:r w:rsidRPr="00B05C2B">
        <w:rPr>
          <w:rFonts w:cs="Arial"/>
          <w:b/>
          <w:color w:val="000000" w:themeColor="text1"/>
          <w:szCs w:val="24"/>
        </w:rPr>
        <w:t xml:space="preserve"> přímo s vybranými dodavateli, na </w:t>
      </w:r>
      <w:r w:rsidR="00085EB5">
        <w:rPr>
          <w:rFonts w:cs="Arial"/>
          <w:b/>
          <w:color w:val="000000" w:themeColor="text1"/>
          <w:szCs w:val="24"/>
        </w:rPr>
        <w:t xml:space="preserve">jejichž </w:t>
      </w:r>
      <w:r w:rsidRPr="00B05C2B">
        <w:rPr>
          <w:rFonts w:cs="Arial"/>
          <w:b/>
          <w:color w:val="000000" w:themeColor="text1"/>
          <w:szCs w:val="24"/>
        </w:rPr>
        <w:t>základě vydala jiné peněžní prostředky státu ve výši nejméně 4</w:t>
      </w:r>
      <w:r w:rsidR="004D2D96" w:rsidRPr="00B05C2B">
        <w:rPr>
          <w:rFonts w:cs="Arial"/>
          <w:b/>
          <w:color w:val="000000" w:themeColor="text1"/>
          <w:szCs w:val="24"/>
        </w:rPr>
        <w:t> </w:t>
      </w:r>
      <w:r w:rsidRPr="00B05C2B">
        <w:rPr>
          <w:rFonts w:cs="Arial"/>
          <w:b/>
          <w:color w:val="000000" w:themeColor="text1"/>
          <w:szCs w:val="24"/>
        </w:rPr>
        <w:t>598</w:t>
      </w:r>
      <w:r w:rsidR="004D2D96" w:rsidRPr="00B05C2B">
        <w:rPr>
          <w:rFonts w:cs="Arial"/>
          <w:b/>
          <w:color w:val="000000" w:themeColor="text1"/>
          <w:szCs w:val="24"/>
        </w:rPr>
        <w:t> </w:t>
      </w:r>
      <w:r w:rsidRPr="00B05C2B">
        <w:rPr>
          <w:rFonts w:cs="Arial"/>
          <w:b/>
          <w:color w:val="000000" w:themeColor="text1"/>
          <w:szCs w:val="24"/>
        </w:rPr>
        <w:t>344,85 Kč vč. DPH</w:t>
      </w:r>
      <w:r w:rsidR="009D37B9" w:rsidRPr="00B05C2B">
        <w:rPr>
          <w:rFonts w:cs="Arial"/>
          <w:b/>
          <w:color w:val="000000" w:themeColor="text1"/>
          <w:szCs w:val="24"/>
        </w:rPr>
        <w:t>. Postup FNB spočívající v individuá</w:t>
      </w:r>
      <w:r w:rsidR="00C07835" w:rsidRPr="00B05C2B">
        <w:rPr>
          <w:rFonts w:cs="Arial"/>
          <w:b/>
          <w:color w:val="000000" w:themeColor="text1"/>
          <w:szCs w:val="24"/>
        </w:rPr>
        <w:t>lním sjednání bonusů mimo zadávací řízení</w:t>
      </w:r>
      <w:r w:rsidR="009D37B9" w:rsidRPr="00B05C2B">
        <w:rPr>
          <w:rFonts w:cs="Arial"/>
          <w:b/>
          <w:color w:val="000000" w:themeColor="text1"/>
          <w:szCs w:val="24"/>
        </w:rPr>
        <w:t xml:space="preserve"> nelze hodnotit jako postup zákonný, transparentní a nediskriminační vůči ostatním dodavatelům na trhu, ani jako postup, při kterém FNB prokazatelně dosáhla nejvýhodnější ceny dodávek na trhu. FNB při výběru dodavatelů specializovaného zdravotnického materiálu nepostupovala hospodárně, přičemž za dodávky bez zadávacího řízení uhradila celkem 137 153 969,87 Kč vč. DPH. </w:t>
      </w:r>
    </w:p>
    <w:p w14:paraId="17EB6B2D" w14:textId="56374860" w:rsidR="00925367" w:rsidRPr="00B05C2B" w:rsidRDefault="00B05C2B" w:rsidP="00757BF0">
      <w:pPr>
        <w:spacing w:before="240" w:after="120"/>
        <w:rPr>
          <w:rFonts w:cstheme="minorHAnsi"/>
          <w:b/>
          <w:noProof/>
          <w:color w:val="000000" w:themeColor="text1"/>
          <w:szCs w:val="26"/>
        </w:rPr>
      </w:pPr>
      <w:r w:rsidRPr="00B05C2B">
        <w:rPr>
          <w:rFonts w:cstheme="minorHAnsi"/>
          <w:b/>
          <w:noProof/>
          <w:color w:val="000000" w:themeColor="text1"/>
          <w:szCs w:val="28"/>
        </w:rPr>
        <w:t xml:space="preserve">1.6 </w:t>
      </w:r>
      <w:r w:rsidR="00102121" w:rsidRPr="00B05C2B">
        <w:rPr>
          <w:rFonts w:cstheme="minorHAnsi"/>
          <w:b/>
          <w:noProof/>
          <w:color w:val="000000" w:themeColor="text1"/>
          <w:szCs w:val="28"/>
        </w:rPr>
        <w:t xml:space="preserve">Cenové rozdíly </w:t>
      </w:r>
      <w:r w:rsidR="0039341B" w:rsidRPr="00B05C2B">
        <w:rPr>
          <w:rFonts w:cstheme="minorHAnsi"/>
          <w:b/>
          <w:noProof/>
          <w:color w:val="000000" w:themeColor="text1"/>
          <w:szCs w:val="28"/>
        </w:rPr>
        <w:t xml:space="preserve">u </w:t>
      </w:r>
      <w:r w:rsidR="00102121" w:rsidRPr="00B05C2B">
        <w:rPr>
          <w:rFonts w:cstheme="minorHAnsi"/>
          <w:b/>
          <w:noProof/>
          <w:color w:val="000000" w:themeColor="text1"/>
          <w:szCs w:val="28"/>
        </w:rPr>
        <w:t>zdravotnických prostředků</w:t>
      </w:r>
    </w:p>
    <w:p w14:paraId="3D7B6102" w14:textId="702AEC94" w:rsidR="00925367" w:rsidRPr="00BB7C08" w:rsidRDefault="00925367" w:rsidP="00B05C2B">
      <w:pPr>
        <w:spacing w:before="120"/>
        <w:rPr>
          <w:rFonts w:cstheme="minorHAnsi"/>
          <w:noProof/>
          <w:color w:val="000000" w:themeColor="text1"/>
          <w:szCs w:val="24"/>
        </w:rPr>
      </w:pPr>
      <w:r>
        <w:rPr>
          <w:rFonts w:cstheme="minorHAnsi"/>
          <w:noProof/>
          <w:color w:val="000000" w:themeColor="text1"/>
          <w:szCs w:val="28"/>
        </w:rPr>
        <w:t xml:space="preserve">Na kontrolním vzorku 20 druhů zdravotnického materiálu, které pořizovaly v období 2014 až 2016 všechny fakultní nemocnice, NKÚ zjistil při porovnání jednotkových cen za jeden kus v jednotlivých letech rozdíly, které se </w:t>
      </w:r>
      <w:r w:rsidR="001825BA" w:rsidRPr="00B07343">
        <w:rPr>
          <w:rFonts w:cstheme="minorHAnsi"/>
          <w:noProof/>
          <w:color w:val="000000" w:themeColor="text1"/>
          <w:szCs w:val="28"/>
        </w:rPr>
        <w:t xml:space="preserve">v procentuálním vyjádření </w:t>
      </w:r>
      <w:r w:rsidR="00085EB5">
        <w:rPr>
          <w:rFonts w:cstheme="minorHAnsi"/>
          <w:noProof/>
          <w:color w:val="000000" w:themeColor="text1"/>
          <w:szCs w:val="28"/>
        </w:rPr>
        <w:t xml:space="preserve">pohybovaly </w:t>
      </w:r>
      <w:r w:rsidR="001825BA" w:rsidRPr="00B07343">
        <w:rPr>
          <w:rFonts w:cstheme="minorHAnsi"/>
          <w:noProof/>
          <w:color w:val="000000" w:themeColor="text1"/>
          <w:szCs w:val="28"/>
        </w:rPr>
        <w:t>od 0 % do 109,95</w:t>
      </w:r>
      <w:r w:rsidR="00085EB5">
        <w:rPr>
          <w:rFonts w:cstheme="minorHAnsi"/>
          <w:noProof/>
          <w:color w:val="000000" w:themeColor="text1"/>
          <w:szCs w:val="28"/>
        </w:rPr>
        <w:t> </w:t>
      </w:r>
      <w:r w:rsidR="001825BA" w:rsidRPr="00B07343">
        <w:rPr>
          <w:rFonts w:cstheme="minorHAnsi"/>
          <w:noProof/>
          <w:color w:val="000000" w:themeColor="text1"/>
          <w:szCs w:val="28"/>
        </w:rPr>
        <w:t>%</w:t>
      </w:r>
      <w:r w:rsidR="004F7CB6">
        <w:rPr>
          <w:rFonts w:cstheme="minorHAnsi"/>
          <w:noProof/>
          <w:color w:val="000000" w:themeColor="text1"/>
          <w:szCs w:val="28"/>
        </w:rPr>
        <w:t xml:space="preserve"> a </w:t>
      </w:r>
      <w:r>
        <w:rPr>
          <w:rFonts w:cstheme="minorHAnsi"/>
          <w:noProof/>
          <w:color w:val="000000" w:themeColor="text1"/>
          <w:szCs w:val="28"/>
        </w:rPr>
        <w:t xml:space="preserve">v absolutním vyjádření pohybovaly od </w:t>
      </w:r>
      <w:r w:rsidRPr="00B07343">
        <w:rPr>
          <w:rFonts w:cstheme="minorHAnsi"/>
          <w:noProof/>
          <w:color w:val="000000" w:themeColor="text1"/>
          <w:szCs w:val="28"/>
        </w:rPr>
        <w:t>0 Kč do 35 497,26</w:t>
      </w:r>
      <w:r w:rsidR="00834CF7">
        <w:rPr>
          <w:rFonts w:cstheme="minorHAnsi"/>
          <w:noProof/>
          <w:color w:val="000000" w:themeColor="text1"/>
          <w:szCs w:val="28"/>
        </w:rPr>
        <w:t> </w:t>
      </w:r>
      <w:r w:rsidRPr="00B07343">
        <w:rPr>
          <w:rFonts w:cstheme="minorHAnsi"/>
          <w:noProof/>
          <w:color w:val="000000" w:themeColor="text1"/>
          <w:szCs w:val="28"/>
        </w:rPr>
        <w:t>Kč. Ve zjištěných rozdílech</w:t>
      </w:r>
      <w:r>
        <w:rPr>
          <w:rFonts w:cstheme="minorHAnsi"/>
          <w:noProof/>
          <w:color w:val="000000" w:themeColor="text1"/>
          <w:szCs w:val="28"/>
        </w:rPr>
        <w:t xml:space="preserve"> nejsou zohledněna nakupovaná množství jednotlivých léků a objem získaných množstevních bonusů od dodavatelů. Všechny zjištěné rozdíly jsou </w:t>
      </w:r>
      <w:r w:rsidR="00F10342">
        <w:rPr>
          <w:rFonts w:cstheme="minorHAnsi"/>
          <w:noProof/>
          <w:color w:val="000000" w:themeColor="text1"/>
          <w:szCs w:val="28"/>
        </w:rPr>
        <w:t>uvedeny v </w:t>
      </w:r>
      <w:r w:rsidR="00085EB5">
        <w:rPr>
          <w:rFonts w:cstheme="minorHAnsi"/>
          <w:noProof/>
          <w:color w:val="000000" w:themeColor="text1"/>
          <w:szCs w:val="28"/>
        </w:rPr>
        <w:t>p</w:t>
      </w:r>
      <w:r w:rsidR="00F10342">
        <w:rPr>
          <w:rFonts w:cstheme="minorHAnsi"/>
          <w:noProof/>
          <w:color w:val="000000" w:themeColor="text1"/>
          <w:szCs w:val="28"/>
        </w:rPr>
        <w:t>říloze č. 3</w:t>
      </w:r>
      <w:r w:rsidRPr="008D515E">
        <w:rPr>
          <w:rFonts w:cstheme="minorHAnsi"/>
          <w:noProof/>
          <w:color w:val="000000" w:themeColor="text1"/>
          <w:szCs w:val="28"/>
        </w:rPr>
        <w:t xml:space="preserve"> tohoto</w:t>
      </w:r>
      <w:r>
        <w:rPr>
          <w:rFonts w:cstheme="minorHAnsi"/>
          <w:noProof/>
          <w:color w:val="000000" w:themeColor="text1"/>
          <w:szCs w:val="28"/>
        </w:rPr>
        <w:t xml:space="preserve"> kontrolního závěru. </w:t>
      </w:r>
    </w:p>
    <w:p w14:paraId="41456464" w14:textId="397935F6" w:rsidR="00925367" w:rsidRPr="00AA66C1" w:rsidRDefault="00925367" w:rsidP="00B05C2B">
      <w:pPr>
        <w:spacing w:before="120"/>
        <w:rPr>
          <w:color w:val="000000"/>
          <w:spacing w:val="-2"/>
        </w:rPr>
      </w:pPr>
      <w:r w:rsidRPr="00AA66C1">
        <w:rPr>
          <w:color w:val="000000"/>
          <w:spacing w:val="-2"/>
        </w:rPr>
        <w:t>Největší rozdíl v absolutní hodnotě nebo v procentuálním vyjádření byl zjištěn u zdr</w:t>
      </w:r>
      <w:r w:rsidR="006973A4">
        <w:rPr>
          <w:color w:val="000000"/>
          <w:spacing w:val="-2"/>
        </w:rPr>
        <w:t xml:space="preserve">avotnického materiálu pod kódy </w:t>
      </w:r>
      <w:r w:rsidRPr="00AA66C1">
        <w:rPr>
          <w:color w:val="000000"/>
          <w:spacing w:val="-2"/>
        </w:rPr>
        <w:t>ZP:</w:t>
      </w:r>
    </w:p>
    <w:p w14:paraId="1E2921ED" w14:textId="0E550F7F" w:rsidR="00925367" w:rsidRPr="004723AC" w:rsidRDefault="00925367" w:rsidP="00B05C2B">
      <w:pPr>
        <w:pStyle w:val="Odstavecseseznamem"/>
        <w:numPr>
          <w:ilvl w:val="0"/>
          <w:numId w:val="36"/>
        </w:numPr>
        <w:ind w:left="284" w:hanging="284"/>
        <w:rPr>
          <w:rFonts w:cstheme="minorHAnsi"/>
          <w:noProof/>
          <w:color w:val="000000" w:themeColor="text1"/>
          <w:szCs w:val="28"/>
        </w:rPr>
      </w:pPr>
      <w:r w:rsidRPr="004723AC">
        <w:rPr>
          <w:rFonts w:cstheme="minorHAnsi"/>
          <w:noProof/>
          <w:color w:val="000000" w:themeColor="text1"/>
          <w:szCs w:val="28"/>
        </w:rPr>
        <w:t xml:space="preserve">0192089 (STENTGRAFT AORTÁLNÍ ZENITH LP,TĚLO) v roce 2016 činil </w:t>
      </w:r>
      <w:r w:rsidR="00085EB5">
        <w:rPr>
          <w:rFonts w:cstheme="minorHAnsi"/>
          <w:noProof/>
          <w:color w:val="000000" w:themeColor="text1"/>
          <w:szCs w:val="28"/>
        </w:rPr>
        <w:t xml:space="preserve">rozdíl </w:t>
      </w:r>
      <w:r w:rsidRPr="004723AC">
        <w:rPr>
          <w:rFonts w:cstheme="minorHAnsi"/>
          <w:noProof/>
          <w:color w:val="000000" w:themeColor="text1"/>
          <w:szCs w:val="28"/>
        </w:rPr>
        <w:t>35 497,26 Kč (tj.</w:t>
      </w:r>
      <w:r w:rsidR="00162A64">
        <w:rPr>
          <w:rFonts w:cstheme="minorHAnsi"/>
          <w:noProof/>
          <w:color w:val="000000" w:themeColor="text1"/>
          <w:szCs w:val="28"/>
        </w:rPr>
        <w:t> </w:t>
      </w:r>
      <w:r w:rsidRPr="004723AC">
        <w:rPr>
          <w:rFonts w:cstheme="minorHAnsi"/>
          <w:noProof/>
          <w:color w:val="000000" w:themeColor="text1"/>
          <w:szCs w:val="28"/>
        </w:rPr>
        <w:t>42,86</w:t>
      </w:r>
      <w:r w:rsidR="00162A64">
        <w:rPr>
          <w:rFonts w:cstheme="minorHAnsi"/>
          <w:noProof/>
          <w:color w:val="000000" w:themeColor="text1"/>
          <w:szCs w:val="28"/>
        </w:rPr>
        <w:t> </w:t>
      </w:r>
      <w:r w:rsidRPr="004723AC">
        <w:rPr>
          <w:rFonts w:cstheme="minorHAnsi"/>
          <w:noProof/>
          <w:color w:val="000000" w:themeColor="text1"/>
          <w:szCs w:val="28"/>
        </w:rPr>
        <w:t>%), kdy FNB pořídila</w:t>
      </w:r>
      <w:r w:rsidR="008C302E">
        <w:rPr>
          <w:rFonts w:cstheme="minorHAnsi"/>
          <w:noProof/>
          <w:color w:val="000000" w:themeColor="text1"/>
          <w:szCs w:val="28"/>
        </w:rPr>
        <w:t xml:space="preserve"> jeden kus za 82 826,93 Kč i</w:t>
      </w:r>
      <w:r w:rsidRPr="004723AC">
        <w:rPr>
          <w:rFonts w:cstheme="minorHAnsi"/>
          <w:noProof/>
          <w:color w:val="000000" w:themeColor="text1"/>
          <w:szCs w:val="28"/>
        </w:rPr>
        <w:t xml:space="preserve"> za 118 324,19 Kč. Důvodem bylo uplatnění slevy od dodavatele.</w:t>
      </w:r>
    </w:p>
    <w:p w14:paraId="2B075385" w14:textId="21F76733" w:rsidR="00925367" w:rsidRPr="006B3520" w:rsidRDefault="00925367" w:rsidP="00B05C2B">
      <w:pPr>
        <w:pStyle w:val="Odstavecseseznamem"/>
        <w:numPr>
          <w:ilvl w:val="0"/>
          <w:numId w:val="36"/>
        </w:numPr>
        <w:ind w:left="284" w:hanging="284"/>
        <w:rPr>
          <w:rFonts w:cstheme="minorHAnsi"/>
          <w:noProof/>
          <w:color w:val="000000" w:themeColor="text1"/>
          <w:szCs w:val="28"/>
        </w:rPr>
      </w:pPr>
      <w:r w:rsidRPr="004723AC">
        <w:rPr>
          <w:rFonts w:cstheme="minorHAnsi"/>
          <w:noProof/>
          <w:color w:val="000000" w:themeColor="text1"/>
          <w:szCs w:val="28"/>
        </w:rPr>
        <w:t xml:space="preserve">0193339 (STENTGRAFT AORTÁLNÍ ZENITH-NOHA SPIRÁLNÍ) v roce 2016 činil </w:t>
      </w:r>
      <w:r w:rsidR="00085EB5">
        <w:rPr>
          <w:rFonts w:cstheme="minorHAnsi"/>
          <w:noProof/>
          <w:color w:val="000000" w:themeColor="text1"/>
          <w:szCs w:val="28"/>
        </w:rPr>
        <w:t xml:space="preserve">rozdíl </w:t>
      </w:r>
      <w:r w:rsidRPr="004723AC">
        <w:rPr>
          <w:rFonts w:cstheme="minorHAnsi"/>
          <w:noProof/>
          <w:color w:val="000000" w:themeColor="text1"/>
          <w:szCs w:val="28"/>
        </w:rPr>
        <w:t>29 764,35</w:t>
      </w:r>
      <w:r w:rsidR="004257CC">
        <w:rPr>
          <w:rFonts w:cstheme="minorHAnsi"/>
          <w:noProof/>
          <w:color w:val="000000" w:themeColor="text1"/>
          <w:szCs w:val="28"/>
        </w:rPr>
        <w:t> </w:t>
      </w:r>
      <w:r w:rsidRPr="006B3520">
        <w:rPr>
          <w:rFonts w:cstheme="minorHAnsi"/>
          <w:noProof/>
          <w:color w:val="000000" w:themeColor="text1"/>
          <w:szCs w:val="28"/>
        </w:rPr>
        <w:t>Kč (tj. 66,67 %), kdy FNB pořídila jeden kus za 44 646</w:t>
      </w:r>
      <w:r w:rsidR="008C302E">
        <w:rPr>
          <w:rFonts w:cstheme="minorHAnsi"/>
          <w:noProof/>
          <w:color w:val="000000" w:themeColor="text1"/>
          <w:szCs w:val="28"/>
        </w:rPr>
        <w:t>,52 Kč i za</w:t>
      </w:r>
      <w:r>
        <w:rPr>
          <w:rFonts w:cstheme="minorHAnsi"/>
          <w:noProof/>
          <w:color w:val="000000" w:themeColor="text1"/>
          <w:szCs w:val="28"/>
        </w:rPr>
        <w:t xml:space="preserve"> 74 410,87 Kč. </w:t>
      </w:r>
      <w:r w:rsidRPr="006B3520">
        <w:rPr>
          <w:rFonts w:cstheme="minorHAnsi"/>
          <w:noProof/>
          <w:color w:val="000000" w:themeColor="text1"/>
          <w:szCs w:val="28"/>
        </w:rPr>
        <w:t>Důvodem bylo uplatnění slevy od dodavatele.</w:t>
      </w:r>
    </w:p>
    <w:p w14:paraId="531BE7A9" w14:textId="7F7CCD90" w:rsidR="00925367" w:rsidRPr="00FF45F8" w:rsidRDefault="00925367" w:rsidP="00B05C2B">
      <w:pPr>
        <w:pStyle w:val="Odstavecseseznamem"/>
        <w:numPr>
          <w:ilvl w:val="0"/>
          <w:numId w:val="36"/>
        </w:numPr>
        <w:ind w:left="284" w:hanging="284"/>
        <w:rPr>
          <w:rFonts w:cstheme="minorHAnsi"/>
          <w:noProof/>
          <w:color w:val="000000" w:themeColor="text1"/>
          <w:szCs w:val="28"/>
        </w:rPr>
      </w:pPr>
      <w:r w:rsidRPr="006B3520">
        <w:rPr>
          <w:rFonts w:cstheme="minorHAnsi"/>
          <w:noProof/>
          <w:color w:val="000000" w:themeColor="text1"/>
          <w:szCs w:val="28"/>
        </w:rPr>
        <w:t xml:space="preserve">0194014 (ZÁZNAMNÍK EKG INSERTABILNÍ REVEAL LINQ) v roce 2016 činil </w:t>
      </w:r>
      <w:r w:rsidR="00085EB5">
        <w:rPr>
          <w:rFonts w:cstheme="minorHAnsi"/>
          <w:noProof/>
          <w:color w:val="000000" w:themeColor="text1"/>
          <w:szCs w:val="28"/>
        </w:rPr>
        <w:t xml:space="preserve">rozdíl </w:t>
      </w:r>
      <w:r w:rsidRPr="006B3520">
        <w:rPr>
          <w:rFonts w:cstheme="minorHAnsi"/>
          <w:noProof/>
          <w:color w:val="000000" w:themeColor="text1"/>
          <w:szCs w:val="28"/>
        </w:rPr>
        <w:t>20 576 Kč (tj.</w:t>
      </w:r>
      <w:r w:rsidR="00162A64">
        <w:rPr>
          <w:rFonts w:cstheme="minorHAnsi"/>
          <w:noProof/>
          <w:color w:val="000000" w:themeColor="text1"/>
          <w:szCs w:val="28"/>
        </w:rPr>
        <w:t> </w:t>
      </w:r>
      <w:r w:rsidRPr="006B3520">
        <w:rPr>
          <w:rFonts w:cstheme="minorHAnsi"/>
          <w:noProof/>
          <w:color w:val="000000" w:themeColor="text1"/>
          <w:szCs w:val="28"/>
        </w:rPr>
        <w:t xml:space="preserve">34,63 %), kdy ÚVN pořídila jeden kus za 59 414 Kč a FNB za 79 990 Kč. Důvodem bylo, </w:t>
      </w:r>
      <w:r w:rsidRPr="00FF45F8">
        <w:rPr>
          <w:rFonts w:cstheme="minorHAnsi"/>
          <w:noProof/>
          <w:color w:val="000000" w:themeColor="text1"/>
          <w:szCs w:val="28"/>
        </w:rPr>
        <w:t xml:space="preserve">že FNB pořídila tento zdravotnický materiál dle sjednané </w:t>
      </w:r>
      <w:r w:rsidR="008F18A1">
        <w:rPr>
          <w:rFonts w:cstheme="minorHAnsi"/>
          <w:noProof/>
          <w:color w:val="000000" w:themeColor="text1"/>
          <w:szCs w:val="28"/>
        </w:rPr>
        <w:t>ceny ve smlouvě</w:t>
      </w:r>
      <w:r w:rsidRPr="00FF45F8">
        <w:rPr>
          <w:rFonts w:cstheme="minorHAnsi"/>
          <w:noProof/>
          <w:color w:val="000000" w:themeColor="text1"/>
          <w:szCs w:val="28"/>
        </w:rPr>
        <w:t xml:space="preserve"> a současně ÚVN v průběhu roku 2016 začala uplatňovat </w:t>
      </w:r>
      <w:r>
        <w:rPr>
          <w:rFonts w:cstheme="minorHAnsi"/>
          <w:noProof/>
          <w:color w:val="000000" w:themeColor="text1"/>
          <w:szCs w:val="28"/>
        </w:rPr>
        <w:t xml:space="preserve">nárok na </w:t>
      </w:r>
      <w:r w:rsidRPr="00FF45F8">
        <w:rPr>
          <w:rFonts w:cstheme="minorHAnsi"/>
          <w:noProof/>
          <w:color w:val="000000" w:themeColor="text1"/>
          <w:szCs w:val="28"/>
        </w:rPr>
        <w:t xml:space="preserve">odpočet DPH. </w:t>
      </w:r>
    </w:p>
    <w:p w14:paraId="70933022" w14:textId="613CF8D2" w:rsidR="00925367" w:rsidRDefault="00925367" w:rsidP="00B05C2B">
      <w:pPr>
        <w:pStyle w:val="Odstavecseseznamem"/>
        <w:numPr>
          <w:ilvl w:val="0"/>
          <w:numId w:val="36"/>
        </w:numPr>
        <w:ind w:left="284" w:hanging="284"/>
        <w:rPr>
          <w:rFonts w:cstheme="minorHAnsi"/>
          <w:noProof/>
          <w:color w:val="000000" w:themeColor="text1"/>
          <w:szCs w:val="28"/>
        </w:rPr>
      </w:pPr>
      <w:r w:rsidRPr="00FF45F8">
        <w:rPr>
          <w:rFonts w:cstheme="minorHAnsi"/>
          <w:noProof/>
          <w:color w:val="000000" w:themeColor="text1"/>
          <w:szCs w:val="28"/>
        </w:rPr>
        <w:t xml:space="preserve">0059007 (ZÁSOBNÍK ENDO GIA </w:t>
      </w:r>
      <w:r w:rsidR="00085EB5">
        <w:rPr>
          <w:rFonts w:cstheme="minorHAnsi"/>
          <w:noProof/>
          <w:color w:val="000000" w:themeColor="text1"/>
          <w:szCs w:val="28"/>
        </w:rPr>
        <w:t>–</w:t>
      </w:r>
      <w:r w:rsidRPr="00FF45F8">
        <w:rPr>
          <w:rFonts w:cstheme="minorHAnsi"/>
          <w:noProof/>
          <w:color w:val="000000" w:themeColor="text1"/>
          <w:szCs w:val="28"/>
        </w:rPr>
        <w:t xml:space="preserve"> 60</w:t>
      </w:r>
      <w:r w:rsidR="008F53D1">
        <w:rPr>
          <w:rFonts w:cstheme="minorHAnsi"/>
          <w:noProof/>
          <w:color w:val="000000" w:themeColor="text1"/>
          <w:szCs w:val="28"/>
        </w:rPr>
        <w:t>MM</w:t>
      </w:r>
      <w:r w:rsidRPr="00FF45F8">
        <w:rPr>
          <w:rFonts w:cstheme="minorHAnsi"/>
          <w:noProof/>
          <w:color w:val="000000" w:themeColor="text1"/>
          <w:szCs w:val="28"/>
        </w:rPr>
        <w:t xml:space="preserve"> </w:t>
      </w:r>
      <w:r w:rsidR="00085EB5">
        <w:rPr>
          <w:rFonts w:cstheme="minorHAnsi"/>
          <w:noProof/>
          <w:color w:val="000000" w:themeColor="text1"/>
          <w:szCs w:val="28"/>
        </w:rPr>
        <w:t>–</w:t>
      </w:r>
      <w:r w:rsidRPr="00FF45F8">
        <w:rPr>
          <w:rFonts w:cstheme="minorHAnsi"/>
          <w:noProof/>
          <w:color w:val="000000" w:themeColor="text1"/>
          <w:szCs w:val="28"/>
        </w:rPr>
        <w:t xml:space="preserve"> UNIVERSAL,</w:t>
      </w:r>
      <w:r>
        <w:rPr>
          <w:rFonts w:cstheme="minorHAnsi"/>
          <w:noProof/>
          <w:color w:val="000000" w:themeColor="text1"/>
          <w:szCs w:val="28"/>
        </w:rPr>
        <w:t xml:space="preserve"> </w:t>
      </w:r>
      <w:r w:rsidRPr="00FF45F8">
        <w:rPr>
          <w:rFonts w:cstheme="minorHAnsi"/>
          <w:noProof/>
          <w:color w:val="000000" w:themeColor="text1"/>
          <w:szCs w:val="28"/>
        </w:rPr>
        <w:t>DUET TRISTAPLE ROTIKULAČNÍ) v</w:t>
      </w:r>
      <w:r w:rsidR="00162A64">
        <w:rPr>
          <w:rFonts w:cstheme="minorHAnsi"/>
          <w:noProof/>
          <w:color w:val="000000" w:themeColor="text1"/>
          <w:szCs w:val="28"/>
        </w:rPr>
        <w:t> </w:t>
      </w:r>
      <w:r w:rsidRPr="00FF45F8">
        <w:rPr>
          <w:rFonts w:cstheme="minorHAnsi"/>
          <w:noProof/>
          <w:color w:val="000000" w:themeColor="text1"/>
          <w:szCs w:val="28"/>
        </w:rPr>
        <w:t>roce 20</w:t>
      </w:r>
      <w:r w:rsidR="000013A5">
        <w:rPr>
          <w:rFonts w:cstheme="minorHAnsi"/>
          <w:noProof/>
          <w:color w:val="000000" w:themeColor="text1"/>
          <w:szCs w:val="28"/>
        </w:rPr>
        <w:t xml:space="preserve">15 činil </w:t>
      </w:r>
      <w:r w:rsidR="00085EB5">
        <w:rPr>
          <w:rFonts w:cstheme="minorHAnsi"/>
          <w:noProof/>
          <w:color w:val="000000" w:themeColor="text1"/>
          <w:szCs w:val="28"/>
        </w:rPr>
        <w:t xml:space="preserve">rozdíl </w:t>
      </w:r>
      <w:r w:rsidR="000013A5">
        <w:rPr>
          <w:rFonts w:cstheme="minorHAnsi"/>
          <w:noProof/>
          <w:color w:val="000000" w:themeColor="text1"/>
          <w:szCs w:val="28"/>
        </w:rPr>
        <w:t>6 330,40 Kč (tj. 110</w:t>
      </w:r>
      <w:r w:rsidRPr="00FF45F8">
        <w:rPr>
          <w:rFonts w:cstheme="minorHAnsi"/>
          <w:noProof/>
          <w:color w:val="000000" w:themeColor="text1"/>
          <w:szCs w:val="28"/>
        </w:rPr>
        <w:t xml:space="preserve"> %), kdy FNB pořídila jeden kus za 5 757,50 Kč a</w:t>
      </w:r>
      <w:r w:rsidR="004C67D7">
        <w:rPr>
          <w:rFonts w:cstheme="minorHAnsi"/>
          <w:noProof/>
          <w:color w:val="000000" w:themeColor="text1"/>
          <w:szCs w:val="28"/>
        </w:rPr>
        <w:t> </w:t>
      </w:r>
      <w:r w:rsidRPr="00FF45F8">
        <w:rPr>
          <w:rFonts w:cstheme="minorHAnsi"/>
          <w:noProof/>
          <w:color w:val="000000" w:themeColor="text1"/>
          <w:szCs w:val="28"/>
        </w:rPr>
        <w:t xml:space="preserve">FNM za 12 087,90Kč. V roce 2014 činil </w:t>
      </w:r>
      <w:r w:rsidR="00085EB5">
        <w:rPr>
          <w:rFonts w:cstheme="minorHAnsi"/>
          <w:noProof/>
          <w:color w:val="000000" w:themeColor="text1"/>
          <w:szCs w:val="28"/>
        </w:rPr>
        <w:t xml:space="preserve">rozdíl </w:t>
      </w:r>
      <w:r w:rsidRPr="00FF45F8">
        <w:rPr>
          <w:rFonts w:cstheme="minorHAnsi"/>
          <w:noProof/>
          <w:color w:val="000000" w:themeColor="text1"/>
          <w:szCs w:val="28"/>
        </w:rPr>
        <w:t>2 591,50 Kč (tj. 45,01 %), kdy FNB pořídila jeden kus za 5 757,50 Kč a ÚVN za 8 349,00 Kč. Důvodem cenového rozdílu je mj. to, že pod stejným kóde</w:t>
      </w:r>
      <w:r w:rsidR="00A90370">
        <w:rPr>
          <w:rFonts w:cstheme="minorHAnsi"/>
          <w:noProof/>
          <w:color w:val="000000" w:themeColor="text1"/>
          <w:szCs w:val="28"/>
        </w:rPr>
        <w:t>m 0059007 je vedeno více druhů</w:t>
      </w:r>
      <w:r w:rsidRPr="00FF45F8">
        <w:rPr>
          <w:rFonts w:cstheme="minorHAnsi"/>
          <w:noProof/>
          <w:color w:val="000000" w:themeColor="text1"/>
          <w:szCs w:val="28"/>
        </w:rPr>
        <w:t xml:space="preserve"> staplerů</w:t>
      </w:r>
      <w:r w:rsidR="00A90370">
        <w:rPr>
          <w:rFonts w:cstheme="minorHAnsi"/>
          <w:noProof/>
          <w:color w:val="000000" w:themeColor="text1"/>
          <w:szCs w:val="28"/>
        </w:rPr>
        <w:t xml:space="preserve">, které </w:t>
      </w:r>
      <w:r w:rsidR="003B73C5">
        <w:rPr>
          <w:rFonts w:cstheme="minorHAnsi"/>
          <w:noProof/>
          <w:color w:val="000000" w:themeColor="text1"/>
          <w:szCs w:val="28"/>
        </w:rPr>
        <w:t xml:space="preserve">byly </w:t>
      </w:r>
      <w:r w:rsidR="00A90370">
        <w:rPr>
          <w:rFonts w:cstheme="minorHAnsi"/>
          <w:noProof/>
          <w:color w:val="000000" w:themeColor="text1"/>
          <w:szCs w:val="28"/>
        </w:rPr>
        <w:t>však uv</w:t>
      </w:r>
      <w:r w:rsidR="003B73C5">
        <w:rPr>
          <w:rFonts w:cstheme="minorHAnsi"/>
          <w:noProof/>
          <w:color w:val="000000" w:themeColor="text1"/>
          <w:szCs w:val="28"/>
        </w:rPr>
        <w:t>edeny</w:t>
      </w:r>
      <w:r w:rsidR="00A90370">
        <w:rPr>
          <w:rFonts w:cstheme="minorHAnsi"/>
          <w:noProof/>
          <w:color w:val="000000" w:themeColor="text1"/>
          <w:szCs w:val="28"/>
        </w:rPr>
        <w:t xml:space="preserve"> v úhradových katalozích VZP-ZP</w:t>
      </w:r>
      <w:r w:rsidR="003B73C5">
        <w:rPr>
          <w:rFonts w:cstheme="minorHAnsi"/>
          <w:noProof/>
          <w:color w:val="000000" w:themeColor="text1"/>
          <w:szCs w:val="28"/>
        </w:rPr>
        <w:t xml:space="preserve"> podstejným k</w:t>
      </w:r>
      <w:r w:rsidR="00A90370">
        <w:rPr>
          <w:rFonts w:cstheme="minorHAnsi"/>
          <w:noProof/>
          <w:color w:val="000000" w:themeColor="text1"/>
          <w:szCs w:val="28"/>
        </w:rPr>
        <w:t>ódem ZP</w:t>
      </w:r>
      <w:r w:rsidR="003B73C5">
        <w:rPr>
          <w:rFonts w:cstheme="minorHAnsi"/>
          <w:noProof/>
          <w:color w:val="000000" w:themeColor="text1"/>
          <w:szCs w:val="28"/>
        </w:rPr>
        <w:t>,</w:t>
      </w:r>
      <w:r w:rsidR="00A90370">
        <w:rPr>
          <w:rFonts w:cstheme="minorHAnsi"/>
          <w:noProof/>
          <w:color w:val="000000" w:themeColor="text1"/>
          <w:szCs w:val="28"/>
        </w:rPr>
        <w:t xml:space="preserve"> tudíž se stejnou maximální úhradou.</w:t>
      </w:r>
    </w:p>
    <w:p w14:paraId="7304668C" w14:textId="26138709" w:rsidR="002D0662" w:rsidRDefault="002D0662" w:rsidP="008E3315">
      <w:pPr>
        <w:spacing w:before="120"/>
        <w:rPr>
          <w:rFonts w:cs="Arial"/>
          <w:b/>
          <w:color w:val="000000" w:themeColor="text1"/>
          <w:szCs w:val="24"/>
        </w:rPr>
      </w:pPr>
      <w:r w:rsidRPr="0008554B">
        <w:rPr>
          <w:rFonts w:cs="Arial"/>
          <w:b/>
          <w:color w:val="000000" w:themeColor="text1"/>
          <w:szCs w:val="24"/>
        </w:rPr>
        <w:t xml:space="preserve">Mezi FN byly </w:t>
      </w:r>
      <w:r w:rsidR="00085EB5">
        <w:rPr>
          <w:rFonts w:cs="Arial"/>
          <w:b/>
          <w:color w:val="000000" w:themeColor="text1"/>
          <w:szCs w:val="24"/>
        </w:rPr>
        <w:t xml:space="preserve">zjištěny </w:t>
      </w:r>
      <w:r w:rsidR="00085EB5" w:rsidRPr="0008554B">
        <w:rPr>
          <w:rFonts w:cs="Arial"/>
          <w:b/>
          <w:color w:val="000000" w:themeColor="text1"/>
          <w:szCs w:val="24"/>
        </w:rPr>
        <w:t xml:space="preserve">významné cenové rozdíly </w:t>
      </w:r>
      <w:r w:rsidRPr="0008554B">
        <w:rPr>
          <w:rFonts w:cs="Arial"/>
          <w:b/>
          <w:color w:val="000000" w:themeColor="text1"/>
          <w:szCs w:val="24"/>
        </w:rPr>
        <w:t xml:space="preserve">v jednotkových nákupních cenách vybraného vzorku </w:t>
      </w:r>
      <w:r>
        <w:rPr>
          <w:rFonts w:cs="Arial"/>
          <w:b/>
          <w:color w:val="000000" w:themeColor="text1"/>
          <w:szCs w:val="24"/>
        </w:rPr>
        <w:t>zdravotnických prostředků</w:t>
      </w:r>
      <w:r w:rsidRPr="0008554B">
        <w:rPr>
          <w:rFonts w:cs="Arial"/>
          <w:b/>
          <w:color w:val="000000" w:themeColor="text1"/>
          <w:szCs w:val="24"/>
        </w:rPr>
        <w:t xml:space="preserve">, často i od stejných dodavatelů. Rozdílné ceny </w:t>
      </w:r>
      <w:r w:rsidR="00D44637">
        <w:rPr>
          <w:rFonts w:cs="Arial"/>
          <w:b/>
          <w:color w:val="000000" w:themeColor="text1"/>
          <w:szCs w:val="24"/>
        </w:rPr>
        <w:t>byly ovlivněny zejména slevami</w:t>
      </w:r>
      <w:r w:rsidRPr="0008554B">
        <w:rPr>
          <w:rFonts w:cs="Arial"/>
          <w:b/>
          <w:color w:val="000000" w:themeColor="text1"/>
          <w:szCs w:val="24"/>
        </w:rPr>
        <w:t xml:space="preserve"> dodavatelů</w:t>
      </w:r>
      <w:r>
        <w:rPr>
          <w:rFonts w:cs="Arial"/>
          <w:b/>
          <w:color w:val="000000" w:themeColor="text1"/>
          <w:szCs w:val="24"/>
        </w:rPr>
        <w:t xml:space="preserve"> a</w:t>
      </w:r>
      <w:r w:rsidRPr="0008554B">
        <w:rPr>
          <w:rFonts w:cs="Arial"/>
          <w:b/>
          <w:color w:val="000000" w:themeColor="text1"/>
          <w:szCs w:val="24"/>
        </w:rPr>
        <w:t xml:space="preserve"> </w:t>
      </w:r>
      <w:r w:rsidR="00811E6B">
        <w:rPr>
          <w:rFonts w:cs="Arial"/>
          <w:b/>
          <w:color w:val="000000" w:themeColor="text1"/>
          <w:szCs w:val="24"/>
        </w:rPr>
        <w:t>nákupy od jediného</w:t>
      </w:r>
      <w:r w:rsidRPr="0008554B">
        <w:rPr>
          <w:rFonts w:cs="Arial"/>
          <w:b/>
          <w:color w:val="000000" w:themeColor="text1"/>
          <w:szCs w:val="24"/>
        </w:rPr>
        <w:t xml:space="preserve"> výrobce</w:t>
      </w:r>
      <w:r>
        <w:rPr>
          <w:rFonts w:cs="Arial"/>
          <w:b/>
          <w:color w:val="000000" w:themeColor="text1"/>
          <w:szCs w:val="24"/>
        </w:rPr>
        <w:t xml:space="preserve">. </w:t>
      </w:r>
      <w:r w:rsidR="00F81886" w:rsidRPr="00F81886">
        <w:rPr>
          <w:rFonts w:cs="Arial"/>
          <w:b/>
          <w:color w:val="000000" w:themeColor="text1"/>
          <w:szCs w:val="24"/>
        </w:rPr>
        <w:t xml:space="preserve">Ve značných cenových rozdílech </w:t>
      </w:r>
      <w:r w:rsidR="00F81886">
        <w:rPr>
          <w:rFonts w:cs="Arial"/>
          <w:b/>
          <w:color w:val="000000" w:themeColor="text1"/>
          <w:szCs w:val="24"/>
        </w:rPr>
        <w:t xml:space="preserve">zdravotnických prostředků </w:t>
      </w:r>
      <w:r w:rsidR="00F81886" w:rsidRPr="002D0662">
        <w:rPr>
          <w:rFonts w:cs="Arial"/>
          <w:b/>
          <w:color w:val="000000" w:themeColor="text1"/>
          <w:szCs w:val="24"/>
        </w:rPr>
        <w:t>NKÚ spatřuje prostor pro snižování nákladů</w:t>
      </w:r>
      <w:r w:rsidR="00F81886">
        <w:rPr>
          <w:rFonts w:cs="Arial"/>
          <w:b/>
          <w:color w:val="000000" w:themeColor="text1"/>
          <w:szCs w:val="24"/>
        </w:rPr>
        <w:t xml:space="preserve">. </w:t>
      </w:r>
    </w:p>
    <w:p w14:paraId="780CF131" w14:textId="330BFF9B" w:rsidR="00CF25F1" w:rsidRPr="008E3315" w:rsidRDefault="008E3315" w:rsidP="00757BF0">
      <w:pPr>
        <w:keepNext/>
        <w:spacing w:before="240" w:after="120"/>
        <w:rPr>
          <w:rFonts w:cstheme="minorHAnsi"/>
          <w:b/>
          <w:noProof/>
          <w:color w:val="000000" w:themeColor="text1"/>
          <w:szCs w:val="26"/>
        </w:rPr>
      </w:pPr>
      <w:r>
        <w:rPr>
          <w:rFonts w:cstheme="minorHAnsi"/>
          <w:b/>
          <w:noProof/>
          <w:color w:val="000000" w:themeColor="text1"/>
          <w:szCs w:val="26"/>
        </w:rPr>
        <w:t xml:space="preserve">1.7 </w:t>
      </w:r>
      <w:r w:rsidR="00CF25F1" w:rsidRPr="008E3315">
        <w:rPr>
          <w:rFonts w:cstheme="minorHAnsi"/>
          <w:b/>
          <w:noProof/>
          <w:color w:val="000000" w:themeColor="text1"/>
          <w:szCs w:val="26"/>
        </w:rPr>
        <w:t>Bonusy</w:t>
      </w:r>
      <w:r w:rsidR="00324526" w:rsidRPr="008E3315">
        <w:rPr>
          <w:rFonts w:cstheme="minorHAnsi"/>
          <w:b/>
          <w:noProof/>
          <w:color w:val="000000" w:themeColor="text1"/>
          <w:szCs w:val="26"/>
        </w:rPr>
        <w:t xml:space="preserve"> za zdravotnické prostředky</w:t>
      </w:r>
    </w:p>
    <w:p w14:paraId="1C99DA7F" w14:textId="25EA466B" w:rsidR="00F551C9" w:rsidRPr="00162A64" w:rsidRDefault="00C465C8" w:rsidP="00162A64">
      <w:pPr>
        <w:keepNext/>
        <w:tabs>
          <w:tab w:val="right" w:pos="9072"/>
        </w:tabs>
        <w:spacing w:before="120" w:after="40"/>
        <w:rPr>
          <w:rFonts w:cstheme="minorHAnsi"/>
          <w:b/>
          <w:noProof/>
          <w:color w:val="000000" w:themeColor="text1"/>
          <w:szCs w:val="28"/>
        </w:rPr>
      </w:pPr>
      <w:r w:rsidRPr="00162A64">
        <w:rPr>
          <w:rFonts w:cstheme="minorHAnsi"/>
          <w:b/>
          <w:noProof/>
          <w:color w:val="000000" w:themeColor="text1"/>
          <w:szCs w:val="28"/>
        </w:rPr>
        <w:t>Tabulka č. 11</w:t>
      </w:r>
      <w:r w:rsidR="00F551C9" w:rsidRPr="00162A64">
        <w:rPr>
          <w:rFonts w:cstheme="minorHAnsi"/>
          <w:b/>
          <w:noProof/>
          <w:color w:val="000000" w:themeColor="text1"/>
          <w:szCs w:val="28"/>
        </w:rPr>
        <w:t xml:space="preserve">: </w:t>
      </w:r>
      <w:r w:rsidR="00324526" w:rsidRPr="00162A64">
        <w:rPr>
          <w:rFonts w:cstheme="minorHAnsi"/>
          <w:b/>
          <w:noProof/>
          <w:color w:val="000000" w:themeColor="text1"/>
          <w:szCs w:val="28"/>
        </w:rPr>
        <w:t>Podíl bonusů na nákladech na Zpr</w:t>
      </w:r>
      <w:r w:rsidR="00F551C9" w:rsidRPr="00162A64">
        <w:rPr>
          <w:rFonts w:cstheme="minorHAnsi"/>
          <w:b/>
          <w:noProof/>
          <w:color w:val="000000" w:themeColor="text1"/>
          <w:szCs w:val="28"/>
        </w:rPr>
        <w:t xml:space="preserve"> v období 2014 až 2016 </w:t>
      </w:r>
      <w:r w:rsidR="00324526" w:rsidRPr="00162A64">
        <w:rPr>
          <w:rFonts w:cstheme="minorHAnsi"/>
          <w:b/>
          <w:noProof/>
          <w:color w:val="000000" w:themeColor="text1"/>
          <w:szCs w:val="28"/>
        </w:rPr>
        <w:tab/>
      </w:r>
      <w:r w:rsidR="00E6484E" w:rsidRPr="00162A64">
        <w:rPr>
          <w:rFonts w:cstheme="minorHAnsi"/>
          <w:b/>
          <w:noProof/>
          <w:color w:val="000000" w:themeColor="text1"/>
          <w:szCs w:val="28"/>
        </w:rPr>
        <w:t>(</w:t>
      </w:r>
      <w:r w:rsidR="000818A3">
        <w:rPr>
          <w:rFonts w:cstheme="minorHAnsi"/>
          <w:b/>
          <w:noProof/>
          <w:color w:val="000000" w:themeColor="text1"/>
          <w:szCs w:val="28"/>
        </w:rPr>
        <w:t>v </w:t>
      </w:r>
      <w:r w:rsidR="00F551C9" w:rsidRPr="00162A64">
        <w:rPr>
          <w:rFonts w:cstheme="minorHAnsi"/>
          <w:b/>
          <w:noProof/>
          <w:color w:val="000000" w:themeColor="text1"/>
          <w:szCs w:val="28"/>
        </w:rPr>
        <w:t>tis. Kč</w:t>
      </w:r>
      <w:r w:rsidR="00E6484E" w:rsidRPr="00162A64">
        <w:rPr>
          <w:rFonts w:cstheme="minorHAnsi"/>
          <w:b/>
          <w:noProof/>
          <w:color w:val="000000" w:themeColor="text1"/>
          <w:szCs w:val="28"/>
        </w:rPr>
        <w:t>)</w:t>
      </w:r>
    </w:p>
    <w:tbl>
      <w:tblPr>
        <w:tblW w:w="5000" w:type="pct"/>
        <w:tblCellMar>
          <w:left w:w="70" w:type="dxa"/>
          <w:right w:w="70" w:type="dxa"/>
        </w:tblCellMar>
        <w:tblLook w:val="04A0" w:firstRow="1" w:lastRow="0" w:firstColumn="1" w:lastColumn="0" w:noHBand="0" w:noVBand="1"/>
      </w:tblPr>
      <w:tblGrid>
        <w:gridCol w:w="539"/>
        <w:gridCol w:w="1117"/>
        <w:gridCol w:w="1119"/>
        <w:gridCol w:w="603"/>
        <w:gridCol w:w="1119"/>
        <w:gridCol w:w="1119"/>
        <w:gridCol w:w="604"/>
        <w:gridCol w:w="1120"/>
        <w:gridCol w:w="1120"/>
        <w:gridCol w:w="602"/>
      </w:tblGrid>
      <w:tr w:rsidR="00F551C9" w:rsidRPr="00852FFB" w14:paraId="261F9547" w14:textId="77777777" w:rsidTr="008E3315">
        <w:trPr>
          <w:trHeight w:val="244"/>
        </w:trPr>
        <w:tc>
          <w:tcPr>
            <w:tcW w:w="250" w:type="pct"/>
            <w:vMerge w:val="restart"/>
            <w:tcBorders>
              <w:top w:val="single" w:sz="4" w:space="0" w:color="auto"/>
              <w:left w:val="single" w:sz="4" w:space="0" w:color="auto"/>
              <w:right w:val="single" w:sz="4" w:space="0" w:color="auto"/>
            </w:tcBorders>
            <w:shd w:val="clear" w:color="000000" w:fill="E5F1FF"/>
            <w:noWrap/>
            <w:vAlign w:val="center"/>
            <w:hideMark/>
          </w:tcPr>
          <w:p w14:paraId="5D424529" w14:textId="1B7B599D" w:rsidR="00F551C9" w:rsidRPr="00852FFB" w:rsidRDefault="00F551C9" w:rsidP="00162A64">
            <w:pPr>
              <w:keepNext/>
              <w:jc w:val="center"/>
              <w:rPr>
                <w:rFonts w:ascii="Calibri" w:hAnsi="Calibri" w:cs="Calibri"/>
                <w:b/>
                <w:bCs/>
                <w:color w:val="000000"/>
                <w:sz w:val="20"/>
              </w:rPr>
            </w:pPr>
          </w:p>
        </w:tc>
        <w:tc>
          <w:tcPr>
            <w:tcW w:w="1583" w:type="pct"/>
            <w:gridSpan w:val="3"/>
            <w:tcBorders>
              <w:top w:val="single" w:sz="4" w:space="0" w:color="auto"/>
              <w:left w:val="nil"/>
              <w:bottom w:val="single" w:sz="4" w:space="0" w:color="auto"/>
              <w:right w:val="single" w:sz="4" w:space="0" w:color="auto"/>
            </w:tcBorders>
            <w:shd w:val="clear" w:color="000000" w:fill="E5F1FF"/>
            <w:noWrap/>
            <w:vAlign w:val="center"/>
            <w:hideMark/>
          </w:tcPr>
          <w:p w14:paraId="52642589"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2014</w:t>
            </w:r>
          </w:p>
        </w:tc>
        <w:tc>
          <w:tcPr>
            <w:tcW w:w="1584" w:type="pct"/>
            <w:gridSpan w:val="3"/>
            <w:tcBorders>
              <w:top w:val="single" w:sz="4" w:space="0" w:color="auto"/>
              <w:left w:val="nil"/>
              <w:bottom w:val="single" w:sz="4" w:space="0" w:color="auto"/>
              <w:right w:val="single" w:sz="4" w:space="0" w:color="auto"/>
            </w:tcBorders>
            <w:shd w:val="clear" w:color="000000" w:fill="E5F1FF"/>
            <w:noWrap/>
            <w:vAlign w:val="center"/>
            <w:hideMark/>
          </w:tcPr>
          <w:p w14:paraId="6700EB55"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2015</w:t>
            </w:r>
          </w:p>
        </w:tc>
        <w:tc>
          <w:tcPr>
            <w:tcW w:w="1584" w:type="pct"/>
            <w:gridSpan w:val="3"/>
            <w:tcBorders>
              <w:top w:val="single" w:sz="4" w:space="0" w:color="auto"/>
              <w:left w:val="nil"/>
              <w:bottom w:val="single" w:sz="4" w:space="0" w:color="auto"/>
              <w:right w:val="single" w:sz="4" w:space="0" w:color="auto"/>
            </w:tcBorders>
            <w:shd w:val="clear" w:color="000000" w:fill="E5F1FF"/>
            <w:noWrap/>
            <w:vAlign w:val="center"/>
            <w:hideMark/>
          </w:tcPr>
          <w:p w14:paraId="295111AB"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2016</w:t>
            </w:r>
          </w:p>
        </w:tc>
      </w:tr>
      <w:tr w:rsidR="00F551C9" w:rsidRPr="00852FFB" w14:paraId="4E1629CA" w14:textId="77777777" w:rsidTr="00E6484E">
        <w:trPr>
          <w:trHeight w:val="244"/>
        </w:trPr>
        <w:tc>
          <w:tcPr>
            <w:tcW w:w="250" w:type="pct"/>
            <w:vMerge/>
            <w:tcBorders>
              <w:left w:val="single" w:sz="4" w:space="0" w:color="auto"/>
              <w:bottom w:val="single" w:sz="4" w:space="0" w:color="auto"/>
              <w:right w:val="single" w:sz="4" w:space="0" w:color="auto"/>
            </w:tcBorders>
            <w:shd w:val="clear" w:color="000000" w:fill="E5F1FF"/>
            <w:noWrap/>
            <w:vAlign w:val="bottom"/>
            <w:hideMark/>
          </w:tcPr>
          <w:p w14:paraId="24AE9B90" w14:textId="77777777" w:rsidR="00F551C9" w:rsidRPr="00852FFB" w:rsidRDefault="00F551C9" w:rsidP="00162A64">
            <w:pPr>
              <w:keepNext/>
              <w:jc w:val="left"/>
              <w:rPr>
                <w:rFonts w:ascii="Calibri" w:hAnsi="Calibri" w:cs="Calibri"/>
                <w:b/>
                <w:bCs/>
                <w:color w:val="000000"/>
                <w:sz w:val="20"/>
              </w:rPr>
            </w:pPr>
          </w:p>
        </w:tc>
        <w:tc>
          <w:tcPr>
            <w:tcW w:w="622" w:type="pct"/>
            <w:tcBorders>
              <w:top w:val="nil"/>
              <w:left w:val="nil"/>
              <w:bottom w:val="single" w:sz="4" w:space="0" w:color="auto"/>
              <w:right w:val="single" w:sz="4" w:space="0" w:color="auto"/>
            </w:tcBorders>
            <w:shd w:val="clear" w:color="000000" w:fill="E5F1FF"/>
            <w:noWrap/>
            <w:vAlign w:val="center"/>
            <w:hideMark/>
          </w:tcPr>
          <w:p w14:paraId="5992A3D3"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Náklady</w:t>
            </w:r>
          </w:p>
        </w:tc>
        <w:tc>
          <w:tcPr>
            <w:tcW w:w="623" w:type="pct"/>
            <w:tcBorders>
              <w:top w:val="nil"/>
              <w:left w:val="nil"/>
              <w:bottom w:val="single" w:sz="4" w:space="0" w:color="auto"/>
              <w:right w:val="single" w:sz="4" w:space="0" w:color="auto"/>
            </w:tcBorders>
            <w:shd w:val="clear" w:color="000000" w:fill="E5F1FF"/>
            <w:noWrap/>
            <w:vAlign w:val="center"/>
            <w:hideMark/>
          </w:tcPr>
          <w:p w14:paraId="69A3BE8D"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Bonusy</w:t>
            </w:r>
          </w:p>
        </w:tc>
        <w:tc>
          <w:tcPr>
            <w:tcW w:w="338" w:type="pct"/>
            <w:tcBorders>
              <w:top w:val="nil"/>
              <w:left w:val="nil"/>
              <w:bottom w:val="single" w:sz="4" w:space="0" w:color="auto"/>
              <w:right w:val="single" w:sz="4" w:space="0" w:color="auto"/>
            </w:tcBorders>
            <w:shd w:val="clear" w:color="000000" w:fill="E5F1FF"/>
            <w:noWrap/>
            <w:vAlign w:val="center"/>
            <w:hideMark/>
          </w:tcPr>
          <w:p w14:paraId="49D20C73"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w:t>
            </w:r>
          </w:p>
        </w:tc>
        <w:tc>
          <w:tcPr>
            <w:tcW w:w="623" w:type="pct"/>
            <w:tcBorders>
              <w:top w:val="nil"/>
              <w:left w:val="nil"/>
              <w:bottom w:val="single" w:sz="4" w:space="0" w:color="auto"/>
              <w:right w:val="single" w:sz="4" w:space="0" w:color="auto"/>
            </w:tcBorders>
            <w:shd w:val="clear" w:color="000000" w:fill="E5F1FF"/>
            <w:noWrap/>
            <w:vAlign w:val="center"/>
            <w:hideMark/>
          </w:tcPr>
          <w:p w14:paraId="1A3480D4"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Náklady</w:t>
            </w:r>
          </w:p>
        </w:tc>
        <w:tc>
          <w:tcPr>
            <w:tcW w:w="623" w:type="pct"/>
            <w:tcBorders>
              <w:top w:val="nil"/>
              <w:left w:val="nil"/>
              <w:bottom w:val="single" w:sz="4" w:space="0" w:color="auto"/>
              <w:right w:val="single" w:sz="4" w:space="0" w:color="auto"/>
            </w:tcBorders>
            <w:shd w:val="clear" w:color="000000" w:fill="E5F1FF"/>
            <w:noWrap/>
            <w:vAlign w:val="center"/>
            <w:hideMark/>
          </w:tcPr>
          <w:p w14:paraId="6B3F11D1"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Bonusy</w:t>
            </w:r>
          </w:p>
        </w:tc>
        <w:tc>
          <w:tcPr>
            <w:tcW w:w="338" w:type="pct"/>
            <w:tcBorders>
              <w:top w:val="nil"/>
              <w:left w:val="nil"/>
              <w:bottom w:val="single" w:sz="4" w:space="0" w:color="auto"/>
              <w:right w:val="single" w:sz="4" w:space="0" w:color="auto"/>
            </w:tcBorders>
            <w:shd w:val="clear" w:color="000000" w:fill="E5F1FF"/>
            <w:noWrap/>
            <w:vAlign w:val="center"/>
            <w:hideMark/>
          </w:tcPr>
          <w:p w14:paraId="6D9B5FBB"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w:t>
            </w:r>
          </w:p>
        </w:tc>
        <w:tc>
          <w:tcPr>
            <w:tcW w:w="623" w:type="pct"/>
            <w:tcBorders>
              <w:top w:val="nil"/>
              <w:left w:val="nil"/>
              <w:bottom w:val="single" w:sz="4" w:space="0" w:color="auto"/>
              <w:right w:val="single" w:sz="4" w:space="0" w:color="auto"/>
            </w:tcBorders>
            <w:shd w:val="clear" w:color="000000" w:fill="E5F1FF"/>
            <w:noWrap/>
            <w:vAlign w:val="center"/>
            <w:hideMark/>
          </w:tcPr>
          <w:p w14:paraId="7CB47CD8"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Náklady</w:t>
            </w:r>
          </w:p>
        </w:tc>
        <w:tc>
          <w:tcPr>
            <w:tcW w:w="623" w:type="pct"/>
            <w:tcBorders>
              <w:top w:val="nil"/>
              <w:left w:val="nil"/>
              <w:bottom w:val="single" w:sz="4" w:space="0" w:color="auto"/>
              <w:right w:val="single" w:sz="4" w:space="0" w:color="auto"/>
            </w:tcBorders>
            <w:shd w:val="clear" w:color="000000" w:fill="E5F1FF"/>
            <w:noWrap/>
            <w:vAlign w:val="center"/>
            <w:hideMark/>
          </w:tcPr>
          <w:p w14:paraId="33266AAC"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Bonusy</w:t>
            </w:r>
          </w:p>
        </w:tc>
        <w:tc>
          <w:tcPr>
            <w:tcW w:w="338" w:type="pct"/>
            <w:tcBorders>
              <w:top w:val="nil"/>
              <w:left w:val="nil"/>
              <w:bottom w:val="single" w:sz="4" w:space="0" w:color="auto"/>
              <w:right w:val="single" w:sz="4" w:space="0" w:color="auto"/>
            </w:tcBorders>
            <w:shd w:val="clear" w:color="000000" w:fill="E5F1FF"/>
            <w:noWrap/>
            <w:vAlign w:val="center"/>
            <w:hideMark/>
          </w:tcPr>
          <w:p w14:paraId="63D71A3B"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w:t>
            </w:r>
          </w:p>
        </w:tc>
      </w:tr>
      <w:tr w:rsidR="00F551C9" w:rsidRPr="00852FFB" w14:paraId="619CF4DA" w14:textId="77777777" w:rsidTr="00852FFB">
        <w:trPr>
          <w:trHeight w:val="244"/>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434E1ADA"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FNB</w:t>
            </w:r>
          </w:p>
        </w:tc>
        <w:tc>
          <w:tcPr>
            <w:tcW w:w="622" w:type="pct"/>
            <w:tcBorders>
              <w:top w:val="nil"/>
              <w:left w:val="nil"/>
              <w:bottom w:val="single" w:sz="4" w:space="0" w:color="auto"/>
              <w:right w:val="single" w:sz="4" w:space="0" w:color="auto"/>
            </w:tcBorders>
            <w:shd w:val="clear" w:color="auto" w:fill="auto"/>
            <w:vAlign w:val="center"/>
            <w:hideMark/>
          </w:tcPr>
          <w:p w14:paraId="2668E953"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708 273,05</w:t>
            </w:r>
          </w:p>
        </w:tc>
        <w:tc>
          <w:tcPr>
            <w:tcW w:w="623" w:type="pct"/>
            <w:tcBorders>
              <w:top w:val="nil"/>
              <w:left w:val="nil"/>
              <w:bottom w:val="single" w:sz="4" w:space="0" w:color="auto"/>
              <w:right w:val="single" w:sz="4" w:space="0" w:color="auto"/>
            </w:tcBorders>
            <w:shd w:val="clear" w:color="auto" w:fill="auto"/>
            <w:noWrap/>
            <w:vAlign w:val="center"/>
            <w:hideMark/>
          </w:tcPr>
          <w:p w14:paraId="21CBDD9C"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134 263,39</w:t>
            </w:r>
          </w:p>
        </w:tc>
        <w:tc>
          <w:tcPr>
            <w:tcW w:w="338" w:type="pct"/>
            <w:tcBorders>
              <w:top w:val="nil"/>
              <w:left w:val="nil"/>
              <w:bottom w:val="single" w:sz="4" w:space="0" w:color="auto"/>
              <w:right w:val="single" w:sz="4" w:space="0" w:color="auto"/>
            </w:tcBorders>
            <w:shd w:val="clear" w:color="auto" w:fill="auto"/>
            <w:noWrap/>
            <w:vAlign w:val="center"/>
            <w:hideMark/>
          </w:tcPr>
          <w:p w14:paraId="250175F3"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18,96</w:t>
            </w:r>
          </w:p>
        </w:tc>
        <w:tc>
          <w:tcPr>
            <w:tcW w:w="623" w:type="pct"/>
            <w:tcBorders>
              <w:top w:val="nil"/>
              <w:left w:val="nil"/>
              <w:bottom w:val="single" w:sz="4" w:space="0" w:color="auto"/>
              <w:right w:val="single" w:sz="4" w:space="0" w:color="auto"/>
            </w:tcBorders>
            <w:shd w:val="clear" w:color="auto" w:fill="auto"/>
            <w:noWrap/>
            <w:vAlign w:val="center"/>
            <w:hideMark/>
          </w:tcPr>
          <w:p w14:paraId="4416C1AB"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703 494,78</w:t>
            </w:r>
          </w:p>
        </w:tc>
        <w:tc>
          <w:tcPr>
            <w:tcW w:w="623" w:type="pct"/>
            <w:tcBorders>
              <w:top w:val="nil"/>
              <w:left w:val="nil"/>
              <w:bottom w:val="single" w:sz="4" w:space="0" w:color="auto"/>
              <w:right w:val="single" w:sz="4" w:space="0" w:color="auto"/>
            </w:tcBorders>
            <w:shd w:val="clear" w:color="auto" w:fill="auto"/>
            <w:noWrap/>
            <w:vAlign w:val="center"/>
            <w:hideMark/>
          </w:tcPr>
          <w:p w14:paraId="3810A785"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115 553,85</w:t>
            </w:r>
          </w:p>
        </w:tc>
        <w:tc>
          <w:tcPr>
            <w:tcW w:w="338" w:type="pct"/>
            <w:tcBorders>
              <w:top w:val="nil"/>
              <w:left w:val="nil"/>
              <w:bottom w:val="single" w:sz="4" w:space="0" w:color="auto"/>
              <w:right w:val="single" w:sz="4" w:space="0" w:color="auto"/>
            </w:tcBorders>
            <w:shd w:val="clear" w:color="auto" w:fill="auto"/>
            <w:noWrap/>
            <w:vAlign w:val="center"/>
            <w:hideMark/>
          </w:tcPr>
          <w:p w14:paraId="71F77075"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16,43</w:t>
            </w:r>
          </w:p>
        </w:tc>
        <w:tc>
          <w:tcPr>
            <w:tcW w:w="623" w:type="pct"/>
            <w:tcBorders>
              <w:top w:val="nil"/>
              <w:left w:val="nil"/>
              <w:bottom w:val="single" w:sz="4" w:space="0" w:color="auto"/>
              <w:right w:val="single" w:sz="4" w:space="0" w:color="auto"/>
            </w:tcBorders>
            <w:shd w:val="clear" w:color="auto" w:fill="auto"/>
            <w:noWrap/>
            <w:vAlign w:val="center"/>
            <w:hideMark/>
          </w:tcPr>
          <w:p w14:paraId="3CA21BDC"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730 820,72</w:t>
            </w:r>
          </w:p>
        </w:tc>
        <w:tc>
          <w:tcPr>
            <w:tcW w:w="623" w:type="pct"/>
            <w:tcBorders>
              <w:top w:val="nil"/>
              <w:left w:val="nil"/>
              <w:bottom w:val="single" w:sz="4" w:space="0" w:color="auto"/>
              <w:right w:val="single" w:sz="4" w:space="0" w:color="auto"/>
            </w:tcBorders>
            <w:shd w:val="clear" w:color="auto" w:fill="auto"/>
            <w:noWrap/>
            <w:vAlign w:val="center"/>
            <w:hideMark/>
          </w:tcPr>
          <w:p w14:paraId="32139B5E"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112 914,88</w:t>
            </w:r>
          </w:p>
        </w:tc>
        <w:tc>
          <w:tcPr>
            <w:tcW w:w="338" w:type="pct"/>
            <w:tcBorders>
              <w:top w:val="nil"/>
              <w:left w:val="nil"/>
              <w:bottom w:val="single" w:sz="4" w:space="0" w:color="auto"/>
              <w:right w:val="single" w:sz="4" w:space="0" w:color="auto"/>
            </w:tcBorders>
            <w:shd w:val="clear" w:color="auto" w:fill="auto"/>
            <w:noWrap/>
            <w:vAlign w:val="center"/>
            <w:hideMark/>
          </w:tcPr>
          <w:p w14:paraId="353C33D3"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15,45</w:t>
            </w:r>
          </w:p>
        </w:tc>
      </w:tr>
      <w:tr w:rsidR="00F551C9" w:rsidRPr="00852FFB" w14:paraId="48DF9F82" w14:textId="77777777" w:rsidTr="00852FFB">
        <w:trPr>
          <w:trHeight w:val="244"/>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5D6A28CF"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FNM</w:t>
            </w:r>
          </w:p>
        </w:tc>
        <w:tc>
          <w:tcPr>
            <w:tcW w:w="622" w:type="pct"/>
            <w:tcBorders>
              <w:top w:val="nil"/>
              <w:left w:val="nil"/>
              <w:bottom w:val="single" w:sz="4" w:space="0" w:color="auto"/>
              <w:right w:val="single" w:sz="4" w:space="0" w:color="auto"/>
            </w:tcBorders>
            <w:shd w:val="clear" w:color="auto" w:fill="auto"/>
            <w:noWrap/>
            <w:vAlign w:val="center"/>
            <w:hideMark/>
          </w:tcPr>
          <w:p w14:paraId="4CAC7054"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808 992,74</w:t>
            </w:r>
          </w:p>
        </w:tc>
        <w:tc>
          <w:tcPr>
            <w:tcW w:w="623" w:type="pct"/>
            <w:tcBorders>
              <w:top w:val="nil"/>
              <w:left w:val="nil"/>
              <w:bottom w:val="single" w:sz="4" w:space="0" w:color="auto"/>
              <w:right w:val="single" w:sz="4" w:space="0" w:color="auto"/>
            </w:tcBorders>
            <w:shd w:val="clear" w:color="auto" w:fill="auto"/>
            <w:noWrap/>
            <w:vAlign w:val="center"/>
            <w:hideMark/>
          </w:tcPr>
          <w:p w14:paraId="0E5E2C46"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611,42</w:t>
            </w:r>
          </w:p>
        </w:tc>
        <w:tc>
          <w:tcPr>
            <w:tcW w:w="338" w:type="pct"/>
            <w:tcBorders>
              <w:top w:val="nil"/>
              <w:left w:val="nil"/>
              <w:bottom w:val="single" w:sz="4" w:space="0" w:color="auto"/>
              <w:right w:val="single" w:sz="4" w:space="0" w:color="auto"/>
            </w:tcBorders>
            <w:shd w:val="clear" w:color="auto" w:fill="auto"/>
            <w:noWrap/>
            <w:vAlign w:val="center"/>
            <w:hideMark/>
          </w:tcPr>
          <w:p w14:paraId="4DD5202B"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0,08</w:t>
            </w:r>
          </w:p>
        </w:tc>
        <w:tc>
          <w:tcPr>
            <w:tcW w:w="623" w:type="pct"/>
            <w:tcBorders>
              <w:top w:val="nil"/>
              <w:left w:val="nil"/>
              <w:bottom w:val="single" w:sz="4" w:space="0" w:color="auto"/>
              <w:right w:val="single" w:sz="4" w:space="0" w:color="auto"/>
            </w:tcBorders>
            <w:shd w:val="clear" w:color="auto" w:fill="auto"/>
            <w:noWrap/>
            <w:vAlign w:val="center"/>
            <w:hideMark/>
          </w:tcPr>
          <w:p w14:paraId="043FE7F1"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829 716,84</w:t>
            </w:r>
          </w:p>
        </w:tc>
        <w:tc>
          <w:tcPr>
            <w:tcW w:w="623" w:type="pct"/>
            <w:tcBorders>
              <w:top w:val="nil"/>
              <w:left w:val="nil"/>
              <w:bottom w:val="single" w:sz="4" w:space="0" w:color="auto"/>
              <w:right w:val="single" w:sz="4" w:space="0" w:color="auto"/>
            </w:tcBorders>
            <w:shd w:val="clear" w:color="auto" w:fill="auto"/>
            <w:noWrap/>
            <w:vAlign w:val="center"/>
            <w:hideMark/>
          </w:tcPr>
          <w:p w14:paraId="22B1C59F"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1 856,12</w:t>
            </w:r>
          </w:p>
        </w:tc>
        <w:tc>
          <w:tcPr>
            <w:tcW w:w="338" w:type="pct"/>
            <w:tcBorders>
              <w:top w:val="nil"/>
              <w:left w:val="nil"/>
              <w:bottom w:val="single" w:sz="4" w:space="0" w:color="auto"/>
              <w:right w:val="single" w:sz="4" w:space="0" w:color="auto"/>
            </w:tcBorders>
            <w:shd w:val="clear" w:color="auto" w:fill="auto"/>
            <w:noWrap/>
            <w:vAlign w:val="center"/>
            <w:hideMark/>
          </w:tcPr>
          <w:p w14:paraId="18F719AA"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0,22</w:t>
            </w:r>
          </w:p>
        </w:tc>
        <w:tc>
          <w:tcPr>
            <w:tcW w:w="623" w:type="pct"/>
            <w:tcBorders>
              <w:top w:val="nil"/>
              <w:left w:val="nil"/>
              <w:bottom w:val="single" w:sz="4" w:space="0" w:color="auto"/>
              <w:right w:val="single" w:sz="4" w:space="0" w:color="auto"/>
            </w:tcBorders>
            <w:shd w:val="clear" w:color="auto" w:fill="auto"/>
            <w:noWrap/>
            <w:vAlign w:val="center"/>
            <w:hideMark/>
          </w:tcPr>
          <w:p w14:paraId="5AA04B60"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894 714,30</w:t>
            </w:r>
          </w:p>
        </w:tc>
        <w:tc>
          <w:tcPr>
            <w:tcW w:w="623" w:type="pct"/>
            <w:tcBorders>
              <w:top w:val="nil"/>
              <w:left w:val="nil"/>
              <w:bottom w:val="single" w:sz="4" w:space="0" w:color="auto"/>
              <w:right w:val="single" w:sz="4" w:space="0" w:color="auto"/>
            </w:tcBorders>
            <w:shd w:val="clear" w:color="auto" w:fill="auto"/>
            <w:noWrap/>
            <w:vAlign w:val="center"/>
            <w:hideMark/>
          </w:tcPr>
          <w:p w14:paraId="527879B1"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2 040,66</w:t>
            </w:r>
          </w:p>
        </w:tc>
        <w:tc>
          <w:tcPr>
            <w:tcW w:w="338" w:type="pct"/>
            <w:tcBorders>
              <w:top w:val="nil"/>
              <w:left w:val="nil"/>
              <w:bottom w:val="single" w:sz="4" w:space="0" w:color="auto"/>
              <w:right w:val="single" w:sz="4" w:space="0" w:color="auto"/>
            </w:tcBorders>
            <w:shd w:val="clear" w:color="auto" w:fill="auto"/>
            <w:noWrap/>
            <w:vAlign w:val="center"/>
            <w:hideMark/>
          </w:tcPr>
          <w:p w14:paraId="72E150A4"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0,23</w:t>
            </w:r>
          </w:p>
        </w:tc>
      </w:tr>
      <w:tr w:rsidR="00F551C9" w:rsidRPr="00852FFB" w14:paraId="58DA2E2F" w14:textId="77777777" w:rsidTr="00852FFB">
        <w:trPr>
          <w:trHeight w:val="244"/>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45F728D9" w14:textId="77777777" w:rsidR="00F551C9" w:rsidRPr="00852FFB" w:rsidRDefault="00F551C9" w:rsidP="00162A64">
            <w:pPr>
              <w:keepNext/>
              <w:jc w:val="center"/>
              <w:rPr>
                <w:rFonts w:ascii="Calibri" w:hAnsi="Calibri" w:cs="Calibri"/>
                <w:b/>
                <w:bCs/>
                <w:color w:val="000000"/>
                <w:sz w:val="20"/>
              </w:rPr>
            </w:pPr>
            <w:r w:rsidRPr="00852FFB">
              <w:rPr>
                <w:rFonts w:ascii="Calibri" w:hAnsi="Calibri" w:cs="Calibri"/>
                <w:b/>
                <w:bCs/>
                <w:color w:val="000000"/>
                <w:sz w:val="20"/>
              </w:rPr>
              <w:t>ÚVN</w:t>
            </w:r>
          </w:p>
        </w:tc>
        <w:tc>
          <w:tcPr>
            <w:tcW w:w="622" w:type="pct"/>
            <w:tcBorders>
              <w:top w:val="nil"/>
              <w:left w:val="nil"/>
              <w:bottom w:val="single" w:sz="4" w:space="0" w:color="auto"/>
              <w:right w:val="single" w:sz="4" w:space="0" w:color="auto"/>
            </w:tcBorders>
            <w:shd w:val="clear" w:color="auto" w:fill="auto"/>
            <w:noWrap/>
            <w:vAlign w:val="center"/>
            <w:hideMark/>
          </w:tcPr>
          <w:p w14:paraId="35E6F8E1"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349 256,99</w:t>
            </w:r>
          </w:p>
        </w:tc>
        <w:tc>
          <w:tcPr>
            <w:tcW w:w="623" w:type="pct"/>
            <w:tcBorders>
              <w:top w:val="nil"/>
              <w:left w:val="nil"/>
              <w:bottom w:val="single" w:sz="4" w:space="0" w:color="auto"/>
              <w:right w:val="single" w:sz="4" w:space="0" w:color="auto"/>
            </w:tcBorders>
            <w:shd w:val="clear" w:color="auto" w:fill="auto"/>
            <w:noWrap/>
            <w:vAlign w:val="center"/>
            <w:hideMark/>
          </w:tcPr>
          <w:p w14:paraId="78E6A6BA"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45 015,29</w:t>
            </w:r>
          </w:p>
        </w:tc>
        <w:tc>
          <w:tcPr>
            <w:tcW w:w="338" w:type="pct"/>
            <w:tcBorders>
              <w:top w:val="nil"/>
              <w:left w:val="nil"/>
              <w:bottom w:val="single" w:sz="4" w:space="0" w:color="auto"/>
              <w:right w:val="single" w:sz="4" w:space="0" w:color="auto"/>
            </w:tcBorders>
            <w:shd w:val="clear" w:color="auto" w:fill="auto"/>
            <w:noWrap/>
            <w:vAlign w:val="center"/>
            <w:hideMark/>
          </w:tcPr>
          <w:p w14:paraId="4397295A"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12,89</w:t>
            </w:r>
          </w:p>
        </w:tc>
        <w:tc>
          <w:tcPr>
            <w:tcW w:w="623" w:type="pct"/>
            <w:tcBorders>
              <w:top w:val="nil"/>
              <w:left w:val="nil"/>
              <w:bottom w:val="single" w:sz="4" w:space="0" w:color="auto"/>
              <w:right w:val="single" w:sz="4" w:space="0" w:color="auto"/>
            </w:tcBorders>
            <w:shd w:val="clear" w:color="auto" w:fill="auto"/>
            <w:noWrap/>
            <w:vAlign w:val="center"/>
            <w:hideMark/>
          </w:tcPr>
          <w:p w14:paraId="191A3E3C"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365 104,47</w:t>
            </w:r>
          </w:p>
        </w:tc>
        <w:tc>
          <w:tcPr>
            <w:tcW w:w="623" w:type="pct"/>
            <w:tcBorders>
              <w:top w:val="nil"/>
              <w:left w:val="nil"/>
              <w:bottom w:val="single" w:sz="4" w:space="0" w:color="auto"/>
              <w:right w:val="single" w:sz="4" w:space="0" w:color="auto"/>
            </w:tcBorders>
            <w:shd w:val="clear" w:color="auto" w:fill="auto"/>
            <w:noWrap/>
            <w:vAlign w:val="center"/>
            <w:hideMark/>
          </w:tcPr>
          <w:p w14:paraId="1ED243CA"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41 186,44</w:t>
            </w:r>
          </w:p>
        </w:tc>
        <w:tc>
          <w:tcPr>
            <w:tcW w:w="338" w:type="pct"/>
            <w:tcBorders>
              <w:top w:val="nil"/>
              <w:left w:val="nil"/>
              <w:bottom w:val="single" w:sz="4" w:space="0" w:color="auto"/>
              <w:right w:val="single" w:sz="4" w:space="0" w:color="auto"/>
            </w:tcBorders>
            <w:shd w:val="clear" w:color="auto" w:fill="auto"/>
            <w:noWrap/>
            <w:vAlign w:val="center"/>
            <w:hideMark/>
          </w:tcPr>
          <w:p w14:paraId="037F5482"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11,28</w:t>
            </w:r>
          </w:p>
        </w:tc>
        <w:tc>
          <w:tcPr>
            <w:tcW w:w="623" w:type="pct"/>
            <w:tcBorders>
              <w:top w:val="nil"/>
              <w:left w:val="nil"/>
              <w:bottom w:val="single" w:sz="4" w:space="0" w:color="auto"/>
              <w:right w:val="single" w:sz="4" w:space="0" w:color="auto"/>
            </w:tcBorders>
            <w:shd w:val="clear" w:color="auto" w:fill="auto"/>
            <w:noWrap/>
            <w:vAlign w:val="center"/>
            <w:hideMark/>
          </w:tcPr>
          <w:p w14:paraId="46D9B493"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370 461,96</w:t>
            </w:r>
          </w:p>
        </w:tc>
        <w:tc>
          <w:tcPr>
            <w:tcW w:w="623" w:type="pct"/>
            <w:tcBorders>
              <w:top w:val="nil"/>
              <w:left w:val="nil"/>
              <w:bottom w:val="single" w:sz="4" w:space="0" w:color="auto"/>
              <w:right w:val="single" w:sz="4" w:space="0" w:color="auto"/>
            </w:tcBorders>
            <w:shd w:val="clear" w:color="auto" w:fill="auto"/>
            <w:noWrap/>
            <w:vAlign w:val="center"/>
            <w:hideMark/>
          </w:tcPr>
          <w:p w14:paraId="28F151D5"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12 220,83</w:t>
            </w:r>
          </w:p>
        </w:tc>
        <w:tc>
          <w:tcPr>
            <w:tcW w:w="338" w:type="pct"/>
            <w:tcBorders>
              <w:top w:val="nil"/>
              <w:left w:val="nil"/>
              <w:bottom w:val="single" w:sz="4" w:space="0" w:color="auto"/>
              <w:right w:val="single" w:sz="4" w:space="0" w:color="auto"/>
            </w:tcBorders>
            <w:shd w:val="clear" w:color="auto" w:fill="auto"/>
            <w:noWrap/>
            <w:vAlign w:val="center"/>
            <w:hideMark/>
          </w:tcPr>
          <w:p w14:paraId="4CDD1778" w14:textId="77777777" w:rsidR="00F551C9" w:rsidRPr="00852FFB" w:rsidRDefault="00F551C9" w:rsidP="00852FFB">
            <w:pPr>
              <w:keepNext/>
              <w:jc w:val="right"/>
              <w:rPr>
                <w:rFonts w:ascii="Calibri" w:hAnsi="Calibri" w:cs="Calibri"/>
                <w:color w:val="000000"/>
                <w:sz w:val="20"/>
              </w:rPr>
            </w:pPr>
            <w:r w:rsidRPr="00852FFB">
              <w:rPr>
                <w:rFonts w:ascii="Calibri" w:hAnsi="Calibri" w:cs="Calibri"/>
                <w:color w:val="000000"/>
                <w:sz w:val="20"/>
              </w:rPr>
              <w:t>3,30</w:t>
            </w:r>
          </w:p>
        </w:tc>
      </w:tr>
    </w:tbl>
    <w:p w14:paraId="7F79A8CE" w14:textId="7B2270B8" w:rsidR="00CC30B7" w:rsidRPr="008E3315" w:rsidRDefault="00F551C9" w:rsidP="00162A64">
      <w:pPr>
        <w:pStyle w:val="Zdroj"/>
        <w:keepNext/>
        <w:spacing w:before="40"/>
        <w:ind w:left="567" w:hanging="567"/>
        <w:rPr>
          <w:i w:val="0"/>
          <w:noProof/>
        </w:rPr>
      </w:pPr>
      <w:r w:rsidRPr="008E3315">
        <w:rPr>
          <w:b/>
          <w:i w:val="0"/>
          <w:noProof/>
        </w:rPr>
        <w:t>Zdroj:</w:t>
      </w:r>
      <w:r w:rsidR="003A6E65" w:rsidRPr="008E3315">
        <w:rPr>
          <w:i w:val="0"/>
          <w:noProof/>
        </w:rPr>
        <w:t xml:space="preserve"> </w:t>
      </w:r>
      <w:r w:rsidR="000818A3">
        <w:rPr>
          <w:i w:val="0"/>
          <w:noProof/>
        </w:rPr>
        <w:t>h</w:t>
      </w:r>
      <w:r w:rsidR="00CC30B7" w:rsidRPr="008E3315">
        <w:rPr>
          <w:i w:val="0"/>
          <w:noProof/>
        </w:rPr>
        <w:t>lavní knihy jednotlivých FN k 31.12.2014, k 31.12.2015 a k 31.12.2016; předané sestavy FN na základě žádosti NKÚ.</w:t>
      </w:r>
    </w:p>
    <w:p w14:paraId="10771E4F" w14:textId="2807A450" w:rsidR="00F551C9" w:rsidRPr="008E3315" w:rsidRDefault="00F551C9" w:rsidP="008E3315">
      <w:pPr>
        <w:pStyle w:val="Zdroj"/>
        <w:ind w:left="567" w:hanging="567"/>
        <w:rPr>
          <w:i w:val="0"/>
          <w:noProof/>
        </w:rPr>
      </w:pPr>
      <w:r w:rsidRPr="008E3315">
        <w:rPr>
          <w:b/>
          <w:i w:val="0"/>
          <w:noProof/>
        </w:rPr>
        <w:t>Pozn</w:t>
      </w:r>
      <w:r w:rsidR="008F777B">
        <w:rPr>
          <w:b/>
          <w:i w:val="0"/>
          <w:noProof/>
        </w:rPr>
        <w:t>.</w:t>
      </w:r>
      <w:r w:rsidR="004F7CB6" w:rsidRPr="008E3315">
        <w:rPr>
          <w:i w:val="0"/>
          <w:noProof/>
        </w:rPr>
        <w:t>:</w:t>
      </w:r>
      <w:r w:rsidRPr="008E3315">
        <w:rPr>
          <w:i w:val="0"/>
          <w:noProof/>
        </w:rPr>
        <w:t xml:space="preserve"> Náklady na zdravotnické prostředky </w:t>
      </w:r>
      <w:r w:rsidR="000818A3">
        <w:rPr>
          <w:i w:val="0"/>
          <w:noProof/>
        </w:rPr>
        <w:t xml:space="preserve">jsou </w:t>
      </w:r>
      <w:r w:rsidRPr="008E3315">
        <w:rPr>
          <w:i w:val="0"/>
          <w:noProof/>
        </w:rPr>
        <w:t xml:space="preserve">bez </w:t>
      </w:r>
      <w:r w:rsidR="00C07835" w:rsidRPr="008E3315">
        <w:rPr>
          <w:i w:val="0"/>
          <w:noProof/>
        </w:rPr>
        <w:t>nákladů na medicinální</w:t>
      </w:r>
      <w:r w:rsidRPr="008E3315">
        <w:rPr>
          <w:i w:val="0"/>
          <w:noProof/>
        </w:rPr>
        <w:t xml:space="preserve"> p</w:t>
      </w:r>
      <w:r w:rsidR="00C07835" w:rsidRPr="008E3315">
        <w:rPr>
          <w:i w:val="0"/>
          <w:noProof/>
        </w:rPr>
        <w:t>lyny</w:t>
      </w:r>
      <w:r w:rsidR="002118D5" w:rsidRPr="008E3315">
        <w:rPr>
          <w:i w:val="0"/>
          <w:noProof/>
        </w:rPr>
        <w:t>.</w:t>
      </w:r>
    </w:p>
    <w:p w14:paraId="576D9F48" w14:textId="2E8825BA" w:rsidR="00BB09B8" w:rsidRPr="008E3315" w:rsidRDefault="00BB09B8" w:rsidP="008E3315">
      <w:pPr>
        <w:spacing w:before="120"/>
        <w:rPr>
          <w:rFonts w:cs="Arial"/>
          <w:color w:val="000000" w:themeColor="text1"/>
          <w:szCs w:val="24"/>
        </w:rPr>
      </w:pPr>
      <w:r w:rsidRPr="008E3315">
        <w:rPr>
          <w:rFonts w:cs="Arial"/>
          <w:color w:val="000000" w:themeColor="text1"/>
          <w:szCs w:val="24"/>
        </w:rPr>
        <w:t xml:space="preserve">Podíl bonusů za </w:t>
      </w:r>
      <w:proofErr w:type="spellStart"/>
      <w:r w:rsidRPr="008E3315">
        <w:rPr>
          <w:rFonts w:cs="Arial"/>
          <w:color w:val="000000" w:themeColor="text1"/>
          <w:szCs w:val="24"/>
        </w:rPr>
        <w:t>ZPr</w:t>
      </w:r>
      <w:proofErr w:type="spellEnd"/>
      <w:r w:rsidRPr="008E3315">
        <w:rPr>
          <w:rFonts w:cs="Arial"/>
          <w:color w:val="000000" w:themeColor="text1"/>
          <w:szCs w:val="24"/>
        </w:rPr>
        <w:t xml:space="preserve"> na souvisejících nákladech za </w:t>
      </w:r>
      <w:proofErr w:type="spellStart"/>
      <w:r w:rsidRPr="008E3315">
        <w:rPr>
          <w:rFonts w:cs="Arial"/>
          <w:color w:val="000000" w:themeColor="text1"/>
          <w:szCs w:val="24"/>
        </w:rPr>
        <w:t>ZPr</w:t>
      </w:r>
      <w:proofErr w:type="spellEnd"/>
      <w:r w:rsidRPr="008E3315">
        <w:rPr>
          <w:rFonts w:cs="Arial"/>
          <w:color w:val="000000" w:themeColor="text1"/>
          <w:szCs w:val="24"/>
        </w:rPr>
        <w:t xml:space="preserve"> se u FN pohyboval v období let 2014 až 2016 od 0,08 % do 18,96 %.</w:t>
      </w:r>
    </w:p>
    <w:p w14:paraId="48E315B3" w14:textId="3F5DFA17" w:rsidR="006A2283" w:rsidRPr="008E3315" w:rsidRDefault="00F611E0" w:rsidP="008E3315">
      <w:pPr>
        <w:spacing w:before="120"/>
        <w:rPr>
          <w:szCs w:val="24"/>
        </w:rPr>
      </w:pPr>
      <w:r w:rsidRPr="008E3315">
        <w:rPr>
          <w:szCs w:val="24"/>
        </w:rPr>
        <w:t>Celkové bonusy za</w:t>
      </w:r>
      <w:r w:rsidR="006A2283" w:rsidRPr="008E3315">
        <w:rPr>
          <w:szCs w:val="24"/>
        </w:rPr>
        <w:t xml:space="preserve"> zdravotnické prostředky u FNB v kontrolovaném období představovaly částku 362 732,12 tis. Kč včetně DPH a pohybovaly se v rozmezí od 15,45 % do 18,96 %. </w:t>
      </w:r>
      <w:r w:rsidR="00170BA4" w:rsidRPr="008E3315">
        <w:rPr>
          <w:rFonts w:ascii="Calibri" w:eastAsiaTheme="minorHAnsi" w:hAnsi="Calibri"/>
          <w:szCs w:val="24"/>
          <w:lang w:eastAsia="en-US"/>
        </w:rPr>
        <w:t>Největší podíl objemu bonusů na nákladech na zdravotnický materiál je u FNB</w:t>
      </w:r>
      <w:r w:rsidR="005D35F2" w:rsidRPr="008E3315">
        <w:rPr>
          <w:rFonts w:ascii="Calibri" w:eastAsiaTheme="minorHAnsi" w:hAnsi="Calibri"/>
          <w:szCs w:val="24"/>
          <w:lang w:eastAsia="en-US"/>
        </w:rPr>
        <w:t>.</w:t>
      </w:r>
    </w:p>
    <w:p w14:paraId="1D5B8E24" w14:textId="44D45BA6" w:rsidR="00F611E0" w:rsidRPr="008E3315" w:rsidRDefault="00F611E0" w:rsidP="008E3315">
      <w:pPr>
        <w:spacing w:before="120"/>
        <w:rPr>
          <w:szCs w:val="24"/>
        </w:rPr>
      </w:pPr>
      <w:r w:rsidRPr="008E3315">
        <w:rPr>
          <w:szCs w:val="24"/>
        </w:rPr>
        <w:t xml:space="preserve">Celkové bonusy za zdravotnické prostředky u FNM v kontrolovaném období představovaly částku 4 508,2 tis. Kč včetně DPH a pohybovaly se v rozmezí od 0,08 % do 0,23 %. </w:t>
      </w:r>
    </w:p>
    <w:p w14:paraId="55108B04" w14:textId="4B469880" w:rsidR="00F611E0" w:rsidRPr="008E3315" w:rsidRDefault="00F611E0" w:rsidP="008E3315">
      <w:pPr>
        <w:spacing w:before="120"/>
        <w:rPr>
          <w:szCs w:val="24"/>
        </w:rPr>
      </w:pPr>
      <w:r w:rsidRPr="008E3315">
        <w:rPr>
          <w:szCs w:val="24"/>
        </w:rPr>
        <w:t xml:space="preserve">Celkové bonusy za zdravotnické prostředky u ÚVN v kontrolovaném období představovaly částku </w:t>
      </w:r>
      <w:r w:rsidR="00A53411" w:rsidRPr="008E3315">
        <w:rPr>
          <w:szCs w:val="24"/>
        </w:rPr>
        <w:t xml:space="preserve">98 422,56 </w:t>
      </w:r>
      <w:r w:rsidRPr="008E3315">
        <w:rPr>
          <w:szCs w:val="24"/>
        </w:rPr>
        <w:t xml:space="preserve">tis. Kč včetně DPH a pohybovaly se v rozmezí od </w:t>
      </w:r>
      <w:r w:rsidR="00A53411" w:rsidRPr="008E3315">
        <w:rPr>
          <w:szCs w:val="24"/>
        </w:rPr>
        <w:t>3,30</w:t>
      </w:r>
      <w:r w:rsidRPr="008E3315">
        <w:rPr>
          <w:szCs w:val="24"/>
        </w:rPr>
        <w:t xml:space="preserve"> % do </w:t>
      </w:r>
      <w:r w:rsidR="00A53411" w:rsidRPr="008E3315">
        <w:rPr>
          <w:szCs w:val="24"/>
        </w:rPr>
        <w:t>12,89</w:t>
      </w:r>
      <w:r w:rsidRPr="008E3315">
        <w:rPr>
          <w:szCs w:val="24"/>
        </w:rPr>
        <w:t xml:space="preserve"> %. </w:t>
      </w:r>
    </w:p>
    <w:p w14:paraId="4E9DFCF0" w14:textId="57A37A99" w:rsidR="00487BDB" w:rsidRPr="008E3315" w:rsidRDefault="00487BDB" w:rsidP="008E3315">
      <w:pPr>
        <w:spacing w:before="120"/>
        <w:rPr>
          <w:color w:val="000000"/>
          <w:spacing w:val="-2"/>
          <w:szCs w:val="24"/>
        </w:rPr>
      </w:pPr>
      <w:r w:rsidRPr="008E3315">
        <w:rPr>
          <w:rFonts w:cs="Arial"/>
          <w:color w:val="000000" w:themeColor="text1"/>
          <w:szCs w:val="24"/>
        </w:rPr>
        <w:t xml:space="preserve">Kontrolou NKÚ zjistil, že pojem bonus není právními předpisy definován a vychází z podmínek konkrétního smluvního vztahu mezi FN a dodavatelem. FN při sjednávání bonusů a použití příjmů z bonusů nepostupovaly jednotně. Bonus byl převážně sjednáván mezi dodavatelem FN odděleně od smlouvy na dodávky zdravotnických prostředků. </w:t>
      </w:r>
      <w:r w:rsidRPr="008E3315">
        <w:rPr>
          <w:rFonts w:cs="Arial"/>
          <w:b/>
          <w:color w:val="000000" w:themeColor="text1"/>
          <w:szCs w:val="24"/>
        </w:rPr>
        <w:t xml:space="preserve">FN s odkazem na obchodní tajemství nezveřejnily smlouvy na bonusy v registru smluv včetně hodnoty sjednaných bonusů. Proces nakládání s bonusy ve FN proto z těchto důvodů vykazuje netransparentní znaky. </w:t>
      </w:r>
      <w:r w:rsidR="009D37B9" w:rsidRPr="008E3315">
        <w:rPr>
          <w:color w:val="000000"/>
          <w:spacing w:val="-2"/>
          <w:szCs w:val="24"/>
        </w:rPr>
        <w:t>FNM nesjednala</w:t>
      </w:r>
      <w:r w:rsidR="00CF25F1" w:rsidRPr="008E3315">
        <w:rPr>
          <w:color w:val="000000"/>
          <w:spacing w:val="-2"/>
          <w:szCs w:val="24"/>
        </w:rPr>
        <w:t xml:space="preserve"> všechny smlouvy písemně s pos</w:t>
      </w:r>
      <w:r w:rsidR="008C302E" w:rsidRPr="008E3315">
        <w:rPr>
          <w:color w:val="000000"/>
          <w:spacing w:val="-2"/>
          <w:szCs w:val="24"/>
        </w:rPr>
        <w:t>kytovateli bonusů, tím nesplnila zákonnou povinnost a neřídila</w:t>
      </w:r>
      <w:r w:rsidR="00CF25F1" w:rsidRPr="008E3315">
        <w:rPr>
          <w:color w:val="000000"/>
          <w:spacing w:val="-2"/>
          <w:szCs w:val="24"/>
        </w:rPr>
        <w:t xml:space="preserve"> se </w:t>
      </w:r>
      <w:r w:rsidR="00C762E4">
        <w:rPr>
          <w:color w:val="000000"/>
          <w:spacing w:val="-2"/>
          <w:szCs w:val="24"/>
        </w:rPr>
        <w:t>p</w:t>
      </w:r>
      <w:r w:rsidR="00CF25F1" w:rsidRPr="008E3315">
        <w:rPr>
          <w:color w:val="000000"/>
          <w:spacing w:val="-2"/>
          <w:szCs w:val="24"/>
        </w:rPr>
        <w:t xml:space="preserve">říkazem ministra č. 3/2013. </w:t>
      </w:r>
    </w:p>
    <w:p w14:paraId="6678439A" w14:textId="35A31AFF" w:rsidR="00487BDB" w:rsidRPr="008E3315" w:rsidRDefault="00CF25F1" w:rsidP="008E3315">
      <w:pPr>
        <w:spacing w:before="120"/>
        <w:rPr>
          <w:color w:val="000000"/>
          <w:spacing w:val="-2"/>
          <w:szCs w:val="24"/>
        </w:rPr>
      </w:pPr>
      <w:r w:rsidRPr="008E3315">
        <w:rPr>
          <w:color w:val="000000"/>
          <w:spacing w:val="-2"/>
          <w:szCs w:val="24"/>
        </w:rPr>
        <w:t>Fakultní nemocnice bonusy účtovaly do výnosů</w:t>
      </w:r>
      <w:r w:rsidR="00B751BD" w:rsidRPr="008E3315">
        <w:rPr>
          <w:color w:val="000000"/>
          <w:spacing w:val="-2"/>
          <w:szCs w:val="24"/>
        </w:rPr>
        <w:t>.</w:t>
      </w:r>
      <w:r w:rsidRPr="008E3315">
        <w:rPr>
          <w:color w:val="000000"/>
          <w:spacing w:val="-2"/>
          <w:szCs w:val="24"/>
        </w:rPr>
        <w:t xml:space="preserve"> Všechny bonusy byly fakultními nemocnicemi účtovány na základě opravných daňových dokladů. </w:t>
      </w:r>
      <w:r w:rsidR="00821EB4" w:rsidRPr="008E3315">
        <w:rPr>
          <w:color w:val="000000"/>
          <w:spacing w:val="-2"/>
          <w:szCs w:val="24"/>
        </w:rPr>
        <w:t xml:space="preserve">Přijaté bonusy se netýkaly jednotlivých položek, ale </w:t>
      </w:r>
      <w:r w:rsidR="00760398" w:rsidRPr="008E3315">
        <w:rPr>
          <w:color w:val="000000"/>
          <w:spacing w:val="-2"/>
          <w:szCs w:val="24"/>
        </w:rPr>
        <w:t>FN</w:t>
      </w:r>
      <w:r w:rsidR="00821EB4" w:rsidRPr="008E3315">
        <w:rPr>
          <w:color w:val="000000"/>
          <w:spacing w:val="-2"/>
          <w:szCs w:val="24"/>
        </w:rPr>
        <w:t xml:space="preserve"> je přijímaly za předem stanovený objem odebraného zboží</w:t>
      </w:r>
      <w:r w:rsidR="00487BDB" w:rsidRPr="008E3315">
        <w:rPr>
          <w:color w:val="000000"/>
          <w:spacing w:val="-2"/>
          <w:szCs w:val="24"/>
        </w:rPr>
        <w:t>, s výjimkou bonusů u kontrolního vzorku ve FNB</w:t>
      </w:r>
      <w:r w:rsidR="00821EB4" w:rsidRPr="008E3315">
        <w:rPr>
          <w:color w:val="000000"/>
          <w:spacing w:val="-2"/>
          <w:szCs w:val="24"/>
        </w:rPr>
        <w:t xml:space="preserve">. </w:t>
      </w:r>
      <w:r w:rsidR="000817E9" w:rsidRPr="008E3315">
        <w:rPr>
          <w:color w:val="000000"/>
          <w:spacing w:val="-2"/>
          <w:szCs w:val="24"/>
        </w:rPr>
        <w:t>FN neevidovaly v</w:t>
      </w:r>
      <w:r w:rsidR="00487BDB" w:rsidRPr="008E3315">
        <w:rPr>
          <w:color w:val="000000"/>
          <w:spacing w:val="-2"/>
          <w:szCs w:val="24"/>
        </w:rPr>
        <w:t xml:space="preserve"> účetnictví </w:t>
      </w:r>
      <w:r w:rsidR="000817E9" w:rsidRPr="008E3315">
        <w:rPr>
          <w:color w:val="000000"/>
          <w:spacing w:val="-2"/>
          <w:szCs w:val="24"/>
        </w:rPr>
        <w:t>využití bonusů na konkrétní účel. Dané jim nestanovoval ani žádný právní předpis</w:t>
      </w:r>
      <w:r w:rsidR="00985F43" w:rsidRPr="008E3315">
        <w:rPr>
          <w:color w:val="000000"/>
          <w:spacing w:val="-2"/>
          <w:szCs w:val="24"/>
        </w:rPr>
        <w:t>,</w:t>
      </w:r>
      <w:r w:rsidR="000817E9" w:rsidRPr="008E3315">
        <w:rPr>
          <w:color w:val="000000"/>
          <w:spacing w:val="-2"/>
          <w:szCs w:val="24"/>
        </w:rPr>
        <w:t xml:space="preserve"> ani žádná pravidla stanovená zřizovatelem.</w:t>
      </w:r>
    </w:p>
    <w:p w14:paraId="49700C21" w14:textId="181B32CB" w:rsidR="002F3783" w:rsidRPr="008E3315" w:rsidRDefault="00CF25F1" w:rsidP="008E3315">
      <w:pPr>
        <w:spacing w:before="120"/>
        <w:rPr>
          <w:color w:val="000000"/>
          <w:spacing w:val="-2"/>
          <w:szCs w:val="24"/>
        </w:rPr>
      </w:pPr>
      <w:r w:rsidRPr="008E3315">
        <w:rPr>
          <w:color w:val="000000"/>
          <w:spacing w:val="-2"/>
          <w:szCs w:val="24"/>
        </w:rPr>
        <w:t>Získávání bonusů neovlivnilo vykazování poskytnutých zdravotních služeb jednotlivým zdravotním pojišťovnám, jelikož fakultní nemocnice se zdravotními pojišťovnami sjednaly úhrady v převážné míře některou z forem paušálu.</w:t>
      </w:r>
      <w:r w:rsidR="00821EB4" w:rsidRPr="008E3315">
        <w:rPr>
          <w:color w:val="000000"/>
          <w:spacing w:val="-2"/>
          <w:szCs w:val="24"/>
        </w:rPr>
        <w:t xml:space="preserve"> </w:t>
      </w:r>
    </w:p>
    <w:p w14:paraId="5BB031F0" w14:textId="1495C279" w:rsidR="003F375A" w:rsidRPr="008E3315" w:rsidRDefault="00F74328" w:rsidP="008E3315">
      <w:pPr>
        <w:spacing w:before="120"/>
        <w:rPr>
          <w:rFonts w:cs="Arial"/>
          <w:b/>
          <w:color w:val="000000" w:themeColor="text1"/>
          <w:szCs w:val="24"/>
        </w:rPr>
      </w:pPr>
      <w:r w:rsidRPr="008E3315">
        <w:rPr>
          <w:rFonts w:cs="Arial"/>
          <w:b/>
          <w:color w:val="000000" w:themeColor="text1"/>
          <w:szCs w:val="24"/>
        </w:rPr>
        <w:t>Sys</w:t>
      </w:r>
      <w:r w:rsidR="002F3783" w:rsidRPr="008E3315">
        <w:rPr>
          <w:rFonts w:cs="Arial"/>
          <w:b/>
          <w:color w:val="000000" w:themeColor="text1"/>
          <w:szCs w:val="24"/>
        </w:rPr>
        <w:t>tém bonusů ve zdravotnictví neměl</w:t>
      </w:r>
      <w:r w:rsidRPr="008E3315">
        <w:rPr>
          <w:rFonts w:cs="Arial"/>
          <w:b/>
          <w:color w:val="000000" w:themeColor="text1"/>
          <w:szCs w:val="24"/>
        </w:rPr>
        <w:t xml:space="preserve"> při pořizování zdravotnických prostředků jasně stanovená pravidla.</w:t>
      </w:r>
      <w:r w:rsidR="00A7142D" w:rsidRPr="008E3315">
        <w:rPr>
          <w:rFonts w:cs="Arial"/>
          <w:b/>
          <w:color w:val="000000" w:themeColor="text1"/>
          <w:szCs w:val="24"/>
        </w:rPr>
        <w:t xml:space="preserve"> </w:t>
      </w:r>
    </w:p>
    <w:p w14:paraId="7B680E41" w14:textId="08B0AF90" w:rsidR="003F375A" w:rsidRPr="008E3315" w:rsidRDefault="008E3315" w:rsidP="00757BF0">
      <w:pPr>
        <w:spacing w:before="240" w:after="120"/>
        <w:rPr>
          <w:rFonts w:cstheme="minorHAnsi"/>
          <w:b/>
          <w:noProof/>
          <w:color w:val="000000" w:themeColor="text1"/>
          <w:szCs w:val="24"/>
        </w:rPr>
      </w:pPr>
      <w:r>
        <w:rPr>
          <w:rFonts w:cstheme="minorHAnsi"/>
          <w:b/>
          <w:noProof/>
          <w:color w:val="000000" w:themeColor="text1"/>
          <w:szCs w:val="24"/>
        </w:rPr>
        <w:t xml:space="preserve">1.8 </w:t>
      </w:r>
      <w:r w:rsidR="003F375A" w:rsidRPr="008E3315">
        <w:rPr>
          <w:rFonts w:cstheme="minorHAnsi"/>
          <w:b/>
          <w:noProof/>
          <w:color w:val="000000" w:themeColor="text1"/>
          <w:szCs w:val="24"/>
        </w:rPr>
        <w:t>Registr smluv</w:t>
      </w:r>
    </w:p>
    <w:p w14:paraId="61F7D038" w14:textId="483767E7" w:rsidR="003F375A" w:rsidRPr="008E3315" w:rsidRDefault="009D37B9" w:rsidP="008E3315">
      <w:pPr>
        <w:spacing w:before="120"/>
        <w:rPr>
          <w:noProof/>
          <w:szCs w:val="24"/>
        </w:rPr>
      </w:pPr>
      <w:r w:rsidRPr="008E3315">
        <w:rPr>
          <w:noProof/>
          <w:szCs w:val="24"/>
        </w:rPr>
        <w:t>FN</w:t>
      </w:r>
      <w:r w:rsidR="003F375A" w:rsidRPr="008E3315">
        <w:rPr>
          <w:noProof/>
          <w:szCs w:val="24"/>
        </w:rPr>
        <w:t xml:space="preserve"> po 1. 7. 2016 nepostupovaly vždy při zveřejňování smluv prostřednictvím registru smluv dle zákona č. 340/2015 Sb.</w:t>
      </w:r>
      <w:r w:rsidR="003F375A" w:rsidRPr="008E3315">
        <w:rPr>
          <w:rStyle w:val="Znakapoznpodarou"/>
          <w:rFonts w:cstheme="minorHAnsi"/>
          <w:noProof/>
          <w:color w:val="000000" w:themeColor="text1"/>
          <w:szCs w:val="24"/>
        </w:rPr>
        <w:footnoteReference w:id="43"/>
      </w:r>
      <w:r w:rsidR="001345D1">
        <w:rPr>
          <w:noProof/>
          <w:szCs w:val="24"/>
        </w:rPr>
        <w:t xml:space="preserve"> tím</w:t>
      </w:r>
      <w:r w:rsidR="003F375A" w:rsidRPr="008E3315">
        <w:rPr>
          <w:noProof/>
          <w:szCs w:val="24"/>
        </w:rPr>
        <w:t xml:space="preserve">, </w:t>
      </w:r>
      <w:r w:rsidR="001345D1">
        <w:rPr>
          <w:noProof/>
          <w:szCs w:val="24"/>
        </w:rPr>
        <w:t>že</w:t>
      </w:r>
      <w:r w:rsidR="003F375A" w:rsidRPr="008E3315">
        <w:rPr>
          <w:noProof/>
          <w:szCs w:val="24"/>
        </w:rPr>
        <w:t xml:space="preserve"> v metadatech k uzavřeným smlouvám na bonusy neuvedly údaje o ceně</w:t>
      </w:r>
      <w:r w:rsidR="00C762E4">
        <w:rPr>
          <w:noProof/>
          <w:szCs w:val="24"/>
        </w:rPr>
        <w:t>,</w:t>
      </w:r>
      <w:r w:rsidR="003F375A" w:rsidRPr="008E3315">
        <w:rPr>
          <w:noProof/>
          <w:szCs w:val="24"/>
        </w:rPr>
        <w:t xml:space="preserve"> popř. o hodnotě předmětu smluv.</w:t>
      </w:r>
    </w:p>
    <w:p w14:paraId="7AFBD0E0" w14:textId="77777777" w:rsidR="003F375A" w:rsidRPr="008E3315" w:rsidRDefault="003F375A" w:rsidP="008E3315">
      <w:pPr>
        <w:spacing w:before="120"/>
        <w:rPr>
          <w:noProof/>
          <w:szCs w:val="24"/>
        </w:rPr>
      </w:pPr>
      <w:r w:rsidRPr="008E3315">
        <w:rPr>
          <w:noProof/>
          <w:szCs w:val="24"/>
        </w:rPr>
        <w:t>NKÚ dále zjistil, že ÚVN v roce 2016 v případech soukromoprávních smluv, jejichž stranou je státní příspěvková organizace, kde výše hodnoty jejich předmětu byla vyšší než 50 000 Kč bez DPH, neuzavřela smluvní vztah a zároveň nesplnila povinnost uveřejnit smlouvu prostřednictvím registru smluv:</w:t>
      </w:r>
    </w:p>
    <w:p w14:paraId="29892E18" w14:textId="7C02EE5F" w:rsidR="003F375A" w:rsidRDefault="003F375A" w:rsidP="008E3315">
      <w:pPr>
        <w:pStyle w:val="Odstavecseseznamem"/>
        <w:numPr>
          <w:ilvl w:val="0"/>
          <w:numId w:val="37"/>
        </w:numPr>
        <w:ind w:left="284" w:hanging="284"/>
        <w:rPr>
          <w:rFonts w:cstheme="minorHAnsi"/>
          <w:noProof/>
          <w:color w:val="000000" w:themeColor="text1"/>
        </w:rPr>
      </w:pPr>
      <w:r w:rsidRPr="005D29D3">
        <w:rPr>
          <w:rFonts w:cstheme="minorHAnsi"/>
          <w:noProof/>
          <w:color w:val="000000" w:themeColor="text1"/>
        </w:rPr>
        <w:t>v</w:t>
      </w:r>
      <w:r>
        <w:rPr>
          <w:rFonts w:cstheme="minorHAnsi"/>
          <w:noProof/>
          <w:color w:val="000000" w:themeColor="text1"/>
        </w:rPr>
        <w:t xml:space="preserve"> celkové</w:t>
      </w:r>
      <w:r w:rsidRPr="005D29D3">
        <w:rPr>
          <w:rFonts w:cstheme="minorHAnsi"/>
          <w:noProof/>
          <w:color w:val="000000" w:themeColor="text1"/>
        </w:rPr>
        <w:t xml:space="preserve"> výši 363 641 Kč</w:t>
      </w:r>
      <w:r>
        <w:rPr>
          <w:rFonts w:cstheme="minorHAnsi"/>
          <w:noProof/>
          <w:color w:val="000000" w:themeColor="text1"/>
        </w:rPr>
        <w:t xml:space="preserve"> na </w:t>
      </w:r>
      <w:r w:rsidRPr="005D29D3">
        <w:rPr>
          <w:rFonts w:cstheme="minorHAnsi"/>
          <w:noProof/>
          <w:color w:val="000000" w:themeColor="text1"/>
        </w:rPr>
        <w:t>pořízení defibrilátoru dne 1. 9. 2016 od dodavatele a</w:t>
      </w:r>
      <w:r w:rsidR="004C67D7">
        <w:rPr>
          <w:rFonts w:cstheme="minorHAnsi"/>
          <w:noProof/>
          <w:color w:val="000000" w:themeColor="text1"/>
        </w:rPr>
        <w:t> </w:t>
      </w:r>
      <w:r w:rsidRPr="005D29D3">
        <w:rPr>
          <w:rFonts w:cstheme="minorHAnsi"/>
          <w:noProof/>
          <w:color w:val="000000" w:themeColor="text1"/>
        </w:rPr>
        <w:t>v</w:t>
      </w:r>
      <w:r w:rsidR="004C67D7">
        <w:rPr>
          <w:rFonts w:cstheme="minorHAnsi"/>
          <w:noProof/>
          <w:color w:val="000000" w:themeColor="text1"/>
        </w:rPr>
        <w:t> </w:t>
      </w:r>
      <w:r w:rsidRPr="005D29D3">
        <w:rPr>
          <w:rFonts w:cstheme="minorHAnsi"/>
          <w:noProof/>
          <w:color w:val="000000" w:themeColor="text1"/>
        </w:rPr>
        <w:t>případě pořízení záznamníku EKG dne 9. 9. 2016 od dodavatele</w:t>
      </w:r>
      <w:r>
        <w:rPr>
          <w:rFonts w:cstheme="minorHAnsi"/>
          <w:noProof/>
          <w:color w:val="000000" w:themeColor="text1"/>
        </w:rPr>
        <w:t>;</w:t>
      </w:r>
    </w:p>
    <w:p w14:paraId="2BD3F4F3" w14:textId="77777777" w:rsidR="0049464E" w:rsidRPr="0049464E" w:rsidRDefault="003F375A" w:rsidP="008E3315">
      <w:pPr>
        <w:pStyle w:val="Odstavecseseznamem"/>
        <w:numPr>
          <w:ilvl w:val="0"/>
          <w:numId w:val="37"/>
        </w:numPr>
        <w:ind w:left="284" w:hanging="284"/>
        <w:rPr>
          <w:rFonts w:cstheme="minorHAnsi"/>
          <w:b/>
          <w:noProof/>
          <w:color w:val="000000" w:themeColor="text1"/>
          <w:szCs w:val="28"/>
        </w:rPr>
      </w:pPr>
      <w:r w:rsidRPr="0049464E">
        <w:rPr>
          <w:rFonts w:cstheme="minorHAnsi"/>
          <w:noProof/>
          <w:color w:val="000000" w:themeColor="text1"/>
          <w:szCs w:val="28"/>
        </w:rPr>
        <w:t>v celkové výši 2 298 134,84 Kč v případě pořízení centrových léků od dod</w:t>
      </w:r>
      <w:r w:rsidR="0049464E">
        <w:rPr>
          <w:rFonts w:cstheme="minorHAnsi"/>
          <w:noProof/>
          <w:color w:val="000000" w:themeColor="text1"/>
          <w:szCs w:val="28"/>
        </w:rPr>
        <w:t>avatele.</w:t>
      </w:r>
    </w:p>
    <w:p w14:paraId="7923AD23" w14:textId="072AB069" w:rsidR="009C70B7" w:rsidRPr="008E3315" w:rsidRDefault="009D37B9" w:rsidP="008E3315">
      <w:pPr>
        <w:spacing w:before="120"/>
        <w:rPr>
          <w:rFonts w:cstheme="minorHAnsi"/>
          <w:b/>
          <w:noProof/>
          <w:color w:val="000000" w:themeColor="text1"/>
          <w:szCs w:val="24"/>
        </w:rPr>
      </w:pPr>
      <w:r w:rsidRPr="008E3315">
        <w:rPr>
          <w:rFonts w:cstheme="minorHAnsi"/>
          <w:b/>
          <w:noProof/>
          <w:color w:val="000000" w:themeColor="text1"/>
          <w:szCs w:val="24"/>
        </w:rPr>
        <w:t xml:space="preserve">FN při zveřejňováním smluv prostřednictvím registru smluv nepostupovaly v souladu se zákonem </w:t>
      </w:r>
      <w:r w:rsidR="00A73981" w:rsidRPr="008E3315">
        <w:rPr>
          <w:rFonts w:cstheme="minorHAnsi"/>
          <w:b/>
          <w:noProof/>
          <w:color w:val="000000" w:themeColor="text1"/>
          <w:szCs w:val="24"/>
        </w:rPr>
        <w:t xml:space="preserve">č. 340/2015 Sb. a </w:t>
      </w:r>
      <w:r w:rsidRPr="008E3315">
        <w:rPr>
          <w:rFonts w:cstheme="minorHAnsi"/>
          <w:b/>
          <w:noProof/>
          <w:color w:val="000000" w:themeColor="text1"/>
          <w:szCs w:val="24"/>
        </w:rPr>
        <w:t>ÚVN nezveřejnila</w:t>
      </w:r>
      <w:r w:rsidR="009C70B7" w:rsidRPr="008E3315">
        <w:rPr>
          <w:rFonts w:cstheme="minorHAnsi"/>
          <w:b/>
          <w:noProof/>
          <w:color w:val="000000" w:themeColor="text1"/>
          <w:szCs w:val="24"/>
        </w:rPr>
        <w:t xml:space="preserve"> všechny smlouvy prostřednictvím registru smluv.</w:t>
      </w:r>
    </w:p>
    <w:p w14:paraId="17FB03C3" w14:textId="39EBFCD1" w:rsidR="00925367" w:rsidRPr="008E3315" w:rsidRDefault="008E3315" w:rsidP="00757BF0">
      <w:pPr>
        <w:keepNext/>
        <w:spacing w:before="240" w:after="120"/>
        <w:rPr>
          <w:rFonts w:cstheme="minorHAnsi"/>
          <w:b/>
          <w:noProof/>
          <w:color w:val="000000" w:themeColor="text1"/>
          <w:szCs w:val="24"/>
        </w:rPr>
      </w:pPr>
      <w:r w:rsidRPr="008E3315">
        <w:rPr>
          <w:rFonts w:cstheme="minorHAnsi"/>
          <w:b/>
          <w:noProof/>
          <w:color w:val="000000" w:themeColor="text1"/>
          <w:szCs w:val="24"/>
        </w:rPr>
        <w:t xml:space="preserve">1.9 </w:t>
      </w:r>
      <w:r w:rsidR="00925367" w:rsidRPr="008E3315">
        <w:rPr>
          <w:rFonts w:cstheme="minorHAnsi"/>
          <w:b/>
          <w:noProof/>
          <w:color w:val="000000" w:themeColor="text1"/>
          <w:szCs w:val="24"/>
        </w:rPr>
        <w:t>Úklid</w:t>
      </w:r>
    </w:p>
    <w:p w14:paraId="66A55C60" w14:textId="177FAEF8" w:rsidR="0076063D" w:rsidRPr="008E3315" w:rsidRDefault="009C7D5D" w:rsidP="008E3315">
      <w:pPr>
        <w:autoSpaceDE w:val="0"/>
        <w:autoSpaceDN w:val="0"/>
        <w:adjustRightInd w:val="0"/>
        <w:spacing w:before="120"/>
        <w:rPr>
          <w:rFonts w:cs="Arial"/>
          <w:szCs w:val="24"/>
        </w:rPr>
      </w:pPr>
      <w:r w:rsidRPr="008E3315">
        <w:rPr>
          <w:rFonts w:cstheme="minorHAnsi"/>
          <w:noProof/>
          <w:color w:val="000000" w:themeColor="text1"/>
          <w:szCs w:val="24"/>
        </w:rPr>
        <w:t>Fakultní nemocnice zajišťovaly úklid v kontrolovaném období formou služby poskytnuté dodavatelem (FNB a ÚVN) nebo dodavatelsky a z části rovněž vlastními zaměstnanci (FNM).</w:t>
      </w:r>
      <w:r w:rsidR="0076063D" w:rsidRPr="008E3315">
        <w:rPr>
          <w:rFonts w:cstheme="minorHAnsi"/>
          <w:noProof/>
          <w:color w:val="000000" w:themeColor="text1"/>
          <w:szCs w:val="24"/>
        </w:rPr>
        <w:t xml:space="preserve"> </w:t>
      </w:r>
      <w:r w:rsidR="0076063D" w:rsidRPr="008E3315">
        <w:rPr>
          <w:rFonts w:cs="Arial"/>
          <w:szCs w:val="24"/>
        </w:rPr>
        <w:t>FNB účtovala úklid zajišťovaný externími dodavateli na jednom analytickém účtu k účtu 518 v roce 2014 ve výši 71 517,89 tis. Kč, v roce 2015 ve výši 74 687,6 tis. Kč a v roce 2016 ve výši 76 150,41 tis. Kč. FNM účtovala úklid zajišťovaný externími dodavateli na jednom analytickém účtu k účtu 518 v roce 2014 ve výši 116 051,79 tis. Kč, v roce 2015 ve výši 118 143,42 tis. Kč a</w:t>
      </w:r>
      <w:r w:rsidR="0030065C" w:rsidRPr="008E3315">
        <w:rPr>
          <w:rFonts w:cs="Arial"/>
          <w:szCs w:val="24"/>
        </w:rPr>
        <w:t> </w:t>
      </w:r>
      <w:r w:rsidR="0076063D" w:rsidRPr="008E3315">
        <w:rPr>
          <w:rFonts w:cs="Arial"/>
          <w:szCs w:val="24"/>
        </w:rPr>
        <w:t xml:space="preserve">v roce 2016 ve výši 122 618,66 tis. Kč. ÚVN účtovala úklid zajišťovaný externími dodavateli na jednom analytickém účtu k účtu 518 v roce 2014 ve výši 36 402,57 tis. Kč, v roce 2015 ve výši 37 215,37 tis. Kč a v roce 2016 ve výši 37 817,38 tis. Kč. </w:t>
      </w:r>
    </w:p>
    <w:p w14:paraId="05FA2D3B" w14:textId="6A2C939D" w:rsidR="002713DB" w:rsidRPr="008E3315" w:rsidRDefault="002713DB" w:rsidP="008E3315">
      <w:pPr>
        <w:spacing w:before="120"/>
        <w:rPr>
          <w:rFonts w:cstheme="minorHAnsi"/>
          <w:b/>
          <w:noProof/>
          <w:color w:val="000000" w:themeColor="text1"/>
          <w:szCs w:val="24"/>
        </w:rPr>
      </w:pPr>
      <w:r w:rsidRPr="008E3315">
        <w:rPr>
          <w:rFonts w:cstheme="minorHAnsi"/>
          <w:b/>
          <w:noProof/>
          <w:color w:val="000000" w:themeColor="text1"/>
          <w:szCs w:val="24"/>
        </w:rPr>
        <w:t>U kontrolovaných veřejných zakázek na provádění úklidových prací NKÚ zjistil, že FNM:</w:t>
      </w:r>
    </w:p>
    <w:p w14:paraId="69A5F4EA" w14:textId="1099F6C4" w:rsidR="002713DB" w:rsidRPr="000A4C77" w:rsidRDefault="002713DB" w:rsidP="008E3315">
      <w:pPr>
        <w:pStyle w:val="Odstavecseseznamem"/>
        <w:numPr>
          <w:ilvl w:val="0"/>
          <w:numId w:val="38"/>
        </w:numPr>
        <w:ind w:left="284" w:hanging="284"/>
        <w:rPr>
          <w:rFonts w:cstheme="minorHAnsi"/>
          <w:b/>
          <w:noProof/>
          <w:color w:val="000000" w:themeColor="text1"/>
          <w:szCs w:val="28"/>
        </w:rPr>
      </w:pPr>
      <w:r w:rsidRPr="000A4C77">
        <w:rPr>
          <w:rFonts w:cstheme="minorHAnsi"/>
          <w:b/>
          <w:noProof/>
          <w:color w:val="000000" w:themeColor="text1"/>
          <w:szCs w:val="28"/>
        </w:rPr>
        <w:t xml:space="preserve">u jednoho zadávacího řízení neodeslala do </w:t>
      </w:r>
      <w:r w:rsidRPr="00E60983">
        <w:rPr>
          <w:rFonts w:cstheme="minorHAnsi"/>
          <w:b/>
          <w:i/>
          <w:noProof/>
          <w:color w:val="000000" w:themeColor="text1"/>
          <w:szCs w:val="28"/>
        </w:rPr>
        <w:t xml:space="preserve">Věstníku veřejných zakázek </w:t>
      </w:r>
      <w:r w:rsidRPr="000A4C77">
        <w:rPr>
          <w:rFonts w:cstheme="minorHAnsi"/>
          <w:b/>
          <w:noProof/>
          <w:color w:val="000000" w:themeColor="text1"/>
          <w:szCs w:val="28"/>
        </w:rPr>
        <w:t>oznámení výsledku jednacího řízení bez uveřejnění</w:t>
      </w:r>
      <w:r w:rsidR="0045362F">
        <w:rPr>
          <w:rFonts w:cstheme="minorHAnsi"/>
          <w:b/>
          <w:noProof/>
          <w:color w:val="000000" w:themeColor="text1"/>
          <w:szCs w:val="28"/>
        </w:rPr>
        <w:t xml:space="preserve">, </w:t>
      </w:r>
      <w:r w:rsidR="001345D1">
        <w:rPr>
          <w:rFonts w:cstheme="minorHAnsi"/>
          <w:b/>
          <w:noProof/>
          <w:color w:val="000000" w:themeColor="text1"/>
          <w:szCs w:val="28"/>
        </w:rPr>
        <w:t>a tím</w:t>
      </w:r>
      <w:r w:rsidR="006050C3">
        <w:rPr>
          <w:rFonts w:cstheme="minorHAnsi"/>
          <w:b/>
          <w:noProof/>
          <w:color w:val="000000" w:themeColor="text1"/>
          <w:szCs w:val="28"/>
        </w:rPr>
        <w:t xml:space="preserve"> nepostupovala v souladu se zákonem č.</w:t>
      </w:r>
      <w:r w:rsidR="0030065C">
        <w:rPr>
          <w:rFonts w:cstheme="minorHAnsi"/>
          <w:b/>
          <w:noProof/>
          <w:color w:val="000000" w:themeColor="text1"/>
          <w:szCs w:val="28"/>
        </w:rPr>
        <w:t> </w:t>
      </w:r>
      <w:r w:rsidR="006050C3">
        <w:rPr>
          <w:rFonts w:cstheme="minorHAnsi"/>
          <w:b/>
          <w:noProof/>
          <w:color w:val="000000" w:themeColor="text1"/>
          <w:szCs w:val="28"/>
        </w:rPr>
        <w:t>137/2006 Sb.</w:t>
      </w:r>
      <w:r w:rsidR="006050C3">
        <w:rPr>
          <w:rStyle w:val="Znakapoznpodarou"/>
          <w:rFonts w:cstheme="minorHAnsi"/>
          <w:b/>
          <w:noProof/>
          <w:color w:val="000000" w:themeColor="text1"/>
          <w:szCs w:val="28"/>
        </w:rPr>
        <w:footnoteReference w:id="44"/>
      </w:r>
      <w:r w:rsidR="006050C3">
        <w:rPr>
          <w:rFonts w:cstheme="minorHAnsi"/>
          <w:b/>
          <w:noProof/>
          <w:color w:val="000000" w:themeColor="text1"/>
          <w:szCs w:val="28"/>
        </w:rPr>
        <w:t>. P</w:t>
      </w:r>
      <w:r w:rsidRPr="000A4C77">
        <w:rPr>
          <w:rFonts w:cstheme="minorHAnsi"/>
          <w:b/>
          <w:noProof/>
          <w:color w:val="000000" w:themeColor="text1"/>
          <w:szCs w:val="28"/>
        </w:rPr>
        <w:t>ostupem zadavatele však nedošlo k omezení práv účastníků zadávacího řízení a taktéž toto formální pochybení nemělo vliv na výběr dodavatele</w:t>
      </w:r>
      <w:r w:rsidR="006050C3">
        <w:rPr>
          <w:rFonts w:cstheme="minorHAnsi"/>
          <w:b/>
          <w:noProof/>
          <w:color w:val="000000" w:themeColor="text1"/>
          <w:szCs w:val="28"/>
        </w:rPr>
        <w:t>;</w:t>
      </w:r>
    </w:p>
    <w:p w14:paraId="1EB1B5F6" w14:textId="6FD42AE4" w:rsidR="002713DB" w:rsidRPr="000A4C77" w:rsidRDefault="002713DB" w:rsidP="008E3315">
      <w:pPr>
        <w:pStyle w:val="Odstavecseseznamem"/>
        <w:numPr>
          <w:ilvl w:val="0"/>
          <w:numId w:val="38"/>
        </w:numPr>
        <w:ind w:left="284" w:hanging="284"/>
        <w:rPr>
          <w:rFonts w:cstheme="minorHAnsi"/>
          <w:b/>
          <w:noProof/>
          <w:color w:val="000000" w:themeColor="text1"/>
          <w:szCs w:val="28"/>
        </w:rPr>
      </w:pPr>
      <w:r w:rsidRPr="000A4C77">
        <w:rPr>
          <w:rFonts w:cstheme="minorHAnsi"/>
          <w:b/>
          <w:noProof/>
          <w:color w:val="000000" w:themeColor="text1"/>
          <w:szCs w:val="28"/>
        </w:rPr>
        <w:t>u dalšího zadávacího řízení hodnot</w:t>
      </w:r>
      <w:r w:rsidR="0045362F">
        <w:rPr>
          <w:rFonts w:cstheme="minorHAnsi"/>
          <w:b/>
          <w:noProof/>
          <w:color w:val="000000" w:themeColor="text1"/>
          <w:szCs w:val="28"/>
        </w:rPr>
        <w:t>i</w:t>
      </w:r>
      <w:r w:rsidRPr="000A4C77">
        <w:rPr>
          <w:rFonts w:cstheme="minorHAnsi"/>
          <w:b/>
          <w:noProof/>
          <w:color w:val="000000" w:themeColor="text1"/>
          <w:szCs w:val="28"/>
        </w:rPr>
        <w:t>cí komise FNM nezjistila zjevné početní chyby v</w:t>
      </w:r>
      <w:r w:rsidR="0030065C">
        <w:rPr>
          <w:rFonts w:cstheme="minorHAnsi"/>
          <w:b/>
          <w:noProof/>
          <w:color w:val="000000" w:themeColor="text1"/>
          <w:szCs w:val="28"/>
        </w:rPr>
        <w:t> </w:t>
      </w:r>
      <w:r w:rsidRPr="000A4C77">
        <w:rPr>
          <w:rFonts w:cstheme="minorHAnsi"/>
          <w:b/>
          <w:noProof/>
          <w:color w:val="000000" w:themeColor="text1"/>
          <w:szCs w:val="28"/>
        </w:rPr>
        <w:t xml:space="preserve">nabídkách a nevyužila možnost požádat uchazeče o vysvětlení </w:t>
      </w:r>
      <w:r w:rsidR="006050C3">
        <w:rPr>
          <w:rFonts w:cstheme="minorHAnsi"/>
          <w:b/>
          <w:noProof/>
          <w:color w:val="000000" w:themeColor="text1"/>
          <w:szCs w:val="28"/>
        </w:rPr>
        <w:t>v souladu se zákonem č.</w:t>
      </w:r>
      <w:r w:rsidR="00852FFB">
        <w:rPr>
          <w:rFonts w:cstheme="minorHAnsi"/>
          <w:b/>
          <w:noProof/>
          <w:color w:val="000000" w:themeColor="text1"/>
          <w:szCs w:val="28"/>
        </w:rPr>
        <w:t> </w:t>
      </w:r>
      <w:r w:rsidR="006050C3">
        <w:rPr>
          <w:rFonts w:cstheme="minorHAnsi"/>
          <w:b/>
          <w:noProof/>
          <w:color w:val="000000" w:themeColor="text1"/>
          <w:szCs w:val="28"/>
        </w:rPr>
        <w:t>137/2006 Sb.</w:t>
      </w:r>
      <w:r w:rsidR="006050C3">
        <w:rPr>
          <w:rStyle w:val="Znakapoznpodarou"/>
          <w:rFonts w:cstheme="minorHAnsi"/>
          <w:b/>
          <w:noProof/>
          <w:color w:val="000000" w:themeColor="text1"/>
          <w:szCs w:val="28"/>
        </w:rPr>
        <w:footnoteReference w:id="45"/>
      </w:r>
      <w:r w:rsidRPr="000A4C77">
        <w:rPr>
          <w:rFonts w:cstheme="minorHAnsi"/>
          <w:b/>
          <w:noProof/>
          <w:color w:val="000000" w:themeColor="text1"/>
          <w:szCs w:val="28"/>
        </w:rPr>
        <w:t>, přestože nabídka obsahovala celkové nabídkové ceny za čtyři roky bez DPH, které neodpovídaly propočtu z jednotkových cen. Zjevné početní chyby v</w:t>
      </w:r>
      <w:r w:rsidR="00852FFB">
        <w:rPr>
          <w:rFonts w:cstheme="minorHAnsi"/>
          <w:b/>
          <w:noProof/>
          <w:color w:val="000000" w:themeColor="text1"/>
          <w:szCs w:val="28"/>
        </w:rPr>
        <w:t> </w:t>
      </w:r>
      <w:r w:rsidRPr="000A4C77">
        <w:rPr>
          <w:rFonts w:cstheme="minorHAnsi"/>
          <w:b/>
          <w:noProof/>
          <w:color w:val="000000" w:themeColor="text1"/>
          <w:szCs w:val="28"/>
        </w:rPr>
        <w:t>podkladech k nabídkové ceně se netýkaly vítězného uchazeče. Současně u</w:t>
      </w:r>
      <w:r w:rsidR="0030065C">
        <w:rPr>
          <w:rFonts w:cstheme="minorHAnsi"/>
          <w:b/>
          <w:noProof/>
          <w:color w:val="000000" w:themeColor="text1"/>
          <w:szCs w:val="28"/>
        </w:rPr>
        <w:t> </w:t>
      </w:r>
      <w:r w:rsidRPr="000A4C77">
        <w:rPr>
          <w:rFonts w:cstheme="minorHAnsi"/>
          <w:b/>
          <w:noProof/>
          <w:color w:val="000000" w:themeColor="text1"/>
          <w:szCs w:val="28"/>
        </w:rPr>
        <w:t>tohoto zadávacího řízení F</w:t>
      </w:r>
      <w:r>
        <w:rPr>
          <w:rFonts w:cstheme="minorHAnsi"/>
          <w:b/>
          <w:noProof/>
          <w:color w:val="000000" w:themeColor="text1"/>
          <w:szCs w:val="28"/>
        </w:rPr>
        <w:t>NM nedodržela postup stanovený</w:t>
      </w:r>
      <w:r w:rsidRPr="000A4C77">
        <w:rPr>
          <w:rFonts w:cstheme="minorHAnsi"/>
          <w:b/>
          <w:noProof/>
          <w:color w:val="000000" w:themeColor="text1"/>
          <w:szCs w:val="28"/>
        </w:rPr>
        <w:t xml:space="preserve"> </w:t>
      </w:r>
      <w:r w:rsidR="003F25B9">
        <w:rPr>
          <w:rFonts w:cstheme="minorHAnsi"/>
          <w:b/>
          <w:noProof/>
          <w:color w:val="000000" w:themeColor="text1"/>
          <w:szCs w:val="28"/>
        </w:rPr>
        <w:t>zákonem č.</w:t>
      </w:r>
      <w:r w:rsidR="0030065C">
        <w:rPr>
          <w:rFonts w:cstheme="minorHAnsi"/>
          <w:b/>
          <w:noProof/>
          <w:color w:val="000000" w:themeColor="text1"/>
          <w:szCs w:val="28"/>
        </w:rPr>
        <w:t> </w:t>
      </w:r>
      <w:r w:rsidR="003F25B9">
        <w:rPr>
          <w:rFonts w:cstheme="minorHAnsi"/>
          <w:b/>
          <w:noProof/>
          <w:color w:val="000000" w:themeColor="text1"/>
          <w:szCs w:val="28"/>
        </w:rPr>
        <w:t>137/2006</w:t>
      </w:r>
      <w:r w:rsidR="007E09B6">
        <w:rPr>
          <w:rFonts w:cstheme="minorHAnsi"/>
          <w:b/>
          <w:noProof/>
          <w:color w:val="000000" w:themeColor="text1"/>
          <w:szCs w:val="28"/>
        </w:rPr>
        <w:t> </w:t>
      </w:r>
      <w:r w:rsidR="003F25B9">
        <w:rPr>
          <w:rFonts w:cstheme="minorHAnsi"/>
          <w:b/>
          <w:noProof/>
          <w:color w:val="000000" w:themeColor="text1"/>
          <w:szCs w:val="28"/>
        </w:rPr>
        <w:t>Sb.</w:t>
      </w:r>
      <w:r w:rsidR="003F25B9">
        <w:rPr>
          <w:rStyle w:val="Znakapoznpodarou"/>
          <w:rFonts w:cstheme="minorHAnsi"/>
          <w:b/>
          <w:noProof/>
          <w:color w:val="000000" w:themeColor="text1"/>
          <w:szCs w:val="28"/>
        </w:rPr>
        <w:footnoteReference w:id="46"/>
      </w:r>
      <w:r w:rsidRPr="000A4C77">
        <w:rPr>
          <w:rFonts w:cstheme="minorHAnsi"/>
          <w:b/>
          <w:noProof/>
          <w:color w:val="000000" w:themeColor="text1"/>
          <w:szCs w:val="28"/>
        </w:rPr>
        <w:t>, neboť nestanovila dílčí hodnot</w:t>
      </w:r>
      <w:r w:rsidR="0045362F">
        <w:rPr>
          <w:rFonts w:cstheme="minorHAnsi"/>
          <w:b/>
          <w:noProof/>
          <w:color w:val="000000" w:themeColor="text1"/>
          <w:szCs w:val="28"/>
        </w:rPr>
        <w:t>i</w:t>
      </w:r>
      <w:r w:rsidRPr="000A4C77">
        <w:rPr>
          <w:rFonts w:cstheme="minorHAnsi"/>
          <w:b/>
          <w:noProof/>
          <w:color w:val="000000" w:themeColor="text1"/>
          <w:szCs w:val="28"/>
        </w:rPr>
        <w:t>cí kritéria tak, aby se vztahovala k</w:t>
      </w:r>
      <w:r w:rsidR="0030065C">
        <w:rPr>
          <w:rFonts w:cstheme="minorHAnsi"/>
          <w:b/>
          <w:noProof/>
          <w:color w:val="000000" w:themeColor="text1"/>
          <w:szCs w:val="28"/>
        </w:rPr>
        <w:t> </w:t>
      </w:r>
      <w:r w:rsidRPr="000A4C77">
        <w:rPr>
          <w:rFonts w:cstheme="minorHAnsi"/>
          <w:b/>
          <w:noProof/>
          <w:color w:val="000000" w:themeColor="text1"/>
          <w:szCs w:val="28"/>
        </w:rPr>
        <w:t>nabízenému plnění veřejné zakázky</w:t>
      </w:r>
      <w:r w:rsidR="0045362F">
        <w:rPr>
          <w:rFonts w:cstheme="minorHAnsi"/>
          <w:b/>
          <w:noProof/>
          <w:color w:val="000000" w:themeColor="text1"/>
          <w:szCs w:val="28"/>
        </w:rPr>
        <w:t>,</w:t>
      </w:r>
      <w:r w:rsidRPr="000A4C77">
        <w:rPr>
          <w:rFonts w:cstheme="minorHAnsi"/>
          <w:b/>
          <w:noProof/>
          <w:color w:val="000000" w:themeColor="text1"/>
          <w:szCs w:val="28"/>
        </w:rPr>
        <w:t xml:space="preserve"> a odpovídala tak charakteru a složitosti veřejné zakázky.</w:t>
      </w:r>
    </w:p>
    <w:p w14:paraId="13CC0D5C" w14:textId="08B9101C" w:rsidR="00925367" w:rsidRPr="00352AC9" w:rsidRDefault="00925367" w:rsidP="008E3315">
      <w:pPr>
        <w:spacing w:before="120"/>
        <w:rPr>
          <w:rFonts w:cstheme="minorHAnsi"/>
          <w:noProof/>
          <w:color w:val="000000" w:themeColor="text1"/>
          <w:szCs w:val="28"/>
        </w:rPr>
      </w:pPr>
      <w:r w:rsidRPr="00352AC9">
        <w:rPr>
          <w:rFonts w:cstheme="minorHAnsi"/>
          <w:noProof/>
          <w:color w:val="000000" w:themeColor="text1"/>
          <w:szCs w:val="28"/>
        </w:rPr>
        <w:t xml:space="preserve">V následující tabulce jsou uvedeny průměrné ceny za úklid v Kč bez DPH za </w:t>
      </w:r>
      <w:r w:rsidR="0045362F">
        <w:rPr>
          <w:rFonts w:cstheme="minorHAnsi"/>
          <w:noProof/>
          <w:color w:val="000000" w:themeColor="text1"/>
          <w:szCs w:val="28"/>
        </w:rPr>
        <w:t>1 </w:t>
      </w:r>
      <w:r w:rsidRPr="00352AC9">
        <w:rPr>
          <w:rFonts w:cstheme="minorHAnsi"/>
          <w:noProof/>
          <w:color w:val="000000" w:themeColor="text1"/>
          <w:szCs w:val="28"/>
        </w:rPr>
        <w:t>m</w:t>
      </w:r>
      <w:r w:rsidRPr="00352AC9">
        <w:rPr>
          <w:rFonts w:cstheme="minorHAnsi"/>
          <w:noProof/>
          <w:color w:val="000000" w:themeColor="text1"/>
          <w:szCs w:val="28"/>
          <w:vertAlign w:val="superscript"/>
        </w:rPr>
        <w:t>2</w:t>
      </w:r>
      <w:r>
        <w:rPr>
          <w:rFonts w:cstheme="minorHAnsi"/>
          <w:noProof/>
          <w:color w:val="000000" w:themeColor="text1"/>
          <w:szCs w:val="28"/>
        </w:rPr>
        <w:t xml:space="preserve"> u vybraných místností fakultních</w:t>
      </w:r>
      <w:r w:rsidRPr="00352AC9">
        <w:rPr>
          <w:rFonts w:cstheme="minorHAnsi"/>
          <w:noProof/>
          <w:color w:val="000000" w:themeColor="text1"/>
          <w:szCs w:val="28"/>
        </w:rPr>
        <w:t xml:space="preserve"> nemocnic v kontrolovaném období.  </w:t>
      </w:r>
    </w:p>
    <w:p w14:paraId="46C061D2" w14:textId="36627077" w:rsidR="00925367" w:rsidRPr="00852FFB" w:rsidRDefault="00961000" w:rsidP="0045362F">
      <w:pPr>
        <w:keepNext/>
        <w:tabs>
          <w:tab w:val="right" w:pos="9072"/>
        </w:tabs>
        <w:spacing w:before="120" w:after="40"/>
        <w:rPr>
          <w:rFonts w:cstheme="minorHAnsi"/>
          <w:b/>
          <w:noProof/>
          <w:color w:val="000000" w:themeColor="text1"/>
          <w:szCs w:val="28"/>
        </w:rPr>
      </w:pPr>
      <w:r w:rsidRPr="00852FFB">
        <w:rPr>
          <w:rFonts w:cstheme="minorHAnsi"/>
          <w:b/>
          <w:noProof/>
          <w:color w:val="000000" w:themeColor="text1"/>
          <w:szCs w:val="28"/>
        </w:rPr>
        <w:t>Tabulka č. 12</w:t>
      </w:r>
      <w:r w:rsidR="00925367" w:rsidRPr="00852FFB">
        <w:rPr>
          <w:rFonts w:cstheme="minorHAnsi"/>
          <w:b/>
          <w:noProof/>
          <w:color w:val="000000" w:themeColor="text1"/>
          <w:szCs w:val="28"/>
        </w:rPr>
        <w:t xml:space="preserve">: Průměrné ceny za jeden úklid </w:t>
      </w:r>
      <w:r w:rsidR="00925367" w:rsidRPr="00852FFB">
        <w:rPr>
          <w:rFonts w:cstheme="minorHAnsi"/>
          <w:b/>
          <w:noProof/>
          <w:color w:val="000000" w:themeColor="text1"/>
          <w:szCs w:val="28"/>
        </w:rPr>
        <w:tab/>
        <w:t xml:space="preserve">(v Kč bez DPH za </w:t>
      </w:r>
      <w:r w:rsidR="0045362F">
        <w:rPr>
          <w:rFonts w:cstheme="minorHAnsi"/>
          <w:b/>
          <w:noProof/>
          <w:color w:val="000000" w:themeColor="text1"/>
          <w:szCs w:val="28"/>
        </w:rPr>
        <w:t>1 </w:t>
      </w:r>
      <w:r w:rsidR="00925367" w:rsidRPr="00852FFB">
        <w:rPr>
          <w:rFonts w:cstheme="minorHAnsi"/>
          <w:b/>
          <w:noProof/>
          <w:color w:val="000000" w:themeColor="text1"/>
          <w:szCs w:val="28"/>
        </w:rPr>
        <w:t>m</w:t>
      </w:r>
      <w:r w:rsidR="00925367" w:rsidRPr="00852FFB">
        <w:rPr>
          <w:rFonts w:cstheme="minorHAnsi"/>
          <w:b/>
          <w:noProof/>
          <w:color w:val="000000" w:themeColor="text1"/>
          <w:szCs w:val="28"/>
          <w:vertAlign w:val="superscript"/>
        </w:rPr>
        <w:t>2</w:t>
      </w:r>
      <w:r w:rsidR="00925367" w:rsidRPr="00852FFB">
        <w:rPr>
          <w:rFonts w:cstheme="minorHAnsi"/>
          <w:b/>
          <w:noProof/>
          <w:color w:val="000000" w:themeColor="text1"/>
          <w:szCs w:val="28"/>
        </w:rPr>
        <w:t>)</w:t>
      </w:r>
    </w:p>
    <w:tbl>
      <w:tblPr>
        <w:tblW w:w="5000" w:type="pct"/>
        <w:tblCellMar>
          <w:left w:w="70" w:type="dxa"/>
          <w:right w:w="70" w:type="dxa"/>
        </w:tblCellMar>
        <w:tblLook w:val="04A0" w:firstRow="1" w:lastRow="0" w:firstColumn="1" w:lastColumn="0" w:noHBand="0" w:noVBand="1"/>
      </w:tblPr>
      <w:tblGrid>
        <w:gridCol w:w="2284"/>
        <w:gridCol w:w="2260"/>
        <w:gridCol w:w="2260"/>
        <w:gridCol w:w="2258"/>
      </w:tblGrid>
      <w:tr w:rsidR="00925367" w:rsidRPr="00006575" w14:paraId="5A670CBF" w14:textId="77777777" w:rsidTr="00852FFB">
        <w:trPr>
          <w:trHeight w:val="227"/>
        </w:trPr>
        <w:tc>
          <w:tcPr>
            <w:tcW w:w="1260"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D758F5A" w14:textId="77777777" w:rsidR="00925367" w:rsidRPr="00893E5C" w:rsidRDefault="00925367" w:rsidP="0045362F">
            <w:pPr>
              <w:keepNext/>
              <w:jc w:val="center"/>
              <w:rPr>
                <w:rFonts w:ascii="Calibri" w:hAnsi="Calibri" w:cs="Calibri"/>
                <w:b/>
                <w:bCs/>
                <w:color w:val="000000"/>
                <w:sz w:val="20"/>
              </w:rPr>
            </w:pPr>
            <w:r w:rsidRPr="00893E5C">
              <w:rPr>
                <w:rFonts w:ascii="Calibri" w:hAnsi="Calibri" w:cs="Calibri"/>
                <w:b/>
                <w:bCs/>
                <w:color w:val="000000"/>
                <w:sz w:val="20"/>
              </w:rPr>
              <w:t>Druh místnosti</w:t>
            </w:r>
          </w:p>
        </w:tc>
        <w:tc>
          <w:tcPr>
            <w:tcW w:w="1247" w:type="pct"/>
            <w:tcBorders>
              <w:top w:val="single" w:sz="4" w:space="0" w:color="auto"/>
              <w:left w:val="nil"/>
              <w:bottom w:val="single" w:sz="4" w:space="0" w:color="auto"/>
              <w:right w:val="single" w:sz="4" w:space="0" w:color="auto"/>
            </w:tcBorders>
            <w:shd w:val="clear" w:color="auto" w:fill="E5F1FF"/>
            <w:noWrap/>
            <w:vAlign w:val="center"/>
            <w:hideMark/>
          </w:tcPr>
          <w:p w14:paraId="02095647" w14:textId="77777777" w:rsidR="00925367" w:rsidRPr="00893E5C" w:rsidRDefault="00925367" w:rsidP="0045362F">
            <w:pPr>
              <w:keepNext/>
              <w:jc w:val="center"/>
              <w:rPr>
                <w:rFonts w:ascii="Calibri" w:hAnsi="Calibri" w:cs="Calibri"/>
                <w:b/>
                <w:bCs/>
                <w:color w:val="000000"/>
                <w:sz w:val="20"/>
              </w:rPr>
            </w:pPr>
            <w:r w:rsidRPr="00893E5C">
              <w:rPr>
                <w:rFonts w:ascii="Calibri" w:hAnsi="Calibri" w:cs="Calibri"/>
                <w:b/>
                <w:bCs/>
                <w:color w:val="000000"/>
                <w:sz w:val="20"/>
              </w:rPr>
              <w:t>FNB</w:t>
            </w:r>
          </w:p>
        </w:tc>
        <w:tc>
          <w:tcPr>
            <w:tcW w:w="1247" w:type="pct"/>
            <w:tcBorders>
              <w:top w:val="single" w:sz="4" w:space="0" w:color="auto"/>
              <w:left w:val="nil"/>
              <w:bottom w:val="single" w:sz="4" w:space="0" w:color="auto"/>
              <w:right w:val="single" w:sz="4" w:space="0" w:color="auto"/>
            </w:tcBorders>
            <w:shd w:val="clear" w:color="auto" w:fill="E5F1FF"/>
            <w:noWrap/>
            <w:vAlign w:val="center"/>
            <w:hideMark/>
          </w:tcPr>
          <w:p w14:paraId="3B3F8875" w14:textId="77777777" w:rsidR="00925367" w:rsidRPr="00893E5C" w:rsidRDefault="00925367" w:rsidP="0045362F">
            <w:pPr>
              <w:keepNext/>
              <w:jc w:val="center"/>
              <w:rPr>
                <w:rFonts w:ascii="Calibri" w:hAnsi="Calibri" w:cs="Calibri"/>
                <w:b/>
                <w:bCs/>
                <w:color w:val="000000"/>
                <w:sz w:val="20"/>
              </w:rPr>
            </w:pPr>
            <w:r w:rsidRPr="00893E5C">
              <w:rPr>
                <w:rFonts w:ascii="Calibri" w:hAnsi="Calibri" w:cs="Calibri"/>
                <w:b/>
                <w:bCs/>
                <w:color w:val="000000"/>
                <w:sz w:val="20"/>
              </w:rPr>
              <w:t>FNM</w:t>
            </w:r>
          </w:p>
        </w:tc>
        <w:tc>
          <w:tcPr>
            <w:tcW w:w="1246" w:type="pct"/>
            <w:tcBorders>
              <w:top w:val="single" w:sz="4" w:space="0" w:color="auto"/>
              <w:left w:val="nil"/>
              <w:bottom w:val="single" w:sz="4" w:space="0" w:color="auto"/>
              <w:right w:val="single" w:sz="4" w:space="0" w:color="auto"/>
            </w:tcBorders>
            <w:shd w:val="clear" w:color="auto" w:fill="E5F1FF"/>
            <w:noWrap/>
            <w:vAlign w:val="center"/>
            <w:hideMark/>
          </w:tcPr>
          <w:p w14:paraId="0F62BFDC" w14:textId="77777777" w:rsidR="00925367" w:rsidRPr="00893E5C" w:rsidRDefault="00925367" w:rsidP="0045362F">
            <w:pPr>
              <w:keepNext/>
              <w:jc w:val="center"/>
              <w:rPr>
                <w:rFonts w:ascii="Calibri" w:hAnsi="Calibri" w:cs="Calibri"/>
                <w:b/>
                <w:bCs/>
                <w:color w:val="000000"/>
                <w:sz w:val="20"/>
              </w:rPr>
            </w:pPr>
            <w:r w:rsidRPr="00893E5C">
              <w:rPr>
                <w:rFonts w:ascii="Calibri" w:hAnsi="Calibri" w:cs="Calibri"/>
                <w:b/>
                <w:bCs/>
                <w:color w:val="000000"/>
                <w:sz w:val="20"/>
              </w:rPr>
              <w:t>ÚVN</w:t>
            </w:r>
          </w:p>
        </w:tc>
      </w:tr>
      <w:tr w:rsidR="00925367" w:rsidRPr="00006575" w14:paraId="33E17192" w14:textId="77777777" w:rsidTr="00852FFB">
        <w:trPr>
          <w:trHeight w:val="227"/>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14:paraId="3E60F392" w14:textId="77777777" w:rsidR="00925367" w:rsidRPr="00893E5C" w:rsidRDefault="00925367" w:rsidP="0045362F">
            <w:pPr>
              <w:keepNext/>
              <w:jc w:val="left"/>
              <w:rPr>
                <w:rFonts w:ascii="Calibri" w:hAnsi="Calibri" w:cs="Calibri"/>
                <w:color w:val="000000"/>
                <w:sz w:val="20"/>
              </w:rPr>
            </w:pPr>
            <w:r w:rsidRPr="00893E5C">
              <w:rPr>
                <w:rFonts w:ascii="Calibri" w:hAnsi="Calibri" w:cs="Calibri"/>
                <w:color w:val="000000"/>
                <w:sz w:val="20"/>
              </w:rPr>
              <w:t>Lůžkový pokoj</w:t>
            </w:r>
          </w:p>
        </w:tc>
        <w:tc>
          <w:tcPr>
            <w:tcW w:w="1247" w:type="pct"/>
            <w:tcBorders>
              <w:top w:val="nil"/>
              <w:left w:val="nil"/>
              <w:bottom w:val="single" w:sz="4" w:space="0" w:color="auto"/>
              <w:right w:val="single" w:sz="4" w:space="0" w:color="auto"/>
            </w:tcBorders>
            <w:shd w:val="clear" w:color="auto" w:fill="auto"/>
            <w:noWrap/>
            <w:vAlign w:val="center"/>
            <w:hideMark/>
          </w:tcPr>
          <w:p w14:paraId="286D0F5E" w14:textId="00FF28F8" w:rsidR="00925367" w:rsidRPr="00893E5C" w:rsidRDefault="00925367" w:rsidP="0045362F">
            <w:pPr>
              <w:keepNext/>
              <w:ind w:right="799"/>
              <w:jc w:val="right"/>
              <w:rPr>
                <w:rFonts w:ascii="Calibri" w:hAnsi="Calibri" w:cs="Calibri"/>
                <w:color w:val="000000"/>
                <w:sz w:val="20"/>
              </w:rPr>
            </w:pPr>
            <w:r w:rsidRPr="00893E5C">
              <w:rPr>
                <w:rFonts w:ascii="Calibri" w:hAnsi="Calibri" w:cs="Calibri"/>
                <w:color w:val="000000"/>
                <w:sz w:val="20"/>
              </w:rPr>
              <w:t>0,62</w:t>
            </w:r>
          </w:p>
        </w:tc>
        <w:tc>
          <w:tcPr>
            <w:tcW w:w="1247" w:type="pct"/>
            <w:tcBorders>
              <w:top w:val="nil"/>
              <w:left w:val="nil"/>
              <w:bottom w:val="single" w:sz="4" w:space="0" w:color="auto"/>
              <w:right w:val="single" w:sz="4" w:space="0" w:color="auto"/>
            </w:tcBorders>
            <w:shd w:val="clear" w:color="auto" w:fill="auto"/>
            <w:noWrap/>
            <w:vAlign w:val="center"/>
            <w:hideMark/>
          </w:tcPr>
          <w:p w14:paraId="7AF34F21" w14:textId="77777777" w:rsidR="00925367" w:rsidRPr="00893E5C" w:rsidRDefault="00925367" w:rsidP="0045362F">
            <w:pPr>
              <w:keepNext/>
              <w:ind w:right="799"/>
              <w:jc w:val="right"/>
              <w:rPr>
                <w:rFonts w:ascii="Calibri" w:hAnsi="Calibri" w:cs="Calibri"/>
                <w:color w:val="000000"/>
                <w:sz w:val="20"/>
              </w:rPr>
            </w:pPr>
            <w:r w:rsidRPr="00893E5C">
              <w:rPr>
                <w:rFonts w:ascii="Calibri" w:hAnsi="Calibri" w:cs="Calibri"/>
                <w:color w:val="000000"/>
                <w:sz w:val="20"/>
              </w:rPr>
              <w:t>1,13</w:t>
            </w:r>
          </w:p>
        </w:tc>
        <w:tc>
          <w:tcPr>
            <w:tcW w:w="1246" w:type="pct"/>
            <w:tcBorders>
              <w:top w:val="nil"/>
              <w:left w:val="nil"/>
              <w:bottom w:val="single" w:sz="4" w:space="0" w:color="auto"/>
              <w:right w:val="single" w:sz="4" w:space="0" w:color="auto"/>
            </w:tcBorders>
            <w:shd w:val="clear" w:color="auto" w:fill="auto"/>
            <w:noWrap/>
            <w:vAlign w:val="center"/>
            <w:hideMark/>
          </w:tcPr>
          <w:p w14:paraId="632F97DA" w14:textId="2A00AD86" w:rsidR="00925367" w:rsidRPr="00893E5C" w:rsidRDefault="00A62436" w:rsidP="0045362F">
            <w:pPr>
              <w:keepNext/>
              <w:ind w:right="799"/>
              <w:jc w:val="right"/>
              <w:rPr>
                <w:rFonts w:ascii="Calibri" w:hAnsi="Calibri" w:cs="Calibri"/>
                <w:color w:val="000000"/>
                <w:sz w:val="20"/>
              </w:rPr>
            </w:pPr>
            <w:r>
              <w:rPr>
                <w:rFonts w:ascii="Calibri" w:hAnsi="Calibri" w:cs="Calibri"/>
                <w:color w:val="000000"/>
                <w:sz w:val="20"/>
              </w:rPr>
              <w:t>1,84</w:t>
            </w:r>
          </w:p>
        </w:tc>
      </w:tr>
      <w:tr w:rsidR="00925367" w:rsidRPr="00006575" w14:paraId="12660B56" w14:textId="77777777" w:rsidTr="00852FFB">
        <w:trPr>
          <w:trHeight w:val="227"/>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14:paraId="6ACEACAD" w14:textId="77777777" w:rsidR="00925367" w:rsidRPr="00893E5C" w:rsidRDefault="00925367" w:rsidP="0045362F">
            <w:pPr>
              <w:keepNext/>
              <w:jc w:val="left"/>
              <w:rPr>
                <w:rFonts w:ascii="Calibri" w:hAnsi="Calibri" w:cs="Calibri"/>
                <w:color w:val="000000"/>
                <w:sz w:val="20"/>
              </w:rPr>
            </w:pPr>
            <w:r w:rsidRPr="00893E5C">
              <w:rPr>
                <w:rFonts w:ascii="Calibri" w:hAnsi="Calibri" w:cs="Calibri"/>
                <w:color w:val="000000"/>
                <w:sz w:val="20"/>
              </w:rPr>
              <w:t>Laboratoř</w:t>
            </w:r>
          </w:p>
        </w:tc>
        <w:tc>
          <w:tcPr>
            <w:tcW w:w="1247" w:type="pct"/>
            <w:tcBorders>
              <w:top w:val="nil"/>
              <w:left w:val="nil"/>
              <w:bottom w:val="single" w:sz="4" w:space="0" w:color="auto"/>
              <w:right w:val="single" w:sz="4" w:space="0" w:color="auto"/>
            </w:tcBorders>
            <w:shd w:val="clear" w:color="auto" w:fill="auto"/>
            <w:noWrap/>
            <w:vAlign w:val="center"/>
            <w:hideMark/>
          </w:tcPr>
          <w:p w14:paraId="15C3635C" w14:textId="4391C32A" w:rsidR="00925367" w:rsidRPr="00893E5C" w:rsidRDefault="00925367" w:rsidP="0045362F">
            <w:pPr>
              <w:keepNext/>
              <w:ind w:right="799"/>
              <w:jc w:val="right"/>
              <w:rPr>
                <w:rFonts w:ascii="Calibri" w:hAnsi="Calibri" w:cs="Calibri"/>
                <w:color w:val="000000"/>
                <w:sz w:val="20"/>
              </w:rPr>
            </w:pPr>
            <w:r w:rsidRPr="00893E5C">
              <w:rPr>
                <w:rFonts w:ascii="Calibri" w:hAnsi="Calibri" w:cs="Calibri"/>
                <w:color w:val="000000"/>
                <w:sz w:val="20"/>
              </w:rPr>
              <w:t>0,61</w:t>
            </w:r>
          </w:p>
        </w:tc>
        <w:tc>
          <w:tcPr>
            <w:tcW w:w="1247" w:type="pct"/>
            <w:tcBorders>
              <w:top w:val="nil"/>
              <w:left w:val="nil"/>
              <w:bottom w:val="single" w:sz="4" w:space="0" w:color="auto"/>
              <w:right w:val="single" w:sz="4" w:space="0" w:color="auto"/>
            </w:tcBorders>
            <w:shd w:val="clear" w:color="auto" w:fill="auto"/>
            <w:noWrap/>
            <w:vAlign w:val="center"/>
            <w:hideMark/>
          </w:tcPr>
          <w:p w14:paraId="03C7734D" w14:textId="77777777" w:rsidR="00925367" w:rsidRPr="00893E5C" w:rsidRDefault="00925367" w:rsidP="0045362F">
            <w:pPr>
              <w:keepNext/>
              <w:ind w:right="799"/>
              <w:jc w:val="right"/>
              <w:rPr>
                <w:rFonts w:ascii="Calibri" w:hAnsi="Calibri" w:cs="Calibri"/>
                <w:color w:val="000000"/>
                <w:sz w:val="20"/>
              </w:rPr>
            </w:pPr>
            <w:r w:rsidRPr="00893E5C">
              <w:rPr>
                <w:rFonts w:ascii="Calibri" w:hAnsi="Calibri" w:cs="Calibri"/>
                <w:color w:val="000000"/>
                <w:sz w:val="20"/>
              </w:rPr>
              <w:t>1,19</w:t>
            </w:r>
          </w:p>
        </w:tc>
        <w:tc>
          <w:tcPr>
            <w:tcW w:w="1246" w:type="pct"/>
            <w:tcBorders>
              <w:top w:val="nil"/>
              <w:left w:val="nil"/>
              <w:bottom w:val="single" w:sz="4" w:space="0" w:color="auto"/>
              <w:right w:val="single" w:sz="4" w:space="0" w:color="auto"/>
            </w:tcBorders>
            <w:shd w:val="clear" w:color="auto" w:fill="auto"/>
            <w:noWrap/>
            <w:vAlign w:val="center"/>
            <w:hideMark/>
          </w:tcPr>
          <w:p w14:paraId="159F1144" w14:textId="77777777" w:rsidR="00925367" w:rsidRPr="00893E5C" w:rsidRDefault="00925367" w:rsidP="0045362F">
            <w:pPr>
              <w:keepNext/>
              <w:ind w:right="799"/>
              <w:jc w:val="right"/>
              <w:rPr>
                <w:rFonts w:ascii="Calibri" w:hAnsi="Calibri" w:cs="Calibri"/>
                <w:color w:val="000000"/>
                <w:sz w:val="20"/>
              </w:rPr>
            </w:pPr>
            <w:r w:rsidRPr="00893E5C">
              <w:rPr>
                <w:rFonts w:ascii="Calibri" w:hAnsi="Calibri" w:cs="Calibri"/>
                <w:color w:val="000000"/>
                <w:sz w:val="20"/>
              </w:rPr>
              <w:t>3,91</w:t>
            </w:r>
          </w:p>
        </w:tc>
      </w:tr>
      <w:tr w:rsidR="00925367" w:rsidRPr="00006575" w14:paraId="14D9ABC8" w14:textId="77777777" w:rsidTr="00852FFB">
        <w:trPr>
          <w:trHeight w:val="227"/>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14:paraId="6FCDAD78" w14:textId="77777777" w:rsidR="00925367" w:rsidRPr="00893E5C" w:rsidRDefault="00925367" w:rsidP="0045362F">
            <w:pPr>
              <w:keepNext/>
              <w:jc w:val="left"/>
              <w:rPr>
                <w:rFonts w:ascii="Calibri" w:hAnsi="Calibri" w:cs="Calibri"/>
                <w:color w:val="000000"/>
                <w:sz w:val="20"/>
              </w:rPr>
            </w:pPr>
            <w:r w:rsidRPr="00893E5C">
              <w:rPr>
                <w:rFonts w:ascii="Calibri" w:hAnsi="Calibri" w:cs="Calibri"/>
                <w:color w:val="000000"/>
                <w:sz w:val="20"/>
              </w:rPr>
              <w:t>Čekárna</w:t>
            </w:r>
          </w:p>
        </w:tc>
        <w:tc>
          <w:tcPr>
            <w:tcW w:w="1247" w:type="pct"/>
            <w:tcBorders>
              <w:top w:val="nil"/>
              <w:left w:val="nil"/>
              <w:bottom w:val="single" w:sz="4" w:space="0" w:color="auto"/>
              <w:right w:val="single" w:sz="4" w:space="0" w:color="auto"/>
            </w:tcBorders>
            <w:shd w:val="clear" w:color="auto" w:fill="auto"/>
            <w:noWrap/>
            <w:vAlign w:val="center"/>
            <w:hideMark/>
          </w:tcPr>
          <w:p w14:paraId="4084BC85" w14:textId="6A06C470" w:rsidR="00925367" w:rsidRPr="00893E5C" w:rsidRDefault="00925367" w:rsidP="0045362F">
            <w:pPr>
              <w:keepNext/>
              <w:ind w:right="799"/>
              <w:jc w:val="right"/>
              <w:rPr>
                <w:rFonts w:ascii="Calibri" w:hAnsi="Calibri" w:cs="Calibri"/>
                <w:color w:val="000000"/>
                <w:sz w:val="20"/>
              </w:rPr>
            </w:pPr>
            <w:r w:rsidRPr="00893E5C">
              <w:rPr>
                <w:rFonts w:ascii="Calibri" w:hAnsi="Calibri" w:cs="Calibri"/>
                <w:color w:val="000000"/>
                <w:sz w:val="20"/>
              </w:rPr>
              <w:t>0,59</w:t>
            </w:r>
          </w:p>
        </w:tc>
        <w:tc>
          <w:tcPr>
            <w:tcW w:w="1247" w:type="pct"/>
            <w:tcBorders>
              <w:top w:val="nil"/>
              <w:left w:val="nil"/>
              <w:bottom w:val="single" w:sz="4" w:space="0" w:color="auto"/>
              <w:right w:val="single" w:sz="4" w:space="0" w:color="auto"/>
            </w:tcBorders>
            <w:shd w:val="clear" w:color="auto" w:fill="auto"/>
            <w:noWrap/>
            <w:vAlign w:val="center"/>
            <w:hideMark/>
          </w:tcPr>
          <w:p w14:paraId="3F4111C2" w14:textId="77777777" w:rsidR="00925367" w:rsidRPr="00893E5C" w:rsidRDefault="00925367" w:rsidP="0045362F">
            <w:pPr>
              <w:keepNext/>
              <w:ind w:right="799"/>
              <w:jc w:val="right"/>
              <w:rPr>
                <w:rFonts w:ascii="Calibri" w:hAnsi="Calibri" w:cs="Calibri"/>
                <w:color w:val="000000"/>
                <w:sz w:val="20"/>
              </w:rPr>
            </w:pPr>
            <w:r w:rsidRPr="00893E5C">
              <w:rPr>
                <w:rFonts w:ascii="Calibri" w:hAnsi="Calibri" w:cs="Calibri"/>
                <w:color w:val="000000"/>
                <w:sz w:val="20"/>
              </w:rPr>
              <w:t>0,52</w:t>
            </w:r>
          </w:p>
        </w:tc>
        <w:tc>
          <w:tcPr>
            <w:tcW w:w="1246" w:type="pct"/>
            <w:tcBorders>
              <w:top w:val="nil"/>
              <w:left w:val="nil"/>
              <w:bottom w:val="single" w:sz="4" w:space="0" w:color="auto"/>
              <w:right w:val="single" w:sz="4" w:space="0" w:color="auto"/>
            </w:tcBorders>
            <w:shd w:val="clear" w:color="auto" w:fill="auto"/>
            <w:noWrap/>
            <w:vAlign w:val="center"/>
            <w:hideMark/>
          </w:tcPr>
          <w:p w14:paraId="3E531858" w14:textId="47CDD2DA" w:rsidR="00925367" w:rsidRPr="00893E5C" w:rsidRDefault="00925367" w:rsidP="0045362F">
            <w:pPr>
              <w:keepNext/>
              <w:ind w:right="799"/>
              <w:jc w:val="right"/>
              <w:rPr>
                <w:rFonts w:ascii="Calibri" w:hAnsi="Calibri" w:cs="Calibri"/>
                <w:color w:val="000000"/>
                <w:sz w:val="20"/>
              </w:rPr>
            </w:pPr>
            <w:r w:rsidRPr="00893E5C">
              <w:rPr>
                <w:rFonts w:ascii="Calibri" w:hAnsi="Calibri" w:cs="Calibri"/>
                <w:color w:val="000000"/>
                <w:sz w:val="20"/>
              </w:rPr>
              <w:t>0,6</w:t>
            </w:r>
            <w:r w:rsidR="004D2D96">
              <w:rPr>
                <w:rFonts w:ascii="Calibri" w:hAnsi="Calibri" w:cs="Calibri"/>
                <w:color w:val="000000"/>
                <w:sz w:val="20"/>
              </w:rPr>
              <w:t>0</w:t>
            </w:r>
          </w:p>
        </w:tc>
      </w:tr>
      <w:tr w:rsidR="00925367" w:rsidRPr="00006575" w14:paraId="27D2D8E9" w14:textId="77777777" w:rsidTr="00852FFB">
        <w:trPr>
          <w:trHeight w:val="227"/>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14:paraId="7D9FD9E4" w14:textId="77777777" w:rsidR="00925367" w:rsidRPr="00893E5C" w:rsidRDefault="00925367" w:rsidP="0045362F">
            <w:pPr>
              <w:keepNext/>
              <w:jc w:val="left"/>
              <w:rPr>
                <w:rFonts w:ascii="Calibri" w:hAnsi="Calibri" w:cs="Calibri"/>
                <w:color w:val="000000"/>
                <w:sz w:val="20"/>
              </w:rPr>
            </w:pPr>
            <w:r w:rsidRPr="00893E5C">
              <w:rPr>
                <w:rFonts w:ascii="Calibri" w:hAnsi="Calibri" w:cs="Calibri"/>
                <w:color w:val="000000"/>
                <w:sz w:val="20"/>
              </w:rPr>
              <w:t>Sklad čistého prádla</w:t>
            </w:r>
          </w:p>
        </w:tc>
        <w:tc>
          <w:tcPr>
            <w:tcW w:w="1247" w:type="pct"/>
            <w:tcBorders>
              <w:top w:val="nil"/>
              <w:left w:val="nil"/>
              <w:bottom w:val="single" w:sz="4" w:space="0" w:color="auto"/>
              <w:right w:val="single" w:sz="4" w:space="0" w:color="auto"/>
            </w:tcBorders>
            <w:shd w:val="clear" w:color="auto" w:fill="auto"/>
            <w:noWrap/>
            <w:vAlign w:val="center"/>
            <w:hideMark/>
          </w:tcPr>
          <w:p w14:paraId="7876EF8B" w14:textId="681C5AA8" w:rsidR="00925367" w:rsidRPr="00893E5C" w:rsidRDefault="00925367" w:rsidP="0045362F">
            <w:pPr>
              <w:keepNext/>
              <w:ind w:right="799"/>
              <w:jc w:val="right"/>
              <w:rPr>
                <w:rFonts w:ascii="Calibri" w:hAnsi="Calibri" w:cs="Calibri"/>
                <w:color w:val="000000"/>
                <w:sz w:val="20"/>
              </w:rPr>
            </w:pPr>
            <w:r w:rsidRPr="00893E5C">
              <w:rPr>
                <w:rFonts w:ascii="Calibri" w:hAnsi="Calibri" w:cs="Calibri"/>
                <w:color w:val="000000"/>
                <w:sz w:val="20"/>
              </w:rPr>
              <w:t>0,57</w:t>
            </w:r>
          </w:p>
        </w:tc>
        <w:tc>
          <w:tcPr>
            <w:tcW w:w="1247" w:type="pct"/>
            <w:tcBorders>
              <w:top w:val="nil"/>
              <w:left w:val="nil"/>
              <w:bottom w:val="single" w:sz="4" w:space="0" w:color="auto"/>
              <w:right w:val="single" w:sz="4" w:space="0" w:color="auto"/>
            </w:tcBorders>
            <w:shd w:val="clear" w:color="auto" w:fill="auto"/>
            <w:noWrap/>
            <w:vAlign w:val="center"/>
            <w:hideMark/>
          </w:tcPr>
          <w:p w14:paraId="05D0A11C" w14:textId="77777777" w:rsidR="00925367" w:rsidRPr="00893E5C" w:rsidRDefault="00925367" w:rsidP="0045362F">
            <w:pPr>
              <w:keepNext/>
              <w:ind w:right="799"/>
              <w:jc w:val="right"/>
              <w:rPr>
                <w:rFonts w:ascii="Calibri" w:hAnsi="Calibri" w:cs="Calibri"/>
                <w:color w:val="000000"/>
                <w:sz w:val="20"/>
              </w:rPr>
            </w:pPr>
            <w:r w:rsidRPr="00893E5C">
              <w:rPr>
                <w:rFonts w:ascii="Calibri" w:hAnsi="Calibri" w:cs="Calibri"/>
                <w:color w:val="000000"/>
                <w:sz w:val="20"/>
              </w:rPr>
              <w:t>0,59</w:t>
            </w:r>
          </w:p>
        </w:tc>
        <w:tc>
          <w:tcPr>
            <w:tcW w:w="1246" w:type="pct"/>
            <w:tcBorders>
              <w:top w:val="nil"/>
              <w:left w:val="nil"/>
              <w:bottom w:val="single" w:sz="4" w:space="0" w:color="auto"/>
              <w:right w:val="single" w:sz="4" w:space="0" w:color="auto"/>
            </w:tcBorders>
            <w:shd w:val="clear" w:color="auto" w:fill="auto"/>
            <w:noWrap/>
            <w:vAlign w:val="center"/>
            <w:hideMark/>
          </w:tcPr>
          <w:p w14:paraId="2FC15B28" w14:textId="77777777" w:rsidR="00925367" w:rsidRPr="00893E5C" w:rsidRDefault="00925367" w:rsidP="0045362F">
            <w:pPr>
              <w:keepNext/>
              <w:ind w:right="799"/>
              <w:jc w:val="right"/>
              <w:rPr>
                <w:rFonts w:ascii="Calibri" w:hAnsi="Calibri" w:cs="Calibri"/>
                <w:color w:val="000000"/>
                <w:sz w:val="20"/>
              </w:rPr>
            </w:pPr>
            <w:r w:rsidRPr="00893E5C">
              <w:rPr>
                <w:rFonts w:ascii="Calibri" w:hAnsi="Calibri" w:cs="Calibri"/>
                <w:color w:val="000000"/>
                <w:sz w:val="20"/>
              </w:rPr>
              <w:t>1,78</w:t>
            </w:r>
          </w:p>
        </w:tc>
      </w:tr>
    </w:tbl>
    <w:p w14:paraId="5ED83224" w14:textId="397E70ED" w:rsidR="00925367" w:rsidRPr="008E3315" w:rsidRDefault="00925367" w:rsidP="008E3315">
      <w:pPr>
        <w:pStyle w:val="Zdroj"/>
        <w:spacing w:before="40"/>
        <w:ind w:left="0"/>
        <w:rPr>
          <w:i w:val="0"/>
          <w:noProof/>
        </w:rPr>
      </w:pPr>
      <w:r w:rsidRPr="008E3315">
        <w:rPr>
          <w:b/>
          <w:i w:val="0"/>
          <w:noProof/>
        </w:rPr>
        <w:t>Zd</w:t>
      </w:r>
      <w:r w:rsidR="00BA0E10" w:rsidRPr="008E3315">
        <w:rPr>
          <w:b/>
          <w:i w:val="0"/>
          <w:noProof/>
        </w:rPr>
        <w:t>roj:</w:t>
      </w:r>
      <w:r w:rsidR="00BA0E10" w:rsidRPr="008E3315">
        <w:rPr>
          <w:i w:val="0"/>
          <w:noProof/>
        </w:rPr>
        <w:t xml:space="preserve"> </w:t>
      </w:r>
      <w:r w:rsidR="0045362F">
        <w:rPr>
          <w:i w:val="0"/>
          <w:noProof/>
        </w:rPr>
        <w:t>vy</w:t>
      </w:r>
      <w:r w:rsidRPr="008E3315">
        <w:rPr>
          <w:i w:val="0"/>
          <w:noProof/>
        </w:rPr>
        <w:t>pracováno NKÚ z dokladů fakultních nemocnic, sdělení fakultních nemocnic</w:t>
      </w:r>
      <w:r w:rsidR="00BA0E10" w:rsidRPr="008E3315">
        <w:rPr>
          <w:i w:val="0"/>
          <w:noProof/>
        </w:rPr>
        <w:t>.</w:t>
      </w:r>
    </w:p>
    <w:p w14:paraId="0CD28153" w14:textId="37DF7257" w:rsidR="00925367" w:rsidRPr="008E3315" w:rsidRDefault="00925367" w:rsidP="008E3315">
      <w:pPr>
        <w:spacing w:before="120"/>
        <w:rPr>
          <w:rFonts w:cstheme="minorHAnsi"/>
          <w:noProof/>
          <w:color w:val="000000" w:themeColor="text1"/>
          <w:szCs w:val="24"/>
        </w:rPr>
      </w:pPr>
      <w:r w:rsidRPr="008E3315">
        <w:rPr>
          <w:rFonts w:cstheme="minorHAnsi"/>
          <w:noProof/>
          <w:color w:val="000000" w:themeColor="text1"/>
          <w:szCs w:val="24"/>
        </w:rPr>
        <w:t xml:space="preserve">NKÚ při kontrole zjistil rozdíly v jednotkových průměrných cenách za úklid </w:t>
      </w:r>
      <w:r w:rsidR="000C3071" w:rsidRPr="008E3315">
        <w:rPr>
          <w:rFonts w:cstheme="minorHAnsi"/>
          <w:noProof/>
          <w:color w:val="000000" w:themeColor="text1"/>
          <w:szCs w:val="24"/>
        </w:rPr>
        <w:t>1 m</w:t>
      </w:r>
      <w:r w:rsidR="000C3071" w:rsidRPr="008E3315">
        <w:rPr>
          <w:rFonts w:cstheme="minorHAnsi"/>
          <w:noProof/>
          <w:color w:val="000000" w:themeColor="text1"/>
          <w:szCs w:val="24"/>
          <w:vertAlign w:val="superscript"/>
        </w:rPr>
        <w:t>2</w:t>
      </w:r>
      <w:r w:rsidR="000C3071" w:rsidRPr="008E3315">
        <w:rPr>
          <w:rFonts w:cstheme="minorHAnsi"/>
          <w:noProof/>
          <w:color w:val="000000" w:themeColor="text1"/>
          <w:szCs w:val="24"/>
        </w:rPr>
        <w:t xml:space="preserve"> </w:t>
      </w:r>
      <w:r w:rsidRPr="008E3315">
        <w:rPr>
          <w:rFonts w:cstheme="minorHAnsi"/>
          <w:noProof/>
          <w:color w:val="000000" w:themeColor="text1"/>
          <w:szCs w:val="24"/>
        </w:rPr>
        <w:t>ve vybraných nemocničních prostorách, FNB měla jednotkové ceny nejnižší</w:t>
      </w:r>
      <w:r w:rsidR="0045362F">
        <w:rPr>
          <w:rFonts w:cstheme="minorHAnsi"/>
          <w:noProof/>
          <w:color w:val="000000" w:themeColor="text1"/>
          <w:szCs w:val="24"/>
        </w:rPr>
        <w:t>,</w:t>
      </w:r>
      <w:r w:rsidRPr="008E3315">
        <w:rPr>
          <w:rFonts w:cstheme="minorHAnsi"/>
          <w:noProof/>
          <w:color w:val="000000" w:themeColor="text1"/>
          <w:szCs w:val="24"/>
        </w:rPr>
        <w:t xml:space="preserve"> kromě ceny za úklid čekárny. </w:t>
      </w:r>
      <w:r w:rsidR="00A62436" w:rsidRPr="008E3315">
        <w:rPr>
          <w:rFonts w:cstheme="minorHAnsi"/>
          <w:noProof/>
          <w:color w:val="000000" w:themeColor="text1"/>
          <w:szCs w:val="24"/>
        </w:rPr>
        <w:t xml:space="preserve">Největší rozdíl NKÚ zjistil u ceny za úklid </w:t>
      </w:r>
      <w:r w:rsidR="0045362F">
        <w:rPr>
          <w:rFonts w:cstheme="minorHAnsi"/>
          <w:noProof/>
          <w:color w:val="000000" w:themeColor="text1"/>
          <w:szCs w:val="24"/>
        </w:rPr>
        <w:t>1</w:t>
      </w:r>
      <w:r w:rsidR="00A62436" w:rsidRPr="008E3315">
        <w:rPr>
          <w:rFonts w:cstheme="minorHAnsi"/>
          <w:noProof/>
          <w:color w:val="000000" w:themeColor="text1"/>
          <w:szCs w:val="24"/>
        </w:rPr>
        <w:t xml:space="preserve"> m</w:t>
      </w:r>
      <w:r w:rsidR="00A62436" w:rsidRPr="008E3315">
        <w:rPr>
          <w:rFonts w:cstheme="minorHAnsi"/>
          <w:noProof/>
          <w:color w:val="000000" w:themeColor="text1"/>
          <w:szCs w:val="24"/>
          <w:vertAlign w:val="superscript"/>
        </w:rPr>
        <w:t>2</w:t>
      </w:r>
      <w:r w:rsidR="00A62436" w:rsidRPr="008E3315">
        <w:rPr>
          <w:rFonts w:cstheme="minorHAnsi"/>
          <w:noProof/>
          <w:color w:val="000000" w:themeColor="text1"/>
          <w:szCs w:val="24"/>
        </w:rPr>
        <w:t xml:space="preserve"> laboratoře ve výši </w:t>
      </w:r>
      <w:r w:rsidR="00BA3A98" w:rsidRPr="008E3315">
        <w:rPr>
          <w:rFonts w:cstheme="minorHAnsi"/>
          <w:noProof/>
          <w:color w:val="000000" w:themeColor="text1"/>
          <w:szCs w:val="24"/>
        </w:rPr>
        <w:t>3,30 Kč bez DPH, kdy ÚVN ji měla nejvyšší a FNB nejnižší. Jednotkové ceny za 1 m</w:t>
      </w:r>
      <w:r w:rsidR="00BA3A98" w:rsidRPr="008E3315">
        <w:rPr>
          <w:rFonts w:cstheme="minorHAnsi"/>
          <w:noProof/>
          <w:color w:val="000000" w:themeColor="text1"/>
          <w:szCs w:val="24"/>
          <w:vertAlign w:val="superscript"/>
        </w:rPr>
        <w:t>2</w:t>
      </w:r>
      <w:r w:rsidR="00BA3A98" w:rsidRPr="008E3315">
        <w:rPr>
          <w:rFonts w:cstheme="minorHAnsi"/>
          <w:noProof/>
          <w:color w:val="000000" w:themeColor="text1"/>
          <w:szCs w:val="24"/>
        </w:rPr>
        <w:t xml:space="preserve"> úklidu čekárny byly u všech FN srovnatelné.</w:t>
      </w:r>
      <w:r w:rsidR="00A62436" w:rsidRPr="008E3315">
        <w:rPr>
          <w:rFonts w:cstheme="minorHAnsi"/>
          <w:noProof/>
          <w:color w:val="000000" w:themeColor="text1"/>
          <w:szCs w:val="24"/>
        </w:rPr>
        <w:t xml:space="preserve"> </w:t>
      </w:r>
      <w:r w:rsidRPr="008E3315">
        <w:rPr>
          <w:rFonts w:cstheme="minorHAnsi"/>
          <w:noProof/>
          <w:color w:val="000000" w:themeColor="text1"/>
          <w:szCs w:val="24"/>
        </w:rPr>
        <w:t>Rozdílné ceny byly ovlivněny metodou úklidu, druhem povrchu k</w:t>
      </w:r>
      <w:r w:rsidR="004D1254" w:rsidRPr="008E3315">
        <w:rPr>
          <w:rFonts w:cstheme="minorHAnsi"/>
          <w:noProof/>
          <w:color w:val="000000" w:themeColor="text1"/>
          <w:szCs w:val="24"/>
        </w:rPr>
        <w:t>rytiny a </w:t>
      </w:r>
      <w:r w:rsidR="008534DD" w:rsidRPr="008E3315">
        <w:rPr>
          <w:rFonts w:cstheme="minorHAnsi"/>
          <w:noProof/>
          <w:color w:val="000000" w:themeColor="text1"/>
          <w:szCs w:val="24"/>
        </w:rPr>
        <w:t>režimovými opatřeními.</w:t>
      </w:r>
    </w:p>
    <w:p w14:paraId="48A17848" w14:textId="60E88620" w:rsidR="00811E6B" w:rsidRPr="008E3315" w:rsidRDefault="008E3315" w:rsidP="00757BF0">
      <w:pPr>
        <w:spacing w:before="240" w:after="120"/>
        <w:rPr>
          <w:rFonts w:cstheme="minorHAnsi"/>
          <w:b/>
          <w:noProof/>
          <w:color w:val="000000" w:themeColor="text1"/>
          <w:szCs w:val="24"/>
        </w:rPr>
      </w:pPr>
      <w:r>
        <w:rPr>
          <w:rFonts w:cstheme="minorHAnsi"/>
          <w:b/>
          <w:noProof/>
          <w:color w:val="000000" w:themeColor="text1"/>
          <w:szCs w:val="24"/>
        </w:rPr>
        <w:t xml:space="preserve">1.10 </w:t>
      </w:r>
      <w:r w:rsidR="00925367" w:rsidRPr="008E3315">
        <w:rPr>
          <w:rFonts w:cstheme="minorHAnsi"/>
          <w:b/>
          <w:noProof/>
          <w:color w:val="000000" w:themeColor="text1"/>
          <w:szCs w:val="24"/>
        </w:rPr>
        <w:t>Právní a poradenské služby</w:t>
      </w:r>
    </w:p>
    <w:p w14:paraId="32DE0660" w14:textId="365326AC" w:rsidR="004C5853" w:rsidRPr="008E3315" w:rsidRDefault="00925367" w:rsidP="008E3315">
      <w:pPr>
        <w:autoSpaceDE w:val="0"/>
        <w:autoSpaceDN w:val="0"/>
        <w:adjustRightInd w:val="0"/>
        <w:spacing w:before="120"/>
        <w:rPr>
          <w:noProof/>
          <w:szCs w:val="24"/>
        </w:rPr>
      </w:pPr>
      <w:r w:rsidRPr="008E3315">
        <w:rPr>
          <w:noProof/>
          <w:szCs w:val="24"/>
        </w:rPr>
        <w:t>Fakultní nemocnice zajišťovaly právní služby v kontrolovaném období externě i</w:t>
      </w:r>
      <w:r w:rsidR="0030065C" w:rsidRPr="008E3315">
        <w:rPr>
          <w:noProof/>
          <w:szCs w:val="24"/>
        </w:rPr>
        <w:t> </w:t>
      </w:r>
      <w:r w:rsidRPr="008E3315">
        <w:rPr>
          <w:noProof/>
          <w:szCs w:val="24"/>
        </w:rPr>
        <w:t>prostřednictvím svých právních oddělení, poradenské služby jim zajišťovali dodavatelé.</w:t>
      </w:r>
      <w:r w:rsidR="0023125A" w:rsidRPr="008E3315">
        <w:rPr>
          <w:noProof/>
          <w:szCs w:val="24"/>
        </w:rPr>
        <w:t xml:space="preserve"> </w:t>
      </w:r>
    </w:p>
    <w:p w14:paraId="273FD142" w14:textId="74727A75" w:rsidR="004C5853" w:rsidRPr="00852FFB" w:rsidRDefault="004C5853" w:rsidP="008C6807">
      <w:pPr>
        <w:tabs>
          <w:tab w:val="right" w:pos="9072"/>
        </w:tabs>
        <w:spacing w:before="120" w:after="40"/>
        <w:rPr>
          <w:rFonts w:cstheme="minorHAnsi"/>
          <w:b/>
          <w:noProof/>
          <w:color w:val="000000" w:themeColor="text1"/>
          <w:szCs w:val="28"/>
        </w:rPr>
      </w:pPr>
      <w:r w:rsidRPr="00852FFB">
        <w:rPr>
          <w:rFonts w:cstheme="minorHAnsi"/>
          <w:b/>
          <w:noProof/>
          <w:color w:val="000000" w:themeColor="text1"/>
          <w:szCs w:val="24"/>
        </w:rPr>
        <w:t>Tabulka č. 13</w:t>
      </w:r>
      <w:r w:rsidR="00662821" w:rsidRPr="00852FFB">
        <w:rPr>
          <w:rFonts w:cstheme="minorHAnsi"/>
          <w:b/>
          <w:noProof/>
          <w:color w:val="000000" w:themeColor="text1"/>
          <w:szCs w:val="24"/>
        </w:rPr>
        <w:t xml:space="preserve">: </w:t>
      </w:r>
      <w:r w:rsidR="000E2EC7" w:rsidRPr="00852FFB">
        <w:rPr>
          <w:rFonts w:cstheme="minorHAnsi"/>
          <w:b/>
          <w:noProof/>
          <w:color w:val="000000" w:themeColor="text1"/>
          <w:szCs w:val="24"/>
        </w:rPr>
        <w:t>Náklady na p</w:t>
      </w:r>
      <w:r w:rsidR="00662821" w:rsidRPr="00852FFB">
        <w:rPr>
          <w:rFonts w:cstheme="minorHAnsi"/>
          <w:b/>
          <w:noProof/>
          <w:color w:val="000000" w:themeColor="text1"/>
          <w:szCs w:val="28"/>
        </w:rPr>
        <w:t>rávní a poradenské služby</w:t>
      </w:r>
      <w:r w:rsidRPr="00852FFB">
        <w:rPr>
          <w:rFonts w:cstheme="minorHAnsi"/>
          <w:b/>
          <w:noProof/>
          <w:color w:val="000000" w:themeColor="text1"/>
          <w:szCs w:val="28"/>
        </w:rPr>
        <w:tab/>
        <w:t>(</w:t>
      </w:r>
      <w:r w:rsidR="0045362F">
        <w:rPr>
          <w:rFonts w:cstheme="minorHAnsi"/>
          <w:b/>
          <w:noProof/>
          <w:color w:val="000000" w:themeColor="text1"/>
          <w:szCs w:val="28"/>
        </w:rPr>
        <w:t>v </w:t>
      </w:r>
      <w:r w:rsidRPr="00852FFB">
        <w:rPr>
          <w:rFonts w:cstheme="minorHAnsi"/>
          <w:b/>
          <w:noProof/>
          <w:color w:val="000000" w:themeColor="text1"/>
          <w:szCs w:val="28"/>
        </w:rPr>
        <w:t>tis. Kč)</w:t>
      </w:r>
    </w:p>
    <w:tbl>
      <w:tblPr>
        <w:tblW w:w="5000" w:type="pct"/>
        <w:tblCellMar>
          <w:left w:w="70" w:type="dxa"/>
          <w:right w:w="70" w:type="dxa"/>
        </w:tblCellMar>
        <w:tblLook w:val="04A0" w:firstRow="1" w:lastRow="0" w:firstColumn="1" w:lastColumn="0" w:noHBand="0" w:noVBand="1"/>
      </w:tblPr>
      <w:tblGrid>
        <w:gridCol w:w="704"/>
        <w:gridCol w:w="2017"/>
        <w:gridCol w:w="2113"/>
        <w:gridCol w:w="2115"/>
        <w:gridCol w:w="2113"/>
      </w:tblGrid>
      <w:tr w:rsidR="004C5853" w:rsidRPr="00852FFB" w14:paraId="2DCAF9BF" w14:textId="77777777" w:rsidTr="00852FFB">
        <w:trPr>
          <w:trHeight w:val="283"/>
        </w:trPr>
        <w:tc>
          <w:tcPr>
            <w:tcW w:w="1501" w:type="pct"/>
            <w:gridSpan w:val="2"/>
            <w:tcBorders>
              <w:top w:val="single" w:sz="4" w:space="0" w:color="auto"/>
              <w:left w:val="single" w:sz="4" w:space="0" w:color="auto"/>
              <w:bottom w:val="single" w:sz="4" w:space="0" w:color="auto"/>
              <w:right w:val="single" w:sz="4" w:space="0" w:color="auto"/>
            </w:tcBorders>
            <w:shd w:val="clear" w:color="auto" w:fill="E5F1FF"/>
            <w:noWrap/>
            <w:vAlign w:val="center"/>
          </w:tcPr>
          <w:p w14:paraId="564B95FC" w14:textId="2DBDCADA" w:rsidR="004C5853" w:rsidRPr="00852FFB" w:rsidRDefault="004C5853" w:rsidP="00A62436">
            <w:pPr>
              <w:jc w:val="center"/>
              <w:rPr>
                <w:rFonts w:ascii="Calibri" w:hAnsi="Calibri" w:cs="Calibri"/>
                <w:b/>
                <w:bCs/>
                <w:color w:val="000000"/>
                <w:sz w:val="20"/>
              </w:rPr>
            </w:pPr>
          </w:p>
        </w:tc>
        <w:tc>
          <w:tcPr>
            <w:tcW w:w="1166" w:type="pct"/>
            <w:tcBorders>
              <w:top w:val="single" w:sz="4" w:space="0" w:color="auto"/>
              <w:left w:val="nil"/>
              <w:bottom w:val="single" w:sz="4" w:space="0" w:color="auto"/>
              <w:right w:val="single" w:sz="4" w:space="0" w:color="auto"/>
            </w:tcBorders>
            <w:shd w:val="clear" w:color="auto" w:fill="E5F1FF"/>
            <w:noWrap/>
            <w:vAlign w:val="center"/>
          </w:tcPr>
          <w:p w14:paraId="2CC5C98D" w14:textId="029073D6" w:rsidR="004C5853" w:rsidRPr="00852FFB" w:rsidRDefault="004C5853" w:rsidP="00A62436">
            <w:pPr>
              <w:jc w:val="center"/>
              <w:rPr>
                <w:rFonts w:ascii="Calibri" w:hAnsi="Calibri" w:cs="Calibri"/>
                <w:b/>
                <w:bCs/>
                <w:color w:val="000000"/>
                <w:sz w:val="20"/>
              </w:rPr>
            </w:pPr>
            <w:r w:rsidRPr="00852FFB">
              <w:rPr>
                <w:rFonts w:ascii="Calibri" w:hAnsi="Calibri" w:cs="Calibri"/>
                <w:b/>
                <w:bCs/>
                <w:color w:val="000000"/>
                <w:sz w:val="20"/>
              </w:rPr>
              <w:t>2014</w:t>
            </w:r>
          </w:p>
        </w:tc>
        <w:tc>
          <w:tcPr>
            <w:tcW w:w="1167" w:type="pct"/>
            <w:tcBorders>
              <w:top w:val="single" w:sz="4" w:space="0" w:color="auto"/>
              <w:left w:val="nil"/>
              <w:bottom w:val="single" w:sz="4" w:space="0" w:color="auto"/>
              <w:right w:val="single" w:sz="4" w:space="0" w:color="auto"/>
            </w:tcBorders>
            <w:shd w:val="clear" w:color="auto" w:fill="E5F1FF"/>
            <w:noWrap/>
            <w:vAlign w:val="center"/>
          </w:tcPr>
          <w:p w14:paraId="3AD1FA5E" w14:textId="640C7D6A" w:rsidR="004C5853" w:rsidRPr="00852FFB" w:rsidRDefault="004C5853" w:rsidP="00A62436">
            <w:pPr>
              <w:jc w:val="center"/>
              <w:rPr>
                <w:rFonts w:ascii="Calibri" w:hAnsi="Calibri" w:cs="Calibri"/>
                <w:b/>
                <w:bCs/>
                <w:color w:val="000000"/>
                <w:sz w:val="20"/>
              </w:rPr>
            </w:pPr>
            <w:r w:rsidRPr="00852FFB">
              <w:rPr>
                <w:rFonts w:ascii="Calibri" w:hAnsi="Calibri" w:cs="Calibri"/>
                <w:b/>
                <w:bCs/>
                <w:color w:val="000000"/>
                <w:sz w:val="20"/>
              </w:rPr>
              <w:t>2015</w:t>
            </w:r>
          </w:p>
        </w:tc>
        <w:tc>
          <w:tcPr>
            <w:tcW w:w="1166" w:type="pct"/>
            <w:tcBorders>
              <w:top w:val="single" w:sz="4" w:space="0" w:color="auto"/>
              <w:left w:val="nil"/>
              <w:bottom w:val="single" w:sz="4" w:space="0" w:color="auto"/>
              <w:right w:val="single" w:sz="4" w:space="0" w:color="auto"/>
            </w:tcBorders>
            <w:shd w:val="clear" w:color="auto" w:fill="E5F1FF"/>
            <w:noWrap/>
            <w:vAlign w:val="center"/>
          </w:tcPr>
          <w:p w14:paraId="247EC151" w14:textId="20406851" w:rsidR="004C5853" w:rsidRPr="00852FFB" w:rsidRDefault="004C5853" w:rsidP="00A62436">
            <w:pPr>
              <w:jc w:val="center"/>
              <w:rPr>
                <w:rFonts w:ascii="Calibri" w:hAnsi="Calibri" w:cs="Calibri"/>
                <w:b/>
                <w:bCs/>
                <w:color w:val="000000"/>
                <w:sz w:val="20"/>
              </w:rPr>
            </w:pPr>
            <w:r w:rsidRPr="00852FFB">
              <w:rPr>
                <w:rFonts w:ascii="Calibri" w:hAnsi="Calibri" w:cs="Calibri"/>
                <w:b/>
                <w:bCs/>
                <w:color w:val="000000"/>
                <w:sz w:val="20"/>
              </w:rPr>
              <w:t>2016</w:t>
            </w:r>
          </w:p>
        </w:tc>
      </w:tr>
      <w:tr w:rsidR="00852FFB" w:rsidRPr="00852FFB" w14:paraId="4A87C890" w14:textId="77777777" w:rsidTr="00852FFB">
        <w:trPr>
          <w:trHeight w:val="283"/>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AF564F0" w14:textId="2F720FC0" w:rsidR="00852FFB" w:rsidRPr="00852FFB" w:rsidRDefault="00852FFB" w:rsidP="00852FFB">
            <w:pPr>
              <w:jc w:val="left"/>
              <w:rPr>
                <w:rFonts w:ascii="Calibri" w:hAnsi="Calibri" w:cs="Calibri"/>
                <w:color w:val="000000"/>
                <w:sz w:val="20"/>
              </w:rPr>
            </w:pPr>
            <w:r w:rsidRPr="00852FFB">
              <w:rPr>
                <w:rFonts w:ascii="Calibri" w:hAnsi="Calibri" w:cs="Calibri"/>
                <w:color w:val="000000"/>
                <w:sz w:val="20"/>
              </w:rPr>
              <w:t>FNM</w:t>
            </w:r>
          </w:p>
        </w:tc>
        <w:tc>
          <w:tcPr>
            <w:tcW w:w="1113" w:type="pct"/>
            <w:tcBorders>
              <w:top w:val="nil"/>
              <w:left w:val="single" w:sz="4" w:space="0" w:color="auto"/>
              <w:bottom w:val="single" w:sz="4" w:space="0" w:color="auto"/>
              <w:right w:val="single" w:sz="4" w:space="0" w:color="auto"/>
            </w:tcBorders>
            <w:shd w:val="clear" w:color="auto" w:fill="auto"/>
            <w:vAlign w:val="center"/>
          </w:tcPr>
          <w:p w14:paraId="5EDBEC80" w14:textId="12325132" w:rsidR="00852FFB" w:rsidRPr="00852FFB" w:rsidRDefault="0045362F" w:rsidP="00852FFB">
            <w:pPr>
              <w:jc w:val="left"/>
              <w:rPr>
                <w:rFonts w:ascii="Calibri" w:hAnsi="Calibri" w:cs="Calibri"/>
                <w:color w:val="000000"/>
                <w:sz w:val="20"/>
              </w:rPr>
            </w:pPr>
            <w:r>
              <w:rPr>
                <w:rFonts w:ascii="Calibri" w:hAnsi="Calibri" w:cs="Calibri"/>
                <w:color w:val="000000"/>
                <w:sz w:val="20"/>
              </w:rPr>
              <w:t>P</w:t>
            </w:r>
            <w:r w:rsidR="00852FFB" w:rsidRPr="00852FFB">
              <w:rPr>
                <w:rFonts w:ascii="Calibri" w:hAnsi="Calibri" w:cs="Calibri"/>
                <w:color w:val="000000"/>
                <w:sz w:val="20"/>
              </w:rPr>
              <w:t>rávní služby</w:t>
            </w:r>
          </w:p>
        </w:tc>
        <w:tc>
          <w:tcPr>
            <w:tcW w:w="1166" w:type="pct"/>
            <w:tcBorders>
              <w:top w:val="nil"/>
              <w:left w:val="nil"/>
              <w:bottom w:val="single" w:sz="4" w:space="0" w:color="auto"/>
              <w:right w:val="single" w:sz="4" w:space="0" w:color="auto"/>
            </w:tcBorders>
            <w:shd w:val="clear" w:color="auto" w:fill="auto"/>
            <w:noWrap/>
            <w:vAlign w:val="center"/>
          </w:tcPr>
          <w:p w14:paraId="360CDBB8" w14:textId="73D4EF07" w:rsidR="00852FFB" w:rsidRPr="00852FFB" w:rsidRDefault="00852FFB" w:rsidP="00852FFB">
            <w:pPr>
              <w:ind w:right="799"/>
              <w:jc w:val="right"/>
              <w:rPr>
                <w:rFonts w:ascii="Calibri" w:hAnsi="Calibri" w:cs="Calibri"/>
                <w:color w:val="000000"/>
                <w:sz w:val="20"/>
              </w:rPr>
            </w:pPr>
            <w:r w:rsidRPr="00852FFB">
              <w:rPr>
                <w:rFonts w:ascii="Calibri" w:hAnsi="Calibri" w:cs="Calibri"/>
                <w:color w:val="000000"/>
                <w:sz w:val="20"/>
              </w:rPr>
              <w:t>2 511,46</w:t>
            </w:r>
          </w:p>
        </w:tc>
        <w:tc>
          <w:tcPr>
            <w:tcW w:w="1167" w:type="pct"/>
            <w:tcBorders>
              <w:top w:val="nil"/>
              <w:left w:val="nil"/>
              <w:bottom w:val="single" w:sz="4" w:space="0" w:color="auto"/>
              <w:right w:val="single" w:sz="4" w:space="0" w:color="auto"/>
            </w:tcBorders>
            <w:shd w:val="clear" w:color="auto" w:fill="auto"/>
            <w:noWrap/>
            <w:vAlign w:val="center"/>
          </w:tcPr>
          <w:p w14:paraId="2655E6EE" w14:textId="6933E4C8" w:rsidR="00852FFB" w:rsidRPr="00852FFB" w:rsidRDefault="00852FFB" w:rsidP="00852FFB">
            <w:pPr>
              <w:ind w:right="799"/>
              <w:jc w:val="right"/>
              <w:rPr>
                <w:rFonts w:ascii="Calibri" w:hAnsi="Calibri" w:cs="Calibri"/>
                <w:color w:val="000000"/>
                <w:sz w:val="20"/>
              </w:rPr>
            </w:pPr>
            <w:r w:rsidRPr="00852FFB">
              <w:rPr>
                <w:rFonts w:ascii="Calibri" w:hAnsi="Calibri" w:cs="Calibri"/>
                <w:color w:val="000000"/>
                <w:sz w:val="20"/>
              </w:rPr>
              <w:t>1 707,30</w:t>
            </w:r>
          </w:p>
        </w:tc>
        <w:tc>
          <w:tcPr>
            <w:tcW w:w="1166" w:type="pct"/>
            <w:tcBorders>
              <w:top w:val="nil"/>
              <w:left w:val="nil"/>
              <w:bottom w:val="single" w:sz="4" w:space="0" w:color="auto"/>
              <w:right w:val="single" w:sz="4" w:space="0" w:color="auto"/>
            </w:tcBorders>
            <w:shd w:val="clear" w:color="auto" w:fill="auto"/>
            <w:noWrap/>
            <w:vAlign w:val="center"/>
          </w:tcPr>
          <w:p w14:paraId="4888FE12" w14:textId="4FA72EF2" w:rsidR="00852FFB" w:rsidRPr="00852FFB" w:rsidRDefault="00852FFB" w:rsidP="00852FFB">
            <w:pPr>
              <w:ind w:right="799"/>
              <w:jc w:val="right"/>
              <w:rPr>
                <w:rFonts w:ascii="Calibri" w:hAnsi="Calibri" w:cs="Calibri"/>
                <w:color w:val="000000"/>
                <w:sz w:val="20"/>
              </w:rPr>
            </w:pPr>
            <w:r w:rsidRPr="00852FFB">
              <w:rPr>
                <w:rFonts w:ascii="Calibri" w:hAnsi="Calibri" w:cs="Calibri"/>
                <w:color w:val="000000"/>
                <w:sz w:val="20"/>
              </w:rPr>
              <w:t>1 024,08</w:t>
            </w:r>
          </w:p>
        </w:tc>
      </w:tr>
      <w:tr w:rsidR="00852FFB" w:rsidRPr="00852FFB" w14:paraId="2E32B810" w14:textId="77777777" w:rsidTr="00BA09ED">
        <w:trPr>
          <w:trHeight w:val="283"/>
        </w:trPr>
        <w:tc>
          <w:tcPr>
            <w:tcW w:w="388" w:type="pct"/>
            <w:vMerge w:val="restart"/>
            <w:tcBorders>
              <w:top w:val="single" w:sz="4" w:space="0" w:color="auto"/>
              <w:left w:val="single" w:sz="4" w:space="0" w:color="auto"/>
              <w:right w:val="single" w:sz="4" w:space="0" w:color="auto"/>
            </w:tcBorders>
            <w:shd w:val="clear" w:color="auto" w:fill="auto"/>
            <w:noWrap/>
            <w:vAlign w:val="center"/>
          </w:tcPr>
          <w:p w14:paraId="19AEBA67" w14:textId="307A7246" w:rsidR="00852FFB" w:rsidRPr="00852FFB" w:rsidRDefault="00852FFB" w:rsidP="00852FFB">
            <w:pPr>
              <w:jc w:val="left"/>
              <w:rPr>
                <w:rFonts w:ascii="Calibri" w:hAnsi="Calibri" w:cs="Calibri"/>
                <w:color w:val="000000"/>
                <w:sz w:val="20"/>
              </w:rPr>
            </w:pPr>
            <w:r w:rsidRPr="00852FFB">
              <w:rPr>
                <w:rFonts w:ascii="Calibri" w:hAnsi="Calibri" w:cs="Calibri"/>
                <w:color w:val="000000"/>
                <w:sz w:val="20"/>
              </w:rPr>
              <w:t>ÚVN</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562615DA" w14:textId="2F61999F" w:rsidR="00852FFB" w:rsidRPr="00852FFB" w:rsidRDefault="0045362F" w:rsidP="00852FFB">
            <w:pPr>
              <w:jc w:val="left"/>
              <w:rPr>
                <w:rFonts w:ascii="Calibri" w:hAnsi="Calibri" w:cs="Calibri"/>
                <w:color w:val="000000"/>
                <w:sz w:val="20"/>
              </w:rPr>
            </w:pPr>
            <w:r>
              <w:rPr>
                <w:rFonts w:ascii="Calibri" w:hAnsi="Calibri" w:cs="Calibri"/>
                <w:color w:val="000000"/>
                <w:sz w:val="20"/>
              </w:rPr>
              <w:t>P</w:t>
            </w:r>
            <w:r w:rsidR="00852FFB" w:rsidRPr="00852FFB">
              <w:rPr>
                <w:rFonts w:ascii="Calibri" w:hAnsi="Calibri" w:cs="Calibri"/>
                <w:color w:val="000000"/>
                <w:sz w:val="20"/>
              </w:rPr>
              <w:t>rávní služby</w:t>
            </w:r>
          </w:p>
        </w:tc>
        <w:tc>
          <w:tcPr>
            <w:tcW w:w="1166" w:type="pct"/>
            <w:tcBorders>
              <w:top w:val="single" w:sz="4" w:space="0" w:color="auto"/>
              <w:left w:val="nil"/>
              <w:bottom w:val="single" w:sz="4" w:space="0" w:color="auto"/>
              <w:right w:val="single" w:sz="4" w:space="0" w:color="auto"/>
            </w:tcBorders>
            <w:shd w:val="clear" w:color="auto" w:fill="auto"/>
            <w:noWrap/>
            <w:vAlign w:val="center"/>
          </w:tcPr>
          <w:p w14:paraId="0E21285C" w14:textId="0A2C0952" w:rsidR="00852FFB" w:rsidRPr="00852FFB" w:rsidRDefault="00852FFB" w:rsidP="00852FFB">
            <w:pPr>
              <w:ind w:right="799"/>
              <w:jc w:val="right"/>
              <w:rPr>
                <w:rFonts w:ascii="Calibri" w:hAnsi="Calibri" w:cs="Calibri"/>
                <w:color w:val="000000"/>
                <w:sz w:val="20"/>
              </w:rPr>
            </w:pPr>
            <w:r w:rsidRPr="00852FFB">
              <w:rPr>
                <w:rFonts w:ascii="Calibri" w:hAnsi="Calibri" w:cs="Calibri"/>
                <w:color w:val="000000"/>
                <w:sz w:val="20"/>
              </w:rPr>
              <w:t>2 678,50</w:t>
            </w:r>
          </w:p>
        </w:tc>
        <w:tc>
          <w:tcPr>
            <w:tcW w:w="1167" w:type="pct"/>
            <w:tcBorders>
              <w:top w:val="single" w:sz="4" w:space="0" w:color="auto"/>
              <w:left w:val="nil"/>
              <w:bottom w:val="single" w:sz="4" w:space="0" w:color="auto"/>
              <w:right w:val="single" w:sz="4" w:space="0" w:color="auto"/>
            </w:tcBorders>
            <w:shd w:val="clear" w:color="auto" w:fill="auto"/>
            <w:noWrap/>
            <w:vAlign w:val="center"/>
          </w:tcPr>
          <w:p w14:paraId="291614EF" w14:textId="50A588B5" w:rsidR="00852FFB" w:rsidRPr="00852FFB" w:rsidRDefault="00852FFB" w:rsidP="00852FFB">
            <w:pPr>
              <w:ind w:right="799"/>
              <w:jc w:val="right"/>
              <w:rPr>
                <w:rFonts w:ascii="Calibri" w:hAnsi="Calibri" w:cs="Calibri"/>
                <w:color w:val="000000"/>
                <w:sz w:val="20"/>
              </w:rPr>
            </w:pPr>
            <w:r w:rsidRPr="00852FFB">
              <w:rPr>
                <w:rFonts w:ascii="Calibri" w:hAnsi="Calibri" w:cs="Calibri"/>
                <w:color w:val="000000"/>
                <w:sz w:val="20"/>
              </w:rPr>
              <w:t>3 249,70</w:t>
            </w:r>
          </w:p>
        </w:tc>
        <w:tc>
          <w:tcPr>
            <w:tcW w:w="1166" w:type="pct"/>
            <w:tcBorders>
              <w:top w:val="single" w:sz="4" w:space="0" w:color="auto"/>
              <w:left w:val="nil"/>
              <w:bottom w:val="single" w:sz="4" w:space="0" w:color="auto"/>
              <w:right w:val="single" w:sz="4" w:space="0" w:color="auto"/>
            </w:tcBorders>
            <w:shd w:val="clear" w:color="auto" w:fill="auto"/>
            <w:noWrap/>
            <w:vAlign w:val="center"/>
          </w:tcPr>
          <w:p w14:paraId="4F2DE18D" w14:textId="3292C9A6" w:rsidR="00852FFB" w:rsidRPr="00852FFB" w:rsidRDefault="00852FFB" w:rsidP="00852FFB">
            <w:pPr>
              <w:ind w:right="799"/>
              <w:jc w:val="right"/>
              <w:rPr>
                <w:rFonts w:ascii="Calibri" w:hAnsi="Calibri" w:cs="Calibri"/>
                <w:color w:val="000000"/>
                <w:sz w:val="20"/>
              </w:rPr>
            </w:pPr>
            <w:r w:rsidRPr="00852FFB">
              <w:rPr>
                <w:rFonts w:ascii="Calibri" w:hAnsi="Calibri" w:cs="Calibri"/>
                <w:color w:val="000000"/>
                <w:sz w:val="20"/>
              </w:rPr>
              <w:t>1 522,54</w:t>
            </w:r>
          </w:p>
        </w:tc>
      </w:tr>
      <w:tr w:rsidR="00852FFB" w:rsidRPr="00852FFB" w14:paraId="5D512A10" w14:textId="77777777" w:rsidTr="00BA09ED">
        <w:trPr>
          <w:trHeight w:val="283"/>
        </w:trPr>
        <w:tc>
          <w:tcPr>
            <w:tcW w:w="388" w:type="pct"/>
            <w:vMerge/>
            <w:tcBorders>
              <w:left w:val="single" w:sz="4" w:space="0" w:color="auto"/>
              <w:bottom w:val="single" w:sz="4" w:space="0" w:color="auto"/>
              <w:right w:val="single" w:sz="4" w:space="0" w:color="auto"/>
            </w:tcBorders>
            <w:shd w:val="clear" w:color="auto" w:fill="auto"/>
            <w:noWrap/>
            <w:vAlign w:val="center"/>
          </w:tcPr>
          <w:p w14:paraId="41DCF772" w14:textId="61D36137" w:rsidR="00852FFB" w:rsidRPr="00852FFB" w:rsidRDefault="00852FFB" w:rsidP="00852FFB">
            <w:pPr>
              <w:jc w:val="left"/>
              <w:rPr>
                <w:rFonts w:ascii="Calibri" w:hAnsi="Calibri" w:cs="Calibri"/>
                <w:color w:val="000000"/>
                <w:sz w:val="20"/>
              </w:rPr>
            </w:pP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1F04F441" w14:textId="4E4F33EA" w:rsidR="00852FFB" w:rsidRPr="00852FFB" w:rsidRDefault="0045362F" w:rsidP="00852FFB">
            <w:pPr>
              <w:jc w:val="left"/>
              <w:rPr>
                <w:rFonts w:ascii="Calibri" w:hAnsi="Calibri" w:cs="Calibri"/>
                <w:color w:val="000000"/>
                <w:sz w:val="20"/>
              </w:rPr>
            </w:pPr>
            <w:r>
              <w:rPr>
                <w:rFonts w:ascii="Calibri" w:hAnsi="Calibri" w:cs="Calibri"/>
                <w:color w:val="000000"/>
                <w:sz w:val="20"/>
              </w:rPr>
              <w:t>P</w:t>
            </w:r>
            <w:r w:rsidR="00852FFB" w:rsidRPr="00852FFB">
              <w:rPr>
                <w:rFonts w:ascii="Calibri" w:hAnsi="Calibri" w:cs="Calibri"/>
                <w:color w:val="000000"/>
                <w:sz w:val="20"/>
              </w:rPr>
              <w:t>oradenské služby</w:t>
            </w:r>
          </w:p>
        </w:tc>
        <w:tc>
          <w:tcPr>
            <w:tcW w:w="1166" w:type="pct"/>
            <w:tcBorders>
              <w:top w:val="single" w:sz="4" w:space="0" w:color="auto"/>
              <w:left w:val="nil"/>
              <w:bottom w:val="single" w:sz="4" w:space="0" w:color="auto"/>
              <w:right w:val="single" w:sz="4" w:space="0" w:color="auto"/>
            </w:tcBorders>
            <w:shd w:val="clear" w:color="auto" w:fill="auto"/>
            <w:noWrap/>
            <w:vAlign w:val="center"/>
          </w:tcPr>
          <w:p w14:paraId="1C1B25BA" w14:textId="10CC046A" w:rsidR="00852FFB" w:rsidRPr="00852FFB" w:rsidRDefault="00852FFB" w:rsidP="00852FFB">
            <w:pPr>
              <w:ind w:right="799"/>
              <w:jc w:val="right"/>
              <w:rPr>
                <w:rFonts w:ascii="Calibri" w:hAnsi="Calibri" w:cs="Calibri"/>
                <w:color w:val="000000"/>
                <w:sz w:val="20"/>
              </w:rPr>
            </w:pPr>
            <w:r w:rsidRPr="00852FFB">
              <w:rPr>
                <w:rFonts w:ascii="Calibri" w:hAnsi="Calibri" w:cs="Calibri"/>
                <w:color w:val="000000"/>
                <w:sz w:val="20"/>
              </w:rPr>
              <w:t>1 939,29</w:t>
            </w:r>
          </w:p>
        </w:tc>
        <w:tc>
          <w:tcPr>
            <w:tcW w:w="1167" w:type="pct"/>
            <w:tcBorders>
              <w:top w:val="single" w:sz="4" w:space="0" w:color="auto"/>
              <w:left w:val="nil"/>
              <w:bottom w:val="single" w:sz="4" w:space="0" w:color="auto"/>
              <w:right w:val="single" w:sz="4" w:space="0" w:color="auto"/>
            </w:tcBorders>
            <w:shd w:val="clear" w:color="auto" w:fill="auto"/>
            <w:noWrap/>
            <w:vAlign w:val="center"/>
          </w:tcPr>
          <w:p w14:paraId="58830851" w14:textId="5A81B3DB" w:rsidR="00852FFB" w:rsidRPr="00852FFB" w:rsidRDefault="00852FFB" w:rsidP="00852FFB">
            <w:pPr>
              <w:ind w:right="799"/>
              <w:jc w:val="right"/>
              <w:rPr>
                <w:rFonts w:ascii="Calibri" w:hAnsi="Calibri" w:cs="Calibri"/>
                <w:color w:val="000000"/>
                <w:sz w:val="20"/>
              </w:rPr>
            </w:pPr>
            <w:r w:rsidRPr="00852FFB">
              <w:rPr>
                <w:rFonts w:ascii="Calibri" w:hAnsi="Calibri" w:cs="Calibri"/>
                <w:color w:val="000000"/>
                <w:sz w:val="20"/>
              </w:rPr>
              <w:t>2 271,73</w:t>
            </w:r>
          </w:p>
        </w:tc>
        <w:tc>
          <w:tcPr>
            <w:tcW w:w="1166" w:type="pct"/>
            <w:tcBorders>
              <w:top w:val="single" w:sz="4" w:space="0" w:color="auto"/>
              <w:left w:val="nil"/>
              <w:bottom w:val="single" w:sz="4" w:space="0" w:color="auto"/>
              <w:right w:val="single" w:sz="4" w:space="0" w:color="auto"/>
            </w:tcBorders>
            <w:shd w:val="clear" w:color="auto" w:fill="auto"/>
            <w:noWrap/>
            <w:vAlign w:val="center"/>
          </w:tcPr>
          <w:p w14:paraId="35E2EAA9" w14:textId="76948A62" w:rsidR="00852FFB" w:rsidRPr="00852FFB" w:rsidRDefault="00852FFB" w:rsidP="00852FFB">
            <w:pPr>
              <w:ind w:right="799"/>
              <w:jc w:val="right"/>
              <w:rPr>
                <w:rFonts w:ascii="Calibri" w:hAnsi="Calibri" w:cs="Calibri"/>
                <w:color w:val="000000"/>
                <w:sz w:val="20"/>
              </w:rPr>
            </w:pPr>
            <w:r w:rsidRPr="00852FFB">
              <w:rPr>
                <w:rFonts w:ascii="Calibri" w:hAnsi="Calibri" w:cs="Calibri"/>
                <w:color w:val="000000"/>
                <w:sz w:val="20"/>
              </w:rPr>
              <w:t>526,20</w:t>
            </w:r>
          </w:p>
        </w:tc>
      </w:tr>
    </w:tbl>
    <w:p w14:paraId="45B91212" w14:textId="1B387738" w:rsidR="004C5853" w:rsidRPr="008C6807" w:rsidRDefault="004C5853" w:rsidP="008C6807">
      <w:pPr>
        <w:pStyle w:val="Zdroj"/>
        <w:spacing w:before="40"/>
        <w:ind w:left="567" w:hanging="567"/>
        <w:rPr>
          <w:i w:val="0"/>
          <w:noProof/>
        </w:rPr>
      </w:pPr>
      <w:r w:rsidRPr="008C6807">
        <w:rPr>
          <w:b/>
          <w:i w:val="0"/>
          <w:noProof/>
        </w:rPr>
        <w:t>Zdroj:</w:t>
      </w:r>
      <w:r w:rsidRPr="008C6807">
        <w:rPr>
          <w:i w:val="0"/>
          <w:noProof/>
        </w:rPr>
        <w:t xml:space="preserve"> </w:t>
      </w:r>
      <w:r w:rsidR="008C6807">
        <w:rPr>
          <w:i w:val="0"/>
          <w:noProof/>
        </w:rPr>
        <w:tab/>
      </w:r>
      <w:r w:rsidR="0045362F">
        <w:rPr>
          <w:i w:val="0"/>
          <w:noProof/>
        </w:rPr>
        <w:t>vy</w:t>
      </w:r>
      <w:r w:rsidRPr="008C6807">
        <w:rPr>
          <w:i w:val="0"/>
          <w:noProof/>
        </w:rPr>
        <w:t>pracováno NKÚ z dokladů fakultních</w:t>
      </w:r>
      <w:r w:rsidR="00B72983" w:rsidRPr="008C6807">
        <w:rPr>
          <w:i w:val="0"/>
          <w:noProof/>
        </w:rPr>
        <w:t xml:space="preserve"> nemocnic, hlavní</w:t>
      </w:r>
      <w:r w:rsidR="0045362F">
        <w:rPr>
          <w:i w:val="0"/>
          <w:noProof/>
        </w:rPr>
        <w:t>ch</w:t>
      </w:r>
      <w:r w:rsidR="00B72983" w:rsidRPr="008C6807">
        <w:rPr>
          <w:i w:val="0"/>
          <w:noProof/>
        </w:rPr>
        <w:t xml:space="preserve"> </w:t>
      </w:r>
      <w:r w:rsidR="0045362F">
        <w:rPr>
          <w:i w:val="0"/>
          <w:noProof/>
        </w:rPr>
        <w:t xml:space="preserve">účetních </w:t>
      </w:r>
      <w:r w:rsidR="00B72983" w:rsidRPr="008C6807">
        <w:rPr>
          <w:i w:val="0"/>
          <w:noProof/>
        </w:rPr>
        <w:t>knih jednotlivých FN k 31. 12. 2014, k 31. 12. 2015 a k 31. 12. 2016.</w:t>
      </w:r>
    </w:p>
    <w:p w14:paraId="0CD22588" w14:textId="6FF0C019" w:rsidR="00662821" w:rsidRPr="008C6807" w:rsidRDefault="00662821" w:rsidP="008C6807">
      <w:pPr>
        <w:pStyle w:val="Zdroj"/>
        <w:ind w:left="567" w:hanging="567"/>
        <w:rPr>
          <w:i w:val="0"/>
          <w:noProof/>
        </w:rPr>
      </w:pPr>
      <w:r w:rsidRPr="008C6807">
        <w:rPr>
          <w:b/>
          <w:i w:val="0"/>
          <w:noProof/>
        </w:rPr>
        <w:t>Pozn</w:t>
      </w:r>
      <w:r w:rsidR="0045362F">
        <w:rPr>
          <w:b/>
          <w:i w:val="0"/>
          <w:noProof/>
        </w:rPr>
        <w:t>.</w:t>
      </w:r>
      <w:r w:rsidRPr="008C6807">
        <w:rPr>
          <w:b/>
          <w:i w:val="0"/>
          <w:noProof/>
        </w:rPr>
        <w:t>:</w:t>
      </w:r>
      <w:r w:rsidRPr="008C6807">
        <w:rPr>
          <w:i w:val="0"/>
          <w:noProof/>
        </w:rPr>
        <w:t xml:space="preserve"> FNB neměla pro právní a poradenské služby v kontrolovaném období zřízen zvláštní analytický účet, tyto služby účtovala společně s ostatními službami na dvou analytických účtech. FNM neměla zřízen zvláštní analytický účet pro poradenské služby.</w:t>
      </w:r>
      <w:r w:rsidR="00CA4037" w:rsidRPr="008C6807">
        <w:rPr>
          <w:i w:val="0"/>
          <w:noProof/>
        </w:rPr>
        <w:t xml:space="preserve"> Samostatné vedení právních služeb na analytickém účtu žádný právní předpis nevyžadoval.</w:t>
      </w:r>
    </w:p>
    <w:p w14:paraId="687920AF" w14:textId="79B99D7F" w:rsidR="00925367" w:rsidRPr="008C6807" w:rsidRDefault="00925367" w:rsidP="008C6807">
      <w:pPr>
        <w:spacing w:before="120"/>
        <w:rPr>
          <w:strike/>
          <w:noProof/>
          <w:szCs w:val="24"/>
        </w:rPr>
      </w:pPr>
      <w:r w:rsidRPr="008C6807">
        <w:rPr>
          <w:noProof/>
          <w:szCs w:val="24"/>
        </w:rPr>
        <w:t xml:space="preserve">Kontrolou byly ověřovány náležitosti účetních dokladů, správnost jejich zaúčtování, dodržení smluvních cen na vybraném kontrolním vzorku a související veřejné zakázky. FNB a FNM v oblasti právních a poradenských služeb postupovaly v souladu s právními předpisy. </w:t>
      </w:r>
      <w:r w:rsidRPr="008C6807">
        <w:rPr>
          <w:b/>
          <w:noProof/>
          <w:szCs w:val="24"/>
        </w:rPr>
        <w:t>ÚVN neprováděla řádně kontrolu správnosti faktur (kontrolu ceny za poskytnuté služby, předmět plnění, splatnost, správnost a úplnost podkladů k fakturám) na právní služby ve výši 1 056 184,80 Kč vč. DPH a na poradenské služby ve výši 816 750 Kč vč. DPH v souladu se zákonem č. 320/2001 Sb.</w:t>
      </w:r>
      <w:r w:rsidRPr="008C6807">
        <w:rPr>
          <w:rStyle w:val="Znakapoznpodarou"/>
          <w:rFonts w:cstheme="minorHAnsi"/>
          <w:b/>
          <w:noProof/>
          <w:color w:val="000000" w:themeColor="text1"/>
          <w:szCs w:val="24"/>
        </w:rPr>
        <w:footnoteReference w:id="47"/>
      </w:r>
      <w:r w:rsidRPr="008C6807">
        <w:rPr>
          <w:noProof/>
          <w:szCs w:val="24"/>
        </w:rPr>
        <w:t xml:space="preserve">. </w:t>
      </w:r>
    </w:p>
    <w:p w14:paraId="16F53EB3" w14:textId="7D9C7B9D" w:rsidR="00DB1753" w:rsidRPr="008C6807" w:rsidRDefault="00DB1753" w:rsidP="008C6807">
      <w:pPr>
        <w:spacing w:before="120"/>
        <w:rPr>
          <w:rFonts w:cs="Calibri"/>
          <w:b/>
          <w:bCs/>
          <w:iCs/>
          <w:szCs w:val="24"/>
        </w:rPr>
      </w:pPr>
      <w:r w:rsidRPr="008C6807">
        <w:rPr>
          <w:rFonts w:cs="Calibri"/>
          <w:b/>
          <w:bCs/>
          <w:iCs/>
          <w:szCs w:val="24"/>
        </w:rPr>
        <w:t>ÚVN nevyužívala majetek účelně a hospodárně k výkonu stanovených činností v souladu se zákonem č. 219/2000 Sb.</w:t>
      </w:r>
      <w:r w:rsidRPr="008C6807">
        <w:rPr>
          <w:rStyle w:val="Znakapoznpodarou"/>
          <w:rFonts w:cs="Calibri"/>
          <w:b/>
          <w:bCs/>
          <w:iCs/>
          <w:szCs w:val="24"/>
        </w:rPr>
        <w:footnoteReference w:id="48"/>
      </w:r>
      <w:r w:rsidR="001345D1">
        <w:rPr>
          <w:rFonts w:cs="Calibri"/>
          <w:b/>
          <w:bCs/>
          <w:iCs/>
          <w:szCs w:val="24"/>
        </w:rPr>
        <w:t xml:space="preserve"> tím</w:t>
      </w:r>
      <w:r w:rsidRPr="008C6807">
        <w:rPr>
          <w:rFonts w:cs="Calibri"/>
          <w:b/>
          <w:bCs/>
          <w:iCs/>
          <w:szCs w:val="24"/>
        </w:rPr>
        <w:t xml:space="preserve">, </w:t>
      </w:r>
      <w:r w:rsidR="001345D1">
        <w:rPr>
          <w:rFonts w:cs="Calibri"/>
          <w:b/>
          <w:bCs/>
          <w:iCs/>
          <w:szCs w:val="24"/>
        </w:rPr>
        <w:t>že</w:t>
      </w:r>
      <w:r w:rsidRPr="008C6807">
        <w:rPr>
          <w:rFonts w:cs="Calibri"/>
          <w:b/>
          <w:bCs/>
          <w:iCs/>
          <w:szCs w:val="24"/>
        </w:rPr>
        <w:t xml:space="preserve"> průkazným způsobem nedoložila </w:t>
      </w:r>
      <w:r w:rsidR="00EA4233" w:rsidRPr="008C6807">
        <w:rPr>
          <w:rFonts w:cs="Calibri"/>
          <w:b/>
          <w:bCs/>
          <w:iCs/>
          <w:szCs w:val="24"/>
        </w:rPr>
        <w:t>podklady k jednotlivým položkám uvedeným na fakturách za</w:t>
      </w:r>
      <w:r w:rsidRPr="008C6807">
        <w:rPr>
          <w:rFonts w:cs="Calibri"/>
          <w:b/>
          <w:bCs/>
          <w:iCs/>
          <w:szCs w:val="24"/>
        </w:rPr>
        <w:t xml:space="preserve"> poskytnut</w:t>
      </w:r>
      <w:r w:rsidR="00EA4233" w:rsidRPr="008C6807">
        <w:rPr>
          <w:rFonts w:cs="Calibri"/>
          <w:b/>
          <w:bCs/>
          <w:iCs/>
          <w:szCs w:val="24"/>
        </w:rPr>
        <w:t>í</w:t>
      </w:r>
      <w:r w:rsidRPr="008C6807">
        <w:rPr>
          <w:rFonts w:cs="Calibri"/>
          <w:b/>
          <w:bCs/>
          <w:iCs/>
          <w:szCs w:val="24"/>
        </w:rPr>
        <w:t xml:space="preserve"> právních konzultací </w:t>
      </w:r>
      <w:r w:rsidR="004D1254" w:rsidRPr="008C6807">
        <w:rPr>
          <w:rFonts w:cs="Calibri"/>
          <w:b/>
          <w:bCs/>
          <w:iCs/>
          <w:szCs w:val="24"/>
        </w:rPr>
        <w:t>za rok </w:t>
      </w:r>
      <w:r w:rsidR="00EA4233" w:rsidRPr="008C6807">
        <w:rPr>
          <w:rFonts w:cs="Calibri"/>
          <w:b/>
          <w:bCs/>
          <w:iCs/>
          <w:szCs w:val="24"/>
        </w:rPr>
        <w:t xml:space="preserve">2015 </w:t>
      </w:r>
      <w:r w:rsidRPr="008C6807">
        <w:rPr>
          <w:rFonts w:cs="Calibri"/>
          <w:b/>
          <w:bCs/>
          <w:iCs/>
          <w:szCs w:val="24"/>
        </w:rPr>
        <w:t xml:space="preserve">na deseti fakturách ve výši 819 315,20 Kč včetně DPH a </w:t>
      </w:r>
      <w:r w:rsidR="00EA4233" w:rsidRPr="008C6807">
        <w:rPr>
          <w:rFonts w:cs="Calibri"/>
          <w:b/>
          <w:bCs/>
          <w:iCs/>
          <w:szCs w:val="24"/>
        </w:rPr>
        <w:t>za rok 2016 na pěti</w:t>
      </w:r>
      <w:r w:rsidRPr="008C6807">
        <w:rPr>
          <w:rFonts w:cs="Calibri"/>
          <w:b/>
          <w:bCs/>
          <w:iCs/>
          <w:szCs w:val="24"/>
        </w:rPr>
        <w:t xml:space="preserve"> fakturách ve výši </w:t>
      </w:r>
      <w:r w:rsidR="00EA4233" w:rsidRPr="008C6807">
        <w:rPr>
          <w:rFonts w:cs="Calibri"/>
          <w:b/>
          <w:bCs/>
          <w:iCs/>
          <w:szCs w:val="24"/>
        </w:rPr>
        <w:t xml:space="preserve">236 869,60 </w:t>
      </w:r>
      <w:r w:rsidR="005E4DD0" w:rsidRPr="008C6807">
        <w:rPr>
          <w:rFonts w:cs="Calibri"/>
          <w:b/>
          <w:bCs/>
          <w:iCs/>
          <w:szCs w:val="24"/>
        </w:rPr>
        <w:t>Kč včetně DPH.</w:t>
      </w:r>
    </w:p>
    <w:p w14:paraId="2F90860C" w14:textId="69B78077" w:rsidR="008D2B63" w:rsidRPr="008C6807" w:rsidRDefault="008C6807" w:rsidP="0045362F">
      <w:pPr>
        <w:keepNext/>
        <w:spacing w:before="240" w:after="120"/>
        <w:rPr>
          <w:rFonts w:cstheme="minorHAnsi"/>
          <w:b/>
          <w:noProof/>
          <w:color w:val="000000" w:themeColor="text1"/>
          <w:szCs w:val="24"/>
        </w:rPr>
      </w:pPr>
      <w:r>
        <w:rPr>
          <w:rFonts w:cstheme="minorHAnsi"/>
          <w:b/>
          <w:noProof/>
          <w:color w:val="000000" w:themeColor="text1"/>
          <w:szCs w:val="24"/>
        </w:rPr>
        <w:t xml:space="preserve">1.11 </w:t>
      </w:r>
      <w:r w:rsidR="0023125A" w:rsidRPr="008C6807">
        <w:rPr>
          <w:rFonts w:cstheme="minorHAnsi"/>
          <w:b/>
          <w:noProof/>
          <w:color w:val="000000" w:themeColor="text1"/>
          <w:szCs w:val="24"/>
        </w:rPr>
        <w:t>Opravy a udržování zdravotni</w:t>
      </w:r>
      <w:r w:rsidR="00925367" w:rsidRPr="008C6807">
        <w:rPr>
          <w:rFonts w:cstheme="minorHAnsi"/>
          <w:b/>
          <w:noProof/>
          <w:color w:val="000000" w:themeColor="text1"/>
          <w:szCs w:val="24"/>
        </w:rPr>
        <w:t>cké techniky</w:t>
      </w:r>
    </w:p>
    <w:p w14:paraId="3800C064" w14:textId="4D1E9E2A" w:rsidR="000E2EC7" w:rsidRPr="00852FFB" w:rsidRDefault="000C5C4C" w:rsidP="0045362F">
      <w:pPr>
        <w:keepNext/>
        <w:tabs>
          <w:tab w:val="right" w:pos="9072"/>
        </w:tabs>
        <w:spacing w:before="120" w:after="40"/>
        <w:rPr>
          <w:rFonts w:cstheme="minorHAnsi"/>
          <w:b/>
          <w:noProof/>
          <w:color w:val="000000" w:themeColor="text1"/>
          <w:szCs w:val="28"/>
        </w:rPr>
      </w:pPr>
      <w:r w:rsidRPr="00852FFB">
        <w:rPr>
          <w:rFonts w:cstheme="minorHAnsi"/>
          <w:b/>
          <w:noProof/>
          <w:color w:val="000000" w:themeColor="text1"/>
          <w:szCs w:val="24"/>
        </w:rPr>
        <w:t xml:space="preserve">Tabulka č. </w:t>
      </w:r>
      <w:r w:rsidR="00C465C8" w:rsidRPr="00852FFB">
        <w:rPr>
          <w:rFonts w:cstheme="minorHAnsi"/>
          <w:b/>
          <w:noProof/>
          <w:color w:val="000000" w:themeColor="text1"/>
          <w:szCs w:val="24"/>
        </w:rPr>
        <w:t>14</w:t>
      </w:r>
      <w:r w:rsidRPr="00852FFB">
        <w:rPr>
          <w:rFonts w:cstheme="minorHAnsi"/>
          <w:b/>
          <w:noProof/>
          <w:color w:val="000000" w:themeColor="text1"/>
          <w:szCs w:val="24"/>
        </w:rPr>
        <w:t xml:space="preserve">: Náklady </w:t>
      </w:r>
      <w:r w:rsidRPr="00852FFB">
        <w:rPr>
          <w:rFonts w:cstheme="minorHAnsi"/>
          <w:b/>
          <w:noProof/>
          <w:color w:val="000000" w:themeColor="text1"/>
          <w:szCs w:val="28"/>
        </w:rPr>
        <w:t xml:space="preserve">na opravy a udržování zdravotnické techniky </w:t>
      </w:r>
      <w:r w:rsidRPr="00852FFB">
        <w:rPr>
          <w:rFonts w:cstheme="minorHAnsi"/>
          <w:b/>
          <w:noProof/>
          <w:color w:val="000000" w:themeColor="text1"/>
          <w:szCs w:val="28"/>
        </w:rPr>
        <w:tab/>
        <w:t>(</w:t>
      </w:r>
      <w:r w:rsidR="0045362F">
        <w:rPr>
          <w:rFonts w:cstheme="minorHAnsi"/>
          <w:b/>
          <w:noProof/>
          <w:color w:val="000000" w:themeColor="text1"/>
          <w:szCs w:val="28"/>
        </w:rPr>
        <w:t>v </w:t>
      </w:r>
      <w:r w:rsidRPr="00852FFB">
        <w:rPr>
          <w:rFonts w:cstheme="minorHAnsi"/>
          <w:b/>
          <w:noProof/>
          <w:color w:val="000000" w:themeColor="text1"/>
          <w:szCs w:val="28"/>
        </w:rPr>
        <w:t>tis. 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4"/>
        <w:gridCol w:w="2260"/>
        <w:gridCol w:w="2260"/>
        <w:gridCol w:w="2258"/>
      </w:tblGrid>
      <w:tr w:rsidR="000E2EC7" w:rsidRPr="00006575" w14:paraId="2533E64C" w14:textId="77777777" w:rsidTr="0045362F">
        <w:trPr>
          <w:trHeight w:val="227"/>
        </w:trPr>
        <w:tc>
          <w:tcPr>
            <w:tcW w:w="1260" w:type="pct"/>
            <w:shd w:val="clear" w:color="auto" w:fill="E5F1FF"/>
            <w:noWrap/>
            <w:vAlign w:val="center"/>
          </w:tcPr>
          <w:p w14:paraId="0FE17D4B" w14:textId="77777777" w:rsidR="000E2EC7" w:rsidRPr="00893E5C" w:rsidRDefault="000E2EC7" w:rsidP="0045362F">
            <w:pPr>
              <w:keepNext/>
              <w:jc w:val="left"/>
              <w:rPr>
                <w:rFonts w:ascii="Calibri" w:hAnsi="Calibri" w:cs="Calibri"/>
                <w:b/>
                <w:bCs/>
                <w:color w:val="000000"/>
                <w:sz w:val="20"/>
              </w:rPr>
            </w:pPr>
          </w:p>
        </w:tc>
        <w:tc>
          <w:tcPr>
            <w:tcW w:w="1247" w:type="pct"/>
            <w:shd w:val="clear" w:color="auto" w:fill="E5F1FF"/>
            <w:noWrap/>
            <w:vAlign w:val="center"/>
          </w:tcPr>
          <w:p w14:paraId="58906C3A" w14:textId="77777777" w:rsidR="000E2EC7" w:rsidRPr="00893E5C" w:rsidRDefault="000E2EC7" w:rsidP="0045362F">
            <w:pPr>
              <w:keepNext/>
              <w:jc w:val="center"/>
              <w:rPr>
                <w:rFonts w:ascii="Calibri" w:hAnsi="Calibri" w:cs="Calibri"/>
                <w:b/>
                <w:bCs/>
                <w:color w:val="000000"/>
                <w:sz w:val="20"/>
              </w:rPr>
            </w:pPr>
            <w:r>
              <w:rPr>
                <w:rFonts w:ascii="Calibri" w:hAnsi="Calibri" w:cs="Calibri"/>
                <w:b/>
                <w:bCs/>
                <w:color w:val="000000"/>
                <w:sz w:val="20"/>
              </w:rPr>
              <w:t>2014</w:t>
            </w:r>
          </w:p>
        </w:tc>
        <w:tc>
          <w:tcPr>
            <w:tcW w:w="1247" w:type="pct"/>
            <w:shd w:val="clear" w:color="auto" w:fill="E5F1FF"/>
            <w:noWrap/>
            <w:vAlign w:val="center"/>
          </w:tcPr>
          <w:p w14:paraId="3794DFF0" w14:textId="77777777" w:rsidR="000E2EC7" w:rsidRPr="00893E5C" w:rsidRDefault="000E2EC7" w:rsidP="0045362F">
            <w:pPr>
              <w:keepNext/>
              <w:jc w:val="center"/>
              <w:rPr>
                <w:rFonts w:ascii="Calibri" w:hAnsi="Calibri" w:cs="Calibri"/>
                <w:b/>
                <w:bCs/>
                <w:color w:val="000000"/>
                <w:sz w:val="20"/>
              </w:rPr>
            </w:pPr>
            <w:r>
              <w:rPr>
                <w:rFonts w:ascii="Calibri" w:hAnsi="Calibri" w:cs="Calibri"/>
                <w:b/>
                <w:bCs/>
                <w:color w:val="000000"/>
                <w:sz w:val="20"/>
              </w:rPr>
              <w:t>2015</w:t>
            </w:r>
          </w:p>
        </w:tc>
        <w:tc>
          <w:tcPr>
            <w:tcW w:w="1246" w:type="pct"/>
            <w:shd w:val="clear" w:color="auto" w:fill="E5F1FF"/>
            <w:noWrap/>
            <w:vAlign w:val="center"/>
          </w:tcPr>
          <w:p w14:paraId="655FBF1F" w14:textId="77777777" w:rsidR="000E2EC7" w:rsidRPr="00893E5C" w:rsidRDefault="000E2EC7" w:rsidP="0045362F">
            <w:pPr>
              <w:keepNext/>
              <w:jc w:val="center"/>
              <w:rPr>
                <w:rFonts w:ascii="Calibri" w:hAnsi="Calibri" w:cs="Calibri"/>
                <w:b/>
                <w:bCs/>
                <w:color w:val="000000"/>
                <w:sz w:val="20"/>
              </w:rPr>
            </w:pPr>
            <w:r>
              <w:rPr>
                <w:rFonts w:ascii="Calibri" w:hAnsi="Calibri" w:cs="Calibri"/>
                <w:b/>
                <w:bCs/>
                <w:color w:val="000000"/>
                <w:sz w:val="20"/>
              </w:rPr>
              <w:t>2016</w:t>
            </w:r>
          </w:p>
        </w:tc>
      </w:tr>
      <w:tr w:rsidR="000E2EC7" w:rsidRPr="00006575" w14:paraId="6E7F38FC" w14:textId="77777777" w:rsidTr="0045362F">
        <w:trPr>
          <w:trHeight w:val="227"/>
        </w:trPr>
        <w:tc>
          <w:tcPr>
            <w:tcW w:w="1260" w:type="pct"/>
            <w:shd w:val="clear" w:color="auto" w:fill="auto"/>
            <w:noWrap/>
            <w:vAlign w:val="center"/>
          </w:tcPr>
          <w:p w14:paraId="31B8CA75" w14:textId="10516FC6" w:rsidR="000E2EC7" w:rsidRDefault="000E2EC7" w:rsidP="0045362F">
            <w:pPr>
              <w:keepNext/>
              <w:jc w:val="left"/>
              <w:rPr>
                <w:rFonts w:ascii="Calibri" w:hAnsi="Calibri" w:cs="Calibri"/>
                <w:color w:val="000000"/>
                <w:sz w:val="20"/>
              </w:rPr>
            </w:pPr>
            <w:r>
              <w:rPr>
                <w:rFonts w:ascii="Calibri" w:hAnsi="Calibri" w:cs="Calibri"/>
                <w:color w:val="000000"/>
                <w:sz w:val="20"/>
              </w:rPr>
              <w:t>FNB</w:t>
            </w:r>
          </w:p>
        </w:tc>
        <w:tc>
          <w:tcPr>
            <w:tcW w:w="1247" w:type="pct"/>
            <w:shd w:val="clear" w:color="auto" w:fill="auto"/>
            <w:noWrap/>
            <w:vAlign w:val="center"/>
          </w:tcPr>
          <w:p w14:paraId="193BBB5B" w14:textId="5169D2F5" w:rsidR="000E2EC7" w:rsidRDefault="000E2EC7" w:rsidP="0045362F">
            <w:pPr>
              <w:keepNext/>
              <w:ind w:right="657"/>
              <w:jc w:val="right"/>
              <w:rPr>
                <w:rFonts w:ascii="Calibri" w:hAnsi="Calibri" w:cs="Calibri"/>
                <w:color w:val="000000"/>
                <w:sz w:val="20"/>
              </w:rPr>
            </w:pPr>
            <w:r>
              <w:rPr>
                <w:rFonts w:ascii="Calibri" w:hAnsi="Calibri" w:cs="Calibri"/>
                <w:color w:val="000000"/>
                <w:sz w:val="20"/>
              </w:rPr>
              <w:t>64 719,09</w:t>
            </w:r>
          </w:p>
        </w:tc>
        <w:tc>
          <w:tcPr>
            <w:tcW w:w="1247" w:type="pct"/>
            <w:shd w:val="clear" w:color="auto" w:fill="auto"/>
            <w:noWrap/>
            <w:vAlign w:val="center"/>
          </w:tcPr>
          <w:p w14:paraId="238F4529" w14:textId="7FA67CE9" w:rsidR="000E2EC7" w:rsidRDefault="000E2EC7" w:rsidP="0045362F">
            <w:pPr>
              <w:keepNext/>
              <w:ind w:right="657"/>
              <w:jc w:val="right"/>
              <w:rPr>
                <w:rFonts w:ascii="Calibri" w:hAnsi="Calibri" w:cs="Calibri"/>
                <w:color w:val="000000"/>
                <w:sz w:val="20"/>
              </w:rPr>
            </w:pPr>
            <w:r>
              <w:rPr>
                <w:rFonts w:ascii="Calibri" w:hAnsi="Calibri" w:cs="Calibri"/>
                <w:color w:val="000000"/>
                <w:sz w:val="20"/>
              </w:rPr>
              <w:t>72 917,05</w:t>
            </w:r>
          </w:p>
        </w:tc>
        <w:tc>
          <w:tcPr>
            <w:tcW w:w="1246" w:type="pct"/>
            <w:shd w:val="clear" w:color="auto" w:fill="auto"/>
            <w:noWrap/>
            <w:vAlign w:val="center"/>
          </w:tcPr>
          <w:p w14:paraId="4A5D0B16" w14:textId="14E6C7ED" w:rsidR="000E2EC7" w:rsidRDefault="000E2EC7" w:rsidP="0045362F">
            <w:pPr>
              <w:keepNext/>
              <w:ind w:right="657"/>
              <w:jc w:val="right"/>
              <w:rPr>
                <w:rFonts w:ascii="Calibri" w:hAnsi="Calibri" w:cs="Calibri"/>
                <w:color w:val="000000"/>
                <w:sz w:val="20"/>
              </w:rPr>
            </w:pPr>
            <w:r>
              <w:rPr>
                <w:rFonts w:ascii="Calibri" w:hAnsi="Calibri" w:cs="Calibri"/>
                <w:color w:val="000000"/>
                <w:sz w:val="20"/>
              </w:rPr>
              <w:t>80 013,03</w:t>
            </w:r>
          </w:p>
        </w:tc>
      </w:tr>
      <w:tr w:rsidR="000E2EC7" w:rsidRPr="00006575" w14:paraId="067A01D7" w14:textId="77777777" w:rsidTr="0045362F">
        <w:trPr>
          <w:trHeight w:val="227"/>
        </w:trPr>
        <w:tc>
          <w:tcPr>
            <w:tcW w:w="1260" w:type="pct"/>
            <w:shd w:val="clear" w:color="auto" w:fill="auto"/>
            <w:noWrap/>
            <w:vAlign w:val="center"/>
          </w:tcPr>
          <w:p w14:paraId="5316C9E0" w14:textId="30C6F7F1" w:rsidR="000E2EC7" w:rsidRPr="00893E5C" w:rsidRDefault="000E2EC7" w:rsidP="0045362F">
            <w:pPr>
              <w:keepNext/>
              <w:jc w:val="left"/>
              <w:rPr>
                <w:rFonts w:ascii="Calibri" w:hAnsi="Calibri" w:cs="Calibri"/>
                <w:color w:val="000000"/>
                <w:sz w:val="20"/>
              </w:rPr>
            </w:pPr>
            <w:r>
              <w:rPr>
                <w:rFonts w:ascii="Calibri" w:hAnsi="Calibri" w:cs="Calibri"/>
                <w:color w:val="000000"/>
                <w:sz w:val="20"/>
              </w:rPr>
              <w:t xml:space="preserve">FNM </w:t>
            </w:r>
          </w:p>
        </w:tc>
        <w:tc>
          <w:tcPr>
            <w:tcW w:w="1247" w:type="pct"/>
            <w:shd w:val="clear" w:color="auto" w:fill="auto"/>
            <w:noWrap/>
            <w:vAlign w:val="center"/>
          </w:tcPr>
          <w:p w14:paraId="2C4B6F2B" w14:textId="5B735613" w:rsidR="000E2EC7" w:rsidRPr="00893E5C" w:rsidRDefault="008C5461" w:rsidP="0045362F">
            <w:pPr>
              <w:keepNext/>
              <w:ind w:right="657"/>
              <w:jc w:val="right"/>
              <w:rPr>
                <w:rFonts w:ascii="Calibri" w:hAnsi="Calibri" w:cs="Calibri"/>
                <w:color w:val="000000"/>
                <w:sz w:val="20"/>
              </w:rPr>
            </w:pPr>
            <w:r>
              <w:rPr>
                <w:rFonts w:ascii="Calibri" w:hAnsi="Calibri" w:cs="Calibri"/>
                <w:color w:val="000000"/>
                <w:sz w:val="20"/>
              </w:rPr>
              <w:t>90 612,55</w:t>
            </w:r>
          </w:p>
        </w:tc>
        <w:tc>
          <w:tcPr>
            <w:tcW w:w="1247" w:type="pct"/>
            <w:shd w:val="clear" w:color="auto" w:fill="auto"/>
            <w:noWrap/>
            <w:vAlign w:val="center"/>
          </w:tcPr>
          <w:p w14:paraId="64F48176" w14:textId="0DD58296" w:rsidR="000E2EC7" w:rsidRPr="00893E5C" w:rsidRDefault="008C5461" w:rsidP="0045362F">
            <w:pPr>
              <w:keepNext/>
              <w:ind w:right="657"/>
              <w:jc w:val="right"/>
              <w:rPr>
                <w:rFonts w:ascii="Calibri" w:hAnsi="Calibri" w:cs="Calibri"/>
                <w:color w:val="000000"/>
                <w:sz w:val="20"/>
              </w:rPr>
            </w:pPr>
            <w:r>
              <w:rPr>
                <w:rFonts w:ascii="Calibri" w:hAnsi="Calibri" w:cs="Calibri"/>
                <w:color w:val="000000"/>
                <w:sz w:val="20"/>
              </w:rPr>
              <w:t>96 311,39</w:t>
            </w:r>
          </w:p>
        </w:tc>
        <w:tc>
          <w:tcPr>
            <w:tcW w:w="1246" w:type="pct"/>
            <w:shd w:val="clear" w:color="auto" w:fill="auto"/>
            <w:noWrap/>
            <w:vAlign w:val="center"/>
          </w:tcPr>
          <w:p w14:paraId="13177897" w14:textId="1E449B80" w:rsidR="000E2EC7" w:rsidRPr="00893E5C" w:rsidRDefault="008C5461" w:rsidP="0045362F">
            <w:pPr>
              <w:keepNext/>
              <w:ind w:right="657"/>
              <w:jc w:val="right"/>
              <w:rPr>
                <w:rFonts w:ascii="Calibri" w:hAnsi="Calibri" w:cs="Calibri"/>
                <w:color w:val="000000"/>
                <w:sz w:val="20"/>
              </w:rPr>
            </w:pPr>
            <w:r>
              <w:rPr>
                <w:rFonts w:ascii="Calibri" w:hAnsi="Calibri" w:cs="Calibri"/>
                <w:color w:val="000000"/>
                <w:sz w:val="20"/>
              </w:rPr>
              <w:t>104 636,06</w:t>
            </w:r>
          </w:p>
        </w:tc>
      </w:tr>
      <w:tr w:rsidR="000E2EC7" w:rsidRPr="00006575" w14:paraId="47352DD8" w14:textId="77777777" w:rsidTr="0045362F">
        <w:trPr>
          <w:trHeight w:val="227"/>
        </w:trPr>
        <w:tc>
          <w:tcPr>
            <w:tcW w:w="1260" w:type="pct"/>
            <w:shd w:val="clear" w:color="auto" w:fill="auto"/>
            <w:noWrap/>
            <w:vAlign w:val="center"/>
          </w:tcPr>
          <w:p w14:paraId="11A54570" w14:textId="7FCC5D0D" w:rsidR="000E2EC7" w:rsidRPr="00893E5C" w:rsidRDefault="000E2EC7" w:rsidP="0045362F">
            <w:pPr>
              <w:keepNext/>
              <w:jc w:val="left"/>
              <w:rPr>
                <w:rFonts w:ascii="Calibri" w:hAnsi="Calibri" w:cs="Calibri"/>
                <w:color w:val="000000"/>
                <w:sz w:val="20"/>
              </w:rPr>
            </w:pPr>
            <w:r>
              <w:rPr>
                <w:rFonts w:ascii="Calibri" w:hAnsi="Calibri" w:cs="Calibri"/>
                <w:color w:val="000000"/>
                <w:sz w:val="20"/>
              </w:rPr>
              <w:t xml:space="preserve">ÚVN </w:t>
            </w:r>
          </w:p>
        </w:tc>
        <w:tc>
          <w:tcPr>
            <w:tcW w:w="1247" w:type="pct"/>
            <w:shd w:val="clear" w:color="auto" w:fill="auto"/>
            <w:noWrap/>
            <w:vAlign w:val="center"/>
          </w:tcPr>
          <w:p w14:paraId="0C65933C" w14:textId="0AB649B3" w:rsidR="000E2EC7" w:rsidRPr="00893E5C" w:rsidRDefault="008C5461" w:rsidP="0045362F">
            <w:pPr>
              <w:keepNext/>
              <w:ind w:right="657"/>
              <w:jc w:val="right"/>
              <w:rPr>
                <w:rFonts w:ascii="Calibri" w:hAnsi="Calibri" w:cs="Calibri"/>
                <w:color w:val="000000"/>
                <w:sz w:val="20"/>
              </w:rPr>
            </w:pPr>
            <w:r>
              <w:rPr>
                <w:rFonts w:ascii="Calibri" w:hAnsi="Calibri" w:cs="Calibri"/>
                <w:color w:val="000000"/>
                <w:sz w:val="20"/>
              </w:rPr>
              <w:t>36 705,84</w:t>
            </w:r>
          </w:p>
        </w:tc>
        <w:tc>
          <w:tcPr>
            <w:tcW w:w="1247" w:type="pct"/>
            <w:shd w:val="clear" w:color="auto" w:fill="auto"/>
            <w:noWrap/>
            <w:vAlign w:val="center"/>
          </w:tcPr>
          <w:p w14:paraId="2FCE2B75" w14:textId="5B8315F5" w:rsidR="000E2EC7" w:rsidRPr="00893E5C" w:rsidRDefault="008C5461" w:rsidP="0045362F">
            <w:pPr>
              <w:keepNext/>
              <w:ind w:right="657"/>
              <w:jc w:val="right"/>
              <w:rPr>
                <w:rFonts w:ascii="Calibri" w:hAnsi="Calibri" w:cs="Calibri"/>
                <w:color w:val="000000"/>
                <w:sz w:val="20"/>
              </w:rPr>
            </w:pPr>
            <w:r>
              <w:rPr>
                <w:rFonts w:ascii="Calibri" w:hAnsi="Calibri" w:cs="Calibri"/>
                <w:color w:val="000000"/>
                <w:sz w:val="20"/>
              </w:rPr>
              <w:t>41 445,98</w:t>
            </w:r>
          </w:p>
        </w:tc>
        <w:tc>
          <w:tcPr>
            <w:tcW w:w="1246" w:type="pct"/>
            <w:shd w:val="clear" w:color="auto" w:fill="auto"/>
            <w:noWrap/>
            <w:vAlign w:val="center"/>
          </w:tcPr>
          <w:p w14:paraId="1365E5FF" w14:textId="0863DA49" w:rsidR="000E2EC7" w:rsidRPr="00893E5C" w:rsidRDefault="008C5461" w:rsidP="0045362F">
            <w:pPr>
              <w:keepNext/>
              <w:ind w:right="657"/>
              <w:jc w:val="right"/>
              <w:rPr>
                <w:rFonts w:ascii="Calibri" w:hAnsi="Calibri" w:cs="Calibri"/>
                <w:color w:val="000000"/>
                <w:sz w:val="20"/>
              </w:rPr>
            </w:pPr>
            <w:r>
              <w:rPr>
                <w:rFonts w:ascii="Calibri" w:hAnsi="Calibri" w:cs="Calibri"/>
                <w:color w:val="000000"/>
                <w:sz w:val="20"/>
              </w:rPr>
              <w:t>38 001,07</w:t>
            </w:r>
          </w:p>
        </w:tc>
      </w:tr>
    </w:tbl>
    <w:p w14:paraId="7397F61D" w14:textId="2A3DD565" w:rsidR="00B72983" w:rsidRPr="008C6807" w:rsidRDefault="000E2EC7" w:rsidP="008C6807">
      <w:pPr>
        <w:pStyle w:val="Zdroj"/>
        <w:spacing w:before="40"/>
        <w:ind w:left="567" w:hanging="567"/>
        <w:rPr>
          <w:i w:val="0"/>
          <w:noProof/>
        </w:rPr>
      </w:pPr>
      <w:r w:rsidRPr="008C6807">
        <w:rPr>
          <w:b/>
          <w:i w:val="0"/>
          <w:noProof/>
        </w:rPr>
        <w:t>Zdroj:</w:t>
      </w:r>
      <w:r w:rsidRPr="008C6807">
        <w:rPr>
          <w:i w:val="0"/>
          <w:noProof/>
        </w:rPr>
        <w:t xml:space="preserve"> </w:t>
      </w:r>
      <w:r w:rsidR="008C6807">
        <w:rPr>
          <w:i w:val="0"/>
          <w:noProof/>
        </w:rPr>
        <w:tab/>
      </w:r>
      <w:r w:rsidR="00B111DD">
        <w:rPr>
          <w:i w:val="0"/>
          <w:noProof/>
        </w:rPr>
        <w:t>vy</w:t>
      </w:r>
      <w:r w:rsidRPr="008C6807">
        <w:rPr>
          <w:i w:val="0"/>
          <w:noProof/>
        </w:rPr>
        <w:t xml:space="preserve">pracováno NKÚ z dokladů fakultních nemocnic, </w:t>
      </w:r>
      <w:r w:rsidR="00B72983" w:rsidRPr="008C6807">
        <w:rPr>
          <w:i w:val="0"/>
          <w:noProof/>
        </w:rPr>
        <w:t>hlavní</w:t>
      </w:r>
      <w:r w:rsidR="00B111DD">
        <w:rPr>
          <w:i w:val="0"/>
          <w:noProof/>
        </w:rPr>
        <w:t>ch</w:t>
      </w:r>
      <w:r w:rsidR="00B72983" w:rsidRPr="008C6807">
        <w:rPr>
          <w:i w:val="0"/>
          <w:noProof/>
        </w:rPr>
        <w:t xml:space="preserve"> </w:t>
      </w:r>
      <w:r w:rsidR="00B111DD">
        <w:rPr>
          <w:i w:val="0"/>
          <w:noProof/>
        </w:rPr>
        <w:t xml:space="preserve">účetních </w:t>
      </w:r>
      <w:r w:rsidR="00B72983" w:rsidRPr="008C6807">
        <w:rPr>
          <w:i w:val="0"/>
          <w:noProof/>
        </w:rPr>
        <w:t>knih jednotlivých FN k 31. 12. 2014, k 31. 12. 2015 a k 31. 12. 2016.</w:t>
      </w:r>
    </w:p>
    <w:p w14:paraId="2B9E02B1" w14:textId="21304FF8" w:rsidR="00601A08" w:rsidRPr="008C6807" w:rsidRDefault="00925367" w:rsidP="008C6807">
      <w:pPr>
        <w:spacing w:before="120"/>
        <w:rPr>
          <w:rFonts w:cstheme="minorHAnsi"/>
          <w:noProof/>
          <w:color w:val="000000" w:themeColor="text1"/>
          <w:szCs w:val="24"/>
        </w:rPr>
      </w:pPr>
      <w:r w:rsidRPr="008C6807">
        <w:rPr>
          <w:rFonts w:cstheme="minorHAnsi"/>
          <w:noProof/>
          <w:color w:val="000000" w:themeColor="text1"/>
          <w:szCs w:val="24"/>
        </w:rPr>
        <w:t>Na kontrolním vzorku zdravotnické techniky s pořizovací hodnotou nad 10 mil. Kč prověřil</w:t>
      </w:r>
      <w:r w:rsidR="00B111DD" w:rsidRPr="00B111DD">
        <w:rPr>
          <w:rFonts w:cstheme="minorHAnsi"/>
          <w:noProof/>
          <w:color w:val="000000" w:themeColor="text1"/>
          <w:szCs w:val="24"/>
        </w:rPr>
        <w:t xml:space="preserve"> </w:t>
      </w:r>
      <w:r w:rsidR="00B111DD" w:rsidRPr="008C6807">
        <w:rPr>
          <w:rFonts w:cstheme="minorHAnsi"/>
          <w:noProof/>
          <w:color w:val="000000" w:themeColor="text1"/>
          <w:szCs w:val="24"/>
        </w:rPr>
        <w:t>NKÚ</w:t>
      </w:r>
      <w:r w:rsidRPr="008C6807">
        <w:rPr>
          <w:rFonts w:cstheme="minorHAnsi"/>
          <w:noProof/>
          <w:color w:val="000000" w:themeColor="text1"/>
          <w:szCs w:val="24"/>
        </w:rPr>
        <w:t xml:space="preserve"> v každé fakultní nemocnici využití tří přístrojů</w:t>
      </w:r>
      <w:r w:rsidR="00811E6B" w:rsidRPr="008C6807">
        <w:rPr>
          <w:rStyle w:val="Znakapoznpodarou"/>
          <w:rFonts w:cstheme="minorHAnsi"/>
          <w:noProof/>
          <w:color w:val="000000" w:themeColor="text1"/>
          <w:szCs w:val="24"/>
        </w:rPr>
        <w:footnoteReference w:id="49"/>
      </w:r>
      <w:r w:rsidRPr="008C6807">
        <w:rPr>
          <w:rFonts w:cstheme="minorHAnsi"/>
          <w:noProof/>
          <w:color w:val="000000" w:themeColor="text1"/>
          <w:szCs w:val="24"/>
        </w:rPr>
        <w:t xml:space="preserve"> a související náklady na opravy a servis. V rámci provozní doby FNB využívala přístroje na 82,41 % až 97,02 %. V rámci skutečné užitné doby se započtením neplánovaného i plánovaného přerušení klinického provozu FNM využívala kontrolované přístroje na 92,4 % až 97,4 %. </w:t>
      </w:r>
      <w:r w:rsidR="00123F07" w:rsidRPr="008C6807">
        <w:rPr>
          <w:rFonts w:cstheme="minorHAnsi"/>
          <w:noProof/>
          <w:color w:val="000000" w:themeColor="text1"/>
          <w:szCs w:val="24"/>
        </w:rPr>
        <w:t>FNB a FNM</w:t>
      </w:r>
      <w:r w:rsidRPr="008C6807">
        <w:rPr>
          <w:rFonts w:cstheme="minorHAnsi"/>
          <w:noProof/>
          <w:color w:val="000000" w:themeColor="text1"/>
          <w:szCs w:val="24"/>
        </w:rPr>
        <w:t xml:space="preserve"> využívaly kontrolované přístroje účelně. </w:t>
      </w:r>
      <w:r w:rsidR="000C5C4C" w:rsidRPr="008C6807">
        <w:rPr>
          <w:rFonts w:cstheme="minorHAnsi"/>
          <w:noProof/>
          <w:color w:val="000000" w:themeColor="text1"/>
          <w:szCs w:val="24"/>
        </w:rPr>
        <w:t xml:space="preserve">ÚVN využitelnost kontorolovaných přístrojů nesledovala, tuto povinnost žádný právní předpis nestanovuje. </w:t>
      </w:r>
    </w:p>
    <w:p w14:paraId="5585DD07" w14:textId="76DCF37B" w:rsidR="008C6AEC" w:rsidRPr="008C6807" w:rsidRDefault="000C1D64" w:rsidP="00757BF0">
      <w:pPr>
        <w:spacing w:before="240" w:after="120"/>
        <w:rPr>
          <w:rFonts w:cstheme="minorHAnsi"/>
          <w:b/>
          <w:noProof/>
          <w:color w:val="000000" w:themeColor="text1"/>
          <w:szCs w:val="24"/>
        </w:rPr>
      </w:pPr>
      <w:r>
        <w:rPr>
          <w:rFonts w:cstheme="minorHAnsi"/>
          <w:b/>
          <w:noProof/>
          <w:color w:val="000000" w:themeColor="text1"/>
          <w:szCs w:val="24"/>
        </w:rPr>
        <w:t xml:space="preserve">2. </w:t>
      </w:r>
      <w:r w:rsidR="008C6AEC" w:rsidRPr="008C6807">
        <w:rPr>
          <w:rFonts w:cstheme="minorHAnsi"/>
          <w:b/>
          <w:noProof/>
          <w:color w:val="000000" w:themeColor="text1"/>
          <w:szCs w:val="24"/>
        </w:rPr>
        <w:t>Ministerstva</w:t>
      </w:r>
    </w:p>
    <w:p w14:paraId="0B7D4AA9" w14:textId="6AB2F208" w:rsidR="008C6AEC" w:rsidRPr="008C6807" w:rsidRDefault="000C1D64" w:rsidP="00757BF0">
      <w:pPr>
        <w:spacing w:before="240" w:after="120"/>
        <w:rPr>
          <w:rFonts w:cstheme="minorHAnsi"/>
          <w:b/>
          <w:noProof/>
          <w:color w:val="000000" w:themeColor="text1"/>
          <w:szCs w:val="24"/>
        </w:rPr>
      </w:pPr>
      <w:r>
        <w:rPr>
          <w:rFonts w:cstheme="minorHAnsi"/>
          <w:b/>
          <w:noProof/>
          <w:color w:val="000000" w:themeColor="text1"/>
          <w:szCs w:val="24"/>
        </w:rPr>
        <w:t xml:space="preserve">2.1 </w:t>
      </w:r>
      <w:r w:rsidR="008C6AEC" w:rsidRPr="008C6807">
        <w:rPr>
          <w:rFonts w:cstheme="minorHAnsi"/>
          <w:b/>
          <w:noProof/>
          <w:color w:val="000000" w:themeColor="text1"/>
          <w:szCs w:val="24"/>
        </w:rPr>
        <w:t>Výkon zřizovatelských funkcí a kontrola</w:t>
      </w:r>
    </w:p>
    <w:p w14:paraId="60A5E532" w14:textId="128A8673" w:rsidR="008C6AEC" w:rsidRPr="008C6807" w:rsidRDefault="008C6AEC" w:rsidP="008C6807">
      <w:pPr>
        <w:spacing w:before="120"/>
        <w:rPr>
          <w:rFonts w:cstheme="minorHAnsi"/>
          <w:noProof/>
          <w:color w:val="000000" w:themeColor="text1"/>
          <w:szCs w:val="24"/>
        </w:rPr>
      </w:pPr>
      <w:r w:rsidRPr="008C6807">
        <w:rPr>
          <w:rFonts w:cstheme="minorHAnsi"/>
          <w:noProof/>
          <w:color w:val="000000" w:themeColor="text1"/>
          <w:szCs w:val="24"/>
        </w:rPr>
        <w:t>MZ a MO jako zřizovatel</w:t>
      </w:r>
      <w:r w:rsidR="0009563B">
        <w:rPr>
          <w:rFonts w:cstheme="minorHAnsi"/>
          <w:noProof/>
          <w:color w:val="000000" w:themeColor="text1"/>
          <w:szCs w:val="24"/>
        </w:rPr>
        <w:t>é</w:t>
      </w:r>
      <w:r w:rsidRPr="008C6807">
        <w:rPr>
          <w:rFonts w:cstheme="minorHAnsi"/>
          <w:noProof/>
          <w:color w:val="000000" w:themeColor="text1"/>
          <w:szCs w:val="24"/>
        </w:rPr>
        <w:t xml:space="preserve"> příspěvkových organizací vydal</w:t>
      </w:r>
      <w:r w:rsidR="0009563B">
        <w:rPr>
          <w:rFonts w:cstheme="minorHAnsi"/>
          <w:noProof/>
          <w:color w:val="000000" w:themeColor="text1"/>
          <w:szCs w:val="24"/>
        </w:rPr>
        <w:t>y</w:t>
      </w:r>
      <w:r w:rsidRPr="008C6807">
        <w:rPr>
          <w:rFonts w:cstheme="minorHAnsi"/>
          <w:noProof/>
          <w:color w:val="000000" w:themeColor="text1"/>
          <w:szCs w:val="24"/>
        </w:rPr>
        <w:t xml:space="preserve"> zřizovací listiny kontrolovaných nemocnic v souladu s ustanovením § 54 odst. 2 zákona č. 219/2000 Sb. a v souladu s</w:t>
      </w:r>
      <w:r w:rsidR="0030065C" w:rsidRPr="008C6807">
        <w:rPr>
          <w:rFonts w:cstheme="minorHAnsi"/>
          <w:noProof/>
          <w:color w:val="000000" w:themeColor="text1"/>
          <w:szCs w:val="24"/>
        </w:rPr>
        <w:t> </w:t>
      </w:r>
      <w:r w:rsidRPr="008C6807">
        <w:rPr>
          <w:rFonts w:cstheme="minorHAnsi"/>
          <w:noProof/>
          <w:color w:val="000000" w:themeColor="text1"/>
          <w:szCs w:val="24"/>
        </w:rPr>
        <w:t>ustanovením § 111 odst. 1 zákona č. 372/2011 Sb.</w:t>
      </w:r>
    </w:p>
    <w:p w14:paraId="5756AB05" w14:textId="2786CE92" w:rsidR="008C6AEC" w:rsidRPr="008C6807" w:rsidRDefault="008C6AEC" w:rsidP="008C6807">
      <w:pPr>
        <w:spacing w:before="120"/>
        <w:rPr>
          <w:rFonts w:cstheme="minorHAnsi"/>
          <w:noProof/>
          <w:color w:val="000000" w:themeColor="text1"/>
          <w:szCs w:val="24"/>
        </w:rPr>
      </w:pPr>
      <w:r w:rsidRPr="008C6807">
        <w:rPr>
          <w:rFonts w:cstheme="minorHAnsi"/>
          <w:noProof/>
          <w:color w:val="000000" w:themeColor="text1"/>
          <w:szCs w:val="24"/>
        </w:rPr>
        <w:t xml:space="preserve">Od 31. 5. 2016 </w:t>
      </w:r>
      <w:r w:rsidR="0009563B" w:rsidRPr="008C6807">
        <w:rPr>
          <w:rFonts w:cstheme="minorHAnsi"/>
          <w:noProof/>
          <w:color w:val="000000" w:themeColor="text1"/>
          <w:szCs w:val="24"/>
        </w:rPr>
        <w:t xml:space="preserve">je </w:t>
      </w:r>
      <w:r w:rsidRPr="008C6807">
        <w:rPr>
          <w:rFonts w:cstheme="minorHAnsi"/>
          <w:noProof/>
          <w:color w:val="000000" w:themeColor="text1"/>
          <w:szCs w:val="24"/>
        </w:rPr>
        <w:t xml:space="preserve">přílohou č. 4 zřizovacích listin FNB a FNM </w:t>
      </w:r>
      <w:r w:rsidR="0009563B">
        <w:rPr>
          <w:rFonts w:cstheme="minorHAnsi"/>
          <w:noProof/>
          <w:color w:val="000000" w:themeColor="text1"/>
          <w:szCs w:val="24"/>
        </w:rPr>
        <w:t>p</w:t>
      </w:r>
      <w:r w:rsidRPr="008C6807">
        <w:rPr>
          <w:rFonts w:cstheme="minorHAnsi"/>
          <w:noProof/>
          <w:color w:val="000000" w:themeColor="text1"/>
          <w:szCs w:val="24"/>
        </w:rPr>
        <w:t xml:space="preserve">ověřovací akt dle </w:t>
      </w:r>
      <w:r w:rsidR="0009563B">
        <w:rPr>
          <w:rFonts w:cstheme="minorHAnsi"/>
          <w:noProof/>
          <w:color w:val="000000" w:themeColor="text1"/>
          <w:szCs w:val="24"/>
        </w:rPr>
        <w:t>r</w:t>
      </w:r>
      <w:r w:rsidRPr="008C6807">
        <w:rPr>
          <w:rFonts w:cstheme="minorHAnsi"/>
          <w:noProof/>
          <w:color w:val="000000" w:themeColor="text1"/>
          <w:szCs w:val="24"/>
        </w:rPr>
        <w:t>ozhodnutí o</w:t>
      </w:r>
      <w:r w:rsidR="0030065C" w:rsidRPr="008C6807">
        <w:rPr>
          <w:rFonts w:cstheme="minorHAnsi"/>
          <w:noProof/>
          <w:color w:val="000000" w:themeColor="text1"/>
          <w:szCs w:val="24"/>
        </w:rPr>
        <w:t> </w:t>
      </w:r>
      <w:r w:rsidRPr="008C6807">
        <w:rPr>
          <w:rFonts w:cstheme="minorHAnsi"/>
          <w:noProof/>
          <w:color w:val="000000" w:themeColor="text1"/>
          <w:szCs w:val="24"/>
        </w:rPr>
        <w:t xml:space="preserve">použití čl. 106 odst. 2 </w:t>
      </w:r>
      <w:r w:rsidRPr="00E60983">
        <w:rPr>
          <w:rFonts w:cstheme="minorHAnsi"/>
          <w:i/>
          <w:noProof/>
          <w:color w:val="000000" w:themeColor="text1"/>
          <w:szCs w:val="24"/>
        </w:rPr>
        <w:t>Smlouvy o fungování E</w:t>
      </w:r>
      <w:r w:rsidR="0009563B">
        <w:rPr>
          <w:rFonts w:cstheme="minorHAnsi"/>
          <w:i/>
          <w:noProof/>
          <w:color w:val="000000" w:themeColor="text1"/>
          <w:szCs w:val="24"/>
        </w:rPr>
        <w:t>vropské unie</w:t>
      </w:r>
      <w:r w:rsidRPr="008C6807">
        <w:rPr>
          <w:rFonts w:cstheme="minorHAnsi"/>
          <w:noProof/>
          <w:color w:val="000000" w:themeColor="text1"/>
          <w:szCs w:val="24"/>
        </w:rPr>
        <w:t xml:space="preserve"> na státní podporu ve formě vyrovnávací platby za závazek veřejné služby udělené určitým podnikům pověřeným poskytováním služeb obecného hospodářského zájmu uveřejněného v </w:t>
      </w:r>
      <w:r w:rsidRPr="00E60983">
        <w:rPr>
          <w:rFonts w:cstheme="minorHAnsi"/>
          <w:i/>
          <w:noProof/>
          <w:color w:val="000000" w:themeColor="text1"/>
          <w:szCs w:val="24"/>
        </w:rPr>
        <w:t xml:space="preserve">Úředním věstníku EU </w:t>
      </w:r>
      <w:r w:rsidRPr="008C6807">
        <w:rPr>
          <w:rFonts w:cstheme="minorHAnsi"/>
          <w:noProof/>
          <w:color w:val="000000" w:themeColor="text1"/>
          <w:szCs w:val="24"/>
        </w:rPr>
        <w:t>dne 11. 1. 2012, kterým MZ pověřuje FNB</w:t>
      </w:r>
      <w:r w:rsidR="0009563B">
        <w:rPr>
          <w:rFonts w:cstheme="minorHAnsi"/>
          <w:noProof/>
          <w:color w:val="000000" w:themeColor="text1"/>
          <w:szCs w:val="24"/>
        </w:rPr>
        <w:t>,</w:t>
      </w:r>
      <w:r w:rsidRPr="008C6807">
        <w:rPr>
          <w:rFonts w:cstheme="minorHAnsi"/>
          <w:noProof/>
          <w:color w:val="000000" w:themeColor="text1"/>
          <w:szCs w:val="24"/>
        </w:rPr>
        <w:t xml:space="preserve"> resp. FNM k poskytování služeb obecného hospodářského zájmu.</w:t>
      </w:r>
    </w:p>
    <w:p w14:paraId="198AA606" w14:textId="47731DB1" w:rsidR="008C6AEC" w:rsidRPr="008C6807" w:rsidRDefault="008C6AEC" w:rsidP="008C6807">
      <w:pPr>
        <w:spacing w:before="120"/>
        <w:rPr>
          <w:rFonts w:cstheme="minorHAnsi"/>
          <w:noProof/>
          <w:color w:val="000000" w:themeColor="text1"/>
          <w:szCs w:val="24"/>
        </w:rPr>
      </w:pPr>
      <w:r w:rsidRPr="008C6807">
        <w:rPr>
          <w:rFonts w:cstheme="minorHAnsi"/>
          <w:noProof/>
          <w:color w:val="000000" w:themeColor="text1"/>
          <w:szCs w:val="24"/>
        </w:rPr>
        <w:t xml:space="preserve">Statuty </w:t>
      </w:r>
      <w:r w:rsidR="000C3071" w:rsidRPr="008C6807">
        <w:rPr>
          <w:rFonts w:cstheme="minorHAnsi"/>
          <w:noProof/>
          <w:color w:val="000000" w:themeColor="text1"/>
          <w:szCs w:val="24"/>
        </w:rPr>
        <w:t>fakultních</w:t>
      </w:r>
      <w:r w:rsidRPr="008C6807">
        <w:rPr>
          <w:rFonts w:cstheme="minorHAnsi"/>
          <w:noProof/>
          <w:color w:val="000000" w:themeColor="text1"/>
          <w:szCs w:val="24"/>
        </w:rPr>
        <w:t xml:space="preserve"> nemocnic obsahovaly bližší vymezení úkolů organizace. </w:t>
      </w:r>
    </w:p>
    <w:p w14:paraId="770FECAC" w14:textId="773F4200" w:rsidR="008C6AEC" w:rsidRPr="008C6807" w:rsidRDefault="008C6AEC" w:rsidP="008C6807">
      <w:pPr>
        <w:spacing w:before="120"/>
        <w:rPr>
          <w:rFonts w:cstheme="minorHAnsi"/>
          <w:noProof/>
          <w:color w:val="000000" w:themeColor="text1"/>
          <w:szCs w:val="24"/>
        </w:rPr>
      </w:pPr>
      <w:r w:rsidRPr="008C6807">
        <w:rPr>
          <w:rFonts w:cstheme="minorHAnsi"/>
          <w:noProof/>
          <w:color w:val="000000" w:themeColor="text1"/>
          <w:szCs w:val="24"/>
        </w:rPr>
        <w:t xml:space="preserve">V kontrolovaném období byl platný a účinný </w:t>
      </w:r>
      <w:r w:rsidR="0009563B">
        <w:rPr>
          <w:rFonts w:cstheme="minorHAnsi"/>
          <w:noProof/>
          <w:color w:val="000000" w:themeColor="text1"/>
          <w:szCs w:val="24"/>
        </w:rPr>
        <w:t>s</w:t>
      </w:r>
      <w:r w:rsidRPr="008C6807">
        <w:rPr>
          <w:rFonts w:cstheme="minorHAnsi"/>
          <w:noProof/>
          <w:color w:val="000000" w:themeColor="text1"/>
          <w:szCs w:val="24"/>
        </w:rPr>
        <w:t>tatut Ústřední vojenské nemocnice – Vojenské fakultní nemocnice Praha č. j. 572-2/2012-2697 ze dne 13. prosince 2012. D</w:t>
      </w:r>
      <w:r w:rsidR="005B4628" w:rsidRPr="008C6807">
        <w:rPr>
          <w:rFonts w:cstheme="minorHAnsi"/>
          <w:noProof/>
          <w:color w:val="000000" w:themeColor="text1"/>
          <w:szCs w:val="24"/>
        </w:rPr>
        <w:t>ne 7. prosince </w:t>
      </w:r>
      <w:r w:rsidRPr="008C6807">
        <w:rPr>
          <w:rFonts w:cstheme="minorHAnsi"/>
          <w:noProof/>
          <w:color w:val="000000" w:themeColor="text1"/>
          <w:szCs w:val="24"/>
        </w:rPr>
        <w:t xml:space="preserve">2015 ředitel ÚVN odeslal na MO návrh na změnu statutu ÚVN z důvodu vzniku kliniky. </w:t>
      </w:r>
      <w:r w:rsidRPr="008C6807">
        <w:rPr>
          <w:rFonts w:cstheme="minorHAnsi"/>
          <w:b/>
          <w:noProof/>
          <w:color w:val="000000" w:themeColor="text1"/>
          <w:szCs w:val="24"/>
        </w:rPr>
        <w:t xml:space="preserve">V době od 1. ledna 2016 do 19. září 2017 MO neschválilo aktualizovaný statut příspěvkové organizace ÚVN, jehož znění by reagovalo na nové skutečnosti, ačkoli </w:t>
      </w:r>
      <w:r w:rsidR="0009563B" w:rsidRPr="008C6807">
        <w:rPr>
          <w:rFonts w:cstheme="minorHAnsi"/>
          <w:b/>
          <w:noProof/>
          <w:color w:val="000000" w:themeColor="text1"/>
          <w:szCs w:val="24"/>
        </w:rPr>
        <w:t>opakovaně obdrželo</w:t>
      </w:r>
      <w:r w:rsidR="001345D1">
        <w:rPr>
          <w:rFonts w:cstheme="minorHAnsi"/>
          <w:b/>
          <w:noProof/>
          <w:color w:val="000000" w:themeColor="text1"/>
          <w:szCs w:val="24"/>
        </w:rPr>
        <w:t xml:space="preserve"> </w:t>
      </w:r>
      <w:r w:rsidRPr="008C6807">
        <w:rPr>
          <w:rFonts w:cstheme="minorHAnsi"/>
          <w:b/>
          <w:noProof/>
          <w:color w:val="000000" w:themeColor="text1"/>
          <w:szCs w:val="24"/>
        </w:rPr>
        <w:t>návrhy na změnu statutu MO.</w:t>
      </w:r>
      <w:r w:rsidRPr="008C6807">
        <w:rPr>
          <w:rFonts w:cstheme="minorHAnsi"/>
          <w:noProof/>
          <w:color w:val="000000" w:themeColor="text1"/>
          <w:szCs w:val="24"/>
        </w:rPr>
        <w:t xml:space="preserve"> </w:t>
      </w:r>
    </w:p>
    <w:p w14:paraId="0A1E2E88" w14:textId="6BB9913F" w:rsidR="008C6AEC" w:rsidRPr="008C6807" w:rsidRDefault="008C6AEC" w:rsidP="008C6807">
      <w:pPr>
        <w:spacing w:before="120"/>
        <w:rPr>
          <w:rFonts w:cstheme="minorHAnsi"/>
          <w:szCs w:val="24"/>
        </w:rPr>
      </w:pPr>
      <w:r w:rsidRPr="008C6807">
        <w:rPr>
          <w:rFonts w:cstheme="minorHAnsi"/>
          <w:b/>
          <w:szCs w:val="24"/>
        </w:rPr>
        <w:t>MZ nemělo zpracovanou koncepci rozvoje a řešení zásadních otázek pro poskytovatele zdravotních služeb v přímé říd</w:t>
      </w:r>
      <w:r w:rsidR="0009563B">
        <w:rPr>
          <w:rFonts w:cstheme="minorHAnsi"/>
          <w:b/>
          <w:szCs w:val="24"/>
        </w:rPr>
        <w:t>i</w:t>
      </w:r>
      <w:r w:rsidRPr="008C6807">
        <w:rPr>
          <w:rFonts w:cstheme="minorHAnsi"/>
          <w:b/>
          <w:szCs w:val="24"/>
        </w:rPr>
        <w:t>cí působnosti v souladu s</w:t>
      </w:r>
      <w:r w:rsidR="00F83F97" w:rsidRPr="008C6807">
        <w:rPr>
          <w:rFonts w:cstheme="minorHAnsi"/>
          <w:b/>
          <w:szCs w:val="24"/>
        </w:rPr>
        <w:t>e</w:t>
      </w:r>
      <w:r w:rsidR="0009563B">
        <w:rPr>
          <w:rFonts w:cstheme="minorHAnsi"/>
          <w:b/>
          <w:szCs w:val="24"/>
        </w:rPr>
        <w:t xml:space="preserve"> </w:t>
      </w:r>
      <w:r w:rsidRPr="008C6807">
        <w:rPr>
          <w:rFonts w:cstheme="minorHAnsi"/>
          <w:b/>
          <w:szCs w:val="24"/>
        </w:rPr>
        <w:t>zákon</w:t>
      </w:r>
      <w:r w:rsidR="00F83F97" w:rsidRPr="008C6807">
        <w:rPr>
          <w:rFonts w:cstheme="minorHAnsi"/>
          <w:b/>
          <w:szCs w:val="24"/>
        </w:rPr>
        <w:t>em</w:t>
      </w:r>
      <w:r w:rsidRPr="008C6807">
        <w:rPr>
          <w:rFonts w:cstheme="minorHAnsi"/>
          <w:b/>
          <w:szCs w:val="24"/>
        </w:rPr>
        <w:t xml:space="preserve"> č. 2/1969 Sb.</w:t>
      </w:r>
      <w:r w:rsidRPr="008C6807">
        <w:rPr>
          <w:rStyle w:val="Znakapoznpodarou"/>
          <w:rFonts w:cstheme="minorHAnsi"/>
          <w:b/>
          <w:szCs w:val="24"/>
        </w:rPr>
        <w:footnoteReference w:id="50"/>
      </w:r>
      <w:r w:rsidRPr="008C6807">
        <w:rPr>
          <w:rFonts w:cstheme="minorHAnsi"/>
          <w:b/>
          <w:szCs w:val="24"/>
        </w:rPr>
        <w:t xml:space="preserve"> </w:t>
      </w:r>
      <w:r w:rsidRPr="008C6807">
        <w:rPr>
          <w:rFonts w:cstheme="minorHAnsi"/>
          <w:szCs w:val="24"/>
        </w:rPr>
        <w:t xml:space="preserve">Vedení přímo řízených organizací probíhá dle organizačního řádu MZ a na základě úkolů uložených odboru přímo řízených organizací náměstkem pro ekonomiku a přímo řízené organizace, ministrem nebo poradou vedení. </w:t>
      </w:r>
    </w:p>
    <w:p w14:paraId="6DE3CE77" w14:textId="338595A4" w:rsidR="008C6AEC" w:rsidRPr="008C6807" w:rsidRDefault="008C6AEC" w:rsidP="008C6807">
      <w:pPr>
        <w:spacing w:before="120"/>
        <w:rPr>
          <w:rFonts w:cstheme="minorHAnsi"/>
          <w:b/>
          <w:noProof/>
          <w:color w:val="000000" w:themeColor="text1"/>
          <w:szCs w:val="24"/>
        </w:rPr>
      </w:pPr>
      <w:r w:rsidRPr="008C6807">
        <w:rPr>
          <w:rFonts w:cstheme="minorHAnsi"/>
          <w:b/>
          <w:noProof/>
          <w:color w:val="000000" w:themeColor="text1"/>
          <w:szCs w:val="24"/>
        </w:rPr>
        <w:t xml:space="preserve">MZ nepůsobilo ve funkci zřizovatele </w:t>
      </w:r>
      <w:r w:rsidR="000C3071" w:rsidRPr="008C6807">
        <w:rPr>
          <w:rFonts w:cstheme="minorHAnsi"/>
          <w:b/>
          <w:noProof/>
          <w:color w:val="000000" w:themeColor="text1"/>
          <w:szCs w:val="24"/>
        </w:rPr>
        <w:t>FN</w:t>
      </w:r>
      <w:r w:rsidRPr="008C6807">
        <w:rPr>
          <w:rFonts w:cstheme="minorHAnsi"/>
          <w:b/>
          <w:noProof/>
          <w:color w:val="000000" w:themeColor="text1"/>
          <w:szCs w:val="24"/>
        </w:rPr>
        <w:t xml:space="preserve"> v souladu s</w:t>
      </w:r>
      <w:r w:rsidR="00F83F97" w:rsidRPr="008C6807">
        <w:rPr>
          <w:rFonts w:cstheme="minorHAnsi"/>
          <w:b/>
          <w:noProof/>
          <w:color w:val="000000" w:themeColor="text1"/>
          <w:szCs w:val="24"/>
        </w:rPr>
        <w:t>e</w:t>
      </w:r>
      <w:r w:rsidRPr="008C6807">
        <w:rPr>
          <w:rFonts w:cstheme="minorHAnsi"/>
          <w:b/>
          <w:noProof/>
          <w:color w:val="000000" w:themeColor="text1"/>
          <w:szCs w:val="24"/>
        </w:rPr>
        <w:t xml:space="preserve"> </w:t>
      </w:r>
      <w:r w:rsidR="00F83F97" w:rsidRPr="008C6807">
        <w:rPr>
          <w:rFonts w:cstheme="minorHAnsi"/>
          <w:b/>
          <w:noProof/>
          <w:color w:val="000000" w:themeColor="text1"/>
          <w:szCs w:val="24"/>
        </w:rPr>
        <w:t>zákonem</w:t>
      </w:r>
      <w:r w:rsidRPr="008C6807">
        <w:rPr>
          <w:rFonts w:cstheme="minorHAnsi"/>
          <w:b/>
          <w:noProof/>
          <w:color w:val="000000" w:themeColor="text1"/>
          <w:szCs w:val="24"/>
        </w:rPr>
        <w:t xml:space="preserve"> č. 218/2000 Sb.</w:t>
      </w:r>
      <w:r w:rsidR="00F3272E" w:rsidRPr="008C6807">
        <w:rPr>
          <w:rStyle w:val="Znakapoznpodarou"/>
          <w:rFonts w:cstheme="minorHAnsi"/>
          <w:b/>
          <w:noProof/>
          <w:color w:val="000000" w:themeColor="text1"/>
          <w:szCs w:val="24"/>
        </w:rPr>
        <w:t xml:space="preserve"> </w:t>
      </w:r>
      <w:r w:rsidR="00F3272E" w:rsidRPr="008C6807">
        <w:rPr>
          <w:rStyle w:val="Znakapoznpodarou"/>
          <w:rFonts w:cstheme="minorHAnsi"/>
          <w:b/>
          <w:noProof/>
          <w:color w:val="000000" w:themeColor="text1"/>
          <w:szCs w:val="24"/>
        </w:rPr>
        <w:footnoteReference w:id="51"/>
      </w:r>
      <w:r w:rsidRPr="008C6807">
        <w:rPr>
          <w:rFonts w:cstheme="minorHAnsi"/>
          <w:b/>
          <w:noProof/>
          <w:color w:val="000000" w:themeColor="text1"/>
          <w:szCs w:val="24"/>
        </w:rPr>
        <w:t>, když v</w:t>
      </w:r>
      <w:r w:rsidR="0030065C" w:rsidRPr="008C6807">
        <w:rPr>
          <w:rFonts w:cstheme="minorHAnsi"/>
          <w:b/>
          <w:noProof/>
          <w:color w:val="000000" w:themeColor="text1"/>
          <w:szCs w:val="24"/>
        </w:rPr>
        <w:t> </w:t>
      </w:r>
      <w:r w:rsidRPr="008C6807">
        <w:rPr>
          <w:rFonts w:cstheme="minorHAnsi"/>
          <w:b/>
          <w:noProof/>
          <w:color w:val="000000" w:themeColor="text1"/>
          <w:szCs w:val="24"/>
        </w:rPr>
        <w:t xml:space="preserve">letech 2015 a 2016 nesledovalo a nevyhodnocovalo hospodárnost, efektivnost a účelnost vynakládání výdajů u </w:t>
      </w:r>
      <w:r w:rsidR="000C3071" w:rsidRPr="008C6807">
        <w:rPr>
          <w:rFonts w:cstheme="minorHAnsi"/>
          <w:b/>
          <w:noProof/>
          <w:color w:val="000000" w:themeColor="text1"/>
          <w:szCs w:val="24"/>
        </w:rPr>
        <w:t>fakultních</w:t>
      </w:r>
      <w:r w:rsidRPr="008C6807">
        <w:rPr>
          <w:rFonts w:cstheme="minorHAnsi"/>
          <w:b/>
          <w:noProof/>
          <w:color w:val="000000" w:themeColor="text1"/>
          <w:szCs w:val="24"/>
        </w:rPr>
        <w:t xml:space="preserve"> nemocnic.</w:t>
      </w:r>
    </w:p>
    <w:p w14:paraId="2FF04985" w14:textId="4906055D" w:rsidR="008C6AEC" w:rsidRPr="008C6807" w:rsidRDefault="008C6AEC" w:rsidP="008C6807">
      <w:pPr>
        <w:spacing w:before="120"/>
        <w:rPr>
          <w:rFonts w:cstheme="minorHAnsi"/>
          <w:noProof/>
          <w:color w:val="000000" w:themeColor="text1"/>
          <w:szCs w:val="24"/>
        </w:rPr>
      </w:pPr>
      <w:r w:rsidRPr="008C6807">
        <w:rPr>
          <w:rFonts w:cstheme="minorHAnsi"/>
          <w:noProof/>
          <w:color w:val="000000" w:themeColor="text1"/>
          <w:szCs w:val="24"/>
        </w:rPr>
        <w:t xml:space="preserve">Kontrolní činnost </w:t>
      </w:r>
      <w:r w:rsidR="0009563B" w:rsidRPr="008C6807">
        <w:rPr>
          <w:rFonts w:cstheme="minorHAnsi"/>
          <w:noProof/>
          <w:color w:val="000000" w:themeColor="text1"/>
          <w:szCs w:val="24"/>
        </w:rPr>
        <w:t xml:space="preserve">u ÚVN </w:t>
      </w:r>
      <w:r w:rsidRPr="008C6807">
        <w:rPr>
          <w:rFonts w:cstheme="minorHAnsi"/>
          <w:noProof/>
          <w:color w:val="000000" w:themeColor="text1"/>
          <w:szCs w:val="24"/>
        </w:rPr>
        <w:t xml:space="preserve">realizovaná z úrovně MO byla zajištěna jak po stránce nastavení interních legislativních norem, tak i v oblasti plánování kontrolní činnosti. </w:t>
      </w:r>
    </w:p>
    <w:p w14:paraId="53DAED78" w14:textId="3267F490" w:rsidR="008C6AEC" w:rsidRPr="008C6807" w:rsidRDefault="000C1D64" w:rsidP="00757BF0">
      <w:pPr>
        <w:keepNext/>
        <w:spacing w:before="240" w:after="120"/>
        <w:rPr>
          <w:rFonts w:cstheme="minorHAnsi"/>
          <w:b/>
          <w:noProof/>
          <w:color w:val="000000" w:themeColor="text1"/>
          <w:szCs w:val="24"/>
        </w:rPr>
      </w:pPr>
      <w:r>
        <w:rPr>
          <w:rFonts w:cstheme="minorHAnsi"/>
          <w:b/>
          <w:noProof/>
          <w:color w:val="000000" w:themeColor="text1"/>
          <w:szCs w:val="24"/>
        </w:rPr>
        <w:t xml:space="preserve">2.2 </w:t>
      </w:r>
      <w:r w:rsidR="008C6AEC" w:rsidRPr="008C6807">
        <w:rPr>
          <w:rFonts w:cstheme="minorHAnsi"/>
          <w:b/>
          <w:noProof/>
          <w:color w:val="000000" w:themeColor="text1"/>
          <w:szCs w:val="24"/>
        </w:rPr>
        <w:t>Poskytování peněžních prostředků zřizovatelem</w:t>
      </w:r>
    </w:p>
    <w:p w14:paraId="05249F61" w14:textId="41E34BE1" w:rsidR="009D50C4" w:rsidRPr="000C1D64" w:rsidRDefault="009D50C4" w:rsidP="00757BF0">
      <w:pPr>
        <w:keepNext/>
        <w:tabs>
          <w:tab w:val="right" w:pos="9072"/>
        </w:tabs>
        <w:spacing w:before="120" w:after="40"/>
        <w:rPr>
          <w:rFonts w:cstheme="minorHAnsi"/>
          <w:b/>
          <w:noProof/>
          <w:color w:val="000000" w:themeColor="text1"/>
          <w:szCs w:val="24"/>
        </w:rPr>
      </w:pPr>
      <w:r w:rsidRPr="000C1D64">
        <w:rPr>
          <w:rFonts w:cstheme="minorHAnsi"/>
          <w:b/>
          <w:noProof/>
          <w:color w:val="000000" w:themeColor="text1"/>
          <w:szCs w:val="24"/>
        </w:rPr>
        <w:t xml:space="preserve">Tabulka č. 15: Peněžní prostředky od </w:t>
      </w:r>
      <w:r w:rsidR="00FA0954" w:rsidRPr="000C1D64">
        <w:rPr>
          <w:rFonts w:cstheme="minorHAnsi"/>
          <w:b/>
          <w:noProof/>
          <w:color w:val="000000" w:themeColor="text1"/>
          <w:szCs w:val="24"/>
        </w:rPr>
        <w:t>zřizovatelů poskytnuté FN</w:t>
      </w:r>
      <w:r w:rsidR="00FA0954" w:rsidRPr="000C1D64">
        <w:rPr>
          <w:rFonts w:cstheme="minorHAnsi"/>
          <w:b/>
          <w:noProof/>
          <w:color w:val="000000" w:themeColor="text1"/>
          <w:szCs w:val="24"/>
        </w:rPr>
        <w:tab/>
        <w:t>(</w:t>
      </w:r>
      <w:r w:rsidR="0009563B">
        <w:rPr>
          <w:rFonts w:cstheme="minorHAnsi"/>
          <w:b/>
          <w:noProof/>
          <w:color w:val="000000" w:themeColor="text1"/>
          <w:szCs w:val="24"/>
        </w:rPr>
        <w:t>v </w:t>
      </w:r>
      <w:r w:rsidR="00FA0954" w:rsidRPr="000C1D64">
        <w:rPr>
          <w:rFonts w:cstheme="minorHAnsi"/>
          <w:b/>
          <w:noProof/>
          <w:color w:val="000000" w:themeColor="text1"/>
          <w:szCs w:val="24"/>
        </w:rPr>
        <w:t>tis</w:t>
      </w:r>
      <w:r w:rsidRPr="000C1D64">
        <w:rPr>
          <w:rFonts w:cstheme="minorHAnsi"/>
          <w:b/>
          <w:noProof/>
          <w:color w:val="000000" w:themeColor="text1"/>
          <w:szCs w:val="24"/>
        </w:rPr>
        <w:t>. Kč)</w:t>
      </w:r>
    </w:p>
    <w:tbl>
      <w:tblPr>
        <w:tblW w:w="5000" w:type="pct"/>
        <w:tblCellMar>
          <w:left w:w="70" w:type="dxa"/>
          <w:right w:w="70" w:type="dxa"/>
        </w:tblCellMar>
        <w:tblLook w:val="04A0" w:firstRow="1" w:lastRow="0" w:firstColumn="1" w:lastColumn="0" w:noHBand="0" w:noVBand="1"/>
      </w:tblPr>
      <w:tblGrid>
        <w:gridCol w:w="2545"/>
        <w:gridCol w:w="852"/>
        <w:gridCol w:w="1986"/>
        <w:gridCol w:w="1225"/>
        <w:gridCol w:w="1227"/>
        <w:gridCol w:w="1227"/>
      </w:tblGrid>
      <w:tr w:rsidR="00445A25" w:rsidRPr="000C1D64" w14:paraId="2995E03A" w14:textId="77777777" w:rsidTr="000C1D64">
        <w:trPr>
          <w:trHeight w:val="283"/>
        </w:trPr>
        <w:tc>
          <w:tcPr>
            <w:tcW w:w="2970" w:type="pct"/>
            <w:gridSpan w:val="3"/>
            <w:tcBorders>
              <w:top w:val="single" w:sz="4" w:space="0" w:color="auto"/>
              <w:left w:val="single" w:sz="4" w:space="0" w:color="auto"/>
              <w:bottom w:val="single" w:sz="4" w:space="0" w:color="auto"/>
              <w:right w:val="single" w:sz="4" w:space="0" w:color="000000"/>
            </w:tcBorders>
            <w:shd w:val="clear" w:color="000000" w:fill="E5F1FF"/>
            <w:noWrap/>
            <w:vAlign w:val="center"/>
            <w:hideMark/>
          </w:tcPr>
          <w:p w14:paraId="15F2D172" w14:textId="3892C76F" w:rsidR="00445A25" w:rsidRPr="000C1D64" w:rsidRDefault="00445A25" w:rsidP="00757BF0">
            <w:pPr>
              <w:keepNext/>
              <w:jc w:val="center"/>
              <w:rPr>
                <w:rFonts w:ascii="Calibri" w:hAnsi="Calibri" w:cs="Calibri"/>
                <w:color w:val="000000"/>
                <w:sz w:val="20"/>
              </w:rPr>
            </w:pPr>
          </w:p>
        </w:tc>
        <w:tc>
          <w:tcPr>
            <w:tcW w:w="676" w:type="pct"/>
            <w:tcBorders>
              <w:top w:val="single" w:sz="4" w:space="0" w:color="auto"/>
              <w:left w:val="nil"/>
              <w:bottom w:val="single" w:sz="4" w:space="0" w:color="auto"/>
              <w:right w:val="single" w:sz="4" w:space="0" w:color="auto"/>
            </w:tcBorders>
            <w:shd w:val="clear" w:color="000000" w:fill="E5F1FF"/>
            <w:noWrap/>
            <w:vAlign w:val="center"/>
            <w:hideMark/>
          </w:tcPr>
          <w:p w14:paraId="1F59D031" w14:textId="77777777" w:rsidR="00445A25" w:rsidRPr="000C1D64" w:rsidRDefault="00445A25" w:rsidP="00757BF0">
            <w:pPr>
              <w:keepNext/>
              <w:jc w:val="center"/>
              <w:rPr>
                <w:rFonts w:ascii="Calibri" w:hAnsi="Calibri" w:cs="Calibri"/>
                <w:b/>
                <w:bCs/>
                <w:color w:val="000000"/>
                <w:sz w:val="20"/>
              </w:rPr>
            </w:pPr>
            <w:r w:rsidRPr="000C1D64">
              <w:rPr>
                <w:rFonts w:ascii="Calibri" w:hAnsi="Calibri" w:cs="Calibri"/>
                <w:b/>
                <w:bCs/>
                <w:color w:val="000000"/>
                <w:sz w:val="20"/>
              </w:rPr>
              <w:t>2014</w:t>
            </w:r>
          </w:p>
        </w:tc>
        <w:tc>
          <w:tcPr>
            <w:tcW w:w="677" w:type="pct"/>
            <w:tcBorders>
              <w:top w:val="single" w:sz="4" w:space="0" w:color="auto"/>
              <w:left w:val="nil"/>
              <w:bottom w:val="single" w:sz="4" w:space="0" w:color="auto"/>
              <w:right w:val="single" w:sz="4" w:space="0" w:color="auto"/>
            </w:tcBorders>
            <w:shd w:val="clear" w:color="000000" w:fill="E5F1FF"/>
            <w:noWrap/>
            <w:vAlign w:val="center"/>
            <w:hideMark/>
          </w:tcPr>
          <w:p w14:paraId="5394B01B" w14:textId="77777777" w:rsidR="00445A25" w:rsidRPr="000C1D64" w:rsidRDefault="00445A25" w:rsidP="00757BF0">
            <w:pPr>
              <w:keepNext/>
              <w:jc w:val="center"/>
              <w:rPr>
                <w:rFonts w:ascii="Calibri" w:hAnsi="Calibri" w:cs="Calibri"/>
                <w:b/>
                <w:bCs/>
                <w:color w:val="000000"/>
                <w:sz w:val="20"/>
              </w:rPr>
            </w:pPr>
            <w:r w:rsidRPr="000C1D64">
              <w:rPr>
                <w:rFonts w:ascii="Calibri" w:hAnsi="Calibri" w:cs="Calibri"/>
                <w:b/>
                <w:bCs/>
                <w:color w:val="000000"/>
                <w:sz w:val="20"/>
              </w:rPr>
              <w:t>2015</w:t>
            </w:r>
          </w:p>
        </w:tc>
        <w:tc>
          <w:tcPr>
            <w:tcW w:w="677" w:type="pct"/>
            <w:tcBorders>
              <w:top w:val="single" w:sz="4" w:space="0" w:color="auto"/>
              <w:left w:val="nil"/>
              <w:bottom w:val="single" w:sz="4" w:space="0" w:color="auto"/>
              <w:right w:val="single" w:sz="4" w:space="0" w:color="auto"/>
            </w:tcBorders>
            <w:shd w:val="clear" w:color="000000" w:fill="E5F1FF"/>
            <w:noWrap/>
            <w:vAlign w:val="center"/>
            <w:hideMark/>
          </w:tcPr>
          <w:p w14:paraId="0A34E084" w14:textId="77777777" w:rsidR="00445A25" w:rsidRPr="000C1D64" w:rsidRDefault="00445A25" w:rsidP="00757BF0">
            <w:pPr>
              <w:keepNext/>
              <w:jc w:val="center"/>
              <w:rPr>
                <w:rFonts w:ascii="Calibri" w:hAnsi="Calibri" w:cs="Calibri"/>
                <w:b/>
                <w:bCs/>
                <w:color w:val="000000"/>
                <w:sz w:val="20"/>
              </w:rPr>
            </w:pPr>
            <w:r w:rsidRPr="000C1D64">
              <w:rPr>
                <w:rFonts w:ascii="Calibri" w:hAnsi="Calibri" w:cs="Calibri"/>
                <w:b/>
                <w:bCs/>
                <w:color w:val="000000"/>
                <w:sz w:val="20"/>
              </w:rPr>
              <w:t>2016</w:t>
            </w:r>
          </w:p>
        </w:tc>
      </w:tr>
      <w:tr w:rsidR="00445A25" w:rsidRPr="000C1D64" w14:paraId="218111C0" w14:textId="77777777" w:rsidTr="000C1D64">
        <w:trPr>
          <w:trHeight w:val="283"/>
        </w:trPr>
        <w:tc>
          <w:tcPr>
            <w:tcW w:w="14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C7D45A" w14:textId="77777777" w:rsidR="00445A25" w:rsidRPr="000C1D64" w:rsidRDefault="00445A25" w:rsidP="00757BF0">
            <w:pPr>
              <w:keepNext/>
              <w:jc w:val="left"/>
              <w:rPr>
                <w:rFonts w:ascii="Calibri" w:hAnsi="Calibri" w:cs="Calibri"/>
                <w:b/>
                <w:bCs/>
                <w:color w:val="000000"/>
                <w:sz w:val="20"/>
              </w:rPr>
            </w:pPr>
            <w:r w:rsidRPr="000C1D64">
              <w:rPr>
                <w:rFonts w:ascii="Calibri" w:hAnsi="Calibri" w:cs="Calibri"/>
                <w:b/>
                <w:bCs/>
                <w:color w:val="000000"/>
                <w:sz w:val="20"/>
              </w:rPr>
              <w:t>Ministerstvo zdravotnictví</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2A853F" w14:textId="77777777" w:rsidR="00445A25" w:rsidRPr="000C1D64" w:rsidRDefault="00445A25" w:rsidP="00757BF0">
            <w:pPr>
              <w:keepNext/>
              <w:jc w:val="left"/>
              <w:rPr>
                <w:rFonts w:ascii="Calibri" w:hAnsi="Calibri" w:cs="Calibri"/>
                <w:b/>
                <w:bCs/>
                <w:color w:val="000000"/>
                <w:sz w:val="20"/>
              </w:rPr>
            </w:pPr>
            <w:r w:rsidRPr="000C1D64">
              <w:rPr>
                <w:rFonts w:ascii="Calibri" w:hAnsi="Calibri" w:cs="Calibri"/>
                <w:b/>
                <w:bCs/>
                <w:color w:val="000000"/>
                <w:sz w:val="20"/>
              </w:rPr>
              <w:t>FNB</w:t>
            </w:r>
          </w:p>
        </w:tc>
        <w:tc>
          <w:tcPr>
            <w:tcW w:w="1095" w:type="pct"/>
            <w:tcBorders>
              <w:top w:val="nil"/>
              <w:left w:val="nil"/>
              <w:bottom w:val="single" w:sz="4" w:space="0" w:color="auto"/>
              <w:right w:val="single" w:sz="4" w:space="0" w:color="auto"/>
            </w:tcBorders>
            <w:shd w:val="clear" w:color="auto" w:fill="auto"/>
            <w:noWrap/>
            <w:vAlign w:val="center"/>
            <w:hideMark/>
          </w:tcPr>
          <w:p w14:paraId="104681CE" w14:textId="77777777" w:rsidR="00445A25" w:rsidRPr="000C1D64" w:rsidRDefault="00445A25" w:rsidP="00757BF0">
            <w:pPr>
              <w:keepNext/>
              <w:jc w:val="left"/>
              <w:rPr>
                <w:rFonts w:ascii="Calibri" w:hAnsi="Calibri" w:cs="Calibri"/>
                <w:color w:val="000000"/>
                <w:sz w:val="20"/>
              </w:rPr>
            </w:pPr>
            <w:r w:rsidRPr="000C1D64">
              <w:rPr>
                <w:rFonts w:ascii="Calibri" w:hAnsi="Calibri" w:cs="Calibri"/>
                <w:color w:val="000000"/>
                <w:sz w:val="20"/>
              </w:rPr>
              <w:t>Příspěvek na provoz</w:t>
            </w:r>
          </w:p>
        </w:tc>
        <w:tc>
          <w:tcPr>
            <w:tcW w:w="67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EE6CFC" w14:textId="0B2306F4" w:rsidR="00445A25" w:rsidRPr="000C1D64" w:rsidRDefault="00445A25" w:rsidP="00757BF0">
            <w:pPr>
              <w:keepNext/>
              <w:ind w:right="57"/>
              <w:jc w:val="right"/>
              <w:rPr>
                <w:rFonts w:ascii="Calibri" w:hAnsi="Calibri" w:cs="Calibri"/>
                <w:color w:val="000000"/>
                <w:sz w:val="20"/>
              </w:rPr>
            </w:pPr>
            <w:r w:rsidRPr="000C1D64">
              <w:rPr>
                <w:rFonts w:ascii="Calibri" w:hAnsi="Calibri" w:cs="Calibri"/>
                <w:color w:val="000000"/>
                <w:sz w:val="20"/>
              </w:rPr>
              <w:t>53</w:t>
            </w:r>
            <w:r w:rsidR="00FA0954" w:rsidRPr="000C1D64">
              <w:rPr>
                <w:rFonts w:ascii="Calibri" w:hAnsi="Calibri" w:cs="Calibri"/>
                <w:color w:val="000000"/>
                <w:sz w:val="20"/>
              </w:rPr>
              <w:t xml:space="preserve"> 898,61</w:t>
            </w:r>
          </w:p>
        </w:tc>
        <w:tc>
          <w:tcPr>
            <w:tcW w:w="677" w:type="pct"/>
            <w:tcBorders>
              <w:top w:val="nil"/>
              <w:left w:val="nil"/>
              <w:bottom w:val="single" w:sz="4" w:space="0" w:color="auto"/>
              <w:right w:val="single" w:sz="4" w:space="0" w:color="auto"/>
            </w:tcBorders>
            <w:shd w:val="clear" w:color="auto" w:fill="auto"/>
            <w:noWrap/>
            <w:vAlign w:val="center"/>
            <w:hideMark/>
          </w:tcPr>
          <w:p w14:paraId="04D805BF" w14:textId="57C8D9F4" w:rsidR="00445A25" w:rsidRPr="000C1D64" w:rsidRDefault="00445A25" w:rsidP="00757BF0">
            <w:pPr>
              <w:keepNext/>
              <w:ind w:right="57"/>
              <w:jc w:val="right"/>
              <w:rPr>
                <w:rFonts w:ascii="Calibri" w:hAnsi="Calibri" w:cs="Calibri"/>
                <w:color w:val="000000"/>
                <w:sz w:val="20"/>
              </w:rPr>
            </w:pPr>
            <w:r w:rsidRPr="000C1D64">
              <w:rPr>
                <w:rFonts w:ascii="Calibri" w:hAnsi="Calibri" w:cs="Calibri"/>
                <w:color w:val="000000"/>
                <w:sz w:val="20"/>
              </w:rPr>
              <w:t>0</w:t>
            </w:r>
            <w:r w:rsidR="00FA0954" w:rsidRPr="000C1D64">
              <w:rPr>
                <w:rFonts w:ascii="Calibri" w:hAnsi="Calibri" w:cs="Calibri"/>
                <w:color w:val="000000"/>
                <w:sz w:val="20"/>
              </w:rPr>
              <w:t>,00</w:t>
            </w:r>
          </w:p>
        </w:tc>
        <w:tc>
          <w:tcPr>
            <w:tcW w:w="677" w:type="pct"/>
            <w:tcBorders>
              <w:top w:val="nil"/>
              <w:left w:val="nil"/>
              <w:bottom w:val="single" w:sz="4" w:space="0" w:color="auto"/>
              <w:right w:val="single" w:sz="4" w:space="0" w:color="auto"/>
            </w:tcBorders>
            <w:shd w:val="clear" w:color="auto" w:fill="auto"/>
            <w:noWrap/>
            <w:vAlign w:val="center"/>
            <w:hideMark/>
          </w:tcPr>
          <w:p w14:paraId="6E613026" w14:textId="67B25685" w:rsidR="00445A25" w:rsidRPr="000C1D64" w:rsidRDefault="00445A25" w:rsidP="00757BF0">
            <w:pPr>
              <w:keepNext/>
              <w:ind w:right="57"/>
              <w:jc w:val="right"/>
              <w:rPr>
                <w:rFonts w:ascii="Calibri" w:hAnsi="Calibri" w:cs="Calibri"/>
                <w:color w:val="000000"/>
                <w:sz w:val="20"/>
              </w:rPr>
            </w:pPr>
            <w:r w:rsidRPr="000C1D64">
              <w:rPr>
                <w:rFonts w:ascii="Calibri" w:hAnsi="Calibri" w:cs="Calibri"/>
                <w:color w:val="000000"/>
                <w:sz w:val="20"/>
              </w:rPr>
              <w:t>0</w:t>
            </w:r>
            <w:r w:rsidR="00FA0954" w:rsidRPr="000C1D64">
              <w:rPr>
                <w:rFonts w:ascii="Calibri" w:hAnsi="Calibri" w:cs="Calibri"/>
                <w:color w:val="000000"/>
                <w:sz w:val="20"/>
              </w:rPr>
              <w:t>,00</w:t>
            </w:r>
          </w:p>
        </w:tc>
      </w:tr>
      <w:tr w:rsidR="00445A25" w:rsidRPr="000C1D64" w14:paraId="2928304E" w14:textId="77777777" w:rsidTr="000C1D64">
        <w:trPr>
          <w:trHeight w:val="283"/>
        </w:trPr>
        <w:tc>
          <w:tcPr>
            <w:tcW w:w="1404" w:type="pct"/>
            <w:vMerge/>
            <w:tcBorders>
              <w:top w:val="nil"/>
              <w:left w:val="single" w:sz="4" w:space="0" w:color="auto"/>
              <w:bottom w:val="single" w:sz="4" w:space="0" w:color="auto"/>
              <w:right w:val="single" w:sz="4" w:space="0" w:color="auto"/>
            </w:tcBorders>
            <w:shd w:val="clear" w:color="auto" w:fill="auto"/>
            <w:vAlign w:val="center"/>
            <w:hideMark/>
          </w:tcPr>
          <w:p w14:paraId="6F92B49C" w14:textId="77777777" w:rsidR="00445A25" w:rsidRPr="000C1D64" w:rsidRDefault="00445A25" w:rsidP="00757BF0">
            <w:pPr>
              <w:keepNext/>
              <w:jc w:val="left"/>
              <w:rPr>
                <w:rFonts w:ascii="Calibri" w:hAnsi="Calibri" w:cs="Calibri"/>
                <w:b/>
                <w:bCs/>
                <w:color w:val="000000"/>
                <w:sz w:val="20"/>
              </w:rPr>
            </w:pPr>
          </w:p>
        </w:tc>
        <w:tc>
          <w:tcPr>
            <w:tcW w:w="470" w:type="pct"/>
            <w:vMerge/>
            <w:tcBorders>
              <w:top w:val="nil"/>
              <w:left w:val="single" w:sz="4" w:space="0" w:color="auto"/>
              <w:bottom w:val="single" w:sz="4" w:space="0" w:color="auto"/>
              <w:right w:val="single" w:sz="4" w:space="0" w:color="auto"/>
            </w:tcBorders>
            <w:shd w:val="clear" w:color="auto" w:fill="auto"/>
            <w:vAlign w:val="center"/>
            <w:hideMark/>
          </w:tcPr>
          <w:p w14:paraId="6A27B7E9" w14:textId="77777777" w:rsidR="00445A25" w:rsidRPr="000C1D64" w:rsidRDefault="00445A25" w:rsidP="00757BF0">
            <w:pPr>
              <w:keepNext/>
              <w:jc w:val="left"/>
              <w:rPr>
                <w:rFonts w:ascii="Calibri" w:hAnsi="Calibri" w:cs="Calibri"/>
                <w:b/>
                <w:bCs/>
                <w:color w:val="000000"/>
                <w:sz w:val="20"/>
              </w:rPr>
            </w:pPr>
          </w:p>
        </w:tc>
        <w:tc>
          <w:tcPr>
            <w:tcW w:w="1095" w:type="pct"/>
            <w:tcBorders>
              <w:top w:val="nil"/>
              <w:left w:val="nil"/>
              <w:bottom w:val="single" w:sz="4" w:space="0" w:color="auto"/>
              <w:right w:val="single" w:sz="4" w:space="0" w:color="auto"/>
            </w:tcBorders>
            <w:shd w:val="clear" w:color="auto" w:fill="auto"/>
            <w:noWrap/>
            <w:vAlign w:val="center"/>
            <w:hideMark/>
          </w:tcPr>
          <w:p w14:paraId="10C74D93" w14:textId="77777777" w:rsidR="00445A25" w:rsidRPr="000C1D64" w:rsidRDefault="00445A25" w:rsidP="00757BF0">
            <w:pPr>
              <w:keepNext/>
              <w:jc w:val="left"/>
              <w:rPr>
                <w:rFonts w:ascii="Calibri" w:hAnsi="Calibri" w:cs="Calibri"/>
                <w:color w:val="000000"/>
                <w:sz w:val="20"/>
              </w:rPr>
            </w:pPr>
            <w:r w:rsidRPr="000C1D64">
              <w:rPr>
                <w:rFonts w:ascii="Calibri" w:hAnsi="Calibri" w:cs="Calibri"/>
                <w:color w:val="000000"/>
                <w:sz w:val="20"/>
              </w:rPr>
              <w:t>Neinvestiční dotace</w:t>
            </w:r>
          </w:p>
        </w:tc>
        <w:tc>
          <w:tcPr>
            <w:tcW w:w="676" w:type="pct"/>
            <w:vMerge/>
            <w:tcBorders>
              <w:top w:val="nil"/>
              <w:left w:val="single" w:sz="4" w:space="0" w:color="auto"/>
              <w:bottom w:val="single" w:sz="4" w:space="0" w:color="auto"/>
              <w:right w:val="single" w:sz="4" w:space="0" w:color="auto"/>
            </w:tcBorders>
            <w:vAlign w:val="center"/>
            <w:hideMark/>
          </w:tcPr>
          <w:p w14:paraId="48F7B168" w14:textId="77777777" w:rsidR="00445A25" w:rsidRPr="000C1D64" w:rsidRDefault="00445A25" w:rsidP="00757BF0">
            <w:pPr>
              <w:keepNext/>
              <w:ind w:right="57"/>
              <w:jc w:val="right"/>
              <w:rPr>
                <w:rFonts w:ascii="Calibri" w:hAnsi="Calibri" w:cs="Calibri"/>
                <w:color w:val="000000"/>
                <w:sz w:val="20"/>
              </w:rPr>
            </w:pP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5DB4AD" w14:textId="35B3CEA0" w:rsidR="00445A25" w:rsidRPr="000C1D64" w:rsidRDefault="00FA0954" w:rsidP="00757BF0">
            <w:pPr>
              <w:keepNext/>
              <w:ind w:right="57"/>
              <w:jc w:val="right"/>
              <w:rPr>
                <w:rFonts w:ascii="Calibri" w:hAnsi="Calibri" w:cs="Calibri"/>
                <w:color w:val="000000"/>
                <w:sz w:val="20"/>
              </w:rPr>
            </w:pPr>
            <w:r w:rsidRPr="000C1D64">
              <w:rPr>
                <w:rFonts w:ascii="Calibri" w:hAnsi="Calibri" w:cs="Calibri"/>
                <w:color w:val="000000"/>
                <w:sz w:val="20"/>
              </w:rPr>
              <w:t>66 609,51</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E93F24" w14:textId="3484B659" w:rsidR="00445A25" w:rsidRPr="000C1D64" w:rsidRDefault="00445A25" w:rsidP="00757BF0">
            <w:pPr>
              <w:keepNext/>
              <w:ind w:right="57"/>
              <w:jc w:val="right"/>
              <w:rPr>
                <w:rFonts w:ascii="Calibri" w:hAnsi="Calibri" w:cs="Calibri"/>
                <w:color w:val="000000"/>
                <w:sz w:val="20"/>
              </w:rPr>
            </w:pPr>
            <w:r w:rsidRPr="000C1D64">
              <w:rPr>
                <w:rFonts w:ascii="Calibri" w:hAnsi="Calibri" w:cs="Calibri"/>
                <w:color w:val="000000"/>
                <w:sz w:val="20"/>
              </w:rPr>
              <w:t>53</w:t>
            </w:r>
            <w:r w:rsidR="00FA0954" w:rsidRPr="000C1D64">
              <w:rPr>
                <w:rFonts w:ascii="Calibri" w:hAnsi="Calibri" w:cs="Calibri"/>
                <w:color w:val="000000"/>
                <w:sz w:val="20"/>
              </w:rPr>
              <w:t> 049,38</w:t>
            </w:r>
          </w:p>
        </w:tc>
      </w:tr>
      <w:tr w:rsidR="00445A25" w:rsidRPr="000C1D64" w14:paraId="6F3A95F5" w14:textId="77777777" w:rsidTr="000C1D64">
        <w:trPr>
          <w:trHeight w:val="283"/>
        </w:trPr>
        <w:tc>
          <w:tcPr>
            <w:tcW w:w="1404" w:type="pct"/>
            <w:vMerge/>
            <w:tcBorders>
              <w:top w:val="nil"/>
              <w:left w:val="single" w:sz="4" w:space="0" w:color="auto"/>
              <w:bottom w:val="single" w:sz="4" w:space="0" w:color="auto"/>
              <w:right w:val="single" w:sz="4" w:space="0" w:color="auto"/>
            </w:tcBorders>
            <w:shd w:val="clear" w:color="auto" w:fill="auto"/>
            <w:vAlign w:val="center"/>
            <w:hideMark/>
          </w:tcPr>
          <w:p w14:paraId="05D1ED37" w14:textId="77777777" w:rsidR="00445A25" w:rsidRPr="000C1D64" w:rsidRDefault="00445A25" w:rsidP="00757BF0">
            <w:pPr>
              <w:keepNext/>
              <w:jc w:val="left"/>
              <w:rPr>
                <w:rFonts w:ascii="Calibri" w:hAnsi="Calibri" w:cs="Calibri"/>
                <w:b/>
                <w:bCs/>
                <w:color w:val="000000"/>
                <w:sz w:val="20"/>
              </w:rPr>
            </w:pPr>
          </w:p>
        </w:tc>
        <w:tc>
          <w:tcPr>
            <w:tcW w:w="470" w:type="pct"/>
            <w:vMerge/>
            <w:tcBorders>
              <w:top w:val="nil"/>
              <w:left w:val="single" w:sz="4" w:space="0" w:color="auto"/>
              <w:bottom w:val="single" w:sz="4" w:space="0" w:color="auto"/>
              <w:right w:val="single" w:sz="4" w:space="0" w:color="auto"/>
            </w:tcBorders>
            <w:shd w:val="clear" w:color="auto" w:fill="auto"/>
            <w:vAlign w:val="center"/>
            <w:hideMark/>
          </w:tcPr>
          <w:p w14:paraId="61861864" w14:textId="77777777" w:rsidR="00445A25" w:rsidRPr="000C1D64" w:rsidRDefault="00445A25" w:rsidP="00757BF0">
            <w:pPr>
              <w:keepNext/>
              <w:jc w:val="left"/>
              <w:rPr>
                <w:rFonts w:ascii="Calibri" w:hAnsi="Calibri" w:cs="Calibri"/>
                <w:b/>
                <w:bCs/>
                <w:color w:val="000000"/>
                <w:sz w:val="20"/>
              </w:rPr>
            </w:pPr>
          </w:p>
        </w:tc>
        <w:tc>
          <w:tcPr>
            <w:tcW w:w="1095" w:type="pct"/>
            <w:tcBorders>
              <w:top w:val="nil"/>
              <w:left w:val="nil"/>
              <w:bottom w:val="single" w:sz="4" w:space="0" w:color="auto"/>
              <w:right w:val="single" w:sz="4" w:space="0" w:color="auto"/>
            </w:tcBorders>
            <w:shd w:val="clear" w:color="auto" w:fill="auto"/>
            <w:noWrap/>
            <w:vAlign w:val="center"/>
            <w:hideMark/>
          </w:tcPr>
          <w:p w14:paraId="7062A41E" w14:textId="77777777" w:rsidR="00445A25" w:rsidRPr="000C1D64" w:rsidRDefault="00445A25" w:rsidP="00757BF0">
            <w:pPr>
              <w:keepNext/>
              <w:jc w:val="left"/>
              <w:rPr>
                <w:rFonts w:ascii="Calibri" w:hAnsi="Calibri" w:cs="Calibri"/>
                <w:color w:val="000000"/>
                <w:sz w:val="20"/>
              </w:rPr>
            </w:pPr>
            <w:r w:rsidRPr="000C1D64">
              <w:rPr>
                <w:rFonts w:ascii="Calibri" w:hAnsi="Calibri" w:cs="Calibri"/>
                <w:color w:val="000000"/>
                <w:sz w:val="20"/>
              </w:rPr>
              <w:t>Investiční dotace</w:t>
            </w:r>
          </w:p>
        </w:tc>
        <w:tc>
          <w:tcPr>
            <w:tcW w:w="676" w:type="pct"/>
            <w:tcBorders>
              <w:top w:val="nil"/>
              <w:left w:val="nil"/>
              <w:bottom w:val="single" w:sz="4" w:space="0" w:color="auto"/>
              <w:right w:val="single" w:sz="4" w:space="0" w:color="auto"/>
            </w:tcBorders>
            <w:shd w:val="clear" w:color="auto" w:fill="auto"/>
            <w:noWrap/>
            <w:vAlign w:val="center"/>
            <w:hideMark/>
          </w:tcPr>
          <w:p w14:paraId="133F1367" w14:textId="40A68A03" w:rsidR="00445A25" w:rsidRPr="000C1D64" w:rsidRDefault="00FA0954" w:rsidP="00757BF0">
            <w:pPr>
              <w:keepNext/>
              <w:ind w:right="57"/>
              <w:jc w:val="right"/>
              <w:rPr>
                <w:rFonts w:ascii="Calibri" w:hAnsi="Calibri" w:cs="Calibri"/>
                <w:color w:val="000000"/>
                <w:sz w:val="20"/>
              </w:rPr>
            </w:pPr>
            <w:r w:rsidRPr="000C1D64">
              <w:rPr>
                <w:rFonts w:ascii="Calibri" w:hAnsi="Calibri" w:cs="Calibri"/>
                <w:color w:val="000000"/>
                <w:sz w:val="20"/>
              </w:rPr>
              <w:t>72 </w:t>
            </w:r>
            <w:r w:rsidR="00445A25" w:rsidRPr="000C1D64">
              <w:rPr>
                <w:rFonts w:ascii="Calibri" w:hAnsi="Calibri" w:cs="Calibri"/>
                <w:color w:val="000000"/>
                <w:sz w:val="20"/>
              </w:rPr>
              <w:t>9</w:t>
            </w:r>
            <w:r w:rsidRPr="000C1D64">
              <w:rPr>
                <w:rFonts w:ascii="Calibri" w:hAnsi="Calibri" w:cs="Calibri"/>
                <w:color w:val="000000"/>
                <w:sz w:val="20"/>
              </w:rPr>
              <w:t>17,23</w:t>
            </w:r>
          </w:p>
        </w:tc>
        <w:tc>
          <w:tcPr>
            <w:tcW w:w="677" w:type="pct"/>
            <w:vMerge/>
            <w:tcBorders>
              <w:top w:val="nil"/>
              <w:left w:val="single" w:sz="4" w:space="0" w:color="auto"/>
              <w:bottom w:val="single" w:sz="4" w:space="0" w:color="auto"/>
              <w:right w:val="single" w:sz="4" w:space="0" w:color="auto"/>
            </w:tcBorders>
            <w:vAlign w:val="center"/>
            <w:hideMark/>
          </w:tcPr>
          <w:p w14:paraId="75D81DAC" w14:textId="77777777" w:rsidR="00445A25" w:rsidRPr="000C1D64" w:rsidRDefault="00445A25" w:rsidP="00757BF0">
            <w:pPr>
              <w:keepNext/>
              <w:ind w:right="57"/>
              <w:jc w:val="right"/>
              <w:rPr>
                <w:rFonts w:ascii="Calibri" w:hAnsi="Calibri" w:cs="Calibri"/>
                <w:color w:val="000000"/>
                <w:sz w:val="20"/>
              </w:rPr>
            </w:pPr>
          </w:p>
        </w:tc>
        <w:tc>
          <w:tcPr>
            <w:tcW w:w="677" w:type="pct"/>
            <w:vMerge/>
            <w:tcBorders>
              <w:top w:val="nil"/>
              <w:left w:val="single" w:sz="4" w:space="0" w:color="auto"/>
              <w:bottom w:val="single" w:sz="4" w:space="0" w:color="auto"/>
              <w:right w:val="single" w:sz="4" w:space="0" w:color="auto"/>
            </w:tcBorders>
            <w:vAlign w:val="center"/>
            <w:hideMark/>
          </w:tcPr>
          <w:p w14:paraId="7EF745B8" w14:textId="77777777" w:rsidR="00445A25" w:rsidRPr="000C1D64" w:rsidRDefault="00445A25" w:rsidP="00757BF0">
            <w:pPr>
              <w:keepNext/>
              <w:ind w:right="57"/>
              <w:jc w:val="right"/>
              <w:rPr>
                <w:rFonts w:ascii="Calibri" w:hAnsi="Calibri" w:cs="Calibri"/>
                <w:color w:val="000000"/>
                <w:sz w:val="20"/>
              </w:rPr>
            </w:pPr>
          </w:p>
        </w:tc>
      </w:tr>
      <w:tr w:rsidR="00445A25" w:rsidRPr="000C1D64" w14:paraId="28575BE9" w14:textId="77777777" w:rsidTr="000C1D64">
        <w:trPr>
          <w:trHeight w:val="283"/>
        </w:trPr>
        <w:tc>
          <w:tcPr>
            <w:tcW w:w="1404" w:type="pct"/>
            <w:vMerge/>
            <w:tcBorders>
              <w:top w:val="nil"/>
              <w:left w:val="single" w:sz="4" w:space="0" w:color="auto"/>
              <w:bottom w:val="single" w:sz="4" w:space="0" w:color="auto"/>
              <w:right w:val="single" w:sz="4" w:space="0" w:color="auto"/>
            </w:tcBorders>
            <w:shd w:val="clear" w:color="auto" w:fill="auto"/>
            <w:vAlign w:val="center"/>
            <w:hideMark/>
          </w:tcPr>
          <w:p w14:paraId="3597CA6C" w14:textId="77777777" w:rsidR="00445A25" w:rsidRPr="000C1D64" w:rsidRDefault="00445A25" w:rsidP="00757BF0">
            <w:pPr>
              <w:keepNext/>
              <w:jc w:val="left"/>
              <w:rPr>
                <w:rFonts w:ascii="Calibri" w:hAnsi="Calibri" w:cs="Calibri"/>
                <w:b/>
                <w:bCs/>
                <w:color w:val="000000"/>
                <w:sz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3D52CD" w14:textId="77777777" w:rsidR="00445A25" w:rsidRPr="000C1D64" w:rsidRDefault="00445A25" w:rsidP="00757BF0">
            <w:pPr>
              <w:keepNext/>
              <w:jc w:val="left"/>
              <w:rPr>
                <w:rFonts w:ascii="Calibri" w:hAnsi="Calibri" w:cs="Calibri"/>
                <w:b/>
                <w:bCs/>
                <w:color w:val="000000"/>
                <w:sz w:val="20"/>
              </w:rPr>
            </w:pPr>
            <w:r w:rsidRPr="000C1D64">
              <w:rPr>
                <w:rFonts w:ascii="Calibri" w:hAnsi="Calibri" w:cs="Calibri"/>
                <w:b/>
                <w:bCs/>
                <w:color w:val="000000"/>
                <w:sz w:val="20"/>
              </w:rPr>
              <w:t>FNM</w:t>
            </w:r>
          </w:p>
        </w:tc>
        <w:tc>
          <w:tcPr>
            <w:tcW w:w="1095" w:type="pct"/>
            <w:tcBorders>
              <w:top w:val="nil"/>
              <w:left w:val="nil"/>
              <w:bottom w:val="single" w:sz="4" w:space="0" w:color="auto"/>
              <w:right w:val="single" w:sz="4" w:space="0" w:color="auto"/>
            </w:tcBorders>
            <w:shd w:val="clear" w:color="auto" w:fill="auto"/>
            <w:noWrap/>
            <w:vAlign w:val="center"/>
            <w:hideMark/>
          </w:tcPr>
          <w:p w14:paraId="1A9E337A" w14:textId="77777777" w:rsidR="00445A25" w:rsidRPr="000C1D64" w:rsidRDefault="00445A25" w:rsidP="00757BF0">
            <w:pPr>
              <w:keepNext/>
              <w:jc w:val="left"/>
              <w:rPr>
                <w:rFonts w:ascii="Calibri" w:hAnsi="Calibri" w:cs="Calibri"/>
                <w:color w:val="000000"/>
                <w:sz w:val="20"/>
              </w:rPr>
            </w:pPr>
            <w:r w:rsidRPr="000C1D64">
              <w:rPr>
                <w:rFonts w:ascii="Calibri" w:hAnsi="Calibri" w:cs="Calibri"/>
                <w:color w:val="000000"/>
                <w:sz w:val="20"/>
              </w:rPr>
              <w:t>Příspěvek na provoz</w:t>
            </w:r>
          </w:p>
        </w:tc>
        <w:tc>
          <w:tcPr>
            <w:tcW w:w="67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29A138" w14:textId="2437B38F" w:rsidR="00445A25" w:rsidRPr="000C1D64" w:rsidRDefault="00FA0954" w:rsidP="00757BF0">
            <w:pPr>
              <w:keepNext/>
              <w:ind w:right="57"/>
              <w:jc w:val="right"/>
              <w:rPr>
                <w:rFonts w:ascii="Calibri" w:hAnsi="Calibri" w:cs="Calibri"/>
                <w:color w:val="000000"/>
                <w:sz w:val="20"/>
              </w:rPr>
            </w:pPr>
            <w:r w:rsidRPr="000C1D64">
              <w:rPr>
                <w:rFonts w:ascii="Calibri" w:hAnsi="Calibri" w:cs="Calibri"/>
                <w:color w:val="000000"/>
                <w:sz w:val="20"/>
              </w:rPr>
              <w:t>89 337,78</w:t>
            </w:r>
          </w:p>
        </w:tc>
        <w:tc>
          <w:tcPr>
            <w:tcW w:w="677" w:type="pct"/>
            <w:tcBorders>
              <w:top w:val="nil"/>
              <w:left w:val="nil"/>
              <w:bottom w:val="single" w:sz="4" w:space="0" w:color="auto"/>
              <w:right w:val="single" w:sz="4" w:space="0" w:color="auto"/>
            </w:tcBorders>
            <w:shd w:val="clear" w:color="auto" w:fill="auto"/>
            <w:noWrap/>
            <w:vAlign w:val="center"/>
            <w:hideMark/>
          </w:tcPr>
          <w:p w14:paraId="521AA946" w14:textId="74A894DA" w:rsidR="00445A25" w:rsidRPr="000C1D64" w:rsidRDefault="00445A25" w:rsidP="00757BF0">
            <w:pPr>
              <w:keepNext/>
              <w:ind w:right="57"/>
              <w:jc w:val="right"/>
              <w:rPr>
                <w:rFonts w:ascii="Calibri" w:hAnsi="Calibri" w:cs="Calibri"/>
                <w:color w:val="000000"/>
                <w:sz w:val="20"/>
              </w:rPr>
            </w:pPr>
            <w:r w:rsidRPr="000C1D64">
              <w:rPr>
                <w:rFonts w:ascii="Calibri" w:hAnsi="Calibri" w:cs="Calibri"/>
                <w:color w:val="000000"/>
                <w:sz w:val="20"/>
              </w:rPr>
              <w:t>0</w:t>
            </w:r>
            <w:r w:rsidR="00FA0954" w:rsidRPr="000C1D64">
              <w:rPr>
                <w:rFonts w:ascii="Calibri" w:hAnsi="Calibri" w:cs="Calibri"/>
                <w:color w:val="000000"/>
                <w:sz w:val="20"/>
              </w:rPr>
              <w:t>,00</w:t>
            </w:r>
          </w:p>
        </w:tc>
        <w:tc>
          <w:tcPr>
            <w:tcW w:w="677" w:type="pct"/>
            <w:tcBorders>
              <w:top w:val="nil"/>
              <w:left w:val="nil"/>
              <w:bottom w:val="single" w:sz="4" w:space="0" w:color="auto"/>
              <w:right w:val="single" w:sz="4" w:space="0" w:color="auto"/>
            </w:tcBorders>
            <w:shd w:val="clear" w:color="auto" w:fill="auto"/>
            <w:noWrap/>
            <w:vAlign w:val="center"/>
            <w:hideMark/>
          </w:tcPr>
          <w:p w14:paraId="63DCCAA7" w14:textId="47A68CCC" w:rsidR="00445A25" w:rsidRPr="000C1D64" w:rsidRDefault="00445A25" w:rsidP="00757BF0">
            <w:pPr>
              <w:keepNext/>
              <w:ind w:right="57"/>
              <w:jc w:val="right"/>
              <w:rPr>
                <w:rFonts w:ascii="Calibri" w:hAnsi="Calibri" w:cs="Calibri"/>
                <w:color w:val="000000"/>
                <w:sz w:val="20"/>
              </w:rPr>
            </w:pPr>
            <w:r w:rsidRPr="000C1D64">
              <w:rPr>
                <w:rFonts w:ascii="Calibri" w:hAnsi="Calibri" w:cs="Calibri"/>
                <w:color w:val="000000"/>
                <w:sz w:val="20"/>
              </w:rPr>
              <w:t>0</w:t>
            </w:r>
            <w:r w:rsidR="00FA0954" w:rsidRPr="000C1D64">
              <w:rPr>
                <w:rFonts w:ascii="Calibri" w:hAnsi="Calibri" w:cs="Calibri"/>
                <w:color w:val="000000"/>
                <w:sz w:val="20"/>
              </w:rPr>
              <w:t>,00</w:t>
            </w:r>
          </w:p>
        </w:tc>
      </w:tr>
      <w:tr w:rsidR="00445A25" w:rsidRPr="000C1D64" w14:paraId="0F60BD01" w14:textId="77777777" w:rsidTr="000C1D64">
        <w:trPr>
          <w:trHeight w:val="283"/>
        </w:trPr>
        <w:tc>
          <w:tcPr>
            <w:tcW w:w="1404" w:type="pct"/>
            <w:vMerge/>
            <w:tcBorders>
              <w:top w:val="nil"/>
              <w:left w:val="single" w:sz="4" w:space="0" w:color="auto"/>
              <w:bottom w:val="single" w:sz="4" w:space="0" w:color="auto"/>
              <w:right w:val="single" w:sz="4" w:space="0" w:color="auto"/>
            </w:tcBorders>
            <w:shd w:val="clear" w:color="auto" w:fill="auto"/>
            <w:vAlign w:val="center"/>
            <w:hideMark/>
          </w:tcPr>
          <w:p w14:paraId="3A6DBB0F" w14:textId="77777777" w:rsidR="00445A25" w:rsidRPr="000C1D64" w:rsidRDefault="00445A25" w:rsidP="00757BF0">
            <w:pPr>
              <w:keepNext/>
              <w:jc w:val="left"/>
              <w:rPr>
                <w:rFonts w:ascii="Calibri" w:hAnsi="Calibri" w:cs="Calibri"/>
                <w:b/>
                <w:bCs/>
                <w:color w:val="000000"/>
                <w:sz w:val="20"/>
              </w:rPr>
            </w:pPr>
          </w:p>
        </w:tc>
        <w:tc>
          <w:tcPr>
            <w:tcW w:w="470" w:type="pct"/>
            <w:vMerge/>
            <w:tcBorders>
              <w:top w:val="nil"/>
              <w:left w:val="single" w:sz="4" w:space="0" w:color="auto"/>
              <w:bottom w:val="single" w:sz="4" w:space="0" w:color="auto"/>
              <w:right w:val="single" w:sz="4" w:space="0" w:color="auto"/>
            </w:tcBorders>
            <w:shd w:val="clear" w:color="auto" w:fill="auto"/>
            <w:vAlign w:val="center"/>
            <w:hideMark/>
          </w:tcPr>
          <w:p w14:paraId="1EADF7E2" w14:textId="77777777" w:rsidR="00445A25" w:rsidRPr="000C1D64" w:rsidRDefault="00445A25" w:rsidP="00757BF0">
            <w:pPr>
              <w:keepNext/>
              <w:jc w:val="left"/>
              <w:rPr>
                <w:rFonts w:ascii="Calibri" w:hAnsi="Calibri" w:cs="Calibri"/>
                <w:b/>
                <w:bCs/>
                <w:color w:val="000000"/>
                <w:sz w:val="20"/>
              </w:rPr>
            </w:pPr>
          </w:p>
        </w:tc>
        <w:tc>
          <w:tcPr>
            <w:tcW w:w="1095" w:type="pct"/>
            <w:tcBorders>
              <w:top w:val="nil"/>
              <w:left w:val="nil"/>
              <w:bottom w:val="single" w:sz="4" w:space="0" w:color="auto"/>
              <w:right w:val="single" w:sz="4" w:space="0" w:color="auto"/>
            </w:tcBorders>
            <w:shd w:val="clear" w:color="auto" w:fill="auto"/>
            <w:noWrap/>
            <w:vAlign w:val="center"/>
            <w:hideMark/>
          </w:tcPr>
          <w:p w14:paraId="130B4CE1" w14:textId="77777777" w:rsidR="00445A25" w:rsidRPr="000C1D64" w:rsidRDefault="00445A25" w:rsidP="00757BF0">
            <w:pPr>
              <w:keepNext/>
              <w:jc w:val="left"/>
              <w:rPr>
                <w:rFonts w:ascii="Calibri" w:hAnsi="Calibri" w:cs="Calibri"/>
                <w:color w:val="000000"/>
                <w:sz w:val="20"/>
              </w:rPr>
            </w:pPr>
            <w:r w:rsidRPr="000C1D64">
              <w:rPr>
                <w:rFonts w:ascii="Calibri" w:hAnsi="Calibri" w:cs="Calibri"/>
                <w:color w:val="000000"/>
                <w:sz w:val="20"/>
              </w:rPr>
              <w:t>Neinvestiční dotace</w:t>
            </w:r>
          </w:p>
        </w:tc>
        <w:tc>
          <w:tcPr>
            <w:tcW w:w="676" w:type="pct"/>
            <w:vMerge/>
            <w:tcBorders>
              <w:top w:val="nil"/>
              <w:left w:val="single" w:sz="4" w:space="0" w:color="auto"/>
              <w:bottom w:val="single" w:sz="4" w:space="0" w:color="auto"/>
              <w:right w:val="single" w:sz="4" w:space="0" w:color="auto"/>
            </w:tcBorders>
            <w:vAlign w:val="center"/>
            <w:hideMark/>
          </w:tcPr>
          <w:p w14:paraId="33911AEC" w14:textId="77777777" w:rsidR="00445A25" w:rsidRPr="000C1D64" w:rsidRDefault="00445A25" w:rsidP="00757BF0">
            <w:pPr>
              <w:keepNext/>
              <w:ind w:right="57"/>
              <w:jc w:val="right"/>
              <w:rPr>
                <w:rFonts w:ascii="Calibri" w:hAnsi="Calibri" w:cs="Calibri"/>
                <w:color w:val="000000"/>
                <w:sz w:val="20"/>
              </w:rPr>
            </w:pP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C298A3" w14:textId="31297BAB" w:rsidR="00445A25" w:rsidRPr="000C1D64" w:rsidRDefault="00FA0954" w:rsidP="00757BF0">
            <w:pPr>
              <w:keepNext/>
              <w:ind w:right="57"/>
              <w:jc w:val="right"/>
              <w:rPr>
                <w:rFonts w:ascii="Calibri" w:hAnsi="Calibri" w:cs="Calibri"/>
                <w:color w:val="000000"/>
                <w:sz w:val="20"/>
              </w:rPr>
            </w:pPr>
            <w:r w:rsidRPr="000C1D64">
              <w:rPr>
                <w:rFonts w:ascii="Calibri" w:hAnsi="Calibri" w:cs="Calibri"/>
                <w:color w:val="000000"/>
                <w:sz w:val="20"/>
              </w:rPr>
              <w:t>95 </w:t>
            </w:r>
            <w:r w:rsidR="00445A25" w:rsidRPr="000C1D64">
              <w:rPr>
                <w:rFonts w:ascii="Calibri" w:hAnsi="Calibri" w:cs="Calibri"/>
                <w:color w:val="000000"/>
                <w:sz w:val="20"/>
              </w:rPr>
              <w:t>5</w:t>
            </w:r>
            <w:r w:rsidRPr="000C1D64">
              <w:rPr>
                <w:rFonts w:ascii="Calibri" w:hAnsi="Calibri" w:cs="Calibri"/>
                <w:color w:val="000000"/>
                <w:sz w:val="20"/>
              </w:rPr>
              <w:t>01,17</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669B4E" w14:textId="4E0DBA42" w:rsidR="00445A25" w:rsidRPr="000C1D64" w:rsidRDefault="00FA0954" w:rsidP="00757BF0">
            <w:pPr>
              <w:keepNext/>
              <w:ind w:right="57"/>
              <w:jc w:val="right"/>
              <w:rPr>
                <w:rFonts w:ascii="Calibri" w:hAnsi="Calibri" w:cs="Calibri"/>
                <w:color w:val="000000"/>
                <w:sz w:val="20"/>
              </w:rPr>
            </w:pPr>
            <w:r w:rsidRPr="000C1D64">
              <w:rPr>
                <w:rFonts w:ascii="Calibri" w:hAnsi="Calibri" w:cs="Calibri"/>
                <w:color w:val="000000"/>
                <w:sz w:val="20"/>
              </w:rPr>
              <w:t>302 669,38</w:t>
            </w:r>
          </w:p>
        </w:tc>
      </w:tr>
      <w:tr w:rsidR="00445A25" w:rsidRPr="000C1D64" w14:paraId="0C60E617" w14:textId="77777777" w:rsidTr="000C1D64">
        <w:trPr>
          <w:trHeight w:val="283"/>
        </w:trPr>
        <w:tc>
          <w:tcPr>
            <w:tcW w:w="1404" w:type="pct"/>
            <w:vMerge/>
            <w:tcBorders>
              <w:top w:val="nil"/>
              <w:left w:val="single" w:sz="4" w:space="0" w:color="auto"/>
              <w:bottom w:val="single" w:sz="4" w:space="0" w:color="auto"/>
              <w:right w:val="single" w:sz="4" w:space="0" w:color="auto"/>
            </w:tcBorders>
            <w:shd w:val="clear" w:color="auto" w:fill="auto"/>
            <w:vAlign w:val="center"/>
            <w:hideMark/>
          </w:tcPr>
          <w:p w14:paraId="0D3F95A6" w14:textId="77777777" w:rsidR="00445A25" w:rsidRPr="000C1D64" w:rsidRDefault="00445A25" w:rsidP="00757BF0">
            <w:pPr>
              <w:keepNext/>
              <w:jc w:val="left"/>
              <w:rPr>
                <w:rFonts w:ascii="Calibri" w:hAnsi="Calibri" w:cs="Calibri"/>
                <w:b/>
                <w:bCs/>
                <w:color w:val="000000"/>
                <w:sz w:val="20"/>
              </w:rPr>
            </w:pPr>
          </w:p>
        </w:tc>
        <w:tc>
          <w:tcPr>
            <w:tcW w:w="470" w:type="pct"/>
            <w:vMerge/>
            <w:tcBorders>
              <w:top w:val="nil"/>
              <w:left w:val="single" w:sz="4" w:space="0" w:color="auto"/>
              <w:bottom w:val="single" w:sz="4" w:space="0" w:color="auto"/>
              <w:right w:val="single" w:sz="4" w:space="0" w:color="auto"/>
            </w:tcBorders>
            <w:shd w:val="clear" w:color="auto" w:fill="auto"/>
            <w:vAlign w:val="center"/>
            <w:hideMark/>
          </w:tcPr>
          <w:p w14:paraId="5B5CC351" w14:textId="77777777" w:rsidR="00445A25" w:rsidRPr="000C1D64" w:rsidRDefault="00445A25" w:rsidP="00757BF0">
            <w:pPr>
              <w:keepNext/>
              <w:jc w:val="left"/>
              <w:rPr>
                <w:rFonts w:ascii="Calibri" w:hAnsi="Calibri" w:cs="Calibri"/>
                <w:b/>
                <w:bCs/>
                <w:color w:val="000000"/>
                <w:sz w:val="20"/>
              </w:rPr>
            </w:pPr>
          </w:p>
        </w:tc>
        <w:tc>
          <w:tcPr>
            <w:tcW w:w="1095" w:type="pct"/>
            <w:tcBorders>
              <w:top w:val="nil"/>
              <w:left w:val="nil"/>
              <w:bottom w:val="single" w:sz="4" w:space="0" w:color="auto"/>
              <w:right w:val="single" w:sz="4" w:space="0" w:color="auto"/>
            </w:tcBorders>
            <w:shd w:val="clear" w:color="auto" w:fill="auto"/>
            <w:noWrap/>
            <w:vAlign w:val="center"/>
            <w:hideMark/>
          </w:tcPr>
          <w:p w14:paraId="10BDD53E" w14:textId="77777777" w:rsidR="00445A25" w:rsidRPr="000C1D64" w:rsidRDefault="00445A25" w:rsidP="00757BF0">
            <w:pPr>
              <w:keepNext/>
              <w:jc w:val="left"/>
              <w:rPr>
                <w:rFonts w:ascii="Calibri" w:hAnsi="Calibri" w:cs="Calibri"/>
                <w:color w:val="000000"/>
                <w:sz w:val="20"/>
              </w:rPr>
            </w:pPr>
            <w:r w:rsidRPr="000C1D64">
              <w:rPr>
                <w:rFonts w:ascii="Calibri" w:hAnsi="Calibri" w:cs="Calibri"/>
                <w:color w:val="000000"/>
                <w:sz w:val="20"/>
              </w:rPr>
              <w:t>Investiční dotace</w:t>
            </w:r>
          </w:p>
        </w:tc>
        <w:tc>
          <w:tcPr>
            <w:tcW w:w="676" w:type="pct"/>
            <w:tcBorders>
              <w:top w:val="nil"/>
              <w:left w:val="nil"/>
              <w:bottom w:val="single" w:sz="4" w:space="0" w:color="auto"/>
              <w:right w:val="single" w:sz="4" w:space="0" w:color="auto"/>
            </w:tcBorders>
            <w:shd w:val="clear" w:color="auto" w:fill="auto"/>
            <w:noWrap/>
            <w:vAlign w:val="center"/>
            <w:hideMark/>
          </w:tcPr>
          <w:p w14:paraId="5DAA64B1" w14:textId="26B0DCC2" w:rsidR="00445A25" w:rsidRPr="000C1D64" w:rsidRDefault="00445A25" w:rsidP="00757BF0">
            <w:pPr>
              <w:keepNext/>
              <w:ind w:right="57"/>
              <w:jc w:val="right"/>
              <w:rPr>
                <w:rFonts w:ascii="Calibri" w:hAnsi="Calibri" w:cs="Calibri"/>
                <w:color w:val="000000"/>
                <w:sz w:val="20"/>
              </w:rPr>
            </w:pPr>
            <w:r w:rsidRPr="000C1D64">
              <w:rPr>
                <w:rFonts w:ascii="Calibri" w:hAnsi="Calibri" w:cs="Calibri"/>
                <w:color w:val="000000"/>
                <w:sz w:val="20"/>
              </w:rPr>
              <w:t>15</w:t>
            </w:r>
            <w:r w:rsidR="00FA0954" w:rsidRPr="000C1D64">
              <w:rPr>
                <w:rFonts w:ascii="Calibri" w:hAnsi="Calibri" w:cs="Calibri"/>
                <w:color w:val="000000"/>
                <w:sz w:val="20"/>
              </w:rPr>
              <w:t> 068,50</w:t>
            </w:r>
          </w:p>
        </w:tc>
        <w:tc>
          <w:tcPr>
            <w:tcW w:w="677" w:type="pct"/>
            <w:vMerge/>
            <w:tcBorders>
              <w:top w:val="nil"/>
              <w:left w:val="single" w:sz="4" w:space="0" w:color="auto"/>
              <w:bottom w:val="single" w:sz="4" w:space="0" w:color="auto"/>
              <w:right w:val="single" w:sz="4" w:space="0" w:color="auto"/>
            </w:tcBorders>
            <w:vAlign w:val="center"/>
            <w:hideMark/>
          </w:tcPr>
          <w:p w14:paraId="6CE5CAD7" w14:textId="77777777" w:rsidR="00445A25" w:rsidRPr="000C1D64" w:rsidRDefault="00445A25" w:rsidP="00757BF0">
            <w:pPr>
              <w:keepNext/>
              <w:ind w:right="57"/>
              <w:jc w:val="right"/>
              <w:rPr>
                <w:rFonts w:ascii="Calibri" w:hAnsi="Calibri" w:cs="Calibri"/>
                <w:color w:val="000000"/>
                <w:sz w:val="20"/>
              </w:rPr>
            </w:pPr>
          </w:p>
        </w:tc>
        <w:tc>
          <w:tcPr>
            <w:tcW w:w="677" w:type="pct"/>
            <w:vMerge/>
            <w:tcBorders>
              <w:top w:val="nil"/>
              <w:left w:val="single" w:sz="4" w:space="0" w:color="auto"/>
              <w:bottom w:val="single" w:sz="4" w:space="0" w:color="auto"/>
              <w:right w:val="single" w:sz="4" w:space="0" w:color="auto"/>
            </w:tcBorders>
            <w:vAlign w:val="center"/>
            <w:hideMark/>
          </w:tcPr>
          <w:p w14:paraId="46A39390" w14:textId="77777777" w:rsidR="00445A25" w:rsidRPr="000C1D64" w:rsidRDefault="00445A25" w:rsidP="00757BF0">
            <w:pPr>
              <w:keepNext/>
              <w:ind w:right="57"/>
              <w:jc w:val="right"/>
              <w:rPr>
                <w:rFonts w:ascii="Calibri" w:hAnsi="Calibri" w:cs="Calibri"/>
                <w:color w:val="000000"/>
                <w:sz w:val="20"/>
              </w:rPr>
            </w:pPr>
          </w:p>
        </w:tc>
      </w:tr>
      <w:tr w:rsidR="00445A25" w:rsidRPr="000C1D64" w14:paraId="5CA31277" w14:textId="77777777" w:rsidTr="000C1D64">
        <w:trPr>
          <w:trHeight w:val="283"/>
        </w:trPr>
        <w:tc>
          <w:tcPr>
            <w:tcW w:w="14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67AD9C" w14:textId="77777777" w:rsidR="00445A25" w:rsidRPr="000C1D64" w:rsidRDefault="00445A25" w:rsidP="00757BF0">
            <w:pPr>
              <w:keepNext/>
              <w:jc w:val="left"/>
              <w:rPr>
                <w:rFonts w:ascii="Calibri" w:hAnsi="Calibri" w:cs="Calibri"/>
                <w:b/>
                <w:bCs/>
                <w:color w:val="000000"/>
                <w:sz w:val="20"/>
              </w:rPr>
            </w:pPr>
            <w:r w:rsidRPr="000C1D64">
              <w:rPr>
                <w:rFonts w:ascii="Calibri" w:hAnsi="Calibri" w:cs="Calibri"/>
                <w:b/>
                <w:bCs/>
                <w:color w:val="000000"/>
                <w:sz w:val="20"/>
              </w:rPr>
              <w:t>Ministerstvo obrany</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7C2EC9" w14:textId="77777777" w:rsidR="00445A25" w:rsidRPr="000C1D64" w:rsidRDefault="00445A25" w:rsidP="00757BF0">
            <w:pPr>
              <w:keepNext/>
              <w:jc w:val="left"/>
              <w:rPr>
                <w:rFonts w:ascii="Calibri" w:hAnsi="Calibri" w:cs="Calibri"/>
                <w:b/>
                <w:bCs/>
                <w:color w:val="000000"/>
                <w:sz w:val="20"/>
              </w:rPr>
            </w:pPr>
            <w:r w:rsidRPr="000C1D64">
              <w:rPr>
                <w:rFonts w:ascii="Calibri" w:hAnsi="Calibri" w:cs="Calibri"/>
                <w:b/>
                <w:bCs/>
                <w:color w:val="000000"/>
                <w:sz w:val="20"/>
              </w:rPr>
              <w:t>ÚVN</w:t>
            </w:r>
          </w:p>
        </w:tc>
        <w:tc>
          <w:tcPr>
            <w:tcW w:w="1095" w:type="pct"/>
            <w:tcBorders>
              <w:top w:val="nil"/>
              <w:left w:val="nil"/>
              <w:bottom w:val="single" w:sz="4" w:space="0" w:color="auto"/>
              <w:right w:val="single" w:sz="4" w:space="0" w:color="auto"/>
            </w:tcBorders>
            <w:shd w:val="clear" w:color="auto" w:fill="auto"/>
            <w:noWrap/>
            <w:vAlign w:val="center"/>
            <w:hideMark/>
          </w:tcPr>
          <w:p w14:paraId="271BAB44" w14:textId="77777777" w:rsidR="00445A25" w:rsidRPr="000C1D64" w:rsidRDefault="00445A25" w:rsidP="00757BF0">
            <w:pPr>
              <w:keepNext/>
              <w:jc w:val="left"/>
              <w:rPr>
                <w:rFonts w:ascii="Calibri" w:hAnsi="Calibri" w:cs="Calibri"/>
                <w:color w:val="000000"/>
                <w:sz w:val="20"/>
              </w:rPr>
            </w:pPr>
            <w:r w:rsidRPr="000C1D64">
              <w:rPr>
                <w:rFonts w:ascii="Calibri" w:hAnsi="Calibri" w:cs="Calibri"/>
                <w:color w:val="000000"/>
                <w:sz w:val="20"/>
              </w:rPr>
              <w:t>Příspěvek na provoz</w:t>
            </w:r>
          </w:p>
        </w:tc>
        <w:tc>
          <w:tcPr>
            <w:tcW w:w="676" w:type="pct"/>
            <w:tcBorders>
              <w:top w:val="nil"/>
              <w:left w:val="nil"/>
              <w:bottom w:val="single" w:sz="4" w:space="0" w:color="auto"/>
              <w:right w:val="single" w:sz="4" w:space="0" w:color="auto"/>
            </w:tcBorders>
            <w:shd w:val="clear" w:color="auto" w:fill="auto"/>
            <w:noWrap/>
            <w:vAlign w:val="center"/>
            <w:hideMark/>
          </w:tcPr>
          <w:p w14:paraId="6B8605CD" w14:textId="211BB1BD" w:rsidR="00445A25" w:rsidRPr="000C1D64" w:rsidRDefault="00302C62" w:rsidP="00757BF0">
            <w:pPr>
              <w:keepNext/>
              <w:ind w:right="57"/>
              <w:jc w:val="right"/>
              <w:rPr>
                <w:rFonts w:ascii="Calibri" w:hAnsi="Calibri" w:cs="Calibri"/>
                <w:color w:val="000000"/>
                <w:sz w:val="20"/>
              </w:rPr>
            </w:pPr>
            <w:r w:rsidRPr="000C1D64">
              <w:rPr>
                <w:rFonts w:ascii="Calibri" w:hAnsi="Calibri" w:cs="Calibri"/>
                <w:color w:val="000000"/>
                <w:sz w:val="20"/>
              </w:rPr>
              <w:t>319 </w:t>
            </w:r>
            <w:r w:rsidR="00445A25" w:rsidRPr="000C1D64">
              <w:rPr>
                <w:rFonts w:ascii="Calibri" w:hAnsi="Calibri" w:cs="Calibri"/>
                <w:color w:val="000000"/>
                <w:sz w:val="20"/>
              </w:rPr>
              <w:t>6</w:t>
            </w:r>
            <w:r w:rsidRPr="000C1D64">
              <w:rPr>
                <w:rFonts w:ascii="Calibri" w:hAnsi="Calibri" w:cs="Calibri"/>
                <w:color w:val="000000"/>
                <w:sz w:val="20"/>
              </w:rPr>
              <w:t>08,71</w:t>
            </w:r>
          </w:p>
        </w:tc>
        <w:tc>
          <w:tcPr>
            <w:tcW w:w="677" w:type="pct"/>
            <w:tcBorders>
              <w:top w:val="nil"/>
              <w:left w:val="nil"/>
              <w:bottom w:val="single" w:sz="4" w:space="0" w:color="auto"/>
              <w:right w:val="single" w:sz="4" w:space="0" w:color="auto"/>
            </w:tcBorders>
            <w:shd w:val="clear" w:color="auto" w:fill="auto"/>
            <w:noWrap/>
            <w:vAlign w:val="center"/>
            <w:hideMark/>
          </w:tcPr>
          <w:p w14:paraId="0F9968DC" w14:textId="38D16489" w:rsidR="00445A25" w:rsidRPr="000C1D64" w:rsidRDefault="00302C62" w:rsidP="00757BF0">
            <w:pPr>
              <w:keepNext/>
              <w:ind w:right="57"/>
              <w:jc w:val="right"/>
              <w:rPr>
                <w:rFonts w:ascii="Calibri" w:hAnsi="Calibri" w:cs="Calibri"/>
                <w:color w:val="000000"/>
                <w:sz w:val="20"/>
              </w:rPr>
            </w:pPr>
            <w:r w:rsidRPr="000C1D64">
              <w:rPr>
                <w:rFonts w:ascii="Calibri" w:hAnsi="Calibri" w:cs="Calibri"/>
                <w:color w:val="000000"/>
                <w:sz w:val="20"/>
              </w:rPr>
              <w:t>463 </w:t>
            </w:r>
            <w:r w:rsidR="00445A25" w:rsidRPr="000C1D64">
              <w:rPr>
                <w:rFonts w:ascii="Calibri" w:hAnsi="Calibri" w:cs="Calibri"/>
                <w:color w:val="000000"/>
                <w:sz w:val="20"/>
              </w:rPr>
              <w:t>9</w:t>
            </w:r>
            <w:r w:rsidRPr="000C1D64">
              <w:rPr>
                <w:rFonts w:ascii="Calibri" w:hAnsi="Calibri" w:cs="Calibri"/>
                <w:color w:val="000000"/>
                <w:sz w:val="20"/>
              </w:rPr>
              <w:t>97,91</w:t>
            </w:r>
          </w:p>
        </w:tc>
        <w:tc>
          <w:tcPr>
            <w:tcW w:w="677" w:type="pct"/>
            <w:tcBorders>
              <w:top w:val="nil"/>
              <w:left w:val="nil"/>
              <w:bottom w:val="single" w:sz="4" w:space="0" w:color="auto"/>
              <w:right w:val="single" w:sz="4" w:space="0" w:color="auto"/>
            </w:tcBorders>
            <w:shd w:val="clear" w:color="auto" w:fill="auto"/>
            <w:noWrap/>
            <w:vAlign w:val="center"/>
            <w:hideMark/>
          </w:tcPr>
          <w:p w14:paraId="0B587C3E" w14:textId="242D7BCE" w:rsidR="00445A25" w:rsidRPr="000C1D64" w:rsidRDefault="00302C62" w:rsidP="00757BF0">
            <w:pPr>
              <w:keepNext/>
              <w:ind w:right="57"/>
              <w:jc w:val="right"/>
              <w:rPr>
                <w:rFonts w:ascii="Calibri" w:hAnsi="Calibri" w:cs="Calibri"/>
                <w:color w:val="000000"/>
                <w:sz w:val="20"/>
              </w:rPr>
            </w:pPr>
            <w:r w:rsidRPr="000C1D64">
              <w:rPr>
                <w:rFonts w:ascii="Calibri" w:hAnsi="Calibri" w:cs="Calibri"/>
                <w:color w:val="000000"/>
                <w:sz w:val="20"/>
              </w:rPr>
              <w:t>388 </w:t>
            </w:r>
            <w:r w:rsidR="00445A25" w:rsidRPr="000C1D64">
              <w:rPr>
                <w:rFonts w:ascii="Calibri" w:hAnsi="Calibri" w:cs="Calibri"/>
                <w:color w:val="000000"/>
                <w:sz w:val="20"/>
              </w:rPr>
              <w:t>2</w:t>
            </w:r>
            <w:r w:rsidRPr="000C1D64">
              <w:rPr>
                <w:rFonts w:ascii="Calibri" w:hAnsi="Calibri" w:cs="Calibri"/>
                <w:color w:val="000000"/>
                <w:sz w:val="20"/>
              </w:rPr>
              <w:t>05,56</w:t>
            </w:r>
          </w:p>
        </w:tc>
      </w:tr>
      <w:tr w:rsidR="00445A25" w:rsidRPr="000C1D64" w14:paraId="72930274" w14:textId="77777777" w:rsidTr="000C1D64">
        <w:trPr>
          <w:trHeight w:val="283"/>
        </w:trPr>
        <w:tc>
          <w:tcPr>
            <w:tcW w:w="1404" w:type="pct"/>
            <w:vMerge/>
            <w:tcBorders>
              <w:top w:val="nil"/>
              <w:left w:val="single" w:sz="4" w:space="0" w:color="auto"/>
              <w:bottom w:val="single" w:sz="4" w:space="0" w:color="auto"/>
              <w:right w:val="single" w:sz="4" w:space="0" w:color="auto"/>
            </w:tcBorders>
            <w:shd w:val="clear" w:color="auto" w:fill="auto"/>
            <w:vAlign w:val="center"/>
            <w:hideMark/>
          </w:tcPr>
          <w:p w14:paraId="7708450E" w14:textId="77777777" w:rsidR="00445A25" w:rsidRPr="000C1D64" w:rsidRDefault="00445A25" w:rsidP="00757BF0">
            <w:pPr>
              <w:keepNext/>
              <w:rPr>
                <w:rFonts w:ascii="Calibri" w:hAnsi="Calibri" w:cs="Calibri"/>
                <w:b/>
                <w:bCs/>
                <w:color w:val="000000"/>
                <w:sz w:val="20"/>
              </w:rPr>
            </w:pPr>
          </w:p>
        </w:tc>
        <w:tc>
          <w:tcPr>
            <w:tcW w:w="470" w:type="pct"/>
            <w:vMerge/>
            <w:tcBorders>
              <w:top w:val="nil"/>
              <w:left w:val="single" w:sz="4" w:space="0" w:color="auto"/>
              <w:bottom w:val="single" w:sz="4" w:space="0" w:color="auto"/>
              <w:right w:val="single" w:sz="4" w:space="0" w:color="auto"/>
            </w:tcBorders>
            <w:shd w:val="clear" w:color="auto" w:fill="auto"/>
            <w:vAlign w:val="center"/>
            <w:hideMark/>
          </w:tcPr>
          <w:p w14:paraId="134E2486" w14:textId="77777777" w:rsidR="00445A25" w:rsidRPr="000C1D64" w:rsidRDefault="00445A25" w:rsidP="00757BF0">
            <w:pPr>
              <w:keepNext/>
              <w:jc w:val="left"/>
              <w:rPr>
                <w:rFonts w:ascii="Calibri" w:hAnsi="Calibri" w:cs="Calibri"/>
                <w:b/>
                <w:bCs/>
                <w:color w:val="000000"/>
                <w:sz w:val="20"/>
              </w:rPr>
            </w:pPr>
          </w:p>
        </w:tc>
        <w:tc>
          <w:tcPr>
            <w:tcW w:w="1095" w:type="pct"/>
            <w:tcBorders>
              <w:top w:val="nil"/>
              <w:left w:val="nil"/>
              <w:bottom w:val="single" w:sz="4" w:space="0" w:color="auto"/>
              <w:right w:val="single" w:sz="4" w:space="0" w:color="auto"/>
            </w:tcBorders>
            <w:shd w:val="clear" w:color="auto" w:fill="auto"/>
            <w:noWrap/>
            <w:vAlign w:val="center"/>
            <w:hideMark/>
          </w:tcPr>
          <w:p w14:paraId="37DBD4AA" w14:textId="77777777" w:rsidR="00445A25" w:rsidRPr="000C1D64" w:rsidRDefault="00445A25" w:rsidP="00757BF0">
            <w:pPr>
              <w:keepNext/>
              <w:jc w:val="left"/>
              <w:rPr>
                <w:rFonts w:ascii="Calibri" w:hAnsi="Calibri" w:cs="Calibri"/>
                <w:color w:val="000000"/>
                <w:sz w:val="20"/>
              </w:rPr>
            </w:pPr>
            <w:r w:rsidRPr="000C1D64">
              <w:rPr>
                <w:rFonts w:ascii="Calibri" w:hAnsi="Calibri" w:cs="Calibri"/>
                <w:color w:val="000000"/>
                <w:sz w:val="20"/>
              </w:rPr>
              <w:t>Investiční dotace</w:t>
            </w:r>
          </w:p>
        </w:tc>
        <w:tc>
          <w:tcPr>
            <w:tcW w:w="676" w:type="pct"/>
            <w:tcBorders>
              <w:top w:val="nil"/>
              <w:left w:val="nil"/>
              <w:bottom w:val="single" w:sz="4" w:space="0" w:color="auto"/>
              <w:right w:val="single" w:sz="4" w:space="0" w:color="auto"/>
            </w:tcBorders>
            <w:shd w:val="clear" w:color="auto" w:fill="auto"/>
            <w:noWrap/>
            <w:vAlign w:val="center"/>
            <w:hideMark/>
          </w:tcPr>
          <w:p w14:paraId="077A4924" w14:textId="06F62E25" w:rsidR="00445A25" w:rsidRPr="000C1D64" w:rsidRDefault="00302C62" w:rsidP="00757BF0">
            <w:pPr>
              <w:keepNext/>
              <w:ind w:right="57"/>
              <w:jc w:val="right"/>
              <w:rPr>
                <w:rFonts w:ascii="Calibri" w:hAnsi="Calibri" w:cs="Calibri"/>
                <w:color w:val="000000"/>
                <w:sz w:val="20"/>
              </w:rPr>
            </w:pPr>
            <w:r w:rsidRPr="000C1D64">
              <w:rPr>
                <w:rFonts w:ascii="Calibri" w:hAnsi="Calibri" w:cs="Calibri"/>
                <w:color w:val="000000"/>
                <w:sz w:val="20"/>
              </w:rPr>
              <w:t>68 064,95</w:t>
            </w:r>
          </w:p>
        </w:tc>
        <w:tc>
          <w:tcPr>
            <w:tcW w:w="677" w:type="pct"/>
            <w:tcBorders>
              <w:top w:val="nil"/>
              <w:left w:val="nil"/>
              <w:bottom w:val="single" w:sz="4" w:space="0" w:color="auto"/>
              <w:right w:val="single" w:sz="4" w:space="0" w:color="auto"/>
            </w:tcBorders>
            <w:shd w:val="clear" w:color="auto" w:fill="auto"/>
            <w:noWrap/>
            <w:vAlign w:val="center"/>
            <w:hideMark/>
          </w:tcPr>
          <w:p w14:paraId="79549336" w14:textId="1CF63486" w:rsidR="00445A25" w:rsidRPr="000C1D64" w:rsidRDefault="00445A25" w:rsidP="00757BF0">
            <w:pPr>
              <w:keepNext/>
              <w:ind w:right="57"/>
              <w:jc w:val="right"/>
              <w:rPr>
                <w:rFonts w:ascii="Calibri" w:hAnsi="Calibri" w:cs="Calibri"/>
                <w:color w:val="000000"/>
                <w:sz w:val="20"/>
              </w:rPr>
            </w:pPr>
            <w:r w:rsidRPr="000C1D64">
              <w:rPr>
                <w:rFonts w:ascii="Calibri" w:hAnsi="Calibri" w:cs="Calibri"/>
                <w:color w:val="000000"/>
                <w:sz w:val="20"/>
              </w:rPr>
              <w:t>1</w:t>
            </w:r>
            <w:r w:rsidR="00302C62" w:rsidRPr="000C1D64">
              <w:rPr>
                <w:rFonts w:ascii="Calibri" w:hAnsi="Calibri" w:cs="Calibri"/>
                <w:color w:val="000000"/>
                <w:sz w:val="20"/>
              </w:rPr>
              <w:t>42 679,47</w:t>
            </w:r>
          </w:p>
        </w:tc>
        <w:tc>
          <w:tcPr>
            <w:tcW w:w="677" w:type="pct"/>
            <w:tcBorders>
              <w:top w:val="nil"/>
              <w:left w:val="nil"/>
              <w:bottom w:val="single" w:sz="4" w:space="0" w:color="auto"/>
              <w:right w:val="single" w:sz="4" w:space="0" w:color="auto"/>
            </w:tcBorders>
            <w:shd w:val="clear" w:color="auto" w:fill="auto"/>
            <w:noWrap/>
            <w:vAlign w:val="center"/>
            <w:hideMark/>
          </w:tcPr>
          <w:p w14:paraId="3CA0741B" w14:textId="1F7EFBE4" w:rsidR="00445A25" w:rsidRPr="000C1D64" w:rsidRDefault="00445A25" w:rsidP="00757BF0">
            <w:pPr>
              <w:keepNext/>
              <w:ind w:right="57"/>
              <w:jc w:val="right"/>
              <w:rPr>
                <w:rFonts w:ascii="Calibri" w:hAnsi="Calibri" w:cs="Calibri"/>
                <w:color w:val="000000"/>
                <w:sz w:val="20"/>
              </w:rPr>
            </w:pPr>
            <w:r w:rsidRPr="000C1D64">
              <w:rPr>
                <w:rFonts w:ascii="Calibri" w:hAnsi="Calibri" w:cs="Calibri"/>
                <w:color w:val="000000"/>
                <w:sz w:val="20"/>
              </w:rPr>
              <w:t>0</w:t>
            </w:r>
            <w:r w:rsidR="00302C62" w:rsidRPr="000C1D64">
              <w:rPr>
                <w:rFonts w:ascii="Calibri" w:hAnsi="Calibri" w:cs="Calibri"/>
                <w:color w:val="000000"/>
                <w:sz w:val="20"/>
              </w:rPr>
              <w:t>,00</w:t>
            </w:r>
          </w:p>
        </w:tc>
      </w:tr>
    </w:tbl>
    <w:p w14:paraId="733CDED7" w14:textId="6F4087E2" w:rsidR="00445A25" w:rsidRPr="008C6807" w:rsidRDefault="009D50C4" w:rsidP="00757BF0">
      <w:pPr>
        <w:pStyle w:val="Zdroj"/>
        <w:keepNext/>
        <w:spacing w:before="40"/>
        <w:ind w:left="567" w:hanging="567"/>
        <w:rPr>
          <w:i w:val="0"/>
          <w:noProof/>
        </w:rPr>
      </w:pPr>
      <w:r w:rsidRPr="008C6807">
        <w:rPr>
          <w:b/>
          <w:i w:val="0"/>
          <w:noProof/>
        </w:rPr>
        <w:t>Zdroj:</w:t>
      </w:r>
      <w:r w:rsidRPr="008C6807">
        <w:rPr>
          <w:i w:val="0"/>
          <w:noProof/>
        </w:rPr>
        <w:t xml:space="preserve"> </w:t>
      </w:r>
      <w:r w:rsidR="0009563B">
        <w:rPr>
          <w:i w:val="0"/>
          <w:noProof/>
        </w:rPr>
        <w:t>f</w:t>
      </w:r>
      <w:r w:rsidR="00FA0954" w:rsidRPr="008C6807">
        <w:rPr>
          <w:i w:val="0"/>
          <w:noProof/>
        </w:rPr>
        <w:t xml:space="preserve">inanční vypořádání vztahů státních příspěvkových oragnizací (bez účelové podpory vědy a výzkumu) FNB a FNM za roky 2014, 2015 a 2016; </w:t>
      </w:r>
      <w:r w:rsidR="0009563B">
        <w:rPr>
          <w:i w:val="0"/>
          <w:noProof/>
        </w:rPr>
        <w:t>p</w:t>
      </w:r>
      <w:r w:rsidR="00F469B7" w:rsidRPr="008C6807">
        <w:rPr>
          <w:i w:val="0"/>
          <w:noProof/>
        </w:rPr>
        <w:t>ředložené sestavy MO na základě žádosti NKÚ</w:t>
      </w:r>
      <w:r w:rsidR="00FA0954" w:rsidRPr="008C6807">
        <w:rPr>
          <w:i w:val="0"/>
          <w:noProof/>
        </w:rPr>
        <w:t xml:space="preserve"> </w:t>
      </w:r>
      <w:r w:rsidR="00445A25" w:rsidRPr="008C6807">
        <w:rPr>
          <w:i w:val="0"/>
          <w:noProof/>
        </w:rPr>
        <w:t>.</w:t>
      </w:r>
    </w:p>
    <w:p w14:paraId="2BCDAD92" w14:textId="50D3DF87" w:rsidR="00445A25" w:rsidRPr="008C6807" w:rsidRDefault="00445A25" w:rsidP="008C6807">
      <w:pPr>
        <w:pStyle w:val="Zdroj"/>
        <w:ind w:left="567" w:hanging="567"/>
        <w:rPr>
          <w:i w:val="0"/>
          <w:noProof/>
        </w:rPr>
      </w:pPr>
      <w:r w:rsidRPr="008C6807">
        <w:rPr>
          <w:b/>
          <w:i w:val="0"/>
          <w:noProof/>
        </w:rPr>
        <w:t>Pozn</w:t>
      </w:r>
      <w:r w:rsidR="008F777B">
        <w:rPr>
          <w:b/>
          <w:i w:val="0"/>
          <w:noProof/>
        </w:rPr>
        <w:t>.</w:t>
      </w:r>
      <w:r w:rsidRPr="008C6807">
        <w:rPr>
          <w:b/>
          <w:i w:val="0"/>
          <w:noProof/>
        </w:rPr>
        <w:t>:</w:t>
      </w:r>
      <w:r w:rsidRPr="008C6807">
        <w:rPr>
          <w:i w:val="0"/>
          <w:noProof/>
        </w:rPr>
        <w:t xml:space="preserve"> Uvedené údaje jsou bez projektů spolufinancovaných z EU.</w:t>
      </w:r>
    </w:p>
    <w:p w14:paraId="215BDAD2" w14:textId="39DEA0EB" w:rsidR="00644867" w:rsidRDefault="00AE19D4" w:rsidP="008C6807">
      <w:pPr>
        <w:spacing w:before="120"/>
        <w:rPr>
          <w:rFonts w:ascii="Calibri" w:hAnsi="Calibri"/>
          <w:i/>
        </w:rPr>
      </w:pPr>
      <w:r w:rsidRPr="00C14A51">
        <w:rPr>
          <w:rFonts w:cs="Arial"/>
          <w:b/>
          <w:color w:val="000000" w:themeColor="text1"/>
          <w:szCs w:val="24"/>
        </w:rPr>
        <w:t>NKÚ identifikoval riziko v oblasti poskytování peněžních prostředků kontrolovaným FN ze strany zřizovatelů</w:t>
      </w:r>
      <w:r w:rsidRPr="00C14A51">
        <w:rPr>
          <w:rStyle w:val="Znakapoznpodarou"/>
          <w:rFonts w:cs="Arial"/>
          <w:b/>
          <w:color w:val="000000" w:themeColor="text1"/>
          <w:szCs w:val="24"/>
        </w:rPr>
        <w:footnoteReference w:id="52"/>
      </w:r>
      <w:r w:rsidR="00E22E88" w:rsidRPr="00C14A51">
        <w:rPr>
          <w:rFonts w:cs="Arial"/>
          <w:b/>
          <w:color w:val="000000" w:themeColor="text1"/>
          <w:szCs w:val="24"/>
        </w:rPr>
        <w:t xml:space="preserve"> </w:t>
      </w:r>
      <w:r w:rsidR="00E22E88" w:rsidRPr="00C14A51">
        <w:rPr>
          <w:rFonts w:cstheme="minorHAnsi"/>
          <w:noProof/>
          <w:color w:val="000000" w:themeColor="text1"/>
        </w:rPr>
        <w:t xml:space="preserve">s možnými negativními dopady jak na poskytovatele, tak </w:t>
      </w:r>
      <w:r w:rsidR="00CA2FF1" w:rsidRPr="00C14A51">
        <w:rPr>
          <w:rFonts w:cstheme="minorHAnsi"/>
          <w:noProof/>
          <w:color w:val="000000" w:themeColor="text1"/>
        </w:rPr>
        <w:t xml:space="preserve">na </w:t>
      </w:r>
      <w:r w:rsidR="00E22E88" w:rsidRPr="00C14A51">
        <w:rPr>
          <w:rFonts w:cstheme="minorHAnsi"/>
          <w:noProof/>
          <w:color w:val="000000" w:themeColor="text1"/>
        </w:rPr>
        <w:t>příjemce veřejné podpory.</w:t>
      </w:r>
      <w:r w:rsidR="007F7CD4" w:rsidRPr="00C14A51">
        <w:rPr>
          <w:rFonts w:cs="Arial"/>
          <w:color w:val="000000" w:themeColor="text1"/>
          <w:szCs w:val="24"/>
        </w:rPr>
        <w:t xml:space="preserve"> V</w:t>
      </w:r>
      <w:r w:rsidRPr="00C14A51">
        <w:rPr>
          <w:rFonts w:cs="Arial"/>
          <w:color w:val="000000" w:themeColor="text1"/>
          <w:szCs w:val="24"/>
        </w:rPr>
        <w:t xml:space="preserve"> průběhu roku 2016 MZ vydalo ve smyslu článku 106 odst. 2 </w:t>
      </w:r>
      <w:r w:rsidRPr="00E60983">
        <w:rPr>
          <w:rFonts w:cs="Arial"/>
          <w:i/>
          <w:color w:val="000000" w:themeColor="text1"/>
          <w:szCs w:val="24"/>
        </w:rPr>
        <w:t>Smlouvy o</w:t>
      </w:r>
      <w:r w:rsidR="0030065C" w:rsidRPr="00E60983">
        <w:rPr>
          <w:rFonts w:cs="Arial"/>
          <w:i/>
          <w:color w:val="000000" w:themeColor="text1"/>
          <w:szCs w:val="24"/>
        </w:rPr>
        <w:t> </w:t>
      </w:r>
      <w:r w:rsidRPr="00E60983">
        <w:rPr>
          <w:rFonts w:cs="Arial"/>
          <w:i/>
          <w:color w:val="000000" w:themeColor="text1"/>
          <w:szCs w:val="24"/>
        </w:rPr>
        <w:t xml:space="preserve">fungování Evropské unie </w:t>
      </w:r>
      <w:r w:rsidRPr="00661C4F">
        <w:rPr>
          <w:rFonts w:cs="Arial"/>
          <w:color w:val="000000" w:themeColor="text1"/>
          <w:szCs w:val="24"/>
        </w:rPr>
        <w:t>pověřovací akt na služby obecného hospodářského zájmu</w:t>
      </w:r>
      <w:r w:rsidRPr="00661C4F">
        <w:rPr>
          <w:rStyle w:val="Znakapoznpodarou"/>
          <w:rFonts w:cs="Arial"/>
          <w:color w:val="000000" w:themeColor="text1"/>
          <w:szCs w:val="24"/>
        </w:rPr>
        <w:footnoteReference w:id="53"/>
      </w:r>
      <w:r w:rsidRPr="00661C4F">
        <w:rPr>
          <w:rFonts w:cs="Arial"/>
          <w:color w:val="000000" w:themeColor="text1"/>
          <w:szCs w:val="24"/>
        </w:rPr>
        <w:t xml:space="preserve"> FNB a</w:t>
      </w:r>
      <w:r w:rsidR="0030065C">
        <w:rPr>
          <w:rFonts w:cs="Arial"/>
          <w:color w:val="000000" w:themeColor="text1"/>
          <w:szCs w:val="24"/>
        </w:rPr>
        <w:t> </w:t>
      </w:r>
      <w:r w:rsidRPr="00661C4F">
        <w:rPr>
          <w:rFonts w:cs="Arial"/>
          <w:color w:val="000000" w:themeColor="text1"/>
          <w:szCs w:val="24"/>
        </w:rPr>
        <w:t>FNM pro oblast investic</w:t>
      </w:r>
      <w:r w:rsidRPr="00BB7974">
        <w:rPr>
          <w:rFonts w:cs="Arial"/>
          <w:color w:val="000000" w:themeColor="text1"/>
          <w:szCs w:val="24"/>
        </w:rPr>
        <w:t>.</w:t>
      </w:r>
      <w:r w:rsidRPr="00661C4F">
        <w:rPr>
          <w:rFonts w:cs="Arial"/>
          <w:color w:val="000000" w:themeColor="text1"/>
          <w:szCs w:val="24"/>
        </w:rPr>
        <w:t xml:space="preserve"> </w:t>
      </w:r>
      <w:r w:rsidRPr="00D6734B">
        <w:rPr>
          <w:rFonts w:cs="Arial"/>
          <w:b/>
          <w:color w:val="000000" w:themeColor="text1"/>
          <w:szCs w:val="24"/>
        </w:rPr>
        <w:t xml:space="preserve">MO </w:t>
      </w:r>
      <w:r>
        <w:rPr>
          <w:rFonts w:cs="Arial"/>
          <w:b/>
          <w:color w:val="000000" w:themeColor="text1"/>
          <w:szCs w:val="24"/>
        </w:rPr>
        <w:t xml:space="preserve">žádným způsobem oblast související s poskytováním peněžních prostředků neupravilo, přestože na riziko v této oblasti již upozornil NKÚ v rámci kontrolní akce č. 15/38. </w:t>
      </w:r>
      <w:r w:rsidR="001F64E7" w:rsidRPr="001F64E7">
        <w:rPr>
          <w:rFonts w:cs="Arial"/>
          <w:color w:val="000000" w:themeColor="text1"/>
          <w:szCs w:val="24"/>
        </w:rPr>
        <w:t xml:space="preserve">ÚVN poskytovala zdravotnické služby, které lze </w:t>
      </w:r>
      <w:r w:rsidR="001F64E7" w:rsidRPr="001F64E7">
        <w:rPr>
          <w:rFonts w:cstheme="minorHAnsi"/>
        </w:rPr>
        <w:t xml:space="preserve">dle </w:t>
      </w:r>
      <w:r w:rsidR="0009563B">
        <w:rPr>
          <w:rFonts w:cstheme="minorHAnsi"/>
        </w:rPr>
        <w:t>m</w:t>
      </w:r>
      <w:r w:rsidR="001F64E7" w:rsidRPr="001F64E7">
        <w:rPr>
          <w:rFonts w:cstheme="minorHAnsi"/>
        </w:rPr>
        <w:t>anuálu služeb obecného hospodářského zájmu</w:t>
      </w:r>
      <w:r w:rsidR="001F64E7">
        <w:rPr>
          <w:rStyle w:val="Znakapoznpodarou"/>
          <w:rFonts w:cstheme="minorHAnsi"/>
        </w:rPr>
        <w:footnoteReference w:id="54"/>
      </w:r>
      <w:r w:rsidR="001F64E7" w:rsidRPr="001F64E7">
        <w:rPr>
          <w:rFonts w:cstheme="minorHAnsi"/>
        </w:rPr>
        <w:t xml:space="preserve"> považovat </w:t>
      </w:r>
      <w:r w:rsidR="001F64E7" w:rsidRPr="008E05DB">
        <w:rPr>
          <w:rFonts w:cstheme="minorHAnsi"/>
        </w:rPr>
        <w:t xml:space="preserve">za </w:t>
      </w:r>
      <w:r w:rsidR="00CD5A6D">
        <w:rPr>
          <w:rFonts w:cstheme="minorHAnsi"/>
        </w:rPr>
        <w:t>hospodářskou</w:t>
      </w:r>
      <w:r w:rsidR="001F64E7" w:rsidRPr="008E05DB">
        <w:rPr>
          <w:rFonts w:cstheme="minorHAnsi"/>
        </w:rPr>
        <w:t xml:space="preserve"> činnost</w:t>
      </w:r>
      <w:r w:rsidR="00C44DF9">
        <w:rPr>
          <w:rStyle w:val="Znakapoznpodarou"/>
          <w:rFonts w:cstheme="minorHAnsi"/>
        </w:rPr>
        <w:footnoteReference w:id="55"/>
      </w:r>
      <w:r w:rsidR="008E05DB" w:rsidRPr="008E05DB">
        <w:rPr>
          <w:rFonts w:cstheme="minorHAnsi"/>
        </w:rPr>
        <w:t xml:space="preserve"> ve smyslu </w:t>
      </w:r>
      <w:r w:rsidR="00CD5A6D">
        <w:rPr>
          <w:rFonts w:cstheme="minorHAnsi"/>
        </w:rPr>
        <w:t>evropských předpisů</w:t>
      </w:r>
      <w:r w:rsidR="001F64E7" w:rsidRPr="008E05DB">
        <w:rPr>
          <w:rFonts w:cstheme="minorHAnsi"/>
        </w:rPr>
        <w:t>.</w:t>
      </w:r>
      <w:r w:rsidR="001F64E7">
        <w:rPr>
          <w:rFonts w:cstheme="minorHAnsi"/>
        </w:rPr>
        <w:t xml:space="preserve"> </w:t>
      </w:r>
      <w:r w:rsidR="00644867" w:rsidRPr="00644867">
        <w:rPr>
          <w:rFonts w:cs="Arial"/>
          <w:color w:val="000000" w:themeColor="text1"/>
          <w:szCs w:val="24"/>
        </w:rPr>
        <w:t xml:space="preserve">ÚVN k dané problematice </w:t>
      </w:r>
      <w:r w:rsidR="001345D1">
        <w:rPr>
          <w:rFonts w:cs="Arial"/>
          <w:color w:val="000000" w:themeColor="text1"/>
          <w:szCs w:val="24"/>
        </w:rPr>
        <w:t>mj. </w:t>
      </w:r>
      <w:r w:rsidR="00644867" w:rsidRPr="008E743B">
        <w:rPr>
          <w:rFonts w:cs="Arial"/>
          <w:color w:val="000000" w:themeColor="text1"/>
          <w:szCs w:val="24"/>
        </w:rPr>
        <w:t>uvedla:</w:t>
      </w:r>
      <w:r w:rsidR="00644867" w:rsidRPr="008E743B">
        <w:rPr>
          <w:i/>
        </w:rPr>
        <w:t xml:space="preserve"> </w:t>
      </w:r>
      <w:r w:rsidR="00644867" w:rsidRPr="00E60983">
        <w:t>„</w:t>
      </w:r>
      <w:r w:rsidR="006200A7" w:rsidRPr="008E743B">
        <w:rPr>
          <w:rFonts w:cs="Calibri"/>
          <w:i/>
        </w:rPr>
        <w:t>ÚVN účtuje provozní příspěvek od zřizovatele na analytický účet 67110001 jako celkovou částku za každý měsíc. Po jednotlivých činnostech není příspěvek v účetnictví evidován.</w:t>
      </w:r>
      <w:r w:rsidR="006200A7" w:rsidRPr="00E60983">
        <w:rPr>
          <w:rFonts w:cs="Calibri"/>
        </w:rPr>
        <w:t>“</w:t>
      </w:r>
    </w:p>
    <w:p w14:paraId="10D502E4" w14:textId="73CD5AA0" w:rsidR="008C6AEC" w:rsidRPr="00E41939" w:rsidRDefault="008C6AEC" w:rsidP="008C6807">
      <w:pPr>
        <w:spacing w:before="120"/>
        <w:rPr>
          <w:rFonts w:cstheme="minorHAnsi"/>
          <w:noProof/>
          <w:color w:val="000000" w:themeColor="text1"/>
        </w:rPr>
      </w:pPr>
      <w:r>
        <w:rPr>
          <w:rFonts w:cstheme="minorHAnsi"/>
          <w:noProof/>
          <w:color w:val="000000" w:themeColor="text1"/>
        </w:rPr>
        <w:t>MO</w:t>
      </w:r>
      <w:r w:rsidRPr="00E41939">
        <w:rPr>
          <w:rFonts w:cstheme="minorHAnsi"/>
          <w:noProof/>
          <w:color w:val="000000" w:themeColor="text1"/>
        </w:rPr>
        <w:t xml:space="preserve"> nevyužilo možnosti tuto rizikovou oblast konzultovat s </w:t>
      </w:r>
      <w:r>
        <w:rPr>
          <w:rFonts w:cstheme="minorHAnsi"/>
          <w:noProof/>
          <w:color w:val="000000" w:themeColor="text1"/>
        </w:rPr>
        <w:t xml:space="preserve">Úřadem pro </w:t>
      </w:r>
      <w:r w:rsidR="00454B37">
        <w:rPr>
          <w:rFonts w:cstheme="minorHAnsi"/>
          <w:noProof/>
          <w:color w:val="000000" w:themeColor="text1"/>
        </w:rPr>
        <w:t>ochranu hospodářské</w:t>
      </w:r>
      <w:r>
        <w:rPr>
          <w:rFonts w:cstheme="minorHAnsi"/>
          <w:noProof/>
          <w:color w:val="000000" w:themeColor="text1"/>
        </w:rPr>
        <w:t xml:space="preserve"> soutěž</w:t>
      </w:r>
      <w:r w:rsidR="00454B37">
        <w:rPr>
          <w:rFonts w:cstheme="minorHAnsi"/>
          <w:noProof/>
          <w:color w:val="000000" w:themeColor="text1"/>
        </w:rPr>
        <w:t>e</w:t>
      </w:r>
      <w:r w:rsidR="007C720D">
        <w:rPr>
          <w:rFonts w:cstheme="minorHAnsi"/>
          <w:noProof/>
          <w:color w:val="000000" w:themeColor="text1"/>
        </w:rPr>
        <w:t xml:space="preserve"> </w:t>
      </w:r>
      <w:r>
        <w:rPr>
          <w:rFonts w:cstheme="minorHAnsi"/>
          <w:noProof/>
          <w:color w:val="000000" w:themeColor="text1"/>
        </w:rPr>
        <w:t xml:space="preserve">dle </w:t>
      </w:r>
      <w:r w:rsidRPr="00E41939">
        <w:rPr>
          <w:rFonts w:cstheme="minorHAnsi"/>
          <w:noProof/>
          <w:color w:val="000000" w:themeColor="text1"/>
        </w:rPr>
        <w:t>zákona č. 215/2004 Sb.</w:t>
      </w:r>
      <w:r w:rsidR="007C720D">
        <w:rPr>
          <w:rStyle w:val="Znakapoznpodarou"/>
          <w:rFonts w:cstheme="minorHAnsi"/>
          <w:noProof/>
          <w:color w:val="000000" w:themeColor="text1"/>
        </w:rPr>
        <w:footnoteReference w:id="56"/>
      </w:r>
      <w:r w:rsidRPr="00E41939">
        <w:rPr>
          <w:rFonts w:cstheme="minorHAnsi"/>
          <w:noProof/>
          <w:color w:val="000000" w:themeColor="text1"/>
        </w:rPr>
        <w:t xml:space="preserve"> nebo jeho prostřednictvím s Komisí E</w:t>
      </w:r>
      <w:r w:rsidR="003F4506">
        <w:rPr>
          <w:rFonts w:cstheme="minorHAnsi"/>
          <w:noProof/>
          <w:color w:val="000000" w:themeColor="text1"/>
        </w:rPr>
        <w:t>vropské unie</w:t>
      </w:r>
      <w:r w:rsidRPr="00E41939">
        <w:rPr>
          <w:rFonts w:cstheme="minorHAnsi"/>
          <w:noProof/>
          <w:color w:val="000000" w:themeColor="text1"/>
        </w:rPr>
        <w:t>, jak již bylo konstatováno v kontrolním závěru NKÚ z kontrolní akce č. 15/38.</w:t>
      </w:r>
    </w:p>
    <w:p w14:paraId="427B2320" w14:textId="1F035AC2" w:rsidR="008C6AEC" w:rsidRPr="008C6807" w:rsidRDefault="000C1D64" w:rsidP="00757BF0">
      <w:pPr>
        <w:spacing w:before="240" w:after="120"/>
        <w:rPr>
          <w:rFonts w:cstheme="minorHAnsi"/>
          <w:b/>
          <w:noProof/>
          <w:color w:val="000000" w:themeColor="text1"/>
          <w:szCs w:val="24"/>
        </w:rPr>
      </w:pPr>
      <w:r>
        <w:rPr>
          <w:rFonts w:cstheme="minorHAnsi"/>
          <w:b/>
          <w:noProof/>
          <w:color w:val="000000" w:themeColor="text1"/>
          <w:szCs w:val="24"/>
        </w:rPr>
        <w:t xml:space="preserve">2.3 </w:t>
      </w:r>
      <w:r w:rsidR="00BB3DDE" w:rsidRPr="008C6807">
        <w:rPr>
          <w:rFonts w:cstheme="minorHAnsi"/>
          <w:b/>
          <w:noProof/>
          <w:color w:val="000000" w:themeColor="text1"/>
          <w:szCs w:val="24"/>
        </w:rPr>
        <w:t>Bonusy</w:t>
      </w:r>
      <w:r w:rsidR="008C6AEC" w:rsidRPr="008C6807">
        <w:rPr>
          <w:rFonts w:cstheme="minorHAnsi"/>
          <w:b/>
          <w:noProof/>
          <w:color w:val="000000" w:themeColor="text1"/>
          <w:szCs w:val="24"/>
        </w:rPr>
        <w:t xml:space="preserve"> poskytované dodavateli</w:t>
      </w:r>
    </w:p>
    <w:p w14:paraId="08FF4C0F" w14:textId="07699814" w:rsidR="008C6AEC" w:rsidRPr="008C6807" w:rsidRDefault="008C6AEC" w:rsidP="008C6807">
      <w:pPr>
        <w:autoSpaceDE w:val="0"/>
        <w:autoSpaceDN w:val="0"/>
        <w:adjustRightInd w:val="0"/>
        <w:spacing w:before="120"/>
        <w:rPr>
          <w:rFonts w:cs="Arial"/>
          <w:b/>
          <w:color w:val="000000" w:themeColor="text1"/>
          <w:szCs w:val="24"/>
        </w:rPr>
      </w:pPr>
      <w:r w:rsidRPr="008C6807">
        <w:rPr>
          <w:rFonts w:cs="Arial"/>
          <w:color w:val="000000" w:themeColor="text1"/>
          <w:szCs w:val="24"/>
        </w:rPr>
        <w:t xml:space="preserve">MZ upravilo oblast bonusů do 3. 2. 2017 </w:t>
      </w:r>
      <w:r w:rsidR="00E3150C">
        <w:rPr>
          <w:rFonts w:cs="Arial"/>
          <w:color w:val="000000" w:themeColor="text1"/>
          <w:szCs w:val="24"/>
        </w:rPr>
        <w:t>p</w:t>
      </w:r>
      <w:r w:rsidRPr="008C6807">
        <w:rPr>
          <w:rFonts w:cs="Arial"/>
          <w:color w:val="000000" w:themeColor="text1"/>
          <w:szCs w:val="24"/>
        </w:rPr>
        <w:t xml:space="preserve">říkazem ministra č. 3/2013 </w:t>
      </w:r>
      <w:r w:rsidRPr="00E60983">
        <w:rPr>
          <w:rFonts w:cs="Arial"/>
          <w:i/>
          <w:color w:val="000000" w:themeColor="text1"/>
          <w:szCs w:val="24"/>
        </w:rPr>
        <w:t>Protikorupční strategie Ministerstva zdravotnictví České republiky pro přímo řízené organizace</w:t>
      </w:r>
      <w:r w:rsidRPr="008C6807">
        <w:rPr>
          <w:rStyle w:val="Znakapoznpodarou"/>
          <w:rFonts w:cs="Arial"/>
          <w:color w:val="000000" w:themeColor="text1"/>
          <w:szCs w:val="24"/>
        </w:rPr>
        <w:footnoteReference w:id="57"/>
      </w:r>
      <w:r w:rsidRPr="008C6807">
        <w:rPr>
          <w:rFonts w:cs="Arial"/>
          <w:color w:val="000000" w:themeColor="text1"/>
          <w:szCs w:val="24"/>
        </w:rPr>
        <w:t>, dle kterého veškeré množstevní a další bonusy týkající se konkrétního obchodního závazkového vztahu mají být přesně specifikovány v příslušné smlouvě</w:t>
      </w:r>
      <w:r w:rsidRPr="00E60983">
        <w:rPr>
          <w:rFonts w:cs="Arial"/>
          <w:color w:val="000000" w:themeColor="text1"/>
          <w:szCs w:val="24"/>
        </w:rPr>
        <w:t>.</w:t>
      </w:r>
      <w:r w:rsidR="00F93C50" w:rsidRPr="00E60983">
        <w:rPr>
          <w:rFonts w:cs="Arial"/>
          <w:color w:val="000000" w:themeColor="text1"/>
          <w:szCs w:val="24"/>
        </w:rPr>
        <w:t xml:space="preserve"> </w:t>
      </w:r>
      <w:r w:rsidR="00F93C50" w:rsidRPr="008C6807">
        <w:rPr>
          <w:rFonts w:cs="Arial"/>
          <w:color w:val="000000" w:themeColor="text1"/>
          <w:szCs w:val="24"/>
        </w:rPr>
        <w:t>MZ s výjimkou této povinnosti nedefinovala žádné další postupy ani povinnosti při sjednávání a využití bonusů u FN.</w:t>
      </w:r>
      <w:r w:rsidRPr="008C6807">
        <w:rPr>
          <w:rFonts w:cs="Arial"/>
          <w:b/>
          <w:color w:val="000000" w:themeColor="text1"/>
          <w:szCs w:val="24"/>
        </w:rPr>
        <w:t xml:space="preserve"> MZ </w:t>
      </w:r>
      <w:r w:rsidR="00F93C50" w:rsidRPr="008C6807">
        <w:rPr>
          <w:rFonts w:cs="Arial"/>
          <w:b/>
          <w:color w:val="000000" w:themeColor="text1"/>
          <w:szCs w:val="24"/>
        </w:rPr>
        <w:t xml:space="preserve">ani </w:t>
      </w:r>
      <w:r w:rsidRPr="008C6807">
        <w:rPr>
          <w:rFonts w:cs="Arial"/>
          <w:b/>
          <w:color w:val="000000" w:themeColor="text1"/>
          <w:szCs w:val="24"/>
        </w:rPr>
        <w:t xml:space="preserve">metodicky neupravilo problematiku bonusů při zadávacích řízeních. </w:t>
      </w:r>
      <w:r w:rsidR="008D246C" w:rsidRPr="008C6807">
        <w:rPr>
          <w:rFonts w:cs="Arial"/>
          <w:color w:val="000000" w:themeColor="text1"/>
          <w:szCs w:val="24"/>
        </w:rPr>
        <w:t xml:space="preserve">MZ </w:t>
      </w:r>
      <w:r w:rsidR="00836ABE" w:rsidRPr="008C6807">
        <w:rPr>
          <w:rFonts w:cs="Arial"/>
          <w:color w:val="000000" w:themeColor="text1"/>
          <w:szCs w:val="24"/>
        </w:rPr>
        <w:t>po předání kontrolního protokolu NKÚ</w:t>
      </w:r>
      <w:r w:rsidR="008D246C" w:rsidRPr="008C6807">
        <w:rPr>
          <w:rFonts w:cs="Arial"/>
          <w:color w:val="000000" w:themeColor="text1"/>
          <w:szCs w:val="24"/>
        </w:rPr>
        <w:t xml:space="preserve"> přijalo opatření k nápravě ve formě </w:t>
      </w:r>
      <w:r w:rsidR="00E3150C">
        <w:rPr>
          <w:rFonts w:cs="Arial"/>
          <w:color w:val="000000" w:themeColor="text1"/>
          <w:szCs w:val="24"/>
        </w:rPr>
        <w:t>p</w:t>
      </w:r>
      <w:r w:rsidR="008D246C" w:rsidRPr="008C6807">
        <w:rPr>
          <w:rFonts w:cs="Arial"/>
          <w:color w:val="000000" w:themeColor="text1"/>
          <w:szCs w:val="24"/>
        </w:rPr>
        <w:t xml:space="preserve">říkazu ministra č. 13/2018, ve kterém s účinností od 1. 9. 2018 specifikuje adresné a neadresné bonusy, podmínky jejich přijetí FN, nakládání s nimi, zásady analytické evidence a částečně i vykazování ceny ZUM/ZULP zdravotním pojišťovnám. </w:t>
      </w:r>
      <w:r w:rsidRPr="008C6807">
        <w:rPr>
          <w:rFonts w:cs="Arial"/>
          <w:b/>
          <w:color w:val="000000" w:themeColor="text1"/>
          <w:szCs w:val="24"/>
        </w:rPr>
        <w:t>MO oblast bonusů metodicky vůbec neupravilo.</w:t>
      </w:r>
    </w:p>
    <w:p w14:paraId="6816D423" w14:textId="78FBFC45" w:rsidR="00CE7241" w:rsidRPr="008C6807" w:rsidRDefault="00CE7241" w:rsidP="008C6807">
      <w:pPr>
        <w:spacing w:before="120"/>
        <w:rPr>
          <w:szCs w:val="24"/>
        </w:rPr>
      </w:pPr>
      <w:r w:rsidRPr="008C6807">
        <w:rPr>
          <w:szCs w:val="24"/>
        </w:rPr>
        <w:t xml:space="preserve">NKÚ s ohledem na závěry </w:t>
      </w:r>
      <w:r w:rsidR="00261783">
        <w:rPr>
          <w:szCs w:val="24"/>
        </w:rPr>
        <w:t>této kontrolní akce</w:t>
      </w:r>
      <w:r w:rsidRPr="008C6807">
        <w:rPr>
          <w:szCs w:val="24"/>
        </w:rPr>
        <w:t xml:space="preserve"> zdůrazňuje, že pro zajištění hospodárného nakládání s peněžními prostředky za bonusy je nezbytné zajistit transparentnost a</w:t>
      </w:r>
      <w:r w:rsidR="0030065C" w:rsidRPr="008C6807">
        <w:rPr>
          <w:szCs w:val="24"/>
        </w:rPr>
        <w:t> </w:t>
      </w:r>
      <w:r w:rsidRPr="008C6807">
        <w:rPr>
          <w:szCs w:val="24"/>
        </w:rPr>
        <w:t>přezkoumatelnost procesu nakládání s bonusy ve FN v těchto oblastech:</w:t>
      </w:r>
    </w:p>
    <w:p w14:paraId="4ED52878" w14:textId="77777777" w:rsidR="00CE7241" w:rsidRDefault="00CE7241" w:rsidP="008C6807">
      <w:pPr>
        <w:pStyle w:val="Odstavecseseznamem"/>
        <w:numPr>
          <w:ilvl w:val="0"/>
          <w:numId w:val="39"/>
        </w:numPr>
        <w:ind w:left="284" w:hanging="284"/>
      </w:pPr>
      <w:r>
        <w:t xml:space="preserve">jednoznačná identifikace bonusů, definice podmínek a kritérií pro jednání s dodavateli ve vnitřních předpisech, vedení písemných záznamů o jednání s dodavateli a jejich archivace, povinnost písemné formy smlouvy na bonusy; </w:t>
      </w:r>
    </w:p>
    <w:p w14:paraId="627E50B1" w14:textId="7609EE6E" w:rsidR="00CE7241" w:rsidRDefault="00CE7241" w:rsidP="008C6807">
      <w:pPr>
        <w:pStyle w:val="Odstavecseseznamem"/>
        <w:numPr>
          <w:ilvl w:val="0"/>
          <w:numId w:val="39"/>
        </w:numPr>
        <w:ind w:left="284" w:hanging="284"/>
      </w:pPr>
      <w:r>
        <w:t>využív</w:t>
      </w:r>
      <w:r w:rsidR="005D44DF">
        <w:t>ání</w:t>
      </w:r>
      <w:r>
        <w:t xml:space="preserve"> možnost</w:t>
      </w:r>
      <w:r w:rsidR="005D44DF">
        <w:t>i</w:t>
      </w:r>
      <w:r>
        <w:t xml:space="preserve"> </w:t>
      </w:r>
      <w:r w:rsidRPr="00FE32BB">
        <w:t xml:space="preserve">stanovit v rámci </w:t>
      </w:r>
      <w:r w:rsidR="00C07835">
        <w:t>zadávacího řízení</w:t>
      </w:r>
      <w:r w:rsidRPr="00FE32BB">
        <w:t xml:space="preserve"> na dodavatele </w:t>
      </w:r>
      <w:r w:rsidR="00844B85">
        <w:t>léčiv a </w:t>
      </w:r>
      <w:r>
        <w:t xml:space="preserve">zdravotnického materiálu </w:t>
      </w:r>
      <w:r w:rsidRPr="00FE32BB">
        <w:t xml:space="preserve">jako kritérium hodnocení nabídek </w:t>
      </w:r>
      <w:r>
        <w:t xml:space="preserve">podle ekonomické výhodnosti </w:t>
      </w:r>
      <w:r w:rsidRPr="00FE32BB">
        <w:t>současně cenu i bonus</w:t>
      </w:r>
      <w:r>
        <w:t xml:space="preserve">; </w:t>
      </w:r>
    </w:p>
    <w:p w14:paraId="22EA92FC" w14:textId="77777777" w:rsidR="00CE7241" w:rsidRDefault="00CE7241" w:rsidP="008C6807">
      <w:pPr>
        <w:pStyle w:val="Odstavecseseznamem"/>
        <w:numPr>
          <w:ilvl w:val="0"/>
          <w:numId w:val="39"/>
        </w:numPr>
        <w:ind w:left="284" w:hanging="284"/>
      </w:pPr>
      <w:r>
        <w:t xml:space="preserve">vedení analytické evidence bonusů v účetnictví; </w:t>
      </w:r>
    </w:p>
    <w:p w14:paraId="1C158A9E" w14:textId="77777777" w:rsidR="00CE7241" w:rsidRDefault="00CE7241" w:rsidP="008C6807">
      <w:pPr>
        <w:pStyle w:val="Odstavecseseznamem"/>
        <w:numPr>
          <w:ilvl w:val="0"/>
          <w:numId w:val="39"/>
        </w:numPr>
        <w:ind w:left="284" w:hanging="284"/>
      </w:pPr>
      <w:r>
        <w:t>využití příjmů z bonusů pouze na hlavní činnost FN;</w:t>
      </w:r>
    </w:p>
    <w:p w14:paraId="0173844D" w14:textId="77777777" w:rsidR="00CE7241" w:rsidRDefault="00CE7241" w:rsidP="008C6807">
      <w:pPr>
        <w:pStyle w:val="Odstavecseseznamem"/>
        <w:numPr>
          <w:ilvl w:val="0"/>
          <w:numId w:val="39"/>
        </w:numPr>
        <w:ind w:left="284" w:hanging="284"/>
      </w:pPr>
      <w:r>
        <w:t>řádné zveřejnění hodnoty předmětu smlouvy na bonusy v registru smluv.</w:t>
      </w:r>
    </w:p>
    <w:p w14:paraId="67246B40" w14:textId="7A611509" w:rsidR="008C6AEC" w:rsidRPr="008C6807" w:rsidRDefault="000C1D64" w:rsidP="00757BF0">
      <w:pPr>
        <w:spacing w:before="240" w:after="120"/>
        <w:rPr>
          <w:rFonts w:cstheme="minorHAnsi"/>
          <w:b/>
          <w:noProof/>
          <w:color w:val="000000" w:themeColor="text1"/>
          <w:szCs w:val="24"/>
        </w:rPr>
      </w:pPr>
      <w:r>
        <w:rPr>
          <w:rFonts w:cstheme="minorHAnsi"/>
          <w:b/>
          <w:noProof/>
          <w:color w:val="000000" w:themeColor="text1"/>
          <w:szCs w:val="24"/>
        </w:rPr>
        <w:t xml:space="preserve">2.4 </w:t>
      </w:r>
      <w:r w:rsidR="00DA40D2" w:rsidRPr="008C6807">
        <w:rPr>
          <w:rFonts w:cstheme="minorHAnsi"/>
          <w:b/>
          <w:noProof/>
          <w:color w:val="000000" w:themeColor="text1"/>
          <w:szCs w:val="24"/>
        </w:rPr>
        <w:t>Nadační fond zřízený FNB</w:t>
      </w:r>
    </w:p>
    <w:p w14:paraId="7B336584" w14:textId="68D890D5" w:rsidR="008C6AEC" w:rsidRPr="008C6807" w:rsidRDefault="008C6AEC" w:rsidP="008C6807">
      <w:pPr>
        <w:spacing w:before="120"/>
        <w:rPr>
          <w:rFonts w:cstheme="minorHAnsi"/>
          <w:b/>
          <w:noProof/>
          <w:color w:val="000000" w:themeColor="text1"/>
          <w:szCs w:val="24"/>
        </w:rPr>
      </w:pPr>
      <w:r w:rsidRPr="008C6807">
        <w:rPr>
          <w:rFonts w:cstheme="minorHAnsi"/>
          <w:b/>
          <w:noProof/>
          <w:color w:val="000000" w:themeColor="text1"/>
          <w:szCs w:val="24"/>
        </w:rPr>
        <w:t xml:space="preserve">NKÚ zjistil na MZ, že FNB je zřizovatelem </w:t>
      </w:r>
      <w:r w:rsidR="00DA40D2" w:rsidRPr="008C6807">
        <w:rPr>
          <w:rFonts w:cstheme="minorHAnsi"/>
          <w:b/>
          <w:noProof/>
          <w:color w:val="000000" w:themeColor="text1"/>
          <w:szCs w:val="24"/>
        </w:rPr>
        <w:t>nadačního fondu</w:t>
      </w:r>
      <w:r w:rsidR="005D44DF">
        <w:rPr>
          <w:rFonts w:cstheme="minorHAnsi"/>
          <w:b/>
          <w:noProof/>
          <w:color w:val="000000" w:themeColor="text1"/>
          <w:szCs w:val="24"/>
        </w:rPr>
        <w:t>,</w:t>
      </w:r>
      <w:r w:rsidRPr="008C6807">
        <w:rPr>
          <w:rFonts w:cstheme="minorHAnsi"/>
          <w:b/>
          <w:noProof/>
          <w:color w:val="000000" w:themeColor="text1"/>
          <w:szCs w:val="24"/>
        </w:rPr>
        <w:t xml:space="preserve"> a identifikoval u ní riziko netransparentního prostředí v oblasti přijímání finančních a materiálních sponzorských darů</w:t>
      </w:r>
      <w:r w:rsidR="00123291" w:rsidRPr="008C6807">
        <w:rPr>
          <w:rFonts w:cstheme="minorHAnsi"/>
          <w:b/>
          <w:noProof/>
          <w:color w:val="000000" w:themeColor="text1"/>
          <w:szCs w:val="24"/>
        </w:rPr>
        <w:t xml:space="preserve"> </w:t>
      </w:r>
      <w:r w:rsidRPr="008C6807">
        <w:rPr>
          <w:rFonts w:cstheme="minorHAnsi"/>
          <w:b/>
          <w:noProof/>
          <w:color w:val="000000" w:themeColor="text1"/>
          <w:szCs w:val="24"/>
        </w:rPr>
        <w:t>a neshledal relevantní důvody pro další existenci tohoto nadačního fondu, kter</w:t>
      </w:r>
      <w:r w:rsidR="005D44DF">
        <w:rPr>
          <w:rFonts w:cstheme="minorHAnsi"/>
          <w:b/>
          <w:noProof/>
          <w:color w:val="000000" w:themeColor="text1"/>
          <w:szCs w:val="24"/>
        </w:rPr>
        <w:t>ý</w:t>
      </w:r>
      <w:r w:rsidRPr="008C6807">
        <w:rPr>
          <w:rFonts w:cstheme="minorHAnsi"/>
          <w:b/>
          <w:noProof/>
          <w:color w:val="000000" w:themeColor="text1"/>
          <w:szCs w:val="24"/>
        </w:rPr>
        <w:t xml:space="preserve"> by přispíval k naplnění cílů hlavní činnosti FNB.</w:t>
      </w:r>
      <w:r w:rsidR="00570E13" w:rsidRPr="008C6807">
        <w:rPr>
          <w:rFonts w:cstheme="minorHAnsi"/>
          <w:b/>
          <w:noProof/>
          <w:color w:val="000000" w:themeColor="text1"/>
          <w:szCs w:val="24"/>
        </w:rPr>
        <w:t xml:space="preserve"> </w:t>
      </w:r>
      <w:r w:rsidR="003A33C5" w:rsidRPr="008C6807">
        <w:rPr>
          <w:rFonts w:cstheme="minorHAnsi"/>
          <w:noProof/>
          <w:color w:val="000000" w:themeColor="text1"/>
          <w:szCs w:val="24"/>
        </w:rPr>
        <w:t xml:space="preserve">Z přehledu darů FNB, které měsíčně </w:t>
      </w:r>
      <w:r w:rsidR="00041201" w:rsidRPr="008C6807">
        <w:rPr>
          <w:rFonts w:cstheme="minorHAnsi"/>
          <w:noProof/>
          <w:color w:val="000000" w:themeColor="text1"/>
          <w:szCs w:val="24"/>
        </w:rPr>
        <w:t xml:space="preserve">pravidelně </w:t>
      </w:r>
      <w:r w:rsidR="003A33C5" w:rsidRPr="008C6807">
        <w:rPr>
          <w:rFonts w:cstheme="minorHAnsi"/>
          <w:noProof/>
          <w:color w:val="000000" w:themeColor="text1"/>
          <w:szCs w:val="24"/>
        </w:rPr>
        <w:t xml:space="preserve">předávala </w:t>
      </w:r>
      <w:r w:rsidR="00A4360F" w:rsidRPr="008C6807">
        <w:rPr>
          <w:rFonts w:cstheme="minorHAnsi"/>
          <w:noProof/>
          <w:color w:val="000000" w:themeColor="text1"/>
          <w:szCs w:val="24"/>
        </w:rPr>
        <w:t xml:space="preserve">v kotrolovaném odbobí </w:t>
      </w:r>
      <w:r w:rsidR="003A33C5" w:rsidRPr="008C6807">
        <w:rPr>
          <w:rFonts w:cstheme="minorHAnsi"/>
          <w:noProof/>
          <w:color w:val="000000" w:themeColor="text1"/>
          <w:szCs w:val="24"/>
        </w:rPr>
        <w:t xml:space="preserve">FNB na MZ, </w:t>
      </w:r>
      <w:r w:rsidR="00041201" w:rsidRPr="008C6807">
        <w:rPr>
          <w:rFonts w:cstheme="minorHAnsi"/>
          <w:noProof/>
          <w:color w:val="000000" w:themeColor="text1"/>
          <w:szCs w:val="24"/>
        </w:rPr>
        <w:t xml:space="preserve">a informací o darech zveřejněných na webových stránkách FNB, nebylo možné původního dárce ani výši jeho daru pro nadační fond zjistit. </w:t>
      </w:r>
      <w:r w:rsidR="00570E13" w:rsidRPr="008C6807">
        <w:rPr>
          <w:rFonts w:cstheme="minorHAnsi"/>
          <w:noProof/>
          <w:color w:val="000000" w:themeColor="text1"/>
          <w:szCs w:val="24"/>
        </w:rPr>
        <w:t xml:space="preserve">NKÚ spatřuje </w:t>
      </w:r>
      <w:r w:rsidR="00C14A51" w:rsidRPr="008C6807">
        <w:rPr>
          <w:rFonts w:cstheme="minorHAnsi"/>
          <w:noProof/>
          <w:color w:val="000000" w:themeColor="text1"/>
          <w:szCs w:val="24"/>
        </w:rPr>
        <w:t xml:space="preserve">riziko </w:t>
      </w:r>
      <w:r w:rsidR="00570E13" w:rsidRPr="008C6807">
        <w:rPr>
          <w:rFonts w:cstheme="minorHAnsi"/>
          <w:noProof/>
          <w:color w:val="000000" w:themeColor="text1"/>
          <w:szCs w:val="24"/>
        </w:rPr>
        <w:t>netransparentní</w:t>
      </w:r>
      <w:r w:rsidR="00C14A51" w:rsidRPr="008C6807">
        <w:rPr>
          <w:rFonts w:cstheme="minorHAnsi"/>
          <w:noProof/>
          <w:color w:val="000000" w:themeColor="text1"/>
          <w:szCs w:val="24"/>
        </w:rPr>
        <w:t>ho</w:t>
      </w:r>
      <w:r w:rsidR="00570E13" w:rsidRPr="008C6807">
        <w:rPr>
          <w:rFonts w:cstheme="minorHAnsi"/>
          <w:noProof/>
          <w:color w:val="000000" w:themeColor="text1"/>
          <w:szCs w:val="24"/>
        </w:rPr>
        <w:t xml:space="preserve"> prostředí v tom, že všechny přijaté dary prostředn</w:t>
      </w:r>
      <w:r w:rsidR="00DA40D2" w:rsidRPr="008C6807">
        <w:rPr>
          <w:rFonts w:cstheme="minorHAnsi"/>
          <w:noProof/>
          <w:color w:val="000000" w:themeColor="text1"/>
          <w:szCs w:val="24"/>
        </w:rPr>
        <w:t>ictvím nadačního fondu zřízeného FNB</w:t>
      </w:r>
      <w:r w:rsidR="00570E13" w:rsidRPr="008C6807">
        <w:rPr>
          <w:rFonts w:cstheme="minorHAnsi"/>
          <w:noProof/>
          <w:color w:val="000000" w:themeColor="text1"/>
          <w:szCs w:val="24"/>
        </w:rPr>
        <w:t xml:space="preserve"> ztrácejí jakoukoliv identifikaci konkrétního dárce i výše daru</w:t>
      </w:r>
      <w:r w:rsidR="00292A31" w:rsidRPr="008C6807">
        <w:rPr>
          <w:rFonts w:cstheme="minorHAnsi"/>
          <w:noProof/>
          <w:color w:val="000000" w:themeColor="text1"/>
          <w:szCs w:val="24"/>
        </w:rPr>
        <w:t>, který může být zároveň dodavatelem.</w:t>
      </w:r>
    </w:p>
    <w:p w14:paraId="2239FAB3" w14:textId="2BE195EE" w:rsidR="002F3783" w:rsidRPr="008C6807" w:rsidRDefault="008C6AEC" w:rsidP="008C6807">
      <w:pPr>
        <w:spacing w:before="120"/>
        <w:rPr>
          <w:rFonts w:cstheme="minorHAnsi"/>
          <w:noProof/>
          <w:color w:val="000000" w:themeColor="text1"/>
          <w:szCs w:val="24"/>
        </w:rPr>
      </w:pPr>
      <w:r w:rsidRPr="008C6807">
        <w:rPr>
          <w:rFonts w:cstheme="minorHAnsi"/>
          <w:noProof/>
          <w:color w:val="000000" w:themeColor="text1"/>
          <w:szCs w:val="24"/>
        </w:rPr>
        <w:t xml:space="preserve">V kontrolovaném období let 2014 až 2016 poskytl </w:t>
      </w:r>
      <w:r w:rsidR="003A33C5" w:rsidRPr="008C6807">
        <w:rPr>
          <w:rFonts w:cstheme="minorHAnsi"/>
          <w:noProof/>
          <w:color w:val="000000" w:themeColor="text1"/>
          <w:szCs w:val="24"/>
        </w:rPr>
        <w:t>nadační fond</w:t>
      </w:r>
      <w:r w:rsidRPr="008C6807">
        <w:rPr>
          <w:rFonts w:cstheme="minorHAnsi"/>
          <w:noProof/>
          <w:color w:val="000000" w:themeColor="text1"/>
          <w:szCs w:val="24"/>
        </w:rPr>
        <w:t xml:space="preserve"> peněžní a věcné dary FNB </w:t>
      </w:r>
      <w:r w:rsidR="00402F03" w:rsidRPr="008C6807">
        <w:rPr>
          <w:rFonts w:cstheme="minorHAnsi"/>
          <w:noProof/>
          <w:color w:val="000000" w:themeColor="text1"/>
          <w:szCs w:val="24"/>
        </w:rPr>
        <w:t>v </w:t>
      </w:r>
      <w:r w:rsidRPr="008C6807">
        <w:rPr>
          <w:rFonts w:cstheme="minorHAnsi"/>
          <w:noProof/>
          <w:color w:val="000000" w:themeColor="text1"/>
          <w:szCs w:val="24"/>
        </w:rPr>
        <w:t>celkové hodnotě 2 539 269,75 Kč.</w:t>
      </w:r>
    </w:p>
    <w:p w14:paraId="2C609295" w14:textId="22490B86" w:rsidR="00402F03" w:rsidRPr="0068280A" w:rsidRDefault="00402F03" w:rsidP="0068280A">
      <w:pPr>
        <w:jc w:val="left"/>
        <w:rPr>
          <w:rFonts w:cstheme="minorHAnsi"/>
          <w:noProof/>
          <w:szCs w:val="24"/>
        </w:rPr>
      </w:pPr>
    </w:p>
    <w:p w14:paraId="674BE26D" w14:textId="77777777" w:rsidR="0068280A" w:rsidRPr="0068280A" w:rsidRDefault="0068280A" w:rsidP="0068280A">
      <w:pPr>
        <w:jc w:val="left"/>
        <w:rPr>
          <w:rFonts w:cstheme="minorHAnsi"/>
          <w:noProof/>
          <w:szCs w:val="24"/>
        </w:rPr>
      </w:pPr>
    </w:p>
    <w:p w14:paraId="17549704" w14:textId="159B8057" w:rsidR="004C0F3E" w:rsidRPr="0068280A" w:rsidRDefault="004C0F3E" w:rsidP="0068280A">
      <w:pPr>
        <w:rPr>
          <w:rFonts w:cstheme="minorHAnsi"/>
          <w:b/>
          <w:noProof/>
          <w:color w:val="000000" w:themeColor="text1"/>
          <w:szCs w:val="28"/>
        </w:rPr>
      </w:pPr>
      <w:r w:rsidRPr="0068280A">
        <w:rPr>
          <w:rFonts w:cstheme="minorHAnsi"/>
          <w:b/>
          <w:noProof/>
          <w:color w:val="000000" w:themeColor="text1"/>
          <w:szCs w:val="28"/>
        </w:rPr>
        <w:t>Seznam zkratek:</w:t>
      </w:r>
    </w:p>
    <w:p w14:paraId="23322B9A" w14:textId="27BEFA47"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ATC skupina</w:t>
      </w:r>
      <w:r w:rsidRPr="0068280A">
        <w:rPr>
          <w:rFonts w:cstheme="minorHAnsi"/>
          <w:noProof/>
          <w:color w:val="000000" w:themeColor="text1"/>
          <w:szCs w:val="28"/>
        </w:rPr>
        <w:tab/>
        <w:t>anatomicko-terapeuticko-chemická skupina (léčiv)</w:t>
      </w:r>
    </w:p>
    <w:p w14:paraId="56BF80CB" w14:textId="0BE35BD9"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ČR</w:t>
      </w:r>
      <w:r w:rsidRPr="0068280A">
        <w:rPr>
          <w:rFonts w:cstheme="minorHAnsi"/>
          <w:noProof/>
          <w:color w:val="000000" w:themeColor="text1"/>
          <w:szCs w:val="28"/>
        </w:rPr>
        <w:tab/>
        <w:t>Česká republika</w:t>
      </w:r>
    </w:p>
    <w:p w14:paraId="0BBCE163" w14:textId="7A67B309" w:rsidR="004C0F3E" w:rsidRPr="0068280A" w:rsidRDefault="00226E22" w:rsidP="0068280A">
      <w:pPr>
        <w:spacing w:before="80" w:after="80"/>
        <w:ind w:left="2835" w:hanging="2835"/>
        <w:rPr>
          <w:rFonts w:cstheme="minorHAnsi"/>
          <w:noProof/>
          <w:color w:val="000000" w:themeColor="text1"/>
          <w:szCs w:val="28"/>
        </w:rPr>
      </w:pPr>
      <w:r>
        <w:rPr>
          <w:rFonts w:cstheme="minorHAnsi"/>
          <w:noProof/>
          <w:color w:val="000000" w:themeColor="text1"/>
          <w:szCs w:val="28"/>
        </w:rPr>
        <w:t>č</w:t>
      </w:r>
      <w:r w:rsidR="006973A4" w:rsidRPr="0068280A">
        <w:rPr>
          <w:rFonts w:cstheme="minorHAnsi"/>
          <w:noProof/>
          <w:color w:val="000000" w:themeColor="text1"/>
          <w:szCs w:val="28"/>
        </w:rPr>
        <w:t xml:space="preserve">íselník </w:t>
      </w:r>
      <w:r w:rsidR="004C0F3E" w:rsidRPr="0068280A">
        <w:rPr>
          <w:rFonts w:cstheme="minorHAnsi"/>
          <w:noProof/>
          <w:color w:val="000000" w:themeColor="text1"/>
          <w:szCs w:val="28"/>
        </w:rPr>
        <w:t>ZP</w:t>
      </w:r>
      <w:r w:rsidR="004C0F3E" w:rsidRPr="0068280A">
        <w:rPr>
          <w:rFonts w:cstheme="minorHAnsi"/>
          <w:noProof/>
          <w:color w:val="000000" w:themeColor="text1"/>
          <w:szCs w:val="28"/>
        </w:rPr>
        <w:tab/>
      </w:r>
      <w:r w:rsidR="009373D3">
        <w:rPr>
          <w:rFonts w:cstheme="minorHAnsi"/>
          <w:noProof/>
          <w:color w:val="000000" w:themeColor="text1"/>
          <w:szCs w:val="28"/>
        </w:rPr>
        <w:t>č</w:t>
      </w:r>
      <w:r w:rsidR="004C0F3E" w:rsidRPr="0068280A">
        <w:rPr>
          <w:rFonts w:cstheme="minorHAnsi"/>
          <w:noProof/>
          <w:color w:val="000000" w:themeColor="text1"/>
          <w:szCs w:val="28"/>
        </w:rPr>
        <w:t>íselník zdravotnických prostředků</w:t>
      </w:r>
      <w:r w:rsidR="006973A4" w:rsidRPr="0068280A">
        <w:rPr>
          <w:rFonts w:cstheme="minorHAnsi"/>
          <w:noProof/>
          <w:color w:val="000000" w:themeColor="text1"/>
          <w:szCs w:val="28"/>
        </w:rPr>
        <w:t xml:space="preserve"> (ZUM) </w:t>
      </w:r>
      <w:r w:rsidR="009373D3">
        <w:rPr>
          <w:rFonts w:cstheme="minorHAnsi"/>
          <w:noProof/>
          <w:color w:val="000000" w:themeColor="text1"/>
          <w:szCs w:val="28"/>
        </w:rPr>
        <w:t>–</w:t>
      </w:r>
      <w:r w:rsidR="006973A4" w:rsidRPr="0068280A">
        <w:rPr>
          <w:rFonts w:cstheme="minorHAnsi"/>
          <w:noProof/>
          <w:color w:val="000000" w:themeColor="text1"/>
          <w:szCs w:val="28"/>
        </w:rPr>
        <w:t xml:space="preserve"> vydává VZP ČR</w:t>
      </w:r>
    </w:p>
    <w:p w14:paraId="681F4D2F" w14:textId="1EBA6F4F"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DPH</w:t>
      </w:r>
      <w:r w:rsidRPr="0068280A">
        <w:rPr>
          <w:rFonts w:cstheme="minorHAnsi"/>
          <w:noProof/>
          <w:color w:val="000000" w:themeColor="text1"/>
          <w:szCs w:val="28"/>
        </w:rPr>
        <w:tab/>
        <w:t>daň z přidané hodnoty</w:t>
      </w:r>
    </w:p>
    <w:p w14:paraId="202B02CD" w14:textId="352CA5B6" w:rsidR="009373D3" w:rsidRDefault="009373D3" w:rsidP="0068280A">
      <w:pPr>
        <w:spacing w:before="80" w:after="80"/>
        <w:ind w:left="2835" w:hanging="2835"/>
        <w:rPr>
          <w:rFonts w:cstheme="minorHAnsi"/>
          <w:noProof/>
          <w:color w:val="000000" w:themeColor="text1"/>
          <w:szCs w:val="28"/>
        </w:rPr>
      </w:pPr>
      <w:r>
        <w:rPr>
          <w:rFonts w:cstheme="minorHAnsi"/>
          <w:noProof/>
          <w:color w:val="000000" w:themeColor="text1"/>
          <w:szCs w:val="28"/>
        </w:rPr>
        <w:t>DTP kanál</w:t>
      </w:r>
      <w:r>
        <w:rPr>
          <w:rFonts w:cstheme="minorHAnsi"/>
          <w:noProof/>
          <w:color w:val="000000" w:themeColor="text1"/>
          <w:szCs w:val="28"/>
        </w:rPr>
        <w:tab/>
      </w:r>
      <w:r w:rsidRPr="009373D3">
        <w:rPr>
          <w:rFonts w:cstheme="minorHAnsi"/>
          <w:noProof/>
          <w:color w:val="000000" w:themeColor="text1"/>
          <w:szCs w:val="28"/>
        </w:rPr>
        <w:t>způsob distribuce léčiva objednávaného přímo u výrobce a</w:t>
      </w:r>
      <w:r>
        <w:rPr>
          <w:rFonts w:cstheme="minorHAnsi"/>
          <w:noProof/>
          <w:color w:val="000000" w:themeColor="text1"/>
          <w:szCs w:val="28"/>
        </w:rPr>
        <w:t> </w:t>
      </w:r>
      <w:r w:rsidRPr="009373D3">
        <w:rPr>
          <w:rFonts w:cstheme="minorHAnsi"/>
          <w:noProof/>
          <w:color w:val="000000" w:themeColor="text1"/>
          <w:szCs w:val="28"/>
        </w:rPr>
        <w:t>dodávaného výhradním distributorem</w:t>
      </w:r>
    </w:p>
    <w:p w14:paraId="13E0E316" w14:textId="774C4891"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FN</w:t>
      </w:r>
      <w:r w:rsidR="00D10DEB" w:rsidRPr="0068280A">
        <w:rPr>
          <w:rFonts w:cstheme="minorHAnsi"/>
          <w:noProof/>
          <w:color w:val="000000" w:themeColor="text1"/>
          <w:szCs w:val="28"/>
        </w:rPr>
        <w:t>, fakultní nemocnice</w:t>
      </w:r>
      <w:r w:rsidR="00D10DEB" w:rsidRPr="0068280A">
        <w:rPr>
          <w:rFonts w:cstheme="minorHAnsi"/>
          <w:noProof/>
          <w:color w:val="000000" w:themeColor="text1"/>
          <w:szCs w:val="28"/>
        </w:rPr>
        <w:tab/>
      </w:r>
      <w:r w:rsidRPr="0068280A">
        <w:rPr>
          <w:rFonts w:cstheme="minorHAnsi"/>
          <w:noProof/>
          <w:color w:val="000000" w:themeColor="text1"/>
          <w:szCs w:val="28"/>
        </w:rPr>
        <w:t>kontrolované nemocnice (FNB, FNM a ÚVN)</w:t>
      </w:r>
    </w:p>
    <w:p w14:paraId="357482C2" w14:textId="0BC27D4E"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FNB</w:t>
      </w:r>
      <w:r w:rsidRPr="0068280A">
        <w:rPr>
          <w:rFonts w:cstheme="minorHAnsi"/>
          <w:noProof/>
          <w:color w:val="000000" w:themeColor="text1"/>
          <w:szCs w:val="28"/>
        </w:rPr>
        <w:tab/>
        <w:t>Fakultní nemocnice Brno</w:t>
      </w:r>
    </w:p>
    <w:p w14:paraId="51C9160E" w14:textId="466AE082"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FNM</w:t>
      </w:r>
      <w:r w:rsidRPr="0068280A">
        <w:rPr>
          <w:rFonts w:cstheme="minorHAnsi"/>
          <w:noProof/>
          <w:color w:val="000000" w:themeColor="text1"/>
          <w:szCs w:val="28"/>
        </w:rPr>
        <w:tab/>
        <w:t>Fakultní nemocnice v Motole</w:t>
      </w:r>
    </w:p>
    <w:p w14:paraId="2A5FFF2A" w14:textId="296C93CD"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léčiva</w:t>
      </w:r>
      <w:r w:rsidRPr="0068280A">
        <w:rPr>
          <w:rFonts w:cstheme="minorHAnsi"/>
          <w:noProof/>
          <w:color w:val="000000" w:themeColor="text1"/>
          <w:szCs w:val="28"/>
        </w:rPr>
        <w:tab/>
        <w:t>léčivé přípravky</w:t>
      </w:r>
    </w:p>
    <w:p w14:paraId="3FCCAD33" w14:textId="603351A6"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metodika</w:t>
      </w:r>
      <w:r w:rsidRPr="0068280A">
        <w:rPr>
          <w:rFonts w:cstheme="minorHAnsi"/>
          <w:noProof/>
          <w:color w:val="000000" w:themeColor="text1"/>
          <w:szCs w:val="28"/>
        </w:rPr>
        <w:tab/>
        <w:t>Metodika pro pořizování a předávání dokladů VZP ČR</w:t>
      </w:r>
    </w:p>
    <w:p w14:paraId="40409EC1" w14:textId="01C25367"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MZ</w:t>
      </w:r>
      <w:r w:rsidRPr="0068280A">
        <w:rPr>
          <w:rFonts w:cstheme="minorHAnsi"/>
          <w:noProof/>
          <w:color w:val="000000" w:themeColor="text1"/>
          <w:szCs w:val="28"/>
        </w:rPr>
        <w:tab/>
        <w:t>Ministerstvo zdravotnictví</w:t>
      </w:r>
    </w:p>
    <w:p w14:paraId="0A17334D" w14:textId="025350AD"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MO</w:t>
      </w:r>
      <w:r w:rsidRPr="0068280A">
        <w:rPr>
          <w:rFonts w:cstheme="minorHAnsi"/>
          <w:noProof/>
          <w:color w:val="000000" w:themeColor="text1"/>
          <w:szCs w:val="28"/>
        </w:rPr>
        <w:tab/>
        <w:t>Ministerstvo obrany</w:t>
      </w:r>
    </w:p>
    <w:p w14:paraId="3717B4A4" w14:textId="2E9BC900"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NKÚ</w:t>
      </w:r>
      <w:r w:rsidRPr="0068280A">
        <w:rPr>
          <w:rFonts w:cstheme="minorHAnsi"/>
          <w:noProof/>
          <w:color w:val="000000" w:themeColor="text1"/>
          <w:szCs w:val="28"/>
        </w:rPr>
        <w:tab/>
        <w:t>Nejvyšší kontrolní úřad</w:t>
      </w:r>
    </w:p>
    <w:p w14:paraId="5F822235" w14:textId="6FB367C7"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SÚKL</w:t>
      </w:r>
      <w:r w:rsidRPr="0068280A">
        <w:rPr>
          <w:rFonts w:cstheme="minorHAnsi"/>
          <w:noProof/>
          <w:color w:val="000000" w:themeColor="text1"/>
          <w:szCs w:val="28"/>
        </w:rPr>
        <w:tab/>
        <w:t>Státní ústav pro kontrolu léčiv</w:t>
      </w:r>
    </w:p>
    <w:p w14:paraId="1E6746E3" w14:textId="5F140B1A"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ÚVN</w:t>
      </w:r>
      <w:r w:rsidRPr="0068280A">
        <w:rPr>
          <w:rFonts w:cstheme="minorHAnsi"/>
          <w:noProof/>
          <w:color w:val="000000" w:themeColor="text1"/>
          <w:szCs w:val="28"/>
        </w:rPr>
        <w:tab/>
        <w:t>Ústřední vojenská nemocnice – Vojenská fakultní nemocnice Praha</w:t>
      </w:r>
    </w:p>
    <w:p w14:paraId="1EFAC27C" w14:textId="060DF69D" w:rsidR="006F5D3A" w:rsidRPr="0068280A" w:rsidRDefault="006F5D3A"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VZP ČR</w:t>
      </w:r>
      <w:r w:rsidR="008846AE" w:rsidRPr="0068280A">
        <w:rPr>
          <w:rFonts w:cstheme="minorHAnsi"/>
          <w:noProof/>
          <w:color w:val="000000" w:themeColor="text1"/>
          <w:szCs w:val="28"/>
        </w:rPr>
        <w:tab/>
        <w:t>Všeobecná zdravotní pojišťovna České republiky</w:t>
      </w:r>
    </w:p>
    <w:p w14:paraId="7B174110" w14:textId="78F14346"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ZPr</w:t>
      </w:r>
      <w:r w:rsidRPr="0068280A">
        <w:rPr>
          <w:rFonts w:cstheme="minorHAnsi"/>
          <w:noProof/>
          <w:color w:val="000000" w:themeColor="text1"/>
          <w:szCs w:val="28"/>
        </w:rPr>
        <w:tab/>
        <w:t>zdravotnický prostředek</w:t>
      </w:r>
    </w:p>
    <w:p w14:paraId="4627F168" w14:textId="53FD86A1"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ZULP</w:t>
      </w:r>
      <w:r w:rsidRPr="0068280A">
        <w:rPr>
          <w:rFonts w:cstheme="minorHAnsi"/>
          <w:noProof/>
          <w:color w:val="000000" w:themeColor="text1"/>
          <w:szCs w:val="28"/>
        </w:rPr>
        <w:tab/>
        <w:t>zvlášť účtované léčivé přípravky</w:t>
      </w:r>
    </w:p>
    <w:p w14:paraId="05650085" w14:textId="1F5FDFFE" w:rsidR="004C0F3E" w:rsidRPr="0068280A" w:rsidRDefault="004C0F3E" w:rsidP="0068280A">
      <w:pPr>
        <w:spacing w:before="80" w:after="80"/>
        <w:ind w:left="2835" w:hanging="2835"/>
        <w:rPr>
          <w:rFonts w:cstheme="minorHAnsi"/>
          <w:noProof/>
          <w:color w:val="000000" w:themeColor="text1"/>
          <w:szCs w:val="28"/>
        </w:rPr>
      </w:pPr>
      <w:r w:rsidRPr="0068280A">
        <w:rPr>
          <w:rFonts w:cstheme="minorHAnsi"/>
          <w:noProof/>
          <w:color w:val="000000" w:themeColor="text1"/>
          <w:szCs w:val="28"/>
        </w:rPr>
        <w:t>ZUM</w:t>
      </w:r>
      <w:r w:rsidRPr="0068280A">
        <w:rPr>
          <w:rFonts w:cstheme="minorHAnsi"/>
          <w:noProof/>
          <w:color w:val="000000" w:themeColor="text1"/>
          <w:szCs w:val="28"/>
        </w:rPr>
        <w:tab/>
        <w:t>zvlášť účtovaný materiál</w:t>
      </w:r>
    </w:p>
    <w:p w14:paraId="2D0FAD40" w14:textId="6E1BD65E" w:rsidR="004C0F3E" w:rsidRPr="0068280A" w:rsidRDefault="004C0F3E" w:rsidP="0068280A">
      <w:pPr>
        <w:rPr>
          <w:rFonts w:cstheme="minorHAnsi"/>
          <w:b/>
          <w:strike/>
          <w:noProof/>
          <w:color w:val="000000" w:themeColor="text1"/>
          <w:szCs w:val="28"/>
        </w:rPr>
      </w:pPr>
    </w:p>
    <w:p w14:paraId="2D3D3436" w14:textId="55EA0637" w:rsidR="0068280A" w:rsidRDefault="0068280A">
      <w:pPr>
        <w:jc w:val="left"/>
        <w:rPr>
          <w:rFonts w:cstheme="minorHAnsi"/>
          <w:noProof/>
          <w:color w:val="000000" w:themeColor="text1"/>
          <w:szCs w:val="28"/>
        </w:rPr>
      </w:pPr>
    </w:p>
    <w:p w14:paraId="38F08439" w14:textId="77777777" w:rsidR="0068280A" w:rsidRDefault="0068280A" w:rsidP="0068280A">
      <w:pPr>
        <w:jc w:val="right"/>
        <w:rPr>
          <w:rFonts w:cstheme="minorHAnsi"/>
          <w:b/>
          <w:noProof/>
          <w:color w:val="000000" w:themeColor="text1"/>
          <w:szCs w:val="28"/>
        </w:rPr>
        <w:sectPr w:rsidR="0068280A" w:rsidSect="00AC339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cols w:space="708"/>
          <w:titlePg/>
          <w:docGrid w:linePitch="360"/>
        </w:sectPr>
      </w:pPr>
    </w:p>
    <w:p w14:paraId="3696FBAB" w14:textId="1CE93059" w:rsidR="0068280A" w:rsidRDefault="0068280A" w:rsidP="0068280A">
      <w:pPr>
        <w:jc w:val="right"/>
        <w:rPr>
          <w:rFonts w:cstheme="minorHAnsi"/>
          <w:b/>
          <w:noProof/>
          <w:color w:val="000000" w:themeColor="text1"/>
          <w:szCs w:val="28"/>
        </w:rPr>
      </w:pPr>
      <w:r>
        <w:rPr>
          <w:rFonts w:cstheme="minorHAnsi"/>
          <w:b/>
          <w:noProof/>
          <w:color w:val="000000" w:themeColor="text1"/>
          <w:szCs w:val="28"/>
        </w:rPr>
        <w:t>Příloha č. 1</w:t>
      </w:r>
    </w:p>
    <w:p w14:paraId="19F28C56" w14:textId="28623DBA" w:rsidR="0068280A" w:rsidRPr="0068280A" w:rsidRDefault="0068280A" w:rsidP="0068280A">
      <w:pPr>
        <w:spacing w:before="120" w:after="40"/>
        <w:rPr>
          <w:rFonts w:cstheme="minorHAnsi"/>
          <w:b/>
          <w:noProof/>
          <w:color w:val="000000" w:themeColor="text1"/>
          <w:szCs w:val="28"/>
        </w:rPr>
      </w:pPr>
      <w:r w:rsidRPr="0068280A">
        <w:rPr>
          <w:rFonts w:cstheme="minorHAnsi"/>
          <w:b/>
          <w:noProof/>
          <w:szCs w:val="28"/>
        </w:rPr>
        <w:t>Cenové rozdíly jednotkových cen centrových léků</w:t>
      </w:r>
    </w:p>
    <w:tbl>
      <w:tblPr>
        <w:tblW w:w="9270" w:type="dxa"/>
        <w:tblLayout w:type="fixed"/>
        <w:tblCellMar>
          <w:left w:w="70" w:type="dxa"/>
          <w:right w:w="70" w:type="dxa"/>
        </w:tblCellMar>
        <w:tblLook w:val="04A0" w:firstRow="1" w:lastRow="0" w:firstColumn="1" w:lastColumn="0" w:noHBand="0" w:noVBand="1"/>
      </w:tblPr>
      <w:tblGrid>
        <w:gridCol w:w="737"/>
        <w:gridCol w:w="510"/>
        <w:gridCol w:w="964"/>
        <w:gridCol w:w="1304"/>
        <w:gridCol w:w="993"/>
        <w:gridCol w:w="1304"/>
        <w:gridCol w:w="907"/>
        <w:gridCol w:w="737"/>
        <w:gridCol w:w="850"/>
        <w:gridCol w:w="964"/>
      </w:tblGrid>
      <w:tr w:rsidR="00260BC6" w:rsidRPr="004A6B9C" w14:paraId="72643614" w14:textId="77777777" w:rsidTr="009D6C3F">
        <w:trPr>
          <w:trHeight w:val="227"/>
        </w:trPr>
        <w:tc>
          <w:tcPr>
            <w:tcW w:w="737"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715D30A7" w14:textId="77777777" w:rsidR="0068280A" w:rsidRPr="004A6B9C" w:rsidRDefault="0068280A" w:rsidP="004A6B9C">
            <w:pPr>
              <w:spacing w:before="20" w:after="20"/>
              <w:ind w:left="-57" w:right="-57"/>
              <w:jc w:val="center"/>
              <w:rPr>
                <w:rFonts w:ascii="Calibri" w:hAnsi="Calibri" w:cs="Calibri"/>
                <w:b/>
                <w:bCs/>
                <w:color w:val="000000"/>
                <w:sz w:val="18"/>
                <w:szCs w:val="18"/>
              </w:rPr>
            </w:pPr>
            <w:r w:rsidRPr="004A6B9C">
              <w:rPr>
                <w:rFonts w:ascii="Calibri" w:hAnsi="Calibri" w:cs="Calibri"/>
                <w:b/>
                <w:bCs/>
                <w:color w:val="000000"/>
                <w:sz w:val="18"/>
                <w:szCs w:val="18"/>
              </w:rPr>
              <w:t>Kód SÚKL</w:t>
            </w:r>
            <w:r w:rsidRPr="004A6B9C">
              <w:rPr>
                <w:rStyle w:val="Znakapoznpodarou"/>
                <w:rFonts w:ascii="Calibri" w:hAnsi="Calibri" w:cs="Calibri"/>
                <w:b/>
                <w:bCs/>
                <w:color w:val="000000"/>
                <w:sz w:val="18"/>
                <w:szCs w:val="18"/>
              </w:rPr>
              <w:footnoteReference w:id="58"/>
            </w:r>
          </w:p>
        </w:tc>
        <w:tc>
          <w:tcPr>
            <w:tcW w:w="510" w:type="dxa"/>
            <w:tcBorders>
              <w:top w:val="single" w:sz="4" w:space="0" w:color="auto"/>
              <w:left w:val="nil"/>
              <w:bottom w:val="single" w:sz="4" w:space="0" w:color="auto"/>
              <w:right w:val="single" w:sz="4" w:space="0" w:color="auto"/>
            </w:tcBorders>
            <w:shd w:val="clear" w:color="000000" w:fill="E5F1FF"/>
            <w:noWrap/>
            <w:vAlign w:val="center"/>
            <w:hideMark/>
          </w:tcPr>
          <w:p w14:paraId="1F207AC5" w14:textId="77777777" w:rsidR="0068280A" w:rsidRPr="004A6B9C" w:rsidRDefault="0068280A" w:rsidP="004A6B9C">
            <w:pPr>
              <w:spacing w:before="20" w:after="20"/>
              <w:jc w:val="center"/>
              <w:rPr>
                <w:rFonts w:ascii="Calibri" w:hAnsi="Calibri" w:cs="Calibri"/>
                <w:b/>
                <w:bCs/>
                <w:color w:val="000000"/>
                <w:sz w:val="18"/>
                <w:szCs w:val="18"/>
              </w:rPr>
            </w:pPr>
            <w:r w:rsidRPr="004A6B9C">
              <w:rPr>
                <w:rFonts w:ascii="Calibri" w:hAnsi="Calibri" w:cs="Calibri"/>
                <w:b/>
                <w:bCs/>
                <w:color w:val="000000"/>
                <w:sz w:val="18"/>
                <w:szCs w:val="18"/>
              </w:rPr>
              <w:t>Rok</w:t>
            </w:r>
          </w:p>
        </w:tc>
        <w:tc>
          <w:tcPr>
            <w:tcW w:w="964" w:type="dxa"/>
            <w:tcBorders>
              <w:top w:val="single" w:sz="4" w:space="0" w:color="auto"/>
              <w:left w:val="nil"/>
              <w:bottom w:val="single" w:sz="4" w:space="0" w:color="auto"/>
              <w:right w:val="single" w:sz="4" w:space="0" w:color="auto"/>
            </w:tcBorders>
            <w:shd w:val="clear" w:color="000000" w:fill="E5F1FF"/>
            <w:noWrap/>
            <w:vAlign w:val="center"/>
            <w:hideMark/>
          </w:tcPr>
          <w:p w14:paraId="3C129409" w14:textId="391F8253" w:rsidR="0068280A" w:rsidRPr="004A6B9C" w:rsidRDefault="0068280A" w:rsidP="004A6B9C">
            <w:pPr>
              <w:spacing w:before="20" w:after="20"/>
              <w:ind w:left="-57" w:right="-57"/>
              <w:jc w:val="center"/>
              <w:rPr>
                <w:rFonts w:ascii="Calibri" w:hAnsi="Calibri" w:cs="Calibri"/>
                <w:b/>
                <w:bCs/>
                <w:color w:val="000000"/>
                <w:sz w:val="18"/>
                <w:szCs w:val="18"/>
              </w:rPr>
            </w:pPr>
            <w:r w:rsidRPr="004A6B9C">
              <w:rPr>
                <w:rFonts w:ascii="Calibri" w:hAnsi="Calibri" w:cs="Calibri"/>
                <w:b/>
                <w:bCs/>
                <w:color w:val="000000"/>
                <w:sz w:val="18"/>
                <w:szCs w:val="18"/>
              </w:rPr>
              <w:t>Minimální jednotková cena</w:t>
            </w:r>
            <w:r w:rsidR="005D44DF">
              <w:rPr>
                <w:rFonts w:ascii="Calibri" w:hAnsi="Calibri" w:cs="Calibri"/>
                <w:b/>
                <w:bCs/>
                <w:color w:val="000000"/>
                <w:sz w:val="18"/>
                <w:szCs w:val="18"/>
              </w:rPr>
              <w:t xml:space="preserve"> v Kč</w:t>
            </w:r>
          </w:p>
        </w:tc>
        <w:tc>
          <w:tcPr>
            <w:tcW w:w="1304" w:type="dxa"/>
            <w:tcBorders>
              <w:top w:val="single" w:sz="4" w:space="0" w:color="auto"/>
              <w:left w:val="nil"/>
              <w:bottom w:val="single" w:sz="4" w:space="0" w:color="auto"/>
              <w:right w:val="single" w:sz="4" w:space="0" w:color="auto"/>
            </w:tcBorders>
            <w:shd w:val="clear" w:color="000000" w:fill="E5F1FF"/>
            <w:vAlign w:val="center"/>
            <w:hideMark/>
          </w:tcPr>
          <w:p w14:paraId="2FC5E726" w14:textId="47546EA0" w:rsidR="0068280A" w:rsidRPr="004A6B9C" w:rsidRDefault="00260BC6" w:rsidP="004A6B9C">
            <w:pPr>
              <w:spacing w:before="20" w:after="20"/>
              <w:jc w:val="center"/>
              <w:rPr>
                <w:rFonts w:ascii="Calibri" w:hAnsi="Calibri" w:cs="Calibri"/>
                <w:b/>
                <w:bCs/>
                <w:color w:val="000000"/>
                <w:sz w:val="18"/>
                <w:szCs w:val="18"/>
              </w:rPr>
            </w:pPr>
            <w:r w:rsidRPr="004A6B9C">
              <w:rPr>
                <w:rFonts w:ascii="Calibri" w:hAnsi="Calibri" w:cs="Calibri"/>
                <w:b/>
                <w:bCs/>
                <w:color w:val="000000"/>
                <w:sz w:val="18"/>
                <w:szCs w:val="18"/>
              </w:rPr>
              <w:t>Nemocnice s </w:t>
            </w:r>
            <w:r w:rsidR="0068280A" w:rsidRPr="004A6B9C">
              <w:rPr>
                <w:rFonts w:ascii="Calibri" w:hAnsi="Calibri" w:cs="Calibri"/>
                <w:b/>
                <w:bCs/>
                <w:color w:val="000000"/>
                <w:sz w:val="18"/>
                <w:szCs w:val="18"/>
              </w:rPr>
              <w:t>min. jednotkovou cenou</w:t>
            </w:r>
          </w:p>
        </w:tc>
        <w:tc>
          <w:tcPr>
            <w:tcW w:w="993" w:type="dxa"/>
            <w:tcBorders>
              <w:top w:val="single" w:sz="4" w:space="0" w:color="auto"/>
              <w:left w:val="nil"/>
              <w:bottom w:val="single" w:sz="4" w:space="0" w:color="auto"/>
              <w:right w:val="single" w:sz="4" w:space="0" w:color="auto"/>
            </w:tcBorders>
            <w:shd w:val="clear" w:color="000000" w:fill="E5F1FF"/>
            <w:noWrap/>
            <w:vAlign w:val="center"/>
            <w:hideMark/>
          </w:tcPr>
          <w:p w14:paraId="56417A64" w14:textId="71409019" w:rsidR="0068280A" w:rsidRPr="004A6B9C" w:rsidRDefault="0068280A" w:rsidP="004A6B9C">
            <w:pPr>
              <w:spacing w:before="20" w:after="20"/>
              <w:jc w:val="center"/>
              <w:rPr>
                <w:rFonts w:ascii="Calibri" w:hAnsi="Calibri" w:cs="Calibri"/>
                <w:b/>
                <w:bCs/>
                <w:color w:val="000000"/>
                <w:sz w:val="18"/>
                <w:szCs w:val="18"/>
              </w:rPr>
            </w:pPr>
            <w:r w:rsidRPr="004A6B9C">
              <w:rPr>
                <w:rFonts w:ascii="Calibri" w:hAnsi="Calibri" w:cs="Calibri"/>
                <w:b/>
                <w:bCs/>
                <w:color w:val="000000"/>
                <w:sz w:val="18"/>
                <w:szCs w:val="18"/>
              </w:rPr>
              <w:t>Maximální jednotková cena</w:t>
            </w:r>
            <w:r w:rsidR="005D44DF">
              <w:rPr>
                <w:rFonts w:ascii="Calibri" w:hAnsi="Calibri" w:cs="Calibri"/>
                <w:b/>
                <w:bCs/>
                <w:color w:val="000000"/>
                <w:sz w:val="18"/>
                <w:szCs w:val="18"/>
              </w:rPr>
              <w:t xml:space="preserve"> v Kč</w:t>
            </w:r>
          </w:p>
        </w:tc>
        <w:tc>
          <w:tcPr>
            <w:tcW w:w="1304" w:type="dxa"/>
            <w:tcBorders>
              <w:top w:val="single" w:sz="4" w:space="0" w:color="auto"/>
              <w:left w:val="nil"/>
              <w:bottom w:val="single" w:sz="4" w:space="0" w:color="auto"/>
              <w:right w:val="single" w:sz="4" w:space="0" w:color="auto"/>
            </w:tcBorders>
            <w:shd w:val="clear" w:color="000000" w:fill="E5F1FF"/>
            <w:vAlign w:val="center"/>
            <w:hideMark/>
          </w:tcPr>
          <w:p w14:paraId="29012326" w14:textId="6E563B69" w:rsidR="0068280A" w:rsidRPr="004A6B9C" w:rsidRDefault="0068280A" w:rsidP="004A6B9C">
            <w:pPr>
              <w:spacing w:before="20" w:after="20"/>
              <w:jc w:val="center"/>
              <w:rPr>
                <w:rFonts w:ascii="Calibri" w:hAnsi="Calibri" w:cs="Calibri"/>
                <w:b/>
                <w:bCs/>
                <w:color w:val="000000"/>
                <w:sz w:val="18"/>
                <w:szCs w:val="18"/>
              </w:rPr>
            </w:pPr>
            <w:r w:rsidRPr="004A6B9C">
              <w:rPr>
                <w:rFonts w:ascii="Calibri" w:hAnsi="Calibri" w:cs="Calibri"/>
                <w:b/>
                <w:bCs/>
                <w:color w:val="000000"/>
                <w:sz w:val="18"/>
                <w:szCs w:val="18"/>
              </w:rPr>
              <w:t>Nemocnice s</w:t>
            </w:r>
            <w:r w:rsidR="002364FF" w:rsidRPr="004A6B9C">
              <w:rPr>
                <w:rFonts w:ascii="Calibri" w:hAnsi="Calibri" w:cs="Calibri"/>
                <w:b/>
                <w:bCs/>
                <w:color w:val="000000"/>
                <w:sz w:val="18"/>
                <w:szCs w:val="18"/>
              </w:rPr>
              <w:t> </w:t>
            </w:r>
            <w:r w:rsidRPr="004A6B9C">
              <w:rPr>
                <w:rFonts w:ascii="Calibri" w:hAnsi="Calibri" w:cs="Calibri"/>
                <w:b/>
                <w:bCs/>
                <w:color w:val="000000"/>
                <w:sz w:val="18"/>
                <w:szCs w:val="18"/>
              </w:rPr>
              <w:t>max. jednotkovou cenou</w:t>
            </w:r>
          </w:p>
        </w:tc>
        <w:tc>
          <w:tcPr>
            <w:tcW w:w="907" w:type="dxa"/>
            <w:tcBorders>
              <w:top w:val="single" w:sz="4" w:space="0" w:color="auto"/>
              <w:left w:val="nil"/>
              <w:bottom w:val="single" w:sz="4" w:space="0" w:color="auto"/>
              <w:right w:val="single" w:sz="4" w:space="0" w:color="auto"/>
            </w:tcBorders>
            <w:shd w:val="clear" w:color="000000" w:fill="E5F1FF"/>
            <w:noWrap/>
            <w:vAlign w:val="center"/>
            <w:hideMark/>
          </w:tcPr>
          <w:p w14:paraId="2BAE33F6" w14:textId="216B7BD0" w:rsidR="0068280A" w:rsidRPr="004A6B9C" w:rsidRDefault="0068280A" w:rsidP="004A6B9C">
            <w:pPr>
              <w:spacing w:before="20" w:after="20"/>
              <w:jc w:val="center"/>
              <w:rPr>
                <w:rFonts w:ascii="Calibri" w:hAnsi="Calibri" w:cs="Calibri"/>
                <w:b/>
                <w:bCs/>
                <w:color w:val="000000"/>
                <w:sz w:val="18"/>
                <w:szCs w:val="18"/>
              </w:rPr>
            </w:pPr>
            <w:r w:rsidRPr="004A6B9C">
              <w:rPr>
                <w:rFonts w:ascii="Calibri" w:hAnsi="Calibri" w:cs="Calibri"/>
                <w:b/>
                <w:bCs/>
                <w:color w:val="000000"/>
                <w:sz w:val="18"/>
                <w:szCs w:val="18"/>
              </w:rPr>
              <w:t>Rozdíl</w:t>
            </w:r>
            <w:r w:rsidR="005D44DF">
              <w:rPr>
                <w:rFonts w:ascii="Calibri" w:hAnsi="Calibri" w:cs="Calibri"/>
                <w:b/>
                <w:bCs/>
                <w:color w:val="000000"/>
                <w:sz w:val="18"/>
                <w:szCs w:val="18"/>
              </w:rPr>
              <w:br/>
              <w:t>v Kč</w:t>
            </w:r>
          </w:p>
        </w:tc>
        <w:tc>
          <w:tcPr>
            <w:tcW w:w="737" w:type="dxa"/>
            <w:tcBorders>
              <w:top w:val="single" w:sz="4" w:space="0" w:color="auto"/>
              <w:left w:val="nil"/>
              <w:bottom w:val="single" w:sz="4" w:space="0" w:color="auto"/>
              <w:right w:val="single" w:sz="4" w:space="0" w:color="auto"/>
            </w:tcBorders>
            <w:shd w:val="clear" w:color="000000" w:fill="E5F1FF"/>
            <w:noWrap/>
            <w:vAlign w:val="center"/>
            <w:hideMark/>
          </w:tcPr>
          <w:p w14:paraId="550C1EF6" w14:textId="0DFD56FB" w:rsidR="0068280A" w:rsidRPr="004A6B9C" w:rsidRDefault="005D44DF" w:rsidP="005D44DF">
            <w:pPr>
              <w:spacing w:before="20" w:after="20"/>
              <w:ind w:right="57"/>
              <w:jc w:val="center"/>
              <w:rPr>
                <w:rFonts w:ascii="Calibri" w:hAnsi="Calibri" w:cs="Calibri"/>
                <w:b/>
                <w:bCs/>
                <w:color w:val="000000"/>
                <w:sz w:val="18"/>
                <w:szCs w:val="18"/>
              </w:rPr>
            </w:pPr>
            <w:r>
              <w:rPr>
                <w:rFonts w:ascii="Calibri" w:hAnsi="Calibri" w:cs="Calibri"/>
                <w:b/>
                <w:bCs/>
                <w:color w:val="000000"/>
                <w:sz w:val="18"/>
                <w:szCs w:val="18"/>
              </w:rPr>
              <w:t>R</w:t>
            </w:r>
            <w:r w:rsidR="0068280A" w:rsidRPr="004A6B9C">
              <w:rPr>
                <w:rFonts w:ascii="Calibri" w:hAnsi="Calibri" w:cs="Calibri"/>
                <w:b/>
                <w:bCs/>
                <w:color w:val="000000"/>
                <w:sz w:val="18"/>
                <w:szCs w:val="18"/>
              </w:rPr>
              <w:t>ozdíl</w:t>
            </w:r>
            <w:r>
              <w:rPr>
                <w:rFonts w:ascii="Calibri" w:hAnsi="Calibri" w:cs="Calibri"/>
                <w:b/>
                <w:bCs/>
                <w:color w:val="000000"/>
                <w:sz w:val="18"/>
                <w:szCs w:val="18"/>
              </w:rPr>
              <w:t xml:space="preserve"> v %</w:t>
            </w:r>
          </w:p>
        </w:tc>
        <w:tc>
          <w:tcPr>
            <w:tcW w:w="850" w:type="dxa"/>
            <w:tcBorders>
              <w:top w:val="single" w:sz="4" w:space="0" w:color="auto"/>
              <w:left w:val="nil"/>
              <w:bottom w:val="single" w:sz="4" w:space="0" w:color="auto"/>
              <w:right w:val="single" w:sz="4" w:space="0" w:color="auto"/>
            </w:tcBorders>
            <w:shd w:val="clear" w:color="000000" w:fill="E5F1FF"/>
            <w:vAlign w:val="center"/>
            <w:hideMark/>
          </w:tcPr>
          <w:p w14:paraId="4D0C9EDB" w14:textId="77777777" w:rsidR="0068280A" w:rsidRPr="004A6B9C" w:rsidRDefault="0068280A" w:rsidP="004A6B9C">
            <w:pPr>
              <w:spacing w:before="20" w:after="20"/>
              <w:ind w:left="-57" w:right="-57"/>
              <w:jc w:val="center"/>
              <w:rPr>
                <w:rFonts w:ascii="Calibri" w:hAnsi="Calibri" w:cs="Calibri"/>
                <w:b/>
                <w:bCs/>
                <w:color w:val="000000"/>
                <w:sz w:val="18"/>
                <w:szCs w:val="18"/>
              </w:rPr>
            </w:pPr>
            <w:r w:rsidRPr="004A6B9C">
              <w:rPr>
                <w:rFonts w:ascii="Calibri" w:hAnsi="Calibri" w:cs="Calibri"/>
                <w:b/>
                <w:bCs/>
                <w:color w:val="000000"/>
                <w:sz w:val="18"/>
                <w:szCs w:val="18"/>
              </w:rPr>
              <w:t>Počet nemocnic ve vzorku</w:t>
            </w:r>
          </w:p>
        </w:tc>
        <w:tc>
          <w:tcPr>
            <w:tcW w:w="964" w:type="dxa"/>
            <w:tcBorders>
              <w:top w:val="single" w:sz="4" w:space="0" w:color="auto"/>
              <w:left w:val="nil"/>
              <w:bottom w:val="single" w:sz="4" w:space="0" w:color="auto"/>
              <w:right w:val="single" w:sz="4" w:space="0" w:color="auto"/>
            </w:tcBorders>
            <w:shd w:val="clear" w:color="000000" w:fill="E5F1FF"/>
            <w:vAlign w:val="center"/>
            <w:hideMark/>
          </w:tcPr>
          <w:p w14:paraId="78370914" w14:textId="77777777" w:rsidR="0068280A" w:rsidRPr="004A6B9C" w:rsidRDefault="0068280A" w:rsidP="004A6B9C">
            <w:pPr>
              <w:spacing w:before="20" w:after="20"/>
              <w:ind w:left="-57" w:right="-57"/>
              <w:jc w:val="center"/>
              <w:rPr>
                <w:rFonts w:ascii="Calibri" w:hAnsi="Calibri" w:cs="Calibri"/>
                <w:b/>
                <w:bCs/>
                <w:color w:val="000000"/>
                <w:sz w:val="18"/>
                <w:szCs w:val="18"/>
              </w:rPr>
            </w:pPr>
            <w:r w:rsidRPr="004A6B9C">
              <w:rPr>
                <w:rFonts w:ascii="Calibri" w:hAnsi="Calibri" w:cs="Calibri"/>
                <w:b/>
                <w:bCs/>
                <w:color w:val="000000"/>
                <w:sz w:val="18"/>
                <w:szCs w:val="18"/>
              </w:rPr>
              <w:t>Počet dodavatelů ve vzorku</w:t>
            </w:r>
          </w:p>
        </w:tc>
      </w:tr>
      <w:tr w:rsidR="00260BC6" w:rsidRPr="004A6B9C" w14:paraId="5F66F791" w14:textId="77777777"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7B9A2D" w14:textId="77777777" w:rsidR="0068280A" w:rsidRPr="004A6B9C" w:rsidRDefault="0068280A" w:rsidP="004A6B9C">
            <w:pPr>
              <w:spacing w:before="20" w:after="20"/>
              <w:ind w:left="-57" w:right="-57"/>
              <w:jc w:val="center"/>
              <w:rPr>
                <w:rFonts w:ascii="Calibri" w:hAnsi="Calibri" w:cs="Calibri"/>
                <w:color w:val="000000"/>
                <w:sz w:val="18"/>
                <w:szCs w:val="18"/>
              </w:rPr>
            </w:pPr>
            <w:r w:rsidRPr="004A6B9C">
              <w:rPr>
                <w:rFonts w:ascii="Calibri" w:hAnsi="Calibri" w:cs="Calibri"/>
                <w:color w:val="000000"/>
                <w:sz w:val="18"/>
                <w:szCs w:val="18"/>
              </w:rPr>
              <w:t>0025566</w:t>
            </w:r>
          </w:p>
        </w:tc>
        <w:tc>
          <w:tcPr>
            <w:tcW w:w="510" w:type="dxa"/>
            <w:tcBorders>
              <w:top w:val="nil"/>
              <w:left w:val="nil"/>
              <w:bottom w:val="single" w:sz="4" w:space="0" w:color="auto"/>
              <w:right w:val="single" w:sz="4" w:space="0" w:color="auto"/>
            </w:tcBorders>
            <w:shd w:val="clear" w:color="auto" w:fill="auto"/>
            <w:noWrap/>
            <w:vAlign w:val="center"/>
            <w:hideMark/>
          </w:tcPr>
          <w:p w14:paraId="65D65C07"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6B9574C6"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22 035,51</w:t>
            </w:r>
          </w:p>
        </w:tc>
        <w:tc>
          <w:tcPr>
            <w:tcW w:w="1304" w:type="dxa"/>
            <w:tcBorders>
              <w:top w:val="nil"/>
              <w:left w:val="nil"/>
              <w:bottom w:val="single" w:sz="4" w:space="0" w:color="auto"/>
              <w:right w:val="single" w:sz="4" w:space="0" w:color="auto"/>
            </w:tcBorders>
            <w:shd w:val="clear" w:color="auto" w:fill="auto"/>
            <w:noWrap/>
            <w:vAlign w:val="center"/>
            <w:hideMark/>
          </w:tcPr>
          <w:p w14:paraId="5FADAFE9"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93" w:type="dxa"/>
            <w:tcBorders>
              <w:top w:val="nil"/>
              <w:left w:val="nil"/>
              <w:bottom w:val="single" w:sz="4" w:space="0" w:color="auto"/>
              <w:right w:val="single" w:sz="4" w:space="0" w:color="auto"/>
            </w:tcBorders>
            <w:shd w:val="clear" w:color="auto" w:fill="auto"/>
            <w:noWrap/>
            <w:vAlign w:val="bottom"/>
            <w:hideMark/>
          </w:tcPr>
          <w:p w14:paraId="254271B6"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25 751,04</w:t>
            </w:r>
          </w:p>
        </w:tc>
        <w:tc>
          <w:tcPr>
            <w:tcW w:w="1304" w:type="dxa"/>
            <w:tcBorders>
              <w:top w:val="nil"/>
              <w:left w:val="nil"/>
              <w:bottom w:val="single" w:sz="4" w:space="0" w:color="auto"/>
              <w:right w:val="single" w:sz="4" w:space="0" w:color="auto"/>
            </w:tcBorders>
            <w:shd w:val="clear" w:color="auto" w:fill="auto"/>
            <w:noWrap/>
            <w:vAlign w:val="bottom"/>
            <w:hideMark/>
          </w:tcPr>
          <w:p w14:paraId="01111475"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ÚVN</w:t>
            </w:r>
          </w:p>
        </w:tc>
        <w:tc>
          <w:tcPr>
            <w:tcW w:w="907" w:type="dxa"/>
            <w:tcBorders>
              <w:top w:val="nil"/>
              <w:left w:val="nil"/>
              <w:bottom w:val="single" w:sz="4" w:space="0" w:color="auto"/>
              <w:right w:val="single" w:sz="4" w:space="0" w:color="auto"/>
            </w:tcBorders>
            <w:shd w:val="clear" w:color="auto" w:fill="auto"/>
            <w:noWrap/>
            <w:vAlign w:val="bottom"/>
            <w:hideMark/>
          </w:tcPr>
          <w:p w14:paraId="074A8EF8"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3 715,53</w:t>
            </w:r>
          </w:p>
        </w:tc>
        <w:tc>
          <w:tcPr>
            <w:tcW w:w="737" w:type="dxa"/>
            <w:tcBorders>
              <w:top w:val="nil"/>
              <w:left w:val="nil"/>
              <w:bottom w:val="single" w:sz="4" w:space="0" w:color="auto"/>
              <w:right w:val="single" w:sz="4" w:space="0" w:color="auto"/>
            </w:tcBorders>
            <w:shd w:val="clear" w:color="auto" w:fill="auto"/>
            <w:noWrap/>
            <w:vAlign w:val="center"/>
            <w:hideMark/>
          </w:tcPr>
          <w:p w14:paraId="525B77FE" w14:textId="4AFE9D58"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16,86</w:t>
            </w:r>
          </w:p>
        </w:tc>
        <w:tc>
          <w:tcPr>
            <w:tcW w:w="850" w:type="dxa"/>
            <w:tcBorders>
              <w:top w:val="nil"/>
              <w:left w:val="nil"/>
              <w:bottom w:val="single" w:sz="4" w:space="0" w:color="auto"/>
              <w:right w:val="single" w:sz="4" w:space="0" w:color="auto"/>
            </w:tcBorders>
            <w:shd w:val="clear" w:color="auto" w:fill="auto"/>
            <w:noWrap/>
            <w:vAlign w:val="center"/>
            <w:hideMark/>
          </w:tcPr>
          <w:p w14:paraId="1A171D96"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03D6B83F"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5</w:t>
            </w:r>
          </w:p>
        </w:tc>
      </w:tr>
      <w:tr w:rsidR="00260BC6" w:rsidRPr="004A6B9C" w14:paraId="4D980F7D"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0C3455BD"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4EC9E1E4"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31EBC471"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15 290,00</w:t>
            </w:r>
          </w:p>
        </w:tc>
        <w:tc>
          <w:tcPr>
            <w:tcW w:w="1304" w:type="dxa"/>
            <w:tcBorders>
              <w:top w:val="nil"/>
              <w:left w:val="nil"/>
              <w:bottom w:val="single" w:sz="4" w:space="0" w:color="auto"/>
              <w:right w:val="single" w:sz="4" w:space="0" w:color="auto"/>
            </w:tcBorders>
            <w:shd w:val="clear" w:color="auto" w:fill="auto"/>
            <w:noWrap/>
            <w:vAlign w:val="center"/>
            <w:hideMark/>
          </w:tcPr>
          <w:p w14:paraId="3CDBEA02"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93" w:type="dxa"/>
            <w:tcBorders>
              <w:top w:val="nil"/>
              <w:left w:val="nil"/>
              <w:bottom w:val="single" w:sz="4" w:space="0" w:color="auto"/>
              <w:right w:val="single" w:sz="4" w:space="0" w:color="auto"/>
            </w:tcBorders>
            <w:shd w:val="clear" w:color="auto" w:fill="auto"/>
            <w:noWrap/>
            <w:vAlign w:val="bottom"/>
            <w:hideMark/>
          </w:tcPr>
          <w:p w14:paraId="5BAD2917"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21 274,43</w:t>
            </w:r>
          </w:p>
        </w:tc>
        <w:tc>
          <w:tcPr>
            <w:tcW w:w="1304" w:type="dxa"/>
            <w:tcBorders>
              <w:top w:val="nil"/>
              <w:left w:val="nil"/>
              <w:bottom w:val="single" w:sz="4" w:space="0" w:color="auto"/>
              <w:right w:val="single" w:sz="4" w:space="0" w:color="auto"/>
            </w:tcBorders>
            <w:shd w:val="clear" w:color="auto" w:fill="auto"/>
            <w:noWrap/>
            <w:vAlign w:val="bottom"/>
            <w:hideMark/>
          </w:tcPr>
          <w:p w14:paraId="1D0E3372"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07" w:type="dxa"/>
            <w:tcBorders>
              <w:top w:val="nil"/>
              <w:left w:val="nil"/>
              <w:bottom w:val="single" w:sz="4" w:space="0" w:color="auto"/>
              <w:right w:val="single" w:sz="4" w:space="0" w:color="auto"/>
            </w:tcBorders>
            <w:shd w:val="clear" w:color="auto" w:fill="auto"/>
            <w:noWrap/>
            <w:vAlign w:val="bottom"/>
            <w:hideMark/>
          </w:tcPr>
          <w:p w14:paraId="44D858F5"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5 984,43</w:t>
            </w:r>
          </w:p>
        </w:tc>
        <w:tc>
          <w:tcPr>
            <w:tcW w:w="737" w:type="dxa"/>
            <w:tcBorders>
              <w:top w:val="nil"/>
              <w:left w:val="nil"/>
              <w:bottom w:val="single" w:sz="4" w:space="0" w:color="auto"/>
              <w:right w:val="single" w:sz="4" w:space="0" w:color="auto"/>
            </w:tcBorders>
            <w:shd w:val="clear" w:color="auto" w:fill="auto"/>
            <w:noWrap/>
            <w:vAlign w:val="center"/>
            <w:hideMark/>
          </w:tcPr>
          <w:p w14:paraId="3AD97FDA" w14:textId="24E721B8"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39,14</w:t>
            </w:r>
          </w:p>
        </w:tc>
        <w:tc>
          <w:tcPr>
            <w:tcW w:w="850" w:type="dxa"/>
            <w:tcBorders>
              <w:top w:val="nil"/>
              <w:left w:val="nil"/>
              <w:bottom w:val="single" w:sz="4" w:space="0" w:color="auto"/>
              <w:right w:val="single" w:sz="4" w:space="0" w:color="auto"/>
            </w:tcBorders>
            <w:shd w:val="clear" w:color="auto" w:fill="auto"/>
            <w:noWrap/>
            <w:vAlign w:val="center"/>
            <w:hideMark/>
          </w:tcPr>
          <w:p w14:paraId="450AA7A9"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44CED397"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5</w:t>
            </w:r>
          </w:p>
        </w:tc>
      </w:tr>
      <w:tr w:rsidR="00260BC6" w:rsidRPr="004A6B9C" w14:paraId="324FD7FB"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5D96FAC3"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041EE834"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30BED2CE"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20 951,84</w:t>
            </w:r>
          </w:p>
        </w:tc>
        <w:tc>
          <w:tcPr>
            <w:tcW w:w="1304" w:type="dxa"/>
            <w:tcBorders>
              <w:top w:val="nil"/>
              <w:left w:val="nil"/>
              <w:bottom w:val="single" w:sz="4" w:space="0" w:color="auto"/>
              <w:right w:val="single" w:sz="4" w:space="0" w:color="auto"/>
            </w:tcBorders>
            <w:shd w:val="clear" w:color="auto" w:fill="auto"/>
            <w:noWrap/>
            <w:vAlign w:val="center"/>
            <w:hideMark/>
          </w:tcPr>
          <w:p w14:paraId="23AA005B"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93" w:type="dxa"/>
            <w:tcBorders>
              <w:top w:val="nil"/>
              <w:left w:val="nil"/>
              <w:bottom w:val="single" w:sz="4" w:space="0" w:color="auto"/>
              <w:right w:val="single" w:sz="4" w:space="0" w:color="auto"/>
            </w:tcBorders>
            <w:shd w:val="clear" w:color="auto" w:fill="auto"/>
            <w:noWrap/>
            <w:vAlign w:val="bottom"/>
            <w:hideMark/>
          </w:tcPr>
          <w:p w14:paraId="4BDC5C87"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21 467,85</w:t>
            </w:r>
          </w:p>
        </w:tc>
        <w:tc>
          <w:tcPr>
            <w:tcW w:w="1304" w:type="dxa"/>
            <w:tcBorders>
              <w:top w:val="nil"/>
              <w:left w:val="nil"/>
              <w:bottom w:val="single" w:sz="4" w:space="0" w:color="auto"/>
              <w:right w:val="single" w:sz="4" w:space="0" w:color="auto"/>
            </w:tcBorders>
            <w:shd w:val="clear" w:color="auto" w:fill="auto"/>
            <w:noWrap/>
            <w:vAlign w:val="bottom"/>
            <w:hideMark/>
          </w:tcPr>
          <w:p w14:paraId="5FD68D18"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07" w:type="dxa"/>
            <w:tcBorders>
              <w:top w:val="nil"/>
              <w:left w:val="nil"/>
              <w:bottom w:val="single" w:sz="4" w:space="0" w:color="auto"/>
              <w:right w:val="single" w:sz="4" w:space="0" w:color="auto"/>
            </w:tcBorders>
            <w:shd w:val="clear" w:color="auto" w:fill="auto"/>
            <w:noWrap/>
            <w:vAlign w:val="bottom"/>
            <w:hideMark/>
          </w:tcPr>
          <w:p w14:paraId="44EFBAB1"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516,01</w:t>
            </w:r>
          </w:p>
        </w:tc>
        <w:tc>
          <w:tcPr>
            <w:tcW w:w="737" w:type="dxa"/>
            <w:tcBorders>
              <w:top w:val="nil"/>
              <w:left w:val="nil"/>
              <w:bottom w:val="single" w:sz="4" w:space="0" w:color="auto"/>
              <w:right w:val="single" w:sz="4" w:space="0" w:color="auto"/>
            </w:tcBorders>
            <w:shd w:val="clear" w:color="auto" w:fill="auto"/>
            <w:noWrap/>
            <w:vAlign w:val="center"/>
            <w:hideMark/>
          </w:tcPr>
          <w:p w14:paraId="3BDA047F" w14:textId="52056722"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2,46</w:t>
            </w:r>
          </w:p>
        </w:tc>
        <w:tc>
          <w:tcPr>
            <w:tcW w:w="850" w:type="dxa"/>
            <w:tcBorders>
              <w:top w:val="nil"/>
              <w:left w:val="nil"/>
              <w:bottom w:val="single" w:sz="4" w:space="0" w:color="auto"/>
              <w:right w:val="single" w:sz="4" w:space="0" w:color="auto"/>
            </w:tcBorders>
            <w:shd w:val="clear" w:color="auto" w:fill="auto"/>
            <w:noWrap/>
            <w:vAlign w:val="center"/>
            <w:hideMark/>
          </w:tcPr>
          <w:p w14:paraId="35EB6111"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21F7965B"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4</w:t>
            </w:r>
          </w:p>
        </w:tc>
      </w:tr>
      <w:tr w:rsidR="00260BC6" w:rsidRPr="004A6B9C" w14:paraId="419442BF" w14:textId="77777777"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1D977E" w14:textId="77777777" w:rsidR="0068280A" w:rsidRPr="004A6B9C" w:rsidRDefault="0068280A" w:rsidP="004A6B9C">
            <w:pPr>
              <w:spacing w:before="20" w:after="20"/>
              <w:ind w:left="-57" w:right="-57"/>
              <w:jc w:val="center"/>
              <w:rPr>
                <w:rFonts w:ascii="Calibri" w:hAnsi="Calibri" w:cs="Calibri"/>
                <w:color w:val="000000"/>
                <w:sz w:val="18"/>
                <w:szCs w:val="18"/>
              </w:rPr>
            </w:pPr>
            <w:r w:rsidRPr="004A6B9C">
              <w:rPr>
                <w:rFonts w:ascii="Calibri" w:hAnsi="Calibri" w:cs="Calibri"/>
                <w:color w:val="000000"/>
                <w:sz w:val="18"/>
                <w:szCs w:val="18"/>
              </w:rPr>
              <w:t>0027283</w:t>
            </w:r>
          </w:p>
        </w:tc>
        <w:tc>
          <w:tcPr>
            <w:tcW w:w="510" w:type="dxa"/>
            <w:tcBorders>
              <w:top w:val="nil"/>
              <w:left w:val="nil"/>
              <w:bottom w:val="single" w:sz="4" w:space="0" w:color="auto"/>
              <w:right w:val="single" w:sz="4" w:space="0" w:color="auto"/>
            </w:tcBorders>
            <w:shd w:val="clear" w:color="auto" w:fill="auto"/>
            <w:noWrap/>
            <w:vAlign w:val="center"/>
            <w:hideMark/>
          </w:tcPr>
          <w:p w14:paraId="56499869"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6068D39A"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11 740,55</w:t>
            </w:r>
          </w:p>
        </w:tc>
        <w:tc>
          <w:tcPr>
            <w:tcW w:w="1304" w:type="dxa"/>
            <w:tcBorders>
              <w:top w:val="nil"/>
              <w:left w:val="nil"/>
              <w:bottom w:val="single" w:sz="4" w:space="0" w:color="auto"/>
              <w:right w:val="single" w:sz="4" w:space="0" w:color="auto"/>
            </w:tcBorders>
            <w:shd w:val="clear" w:color="auto" w:fill="auto"/>
            <w:noWrap/>
            <w:vAlign w:val="center"/>
            <w:hideMark/>
          </w:tcPr>
          <w:p w14:paraId="308AA485"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93" w:type="dxa"/>
            <w:tcBorders>
              <w:top w:val="nil"/>
              <w:left w:val="nil"/>
              <w:bottom w:val="single" w:sz="4" w:space="0" w:color="auto"/>
              <w:right w:val="single" w:sz="4" w:space="0" w:color="auto"/>
            </w:tcBorders>
            <w:shd w:val="clear" w:color="auto" w:fill="auto"/>
            <w:noWrap/>
            <w:vAlign w:val="bottom"/>
            <w:hideMark/>
          </w:tcPr>
          <w:p w14:paraId="51D65988"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14 130,10</w:t>
            </w:r>
          </w:p>
        </w:tc>
        <w:tc>
          <w:tcPr>
            <w:tcW w:w="1304" w:type="dxa"/>
            <w:tcBorders>
              <w:top w:val="nil"/>
              <w:left w:val="nil"/>
              <w:bottom w:val="single" w:sz="4" w:space="0" w:color="auto"/>
              <w:right w:val="single" w:sz="4" w:space="0" w:color="auto"/>
            </w:tcBorders>
            <w:shd w:val="clear" w:color="auto" w:fill="auto"/>
            <w:noWrap/>
            <w:vAlign w:val="bottom"/>
            <w:hideMark/>
          </w:tcPr>
          <w:p w14:paraId="2735A0BB"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ÚVN</w:t>
            </w:r>
          </w:p>
        </w:tc>
        <w:tc>
          <w:tcPr>
            <w:tcW w:w="907" w:type="dxa"/>
            <w:tcBorders>
              <w:top w:val="nil"/>
              <w:left w:val="nil"/>
              <w:bottom w:val="single" w:sz="4" w:space="0" w:color="auto"/>
              <w:right w:val="single" w:sz="4" w:space="0" w:color="auto"/>
            </w:tcBorders>
            <w:shd w:val="clear" w:color="auto" w:fill="auto"/>
            <w:noWrap/>
            <w:vAlign w:val="bottom"/>
            <w:hideMark/>
          </w:tcPr>
          <w:p w14:paraId="4F63F61B"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2 389,55</w:t>
            </w:r>
          </w:p>
        </w:tc>
        <w:tc>
          <w:tcPr>
            <w:tcW w:w="737" w:type="dxa"/>
            <w:tcBorders>
              <w:top w:val="nil"/>
              <w:left w:val="nil"/>
              <w:bottom w:val="single" w:sz="4" w:space="0" w:color="auto"/>
              <w:right w:val="single" w:sz="4" w:space="0" w:color="auto"/>
            </w:tcBorders>
            <w:shd w:val="clear" w:color="auto" w:fill="auto"/>
            <w:noWrap/>
            <w:vAlign w:val="center"/>
            <w:hideMark/>
          </w:tcPr>
          <w:p w14:paraId="48E55149" w14:textId="345274A5"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20,35</w:t>
            </w:r>
          </w:p>
        </w:tc>
        <w:tc>
          <w:tcPr>
            <w:tcW w:w="850" w:type="dxa"/>
            <w:tcBorders>
              <w:top w:val="nil"/>
              <w:left w:val="nil"/>
              <w:bottom w:val="single" w:sz="4" w:space="0" w:color="auto"/>
              <w:right w:val="single" w:sz="4" w:space="0" w:color="auto"/>
            </w:tcBorders>
            <w:shd w:val="clear" w:color="auto" w:fill="auto"/>
            <w:noWrap/>
            <w:vAlign w:val="center"/>
            <w:hideMark/>
          </w:tcPr>
          <w:p w14:paraId="206C3171"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71B1804F"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5</w:t>
            </w:r>
          </w:p>
        </w:tc>
      </w:tr>
      <w:tr w:rsidR="00260BC6" w:rsidRPr="004A6B9C" w14:paraId="17DCE301"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6FD17087"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50D6CE66"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5BB8F37F"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9 294,76</w:t>
            </w:r>
          </w:p>
        </w:tc>
        <w:tc>
          <w:tcPr>
            <w:tcW w:w="1304" w:type="dxa"/>
            <w:tcBorders>
              <w:top w:val="nil"/>
              <w:left w:val="nil"/>
              <w:bottom w:val="single" w:sz="4" w:space="0" w:color="auto"/>
              <w:right w:val="single" w:sz="4" w:space="0" w:color="auto"/>
            </w:tcBorders>
            <w:shd w:val="clear" w:color="auto" w:fill="auto"/>
            <w:noWrap/>
            <w:vAlign w:val="center"/>
            <w:hideMark/>
          </w:tcPr>
          <w:p w14:paraId="6162442C"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93" w:type="dxa"/>
            <w:tcBorders>
              <w:top w:val="nil"/>
              <w:left w:val="nil"/>
              <w:bottom w:val="single" w:sz="4" w:space="0" w:color="auto"/>
              <w:right w:val="single" w:sz="4" w:space="0" w:color="auto"/>
            </w:tcBorders>
            <w:shd w:val="clear" w:color="auto" w:fill="auto"/>
            <w:noWrap/>
            <w:vAlign w:val="bottom"/>
            <w:hideMark/>
          </w:tcPr>
          <w:p w14:paraId="11DE418D"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11 555,76</w:t>
            </w:r>
          </w:p>
        </w:tc>
        <w:tc>
          <w:tcPr>
            <w:tcW w:w="1304" w:type="dxa"/>
            <w:tcBorders>
              <w:top w:val="nil"/>
              <w:left w:val="nil"/>
              <w:bottom w:val="single" w:sz="4" w:space="0" w:color="auto"/>
              <w:right w:val="single" w:sz="4" w:space="0" w:color="auto"/>
            </w:tcBorders>
            <w:shd w:val="clear" w:color="auto" w:fill="auto"/>
            <w:noWrap/>
            <w:vAlign w:val="bottom"/>
            <w:hideMark/>
          </w:tcPr>
          <w:p w14:paraId="1685717A"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07" w:type="dxa"/>
            <w:tcBorders>
              <w:top w:val="nil"/>
              <w:left w:val="nil"/>
              <w:bottom w:val="single" w:sz="4" w:space="0" w:color="auto"/>
              <w:right w:val="single" w:sz="4" w:space="0" w:color="auto"/>
            </w:tcBorders>
            <w:shd w:val="clear" w:color="auto" w:fill="auto"/>
            <w:noWrap/>
            <w:vAlign w:val="bottom"/>
            <w:hideMark/>
          </w:tcPr>
          <w:p w14:paraId="185F1217"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2 261,00</w:t>
            </w:r>
          </w:p>
        </w:tc>
        <w:tc>
          <w:tcPr>
            <w:tcW w:w="737" w:type="dxa"/>
            <w:tcBorders>
              <w:top w:val="nil"/>
              <w:left w:val="nil"/>
              <w:bottom w:val="single" w:sz="4" w:space="0" w:color="auto"/>
              <w:right w:val="single" w:sz="4" w:space="0" w:color="auto"/>
            </w:tcBorders>
            <w:shd w:val="clear" w:color="auto" w:fill="auto"/>
            <w:noWrap/>
            <w:vAlign w:val="center"/>
            <w:hideMark/>
          </w:tcPr>
          <w:p w14:paraId="1245BBBF" w14:textId="5A51A9FE"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24,33</w:t>
            </w:r>
          </w:p>
        </w:tc>
        <w:tc>
          <w:tcPr>
            <w:tcW w:w="850" w:type="dxa"/>
            <w:tcBorders>
              <w:top w:val="nil"/>
              <w:left w:val="nil"/>
              <w:bottom w:val="single" w:sz="4" w:space="0" w:color="auto"/>
              <w:right w:val="single" w:sz="4" w:space="0" w:color="auto"/>
            </w:tcBorders>
            <w:shd w:val="clear" w:color="auto" w:fill="auto"/>
            <w:noWrap/>
            <w:vAlign w:val="center"/>
            <w:hideMark/>
          </w:tcPr>
          <w:p w14:paraId="18405B7E"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7802A0B9"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4</w:t>
            </w:r>
          </w:p>
        </w:tc>
      </w:tr>
      <w:tr w:rsidR="00260BC6" w:rsidRPr="004A6B9C" w14:paraId="1FF07C25"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0FFD5257"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044C9732"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09510680"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9 294,76</w:t>
            </w:r>
          </w:p>
        </w:tc>
        <w:tc>
          <w:tcPr>
            <w:tcW w:w="1304" w:type="dxa"/>
            <w:tcBorders>
              <w:top w:val="nil"/>
              <w:left w:val="nil"/>
              <w:bottom w:val="single" w:sz="4" w:space="0" w:color="auto"/>
              <w:right w:val="single" w:sz="4" w:space="0" w:color="auto"/>
            </w:tcBorders>
            <w:shd w:val="clear" w:color="auto" w:fill="auto"/>
            <w:noWrap/>
            <w:vAlign w:val="center"/>
            <w:hideMark/>
          </w:tcPr>
          <w:p w14:paraId="04730BDC"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93" w:type="dxa"/>
            <w:tcBorders>
              <w:top w:val="nil"/>
              <w:left w:val="nil"/>
              <w:bottom w:val="single" w:sz="4" w:space="0" w:color="auto"/>
              <w:right w:val="single" w:sz="4" w:space="0" w:color="auto"/>
            </w:tcBorders>
            <w:shd w:val="clear" w:color="auto" w:fill="auto"/>
            <w:noWrap/>
            <w:vAlign w:val="bottom"/>
            <w:hideMark/>
          </w:tcPr>
          <w:p w14:paraId="4C9AA29B"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9 378,00</w:t>
            </w:r>
          </w:p>
        </w:tc>
        <w:tc>
          <w:tcPr>
            <w:tcW w:w="1304" w:type="dxa"/>
            <w:tcBorders>
              <w:top w:val="nil"/>
              <w:left w:val="nil"/>
              <w:bottom w:val="single" w:sz="4" w:space="0" w:color="auto"/>
              <w:right w:val="single" w:sz="4" w:space="0" w:color="auto"/>
            </w:tcBorders>
            <w:shd w:val="clear" w:color="auto" w:fill="auto"/>
            <w:noWrap/>
            <w:vAlign w:val="bottom"/>
            <w:hideMark/>
          </w:tcPr>
          <w:p w14:paraId="635CEA2D"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ÚVN</w:t>
            </w:r>
          </w:p>
        </w:tc>
        <w:tc>
          <w:tcPr>
            <w:tcW w:w="907" w:type="dxa"/>
            <w:tcBorders>
              <w:top w:val="nil"/>
              <w:left w:val="nil"/>
              <w:bottom w:val="single" w:sz="4" w:space="0" w:color="auto"/>
              <w:right w:val="single" w:sz="4" w:space="0" w:color="auto"/>
            </w:tcBorders>
            <w:shd w:val="clear" w:color="auto" w:fill="auto"/>
            <w:noWrap/>
            <w:vAlign w:val="bottom"/>
            <w:hideMark/>
          </w:tcPr>
          <w:p w14:paraId="7E90A054"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83,24</w:t>
            </w:r>
          </w:p>
        </w:tc>
        <w:tc>
          <w:tcPr>
            <w:tcW w:w="737" w:type="dxa"/>
            <w:tcBorders>
              <w:top w:val="nil"/>
              <w:left w:val="nil"/>
              <w:bottom w:val="single" w:sz="4" w:space="0" w:color="auto"/>
              <w:right w:val="single" w:sz="4" w:space="0" w:color="auto"/>
            </w:tcBorders>
            <w:shd w:val="clear" w:color="auto" w:fill="auto"/>
            <w:noWrap/>
            <w:vAlign w:val="center"/>
            <w:hideMark/>
          </w:tcPr>
          <w:p w14:paraId="0D63AA82" w14:textId="09F35D21"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0,90</w:t>
            </w:r>
          </w:p>
        </w:tc>
        <w:tc>
          <w:tcPr>
            <w:tcW w:w="850" w:type="dxa"/>
            <w:tcBorders>
              <w:top w:val="nil"/>
              <w:left w:val="nil"/>
              <w:bottom w:val="single" w:sz="4" w:space="0" w:color="auto"/>
              <w:right w:val="single" w:sz="4" w:space="0" w:color="auto"/>
            </w:tcBorders>
            <w:shd w:val="clear" w:color="auto" w:fill="auto"/>
            <w:noWrap/>
            <w:vAlign w:val="center"/>
            <w:hideMark/>
          </w:tcPr>
          <w:p w14:paraId="4390F799"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w:t>
            </w:r>
          </w:p>
        </w:tc>
        <w:tc>
          <w:tcPr>
            <w:tcW w:w="964" w:type="dxa"/>
            <w:tcBorders>
              <w:top w:val="nil"/>
              <w:left w:val="nil"/>
              <w:bottom w:val="single" w:sz="4" w:space="0" w:color="auto"/>
              <w:right w:val="single" w:sz="4" w:space="0" w:color="auto"/>
            </w:tcBorders>
            <w:shd w:val="clear" w:color="auto" w:fill="auto"/>
            <w:noWrap/>
            <w:vAlign w:val="center"/>
            <w:hideMark/>
          </w:tcPr>
          <w:p w14:paraId="2B776F2B"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r>
      <w:tr w:rsidR="00260BC6" w:rsidRPr="004A6B9C" w14:paraId="035BC195" w14:textId="77777777"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D761C5" w14:textId="77777777" w:rsidR="0068280A" w:rsidRPr="004A6B9C" w:rsidRDefault="0068280A" w:rsidP="004A6B9C">
            <w:pPr>
              <w:spacing w:before="20" w:after="20"/>
              <w:ind w:left="-57" w:right="-57"/>
              <w:jc w:val="center"/>
              <w:rPr>
                <w:rFonts w:ascii="Calibri" w:hAnsi="Calibri" w:cs="Calibri"/>
                <w:color w:val="000000"/>
                <w:sz w:val="18"/>
                <w:szCs w:val="18"/>
              </w:rPr>
            </w:pPr>
            <w:r w:rsidRPr="004A6B9C">
              <w:rPr>
                <w:rFonts w:ascii="Calibri" w:hAnsi="Calibri" w:cs="Calibri"/>
                <w:color w:val="000000"/>
                <w:sz w:val="18"/>
                <w:szCs w:val="18"/>
              </w:rPr>
              <w:t>0027905</w:t>
            </w:r>
          </w:p>
        </w:tc>
        <w:tc>
          <w:tcPr>
            <w:tcW w:w="510" w:type="dxa"/>
            <w:tcBorders>
              <w:top w:val="nil"/>
              <w:left w:val="nil"/>
              <w:bottom w:val="single" w:sz="4" w:space="0" w:color="auto"/>
              <w:right w:val="single" w:sz="4" w:space="0" w:color="auto"/>
            </w:tcBorders>
            <w:shd w:val="clear" w:color="auto" w:fill="auto"/>
            <w:noWrap/>
            <w:vAlign w:val="center"/>
            <w:hideMark/>
          </w:tcPr>
          <w:p w14:paraId="4CCEA399"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2E67070A"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20 903,24</w:t>
            </w:r>
          </w:p>
        </w:tc>
        <w:tc>
          <w:tcPr>
            <w:tcW w:w="1304" w:type="dxa"/>
            <w:tcBorders>
              <w:top w:val="nil"/>
              <w:left w:val="nil"/>
              <w:bottom w:val="single" w:sz="4" w:space="0" w:color="auto"/>
              <w:right w:val="single" w:sz="4" w:space="0" w:color="auto"/>
            </w:tcBorders>
            <w:shd w:val="clear" w:color="auto" w:fill="auto"/>
            <w:noWrap/>
            <w:vAlign w:val="center"/>
            <w:hideMark/>
          </w:tcPr>
          <w:p w14:paraId="4185D809"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93" w:type="dxa"/>
            <w:tcBorders>
              <w:top w:val="nil"/>
              <w:left w:val="nil"/>
              <w:bottom w:val="single" w:sz="4" w:space="0" w:color="auto"/>
              <w:right w:val="single" w:sz="4" w:space="0" w:color="auto"/>
            </w:tcBorders>
            <w:shd w:val="clear" w:color="auto" w:fill="auto"/>
            <w:noWrap/>
            <w:vAlign w:val="bottom"/>
            <w:hideMark/>
          </w:tcPr>
          <w:p w14:paraId="46BD9D19"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24 538,92</w:t>
            </w:r>
          </w:p>
        </w:tc>
        <w:tc>
          <w:tcPr>
            <w:tcW w:w="1304" w:type="dxa"/>
            <w:tcBorders>
              <w:top w:val="nil"/>
              <w:left w:val="nil"/>
              <w:bottom w:val="single" w:sz="4" w:space="0" w:color="auto"/>
              <w:right w:val="single" w:sz="4" w:space="0" w:color="auto"/>
            </w:tcBorders>
            <w:shd w:val="clear" w:color="auto" w:fill="auto"/>
            <w:noWrap/>
            <w:vAlign w:val="bottom"/>
            <w:hideMark/>
          </w:tcPr>
          <w:p w14:paraId="73409B06"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07" w:type="dxa"/>
            <w:tcBorders>
              <w:top w:val="nil"/>
              <w:left w:val="nil"/>
              <w:bottom w:val="single" w:sz="4" w:space="0" w:color="auto"/>
              <w:right w:val="single" w:sz="4" w:space="0" w:color="auto"/>
            </w:tcBorders>
            <w:shd w:val="clear" w:color="auto" w:fill="auto"/>
            <w:noWrap/>
            <w:vAlign w:val="bottom"/>
            <w:hideMark/>
          </w:tcPr>
          <w:p w14:paraId="1088384F"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3 635,68</w:t>
            </w:r>
          </w:p>
        </w:tc>
        <w:tc>
          <w:tcPr>
            <w:tcW w:w="737" w:type="dxa"/>
            <w:tcBorders>
              <w:top w:val="nil"/>
              <w:left w:val="nil"/>
              <w:bottom w:val="single" w:sz="4" w:space="0" w:color="auto"/>
              <w:right w:val="single" w:sz="4" w:space="0" w:color="auto"/>
            </w:tcBorders>
            <w:shd w:val="clear" w:color="auto" w:fill="auto"/>
            <w:noWrap/>
            <w:vAlign w:val="center"/>
            <w:hideMark/>
          </w:tcPr>
          <w:p w14:paraId="54E4DD61" w14:textId="58486506"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17,39</w:t>
            </w:r>
          </w:p>
        </w:tc>
        <w:tc>
          <w:tcPr>
            <w:tcW w:w="850" w:type="dxa"/>
            <w:tcBorders>
              <w:top w:val="nil"/>
              <w:left w:val="nil"/>
              <w:bottom w:val="single" w:sz="4" w:space="0" w:color="auto"/>
              <w:right w:val="single" w:sz="4" w:space="0" w:color="auto"/>
            </w:tcBorders>
            <w:shd w:val="clear" w:color="auto" w:fill="auto"/>
            <w:noWrap/>
            <w:vAlign w:val="center"/>
            <w:hideMark/>
          </w:tcPr>
          <w:p w14:paraId="6B0DB24B"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077DE235"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4</w:t>
            </w:r>
          </w:p>
        </w:tc>
      </w:tr>
      <w:tr w:rsidR="00260BC6" w:rsidRPr="004A6B9C" w14:paraId="3CEA1291"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721E18B0"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07A6148C"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096EF509"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19 956,67</w:t>
            </w:r>
          </w:p>
        </w:tc>
        <w:tc>
          <w:tcPr>
            <w:tcW w:w="1304" w:type="dxa"/>
            <w:tcBorders>
              <w:top w:val="nil"/>
              <w:left w:val="nil"/>
              <w:bottom w:val="single" w:sz="4" w:space="0" w:color="auto"/>
              <w:right w:val="single" w:sz="4" w:space="0" w:color="auto"/>
            </w:tcBorders>
            <w:shd w:val="clear" w:color="auto" w:fill="auto"/>
            <w:noWrap/>
            <w:vAlign w:val="center"/>
            <w:hideMark/>
          </w:tcPr>
          <w:p w14:paraId="00BB1A43"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93" w:type="dxa"/>
            <w:tcBorders>
              <w:top w:val="nil"/>
              <w:left w:val="nil"/>
              <w:bottom w:val="single" w:sz="4" w:space="0" w:color="auto"/>
              <w:right w:val="single" w:sz="4" w:space="0" w:color="auto"/>
            </w:tcBorders>
            <w:shd w:val="clear" w:color="auto" w:fill="auto"/>
            <w:noWrap/>
            <w:vAlign w:val="bottom"/>
            <w:hideMark/>
          </w:tcPr>
          <w:p w14:paraId="24EB3477"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20 314,11</w:t>
            </w:r>
          </w:p>
        </w:tc>
        <w:tc>
          <w:tcPr>
            <w:tcW w:w="1304" w:type="dxa"/>
            <w:tcBorders>
              <w:top w:val="nil"/>
              <w:left w:val="nil"/>
              <w:bottom w:val="single" w:sz="4" w:space="0" w:color="auto"/>
              <w:right w:val="single" w:sz="4" w:space="0" w:color="auto"/>
            </w:tcBorders>
            <w:shd w:val="clear" w:color="auto" w:fill="auto"/>
            <w:noWrap/>
            <w:vAlign w:val="bottom"/>
            <w:hideMark/>
          </w:tcPr>
          <w:p w14:paraId="6E486E94"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ÚVN</w:t>
            </w:r>
          </w:p>
        </w:tc>
        <w:tc>
          <w:tcPr>
            <w:tcW w:w="907" w:type="dxa"/>
            <w:tcBorders>
              <w:top w:val="nil"/>
              <w:left w:val="nil"/>
              <w:bottom w:val="single" w:sz="4" w:space="0" w:color="auto"/>
              <w:right w:val="single" w:sz="4" w:space="0" w:color="auto"/>
            </w:tcBorders>
            <w:shd w:val="clear" w:color="auto" w:fill="auto"/>
            <w:noWrap/>
            <w:vAlign w:val="bottom"/>
            <w:hideMark/>
          </w:tcPr>
          <w:p w14:paraId="6BC715B1"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357,44</w:t>
            </w:r>
          </w:p>
        </w:tc>
        <w:tc>
          <w:tcPr>
            <w:tcW w:w="737" w:type="dxa"/>
            <w:tcBorders>
              <w:top w:val="nil"/>
              <w:left w:val="nil"/>
              <w:bottom w:val="single" w:sz="4" w:space="0" w:color="auto"/>
              <w:right w:val="single" w:sz="4" w:space="0" w:color="auto"/>
            </w:tcBorders>
            <w:shd w:val="clear" w:color="auto" w:fill="auto"/>
            <w:noWrap/>
            <w:vAlign w:val="center"/>
            <w:hideMark/>
          </w:tcPr>
          <w:p w14:paraId="4F981B84" w14:textId="6C586D32"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1,79</w:t>
            </w:r>
          </w:p>
        </w:tc>
        <w:tc>
          <w:tcPr>
            <w:tcW w:w="850" w:type="dxa"/>
            <w:tcBorders>
              <w:top w:val="nil"/>
              <w:left w:val="nil"/>
              <w:bottom w:val="single" w:sz="4" w:space="0" w:color="auto"/>
              <w:right w:val="single" w:sz="4" w:space="0" w:color="auto"/>
            </w:tcBorders>
            <w:shd w:val="clear" w:color="auto" w:fill="auto"/>
            <w:noWrap/>
            <w:vAlign w:val="center"/>
            <w:hideMark/>
          </w:tcPr>
          <w:p w14:paraId="1964664E"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3BB57F86"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r>
      <w:tr w:rsidR="00260BC6" w:rsidRPr="004A6B9C" w14:paraId="6478C2D0"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7AD72B2D"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2BA049C5"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3F3ADE1D"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19 956,67</w:t>
            </w:r>
          </w:p>
        </w:tc>
        <w:tc>
          <w:tcPr>
            <w:tcW w:w="1304" w:type="dxa"/>
            <w:tcBorders>
              <w:top w:val="nil"/>
              <w:left w:val="nil"/>
              <w:bottom w:val="single" w:sz="4" w:space="0" w:color="auto"/>
              <w:right w:val="single" w:sz="4" w:space="0" w:color="auto"/>
            </w:tcBorders>
            <w:shd w:val="clear" w:color="auto" w:fill="auto"/>
            <w:noWrap/>
            <w:vAlign w:val="center"/>
            <w:hideMark/>
          </w:tcPr>
          <w:p w14:paraId="5067C651"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93" w:type="dxa"/>
            <w:tcBorders>
              <w:top w:val="nil"/>
              <w:left w:val="nil"/>
              <w:bottom w:val="single" w:sz="4" w:space="0" w:color="auto"/>
              <w:right w:val="single" w:sz="4" w:space="0" w:color="auto"/>
            </w:tcBorders>
            <w:shd w:val="clear" w:color="auto" w:fill="auto"/>
            <w:noWrap/>
            <w:vAlign w:val="bottom"/>
            <w:hideMark/>
          </w:tcPr>
          <w:p w14:paraId="382FEBB7"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20 314,11</w:t>
            </w:r>
          </w:p>
        </w:tc>
        <w:tc>
          <w:tcPr>
            <w:tcW w:w="1304" w:type="dxa"/>
            <w:tcBorders>
              <w:top w:val="nil"/>
              <w:left w:val="nil"/>
              <w:bottom w:val="single" w:sz="4" w:space="0" w:color="auto"/>
              <w:right w:val="single" w:sz="4" w:space="0" w:color="auto"/>
            </w:tcBorders>
            <w:shd w:val="clear" w:color="auto" w:fill="auto"/>
            <w:noWrap/>
            <w:vAlign w:val="bottom"/>
            <w:hideMark/>
          </w:tcPr>
          <w:p w14:paraId="2172A09A"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ÚVN</w:t>
            </w:r>
          </w:p>
        </w:tc>
        <w:tc>
          <w:tcPr>
            <w:tcW w:w="907" w:type="dxa"/>
            <w:tcBorders>
              <w:top w:val="nil"/>
              <w:left w:val="nil"/>
              <w:bottom w:val="single" w:sz="4" w:space="0" w:color="auto"/>
              <w:right w:val="single" w:sz="4" w:space="0" w:color="auto"/>
            </w:tcBorders>
            <w:shd w:val="clear" w:color="auto" w:fill="auto"/>
            <w:noWrap/>
            <w:vAlign w:val="bottom"/>
            <w:hideMark/>
          </w:tcPr>
          <w:p w14:paraId="4587F49C"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357,44</w:t>
            </w:r>
          </w:p>
        </w:tc>
        <w:tc>
          <w:tcPr>
            <w:tcW w:w="737" w:type="dxa"/>
            <w:tcBorders>
              <w:top w:val="nil"/>
              <w:left w:val="nil"/>
              <w:bottom w:val="single" w:sz="4" w:space="0" w:color="auto"/>
              <w:right w:val="single" w:sz="4" w:space="0" w:color="auto"/>
            </w:tcBorders>
            <w:shd w:val="clear" w:color="auto" w:fill="auto"/>
            <w:noWrap/>
            <w:vAlign w:val="center"/>
            <w:hideMark/>
          </w:tcPr>
          <w:p w14:paraId="0BBFD526" w14:textId="17620516"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1,79</w:t>
            </w:r>
          </w:p>
        </w:tc>
        <w:tc>
          <w:tcPr>
            <w:tcW w:w="850" w:type="dxa"/>
            <w:tcBorders>
              <w:top w:val="nil"/>
              <w:left w:val="nil"/>
              <w:bottom w:val="single" w:sz="4" w:space="0" w:color="auto"/>
              <w:right w:val="single" w:sz="4" w:space="0" w:color="auto"/>
            </w:tcBorders>
            <w:shd w:val="clear" w:color="auto" w:fill="auto"/>
            <w:noWrap/>
            <w:vAlign w:val="center"/>
            <w:hideMark/>
          </w:tcPr>
          <w:p w14:paraId="5960C96D"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711C4465"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260BC6" w:rsidRPr="004A6B9C" w14:paraId="07EFC995" w14:textId="77777777"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6839A" w14:textId="77777777" w:rsidR="0068280A" w:rsidRPr="004A6B9C" w:rsidRDefault="0068280A" w:rsidP="004A6B9C">
            <w:pPr>
              <w:spacing w:before="20" w:after="20"/>
              <w:ind w:left="-57" w:right="-57"/>
              <w:jc w:val="center"/>
              <w:rPr>
                <w:rFonts w:ascii="Calibri" w:hAnsi="Calibri" w:cs="Calibri"/>
                <w:color w:val="000000"/>
                <w:sz w:val="18"/>
                <w:szCs w:val="18"/>
              </w:rPr>
            </w:pPr>
            <w:r w:rsidRPr="004A6B9C">
              <w:rPr>
                <w:rFonts w:ascii="Calibri" w:hAnsi="Calibri" w:cs="Calibri"/>
                <w:color w:val="000000"/>
                <w:sz w:val="18"/>
                <w:szCs w:val="18"/>
              </w:rPr>
              <w:t>0029795</w:t>
            </w:r>
          </w:p>
        </w:tc>
        <w:tc>
          <w:tcPr>
            <w:tcW w:w="510" w:type="dxa"/>
            <w:tcBorders>
              <w:top w:val="nil"/>
              <w:left w:val="nil"/>
              <w:bottom w:val="single" w:sz="4" w:space="0" w:color="auto"/>
              <w:right w:val="single" w:sz="4" w:space="0" w:color="auto"/>
            </w:tcBorders>
            <w:shd w:val="clear" w:color="auto" w:fill="auto"/>
            <w:noWrap/>
            <w:vAlign w:val="center"/>
            <w:hideMark/>
          </w:tcPr>
          <w:p w14:paraId="4B835CD9"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098DC9A0"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24 488,19</w:t>
            </w:r>
          </w:p>
        </w:tc>
        <w:tc>
          <w:tcPr>
            <w:tcW w:w="1304" w:type="dxa"/>
            <w:tcBorders>
              <w:top w:val="nil"/>
              <w:left w:val="nil"/>
              <w:bottom w:val="single" w:sz="4" w:space="0" w:color="auto"/>
              <w:right w:val="single" w:sz="4" w:space="0" w:color="auto"/>
            </w:tcBorders>
            <w:shd w:val="clear" w:color="auto" w:fill="auto"/>
            <w:noWrap/>
            <w:vAlign w:val="center"/>
            <w:hideMark/>
          </w:tcPr>
          <w:p w14:paraId="1F7CBBF8"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93" w:type="dxa"/>
            <w:tcBorders>
              <w:top w:val="nil"/>
              <w:left w:val="nil"/>
              <w:bottom w:val="single" w:sz="4" w:space="0" w:color="auto"/>
              <w:right w:val="single" w:sz="4" w:space="0" w:color="auto"/>
            </w:tcBorders>
            <w:shd w:val="clear" w:color="auto" w:fill="auto"/>
            <w:noWrap/>
            <w:vAlign w:val="bottom"/>
            <w:hideMark/>
          </w:tcPr>
          <w:p w14:paraId="0F43DF74"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25 895,11</w:t>
            </w:r>
          </w:p>
        </w:tc>
        <w:tc>
          <w:tcPr>
            <w:tcW w:w="1304" w:type="dxa"/>
            <w:tcBorders>
              <w:top w:val="nil"/>
              <w:left w:val="nil"/>
              <w:bottom w:val="single" w:sz="4" w:space="0" w:color="auto"/>
              <w:right w:val="single" w:sz="4" w:space="0" w:color="auto"/>
            </w:tcBorders>
            <w:shd w:val="clear" w:color="auto" w:fill="auto"/>
            <w:noWrap/>
            <w:vAlign w:val="bottom"/>
            <w:hideMark/>
          </w:tcPr>
          <w:p w14:paraId="39E02E1F"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07" w:type="dxa"/>
            <w:tcBorders>
              <w:top w:val="nil"/>
              <w:left w:val="nil"/>
              <w:bottom w:val="single" w:sz="4" w:space="0" w:color="auto"/>
              <w:right w:val="single" w:sz="4" w:space="0" w:color="auto"/>
            </w:tcBorders>
            <w:shd w:val="clear" w:color="auto" w:fill="auto"/>
            <w:noWrap/>
            <w:vAlign w:val="bottom"/>
            <w:hideMark/>
          </w:tcPr>
          <w:p w14:paraId="685631F4"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1 406,92</w:t>
            </w:r>
          </w:p>
        </w:tc>
        <w:tc>
          <w:tcPr>
            <w:tcW w:w="737" w:type="dxa"/>
            <w:tcBorders>
              <w:top w:val="nil"/>
              <w:left w:val="nil"/>
              <w:bottom w:val="single" w:sz="4" w:space="0" w:color="auto"/>
              <w:right w:val="single" w:sz="4" w:space="0" w:color="auto"/>
            </w:tcBorders>
            <w:shd w:val="clear" w:color="auto" w:fill="auto"/>
            <w:noWrap/>
            <w:vAlign w:val="center"/>
            <w:hideMark/>
          </w:tcPr>
          <w:p w14:paraId="4DC73D8C" w14:textId="2669E274"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5,75</w:t>
            </w:r>
          </w:p>
        </w:tc>
        <w:tc>
          <w:tcPr>
            <w:tcW w:w="850" w:type="dxa"/>
            <w:tcBorders>
              <w:top w:val="nil"/>
              <w:left w:val="nil"/>
              <w:bottom w:val="single" w:sz="4" w:space="0" w:color="auto"/>
              <w:right w:val="single" w:sz="4" w:space="0" w:color="auto"/>
            </w:tcBorders>
            <w:shd w:val="clear" w:color="auto" w:fill="auto"/>
            <w:noWrap/>
            <w:vAlign w:val="center"/>
            <w:hideMark/>
          </w:tcPr>
          <w:p w14:paraId="6F9110E1"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2B416C98"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260BC6" w:rsidRPr="004A6B9C" w14:paraId="159E6018"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1514FBC0"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610AA514"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706BD02C"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21 783,84</w:t>
            </w:r>
          </w:p>
        </w:tc>
        <w:tc>
          <w:tcPr>
            <w:tcW w:w="1304" w:type="dxa"/>
            <w:tcBorders>
              <w:top w:val="nil"/>
              <w:left w:val="nil"/>
              <w:bottom w:val="single" w:sz="4" w:space="0" w:color="auto"/>
              <w:right w:val="single" w:sz="4" w:space="0" w:color="auto"/>
            </w:tcBorders>
            <w:shd w:val="clear" w:color="auto" w:fill="auto"/>
            <w:noWrap/>
            <w:vAlign w:val="center"/>
            <w:hideMark/>
          </w:tcPr>
          <w:p w14:paraId="731E1501"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ÚVN</w:t>
            </w:r>
          </w:p>
        </w:tc>
        <w:tc>
          <w:tcPr>
            <w:tcW w:w="993" w:type="dxa"/>
            <w:tcBorders>
              <w:top w:val="nil"/>
              <w:left w:val="nil"/>
              <w:bottom w:val="single" w:sz="4" w:space="0" w:color="auto"/>
              <w:right w:val="single" w:sz="4" w:space="0" w:color="auto"/>
            </w:tcBorders>
            <w:shd w:val="clear" w:color="auto" w:fill="auto"/>
            <w:noWrap/>
            <w:vAlign w:val="bottom"/>
            <w:hideMark/>
          </w:tcPr>
          <w:p w14:paraId="6418AC4A"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23 424,48</w:t>
            </w:r>
          </w:p>
        </w:tc>
        <w:tc>
          <w:tcPr>
            <w:tcW w:w="1304" w:type="dxa"/>
            <w:tcBorders>
              <w:top w:val="nil"/>
              <w:left w:val="nil"/>
              <w:bottom w:val="single" w:sz="4" w:space="0" w:color="auto"/>
              <w:right w:val="single" w:sz="4" w:space="0" w:color="auto"/>
            </w:tcBorders>
            <w:shd w:val="clear" w:color="auto" w:fill="auto"/>
            <w:noWrap/>
            <w:vAlign w:val="bottom"/>
            <w:hideMark/>
          </w:tcPr>
          <w:p w14:paraId="21968680"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ÚVN</w:t>
            </w:r>
          </w:p>
        </w:tc>
        <w:tc>
          <w:tcPr>
            <w:tcW w:w="907" w:type="dxa"/>
            <w:tcBorders>
              <w:top w:val="nil"/>
              <w:left w:val="nil"/>
              <w:bottom w:val="single" w:sz="4" w:space="0" w:color="auto"/>
              <w:right w:val="single" w:sz="4" w:space="0" w:color="auto"/>
            </w:tcBorders>
            <w:shd w:val="clear" w:color="auto" w:fill="auto"/>
            <w:noWrap/>
            <w:vAlign w:val="bottom"/>
            <w:hideMark/>
          </w:tcPr>
          <w:p w14:paraId="26B29A65"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1 640,64</w:t>
            </w:r>
          </w:p>
        </w:tc>
        <w:tc>
          <w:tcPr>
            <w:tcW w:w="737" w:type="dxa"/>
            <w:tcBorders>
              <w:top w:val="nil"/>
              <w:left w:val="nil"/>
              <w:bottom w:val="single" w:sz="4" w:space="0" w:color="auto"/>
              <w:right w:val="single" w:sz="4" w:space="0" w:color="auto"/>
            </w:tcBorders>
            <w:shd w:val="clear" w:color="auto" w:fill="auto"/>
            <w:noWrap/>
            <w:vAlign w:val="center"/>
            <w:hideMark/>
          </w:tcPr>
          <w:p w14:paraId="2CD9C984" w14:textId="47213E3A"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7,53</w:t>
            </w:r>
          </w:p>
        </w:tc>
        <w:tc>
          <w:tcPr>
            <w:tcW w:w="850" w:type="dxa"/>
            <w:tcBorders>
              <w:top w:val="nil"/>
              <w:left w:val="nil"/>
              <w:bottom w:val="single" w:sz="4" w:space="0" w:color="auto"/>
              <w:right w:val="single" w:sz="4" w:space="0" w:color="auto"/>
            </w:tcBorders>
            <w:shd w:val="clear" w:color="auto" w:fill="auto"/>
            <w:noWrap/>
            <w:vAlign w:val="center"/>
            <w:hideMark/>
          </w:tcPr>
          <w:p w14:paraId="3A14A8F7"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45A2E7AB"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260BC6" w:rsidRPr="004A6B9C" w14:paraId="65BEAA30"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77D92B71"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61648D21"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69870739"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21 783,84</w:t>
            </w:r>
          </w:p>
        </w:tc>
        <w:tc>
          <w:tcPr>
            <w:tcW w:w="1304" w:type="dxa"/>
            <w:tcBorders>
              <w:top w:val="nil"/>
              <w:left w:val="nil"/>
              <w:bottom w:val="single" w:sz="4" w:space="0" w:color="auto"/>
              <w:right w:val="single" w:sz="4" w:space="0" w:color="auto"/>
            </w:tcBorders>
            <w:shd w:val="clear" w:color="auto" w:fill="auto"/>
            <w:noWrap/>
            <w:vAlign w:val="center"/>
            <w:hideMark/>
          </w:tcPr>
          <w:p w14:paraId="7C2D068C"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ÚVN</w:t>
            </w:r>
          </w:p>
        </w:tc>
        <w:tc>
          <w:tcPr>
            <w:tcW w:w="993" w:type="dxa"/>
            <w:tcBorders>
              <w:top w:val="nil"/>
              <w:left w:val="nil"/>
              <w:bottom w:val="single" w:sz="4" w:space="0" w:color="auto"/>
              <w:right w:val="single" w:sz="4" w:space="0" w:color="auto"/>
            </w:tcBorders>
            <w:shd w:val="clear" w:color="auto" w:fill="auto"/>
            <w:noWrap/>
            <w:vAlign w:val="bottom"/>
            <w:hideMark/>
          </w:tcPr>
          <w:p w14:paraId="666117D3" w14:textId="77777777" w:rsidR="0068280A" w:rsidRPr="004A6B9C" w:rsidRDefault="0068280A" w:rsidP="004A6B9C">
            <w:pPr>
              <w:spacing w:before="20" w:after="20"/>
              <w:jc w:val="right"/>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1304" w:type="dxa"/>
            <w:tcBorders>
              <w:top w:val="nil"/>
              <w:left w:val="nil"/>
              <w:bottom w:val="single" w:sz="4" w:space="0" w:color="auto"/>
              <w:right w:val="single" w:sz="4" w:space="0" w:color="auto"/>
            </w:tcBorders>
            <w:shd w:val="clear" w:color="auto" w:fill="auto"/>
            <w:noWrap/>
            <w:vAlign w:val="bottom"/>
            <w:hideMark/>
          </w:tcPr>
          <w:p w14:paraId="35DBFA4E" w14:textId="77777777" w:rsidR="0068280A" w:rsidRPr="004A6B9C" w:rsidRDefault="0068280A" w:rsidP="004A6B9C">
            <w:pPr>
              <w:spacing w:before="20" w:after="20"/>
              <w:jc w:val="center"/>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bottom"/>
            <w:hideMark/>
          </w:tcPr>
          <w:p w14:paraId="531E5774"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4E0DE42B" w14:textId="615D18DA"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5F71619"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w:t>
            </w:r>
          </w:p>
        </w:tc>
        <w:tc>
          <w:tcPr>
            <w:tcW w:w="964" w:type="dxa"/>
            <w:tcBorders>
              <w:top w:val="nil"/>
              <w:left w:val="nil"/>
              <w:bottom w:val="single" w:sz="4" w:space="0" w:color="auto"/>
              <w:right w:val="single" w:sz="4" w:space="0" w:color="auto"/>
            </w:tcBorders>
            <w:shd w:val="clear" w:color="auto" w:fill="auto"/>
            <w:noWrap/>
            <w:vAlign w:val="center"/>
            <w:hideMark/>
          </w:tcPr>
          <w:p w14:paraId="731773B4"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260BC6" w:rsidRPr="004A6B9C" w14:paraId="7335B774" w14:textId="77777777"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93DF8F" w14:textId="77777777" w:rsidR="0068280A" w:rsidRPr="004A6B9C" w:rsidRDefault="0068280A" w:rsidP="004A6B9C">
            <w:pPr>
              <w:spacing w:before="20" w:after="20"/>
              <w:ind w:left="-57" w:right="-57"/>
              <w:jc w:val="center"/>
              <w:rPr>
                <w:rFonts w:ascii="Calibri" w:hAnsi="Calibri" w:cs="Calibri"/>
                <w:color w:val="000000"/>
                <w:sz w:val="18"/>
                <w:szCs w:val="18"/>
              </w:rPr>
            </w:pPr>
            <w:r w:rsidRPr="004A6B9C">
              <w:rPr>
                <w:rFonts w:ascii="Calibri" w:hAnsi="Calibri" w:cs="Calibri"/>
                <w:color w:val="000000"/>
                <w:sz w:val="18"/>
                <w:szCs w:val="18"/>
              </w:rPr>
              <w:t>0167600</w:t>
            </w:r>
          </w:p>
        </w:tc>
        <w:tc>
          <w:tcPr>
            <w:tcW w:w="510" w:type="dxa"/>
            <w:tcBorders>
              <w:top w:val="nil"/>
              <w:left w:val="nil"/>
              <w:bottom w:val="single" w:sz="4" w:space="0" w:color="auto"/>
              <w:right w:val="single" w:sz="4" w:space="0" w:color="auto"/>
            </w:tcBorders>
            <w:shd w:val="clear" w:color="auto" w:fill="auto"/>
            <w:noWrap/>
            <w:vAlign w:val="center"/>
            <w:hideMark/>
          </w:tcPr>
          <w:p w14:paraId="69F44EE8"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5C8411F1"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76 642,69</w:t>
            </w:r>
          </w:p>
        </w:tc>
        <w:tc>
          <w:tcPr>
            <w:tcW w:w="1304" w:type="dxa"/>
            <w:tcBorders>
              <w:top w:val="nil"/>
              <w:left w:val="nil"/>
              <w:bottom w:val="single" w:sz="4" w:space="0" w:color="auto"/>
              <w:right w:val="single" w:sz="4" w:space="0" w:color="auto"/>
            </w:tcBorders>
            <w:shd w:val="clear" w:color="auto" w:fill="auto"/>
            <w:noWrap/>
            <w:vAlign w:val="center"/>
            <w:hideMark/>
          </w:tcPr>
          <w:p w14:paraId="51B12776"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 ÚVN</w:t>
            </w:r>
          </w:p>
        </w:tc>
        <w:tc>
          <w:tcPr>
            <w:tcW w:w="993" w:type="dxa"/>
            <w:tcBorders>
              <w:top w:val="nil"/>
              <w:left w:val="nil"/>
              <w:bottom w:val="single" w:sz="4" w:space="0" w:color="auto"/>
              <w:right w:val="single" w:sz="4" w:space="0" w:color="auto"/>
            </w:tcBorders>
            <w:shd w:val="clear" w:color="auto" w:fill="auto"/>
            <w:noWrap/>
            <w:vAlign w:val="bottom"/>
            <w:hideMark/>
          </w:tcPr>
          <w:p w14:paraId="1443BCB3"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76 642,70</w:t>
            </w:r>
          </w:p>
        </w:tc>
        <w:tc>
          <w:tcPr>
            <w:tcW w:w="1304" w:type="dxa"/>
            <w:tcBorders>
              <w:top w:val="nil"/>
              <w:left w:val="nil"/>
              <w:bottom w:val="single" w:sz="4" w:space="0" w:color="auto"/>
              <w:right w:val="single" w:sz="4" w:space="0" w:color="auto"/>
            </w:tcBorders>
            <w:shd w:val="clear" w:color="auto" w:fill="auto"/>
            <w:noWrap/>
            <w:vAlign w:val="bottom"/>
            <w:hideMark/>
          </w:tcPr>
          <w:p w14:paraId="05AAE8E9"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07" w:type="dxa"/>
            <w:tcBorders>
              <w:top w:val="nil"/>
              <w:left w:val="nil"/>
              <w:bottom w:val="single" w:sz="4" w:space="0" w:color="auto"/>
              <w:right w:val="single" w:sz="4" w:space="0" w:color="auto"/>
            </w:tcBorders>
            <w:shd w:val="clear" w:color="auto" w:fill="auto"/>
            <w:noWrap/>
            <w:vAlign w:val="bottom"/>
            <w:hideMark/>
          </w:tcPr>
          <w:p w14:paraId="08B5E9DF"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0,01</w:t>
            </w:r>
          </w:p>
        </w:tc>
        <w:tc>
          <w:tcPr>
            <w:tcW w:w="737" w:type="dxa"/>
            <w:tcBorders>
              <w:top w:val="nil"/>
              <w:left w:val="nil"/>
              <w:bottom w:val="single" w:sz="4" w:space="0" w:color="auto"/>
              <w:right w:val="single" w:sz="4" w:space="0" w:color="auto"/>
            </w:tcBorders>
            <w:shd w:val="clear" w:color="auto" w:fill="auto"/>
            <w:noWrap/>
            <w:vAlign w:val="center"/>
            <w:hideMark/>
          </w:tcPr>
          <w:p w14:paraId="45D9BE78" w14:textId="4B8F3E9C"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14:paraId="4D6CCCBF"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61F79C58"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260BC6" w:rsidRPr="004A6B9C" w14:paraId="3EB4EA0C"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6ECBD506"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1CB83900"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626F652D"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73 310,40</w:t>
            </w:r>
          </w:p>
        </w:tc>
        <w:tc>
          <w:tcPr>
            <w:tcW w:w="1304" w:type="dxa"/>
            <w:tcBorders>
              <w:top w:val="nil"/>
              <w:left w:val="nil"/>
              <w:bottom w:val="single" w:sz="4" w:space="0" w:color="auto"/>
              <w:right w:val="single" w:sz="4" w:space="0" w:color="auto"/>
            </w:tcBorders>
            <w:shd w:val="clear" w:color="auto" w:fill="auto"/>
            <w:noWrap/>
            <w:vAlign w:val="center"/>
            <w:hideMark/>
          </w:tcPr>
          <w:p w14:paraId="668967AE"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FNM, ÚVN</w:t>
            </w:r>
          </w:p>
        </w:tc>
        <w:tc>
          <w:tcPr>
            <w:tcW w:w="993" w:type="dxa"/>
            <w:tcBorders>
              <w:top w:val="nil"/>
              <w:left w:val="nil"/>
              <w:bottom w:val="single" w:sz="4" w:space="0" w:color="auto"/>
              <w:right w:val="single" w:sz="4" w:space="0" w:color="auto"/>
            </w:tcBorders>
            <w:shd w:val="clear" w:color="auto" w:fill="auto"/>
            <w:noWrap/>
            <w:vAlign w:val="bottom"/>
            <w:hideMark/>
          </w:tcPr>
          <w:p w14:paraId="405B7379" w14:textId="77777777" w:rsidR="0068280A" w:rsidRPr="004A6B9C" w:rsidRDefault="0068280A" w:rsidP="004A6B9C">
            <w:pPr>
              <w:spacing w:before="20" w:after="20"/>
              <w:jc w:val="right"/>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1304" w:type="dxa"/>
            <w:tcBorders>
              <w:top w:val="nil"/>
              <w:left w:val="nil"/>
              <w:bottom w:val="single" w:sz="4" w:space="0" w:color="auto"/>
              <w:right w:val="single" w:sz="4" w:space="0" w:color="auto"/>
            </w:tcBorders>
            <w:shd w:val="clear" w:color="auto" w:fill="auto"/>
            <w:noWrap/>
            <w:vAlign w:val="bottom"/>
            <w:hideMark/>
          </w:tcPr>
          <w:p w14:paraId="0F69CD11" w14:textId="77777777" w:rsidR="0068280A" w:rsidRPr="004A6B9C" w:rsidRDefault="0068280A" w:rsidP="004A6B9C">
            <w:pPr>
              <w:spacing w:before="20" w:after="20"/>
              <w:jc w:val="center"/>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bottom"/>
            <w:hideMark/>
          </w:tcPr>
          <w:p w14:paraId="68ECAC10"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5A91C611" w14:textId="5161B13A"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568555E"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2E9FACCC"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260BC6" w:rsidRPr="004A6B9C" w14:paraId="5DD0813F"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3D83A354"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7E1DA69A"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528D6106"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73 310,40</w:t>
            </w:r>
          </w:p>
        </w:tc>
        <w:tc>
          <w:tcPr>
            <w:tcW w:w="1304" w:type="dxa"/>
            <w:tcBorders>
              <w:top w:val="nil"/>
              <w:left w:val="nil"/>
              <w:bottom w:val="single" w:sz="4" w:space="0" w:color="auto"/>
              <w:right w:val="single" w:sz="4" w:space="0" w:color="auto"/>
            </w:tcBorders>
            <w:shd w:val="clear" w:color="auto" w:fill="auto"/>
            <w:noWrap/>
            <w:vAlign w:val="center"/>
            <w:hideMark/>
          </w:tcPr>
          <w:p w14:paraId="14CFFF6B"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FNM, ÚVN</w:t>
            </w:r>
          </w:p>
        </w:tc>
        <w:tc>
          <w:tcPr>
            <w:tcW w:w="993" w:type="dxa"/>
            <w:tcBorders>
              <w:top w:val="nil"/>
              <w:left w:val="nil"/>
              <w:bottom w:val="single" w:sz="4" w:space="0" w:color="auto"/>
              <w:right w:val="single" w:sz="4" w:space="0" w:color="auto"/>
            </w:tcBorders>
            <w:shd w:val="clear" w:color="auto" w:fill="auto"/>
            <w:noWrap/>
            <w:vAlign w:val="bottom"/>
            <w:hideMark/>
          </w:tcPr>
          <w:p w14:paraId="0A86765A" w14:textId="77777777" w:rsidR="0068280A" w:rsidRPr="004A6B9C" w:rsidRDefault="0068280A" w:rsidP="004A6B9C">
            <w:pPr>
              <w:spacing w:before="20" w:after="20"/>
              <w:jc w:val="right"/>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1304" w:type="dxa"/>
            <w:tcBorders>
              <w:top w:val="nil"/>
              <w:left w:val="nil"/>
              <w:bottom w:val="single" w:sz="4" w:space="0" w:color="auto"/>
              <w:right w:val="single" w:sz="4" w:space="0" w:color="auto"/>
            </w:tcBorders>
            <w:shd w:val="clear" w:color="auto" w:fill="auto"/>
            <w:noWrap/>
            <w:vAlign w:val="bottom"/>
            <w:hideMark/>
          </w:tcPr>
          <w:p w14:paraId="6377234D" w14:textId="77777777" w:rsidR="0068280A" w:rsidRPr="004A6B9C" w:rsidRDefault="0068280A" w:rsidP="004A6B9C">
            <w:pPr>
              <w:spacing w:before="20" w:after="20"/>
              <w:jc w:val="center"/>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bottom"/>
            <w:hideMark/>
          </w:tcPr>
          <w:p w14:paraId="6C921B2F"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C29CE97" w14:textId="2BD8CDA5"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AE73BB7"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03EAB28D"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260BC6" w:rsidRPr="004A6B9C" w14:paraId="3ABCC586" w14:textId="77777777"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FB264E" w14:textId="77777777" w:rsidR="0068280A" w:rsidRPr="004A6B9C" w:rsidRDefault="0068280A" w:rsidP="004A6B9C">
            <w:pPr>
              <w:spacing w:before="20" w:after="20"/>
              <w:ind w:left="-57" w:right="-57"/>
              <w:jc w:val="center"/>
              <w:rPr>
                <w:rFonts w:ascii="Calibri" w:hAnsi="Calibri" w:cs="Calibri"/>
                <w:color w:val="000000"/>
                <w:sz w:val="18"/>
                <w:szCs w:val="18"/>
              </w:rPr>
            </w:pPr>
            <w:r w:rsidRPr="004A6B9C">
              <w:rPr>
                <w:rFonts w:ascii="Calibri" w:hAnsi="Calibri" w:cs="Calibri"/>
                <w:color w:val="000000"/>
                <w:sz w:val="18"/>
                <w:szCs w:val="18"/>
              </w:rPr>
              <w:t>0167756</w:t>
            </w:r>
          </w:p>
        </w:tc>
        <w:tc>
          <w:tcPr>
            <w:tcW w:w="510" w:type="dxa"/>
            <w:tcBorders>
              <w:top w:val="nil"/>
              <w:left w:val="nil"/>
              <w:bottom w:val="single" w:sz="4" w:space="0" w:color="auto"/>
              <w:right w:val="single" w:sz="4" w:space="0" w:color="auto"/>
            </w:tcBorders>
            <w:shd w:val="clear" w:color="auto" w:fill="auto"/>
            <w:noWrap/>
            <w:vAlign w:val="center"/>
            <w:hideMark/>
          </w:tcPr>
          <w:p w14:paraId="17F93EB4"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4FE733FD"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27 686,79</w:t>
            </w:r>
          </w:p>
        </w:tc>
        <w:tc>
          <w:tcPr>
            <w:tcW w:w="1304" w:type="dxa"/>
            <w:tcBorders>
              <w:top w:val="nil"/>
              <w:left w:val="nil"/>
              <w:bottom w:val="single" w:sz="4" w:space="0" w:color="auto"/>
              <w:right w:val="single" w:sz="4" w:space="0" w:color="auto"/>
            </w:tcBorders>
            <w:shd w:val="clear" w:color="auto" w:fill="auto"/>
            <w:noWrap/>
            <w:vAlign w:val="center"/>
            <w:hideMark/>
          </w:tcPr>
          <w:p w14:paraId="73C25E61"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ÚVN</w:t>
            </w:r>
          </w:p>
        </w:tc>
        <w:tc>
          <w:tcPr>
            <w:tcW w:w="993" w:type="dxa"/>
            <w:tcBorders>
              <w:top w:val="nil"/>
              <w:left w:val="nil"/>
              <w:bottom w:val="single" w:sz="4" w:space="0" w:color="auto"/>
              <w:right w:val="single" w:sz="4" w:space="0" w:color="auto"/>
            </w:tcBorders>
            <w:shd w:val="clear" w:color="auto" w:fill="auto"/>
            <w:noWrap/>
            <w:vAlign w:val="bottom"/>
            <w:hideMark/>
          </w:tcPr>
          <w:p w14:paraId="02AB978B"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29 559,61</w:t>
            </w:r>
          </w:p>
        </w:tc>
        <w:tc>
          <w:tcPr>
            <w:tcW w:w="1304" w:type="dxa"/>
            <w:tcBorders>
              <w:top w:val="nil"/>
              <w:left w:val="nil"/>
              <w:bottom w:val="single" w:sz="4" w:space="0" w:color="auto"/>
              <w:right w:val="single" w:sz="4" w:space="0" w:color="auto"/>
            </w:tcBorders>
            <w:shd w:val="clear" w:color="auto" w:fill="auto"/>
            <w:noWrap/>
            <w:vAlign w:val="bottom"/>
            <w:hideMark/>
          </w:tcPr>
          <w:p w14:paraId="0BE15CFB"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07" w:type="dxa"/>
            <w:tcBorders>
              <w:top w:val="nil"/>
              <w:left w:val="nil"/>
              <w:bottom w:val="single" w:sz="4" w:space="0" w:color="auto"/>
              <w:right w:val="single" w:sz="4" w:space="0" w:color="auto"/>
            </w:tcBorders>
            <w:shd w:val="clear" w:color="auto" w:fill="auto"/>
            <w:noWrap/>
            <w:vAlign w:val="bottom"/>
            <w:hideMark/>
          </w:tcPr>
          <w:p w14:paraId="5FB8C67A"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1 872,82</w:t>
            </w:r>
          </w:p>
        </w:tc>
        <w:tc>
          <w:tcPr>
            <w:tcW w:w="737" w:type="dxa"/>
            <w:tcBorders>
              <w:top w:val="nil"/>
              <w:left w:val="nil"/>
              <w:bottom w:val="single" w:sz="4" w:space="0" w:color="auto"/>
              <w:right w:val="single" w:sz="4" w:space="0" w:color="auto"/>
            </w:tcBorders>
            <w:shd w:val="clear" w:color="auto" w:fill="auto"/>
            <w:noWrap/>
            <w:vAlign w:val="center"/>
            <w:hideMark/>
          </w:tcPr>
          <w:p w14:paraId="4EA3171E" w14:textId="37560909"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6,76</w:t>
            </w:r>
          </w:p>
        </w:tc>
        <w:tc>
          <w:tcPr>
            <w:tcW w:w="850" w:type="dxa"/>
            <w:tcBorders>
              <w:top w:val="nil"/>
              <w:left w:val="nil"/>
              <w:bottom w:val="single" w:sz="4" w:space="0" w:color="auto"/>
              <w:right w:val="single" w:sz="4" w:space="0" w:color="auto"/>
            </w:tcBorders>
            <w:shd w:val="clear" w:color="auto" w:fill="auto"/>
            <w:noWrap/>
            <w:vAlign w:val="center"/>
            <w:hideMark/>
          </w:tcPr>
          <w:p w14:paraId="61BABE87"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542C18B5"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260BC6" w:rsidRPr="004A6B9C" w14:paraId="551B2A82"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76F2837D"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50AB3C22"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542EC994"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26 483,02</w:t>
            </w:r>
          </w:p>
        </w:tc>
        <w:tc>
          <w:tcPr>
            <w:tcW w:w="1304" w:type="dxa"/>
            <w:tcBorders>
              <w:top w:val="nil"/>
              <w:left w:val="nil"/>
              <w:bottom w:val="single" w:sz="4" w:space="0" w:color="auto"/>
              <w:right w:val="single" w:sz="4" w:space="0" w:color="auto"/>
            </w:tcBorders>
            <w:shd w:val="clear" w:color="auto" w:fill="auto"/>
            <w:noWrap/>
            <w:vAlign w:val="center"/>
            <w:hideMark/>
          </w:tcPr>
          <w:p w14:paraId="21F81BD1"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ÚVN</w:t>
            </w:r>
          </w:p>
        </w:tc>
        <w:tc>
          <w:tcPr>
            <w:tcW w:w="993" w:type="dxa"/>
            <w:tcBorders>
              <w:top w:val="nil"/>
              <w:left w:val="nil"/>
              <w:bottom w:val="single" w:sz="4" w:space="0" w:color="auto"/>
              <w:right w:val="single" w:sz="4" w:space="0" w:color="auto"/>
            </w:tcBorders>
            <w:shd w:val="clear" w:color="auto" w:fill="auto"/>
            <w:noWrap/>
            <w:vAlign w:val="bottom"/>
            <w:hideMark/>
          </w:tcPr>
          <w:p w14:paraId="464FEDBA"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28 277,90</w:t>
            </w:r>
          </w:p>
        </w:tc>
        <w:tc>
          <w:tcPr>
            <w:tcW w:w="1304" w:type="dxa"/>
            <w:tcBorders>
              <w:top w:val="nil"/>
              <w:left w:val="nil"/>
              <w:bottom w:val="single" w:sz="4" w:space="0" w:color="auto"/>
              <w:right w:val="single" w:sz="4" w:space="0" w:color="auto"/>
            </w:tcBorders>
            <w:shd w:val="clear" w:color="auto" w:fill="auto"/>
            <w:noWrap/>
            <w:vAlign w:val="bottom"/>
            <w:hideMark/>
          </w:tcPr>
          <w:p w14:paraId="035FD962"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07" w:type="dxa"/>
            <w:tcBorders>
              <w:top w:val="nil"/>
              <w:left w:val="nil"/>
              <w:bottom w:val="single" w:sz="4" w:space="0" w:color="auto"/>
              <w:right w:val="single" w:sz="4" w:space="0" w:color="auto"/>
            </w:tcBorders>
            <w:shd w:val="clear" w:color="auto" w:fill="auto"/>
            <w:noWrap/>
            <w:vAlign w:val="bottom"/>
            <w:hideMark/>
          </w:tcPr>
          <w:p w14:paraId="0F232BCB"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1 794,89</w:t>
            </w:r>
          </w:p>
        </w:tc>
        <w:tc>
          <w:tcPr>
            <w:tcW w:w="737" w:type="dxa"/>
            <w:tcBorders>
              <w:top w:val="nil"/>
              <w:left w:val="nil"/>
              <w:bottom w:val="single" w:sz="4" w:space="0" w:color="auto"/>
              <w:right w:val="single" w:sz="4" w:space="0" w:color="auto"/>
            </w:tcBorders>
            <w:shd w:val="clear" w:color="auto" w:fill="auto"/>
            <w:noWrap/>
            <w:vAlign w:val="center"/>
            <w:hideMark/>
          </w:tcPr>
          <w:p w14:paraId="5353BE25" w14:textId="7AA56CCB"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6,78</w:t>
            </w:r>
          </w:p>
        </w:tc>
        <w:tc>
          <w:tcPr>
            <w:tcW w:w="850" w:type="dxa"/>
            <w:tcBorders>
              <w:top w:val="nil"/>
              <w:left w:val="nil"/>
              <w:bottom w:val="single" w:sz="4" w:space="0" w:color="auto"/>
              <w:right w:val="single" w:sz="4" w:space="0" w:color="auto"/>
            </w:tcBorders>
            <w:shd w:val="clear" w:color="auto" w:fill="auto"/>
            <w:noWrap/>
            <w:vAlign w:val="center"/>
            <w:hideMark/>
          </w:tcPr>
          <w:p w14:paraId="4EB28282"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314592BD"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260BC6" w:rsidRPr="004A6B9C" w14:paraId="1351CE38"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0E3AB2DE"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7CECA8DD"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1E172BA9"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26 483,02</w:t>
            </w:r>
          </w:p>
        </w:tc>
        <w:tc>
          <w:tcPr>
            <w:tcW w:w="1304" w:type="dxa"/>
            <w:tcBorders>
              <w:top w:val="nil"/>
              <w:left w:val="nil"/>
              <w:bottom w:val="single" w:sz="4" w:space="0" w:color="auto"/>
              <w:right w:val="single" w:sz="4" w:space="0" w:color="auto"/>
            </w:tcBorders>
            <w:shd w:val="clear" w:color="auto" w:fill="auto"/>
            <w:noWrap/>
            <w:vAlign w:val="center"/>
            <w:hideMark/>
          </w:tcPr>
          <w:p w14:paraId="79F2B228"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ÚVN</w:t>
            </w:r>
          </w:p>
        </w:tc>
        <w:tc>
          <w:tcPr>
            <w:tcW w:w="993" w:type="dxa"/>
            <w:tcBorders>
              <w:top w:val="nil"/>
              <w:left w:val="nil"/>
              <w:bottom w:val="single" w:sz="4" w:space="0" w:color="auto"/>
              <w:right w:val="single" w:sz="4" w:space="0" w:color="auto"/>
            </w:tcBorders>
            <w:shd w:val="clear" w:color="auto" w:fill="auto"/>
            <w:noWrap/>
            <w:vAlign w:val="bottom"/>
            <w:hideMark/>
          </w:tcPr>
          <w:p w14:paraId="6EA99879"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28 833,34</w:t>
            </w:r>
          </w:p>
        </w:tc>
        <w:tc>
          <w:tcPr>
            <w:tcW w:w="1304" w:type="dxa"/>
            <w:tcBorders>
              <w:top w:val="nil"/>
              <w:left w:val="nil"/>
              <w:bottom w:val="single" w:sz="4" w:space="0" w:color="auto"/>
              <w:right w:val="single" w:sz="4" w:space="0" w:color="auto"/>
            </w:tcBorders>
            <w:shd w:val="clear" w:color="auto" w:fill="auto"/>
            <w:noWrap/>
            <w:vAlign w:val="bottom"/>
            <w:hideMark/>
          </w:tcPr>
          <w:p w14:paraId="7B4B422E"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07" w:type="dxa"/>
            <w:tcBorders>
              <w:top w:val="nil"/>
              <w:left w:val="nil"/>
              <w:bottom w:val="single" w:sz="4" w:space="0" w:color="auto"/>
              <w:right w:val="single" w:sz="4" w:space="0" w:color="auto"/>
            </w:tcBorders>
            <w:shd w:val="clear" w:color="auto" w:fill="auto"/>
            <w:noWrap/>
            <w:vAlign w:val="bottom"/>
            <w:hideMark/>
          </w:tcPr>
          <w:p w14:paraId="1136D207"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2 350,32</w:t>
            </w:r>
          </w:p>
        </w:tc>
        <w:tc>
          <w:tcPr>
            <w:tcW w:w="737" w:type="dxa"/>
            <w:tcBorders>
              <w:top w:val="nil"/>
              <w:left w:val="nil"/>
              <w:bottom w:val="single" w:sz="4" w:space="0" w:color="auto"/>
              <w:right w:val="single" w:sz="4" w:space="0" w:color="auto"/>
            </w:tcBorders>
            <w:shd w:val="clear" w:color="auto" w:fill="auto"/>
            <w:noWrap/>
            <w:vAlign w:val="center"/>
            <w:hideMark/>
          </w:tcPr>
          <w:p w14:paraId="7F241EFF" w14:textId="374B8F5F"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8,87</w:t>
            </w:r>
          </w:p>
        </w:tc>
        <w:tc>
          <w:tcPr>
            <w:tcW w:w="850" w:type="dxa"/>
            <w:tcBorders>
              <w:top w:val="nil"/>
              <w:left w:val="nil"/>
              <w:bottom w:val="single" w:sz="4" w:space="0" w:color="auto"/>
              <w:right w:val="single" w:sz="4" w:space="0" w:color="auto"/>
            </w:tcBorders>
            <w:shd w:val="clear" w:color="auto" w:fill="auto"/>
            <w:noWrap/>
            <w:vAlign w:val="center"/>
            <w:hideMark/>
          </w:tcPr>
          <w:p w14:paraId="27C60F47"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7444ED55"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260BC6" w:rsidRPr="004A6B9C" w14:paraId="2FF11B16" w14:textId="77777777"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60E308" w14:textId="77777777" w:rsidR="0068280A" w:rsidRPr="004A6B9C" w:rsidRDefault="0068280A" w:rsidP="004A6B9C">
            <w:pPr>
              <w:spacing w:before="20" w:after="20"/>
              <w:ind w:left="-57" w:right="-57"/>
              <w:jc w:val="center"/>
              <w:rPr>
                <w:rFonts w:ascii="Calibri" w:hAnsi="Calibri" w:cs="Calibri"/>
                <w:color w:val="000000"/>
                <w:sz w:val="18"/>
                <w:szCs w:val="18"/>
              </w:rPr>
            </w:pPr>
            <w:r w:rsidRPr="004A6B9C">
              <w:rPr>
                <w:rFonts w:ascii="Calibri" w:hAnsi="Calibri" w:cs="Calibri"/>
                <w:color w:val="000000"/>
                <w:sz w:val="18"/>
                <w:szCs w:val="18"/>
              </w:rPr>
              <w:t>0193696</w:t>
            </w:r>
          </w:p>
        </w:tc>
        <w:tc>
          <w:tcPr>
            <w:tcW w:w="510" w:type="dxa"/>
            <w:tcBorders>
              <w:top w:val="nil"/>
              <w:left w:val="nil"/>
              <w:bottom w:val="single" w:sz="4" w:space="0" w:color="auto"/>
              <w:right w:val="single" w:sz="4" w:space="0" w:color="auto"/>
            </w:tcBorders>
            <w:shd w:val="clear" w:color="auto" w:fill="auto"/>
            <w:noWrap/>
            <w:vAlign w:val="center"/>
            <w:hideMark/>
          </w:tcPr>
          <w:p w14:paraId="53F27595"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1795C081"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24 463,96</w:t>
            </w:r>
          </w:p>
        </w:tc>
        <w:tc>
          <w:tcPr>
            <w:tcW w:w="1304" w:type="dxa"/>
            <w:tcBorders>
              <w:top w:val="nil"/>
              <w:left w:val="nil"/>
              <w:bottom w:val="single" w:sz="4" w:space="0" w:color="auto"/>
              <w:right w:val="single" w:sz="4" w:space="0" w:color="auto"/>
            </w:tcBorders>
            <w:shd w:val="clear" w:color="auto" w:fill="auto"/>
            <w:noWrap/>
            <w:vAlign w:val="center"/>
            <w:hideMark/>
          </w:tcPr>
          <w:p w14:paraId="6706D380"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ÚVN</w:t>
            </w:r>
          </w:p>
        </w:tc>
        <w:tc>
          <w:tcPr>
            <w:tcW w:w="993" w:type="dxa"/>
            <w:tcBorders>
              <w:top w:val="nil"/>
              <w:left w:val="nil"/>
              <w:bottom w:val="single" w:sz="4" w:space="0" w:color="auto"/>
              <w:right w:val="single" w:sz="4" w:space="0" w:color="auto"/>
            </w:tcBorders>
            <w:shd w:val="clear" w:color="auto" w:fill="auto"/>
            <w:noWrap/>
            <w:vAlign w:val="bottom"/>
            <w:hideMark/>
          </w:tcPr>
          <w:p w14:paraId="0BECD003" w14:textId="77777777" w:rsidR="0068280A" w:rsidRPr="004A6B9C" w:rsidRDefault="0068280A" w:rsidP="004A6B9C">
            <w:pPr>
              <w:spacing w:before="20" w:after="20"/>
              <w:jc w:val="right"/>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1304" w:type="dxa"/>
            <w:tcBorders>
              <w:top w:val="nil"/>
              <w:left w:val="nil"/>
              <w:bottom w:val="single" w:sz="4" w:space="0" w:color="auto"/>
              <w:right w:val="single" w:sz="4" w:space="0" w:color="auto"/>
            </w:tcBorders>
            <w:shd w:val="clear" w:color="auto" w:fill="auto"/>
            <w:noWrap/>
            <w:vAlign w:val="bottom"/>
            <w:hideMark/>
          </w:tcPr>
          <w:p w14:paraId="16F4B5E5" w14:textId="77777777" w:rsidR="0068280A" w:rsidRPr="004A6B9C" w:rsidRDefault="0068280A" w:rsidP="004A6B9C">
            <w:pPr>
              <w:spacing w:before="20" w:after="20"/>
              <w:jc w:val="center"/>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bottom"/>
            <w:hideMark/>
          </w:tcPr>
          <w:p w14:paraId="44F2CB83"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17638B5" w14:textId="68C81171"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14:paraId="1F6A429C"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w:t>
            </w:r>
          </w:p>
        </w:tc>
        <w:tc>
          <w:tcPr>
            <w:tcW w:w="964" w:type="dxa"/>
            <w:tcBorders>
              <w:top w:val="nil"/>
              <w:left w:val="nil"/>
              <w:bottom w:val="single" w:sz="4" w:space="0" w:color="auto"/>
              <w:right w:val="single" w:sz="4" w:space="0" w:color="auto"/>
            </w:tcBorders>
            <w:shd w:val="clear" w:color="auto" w:fill="auto"/>
            <w:noWrap/>
            <w:vAlign w:val="center"/>
            <w:hideMark/>
          </w:tcPr>
          <w:p w14:paraId="4A8A1FC1"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260BC6" w:rsidRPr="004A6B9C" w14:paraId="7B875964"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4FA8EB04"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1E4CD1FF"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0420D970"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22 643,16</w:t>
            </w:r>
          </w:p>
        </w:tc>
        <w:tc>
          <w:tcPr>
            <w:tcW w:w="1304" w:type="dxa"/>
            <w:tcBorders>
              <w:top w:val="nil"/>
              <w:left w:val="nil"/>
              <w:bottom w:val="single" w:sz="4" w:space="0" w:color="auto"/>
              <w:right w:val="single" w:sz="4" w:space="0" w:color="auto"/>
            </w:tcBorders>
            <w:shd w:val="clear" w:color="auto" w:fill="auto"/>
            <w:noWrap/>
            <w:vAlign w:val="center"/>
            <w:hideMark/>
          </w:tcPr>
          <w:p w14:paraId="7B426132"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ÚVN</w:t>
            </w:r>
          </w:p>
        </w:tc>
        <w:tc>
          <w:tcPr>
            <w:tcW w:w="993" w:type="dxa"/>
            <w:tcBorders>
              <w:top w:val="nil"/>
              <w:left w:val="nil"/>
              <w:bottom w:val="single" w:sz="4" w:space="0" w:color="auto"/>
              <w:right w:val="single" w:sz="4" w:space="0" w:color="auto"/>
            </w:tcBorders>
            <w:shd w:val="clear" w:color="auto" w:fill="auto"/>
            <w:noWrap/>
            <w:vAlign w:val="bottom"/>
            <w:hideMark/>
          </w:tcPr>
          <w:p w14:paraId="3C97AE41"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23 400,31</w:t>
            </w:r>
          </w:p>
        </w:tc>
        <w:tc>
          <w:tcPr>
            <w:tcW w:w="1304" w:type="dxa"/>
            <w:tcBorders>
              <w:top w:val="nil"/>
              <w:left w:val="nil"/>
              <w:bottom w:val="single" w:sz="4" w:space="0" w:color="auto"/>
              <w:right w:val="single" w:sz="4" w:space="0" w:color="auto"/>
            </w:tcBorders>
            <w:shd w:val="clear" w:color="auto" w:fill="auto"/>
            <w:noWrap/>
            <w:vAlign w:val="bottom"/>
            <w:hideMark/>
          </w:tcPr>
          <w:p w14:paraId="2204CD74"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07" w:type="dxa"/>
            <w:tcBorders>
              <w:top w:val="nil"/>
              <w:left w:val="nil"/>
              <w:bottom w:val="single" w:sz="4" w:space="0" w:color="auto"/>
              <w:right w:val="single" w:sz="4" w:space="0" w:color="auto"/>
            </w:tcBorders>
            <w:shd w:val="clear" w:color="auto" w:fill="auto"/>
            <w:noWrap/>
            <w:vAlign w:val="bottom"/>
            <w:hideMark/>
          </w:tcPr>
          <w:p w14:paraId="2D4AACD0"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757,15</w:t>
            </w:r>
          </w:p>
        </w:tc>
        <w:tc>
          <w:tcPr>
            <w:tcW w:w="737" w:type="dxa"/>
            <w:tcBorders>
              <w:top w:val="nil"/>
              <w:left w:val="nil"/>
              <w:bottom w:val="single" w:sz="4" w:space="0" w:color="auto"/>
              <w:right w:val="single" w:sz="4" w:space="0" w:color="auto"/>
            </w:tcBorders>
            <w:shd w:val="clear" w:color="auto" w:fill="auto"/>
            <w:noWrap/>
            <w:vAlign w:val="center"/>
            <w:hideMark/>
          </w:tcPr>
          <w:p w14:paraId="24D480F4" w14:textId="5E520566"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3,34</w:t>
            </w:r>
          </w:p>
        </w:tc>
        <w:tc>
          <w:tcPr>
            <w:tcW w:w="850" w:type="dxa"/>
            <w:tcBorders>
              <w:top w:val="nil"/>
              <w:left w:val="nil"/>
              <w:bottom w:val="single" w:sz="4" w:space="0" w:color="auto"/>
              <w:right w:val="single" w:sz="4" w:space="0" w:color="auto"/>
            </w:tcBorders>
            <w:shd w:val="clear" w:color="auto" w:fill="auto"/>
            <w:noWrap/>
            <w:vAlign w:val="center"/>
            <w:hideMark/>
          </w:tcPr>
          <w:p w14:paraId="0763DEDF"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w:t>
            </w:r>
          </w:p>
        </w:tc>
        <w:tc>
          <w:tcPr>
            <w:tcW w:w="964" w:type="dxa"/>
            <w:tcBorders>
              <w:top w:val="nil"/>
              <w:left w:val="nil"/>
              <w:bottom w:val="single" w:sz="4" w:space="0" w:color="auto"/>
              <w:right w:val="single" w:sz="4" w:space="0" w:color="auto"/>
            </w:tcBorders>
            <w:shd w:val="clear" w:color="auto" w:fill="auto"/>
            <w:noWrap/>
            <w:vAlign w:val="center"/>
            <w:hideMark/>
          </w:tcPr>
          <w:p w14:paraId="1D69B667"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4A6B9C" w:rsidRPr="004A6B9C" w14:paraId="1356C6F8" w14:textId="77777777"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14:paraId="127D5894" w14:textId="77777777" w:rsidR="0068280A" w:rsidRPr="004A6B9C" w:rsidRDefault="0068280A" w:rsidP="004A6B9C">
            <w:pPr>
              <w:spacing w:before="20" w:after="20"/>
              <w:ind w:left="-57" w:right="-57"/>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6DBBD3FE"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59C0BA3F"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21 649,11</w:t>
            </w:r>
          </w:p>
        </w:tc>
        <w:tc>
          <w:tcPr>
            <w:tcW w:w="1304" w:type="dxa"/>
            <w:tcBorders>
              <w:top w:val="nil"/>
              <w:left w:val="nil"/>
              <w:bottom w:val="single" w:sz="4" w:space="0" w:color="auto"/>
              <w:right w:val="single" w:sz="4" w:space="0" w:color="auto"/>
            </w:tcBorders>
            <w:shd w:val="clear" w:color="auto" w:fill="auto"/>
            <w:noWrap/>
            <w:vAlign w:val="center"/>
            <w:hideMark/>
          </w:tcPr>
          <w:p w14:paraId="51B5F035"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FNM, ÚVN</w:t>
            </w:r>
          </w:p>
        </w:tc>
        <w:tc>
          <w:tcPr>
            <w:tcW w:w="993" w:type="dxa"/>
            <w:tcBorders>
              <w:top w:val="nil"/>
              <w:left w:val="nil"/>
              <w:bottom w:val="single" w:sz="4" w:space="0" w:color="auto"/>
              <w:right w:val="single" w:sz="4" w:space="0" w:color="auto"/>
            </w:tcBorders>
            <w:shd w:val="clear" w:color="auto" w:fill="auto"/>
            <w:noWrap/>
            <w:vAlign w:val="bottom"/>
            <w:hideMark/>
          </w:tcPr>
          <w:p w14:paraId="4BCCFB9E"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22 643,17</w:t>
            </w:r>
          </w:p>
        </w:tc>
        <w:tc>
          <w:tcPr>
            <w:tcW w:w="1304" w:type="dxa"/>
            <w:tcBorders>
              <w:top w:val="nil"/>
              <w:left w:val="nil"/>
              <w:bottom w:val="single" w:sz="4" w:space="0" w:color="auto"/>
              <w:right w:val="single" w:sz="4" w:space="0" w:color="auto"/>
            </w:tcBorders>
            <w:shd w:val="clear" w:color="auto" w:fill="auto"/>
            <w:noWrap/>
            <w:vAlign w:val="bottom"/>
            <w:hideMark/>
          </w:tcPr>
          <w:p w14:paraId="11DDB87D" w14:textId="77777777" w:rsidR="0068280A" w:rsidRPr="004A6B9C" w:rsidRDefault="0068280A"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ÚVN</w:t>
            </w:r>
          </w:p>
        </w:tc>
        <w:tc>
          <w:tcPr>
            <w:tcW w:w="907" w:type="dxa"/>
            <w:tcBorders>
              <w:top w:val="nil"/>
              <w:left w:val="nil"/>
              <w:bottom w:val="single" w:sz="4" w:space="0" w:color="auto"/>
              <w:right w:val="single" w:sz="4" w:space="0" w:color="auto"/>
            </w:tcBorders>
            <w:shd w:val="clear" w:color="auto" w:fill="auto"/>
            <w:noWrap/>
            <w:vAlign w:val="bottom"/>
            <w:hideMark/>
          </w:tcPr>
          <w:p w14:paraId="01FB4FF5" w14:textId="77777777" w:rsidR="0068280A" w:rsidRPr="004A6B9C" w:rsidRDefault="0068280A"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994,06</w:t>
            </w:r>
          </w:p>
        </w:tc>
        <w:tc>
          <w:tcPr>
            <w:tcW w:w="737" w:type="dxa"/>
            <w:tcBorders>
              <w:top w:val="nil"/>
              <w:left w:val="nil"/>
              <w:bottom w:val="single" w:sz="4" w:space="0" w:color="auto"/>
              <w:right w:val="single" w:sz="4" w:space="0" w:color="auto"/>
            </w:tcBorders>
            <w:shd w:val="clear" w:color="auto" w:fill="auto"/>
            <w:noWrap/>
            <w:vAlign w:val="center"/>
            <w:hideMark/>
          </w:tcPr>
          <w:p w14:paraId="2137147E" w14:textId="0BA602BC" w:rsidR="0068280A" w:rsidRPr="004A6B9C" w:rsidRDefault="0068280A"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4,59</w:t>
            </w:r>
          </w:p>
        </w:tc>
        <w:tc>
          <w:tcPr>
            <w:tcW w:w="850" w:type="dxa"/>
            <w:tcBorders>
              <w:top w:val="nil"/>
              <w:left w:val="nil"/>
              <w:bottom w:val="single" w:sz="4" w:space="0" w:color="auto"/>
              <w:right w:val="single" w:sz="4" w:space="0" w:color="auto"/>
            </w:tcBorders>
            <w:shd w:val="clear" w:color="auto" w:fill="auto"/>
            <w:noWrap/>
            <w:vAlign w:val="center"/>
            <w:hideMark/>
          </w:tcPr>
          <w:p w14:paraId="5919D8E0"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nil"/>
              <w:left w:val="nil"/>
              <w:bottom w:val="single" w:sz="4" w:space="0" w:color="auto"/>
              <w:right w:val="single" w:sz="4" w:space="0" w:color="auto"/>
            </w:tcBorders>
            <w:shd w:val="clear" w:color="auto" w:fill="auto"/>
            <w:noWrap/>
            <w:vAlign w:val="center"/>
            <w:hideMark/>
          </w:tcPr>
          <w:p w14:paraId="4FA1F592" w14:textId="77777777" w:rsidR="0068280A" w:rsidRPr="004A6B9C" w:rsidRDefault="0068280A"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4A6B9C" w:rsidRPr="004A6B9C" w14:paraId="308C692D" w14:textId="77777777" w:rsidTr="009D6C3F">
        <w:trPr>
          <w:trHeight w:val="227"/>
        </w:trPr>
        <w:tc>
          <w:tcPr>
            <w:tcW w:w="737" w:type="dxa"/>
            <w:vMerge w:val="restart"/>
            <w:tcBorders>
              <w:top w:val="single" w:sz="4" w:space="0" w:color="auto"/>
              <w:left w:val="single" w:sz="4" w:space="0" w:color="auto"/>
              <w:right w:val="single" w:sz="4" w:space="0" w:color="auto"/>
            </w:tcBorders>
            <w:vAlign w:val="center"/>
          </w:tcPr>
          <w:p w14:paraId="242E5F21" w14:textId="14D8B9F0" w:rsidR="004A6B9C" w:rsidRPr="004A6B9C" w:rsidRDefault="004A6B9C" w:rsidP="004A6B9C">
            <w:pPr>
              <w:spacing w:before="20" w:after="20"/>
              <w:ind w:left="-57" w:right="-57"/>
              <w:rPr>
                <w:rFonts w:ascii="Calibri" w:hAnsi="Calibri" w:cs="Calibri"/>
                <w:color w:val="000000"/>
                <w:sz w:val="18"/>
                <w:szCs w:val="18"/>
              </w:rPr>
            </w:pPr>
            <w:r w:rsidRPr="004A6B9C">
              <w:rPr>
                <w:rFonts w:ascii="Calibri" w:hAnsi="Calibri" w:cs="Calibri"/>
                <w:color w:val="000000"/>
                <w:sz w:val="18"/>
                <w:szCs w:val="18"/>
              </w:rPr>
              <w:t>0194345</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22043069" w14:textId="62121D33"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2015</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15C1E132" w14:textId="6BF722F0"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9 627,85</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49E905B8" w14:textId="0304433B"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B8D336C" w14:textId="5593F397"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11 454,69</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42FA65F7" w14:textId="27F4DACD"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1B268342" w14:textId="777AA703"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1 826,84</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2F863C3E" w14:textId="7AC39041"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18,97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BC1D204" w14:textId="624C0483"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65A2C5D5" w14:textId="1955F1C1"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4A6B9C" w:rsidRPr="004A6B9C" w14:paraId="03AF7041" w14:textId="77777777" w:rsidTr="009D6C3F">
        <w:trPr>
          <w:trHeight w:val="227"/>
        </w:trPr>
        <w:tc>
          <w:tcPr>
            <w:tcW w:w="737" w:type="dxa"/>
            <w:vMerge/>
            <w:tcBorders>
              <w:left w:val="single" w:sz="4" w:space="0" w:color="auto"/>
              <w:bottom w:val="single" w:sz="4" w:space="0" w:color="auto"/>
              <w:right w:val="single" w:sz="4" w:space="0" w:color="auto"/>
            </w:tcBorders>
            <w:vAlign w:val="center"/>
          </w:tcPr>
          <w:p w14:paraId="3DB6A93D" w14:textId="77777777" w:rsidR="004A6B9C" w:rsidRPr="004A6B9C" w:rsidRDefault="004A6B9C" w:rsidP="004A6B9C">
            <w:pPr>
              <w:spacing w:before="20" w:after="20"/>
              <w:ind w:left="-57" w:right="-57"/>
              <w:rPr>
                <w:rFonts w:ascii="Calibri" w:hAnsi="Calibri" w:cs="Calibri"/>
                <w:color w:val="000000"/>
                <w:sz w:val="18"/>
                <w:szCs w:val="18"/>
              </w:rPr>
            </w:pP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23875165" w14:textId="11283CA0"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194A4711" w14:textId="4FAA92DA"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8 909,25</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51951391" w14:textId="5DD08F08"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F1C8AF3" w14:textId="250C1DF1"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9 878,18</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650B6DFB" w14:textId="5CE57FF0"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028730FF" w14:textId="6B6A0EC6"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968,93</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176F4EF3" w14:textId="3B820307"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10,88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4348F7B" w14:textId="6198FC69"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0F712BF1" w14:textId="45182FFF"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r>
      <w:tr w:rsidR="004A6B9C" w:rsidRPr="004A6B9C" w14:paraId="196D0321" w14:textId="77777777" w:rsidTr="009D6C3F">
        <w:trPr>
          <w:trHeight w:val="227"/>
        </w:trPr>
        <w:tc>
          <w:tcPr>
            <w:tcW w:w="737" w:type="dxa"/>
            <w:vMerge w:val="restart"/>
            <w:tcBorders>
              <w:top w:val="single" w:sz="4" w:space="0" w:color="auto"/>
              <w:left w:val="single" w:sz="4" w:space="0" w:color="auto"/>
              <w:right w:val="single" w:sz="4" w:space="0" w:color="auto"/>
            </w:tcBorders>
            <w:vAlign w:val="center"/>
          </w:tcPr>
          <w:p w14:paraId="6EF35B1C" w14:textId="1AA26A45" w:rsidR="004A6B9C" w:rsidRPr="004A6B9C" w:rsidRDefault="004A6B9C" w:rsidP="004A6B9C">
            <w:pPr>
              <w:spacing w:before="20" w:after="20"/>
              <w:ind w:left="-57" w:right="-57"/>
              <w:rPr>
                <w:rFonts w:ascii="Calibri" w:hAnsi="Calibri" w:cs="Calibri"/>
                <w:color w:val="000000"/>
                <w:sz w:val="18"/>
                <w:szCs w:val="18"/>
              </w:rPr>
            </w:pPr>
            <w:r w:rsidRPr="004A6B9C">
              <w:rPr>
                <w:rFonts w:ascii="Calibri" w:hAnsi="Calibri" w:cs="Calibri"/>
                <w:color w:val="000000"/>
                <w:sz w:val="18"/>
                <w:szCs w:val="18"/>
              </w:rPr>
              <w:t>0194569</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08FB3DB5" w14:textId="4BF61A09"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2015</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297AF809" w14:textId="3B51A14A"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21 783,84</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6D8A3C58" w14:textId="45A55B70"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FNM</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B39FC52" w14:textId="73B1C36E"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23 424,48</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2A91B579" w14:textId="05A35ACF"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FNM, ÚVN</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32EBBB26" w14:textId="66DF76D0"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1 640,64</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187772A1" w14:textId="05BAEF4D"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7,53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9754B74" w14:textId="4DA309FE"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63DC671F" w14:textId="02C339D5"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4A6B9C" w:rsidRPr="004A6B9C" w14:paraId="68E11FA4" w14:textId="77777777" w:rsidTr="009D6C3F">
        <w:trPr>
          <w:trHeight w:val="227"/>
        </w:trPr>
        <w:tc>
          <w:tcPr>
            <w:tcW w:w="737" w:type="dxa"/>
            <w:vMerge/>
            <w:tcBorders>
              <w:left w:val="single" w:sz="4" w:space="0" w:color="auto"/>
              <w:bottom w:val="single" w:sz="4" w:space="0" w:color="auto"/>
              <w:right w:val="single" w:sz="4" w:space="0" w:color="auto"/>
            </w:tcBorders>
            <w:vAlign w:val="center"/>
          </w:tcPr>
          <w:p w14:paraId="0C6A04D2" w14:textId="77777777" w:rsidR="004A6B9C" w:rsidRPr="004A6B9C" w:rsidRDefault="004A6B9C" w:rsidP="004A6B9C">
            <w:pPr>
              <w:spacing w:before="20" w:after="20"/>
              <w:ind w:left="-57" w:right="-57"/>
              <w:rPr>
                <w:rFonts w:ascii="Calibri" w:hAnsi="Calibri" w:cs="Calibri"/>
                <w:color w:val="000000"/>
                <w:sz w:val="18"/>
                <w:szCs w:val="18"/>
              </w:rPr>
            </w:pP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5A47AB27" w14:textId="168E4AB7"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0A7DE039" w14:textId="6BD51A02"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21 783,84</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1A0F9126" w14:textId="6953B32A"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FNM, ÚVN</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240193F" w14:textId="4B0D3696" w:rsidR="004A6B9C" w:rsidRPr="004A6B9C" w:rsidRDefault="004A6B9C" w:rsidP="004A6B9C">
            <w:pPr>
              <w:spacing w:before="20" w:after="20"/>
              <w:jc w:val="right"/>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501579CD" w14:textId="54F3FAA6" w:rsidR="004A6B9C" w:rsidRPr="004A6B9C" w:rsidRDefault="004A6B9C" w:rsidP="004A6B9C">
            <w:pPr>
              <w:spacing w:before="20" w:after="20"/>
              <w:jc w:val="center"/>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62EE873C" w14:textId="2EE38A32"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0</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73C6F9DC" w14:textId="6F7B0296"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36C70CC" w14:textId="3A6925C5"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62300FF5" w14:textId="6EDABB0C"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4A6B9C" w:rsidRPr="004A6B9C" w14:paraId="20AB5BEE" w14:textId="77777777" w:rsidTr="009D6C3F">
        <w:trPr>
          <w:trHeight w:val="227"/>
        </w:trPr>
        <w:tc>
          <w:tcPr>
            <w:tcW w:w="737" w:type="dxa"/>
            <w:vMerge w:val="restart"/>
            <w:tcBorders>
              <w:top w:val="single" w:sz="4" w:space="0" w:color="auto"/>
              <w:left w:val="single" w:sz="4" w:space="0" w:color="auto"/>
              <w:right w:val="single" w:sz="4" w:space="0" w:color="auto"/>
            </w:tcBorders>
            <w:vAlign w:val="center"/>
          </w:tcPr>
          <w:p w14:paraId="4B5EAA49" w14:textId="7B5CEA8C" w:rsidR="004A6B9C" w:rsidRPr="004A6B9C" w:rsidRDefault="004A6B9C" w:rsidP="004A6B9C">
            <w:pPr>
              <w:spacing w:before="20" w:after="20"/>
              <w:ind w:left="-57" w:right="-57"/>
              <w:rPr>
                <w:rFonts w:ascii="Calibri" w:hAnsi="Calibri" w:cs="Calibri"/>
                <w:color w:val="000000"/>
                <w:sz w:val="18"/>
                <w:szCs w:val="18"/>
              </w:rPr>
            </w:pPr>
            <w:r w:rsidRPr="004A6B9C">
              <w:rPr>
                <w:rFonts w:ascii="Calibri" w:hAnsi="Calibri" w:cs="Calibri"/>
                <w:color w:val="000000"/>
                <w:sz w:val="18"/>
                <w:szCs w:val="18"/>
              </w:rPr>
              <w:t>0194770</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09B78851" w14:textId="5846BC4F"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2015</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60F53E13" w14:textId="2CB313C4"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337 003,04</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3B5B5703" w14:textId="6D0A23B6"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FNM</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A25EE73" w14:textId="3908F155"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421 253,80</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5C397BE1" w14:textId="271F193B"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ÚVN</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2452593B" w14:textId="6F17AD9E"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84 250,76</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0635F4E5" w14:textId="5D1F155F"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25,00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F009B1B" w14:textId="309CD1E2"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354B3134" w14:textId="0B2C9835"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4A6B9C" w:rsidRPr="004A6B9C" w14:paraId="17390D51" w14:textId="77777777" w:rsidTr="009D6C3F">
        <w:trPr>
          <w:trHeight w:val="227"/>
        </w:trPr>
        <w:tc>
          <w:tcPr>
            <w:tcW w:w="737" w:type="dxa"/>
            <w:vMerge/>
            <w:tcBorders>
              <w:left w:val="single" w:sz="4" w:space="0" w:color="auto"/>
              <w:bottom w:val="single" w:sz="4" w:space="0" w:color="auto"/>
              <w:right w:val="single" w:sz="4" w:space="0" w:color="auto"/>
            </w:tcBorders>
            <w:vAlign w:val="center"/>
          </w:tcPr>
          <w:p w14:paraId="3B47365B" w14:textId="77777777" w:rsidR="004A6B9C" w:rsidRPr="004A6B9C" w:rsidRDefault="004A6B9C" w:rsidP="004A6B9C">
            <w:pPr>
              <w:spacing w:before="20" w:after="20"/>
              <w:ind w:left="-57" w:right="-57"/>
              <w:rPr>
                <w:rFonts w:ascii="Calibri" w:hAnsi="Calibri" w:cs="Calibri"/>
                <w:color w:val="000000"/>
                <w:sz w:val="18"/>
                <w:szCs w:val="18"/>
              </w:rPr>
            </w:pP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35FD223E" w14:textId="48D7D935"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4B176E8D" w14:textId="1BB4A9B0"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337 003,04</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5CF902BE" w14:textId="7CDE79D5"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ÚVN</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7EB25F6" w14:textId="7DF4E9B8"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406 032,19</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731C40A1" w14:textId="37B73619"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 ÚVN</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1DE860C5" w14:textId="0AA33979"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69 029,15</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76D517D7" w14:textId="0C83D879"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20,48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8008EBC" w14:textId="6AF4F873"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7870B768" w14:textId="52EC551A"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4A6B9C" w:rsidRPr="004A6B9C" w14:paraId="5E3FEAF0" w14:textId="77777777" w:rsidTr="009D6C3F">
        <w:trPr>
          <w:trHeight w:val="227"/>
        </w:trPr>
        <w:tc>
          <w:tcPr>
            <w:tcW w:w="737" w:type="dxa"/>
            <w:vMerge w:val="restart"/>
            <w:tcBorders>
              <w:top w:val="single" w:sz="4" w:space="0" w:color="auto"/>
              <w:left w:val="single" w:sz="4" w:space="0" w:color="auto"/>
              <w:right w:val="single" w:sz="4" w:space="0" w:color="auto"/>
            </w:tcBorders>
            <w:vAlign w:val="center"/>
          </w:tcPr>
          <w:p w14:paraId="2128336C" w14:textId="2E7016F4" w:rsidR="004A6B9C" w:rsidRPr="004A6B9C" w:rsidRDefault="004A6B9C" w:rsidP="004A6B9C">
            <w:pPr>
              <w:spacing w:before="20" w:after="20"/>
              <w:ind w:left="-57" w:right="-57"/>
              <w:rPr>
                <w:rFonts w:ascii="Calibri" w:hAnsi="Calibri" w:cs="Calibri"/>
                <w:color w:val="000000"/>
                <w:sz w:val="18"/>
                <w:szCs w:val="18"/>
              </w:rPr>
            </w:pPr>
            <w:r w:rsidRPr="004A6B9C">
              <w:rPr>
                <w:rFonts w:ascii="Calibri" w:hAnsi="Calibri" w:cs="Calibri"/>
                <w:color w:val="000000"/>
                <w:sz w:val="18"/>
                <w:szCs w:val="18"/>
              </w:rPr>
              <w:t>0210118</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1E4975F7" w14:textId="4F89B411"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2015</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033F37A6" w14:textId="70CDC00C"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126 675,20</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2B468BE6" w14:textId="204D7E54"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FNM, ÚVN</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C71B54F" w14:textId="57F41AA1" w:rsidR="004A6B9C" w:rsidRPr="004A6B9C" w:rsidRDefault="004A6B9C" w:rsidP="004A6B9C">
            <w:pPr>
              <w:spacing w:before="20" w:after="20"/>
              <w:jc w:val="right"/>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41457A1E" w14:textId="4AAE8295" w:rsidR="004A6B9C" w:rsidRPr="004A6B9C" w:rsidRDefault="004A6B9C" w:rsidP="004A6B9C">
            <w:pPr>
              <w:spacing w:before="20" w:after="20"/>
              <w:jc w:val="center"/>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216AADF6" w14:textId="23D45DC8"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0</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14A080C6" w14:textId="39145035"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C78ED91" w14:textId="1CFC0577"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763EB202" w14:textId="0B6A67DF"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4A6B9C" w:rsidRPr="004A6B9C" w14:paraId="7FBBBA6D" w14:textId="77777777" w:rsidTr="009D6C3F">
        <w:trPr>
          <w:trHeight w:val="227"/>
        </w:trPr>
        <w:tc>
          <w:tcPr>
            <w:tcW w:w="737" w:type="dxa"/>
            <w:vMerge/>
            <w:tcBorders>
              <w:left w:val="single" w:sz="4" w:space="0" w:color="auto"/>
              <w:bottom w:val="single" w:sz="4" w:space="0" w:color="auto"/>
              <w:right w:val="single" w:sz="4" w:space="0" w:color="auto"/>
            </w:tcBorders>
            <w:vAlign w:val="center"/>
          </w:tcPr>
          <w:p w14:paraId="28028E04" w14:textId="77777777" w:rsidR="004A6B9C" w:rsidRPr="004A6B9C" w:rsidRDefault="004A6B9C" w:rsidP="004A6B9C">
            <w:pPr>
              <w:spacing w:before="20" w:after="20"/>
              <w:ind w:left="-57" w:right="-57"/>
              <w:rPr>
                <w:rFonts w:ascii="Calibri" w:hAnsi="Calibri" w:cs="Calibri"/>
                <w:color w:val="000000"/>
                <w:sz w:val="18"/>
                <w:szCs w:val="18"/>
              </w:rPr>
            </w:pP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050F01BA" w14:textId="0C1F8DFD"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2BC200FB" w14:textId="3196CA53"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101 338,91</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4CAC70CE" w14:textId="00DC9A76"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E705D97" w14:textId="2A1E5F36"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126 675,20</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07C319AA" w14:textId="6A3752E3"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62BC3DE3" w14:textId="6773C39D"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25 336,29</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6A9F10F8" w14:textId="5B55C836"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25,00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35ADC52" w14:textId="0E579D55"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7FC33B02" w14:textId="523B7216"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w:t>
            </w:r>
          </w:p>
        </w:tc>
      </w:tr>
      <w:tr w:rsidR="004A6B9C" w:rsidRPr="004A6B9C" w14:paraId="14133C08" w14:textId="77777777" w:rsidTr="009D6C3F">
        <w:trPr>
          <w:trHeight w:val="227"/>
        </w:trPr>
        <w:tc>
          <w:tcPr>
            <w:tcW w:w="737" w:type="dxa"/>
            <w:vMerge w:val="restart"/>
            <w:tcBorders>
              <w:top w:val="single" w:sz="4" w:space="0" w:color="auto"/>
              <w:left w:val="single" w:sz="4" w:space="0" w:color="auto"/>
              <w:right w:val="single" w:sz="4" w:space="0" w:color="auto"/>
            </w:tcBorders>
            <w:vAlign w:val="center"/>
          </w:tcPr>
          <w:p w14:paraId="62ABD768" w14:textId="7BCDE4CA" w:rsidR="004A6B9C" w:rsidRPr="004A6B9C" w:rsidRDefault="004A6B9C" w:rsidP="004A6B9C">
            <w:pPr>
              <w:spacing w:before="20" w:after="20"/>
              <w:ind w:left="-57" w:right="-57"/>
              <w:rPr>
                <w:rFonts w:ascii="Calibri" w:hAnsi="Calibri" w:cs="Calibri"/>
                <w:color w:val="000000"/>
                <w:sz w:val="18"/>
                <w:szCs w:val="18"/>
              </w:rPr>
            </w:pPr>
            <w:r w:rsidRPr="004A6B9C">
              <w:rPr>
                <w:rFonts w:ascii="Calibri" w:hAnsi="Calibri" w:cs="Calibri"/>
                <w:color w:val="000000"/>
                <w:sz w:val="18"/>
                <w:szCs w:val="18"/>
              </w:rPr>
              <w:t>0210201</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7573A032" w14:textId="4D949646"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2015</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6FD5A22F" w14:textId="5855E4ED"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380 842,88</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71BBE75F" w14:textId="723C4EB5"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0A822EB" w14:textId="0EA46434"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476 053,60</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5D507181" w14:textId="53A4C87A"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ÚVN</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721F3D6C" w14:textId="73ABC2E3"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95 210,72</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33845717" w14:textId="04EE99FC"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25,00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70DD4C2" w14:textId="54DF6CBF"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68A81AA6" w14:textId="1A5BB29B"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4A6B9C" w:rsidRPr="004A6B9C" w14:paraId="2F7151C0" w14:textId="77777777" w:rsidTr="009D6C3F">
        <w:trPr>
          <w:trHeight w:val="227"/>
        </w:trPr>
        <w:tc>
          <w:tcPr>
            <w:tcW w:w="737" w:type="dxa"/>
            <w:vMerge/>
            <w:tcBorders>
              <w:left w:val="single" w:sz="4" w:space="0" w:color="auto"/>
              <w:bottom w:val="single" w:sz="4" w:space="0" w:color="auto"/>
              <w:right w:val="single" w:sz="4" w:space="0" w:color="auto"/>
            </w:tcBorders>
            <w:vAlign w:val="center"/>
          </w:tcPr>
          <w:p w14:paraId="6E131217" w14:textId="77777777" w:rsidR="004A6B9C" w:rsidRPr="004A6B9C" w:rsidRDefault="004A6B9C" w:rsidP="004A6B9C">
            <w:pPr>
              <w:spacing w:before="20" w:after="20"/>
              <w:ind w:left="-57" w:right="-57"/>
              <w:rPr>
                <w:rFonts w:ascii="Calibri" w:hAnsi="Calibri" w:cs="Calibri"/>
                <w:color w:val="000000"/>
                <w:sz w:val="18"/>
                <w:szCs w:val="18"/>
              </w:rPr>
            </w:pP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6CA9FA28" w14:textId="4ADFA845"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4FEECFD5" w14:textId="01472F3E"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483 112,67</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17A80F99" w14:textId="22EC1EA3"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FNM</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56B25AB" w14:textId="57602722" w:rsidR="004A6B9C" w:rsidRPr="004A6B9C" w:rsidRDefault="004A6B9C" w:rsidP="004A6B9C">
            <w:pPr>
              <w:spacing w:before="20" w:after="20"/>
              <w:jc w:val="right"/>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1A90D6BB" w14:textId="1ECA397A" w:rsidR="004A6B9C" w:rsidRPr="004A6B9C" w:rsidRDefault="004A6B9C" w:rsidP="004A6B9C">
            <w:pPr>
              <w:spacing w:before="20" w:after="20"/>
              <w:jc w:val="center"/>
              <w:rPr>
                <w:rFonts w:ascii="Calibri" w:hAnsi="Calibri" w:cs="Calibri"/>
                <w:color w:val="000000"/>
                <w:sz w:val="18"/>
                <w:szCs w:val="18"/>
              </w:rPr>
            </w:pPr>
            <w:proofErr w:type="spellStart"/>
            <w:r w:rsidRPr="004A6B9C">
              <w:rPr>
                <w:rFonts w:ascii="Calibri" w:hAnsi="Calibri" w:cs="Calibri"/>
                <w:color w:val="000000"/>
                <w:sz w:val="18"/>
                <w:szCs w:val="18"/>
              </w:rPr>
              <w:t>xx</w:t>
            </w:r>
            <w:proofErr w:type="spellEnd"/>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418A93F5" w14:textId="4F0BD1B0"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0</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7C5AF78A" w14:textId="50960E45"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8D76BA8" w14:textId="067C8F0D"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0B49F60F" w14:textId="73889899"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w:t>
            </w:r>
          </w:p>
        </w:tc>
      </w:tr>
      <w:tr w:rsidR="004A6B9C" w:rsidRPr="004A6B9C" w14:paraId="0495ED55" w14:textId="77777777" w:rsidTr="009D6C3F">
        <w:trPr>
          <w:trHeight w:val="227"/>
        </w:trPr>
        <w:tc>
          <w:tcPr>
            <w:tcW w:w="737" w:type="dxa"/>
            <w:tcBorders>
              <w:top w:val="single" w:sz="4" w:space="0" w:color="auto"/>
              <w:left w:val="single" w:sz="4" w:space="0" w:color="auto"/>
              <w:bottom w:val="single" w:sz="4" w:space="0" w:color="auto"/>
              <w:right w:val="single" w:sz="4" w:space="0" w:color="auto"/>
            </w:tcBorders>
            <w:vAlign w:val="center"/>
          </w:tcPr>
          <w:p w14:paraId="3B08D804" w14:textId="507E1134" w:rsidR="004A6B9C" w:rsidRPr="004A6B9C" w:rsidRDefault="004A6B9C" w:rsidP="004A6B9C">
            <w:pPr>
              <w:spacing w:before="20" w:after="20"/>
              <w:ind w:left="-57" w:right="-57"/>
              <w:rPr>
                <w:rFonts w:ascii="Calibri" w:hAnsi="Calibri" w:cs="Calibri"/>
                <w:color w:val="000000"/>
                <w:sz w:val="18"/>
                <w:szCs w:val="18"/>
              </w:rPr>
            </w:pPr>
            <w:r w:rsidRPr="004A6B9C">
              <w:rPr>
                <w:rFonts w:ascii="Calibri" w:hAnsi="Calibri" w:cs="Calibri"/>
                <w:color w:val="000000"/>
                <w:sz w:val="18"/>
                <w:szCs w:val="18"/>
              </w:rPr>
              <w:t>0210291</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5D53ECB7" w14:textId="5A530C3C"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77AD0B75" w14:textId="3F092DF1"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30 633,14</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449D85AF" w14:textId="5E344FB7"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FNM, ÚVN</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A1E5FEA" w14:textId="17E2FF2B"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30 785,55</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2A528FF1" w14:textId="7A63C65F"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3C68D4A9" w14:textId="60BE1BBA"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152,41</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1CB33582" w14:textId="27AE4FF9"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0,50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2187519" w14:textId="7B36574B"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1F5114C1" w14:textId="6EBFCAA9"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r>
      <w:tr w:rsidR="004A6B9C" w:rsidRPr="004A6B9C" w14:paraId="679349F1" w14:textId="77777777" w:rsidTr="009D6C3F">
        <w:trPr>
          <w:trHeight w:val="227"/>
        </w:trPr>
        <w:tc>
          <w:tcPr>
            <w:tcW w:w="737" w:type="dxa"/>
            <w:tcBorders>
              <w:top w:val="single" w:sz="4" w:space="0" w:color="auto"/>
              <w:left w:val="single" w:sz="4" w:space="0" w:color="auto"/>
              <w:bottom w:val="single" w:sz="4" w:space="0" w:color="auto"/>
              <w:right w:val="single" w:sz="4" w:space="0" w:color="auto"/>
            </w:tcBorders>
            <w:vAlign w:val="center"/>
          </w:tcPr>
          <w:p w14:paraId="439F18A3" w14:textId="0F66E24B" w:rsidR="004A6B9C" w:rsidRPr="004A6B9C" w:rsidRDefault="004A6B9C" w:rsidP="004A6B9C">
            <w:pPr>
              <w:spacing w:before="20" w:after="20"/>
              <w:ind w:left="-57" w:right="-57"/>
              <w:rPr>
                <w:rFonts w:ascii="Calibri" w:hAnsi="Calibri" w:cs="Calibri"/>
                <w:color w:val="000000"/>
                <w:sz w:val="18"/>
                <w:szCs w:val="18"/>
              </w:rPr>
            </w:pPr>
            <w:r w:rsidRPr="004A6B9C">
              <w:rPr>
                <w:rFonts w:ascii="Calibri" w:hAnsi="Calibri" w:cs="Calibri"/>
                <w:color w:val="000000"/>
                <w:sz w:val="18"/>
                <w:szCs w:val="18"/>
              </w:rPr>
              <w:t>0210292</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49810D71" w14:textId="4ECE9D52"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76ED74ED" w14:textId="67762A3A"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344 401,64</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0EAB8FE0" w14:textId="3B3EF24D"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FNM, ÚVN</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6BB4DE1" w14:textId="78E237C8"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346 115,09</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3AA791D9" w14:textId="1982DC42"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4992F4E5" w14:textId="4C489955"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1 713,45</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25C9BE79" w14:textId="653ED44D"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0,50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79CF429" w14:textId="63AD2F06"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6B4F9851" w14:textId="05F1E814"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w:t>
            </w:r>
          </w:p>
        </w:tc>
      </w:tr>
      <w:tr w:rsidR="004A6B9C" w:rsidRPr="004A6B9C" w14:paraId="68028309" w14:textId="77777777" w:rsidTr="009D6C3F">
        <w:trPr>
          <w:trHeight w:val="227"/>
        </w:trPr>
        <w:tc>
          <w:tcPr>
            <w:tcW w:w="737" w:type="dxa"/>
            <w:tcBorders>
              <w:top w:val="single" w:sz="4" w:space="0" w:color="auto"/>
              <w:left w:val="single" w:sz="4" w:space="0" w:color="auto"/>
              <w:bottom w:val="single" w:sz="4" w:space="0" w:color="auto"/>
              <w:right w:val="single" w:sz="4" w:space="0" w:color="auto"/>
            </w:tcBorders>
            <w:vAlign w:val="center"/>
          </w:tcPr>
          <w:p w14:paraId="084DD747" w14:textId="79040805" w:rsidR="004A6B9C" w:rsidRPr="004A6B9C" w:rsidRDefault="004A6B9C" w:rsidP="004A6B9C">
            <w:pPr>
              <w:spacing w:before="20" w:after="20"/>
              <w:ind w:left="-57" w:right="-57"/>
              <w:rPr>
                <w:rFonts w:ascii="Calibri" w:hAnsi="Calibri" w:cs="Calibri"/>
                <w:color w:val="000000"/>
                <w:sz w:val="18"/>
                <w:szCs w:val="18"/>
              </w:rPr>
            </w:pPr>
            <w:r w:rsidRPr="004A6B9C">
              <w:rPr>
                <w:rFonts w:ascii="Calibri" w:hAnsi="Calibri" w:cs="Calibri"/>
                <w:color w:val="000000"/>
                <w:sz w:val="18"/>
                <w:szCs w:val="18"/>
              </w:rPr>
              <w:t>0210317</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2D487A5D" w14:textId="2C60F426"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508B04C5" w14:textId="1E832814"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26 544,88</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0042E23F" w14:textId="28A54BAD"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ÚVN</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0EE34D9" w14:textId="6854FF77"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26 545,20</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6D6E37E1" w14:textId="1FD96D58"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FNM</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3862B32B" w14:textId="73449F22"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0,32</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3D8038FC" w14:textId="36638DCD"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B16F682" w14:textId="6AE1EFD5"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3AFBC6B3" w14:textId="78BAA793"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w:t>
            </w:r>
          </w:p>
        </w:tc>
      </w:tr>
      <w:tr w:rsidR="004A6B9C" w:rsidRPr="004A6B9C" w14:paraId="115A4EA9" w14:textId="77777777" w:rsidTr="009D6C3F">
        <w:trPr>
          <w:trHeight w:val="227"/>
        </w:trPr>
        <w:tc>
          <w:tcPr>
            <w:tcW w:w="737" w:type="dxa"/>
            <w:tcBorders>
              <w:top w:val="single" w:sz="4" w:space="0" w:color="auto"/>
              <w:left w:val="single" w:sz="4" w:space="0" w:color="auto"/>
              <w:bottom w:val="single" w:sz="4" w:space="0" w:color="auto"/>
              <w:right w:val="single" w:sz="4" w:space="0" w:color="auto"/>
            </w:tcBorders>
            <w:vAlign w:val="center"/>
          </w:tcPr>
          <w:p w14:paraId="707600CA" w14:textId="2AB4B189" w:rsidR="004A6B9C" w:rsidRPr="004A6B9C" w:rsidRDefault="004A6B9C" w:rsidP="004A6B9C">
            <w:pPr>
              <w:spacing w:before="20" w:after="20"/>
              <w:ind w:left="-57" w:right="-57"/>
              <w:rPr>
                <w:rFonts w:ascii="Calibri" w:hAnsi="Calibri" w:cs="Calibri"/>
                <w:color w:val="000000"/>
                <w:sz w:val="18"/>
                <w:szCs w:val="18"/>
              </w:rPr>
            </w:pPr>
            <w:r w:rsidRPr="004A6B9C">
              <w:rPr>
                <w:rFonts w:ascii="Calibri" w:hAnsi="Calibri" w:cs="Calibri"/>
                <w:color w:val="000000"/>
                <w:sz w:val="18"/>
                <w:szCs w:val="18"/>
              </w:rPr>
              <w:t>0210935</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7A093852" w14:textId="2BBBB381"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4EC29434" w14:textId="5AE23481"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20 933,00</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19BC76D2" w14:textId="33050E22"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FNM</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E27074A" w14:textId="63FBFCF3"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21 142,33</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6A4F9A24" w14:textId="5523E4DF" w:rsidR="004A6B9C" w:rsidRPr="004A6B9C" w:rsidRDefault="004A6B9C" w:rsidP="004A6B9C">
            <w:pPr>
              <w:spacing w:before="20" w:after="20"/>
              <w:jc w:val="center"/>
              <w:rPr>
                <w:rFonts w:ascii="Calibri" w:hAnsi="Calibri" w:cs="Calibri"/>
                <w:color w:val="000000"/>
                <w:sz w:val="18"/>
                <w:szCs w:val="18"/>
              </w:rPr>
            </w:pPr>
            <w:r w:rsidRPr="004A6B9C">
              <w:rPr>
                <w:rFonts w:ascii="Calibri" w:hAnsi="Calibri" w:cs="Calibri"/>
                <w:color w:val="000000"/>
                <w:sz w:val="18"/>
                <w:szCs w:val="18"/>
              </w:rPr>
              <w:t>FNB, ÚVN</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0AD94573" w14:textId="5D101CBF" w:rsidR="004A6B9C" w:rsidRPr="004A6B9C" w:rsidRDefault="004A6B9C" w:rsidP="004A6B9C">
            <w:pPr>
              <w:spacing w:before="20" w:after="20"/>
              <w:jc w:val="right"/>
              <w:rPr>
                <w:rFonts w:ascii="Calibri" w:hAnsi="Calibri" w:cs="Calibri"/>
                <w:color w:val="000000"/>
                <w:sz w:val="18"/>
                <w:szCs w:val="18"/>
              </w:rPr>
            </w:pPr>
            <w:r w:rsidRPr="004A6B9C">
              <w:rPr>
                <w:rFonts w:ascii="Calibri" w:hAnsi="Calibri" w:cs="Calibri"/>
                <w:color w:val="000000"/>
                <w:sz w:val="18"/>
                <w:szCs w:val="18"/>
              </w:rPr>
              <w:t>209,33</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4C4A159B" w14:textId="2443C6AB" w:rsidR="004A6B9C" w:rsidRPr="004A6B9C" w:rsidRDefault="004A6B9C" w:rsidP="005D44DF">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12BCA6D" w14:textId="7CC48459"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18019FC0" w14:textId="1A165268" w:rsidR="004A6B9C" w:rsidRPr="004A6B9C" w:rsidRDefault="004A6B9C" w:rsidP="004A6B9C">
            <w:pPr>
              <w:spacing w:before="20" w:after="20"/>
              <w:ind w:right="57"/>
              <w:jc w:val="right"/>
              <w:rPr>
                <w:rFonts w:ascii="Calibri" w:hAnsi="Calibri" w:cs="Calibri"/>
                <w:color w:val="000000"/>
                <w:sz w:val="18"/>
                <w:szCs w:val="18"/>
              </w:rPr>
            </w:pPr>
            <w:r w:rsidRPr="004A6B9C">
              <w:rPr>
                <w:rFonts w:ascii="Calibri" w:hAnsi="Calibri" w:cs="Calibri"/>
                <w:color w:val="000000"/>
                <w:sz w:val="18"/>
                <w:szCs w:val="18"/>
              </w:rPr>
              <w:t>2</w:t>
            </w:r>
          </w:p>
        </w:tc>
      </w:tr>
    </w:tbl>
    <w:p w14:paraId="6105B75E" w14:textId="572955C0" w:rsidR="00260BC6" w:rsidRPr="002364FF" w:rsidRDefault="00260BC6" w:rsidP="00260BC6">
      <w:pPr>
        <w:spacing w:before="40"/>
        <w:rPr>
          <w:sz w:val="20"/>
        </w:rPr>
      </w:pPr>
      <w:r w:rsidRPr="002364FF">
        <w:rPr>
          <w:b/>
          <w:sz w:val="20"/>
        </w:rPr>
        <w:t>Zdroj:</w:t>
      </w:r>
      <w:r w:rsidRPr="002364FF">
        <w:rPr>
          <w:sz w:val="20"/>
        </w:rPr>
        <w:t xml:space="preserve"> </w:t>
      </w:r>
      <w:r w:rsidR="005D44DF">
        <w:rPr>
          <w:sz w:val="20"/>
        </w:rPr>
        <w:t>p</w:t>
      </w:r>
      <w:r w:rsidRPr="002364FF">
        <w:rPr>
          <w:sz w:val="20"/>
        </w:rPr>
        <w:t>řílohy jednotlivých kontrolních protokolů fakultních nemocnic (dle faktur).</w:t>
      </w:r>
    </w:p>
    <w:p w14:paraId="39BF68BD" w14:textId="77777777" w:rsidR="00260BC6" w:rsidRDefault="00260BC6">
      <w:pPr>
        <w:jc w:val="left"/>
        <w:rPr>
          <w:rFonts w:cstheme="minorHAnsi"/>
          <w:noProof/>
          <w:color w:val="000000" w:themeColor="text1"/>
          <w:szCs w:val="28"/>
        </w:rPr>
      </w:pPr>
    </w:p>
    <w:p w14:paraId="0E92F429" w14:textId="176DBD86" w:rsidR="0068280A" w:rsidRDefault="0068280A">
      <w:pPr>
        <w:jc w:val="left"/>
        <w:rPr>
          <w:rFonts w:cstheme="minorHAnsi"/>
          <w:noProof/>
          <w:color w:val="000000" w:themeColor="text1"/>
          <w:szCs w:val="28"/>
        </w:rPr>
      </w:pPr>
    </w:p>
    <w:p w14:paraId="3004B143" w14:textId="77777777" w:rsidR="001945E1" w:rsidRDefault="001945E1" w:rsidP="0068280A">
      <w:pPr>
        <w:jc w:val="right"/>
        <w:rPr>
          <w:rFonts w:cstheme="minorHAnsi"/>
          <w:b/>
          <w:noProof/>
          <w:color w:val="000000" w:themeColor="text1"/>
          <w:szCs w:val="28"/>
        </w:rPr>
        <w:sectPr w:rsidR="001945E1" w:rsidSect="009F4E3E">
          <w:pgSz w:w="11906" w:h="16838" w:code="9"/>
          <w:pgMar w:top="1418" w:right="1418" w:bottom="1418" w:left="1418" w:header="709" w:footer="709" w:gutter="0"/>
          <w:cols w:space="708"/>
          <w:docGrid w:linePitch="360"/>
        </w:sectPr>
      </w:pPr>
    </w:p>
    <w:p w14:paraId="1098A939" w14:textId="6F73294F" w:rsidR="0068280A" w:rsidRDefault="00260BC6" w:rsidP="0068280A">
      <w:pPr>
        <w:jc w:val="right"/>
        <w:rPr>
          <w:rFonts w:cstheme="minorHAnsi"/>
          <w:b/>
          <w:noProof/>
          <w:color w:val="000000" w:themeColor="text1"/>
          <w:szCs w:val="28"/>
        </w:rPr>
      </w:pPr>
      <w:r>
        <w:rPr>
          <w:rFonts w:cstheme="minorHAnsi"/>
          <w:b/>
          <w:noProof/>
          <w:color w:val="000000" w:themeColor="text1"/>
          <w:szCs w:val="28"/>
        </w:rPr>
        <w:t>Příloha č. 2</w:t>
      </w:r>
    </w:p>
    <w:p w14:paraId="4BA09EFD" w14:textId="6B331CAD" w:rsidR="0068280A" w:rsidRPr="0068280A" w:rsidRDefault="001945E1" w:rsidP="0068280A">
      <w:pPr>
        <w:spacing w:before="120" w:after="40"/>
        <w:rPr>
          <w:rFonts w:cstheme="minorHAnsi"/>
          <w:b/>
          <w:noProof/>
          <w:color w:val="000000" w:themeColor="text1"/>
          <w:szCs w:val="28"/>
        </w:rPr>
      </w:pPr>
      <w:r w:rsidRPr="001945E1">
        <w:rPr>
          <w:rFonts w:cstheme="minorHAnsi"/>
          <w:b/>
          <w:noProof/>
          <w:szCs w:val="28"/>
        </w:rPr>
        <w:t>Cenové rozdíly jednotkových cen léčiv skupiny ATC</w:t>
      </w:r>
      <w:r w:rsidR="00481090">
        <w:rPr>
          <w:rFonts w:cstheme="minorHAnsi"/>
          <w:b/>
          <w:noProof/>
          <w:szCs w:val="28"/>
        </w:rPr>
        <w:t xml:space="preserve"> – </w:t>
      </w:r>
      <w:r w:rsidRPr="001945E1">
        <w:rPr>
          <w:rFonts w:cstheme="minorHAnsi"/>
          <w:b/>
          <w:noProof/>
          <w:szCs w:val="28"/>
        </w:rPr>
        <w:t>J</w:t>
      </w:r>
    </w:p>
    <w:tbl>
      <w:tblPr>
        <w:tblW w:w="9437" w:type="dxa"/>
        <w:tblLayout w:type="fixed"/>
        <w:tblCellMar>
          <w:left w:w="70" w:type="dxa"/>
          <w:right w:w="70" w:type="dxa"/>
        </w:tblCellMar>
        <w:tblLook w:val="04A0" w:firstRow="1" w:lastRow="0" w:firstColumn="1" w:lastColumn="0" w:noHBand="0" w:noVBand="1"/>
      </w:tblPr>
      <w:tblGrid>
        <w:gridCol w:w="794"/>
        <w:gridCol w:w="573"/>
        <w:gridCol w:w="1020"/>
        <w:gridCol w:w="1134"/>
        <w:gridCol w:w="1077"/>
        <w:gridCol w:w="1134"/>
        <w:gridCol w:w="899"/>
        <w:gridCol w:w="879"/>
        <w:gridCol w:w="907"/>
        <w:gridCol w:w="1020"/>
      </w:tblGrid>
      <w:tr w:rsidR="00FE37EA" w:rsidRPr="00F52921" w14:paraId="5B2D5DFF" w14:textId="77777777" w:rsidTr="009D6C3F">
        <w:trPr>
          <w:trHeight w:val="283"/>
          <w:tblHeader/>
        </w:trPr>
        <w:tc>
          <w:tcPr>
            <w:tcW w:w="794"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32208D9E" w14:textId="042B6FA4" w:rsidR="001945E1" w:rsidRPr="001945E1" w:rsidRDefault="001945E1" w:rsidP="009D6C3F">
            <w:pPr>
              <w:spacing w:before="40" w:after="40"/>
              <w:ind w:left="-57" w:right="-57"/>
              <w:jc w:val="center"/>
              <w:rPr>
                <w:rFonts w:cstheme="minorHAnsi"/>
                <w:b/>
                <w:bCs/>
                <w:color w:val="000000"/>
                <w:sz w:val="20"/>
                <w:vertAlign w:val="superscript"/>
              </w:rPr>
            </w:pPr>
            <w:r>
              <w:rPr>
                <w:rFonts w:cstheme="minorHAnsi"/>
                <w:b/>
                <w:bCs/>
                <w:color w:val="000000"/>
                <w:sz w:val="20"/>
              </w:rPr>
              <w:t>Kód SÚ</w:t>
            </w:r>
            <w:r w:rsidRPr="00F52921">
              <w:rPr>
                <w:rFonts w:cstheme="minorHAnsi"/>
                <w:b/>
                <w:bCs/>
                <w:color w:val="000000"/>
                <w:sz w:val="20"/>
              </w:rPr>
              <w:t>KL</w:t>
            </w:r>
            <w:r>
              <w:rPr>
                <w:rFonts w:cstheme="minorHAnsi"/>
                <w:b/>
                <w:bCs/>
                <w:color w:val="000000"/>
                <w:sz w:val="20"/>
                <w:vertAlign w:val="superscript"/>
              </w:rPr>
              <w:t>58</w:t>
            </w:r>
          </w:p>
        </w:tc>
        <w:tc>
          <w:tcPr>
            <w:tcW w:w="573" w:type="dxa"/>
            <w:tcBorders>
              <w:top w:val="single" w:sz="4" w:space="0" w:color="auto"/>
              <w:left w:val="nil"/>
              <w:bottom w:val="single" w:sz="4" w:space="0" w:color="auto"/>
              <w:right w:val="single" w:sz="4" w:space="0" w:color="auto"/>
            </w:tcBorders>
            <w:shd w:val="clear" w:color="000000" w:fill="E5F1FF"/>
            <w:noWrap/>
            <w:vAlign w:val="center"/>
            <w:hideMark/>
          </w:tcPr>
          <w:p w14:paraId="25E5A5A4" w14:textId="77777777" w:rsidR="001945E1" w:rsidRPr="00F52921" w:rsidRDefault="001945E1" w:rsidP="009D6C3F">
            <w:pPr>
              <w:spacing w:before="40" w:after="40"/>
              <w:jc w:val="center"/>
              <w:rPr>
                <w:rFonts w:cstheme="minorHAnsi"/>
                <w:b/>
                <w:bCs/>
                <w:color w:val="000000"/>
                <w:sz w:val="20"/>
              </w:rPr>
            </w:pPr>
            <w:r w:rsidRPr="00F52921">
              <w:rPr>
                <w:rFonts w:cstheme="minorHAnsi"/>
                <w:b/>
                <w:bCs/>
                <w:color w:val="000000"/>
                <w:sz w:val="20"/>
              </w:rPr>
              <w:t>Rok</w:t>
            </w:r>
          </w:p>
        </w:tc>
        <w:tc>
          <w:tcPr>
            <w:tcW w:w="1020" w:type="dxa"/>
            <w:tcBorders>
              <w:top w:val="single" w:sz="4" w:space="0" w:color="auto"/>
              <w:left w:val="nil"/>
              <w:bottom w:val="single" w:sz="4" w:space="0" w:color="auto"/>
              <w:right w:val="single" w:sz="4" w:space="0" w:color="auto"/>
            </w:tcBorders>
            <w:shd w:val="clear" w:color="000000" w:fill="E5F1FF"/>
            <w:noWrap/>
            <w:vAlign w:val="center"/>
            <w:hideMark/>
          </w:tcPr>
          <w:p w14:paraId="761043BD" w14:textId="0E913F39" w:rsidR="001945E1" w:rsidRPr="00F52921" w:rsidRDefault="001945E1" w:rsidP="009373D3">
            <w:pPr>
              <w:spacing w:before="40" w:after="40"/>
              <w:ind w:left="-57" w:right="-57"/>
              <w:jc w:val="center"/>
              <w:rPr>
                <w:rFonts w:cstheme="minorHAnsi"/>
                <w:b/>
                <w:bCs/>
                <w:color w:val="000000"/>
                <w:sz w:val="20"/>
              </w:rPr>
            </w:pPr>
            <w:r w:rsidRPr="00F52921">
              <w:rPr>
                <w:rFonts w:cstheme="minorHAnsi"/>
                <w:b/>
                <w:bCs/>
                <w:color w:val="000000"/>
                <w:sz w:val="20"/>
              </w:rPr>
              <w:t>Minimální jednotková cena</w:t>
            </w:r>
            <w:r w:rsidR="009373D3">
              <w:rPr>
                <w:rFonts w:cstheme="minorHAnsi"/>
                <w:b/>
                <w:bCs/>
                <w:color w:val="000000"/>
                <w:sz w:val="20"/>
              </w:rPr>
              <w:t xml:space="preserve"> v Kč</w:t>
            </w:r>
          </w:p>
        </w:tc>
        <w:tc>
          <w:tcPr>
            <w:tcW w:w="1134" w:type="dxa"/>
            <w:tcBorders>
              <w:top w:val="single" w:sz="4" w:space="0" w:color="auto"/>
              <w:left w:val="nil"/>
              <w:bottom w:val="single" w:sz="4" w:space="0" w:color="auto"/>
              <w:right w:val="single" w:sz="4" w:space="0" w:color="auto"/>
            </w:tcBorders>
            <w:shd w:val="clear" w:color="000000" w:fill="E5F1FF"/>
            <w:vAlign w:val="center"/>
            <w:hideMark/>
          </w:tcPr>
          <w:p w14:paraId="6903AE95" w14:textId="1A155C7C" w:rsidR="001945E1" w:rsidRPr="00F52921" w:rsidRDefault="001945E1" w:rsidP="009D6C3F">
            <w:pPr>
              <w:spacing w:before="40" w:after="40"/>
              <w:ind w:left="-57" w:right="-57"/>
              <w:jc w:val="center"/>
              <w:rPr>
                <w:rFonts w:cstheme="minorHAnsi"/>
                <w:b/>
                <w:bCs/>
                <w:color w:val="000000"/>
                <w:sz w:val="20"/>
              </w:rPr>
            </w:pPr>
            <w:r w:rsidRPr="00F52921">
              <w:rPr>
                <w:rFonts w:cstheme="minorHAnsi"/>
                <w:b/>
                <w:bCs/>
                <w:color w:val="000000"/>
                <w:sz w:val="20"/>
              </w:rPr>
              <w:t>Nemocnice s</w:t>
            </w:r>
            <w:r>
              <w:rPr>
                <w:rFonts w:cstheme="minorHAnsi"/>
                <w:b/>
                <w:bCs/>
                <w:color w:val="000000"/>
                <w:sz w:val="20"/>
              </w:rPr>
              <w:t> </w:t>
            </w:r>
            <w:r w:rsidRPr="00F52921">
              <w:rPr>
                <w:rFonts w:cstheme="minorHAnsi"/>
                <w:b/>
                <w:bCs/>
                <w:color w:val="000000"/>
                <w:sz w:val="20"/>
              </w:rPr>
              <w:t>min. jednotkovou cenou</w:t>
            </w:r>
          </w:p>
        </w:tc>
        <w:tc>
          <w:tcPr>
            <w:tcW w:w="1077" w:type="dxa"/>
            <w:tcBorders>
              <w:top w:val="single" w:sz="4" w:space="0" w:color="auto"/>
              <w:left w:val="nil"/>
              <w:bottom w:val="single" w:sz="4" w:space="0" w:color="auto"/>
              <w:right w:val="single" w:sz="4" w:space="0" w:color="auto"/>
            </w:tcBorders>
            <w:shd w:val="clear" w:color="000000" w:fill="E5F1FF"/>
            <w:noWrap/>
            <w:vAlign w:val="center"/>
            <w:hideMark/>
          </w:tcPr>
          <w:p w14:paraId="4D4D6CF5" w14:textId="7D9754B9" w:rsidR="001945E1" w:rsidRPr="00F52921" w:rsidRDefault="001945E1" w:rsidP="009D6C3F">
            <w:pPr>
              <w:spacing w:before="40" w:after="40"/>
              <w:ind w:left="-57" w:right="-57"/>
              <w:jc w:val="center"/>
              <w:rPr>
                <w:rFonts w:cstheme="minorHAnsi"/>
                <w:b/>
                <w:bCs/>
                <w:color w:val="000000"/>
                <w:sz w:val="20"/>
              </w:rPr>
            </w:pPr>
            <w:r w:rsidRPr="00F52921">
              <w:rPr>
                <w:rFonts w:cstheme="minorHAnsi"/>
                <w:b/>
                <w:bCs/>
                <w:color w:val="000000"/>
                <w:sz w:val="20"/>
              </w:rPr>
              <w:t>Maximální jednotková cena</w:t>
            </w:r>
            <w:r w:rsidR="009373D3">
              <w:rPr>
                <w:rFonts w:cstheme="minorHAnsi"/>
                <w:b/>
                <w:bCs/>
                <w:color w:val="000000"/>
                <w:sz w:val="20"/>
              </w:rPr>
              <w:t xml:space="preserve"> v Kč</w:t>
            </w:r>
          </w:p>
        </w:tc>
        <w:tc>
          <w:tcPr>
            <w:tcW w:w="1134" w:type="dxa"/>
            <w:tcBorders>
              <w:top w:val="single" w:sz="4" w:space="0" w:color="auto"/>
              <w:left w:val="nil"/>
              <w:bottom w:val="single" w:sz="4" w:space="0" w:color="auto"/>
              <w:right w:val="single" w:sz="4" w:space="0" w:color="auto"/>
            </w:tcBorders>
            <w:shd w:val="clear" w:color="000000" w:fill="E5F1FF"/>
            <w:vAlign w:val="center"/>
            <w:hideMark/>
          </w:tcPr>
          <w:p w14:paraId="2E59E33F" w14:textId="7BCD8244" w:rsidR="001945E1" w:rsidRPr="00F52921" w:rsidRDefault="001945E1" w:rsidP="009D6C3F">
            <w:pPr>
              <w:spacing w:before="40" w:after="40"/>
              <w:ind w:left="-57" w:right="-57"/>
              <w:jc w:val="center"/>
              <w:rPr>
                <w:rFonts w:cstheme="minorHAnsi"/>
                <w:b/>
                <w:bCs/>
                <w:color w:val="000000"/>
                <w:sz w:val="20"/>
              </w:rPr>
            </w:pPr>
            <w:r w:rsidRPr="00F52921">
              <w:rPr>
                <w:rFonts w:cstheme="minorHAnsi"/>
                <w:b/>
                <w:bCs/>
                <w:color w:val="000000"/>
                <w:sz w:val="20"/>
              </w:rPr>
              <w:t>Nemocnice s</w:t>
            </w:r>
            <w:r>
              <w:rPr>
                <w:rFonts w:cstheme="minorHAnsi"/>
                <w:b/>
                <w:bCs/>
                <w:color w:val="000000"/>
                <w:sz w:val="20"/>
              </w:rPr>
              <w:t> </w:t>
            </w:r>
            <w:r w:rsidRPr="00F52921">
              <w:rPr>
                <w:rFonts w:cstheme="minorHAnsi"/>
                <w:b/>
                <w:bCs/>
                <w:color w:val="000000"/>
                <w:sz w:val="20"/>
              </w:rPr>
              <w:t>max. jednotkovou cenou</w:t>
            </w:r>
          </w:p>
        </w:tc>
        <w:tc>
          <w:tcPr>
            <w:tcW w:w="899" w:type="dxa"/>
            <w:tcBorders>
              <w:top w:val="single" w:sz="4" w:space="0" w:color="auto"/>
              <w:left w:val="nil"/>
              <w:bottom w:val="single" w:sz="4" w:space="0" w:color="auto"/>
              <w:right w:val="single" w:sz="4" w:space="0" w:color="auto"/>
            </w:tcBorders>
            <w:shd w:val="clear" w:color="000000" w:fill="E5F1FF"/>
            <w:noWrap/>
            <w:vAlign w:val="center"/>
            <w:hideMark/>
          </w:tcPr>
          <w:p w14:paraId="496FC579" w14:textId="6099BF5F" w:rsidR="001945E1" w:rsidRPr="00F52921" w:rsidRDefault="001945E1" w:rsidP="009D6C3F">
            <w:pPr>
              <w:spacing w:before="40" w:after="40"/>
              <w:jc w:val="center"/>
              <w:rPr>
                <w:rFonts w:cstheme="minorHAnsi"/>
                <w:b/>
                <w:bCs/>
                <w:color w:val="000000"/>
                <w:sz w:val="20"/>
              </w:rPr>
            </w:pPr>
            <w:r w:rsidRPr="00F52921">
              <w:rPr>
                <w:rFonts w:cstheme="minorHAnsi"/>
                <w:b/>
                <w:bCs/>
                <w:color w:val="000000"/>
                <w:sz w:val="20"/>
              </w:rPr>
              <w:t>Rozdíl</w:t>
            </w:r>
            <w:r w:rsidR="009373D3">
              <w:rPr>
                <w:rFonts w:cstheme="minorHAnsi"/>
                <w:b/>
                <w:bCs/>
                <w:color w:val="000000"/>
                <w:sz w:val="20"/>
              </w:rPr>
              <w:t xml:space="preserve"> v Kč</w:t>
            </w:r>
          </w:p>
        </w:tc>
        <w:tc>
          <w:tcPr>
            <w:tcW w:w="879" w:type="dxa"/>
            <w:tcBorders>
              <w:top w:val="single" w:sz="4" w:space="0" w:color="auto"/>
              <w:left w:val="nil"/>
              <w:bottom w:val="single" w:sz="4" w:space="0" w:color="auto"/>
              <w:right w:val="single" w:sz="4" w:space="0" w:color="auto"/>
            </w:tcBorders>
            <w:shd w:val="clear" w:color="000000" w:fill="E5F1FF"/>
            <w:noWrap/>
            <w:vAlign w:val="center"/>
            <w:hideMark/>
          </w:tcPr>
          <w:p w14:paraId="5FF787C6" w14:textId="79865221" w:rsidR="001945E1" w:rsidRPr="00F52921" w:rsidRDefault="009373D3" w:rsidP="009373D3">
            <w:pPr>
              <w:spacing w:before="40" w:after="40"/>
              <w:jc w:val="center"/>
              <w:rPr>
                <w:rFonts w:cstheme="minorHAnsi"/>
                <w:b/>
                <w:bCs/>
                <w:color w:val="000000"/>
                <w:sz w:val="20"/>
              </w:rPr>
            </w:pPr>
            <w:r>
              <w:rPr>
                <w:rFonts w:cstheme="minorHAnsi"/>
                <w:b/>
                <w:bCs/>
                <w:color w:val="000000"/>
                <w:sz w:val="20"/>
              </w:rPr>
              <w:t>R</w:t>
            </w:r>
            <w:r w:rsidR="001945E1" w:rsidRPr="00F52921">
              <w:rPr>
                <w:rFonts w:cstheme="minorHAnsi"/>
                <w:b/>
                <w:bCs/>
                <w:color w:val="000000"/>
                <w:sz w:val="20"/>
              </w:rPr>
              <w:t>ozdíl</w:t>
            </w:r>
            <w:r>
              <w:rPr>
                <w:rFonts w:cstheme="minorHAnsi"/>
                <w:b/>
                <w:bCs/>
                <w:color w:val="000000"/>
                <w:sz w:val="20"/>
              </w:rPr>
              <w:t xml:space="preserve"> v %</w:t>
            </w:r>
          </w:p>
        </w:tc>
        <w:tc>
          <w:tcPr>
            <w:tcW w:w="907" w:type="dxa"/>
            <w:tcBorders>
              <w:top w:val="single" w:sz="4" w:space="0" w:color="auto"/>
              <w:left w:val="nil"/>
              <w:bottom w:val="single" w:sz="4" w:space="0" w:color="auto"/>
              <w:right w:val="single" w:sz="4" w:space="0" w:color="auto"/>
            </w:tcBorders>
            <w:shd w:val="clear" w:color="000000" w:fill="E5F1FF"/>
            <w:vAlign w:val="center"/>
            <w:hideMark/>
          </w:tcPr>
          <w:p w14:paraId="3620A872" w14:textId="77777777" w:rsidR="001945E1" w:rsidRPr="00F52921" w:rsidRDefault="001945E1" w:rsidP="009D6C3F">
            <w:pPr>
              <w:spacing w:before="40" w:after="40"/>
              <w:ind w:left="-57" w:right="-12"/>
              <w:jc w:val="center"/>
              <w:rPr>
                <w:rFonts w:cstheme="minorHAnsi"/>
                <w:b/>
                <w:bCs/>
                <w:color w:val="000000"/>
                <w:sz w:val="20"/>
              </w:rPr>
            </w:pPr>
            <w:r w:rsidRPr="00F52921">
              <w:rPr>
                <w:rFonts w:cstheme="minorHAnsi"/>
                <w:b/>
                <w:bCs/>
                <w:color w:val="000000"/>
                <w:sz w:val="20"/>
              </w:rPr>
              <w:t>Počet nemocnic ve vzorku</w:t>
            </w:r>
          </w:p>
        </w:tc>
        <w:tc>
          <w:tcPr>
            <w:tcW w:w="1020" w:type="dxa"/>
            <w:tcBorders>
              <w:top w:val="single" w:sz="4" w:space="0" w:color="auto"/>
              <w:left w:val="nil"/>
              <w:bottom w:val="single" w:sz="4" w:space="0" w:color="auto"/>
              <w:right w:val="single" w:sz="4" w:space="0" w:color="auto"/>
            </w:tcBorders>
            <w:shd w:val="clear" w:color="000000" w:fill="E5F1FF"/>
            <w:vAlign w:val="center"/>
            <w:hideMark/>
          </w:tcPr>
          <w:p w14:paraId="1DEAFE60" w14:textId="77777777" w:rsidR="001945E1" w:rsidRPr="00F52921" w:rsidRDefault="001945E1" w:rsidP="009D6C3F">
            <w:pPr>
              <w:spacing w:before="40" w:after="40"/>
              <w:ind w:left="-57" w:right="-57"/>
              <w:jc w:val="center"/>
              <w:rPr>
                <w:rFonts w:cstheme="minorHAnsi"/>
                <w:b/>
                <w:bCs/>
                <w:color w:val="000000"/>
                <w:sz w:val="20"/>
              </w:rPr>
            </w:pPr>
            <w:r w:rsidRPr="00F52921">
              <w:rPr>
                <w:rFonts w:cstheme="minorHAnsi"/>
                <w:b/>
                <w:bCs/>
                <w:color w:val="000000"/>
                <w:sz w:val="20"/>
              </w:rPr>
              <w:t>Počet dodavatelů ve vzorku</w:t>
            </w:r>
          </w:p>
        </w:tc>
      </w:tr>
      <w:tr w:rsidR="00FE37EA" w:rsidRPr="00F52921" w14:paraId="5B1C7D15" w14:textId="77777777"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7BF785" w14:textId="77777777" w:rsidR="001945E1" w:rsidRPr="00F52921" w:rsidRDefault="001945E1" w:rsidP="009D6C3F">
            <w:pPr>
              <w:spacing w:before="40" w:after="40"/>
              <w:ind w:left="-57" w:right="-57"/>
              <w:jc w:val="center"/>
              <w:rPr>
                <w:rFonts w:cstheme="minorHAnsi"/>
                <w:color w:val="000000"/>
                <w:sz w:val="20"/>
              </w:rPr>
            </w:pPr>
            <w:r>
              <w:rPr>
                <w:rFonts w:cstheme="minorHAnsi"/>
                <w:color w:val="000000"/>
                <w:sz w:val="20"/>
              </w:rPr>
              <w:t>000</w:t>
            </w:r>
            <w:r w:rsidRPr="00F52921">
              <w:rPr>
                <w:rFonts w:cstheme="minorHAnsi"/>
                <w:color w:val="000000"/>
                <w:sz w:val="20"/>
              </w:rPr>
              <w:t>3708</w:t>
            </w:r>
          </w:p>
        </w:tc>
        <w:tc>
          <w:tcPr>
            <w:tcW w:w="573" w:type="dxa"/>
            <w:tcBorders>
              <w:top w:val="nil"/>
              <w:left w:val="nil"/>
              <w:bottom w:val="single" w:sz="4" w:space="0" w:color="auto"/>
              <w:right w:val="single" w:sz="4" w:space="0" w:color="auto"/>
            </w:tcBorders>
            <w:shd w:val="clear" w:color="auto" w:fill="auto"/>
            <w:noWrap/>
            <w:vAlign w:val="center"/>
            <w:hideMark/>
          </w:tcPr>
          <w:p w14:paraId="0CD39B23"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2014</w:t>
            </w:r>
          </w:p>
        </w:tc>
        <w:tc>
          <w:tcPr>
            <w:tcW w:w="1020" w:type="dxa"/>
            <w:tcBorders>
              <w:top w:val="nil"/>
              <w:left w:val="nil"/>
              <w:bottom w:val="single" w:sz="4" w:space="0" w:color="auto"/>
              <w:right w:val="single" w:sz="4" w:space="0" w:color="auto"/>
            </w:tcBorders>
            <w:shd w:val="clear" w:color="auto" w:fill="auto"/>
            <w:noWrap/>
            <w:vAlign w:val="center"/>
            <w:hideMark/>
          </w:tcPr>
          <w:p w14:paraId="2CF33DE5" w14:textId="77777777" w:rsidR="001945E1" w:rsidRPr="00F52921" w:rsidRDefault="001945E1" w:rsidP="009D6C3F">
            <w:pPr>
              <w:spacing w:before="40" w:after="40"/>
              <w:jc w:val="right"/>
              <w:rPr>
                <w:rFonts w:cstheme="minorHAnsi"/>
                <w:sz w:val="20"/>
              </w:rPr>
            </w:pPr>
            <w:r w:rsidRPr="00F52921">
              <w:rPr>
                <w:rFonts w:cstheme="minorHAnsi"/>
                <w:sz w:val="20"/>
              </w:rPr>
              <w:t>10 349,09</w:t>
            </w:r>
          </w:p>
        </w:tc>
        <w:tc>
          <w:tcPr>
            <w:tcW w:w="1134" w:type="dxa"/>
            <w:tcBorders>
              <w:top w:val="nil"/>
              <w:left w:val="nil"/>
              <w:bottom w:val="single" w:sz="4" w:space="0" w:color="auto"/>
              <w:right w:val="single" w:sz="4" w:space="0" w:color="auto"/>
            </w:tcBorders>
            <w:shd w:val="clear" w:color="auto" w:fill="auto"/>
            <w:noWrap/>
            <w:vAlign w:val="center"/>
            <w:hideMark/>
          </w:tcPr>
          <w:p w14:paraId="0A9A4C2B"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5C68B628"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12 139,38</w:t>
            </w:r>
          </w:p>
        </w:tc>
        <w:tc>
          <w:tcPr>
            <w:tcW w:w="1134" w:type="dxa"/>
            <w:tcBorders>
              <w:top w:val="nil"/>
              <w:left w:val="nil"/>
              <w:bottom w:val="single" w:sz="4" w:space="0" w:color="auto"/>
              <w:right w:val="single" w:sz="4" w:space="0" w:color="auto"/>
            </w:tcBorders>
            <w:shd w:val="clear" w:color="auto" w:fill="auto"/>
            <w:noWrap/>
            <w:vAlign w:val="bottom"/>
            <w:hideMark/>
          </w:tcPr>
          <w:p w14:paraId="382100A3"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nil"/>
              <w:left w:val="nil"/>
              <w:bottom w:val="single" w:sz="4" w:space="0" w:color="auto"/>
              <w:right w:val="single" w:sz="4" w:space="0" w:color="auto"/>
            </w:tcBorders>
            <w:shd w:val="clear" w:color="auto" w:fill="auto"/>
            <w:noWrap/>
            <w:vAlign w:val="center"/>
            <w:hideMark/>
          </w:tcPr>
          <w:p w14:paraId="65223A77"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1 790,29</w:t>
            </w:r>
          </w:p>
        </w:tc>
        <w:tc>
          <w:tcPr>
            <w:tcW w:w="879" w:type="dxa"/>
            <w:tcBorders>
              <w:top w:val="nil"/>
              <w:left w:val="nil"/>
              <w:bottom w:val="single" w:sz="4" w:space="0" w:color="auto"/>
              <w:right w:val="single" w:sz="4" w:space="0" w:color="auto"/>
            </w:tcBorders>
            <w:shd w:val="clear" w:color="auto" w:fill="auto"/>
            <w:noWrap/>
            <w:vAlign w:val="center"/>
            <w:hideMark/>
          </w:tcPr>
          <w:p w14:paraId="6D29CB7B" w14:textId="3109B9DE" w:rsidR="001945E1" w:rsidRPr="00F52921" w:rsidRDefault="001945E1" w:rsidP="009373D3">
            <w:pPr>
              <w:spacing w:before="40" w:after="40"/>
              <w:jc w:val="right"/>
              <w:rPr>
                <w:rFonts w:cstheme="minorHAnsi"/>
                <w:color w:val="000000"/>
                <w:sz w:val="20"/>
              </w:rPr>
            </w:pPr>
            <w:r w:rsidRPr="00F52921">
              <w:rPr>
                <w:rFonts w:cstheme="minorHAnsi"/>
                <w:color w:val="000000"/>
                <w:sz w:val="20"/>
              </w:rPr>
              <w:t>17,30</w:t>
            </w:r>
          </w:p>
        </w:tc>
        <w:tc>
          <w:tcPr>
            <w:tcW w:w="907" w:type="dxa"/>
            <w:tcBorders>
              <w:top w:val="nil"/>
              <w:left w:val="nil"/>
              <w:bottom w:val="single" w:sz="4" w:space="0" w:color="auto"/>
              <w:right w:val="single" w:sz="4" w:space="0" w:color="auto"/>
            </w:tcBorders>
            <w:shd w:val="clear" w:color="auto" w:fill="auto"/>
            <w:noWrap/>
            <w:vAlign w:val="center"/>
            <w:hideMark/>
          </w:tcPr>
          <w:p w14:paraId="77702F3B"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25D0ECE3"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4</w:t>
            </w:r>
          </w:p>
        </w:tc>
      </w:tr>
      <w:tr w:rsidR="00FE37EA" w:rsidRPr="00F52921" w14:paraId="5A066278" w14:textId="77777777"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14:paraId="6EF76671"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2421F8C2"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2015</w:t>
            </w:r>
          </w:p>
        </w:tc>
        <w:tc>
          <w:tcPr>
            <w:tcW w:w="1020" w:type="dxa"/>
            <w:tcBorders>
              <w:top w:val="nil"/>
              <w:left w:val="nil"/>
              <w:bottom w:val="single" w:sz="4" w:space="0" w:color="auto"/>
              <w:right w:val="single" w:sz="4" w:space="0" w:color="auto"/>
            </w:tcBorders>
            <w:shd w:val="clear" w:color="auto" w:fill="auto"/>
            <w:noWrap/>
            <w:vAlign w:val="center"/>
            <w:hideMark/>
          </w:tcPr>
          <w:p w14:paraId="4651001F" w14:textId="77777777" w:rsidR="001945E1" w:rsidRPr="00F52921" w:rsidRDefault="001945E1" w:rsidP="009D6C3F">
            <w:pPr>
              <w:spacing w:before="40" w:after="40"/>
              <w:jc w:val="right"/>
              <w:rPr>
                <w:rFonts w:cstheme="minorHAnsi"/>
                <w:sz w:val="20"/>
              </w:rPr>
            </w:pPr>
            <w:r w:rsidRPr="00F52921">
              <w:rPr>
                <w:rFonts w:cstheme="minorHAnsi"/>
                <w:sz w:val="20"/>
              </w:rPr>
              <w:t>2 115,30</w:t>
            </w:r>
          </w:p>
        </w:tc>
        <w:tc>
          <w:tcPr>
            <w:tcW w:w="1134" w:type="dxa"/>
            <w:tcBorders>
              <w:top w:val="nil"/>
              <w:left w:val="nil"/>
              <w:bottom w:val="single" w:sz="4" w:space="0" w:color="auto"/>
              <w:right w:val="single" w:sz="4" w:space="0" w:color="auto"/>
            </w:tcBorders>
            <w:shd w:val="clear" w:color="auto" w:fill="auto"/>
            <w:noWrap/>
            <w:vAlign w:val="center"/>
            <w:hideMark/>
          </w:tcPr>
          <w:p w14:paraId="2C7E7057"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09A89399" w14:textId="77777777" w:rsidR="001945E1" w:rsidRPr="00F52921" w:rsidRDefault="001945E1" w:rsidP="009D6C3F">
            <w:pPr>
              <w:spacing w:before="40" w:after="40"/>
              <w:jc w:val="right"/>
              <w:rPr>
                <w:rFonts w:cstheme="minorHAnsi"/>
                <w:sz w:val="20"/>
              </w:rPr>
            </w:pPr>
            <w:r w:rsidRPr="00F52921">
              <w:rPr>
                <w:rFonts w:cstheme="minorHAnsi"/>
                <w:sz w:val="20"/>
              </w:rPr>
              <w:t>11 611,58</w:t>
            </w:r>
          </w:p>
        </w:tc>
        <w:tc>
          <w:tcPr>
            <w:tcW w:w="1134" w:type="dxa"/>
            <w:tcBorders>
              <w:top w:val="nil"/>
              <w:left w:val="nil"/>
              <w:bottom w:val="single" w:sz="4" w:space="0" w:color="auto"/>
              <w:right w:val="single" w:sz="4" w:space="0" w:color="auto"/>
            </w:tcBorders>
            <w:shd w:val="clear" w:color="auto" w:fill="auto"/>
            <w:noWrap/>
            <w:vAlign w:val="bottom"/>
            <w:hideMark/>
          </w:tcPr>
          <w:p w14:paraId="23330DD4"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nil"/>
              <w:left w:val="nil"/>
              <w:bottom w:val="single" w:sz="4" w:space="0" w:color="auto"/>
              <w:right w:val="single" w:sz="4" w:space="0" w:color="auto"/>
            </w:tcBorders>
            <w:shd w:val="clear" w:color="auto" w:fill="auto"/>
            <w:noWrap/>
            <w:vAlign w:val="center"/>
            <w:hideMark/>
          </w:tcPr>
          <w:p w14:paraId="78A64F29"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9 496,28</w:t>
            </w:r>
          </w:p>
        </w:tc>
        <w:tc>
          <w:tcPr>
            <w:tcW w:w="879" w:type="dxa"/>
            <w:tcBorders>
              <w:top w:val="nil"/>
              <w:left w:val="nil"/>
              <w:bottom w:val="single" w:sz="4" w:space="0" w:color="auto"/>
              <w:right w:val="single" w:sz="4" w:space="0" w:color="auto"/>
            </w:tcBorders>
            <w:shd w:val="clear" w:color="auto" w:fill="auto"/>
            <w:noWrap/>
            <w:vAlign w:val="center"/>
            <w:hideMark/>
          </w:tcPr>
          <w:p w14:paraId="1F37CD3C" w14:textId="5D2C597B" w:rsidR="001945E1" w:rsidRPr="00F52921" w:rsidRDefault="001945E1" w:rsidP="009373D3">
            <w:pPr>
              <w:spacing w:before="40" w:after="40"/>
              <w:jc w:val="right"/>
              <w:rPr>
                <w:rFonts w:cstheme="minorHAnsi"/>
                <w:color w:val="000000"/>
                <w:sz w:val="20"/>
              </w:rPr>
            </w:pPr>
            <w:r w:rsidRPr="00F52921">
              <w:rPr>
                <w:rFonts w:cstheme="minorHAnsi"/>
                <w:color w:val="000000"/>
                <w:sz w:val="20"/>
              </w:rPr>
              <w:t>448,93</w:t>
            </w:r>
          </w:p>
        </w:tc>
        <w:tc>
          <w:tcPr>
            <w:tcW w:w="907" w:type="dxa"/>
            <w:tcBorders>
              <w:top w:val="nil"/>
              <w:left w:val="nil"/>
              <w:bottom w:val="single" w:sz="4" w:space="0" w:color="auto"/>
              <w:right w:val="single" w:sz="4" w:space="0" w:color="auto"/>
            </w:tcBorders>
            <w:shd w:val="clear" w:color="auto" w:fill="auto"/>
            <w:noWrap/>
            <w:vAlign w:val="center"/>
            <w:hideMark/>
          </w:tcPr>
          <w:p w14:paraId="3AC93BA8"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55027319"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4</w:t>
            </w:r>
          </w:p>
        </w:tc>
      </w:tr>
      <w:tr w:rsidR="00FE37EA" w:rsidRPr="00F52921" w14:paraId="13522B24" w14:textId="77777777"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14:paraId="41FC6E02"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0C152975"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2016</w:t>
            </w:r>
          </w:p>
        </w:tc>
        <w:tc>
          <w:tcPr>
            <w:tcW w:w="1020" w:type="dxa"/>
            <w:tcBorders>
              <w:top w:val="nil"/>
              <w:left w:val="nil"/>
              <w:bottom w:val="single" w:sz="4" w:space="0" w:color="auto"/>
              <w:right w:val="single" w:sz="4" w:space="0" w:color="auto"/>
            </w:tcBorders>
            <w:shd w:val="clear" w:color="auto" w:fill="auto"/>
            <w:noWrap/>
            <w:vAlign w:val="center"/>
            <w:hideMark/>
          </w:tcPr>
          <w:p w14:paraId="22E4221B" w14:textId="77777777" w:rsidR="001945E1" w:rsidRPr="00F52921" w:rsidRDefault="001945E1" w:rsidP="009D6C3F">
            <w:pPr>
              <w:spacing w:before="40" w:after="40"/>
              <w:jc w:val="right"/>
              <w:rPr>
                <w:rFonts w:cstheme="minorHAnsi"/>
                <w:sz w:val="20"/>
              </w:rPr>
            </w:pPr>
            <w:r w:rsidRPr="00F52921">
              <w:rPr>
                <w:rFonts w:cstheme="minorHAnsi"/>
                <w:sz w:val="20"/>
              </w:rPr>
              <w:t>2 115,30</w:t>
            </w:r>
          </w:p>
        </w:tc>
        <w:tc>
          <w:tcPr>
            <w:tcW w:w="1134" w:type="dxa"/>
            <w:tcBorders>
              <w:top w:val="nil"/>
              <w:left w:val="nil"/>
              <w:bottom w:val="single" w:sz="4" w:space="0" w:color="auto"/>
              <w:right w:val="single" w:sz="4" w:space="0" w:color="auto"/>
            </w:tcBorders>
            <w:shd w:val="clear" w:color="auto" w:fill="auto"/>
            <w:noWrap/>
            <w:vAlign w:val="center"/>
            <w:hideMark/>
          </w:tcPr>
          <w:p w14:paraId="24FD2CEB"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1FB0F54F"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7 098,00</w:t>
            </w:r>
          </w:p>
        </w:tc>
        <w:tc>
          <w:tcPr>
            <w:tcW w:w="1134" w:type="dxa"/>
            <w:tcBorders>
              <w:top w:val="nil"/>
              <w:left w:val="nil"/>
              <w:bottom w:val="single" w:sz="4" w:space="0" w:color="auto"/>
              <w:right w:val="single" w:sz="4" w:space="0" w:color="auto"/>
            </w:tcBorders>
            <w:shd w:val="clear" w:color="auto" w:fill="auto"/>
            <w:noWrap/>
            <w:vAlign w:val="bottom"/>
            <w:hideMark/>
          </w:tcPr>
          <w:p w14:paraId="62BFAB8B"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ÚVN</w:t>
            </w:r>
          </w:p>
        </w:tc>
        <w:tc>
          <w:tcPr>
            <w:tcW w:w="899" w:type="dxa"/>
            <w:tcBorders>
              <w:top w:val="nil"/>
              <w:left w:val="nil"/>
              <w:bottom w:val="single" w:sz="4" w:space="0" w:color="auto"/>
              <w:right w:val="single" w:sz="4" w:space="0" w:color="auto"/>
            </w:tcBorders>
            <w:shd w:val="clear" w:color="auto" w:fill="auto"/>
            <w:noWrap/>
            <w:vAlign w:val="center"/>
            <w:hideMark/>
          </w:tcPr>
          <w:p w14:paraId="6E24D726"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4 982,70</w:t>
            </w:r>
          </w:p>
        </w:tc>
        <w:tc>
          <w:tcPr>
            <w:tcW w:w="879" w:type="dxa"/>
            <w:tcBorders>
              <w:top w:val="nil"/>
              <w:left w:val="nil"/>
              <w:bottom w:val="single" w:sz="4" w:space="0" w:color="auto"/>
              <w:right w:val="single" w:sz="4" w:space="0" w:color="auto"/>
            </w:tcBorders>
            <w:shd w:val="clear" w:color="auto" w:fill="auto"/>
            <w:noWrap/>
            <w:vAlign w:val="center"/>
            <w:hideMark/>
          </w:tcPr>
          <w:p w14:paraId="165EBCFA" w14:textId="0971A9BD" w:rsidR="001945E1" w:rsidRPr="00F52921" w:rsidRDefault="001945E1" w:rsidP="009373D3">
            <w:pPr>
              <w:spacing w:before="40" w:after="40"/>
              <w:jc w:val="right"/>
              <w:rPr>
                <w:rFonts w:cstheme="minorHAnsi"/>
                <w:color w:val="000000"/>
                <w:sz w:val="20"/>
              </w:rPr>
            </w:pPr>
            <w:r w:rsidRPr="00F52921">
              <w:rPr>
                <w:rFonts w:cstheme="minorHAnsi"/>
                <w:color w:val="000000"/>
                <w:sz w:val="20"/>
              </w:rPr>
              <w:t>235,56</w:t>
            </w:r>
          </w:p>
        </w:tc>
        <w:tc>
          <w:tcPr>
            <w:tcW w:w="907" w:type="dxa"/>
            <w:tcBorders>
              <w:top w:val="nil"/>
              <w:left w:val="nil"/>
              <w:bottom w:val="single" w:sz="4" w:space="0" w:color="auto"/>
              <w:right w:val="single" w:sz="4" w:space="0" w:color="auto"/>
            </w:tcBorders>
            <w:shd w:val="clear" w:color="auto" w:fill="auto"/>
            <w:noWrap/>
            <w:vAlign w:val="center"/>
            <w:hideMark/>
          </w:tcPr>
          <w:p w14:paraId="4B847326"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334258B7"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2</w:t>
            </w:r>
          </w:p>
        </w:tc>
      </w:tr>
      <w:tr w:rsidR="00FE37EA" w:rsidRPr="00F52921" w14:paraId="7BF8D729" w14:textId="77777777"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4DC291" w14:textId="77777777" w:rsidR="001945E1" w:rsidRPr="00F52921" w:rsidRDefault="001945E1" w:rsidP="009D6C3F">
            <w:pPr>
              <w:spacing w:before="40" w:after="40"/>
              <w:ind w:left="-57" w:right="-57"/>
              <w:jc w:val="center"/>
              <w:rPr>
                <w:rFonts w:cstheme="minorHAnsi"/>
                <w:color w:val="000000"/>
                <w:sz w:val="20"/>
              </w:rPr>
            </w:pPr>
            <w:r>
              <w:rPr>
                <w:rFonts w:cstheme="minorHAnsi"/>
                <w:color w:val="000000"/>
                <w:sz w:val="20"/>
              </w:rPr>
              <w:t>000</w:t>
            </w:r>
            <w:r w:rsidRPr="00F52921">
              <w:rPr>
                <w:rFonts w:cstheme="minorHAnsi"/>
                <w:color w:val="000000"/>
                <w:sz w:val="20"/>
              </w:rPr>
              <w:t>5113</w:t>
            </w:r>
          </w:p>
        </w:tc>
        <w:tc>
          <w:tcPr>
            <w:tcW w:w="573" w:type="dxa"/>
            <w:tcBorders>
              <w:top w:val="nil"/>
              <w:left w:val="nil"/>
              <w:bottom w:val="single" w:sz="4" w:space="0" w:color="auto"/>
              <w:right w:val="single" w:sz="4" w:space="0" w:color="auto"/>
            </w:tcBorders>
            <w:shd w:val="clear" w:color="auto" w:fill="auto"/>
            <w:noWrap/>
            <w:vAlign w:val="center"/>
            <w:hideMark/>
          </w:tcPr>
          <w:p w14:paraId="0C2E2140"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2014</w:t>
            </w:r>
          </w:p>
        </w:tc>
        <w:tc>
          <w:tcPr>
            <w:tcW w:w="1020" w:type="dxa"/>
            <w:tcBorders>
              <w:top w:val="nil"/>
              <w:left w:val="nil"/>
              <w:bottom w:val="single" w:sz="4" w:space="0" w:color="auto"/>
              <w:right w:val="single" w:sz="4" w:space="0" w:color="auto"/>
            </w:tcBorders>
            <w:shd w:val="clear" w:color="auto" w:fill="auto"/>
            <w:noWrap/>
            <w:vAlign w:val="center"/>
            <w:hideMark/>
          </w:tcPr>
          <w:p w14:paraId="60BE4F4B"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769,33</w:t>
            </w:r>
          </w:p>
        </w:tc>
        <w:tc>
          <w:tcPr>
            <w:tcW w:w="1134" w:type="dxa"/>
            <w:tcBorders>
              <w:top w:val="nil"/>
              <w:left w:val="nil"/>
              <w:bottom w:val="single" w:sz="4" w:space="0" w:color="auto"/>
              <w:right w:val="single" w:sz="4" w:space="0" w:color="auto"/>
            </w:tcBorders>
            <w:shd w:val="clear" w:color="auto" w:fill="auto"/>
            <w:noWrap/>
            <w:vAlign w:val="center"/>
            <w:hideMark/>
          </w:tcPr>
          <w:p w14:paraId="7FF4CF2D"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1077" w:type="dxa"/>
            <w:tcBorders>
              <w:top w:val="nil"/>
              <w:left w:val="nil"/>
              <w:bottom w:val="single" w:sz="4" w:space="0" w:color="auto"/>
              <w:right w:val="single" w:sz="4" w:space="0" w:color="auto"/>
            </w:tcBorders>
            <w:shd w:val="clear" w:color="auto" w:fill="auto"/>
            <w:noWrap/>
            <w:vAlign w:val="center"/>
            <w:hideMark/>
          </w:tcPr>
          <w:p w14:paraId="6DBCF6DE"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1 584,11</w:t>
            </w:r>
          </w:p>
        </w:tc>
        <w:tc>
          <w:tcPr>
            <w:tcW w:w="1134" w:type="dxa"/>
            <w:tcBorders>
              <w:top w:val="nil"/>
              <w:left w:val="nil"/>
              <w:bottom w:val="single" w:sz="4" w:space="0" w:color="auto"/>
              <w:right w:val="single" w:sz="4" w:space="0" w:color="auto"/>
            </w:tcBorders>
            <w:shd w:val="clear" w:color="auto" w:fill="auto"/>
            <w:noWrap/>
            <w:vAlign w:val="bottom"/>
            <w:hideMark/>
          </w:tcPr>
          <w:p w14:paraId="055796DE"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ÚVN</w:t>
            </w:r>
          </w:p>
        </w:tc>
        <w:tc>
          <w:tcPr>
            <w:tcW w:w="899" w:type="dxa"/>
            <w:tcBorders>
              <w:top w:val="nil"/>
              <w:left w:val="nil"/>
              <w:bottom w:val="single" w:sz="4" w:space="0" w:color="auto"/>
              <w:right w:val="single" w:sz="4" w:space="0" w:color="auto"/>
            </w:tcBorders>
            <w:shd w:val="clear" w:color="auto" w:fill="auto"/>
            <w:noWrap/>
            <w:vAlign w:val="center"/>
            <w:hideMark/>
          </w:tcPr>
          <w:p w14:paraId="0C436BA3"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814,78</w:t>
            </w:r>
          </w:p>
        </w:tc>
        <w:tc>
          <w:tcPr>
            <w:tcW w:w="879" w:type="dxa"/>
            <w:tcBorders>
              <w:top w:val="nil"/>
              <w:left w:val="nil"/>
              <w:bottom w:val="single" w:sz="4" w:space="0" w:color="auto"/>
              <w:right w:val="single" w:sz="4" w:space="0" w:color="auto"/>
            </w:tcBorders>
            <w:shd w:val="clear" w:color="auto" w:fill="auto"/>
            <w:noWrap/>
            <w:vAlign w:val="center"/>
            <w:hideMark/>
          </w:tcPr>
          <w:p w14:paraId="11850D68" w14:textId="68897A45" w:rsidR="001945E1" w:rsidRPr="00F52921" w:rsidRDefault="001945E1" w:rsidP="009373D3">
            <w:pPr>
              <w:spacing w:before="40" w:after="40"/>
              <w:jc w:val="right"/>
              <w:rPr>
                <w:rFonts w:cstheme="minorHAnsi"/>
                <w:color w:val="000000"/>
                <w:sz w:val="20"/>
              </w:rPr>
            </w:pPr>
            <w:r w:rsidRPr="00F52921">
              <w:rPr>
                <w:rFonts w:cstheme="minorHAnsi"/>
                <w:color w:val="000000"/>
                <w:sz w:val="20"/>
              </w:rPr>
              <w:t>105,91</w:t>
            </w:r>
          </w:p>
        </w:tc>
        <w:tc>
          <w:tcPr>
            <w:tcW w:w="907" w:type="dxa"/>
            <w:tcBorders>
              <w:top w:val="nil"/>
              <w:left w:val="nil"/>
              <w:bottom w:val="single" w:sz="4" w:space="0" w:color="auto"/>
              <w:right w:val="single" w:sz="4" w:space="0" w:color="auto"/>
            </w:tcBorders>
            <w:shd w:val="clear" w:color="auto" w:fill="auto"/>
            <w:noWrap/>
            <w:vAlign w:val="center"/>
            <w:hideMark/>
          </w:tcPr>
          <w:p w14:paraId="3860034F"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566BADD6"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3</w:t>
            </w:r>
          </w:p>
        </w:tc>
      </w:tr>
      <w:tr w:rsidR="00FE37EA" w:rsidRPr="00F52921" w14:paraId="275432E4" w14:textId="77777777"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14:paraId="146339BB"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3DAA7BE6"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2015</w:t>
            </w:r>
          </w:p>
        </w:tc>
        <w:tc>
          <w:tcPr>
            <w:tcW w:w="1020" w:type="dxa"/>
            <w:tcBorders>
              <w:top w:val="nil"/>
              <w:left w:val="nil"/>
              <w:bottom w:val="single" w:sz="4" w:space="0" w:color="auto"/>
              <w:right w:val="single" w:sz="4" w:space="0" w:color="auto"/>
            </w:tcBorders>
            <w:shd w:val="clear" w:color="auto" w:fill="auto"/>
            <w:noWrap/>
            <w:vAlign w:val="center"/>
            <w:hideMark/>
          </w:tcPr>
          <w:p w14:paraId="505FEC89" w14:textId="77777777" w:rsidR="001945E1" w:rsidRPr="00F52921" w:rsidRDefault="001945E1" w:rsidP="009D6C3F">
            <w:pPr>
              <w:spacing w:before="40" w:after="40"/>
              <w:jc w:val="right"/>
              <w:rPr>
                <w:rFonts w:cstheme="minorHAnsi"/>
                <w:sz w:val="20"/>
              </w:rPr>
            </w:pPr>
            <w:r w:rsidRPr="00F52921">
              <w:rPr>
                <w:rFonts w:cstheme="minorHAnsi"/>
                <w:sz w:val="20"/>
              </w:rPr>
              <w:t>680,45</w:t>
            </w:r>
          </w:p>
        </w:tc>
        <w:tc>
          <w:tcPr>
            <w:tcW w:w="1134" w:type="dxa"/>
            <w:tcBorders>
              <w:top w:val="nil"/>
              <w:left w:val="nil"/>
              <w:bottom w:val="single" w:sz="4" w:space="0" w:color="auto"/>
              <w:right w:val="single" w:sz="4" w:space="0" w:color="auto"/>
            </w:tcBorders>
            <w:shd w:val="clear" w:color="auto" w:fill="auto"/>
            <w:noWrap/>
            <w:vAlign w:val="center"/>
            <w:hideMark/>
          </w:tcPr>
          <w:p w14:paraId="0B0236A3"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6EF6D025"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849,53</w:t>
            </w:r>
          </w:p>
        </w:tc>
        <w:tc>
          <w:tcPr>
            <w:tcW w:w="1134" w:type="dxa"/>
            <w:tcBorders>
              <w:top w:val="nil"/>
              <w:left w:val="nil"/>
              <w:bottom w:val="single" w:sz="4" w:space="0" w:color="auto"/>
              <w:right w:val="single" w:sz="4" w:space="0" w:color="auto"/>
            </w:tcBorders>
            <w:shd w:val="clear" w:color="auto" w:fill="auto"/>
            <w:noWrap/>
            <w:vAlign w:val="bottom"/>
            <w:hideMark/>
          </w:tcPr>
          <w:p w14:paraId="0D9C1FD8"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nil"/>
              <w:left w:val="nil"/>
              <w:bottom w:val="single" w:sz="4" w:space="0" w:color="auto"/>
              <w:right w:val="single" w:sz="4" w:space="0" w:color="auto"/>
            </w:tcBorders>
            <w:shd w:val="clear" w:color="auto" w:fill="auto"/>
            <w:noWrap/>
            <w:vAlign w:val="center"/>
            <w:hideMark/>
          </w:tcPr>
          <w:p w14:paraId="397E5372"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169,08</w:t>
            </w:r>
          </w:p>
        </w:tc>
        <w:tc>
          <w:tcPr>
            <w:tcW w:w="879" w:type="dxa"/>
            <w:tcBorders>
              <w:top w:val="nil"/>
              <w:left w:val="nil"/>
              <w:bottom w:val="single" w:sz="4" w:space="0" w:color="auto"/>
              <w:right w:val="single" w:sz="4" w:space="0" w:color="auto"/>
            </w:tcBorders>
            <w:shd w:val="clear" w:color="auto" w:fill="auto"/>
            <w:noWrap/>
            <w:vAlign w:val="center"/>
            <w:hideMark/>
          </w:tcPr>
          <w:p w14:paraId="3E541C2C" w14:textId="7D249542" w:rsidR="001945E1" w:rsidRPr="00F52921" w:rsidRDefault="001945E1" w:rsidP="009373D3">
            <w:pPr>
              <w:spacing w:before="40" w:after="40"/>
              <w:jc w:val="right"/>
              <w:rPr>
                <w:rFonts w:cstheme="minorHAnsi"/>
                <w:color w:val="000000"/>
                <w:sz w:val="20"/>
              </w:rPr>
            </w:pPr>
            <w:r w:rsidRPr="00F52921">
              <w:rPr>
                <w:rFonts w:cstheme="minorHAnsi"/>
                <w:color w:val="000000"/>
                <w:sz w:val="20"/>
              </w:rPr>
              <w:t>24,85</w:t>
            </w:r>
          </w:p>
        </w:tc>
        <w:tc>
          <w:tcPr>
            <w:tcW w:w="907" w:type="dxa"/>
            <w:tcBorders>
              <w:top w:val="nil"/>
              <w:left w:val="nil"/>
              <w:bottom w:val="single" w:sz="4" w:space="0" w:color="auto"/>
              <w:right w:val="single" w:sz="4" w:space="0" w:color="auto"/>
            </w:tcBorders>
            <w:shd w:val="clear" w:color="auto" w:fill="auto"/>
            <w:noWrap/>
            <w:vAlign w:val="center"/>
            <w:hideMark/>
          </w:tcPr>
          <w:p w14:paraId="3BC9A312"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4181B046"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2</w:t>
            </w:r>
          </w:p>
        </w:tc>
      </w:tr>
      <w:tr w:rsidR="00FE37EA" w:rsidRPr="00F52921" w14:paraId="0723492F" w14:textId="77777777"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14:paraId="643116EA"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4A48F0CA"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2016</w:t>
            </w:r>
          </w:p>
        </w:tc>
        <w:tc>
          <w:tcPr>
            <w:tcW w:w="1020" w:type="dxa"/>
            <w:tcBorders>
              <w:top w:val="nil"/>
              <w:left w:val="nil"/>
              <w:bottom w:val="single" w:sz="4" w:space="0" w:color="auto"/>
              <w:right w:val="single" w:sz="4" w:space="0" w:color="auto"/>
            </w:tcBorders>
            <w:shd w:val="clear" w:color="auto" w:fill="auto"/>
            <w:noWrap/>
            <w:vAlign w:val="center"/>
            <w:hideMark/>
          </w:tcPr>
          <w:p w14:paraId="6B4A50CB" w14:textId="77777777" w:rsidR="001945E1" w:rsidRPr="00F52921" w:rsidRDefault="001945E1" w:rsidP="009D6C3F">
            <w:pPr>
              <w:spacing w:before="40" w:after="40"/>
              <w:jc w:val="right"/>
              <w:rPr>
                <w:rFonts w:cstheme="minorHAnsi"/>
                <w:sz w:val="20"/>
              </w:rPr>
            </w:pPr>
            <w:r w:rsidRPr="00F52921">
              <w:rPr>
                <w:rFonts w:cstheme="minorHAnsi"/>
                <w:sz w:val="20"/>
              </w:rPr>
              <w:t>681,05</w:t>
            </w:r>
          </w:p>
        </w:tc>
        <w:tc>
          <w:tcPr>
            <w:tcW w:w="1134" w:type="dxa"/>
            <w:tcBorders>
              <w:top w:val="nil"/>
              <w:left w:val="nil"/>
              <w:bottom w:val="single" w:sz="4" w:space="0" w:color="auto"/>
              <w:right w:val="single" w:sz="4" w:space="0" w:color="auto"/>
            </w:tcBorders>
            <w:shd w:val="clear" w:color="auto" w:fill="auto"/>
            <w:noWrap/>
            <w:vAlign w:val="center"/>
            <w:hideMark/>
          </w:tcPr>
          <w:p w14:paraId="1D0A6CAA"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33F78568"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689,83</w:t>
            </w:r>
          </w:p>
        </w:tc>
        <w:tc>
          <w:tcPr>
            <w:tcW w:w="1134" w:type="dxa"/>
            <w:tcBorders>
              <w:top w:val="nil"/>
              <w:left w:val="nil"/>
              <w:bottom w:val="single" w:sz="4" w:space="0" w:color="auto"/>
              <w:right w:val="single" w:sz="4" w:space="0" w:color="auto"/>
            </w:tcBorders>
            <w:shd w:val="clear" w:color="auto" w:fill="auto"/>
            <w:noWrap/>
            <w:vAlign w:val="bottom"/>
            <w:hideMark/>
          </w:tcPr>
          <w:p w14:paraId="39C5C3D8"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nil"/>
              <w:left w:val="nil"/>
              <w:bottom w:val="single" w:sz="4" w:space="0" w:color="auto"/>
              <w:right w:val="single" w:sz="4" w:space="0" w:color="auto"/>
            </w:tcBorders>
            <w:shd w:val="clear" w:color="auto" w:fill="auto"/>
            <w:noWrap/>
            <w:vAlign w:val="center"/>
            <w:hideMark/>
          </w:tcPr>
          <w:p w14:paraId="72F6FFDF"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8,78</w:t>
            </w:r>
          </w:p>
        </w:tc>
        <w:tc>
          <w:tcPr>
            <w:tcW w:w="879" w:type="dxa"/>
            <w:tcBorders>
              <w:top w:val="nil"/>
              <w:left w:val="nil"/>
              <w:bottom w:val="single" w:sz="4" w:space="0" w:color="auto"/>
              <w:right w:val="single" w:sz="4" w:space="0" w:color="auto"/>
            </w:tcBorders>
            <w:shd w:val="clear" w:color="auto" w:fill="auto"/>
            <w:noWrap/>
            <w:vAlign w:val="center"/>
            <w:hideMark/>
          </w:tcPr>
          <w:p w14:paraId="08C2F604" w14:textId="7F7F1044" w:rsidR="001945E1" w:rsidRPr="00F52921" w:rsidRDefault="001945E1" w:rsidP="009373D3">
            <w:pPr>
              <w:spacing w:before="40" w:after="40"/>
              <w:jc w:val="right"/>
              <w:rPr>
                <w:rFonts w:cstheme="minorHAnsi"/>
                <w:color w:val="000000"/>
                <w:sz w:val="20"/>
              </w:rPr>
            </w:pPr>
            <w:r w:rsidRPr="00F52921">
              <w:rPr>
                <w:rFonts w:cstheme="minorHAnsi"/>
                <w:color w:val="000000"/>
                <w:sz w:val="20"/>
              </w:rPr>
              <w:t>1,29</w:t>
            </w:r>
          </w:p>
        </w:tc>
        <w:tc>
          <w:tcPr>
            <w:tcW w:w="907" w:type="dxa"/>
            <w:tcBorders>
              <w:top w:val="nil"/>
              <w:left w:val="nil"/>
              <w:bottom w:val="single" w:sz="4" w:space="0" w:color="auto"/>
              <w:right w:val="single" w:sz="4" w:space="0" w:color="auto"/>
            </w:tcBorders>
            <w:shd w:val="clear" w:color="auto" w:fill="auto"/>
            <w:noWrap/>
            <w:vAlign w:val="center"/>
            <w:hideMark/>
          </w:tcPr>
          <w:p w14:paraId="3A64AF6D"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2</w:t>
            </w:r>
          </w:p>
        </w:tc>
        <w:tc>
          <w:tcPr>
            <w:tcW w:w="1020" w:type="dxa"/>
            <w:tcBorders>
              <w:top w:val="nil"/>
              <w:left w:val="nil"/>
              <w:bottom w:val="single" w:sz="4" w:space="0" w:color="auto"/>
              <w:right w:val="single" w:sz="4" w:space="0" w:color="auto"/>
            </w:tcBorders>
            <w:shd w:val="clear" w:color="auto" w:fill="auto"/>
            <w:noWrap/>
            <w:vAlign w:val="center"/>
            <w:hideMark/>
          </w:tcPr>
          <w:p w14:paraId="43AAB660"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2</w:t>
            </w:r>
          </w:p>
        </w:tc>
      </w:tr>
      <w:tr w:rsidR="00FE37EA" w:rsidRPr="00F52921" w14:paraId="39E4367D" w14:textId="77777777"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BB4E69" w14:textId="77777777" w:rsidR="001945E1" w:rsidRPr="00F52921" w:rsidRDefault="001945E1" w:rsidP="009D6C3F">
            <w:pPr>
              <w:spacing w:before="40" w:after="40"/>
              <w:ind w:left="-57" w:right="-57"/>
              <w:jc w:val="center"/>
              <w:rPr>
                <w:rFonts w:cstheme="minorHAnsi"/>
                <w:color w:val="000000"/>
                <w:sz w:val="20"/>
              </w:rPr>
            </w:pPr>
            <w:r>
              <w:rPr>
                <w:rFonts w:cstheme="minorHAnsi"/>
                <w:color w:val="000000"/>
                <w:sz w:val="20"/>
              </w:rPr>
              <w:t>00</w:t>
            </w:r>
            <w:r w:rsidRPr="00F52921">
              <w:rPr>
                <w:rFonts w:cstheme="minorHAnsi"/>
                <w:color w:val="000000"/>
                <w:sz w:val="20"/>
              </w:rPr>
              <w:t>11592</w:t>
            </w:r>
          </w:p>
        </w:tc>
        <w:tc>
          <w:tcPr>
            <w:tcW w:w="573" w:type="dxa"/>
            <w:tcBorders>
              <w:top w:val="nil"/>
              <w:left w:val="nil"/>
              <w:bottom w:val="single" w:sz="4" w:space="0" w:color="auto"/>
              <w:right w:val="single" w:sz="4" w:space="0" w:color="auto"/>
            </w:tcBorders>
            <w:shd w:val="clear" w:color="auto" w:fill="auto"/>
            <w:noWrap/>
            <w:vAlign w:val="center"/>
            <w:hideMark/>
          </w:tcPr>
          <w:p w14:paraId="7FBC1724"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2014</w:t>
            </w:r>
          </w:p>
        </w:tc>
        <w:tc>
          <w:tcPr>
            <w:tcW w:w="1020" w:type="dxa"/>
            <w:tcBorders>
              <w:top w:val="nil"/>
              <w:left w:val="nil"/>
              <w:bottom w:val="single" w:sz="4" w:space="0" w:color="auto"/>
              <w:right w:val="single" w:sz="4" w:space="0" w:color="auto"/>
            </w:tcBorders>
            <w:shd w:val="clear" w:color="auto" w:fill="auto"/>
            <w:noWrap/>
            <w:vAlign w:val="center"/>
            <w:hideMark/>
          </w:tcPr>
          <w:p w14:paraId="6DD0A9CD" w14:textId="77777777" w:rsidR="001945E1" w:rsidRPr="00F52921" w:rsidRDefault="001945E1" w:rsidP="009D6C3F">
            <w:pPr>
              <w:spacing w:before="40" w:after="40"/>
              <w:jc w:val="right"/>
              <w:rPr>
                <w:rFonts w:cstheme="minorHAnsi"/>
                <w:sz w:val="20"/>
              </w:rPr>
            </w:pPr>
            <w:r w:rsidRPr="00F52921">
              <w:rPr>
                <w:rFonts w:cstheme="minorHAnsi"/>
                <w:sz w:val="20"/>
              </w:rPr>
              <w:t>299,00</w:t>
            </w:r>
          </w:p>
        </w:tc>
        <w:tc>
          <w:tcPr>
            <w:tcW w:w="1134" w:type="dxa"/>
            <w:tcBorders>
              <w:top w:val="nil"/>
              <w:left w:val="nil"/>
              <w:bottom w:val="single" w:sz="4" w:space="0" w:color="auto"/>
              <w:right w:val="single" w:sz="4" w:space="0" w:color="auto"/>
            </w:tcBorders>
            <w:shd w:val="clear" w:color="auto" w:fill="auto"/>
            <w:noWrap/>
            <w:vAlign w:val="center"/>
            <w:hideMark/>
          </w:tcPr>
          <w:p w14:paraId="790F02B3"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4FE77627"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403,51</w:t>
            </w:r>
          </w:p>
        </w:tc>
        <w:tc>
          <w:tcPr>
            <w:tcW w:w="1134" w:type="dxa"/>
            <w:tcBorders>
              <w:top w:val="nil"/>
              <w:left w:val="nil"/>
              <w:bottom w:val="single" w:sz="4" w:space="0" w:color="auto"/>
              <w:right w:val="single" w:sz="4" w:space="0" w:color="auto"/>
            </w:tcBorders>
            <w:shd w:val="clear" w:color="auto" w:fill="auto"/>
            <w:noWrap/>
            <w:vAlign w:val="bottom"/>
            <w:hideMark/>
          </w:tcPr>
          <w:p w14:paraId="7DAC8A02"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nil"/>
              <w:left w:val="nil"/>
              <w:bottom w:val="single" w:sz="4" w:space="0" w:color="auto"/>
              <w:right w:val="single" w:sz="4" w:space="0" w:color="auto"/>
            </w:tcBorders>
            <w:shd w:val="clear" w:color="auto" w:fill="auto"/>
            <w:noWrap/>
            <w:vAlign w:val="center"/>
            <w:hideMark/>
          </w:tcPr>
          <w:p w14:paraId="5F3778BE"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104,51</w:t>
            </w:r>
          </w:p>
        </w:tc>
        <w:tc>
          <w:tcPr>
            <w:tcW w:w="879" w:type="dxa"/>
            <w:tcBorders>
              <w:top w:val="nil"/>
              <w:left w:val="nil"/>
              <w:bottom w:val="single" w:sz="4" w:space="0" w:color="auto"/>
              <w:right w:val="single" w:sz="4" w:space="0" w:color="auto"/>
            </w:tcBorders>
            <w:shd w:val="clear" w:color="auto" w:fill="auto"/>
            <w:noWrap/>
            <w:vAlign w:val="center"/>
            <w:hideMark/>
          </w:tcPr>
          <w:p w14:paraId="6E200157" w14:textId="489FF451" w:rsidR="001945E1" w:rsidRPr="00F52921" w:rsidRDefault="001945E1" w:rsidP="009373D3">
            <w:pPr>
              <w:spacing w:before="40" w:after="40"/>
              <w:jc w:val="right"/>
              <w:rPr>
                <w:rFonts w:cstheme="minorHAnsi"/>
                <w:color w:val="000000"/>
                <w:sz w:val="20"/>
              </w:rPr>
            </w:pPr>
            <w:r w:rsidRPr="00F52921">
              <w:rPr>
                <w:rFonts w:cstheme="minorHAnsi"/>
                <w:color w:val="000000"/>
                <w:sz w:val="20"/>
              </w:rPr>
              <w:t>34,95</w:t>
            </w:r>
          </w:p>
        </w:tc>
        <w:tc>
          <w:tcPr>
            <w:tcW w:w="907" w:type="dxa"/>
            <w:tcBorders>
              <w:top w:val="nil"/>
              <w:left w:val="nil"/>
              <w:bottom w:val="single" w:sz="4" w:space="0" w:color="auto"/>
              <w:right w:val="single" w:sz="4" w:space="0" w:color="auto"/>
            </w:tcBorders>
            <w:shd w:val="clear" w:color="auto" w:fill="auto"/>
            <w:noWrap/>
            <w:vAlign w:val="center"/>
            <w:hideMark/>
          </w:tcPr>
          <w:p w14:paraId="5CE04B28"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23B034BF"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1</w:t>
            </w:r>
          </w:p>
        </w:tc>
      </w:tr>
      <w:tr w:rsidR="00FE37EA" w:rsidRPr="00F52921" w14:paraId="713DE119" w14:textId="77777777" w:rsidTr="009D6C3F">
        <w:trPr>
          <w:trHeight w:val="283"/>
        </w:trPr>
        <w:tc>
          <w:tcPr>
            <w:tcW w:w="794" w:type="dxa"/>
            <w:vMerge/>
            <w:tcBorders>
              <w:top w:val="nil"/>
              <w:left w:val="single" w:sz="4" w:space="0" w:color="auto"/>
              <w:bottom w:val="single" w:sz="4" w:space="0" w:color="auto"/>
              <w:right w:val="single" w:sz="4" w:space="0" w:color="auto"/>
            </w:tcBorders>
            <w:shd w:val="clear" w:color="auto" w:fill="auto"/>
            <w:vAlign w:val="center"/>
            <w:hideMark/>
          </w:tcPr>
          <w:p w14:paraId="030B2E9C"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5F07B7F0"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2015</w:t>
            </w:r>
          </w:p>
        </w:tc>
        <w:tc>
          <w:tcPr>
            <w:tcW w:w="1020" w:type="dxa"/>
            <w:tcBorders>
              <w:top w:val="nil"/>
              <w:left w:val="nil"/>
              <w:bottom w:val="single" w:sz="4" w:space="0" w:color="auto"/>
              <w:right w:val="single" w:sz="4" w:space="0" w:color="auto"/>
            </w:tcBorders>
            <w:shd w:val="clear" w:color="auto" w:fill="auto"/>
            <w:noWrap/>
            <w:vAlign w:val="center"/>
            <w:hideMark/>
          </w:tcPr>
          <w:p w14:paraId="462864E8"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226,60</w:t>
            </w:r>
          </w:p>
        </w:tc>
        <w:tc>
          <w:tcPr>
            <w:tcW w:w="1134" w:type="dxa"/>
            <w:tcBorders>
              <w:top w:val="nil"/>
              <w:left w:val="nil"/>
              <w:bottom w:val="single" w:sz="4" w:space="0" w:color="auto"/>
              <w:right w:val="single" w:sz="4" w:space="0" w:color="auto"/>
            </w:tcBorders>
            <w:shd w:val="clear" w:color="auto" w:fill="auto"/>
            <w:noWrap/>
            <w:vAlign w:val="center"/>
            <w:hideMark/>
          </w:tcPr>
          <w:p w14:paraId="16B3E649"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1077" w:type="dxa"/>
            <w:tcBorders>
              <w:top w:val="nil"/>
              <w:left w:val="nil"/>
              <w:bottom w:val="single" w:sz="4" w:space="0" w:color="auto"/>
              <w:right w:val="single" w:sz="4" w:space="0" w:color="auto"/>
            </w:tcBorders>
            <w:shd w:val="clear" w:color="auto" w:fill="auto"/>
            <w:noWrap/>
            <w:vAlign w:val="center"/>
            <w:hideMark/>
          </w:tcPr>
          <w:p w14:paraId="0E96355F"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432,48</w:t>
            </w:r>
          </w:p>
        </w:tc>
        <w:tc>
          <w:tcPr>
            <w:tcW w:w="1134" w:type="dxa"/>
            <w:tcBorders>
              <w:top w:val="nil"/>
              <w:left w:val="nil"/>
              <w:bottom w:val="single" w:sz="4" w:space="0" w:color="auto"/>
              <w:right w:val="single" w:sz="4" w:space="0" w:color="auto"/>
            </w:tcBorders>
            <w:shd w:val="clear" w:color="auto" w:fill="auto"/>
            <w:noWrap/>
            <w:vAlign w:val="bottom"/>
            <w:hideMark/>
          </w:tcPr>
          <w:p w14:paraId="338A2F7D"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nil"/>
              <w:left w:val="nil"/>
              <w:bottom w:val="single" w:sz="4" w:space="0" w:color="auto"/>
              <w:right w:val="single" w:sz="4" w:space="0" w:color="auto"/>
            </w:tcBorders>
            <w:shd w:val="clear" w:color="auto" w:fill="auto"/>
            <w:noWrap/>
            <w:vAlign w:val="center"/>
            <w:hideMark/>
          </w:tcPr>
          <w:p w14:paraId="574CAE2B"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205,88</w:t>
            </w:r>
          </w:p>
        </w:tc>
        <w:tc>
          <w:tcPr>
            <w:tcW w:w="879" w:type="dxa"/>
            <w:tcBorders>
              <w:top w:val="nil"/>
              <w:left w:val="nil"/>
              <w:bottom w:val="single" w:sz="4" w:space="0" w:color="auto"/>
              <w:right w:val="single" w:sz="4" w:space="0" w:color="auto"/>
            </w:tcBorders>
            <w:shd w:val="clear" w:color="auto" w:fill="auto"/>
            <w:noWrap/>
            <w:vAlign w:val="center"/>
            <w:hideMark/>
          </w:tcPr>
          <w:p w14:paraId="33C286B5" w14:textId="3B6CABC1" w:rsidR="001945E1" w:rsidRPr="00F52921" w:rsidRDefault="001945E1" w:rsidP="009373D3">
            <w:pPr>
              <w:spacing w:before="40" w:after="40"/>
              <w:jc w:val="right"/>
              <w:rPr>
                <w:rFonts w:cstheme="minorHAnsi"/>
                <w:color w:val="000000"/>
                <w:sz w:val="20"/>
              </w:rPr>
            </w:pPr>
            <w:r w:rsidRPr="00F52921">
              <w:rPr>
                <w:rFonts w:cstheme="minorHAnsi"/>
                <w:color w:val="000000"/>
                <w:sz w:val="20"/>
              </w:rPr>
              <w:t>90,86</w:t>
            </w:r>
          </w:p>
        </w:tc>
        <w:tc>
          <w:tcPr>
            <w:tcW w:w="907" w:type="dxa"/>
            <w:tcBorders>
              <w:top w:val="nil"/>
              <w:left w:val="nil"/>
              <w:bottom w:val="single" w:sz="4" w:space="0" w:color="auto"/>
              <w:right w:val="single" w:sz="4" w:space="0" w:color="auto"/>
            </w:tcBorders>
            <w:shd w:val="clear" w:color="auto" w:fill="auto"/>
            <w:noWrap/>
            <w:vAlign w:val="center"/>
            <w:hideMark/>
          </w:tcPr>
          <w:p w14:paraId="48B6947C"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1F6B44DF"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2</w:t>
            </w:r>
          </w:p>
        </w:tc>
      </w:tr>
      <w:tr w:rsidR="00FE37EA" w:rsidRPr="00F52921" w14:paraId="229B7BF3" w14:textId="77777777" w:rsidTr="009D6C3F">
        <w:trPr>
          <w:trHeight w:val="283"/>
        </w:trPr>
        <w:tc>
          <w:tcPr>
            <w:tcW w:w="794" w:type="dxa"/>
            <w:vMerge/>
            <w:tcBorders>
              <w:top w:val="nil"/>
              <w:left w:val="single" w:sz="4" w:space="0" w:color="auto"/>
              <w:bottom w:val="single" w:sz="4" w:space="0" w:color="auto"/>
              <w:right w:val="single" w:sz="4" w:space="0" w:color="auto"/>
            </w:tcBorders>
            <w:shd w:val="clear" w:color="auto" w:fill="auto"/>
            <w:vAlign w:val="center"/>
            <w:hideMark/>
          </w:tcPr>
          <w:p w14:paraId="6DF15DDC"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5FAAC2C5"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2016</w:t>
            </w:r>
          </w:p>
        </w:tc>
        <w:tc>
          <w:tcPr>
            <w:tcW w:w="1020" w:type="dxa"/>
            <w:tcBorders>
              <w:top w:val="nil"/>
              <w:left w:val="nil"/>
              <w:bottom w:val="single" w:sz="4" w:space="0" w:color="auto"/>
              <w:right w:val="single" w:sz="4" w:space="0" w:color="auto"/>
            </w:tcBorders>
            <w:shd w:val="clear" w:color="auto" w:fill="auto"/>
            <w:noWrap/>
            <w:vAlign w:val="center"/>
            <w:hideMark/>
          </w:tcPr>
          <w:p w14:paraId="34FEF787"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226,60</w:t>
            </w:r>
          </w:p>
        </w:tc>
        <w:tc>
          <w:tcPr>
            <w:tcW w:w="1134" w:type="dxa"/>
            <w:tcBorders>
              <w:top w:val="nil"/>
              <w:left w:val="nil"/>
              <w:bottom w:val="single" w:sz="4" w:space="0" w:color="auto"/>
              <w:right w:val="single" w:sz="4" w:space="0" w:color="auto"/>
            </w:tcBorders>
            <w:shd w:val="clear" w:color="auto" w:fill="auto"/>
            <w:noWrap/>
            <w:vAlign w:val="center"/>
            <w:hideMark/>
          </w:tcPr>
          <w:p w14:paraId="346AC877"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1077" w:type="dxa"/>
            <w:tcBorders>
              <w:top w:val="nil"/>
              <w:left w:val="nil"/>
              <w:bottom w:val="single" w:sz="4" w:space="0" w:color="auto"/>
              <w:right w:val="single" w:sz="4" w:space="0" w:color="auto"/>
            </w:tcBorders>
            <w:shd w:val="clear" w:color="auto" w:fill="auto"/>
            <w:noWrap/>
            <w:vAlign w:val="center"/>
            <w:hideMark/>
          </w:tcPr>
          <w:p w14:paraId="7F994F93" w14:textId="77777777" w:rsidR="001945E1" w:rsidRPr="00F52921" w:rsidRDefault="001945E1" w:rsidP="009D6C3F">
            <w:pPr>
              <w:spacing w:before="40" w:after="40"/>
              <w:jc w:val="right"/>
              <w:rPr>
                <w:rFonts w:cstheme="minorHAnsi"/>
                <w:sz w:val="20"/>
              </w:rPr>
            </w:pPr>
            <w:r w:rsidRPr="00F52921">
              <w:rPr>
                <w:rFonts w:cstheme="minorHAnsi"/>
                <w:sz w:val="20"/>
              </w:rPr>
              <w:t>286,00</w:t>
            </w:r>
          </w:p>
        </w:tc>
        <w:tc>
          <w:tcPr>
            <w:tcW w:w="1134" w:type="dxa"/>
            <w:tcBorders>
              <w:top w:val="nil"/>
              <w:left w:val="nil"/>
              <w:bottom w:val="single" w:sz="4" w:space="0" w:color="auto"/>
              <w:right w:val="single" w:sz="4" w:space="0" w:color="auto"/>
            </w:tcBorders>
            <w:shd w:val="clear" w:color="auto" w:fill="auto"/>
            <w:noWrap/>
            <w:vAlign w:val="bottom"/>
            <w:hideMark/>
          </w:tcPr>
          <w:p w14:paraId="378EAC25"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899" w:type="dxa"/>
            <w:tcBorders>
              <w:top w:val="nil"/>
              <w:left w:val="nil"/>
              <w:bottom w:val="single" w:sz="4" w:space="0" w:color="auto"/>
              <w:right w:val="single" w:sz="4" w:space="0" w:color="auto"/>
            </w:tcBorders>
            <w:shd w:val="clear" w:color="auto" w:fill="auto"/>
            <w:noWrap/>
            <w:vAlign w:val="center"/>
            <w:hideMark/>
          </w:tcPr>
          <w:p w14:paraId="776ED716"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59,40</w:t>
            </w:r>
          </w:p>
        </w:tc>
        <w:tc>
          <w:tcPr>
            <w:tcW w:w="879" w:type="dxa"/>
            <w:tcBorders>
              <w:top w:val="nil"/>
              <w:left w:val="nil"/>
              <w:bottom w:val="single" w:sz="4" w:space="0" w:color="auto"/>
              <w:right w:val="single" w:sz="4" w:space="0" w:color="auto"/>
            </w:tcBorders>
            <w:shd w:val="clear" w:color="auto" w:fill="auto"/>
            <w:noWrap/>
            <w:vAlign w:val="center"/>
            <w:hideMark/>
          </w:tcPr>
          <w:p w14:paraId="723E6A6A" w14:textId="5305ED45" w:rsidR="001945E1" w:rsidRPr="00F52921" w:rsidRDefault="001945E1" w:rsidP="009373D3">
            <w:pPr>
              <w:spacing w:before="40" w:after="40"/>
              <w:jc w:val="right"/>
              <w:rPr>
                <w:rFonts w:cstheme="minorHAnsi"/>
                <w:color w:val="000000"/>
                <w:sz w:val="20"/>
              </w:rPr>
            </w:pPr>
            <w:r w:rsidRPr="00F52921">
              <w:rPr>
                <w:rFonts w:cstheme="minorHAnsi"/>
                <w:color w:val="000000"/>
                <w:sz w:val="20"/>
              </w:rPr>
              <w:t>26,21</w:t>
            </w:r>
          </w:p>
        </w:tc>
        <w:tc>
          <w:tcPr>
            <w:tcW w:w="907" w:type="dxa"/>
            <w:tcBorders>
              <w:top w:val="nil"/>
              <w:left w:val="nil"/>
              <w:bottom w:val="single" w:sz="4" w:space="0" w:color="auto"/>
              <w:right w:val="single" w:sz="4" w:space="0" w:color="auto"/>
            </w:tcBorders>
            <w:shd w:val="clear" w:color="auto" w:fill="auto"/>
            <w:noWrap/>
            <w:vAlign w:val="center"/>
            <w:hideMark/>
          </w:tcPr>
          <w:p w14:paraId="5F85556C"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2</w:t>
            </w:r>
          </w:p>
        </w:tc>
        <w:tc>
          <w:tcPr>
            <w:tcW w:w="1020" w:type="dxa"/>
            <w:tcBorders>
              <w:top w:val="nil"/>
              <w:left w:val="nil"/>
              <w:bottom w:val="single" w:sz="4" w:space="0" w:color="auto"/>
              <w:right w:val="single" w:sz="4" w:space="0" w:color="auto"/>
            </w:tcBorders>
            <w:shd w:val="clear" w:color="auto" w:fill="auto"/>
            <w:noWrap/>
            <w:vAlign w:val="center"/>
            <w:hideMark/>
          </w:tcPr>
          <w:p w14:paraId="192B0640"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1</w:t>
            </w:r>
          </w:p>
        </w:tc>
      </w:tr>
      <w:tr w:rsidR="00FE37EA" w:rsidRPr="00F52921" w14:paraId="2F9589AD" w14:textId="77777777"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EEE3AE" w14:textId="77777777" w:rsidR="001945E1" w:rsidRPr="00F52921" w:rsidRDefault="001945E1" w:rsidP="009D6C3F">
            <w:pPr>
              <w:spacing w:before="40" w:after="40"/>
              <w:ind w:left="-57" w:right="-57"/>
              <w:jc w:val="center"/>
              <w:rPr>
                <w:rFonts w:cstheme="minorHAnsi"/>
                <w:color w:val="000000"/>
                <w:sz w:val="20"/>
              </w:rPr>
            </w:pPr>
            <w:r>
              <w:rPr>
                <w:rFonts w:cstheme="minorHAnsi"/>
                <w:color w:val="000000"/>
                <w:sz w:val="20"/>
              </w:rPr>
              <w:t>00</w:t>
            </w:r>
            <w:r w:rsidRPr="00F52921">
              <w:rPr>
                <w:rFonts w:cstheme="minorHAnsi"/>
                <w:color w:val="000000"/>
                <w:sz w:val="20"/>
              </w:rPr>
              <w:t>16600</w:t>
            </w:r>
          </w:p>
        </w:tc>
        <w:tc>
          <w:tcPr>
            <w:tcW w:w="573" w:type="dxa"/>
            <w:tcBorders>
              <w:top w:val="nil"/>
              <w:left w:val="nil"/>
              <w:bottom w:val="single" w:sz="4" w:space="0" w:color="auto"/>
              <w:right w:val="single" w:sz="4" w:space="0" w:color="auto"/>
            </w:tcBorders>
            <w:shd w:val="clear" w:color="auto" w:fill="auto"/>
            <w:noWrap/>
            <w:vAlign w:val="center"/>
            <w:hideMark/>
          </w:tcPr>
          <w:p w14:paraId="04A17237"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2014</w:t>
            </w:r>
          </w:p>
        </w:tc>
        <w:tc>
          <w:tcPr>
            <w:tcW w:w="1020" w:type="dxa"/>
            <w:tcBorders>
              <w:top w:val="nil"/>
              <w:left w:val="nil"/>
              <w:bottom w:val="single" w:sz="4" w:space="0" w:color="auto"/>
              <w:right w:val="single" w:sz="4" w:space="0" w:color="auto"/>
            </w:tcBorders>
            <w:shd w:val="clear" w:color="auto" w:fill="auto"/>
            <w:noWrap/>
            <w:vAlign w:val="center"/>
            <w:hideMark/>
          </w:tcPr>
          <w:p w14:paraId="40A75FF4"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25,17</w:t>
            </w:r>
          </w:p>
        </w:tc>
        <w:tc>
          <w:tcPr>
            <w:tcW w:w="1134" w:type="dxa"/>
            <w:tcBorders>
              <w:top w:val="nil"/>
              <w:left w:val="nil"/>
              <w:bottom w:val="single" w:sz="4" w:space="0" w:color="auto"/>
              <w:right w:val="single" w:sz="4" w:space="0" w:color="auto"/>
            </w:tcBorders>
            <w:shd w:val="clear" w:color="auto" w:fill="auto"/>
            <w:noWrap/>
            <w:vAlign w:val="center"/>
            <w:hideMark/>
          </w:tcPr>
          <w:p w14:paraId="7018E16A"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ÚVN</w:t>
            </w:r>
          </w:p>
        </w:tc>
        <w:tc>
          <w:tcPr>
            <w:tcW w:w="1077" w:type="dxa"/>
            <w:tcBorders>
              <w:top w:val="nil"/>
              <w:left w:val="nil"/>
              <w:bottom w:val="single" w:sz="4" w:space="0" w:color="auto"/>
              <w:right w:val="single" w:sz="4" w:space="0" w:color="auto"/>
            </w:tcBorders>
            <w:shd w:val="clear" w:color="auto" w:fill="auto"/>
            <w:noWrap/>
            <w:vAlign w:val="center"/>
            <w:hideMark/>
          </w:tcPr>
          <w:p w14:paraId="058C8E2E"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45,94</w:t>
            </w:r>
          </w:p>
        </w:tc>
        <w:tc>
          <w:tcPr>
            <w:tcW w:w="1134" w:type="dxa"/>
            <w:tcBorders>
              <w:top w:val="nil"/>
              <w:left w:val="nil"/>
              <w:bottom w:val="single" w:sz="4" w:space="0" w:color="auto"/>
              <w:right w:val="single" w:sz="4" w:space="0" w:color="auto"/>
            </w:tcBorders>
            <w:shd w:val="clear" w:color="auto" w:fill="auto"/>
            <w:noWrap/>
            <w:vAlign w:val="bottom"/>
            <w:hideMark/>
          </w:tcPr>
          <w:p w14:paraId="7C37391F"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nil"/>
              <w:left w:val="nil"/>
              <w:bottom w:val="single" w:sz="4" w:space="0" w:color="auto"/>
              <w:right w:val="single" w:sz="4" w:space="0" w:color="auto"/>
            </w:tcBorders>
            <w:shd w:val="clear" w:color="auto" w:fill="auto"/>
            <w:noWrap/>
            <w:vAlign w:val="center"/>
            <w:hideMark/>
          </w:tcPr>
          <w:p w14:paraId="6D97663A"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20,77</w:t>
            </w:r>
          </w:p>
        </w:tc>
        <w:tc>
          <w:tcPr>
            <w:tcW w:w="879" w:type="dxa"/>
            <w:tcBorders>
              <w:top w:val="nil"/>
              <w:left w:val="nil"/>
              <w:bottom w:val="single" w:sz="4" w:space="0" w:color="auto"/>
              <w:right w:val="single" w:sz="4" w:space="0" w:color="auto"/>
            </w:tcBorders>
            <w:shd w:val="clear" w:color="auto" w:fill="auto"/>
            <w:noWrap/>
            <w:vAlign w:val="center"/>
            <w:hideMark/>
          </w:tcPr>
          <w:p w14:paraId="6439A499" w14:textId="256C47F6" w:rsidR="001945E1" w:rsidRPr="00F52921" w:rsidRDefault="001945E1" w:rsidP="009373D3">
            <w:pPr>
              <w:spacing w:before="40" w:after="40"/>
              <w:jc w:val="right"/>
              <w:rPr>
                <w:rFonts w:cstheme="minorHAnsi"/>
                <w:color w:val="000000"/>
                <w:sz w:val="20"/>
              </w:rPr>
            </w:pPr>
            <w:r w:rsidRPr="00F52921">
              <w:rPr>
                <w:rFonts w:cstheme="minorHAnsi"/>
                <w:color w:val="000000"/>
                <w:sz w:val="20"/>
              </w:rPr>
              <w:t>82,52</w:t>
            </w:r>
          </w:p>
        </w:tc>
        <w:tc>
          <w:tcPr>
            <w:tcW w:w="907" w:type="dxa"/>
            <w:tcBorders>
              <w:top w:val="nil"/>
              <w:left w:val="nil"/>
              <w:bottom w:val="single" w:sz="4" w:space="0" w:color="auto"/>
              <w:right w:val="single" w:sz="4" w:space="0" w:color="auto"/>
            </w:tcBorders>
            <w:shd w:val="clear" w:color="auto" w:fill="auto"/>
            <w:noWrap/>
            <w:vAlign w:val="center"/>
            <w:hideMark/>
          </w:tcPr>
          <w:p w14:paraId="126C6038"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62B407A1"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4</w:t>
            </w:r>
          </w:p>
        </w:tc>
      </w:tr>
      <w:tr w:rsidR="00FE37EA" w:rsidRPr="00F52921" w14:paraId="574200E4" w14:textId="77777777" w:rsidTr="009D6C3F">
        <w:trPr>
          <w:trHeight w:val="283"/>
        </w:trPr>
        <w:tc>
          <w:tcPr>
            <w:tcW w:w="794" w:type="dxa"/>
            <w:vMerge/>
            <w:tcBorders>
              <w:top w:val="nil"/>
              <w:left w:val="single" w:sz="4" w:space="0" w:color="auto"/>
              <w:bottom w:val="single" w:sz="4" w:space="0" w:color="auto"/>
              <w:right w:val="single" w:sz="4" w:space="0" w:color="auto"/>
            </w:tcBorders>
            <w:shd w:val="clear" w:color="auto" w:fill="auto"/>
            <w:vAlign w:val="center"/>
            <w:hideMark/>
          </w:tcPr>
          <w:p w14:paraId="16CF71B0"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2F493D7D"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2015</w:t>
            </w:r>
          </w:p>
        </w:tc>
        <w:tc>
          <w:tcPr>
            <w:tcW w:w="1020" w:type="dxa"/>
            <w:tcBorders>
              <w:top w:val="nil"/>
              <w:left w:val="nil"/>
              <w:bottom w:val="single" w:sz="4" w:space="0" w:color="auto"/>
              <w:right w:val="single" w:sz="4" w:space="0" w:color="auto"/>
            </w:tcBorders>
            <w:shd w:val="clear" w:color="auto" w:fill="auto"/>
            <w:noWrap/>
            <w:vAlign w:val="center"/>
            <w:hideMark/>
          </w:tcPr>
          <w:p w14:paraId="27C8A201"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21,32</w:t>
            </w:r>
          </w:p>
        </w:tc>
        <w:tc>
          <w:tcPr>
            <w:tcW w:w="1134" w:type="dxa"/>
            <w:tcBorders>
              <w:top w:val="nil"/>
              <w:left w:val="nil"/>
              <w:bottom w:val="single" w:sz="4" w:space="0" w:color="auto"/>
              <w:right w:val="single" w:sz="4" w:space="0" w:color="auto"/>
            </w:tcBorders>
            <w:shd w:val="clear" w:color="auto" w:fill="auto"/>
            <w:noWrap/>
            <w:vAlign w:val="center"/>
            <w:hideMark/>
          </w:tcPr>
          <w:p w14:paraId="56FBBFAD"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1077" w:type="dxa"/>
            <w:tcBorders>
              <w:top w:val="nil"/>
              <w:left w:val="nil"/>
              <w:bottom w:val="single" w:sz="4" w:space="0" w:color="auto"/>
              <w:right w:val="single" w:sz="4" w:space="0" w:color="auto"/>
            </w:tcBorders>
            <w:shd w:val="clear" w:color="auto" w:fill="auto"/>
            <w:noWrap/>
            <w:vAlign w:val="center"/>
            <w:hideMark/>
          </w:tcPr>
          <w:p w14:paraId="12F53C59"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43,86</w:t>
            </w:r>
          </w:p>
        </w:tc>
        <w:tc>
          <w:tcPr>
            <w:tcW w:w="1134" w:type="dxa"/>
            <w:tcBorders>
              <w:top w:val="nil"/>
              <w:left w:val="nil"/>
              <w:bottom w:val="single" w:sz="4" w:space="0" w:color="auto"/>
              <w:right w:val="single" w:sz="4" w:space="0" w:color="auto"/>
            </w:tcBorders>
            <w:shd w:val="clear" w:color="auto" w:fill="auto"/>
            <w:noWrap/>
            <w:vAlign w:val="bottom"/>
            <w:hideMark/>
          </w:tcPr>
          <w:p w14:paraId="6518D668"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nil"/>
              <w:left w:val="nil"/>
              <w:bottom w:val="single" w:sz="4" w:space="0" w:color="auto"/>
              <w:right w:val="single" w:sz="4" w:space="0" w:color="auto"/>
            </w:tcBorders>
            <w:shd w:val="clear" w:color="auto" w:fill="auto"/>
            <w:noWrap/>
            <w:vAlign w:val="center"/>
            <w:hideMark/>
          </w:tcPr>
          <w:p w14:paraId="04E636D7"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22,54</w:t>
            </w:r>
          </w:p>
        </w:tc>
        <w:tc>
          <w:tcPr>
            <w:tcW w:w="879" w:type="dxa"/>
            <w:tcBorders>
              <w:top w:val="nil"/>
              <w:left w:val="nil"/>
              <w:bottom w:val="single" w:sz="4" w:space="0" w:color="auto"/>
              <w:right w:val="single" w:sz="4" w:space="0" w:color="auto"/>
            </w:tcBorders>
            <w:shd w:val="clear" w:color="auto" w:fill="auto"/>
            <w:noWrap/>
            <w:vAlign w:val="center"/>
            <w:hideMark/>
          </w:tcPr>
          <w:p w14:paraId="0ED28E88" w14:textId="46115E51" w:rsidR="001945E1" w:rsidRPr="00F52921" w:rsidRDefault="001945E1" w:rsidP="009373D3">
            <w:pPr>
              <w:spacing w:before="40" w:after="40"/>
              <w:jc w:val="right"/>
              <w:rPr>
                <w:rFonts w:cstheme="minorHAnsi"/>
                <w:color w:val="000000"/>
                <w:sz w:val="20"/>
              </w:rPr>
            </w:pPr>
            <w:r w:rsidRPr="00F52921">
              <w:rPr>
                <w:rFonts w:cstheme="minorHAnsi"/>
                <w:color w:val="000000"/>
                <w:sz w:val="20"/>
              </w:rPr>
              <w:t>105,71</w:t>
            </w:r>
          </w:p>
        </w:tc>
        <w:tc>
          <w:tcPr>
            <w:tcW w:w="907" w:type="dxa"/>
            <w:tcBorders>
              <w:top w:val="nil"/>
              <w:left w:val="nil"/>
              <w:bottom w:val="single" w:sz="4" w:space="0" w:color="auto"/>
              <w:right w:val="single" w:sz="4" w:space="0" w:color="auto"/>
            </w:tcBorders>
            <w:shd w:val="clear" w:color="auto" w:fill="auto"/>
            <w:noWrap/>
            <w:vAlign w:val="center"/>
            <w:hideMark/>
          </w:tcPr>
          <w:p w14:paraId="3EB2A244"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6607E0A5"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4</w:t>
            </w:r>
          </w:p>
        </w:tc>
      </w:tr>
      <w:tr w:rsidR="00FE37EA" w:rsidRPr="00F52921" w14:paraId="11B10DFC" w14:textId="77777777" w:rsidTr="009D6C3F">
        <w:trPr>
          <w:trHeight w:val="283"/>
        </w:trPr>
        <w:tc>
          <w:tcPr>
            <w:tcW w:w="794" w:type="dxa"/>
            <w:vMerge/>
            <w:tcBorders>
              <w:top w:val="nil"/>
              <w:left w:val="single" w:sz="4" w:space="0" w:color="auto"/>
              <w:bottom w:val="single" w:sz="4" w:space="0" w:color="auto"/>
              <w:right w:val="single" w:sz="4" w:space="0" w:color="auto"/>
            </w:tcBorders>
            <w:shd w:val="clear" w:color="auto" w:fill="auto"/>
            <w:vAlign w:val="center"/>
            <w:hideMark/>
          </w:tcPr>
          <w:p w14:paraId="1A291AB3"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35F1FFC6"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2016</w:t>
            </w:r>
          </w:p>
        </w:tc>
        <w:tc>
          <w:tcPr>
            <w:tcW w:w="1020" w:type="dxa"/>
            <w:tcBorders>
              <w:top w:val="nil"/>
              <w:left w:val="nil"/>
              <w:bottom w:val="single" w:sz="4" w:space="0" w:color="auto"/>
              <w:right w:val="single" w:sz="4" w:space="0" w:color="auto"/>
            </w:tcBorders>
            <w:shd w:val="clear" w:color="auto" w:fill="auto"/>
            <w:noWrap/>
            <w:vAlign w:val="center"/>
            <w:hideMark/>
          </w:tcPr>
          <w:p w14:paraId="1FEE11FE" w14:textId="77777777" w:rsidR="001945E1" w:rsidRPr="00F52921" w:rsidRDefault="001945E1" w:rsidP="009D6C3F">
            <w:pPr>
              <w:spacing w:before="40" w:after="40"/>
              <w:jc w:val="right"/>
              <w:rPr>
                <w:rFonts w:cstheme="minorHAnsi"/>
                <w:sz w:val="20"/>
              </w:rPr>
            </w:pPr>
            <w:r w:rsidRPr="00F52921">
              <w:rPr>
                <w:rFonts w:cstheme="minorHAnsi"/>
                <w:sz w:val="20"/>
              </w:rPr>
              <w:t>39,61</w:t>
            </w:r>
          </w:p>
        </w:tc>
        <w:tc>
          <w:tcPr>
            <w:tcW w:w="1134" w:type="dxa"/>
            <w:tcBorders>
              <w:top w:val="nil"/>
              <w:left w:val="nil"/>
              <w:bottom w:val="single" w:sz="4" w:space="0" w:color="auto"/>
              <w:right w:val="single" w:sz="4" w:space="0" w:color="auto"/>
            </w:tcBorders>
            <w:shd w:val="clear" w:color="auto" w:fill="auto"/>
            <w:noWrap/>
            <w:vAlign w:val="center"/>
            <w:hideMark/>
          </w:tcPr>
          <w:p w14:paraId="0B35068F"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0C4941CB"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43,48</w:t>
            </w:r>
          </w:p>
        </w:tc>
        <w:tc>
          <w:tcPr>
            <w:tcW w:w="1134" w:type="dxa"/>
            <w:tcBorders>
              <w:top w:val="nil"/>
              <w:left w:val="nil"/>
              <w:bottom w:val="single" w:sz="4" w:space="0" w:color="auto"/>
              <w:right w:val="single" w:sz="4" w:space="0" w:color="auto"/>
            </w:tcBorders>
            <w:shd w:val="clear" w:color="auto" w:fill="auto"/>
            <w:noWrap/>
            <w:vAlign w:val="bottom"/>
            <w:hideMark/>
          </w:tcPr>
          <w:p w14:paraId="716DB1CE"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nil"/>
              <w:left w:val="nil"/>
              <w:bottom w:val="single" w:sz="4" w:space="0" w:color="auto"/>
              <w:right w:val="single" w:sz="4" w:space="0" w:color="auto"/>
            </w:tcBorders>
            <w:shd w:val="clear" w:color="auto" w:fill="auto"/>
            <w:noWrap/>
            <w:vAlign w:val="center"/>
            <w:hideMark/>
          </w:tcPr>
          <w:p w14:paraId="184B1A5C"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3,87</w:t>
            </w:r>
          </w:p>
        </w:tc>
        <w:tc>
          <w:tcPr>
            <w:tcW w:w="879" w:type="dxa"/>
            <w:tcBorders>
              <w:top w:val="nil"/>
              <w:left w:val="nil"/>
              <w:bottom w:val="single" w:sz="4" w:space="0" w:color="auto"/>
              <w:right w:val="single" w:sz="4" w:space="0" w:color="auto"/>
            </w:tcBorders>
            <w:shd w:val="clear" w:color="auto" w:fill="auto"/>
            <w:noWrap/>
            <w:vAlign w:val="center"/>
            <w:hideMark/>
          </w:tcPr>
          <w:p w14:paraId="143EEBE7" w14:textId="235C1AE0" w:rsidR="001945E1" w:rsidRPr="00F52921" w:rsidRDefault="001945E1" w:rsidP="009373D3">
            <w:pPr>
              <w:spacing w:before="40" w:after="40"/>
              <w:jc w:val="right"/>
              <w:rPr>
                <w:rFonts w:cstheme="minorHAnsi"/>
                <w:color w:val="000000"/>
                <w:sz w:val="20"/>
              </w:rPr>
            </w:pPr>
            <w:r w:rsidRPr="00F52921">
              <w:rPr>
                <w:rFonts w:cstheme="minorHAnsi"/>
                <w:color w:val="000000"/>
                <w:sz w:val="20"/>
              </w:rPr>
              <w:t>9,77</w:t>
            </w:r>
          </w:p>
        </w:tc>
        <w:tc>
          <w:tcPr>
            <w:tcW w:w="907" w:type="dxa"/>
            <w:tcBorders>
              <w:top w:val="nil"/>
              <w:left w:val="nil"/>
              <w:bottom w:val="single" w:sz="4" w:space="0" w:color="auto"/>
              <w:right w:val="single" w:sz="4" w:space="0" w:color="auto"/>
            </w:tcBorders>
            <w:shd w:val="clear" w:color="auto" w:fill="auto"/>
            <w:noWrap/>
            <w:vAlign w:val="center"/>
            <w:hideMark/>
          </w:tcPr>
          <w:p w14:paraId="4CECC466"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323761D6"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4</w:t>
            </w:r>
          </w:p>
        </w:tc>
      </w:tr>
      <w:tr w:rsidR="00FE37EA" w:rsidRPr="00F52921" w14:paraId="3EE7CF91" w14:textId="77777777"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723BB6" w14:textId="77777777" w:rsidR="001945E1" w:rsidRPr="00F52921" w:rsidRDefault="001945E1" w:rsidP="009D6C3F">
            <w:pPr>
              <w:spacing w:before="40" w:after="40"/>
              <w:ind w:left="-57" w:right="-57"/>
              <w:jc w:val="center"/>
              <w:rPr>
                <w:rFonts w:cstheme="minorHAnsi"/>
                <w:color w:val="000000"/>
                <w:sz w:val="20"/>
              </w:rPr>
            </w:pPr>
            <w:r>
              <w:rPr>
                <w:rFonts w:cstheme="minorHAnsi"/>
                <w:color w:val="000000"/>
                <w:sz w:val="20"/>
              </w:rPr>
              <w:t>00</w:t>
            </w:r>
            <w:r w:rsidRPr="00F52921">
              <w:rPr>
                <w:rFonts w:cstheme="minorHAnsi"/>
                <w:color w:val="000000"/>
                <w:sz w:val="20"/>
              </w:rPr>
              <w:t>26127</w:t>
            </w:r>
          </w:p>
        </w:tc>
        <w:tc>
          <w:tcPr>
            <w:tcW w:w="573" w:type="dxa"/>
            <w:tcBorders>
              <w:top w:val="nil"/>
              <w:left w:val="nil"/>
              <w:bottom w:val="single" w:sz="4" w:space="0" w:color="auto"/>
              <w:right w:val="single" w:sz="4" w:space="0" w:color="auto"/>
            </w:tcBorders>
            <w:shd w:val="clear" w:color="auto" w:fill="auto"/>
            <w:noWrap/>
            <w:vAlign w:val="center"/>
            <w:hideMark/>
          </w:tcPr>
          <w:p w14:paraId="496993AD"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2014</w:t>
            </w:r>
          </w:p>
        </w:tc>
        <w:tc>
          <w:tcPr>
            <w:tcW w:w="1020" w:type="dxa"/>
            <w:tcBorders>
              <w:top w:val="nil"/>
              <w:left w:val="nil"/>
              <w:bottom w:val="single" w:sz="4" w:space="0" w:color="auto"/>
              <w:right w:val="single" w:sz="4" w:space="0" w:color="auto"/>
            </w:tcBorders>
            <w:shd w:val="clear" w:color="auto" w:fill="auto"/>
            <w:noWrap/>
            <w:vAlign w:val="center"/>
            <w:hideMark/>
          </w:tcPr>
          <w:p w14:paraId="72533687" w14:textId="77777777" w:rsidR="001945E1" w:rsidRPr="00F52921" w:rsidRDefault="001945E1" w:rsidP="009D6C3F">
            <w:pPr>
              <w:spacing w:before="40" w:after="40"/>
              <w:jc w:val="right"/>
              <w:rPr>
                <w:rFonts w:cstheme="minorHAnsi"/>
                <w:sz w:val="20"/>
              </w:rPr>
            </w:pPr>
            <w:r w:rsidRPr="00F52921">
              <w:rPr>
                <w:rFonts w:cstheme="minorHAnsi"/>
                <w:sz w:val="20"/>
              </w:rPr>
              <w:t>12 309,80</w:t>
            </w:r>
          </w:p>
        </w:tc>
        <w:tc>
          <w:tcPr>
            <w:tcW w:w="1134" w:type="dxa"/>
            <w:tcBorders>
              <w:top w:val="nil"/>
              <w:left w:val="nil"/>
              <w:bottom w:val="single" w:sz="4" w:space="0" w:color="auto"/>
              <w:right w:val="single" w:sz="4" w:space="0" w:color="auto"/>
            </w:tcBorders>
            <w:shd w:val="clear" w:color="auto" w:fill="auto"/>
            <w:noWrap/>
            <w:vAlign w:val="center"/>
            <w:hideMark/>
          </w:tcPr>
          <w:p w14:paraId="7D5FBB58"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5CA32B28"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12 580,25</w:t>
            </w:r>
          </w:p>
        </w:tc>
        <w:tc>
          <w:tcPr>
            <w:tcW w:w="1134" w:type="dxa"/>
            <w:tcBorders>
              <w:top w:val="nil"/>
              <w:left w:val="nil"/>
              <w:bottom w:val="single" w:sz="4" w:space="0" w:color="auto"/>
              <w:right w:val="single" w:sz="4" w:space="0" w:color="auto"/>
            </w:tcBorders>
            <w:shd w:val="clear" w:color="auto" w:fill="auto"/>
            <w:noWrap/>
            <w:vAlign w:val="bottom"/>
            <w:hideMark/>
          </w:tcPr>
          <w:p w14:paraId="7ABB9809"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nil"/>
              <w:left w:val="nil"/>
              <w:bottom w:val="single" w:sz="4" w:space="0" w:color="auto"/>
              <w:right w:val="single" w:sz="4" w:space="0" w:color="auto"/>
            </w:tcBorders>
            <w:shd w:val="clear" w:color="auto" w:fill="auto"/>
            <w:noWrap/>
            <w:vAlign w:val="center"/>
            <w:hideMark/>
          </w:tcPr>
          <w:p w14:paraId="09C490CD"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270,45</w:t>
            </w:r>
          </w:p>
        </w:tc>
        <w:tc>
          <w:tcPr>
            <w:tcW w:w="879" w:type="dxa"/>
            <w:tcBorders>
              <w:top w:val="nil"/>
              <w:left w:val="nil"/>
              <w:bottom w:val="single" w:sz="4" w:space="0" w:color="auto"/>
              <w:right w:val="single" w:sz="4" w:space="0" w:color="auto"/>
            </w:tcBorders>
            <w:shd w:val="clear" w:color="auto" w:fill="auto"/>
            <w:noWrap/>
            <w:vAlign w:val="center"/>
            <w:hideMark/>
          </w:tcPr>
          <w:p w14:paraId="54F3C1F1" w14:textId="1F7FC7DD" w:rsidR="001945E1" w:rsidRPr="00F52921" w:rsidRDefault="001945E1" w:rsidP="009373D3">
            <w:pPr>
              <w:spacing w:before="40" w:after="40"/>
              <w:jc w:val="right"/>
              <w:rPr>
                <w:rFonts w:cstheme="minorHAnsi"/>
                <w:color w:val="000000"/>
                <w:sz w:val="20"/>
              </w:rPr>
            </w:pPr>
            <w:r w:rsidRPr="00F52921">
              <w:rPr>
                <w:rFonts w:cstheme="minorHAnsi"/>
                <w:color w:val="000000"/>
                <w:sz w:val="20"/>
              </w:rPr>
              <w:t>2,20</w:t>
            </w:r>
          </w:p>
        </w:tc>
        <w:tc>
          <w:tcPr>
            <w:tcW w:w="907" w:type="dxa"/>
            <w:tcBorders>
              <w:top w:val="nil"/>
              <w:left w:val="nil"/>
              <w:bottom w:val="single" w:sz="4" w:space="0" w:color="auto"/>
              <w:right w:val="single" w:sz="4" w:space="0" w:color="auto"/>
            </w:tcBorders>
            <w:shd w:val="clear" w:color="auto" w:fill="auto"/>
            <w:noWrap/>
            <w:vAlign w:val="center"/>
            <w:hideMark/>
          </w:tcPr>
          <w:p w14:paraId="2664209B"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6A439CEB"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3</w:t>
            </w:r>
          </w:p>
        </w:tc>
      </w:tr>
      <w:tr w:rsidR="00FE37EA" w:rsidRPr="00F52921" w14:paraId="41C8E0E3" w14:textId="77777777" w:rsidTr="009D6C3F">
        <w:trPr>
          <w:trHeight w:val="283"/>
        </w:trPr>
        <w:tc>
          <w:tcPr>
            <w:tcW w:w="794" w:type="dxa"/>
            <w:vMerge/>
            <w:tcBorders>
              <w:top w:val="nil"/>
              <w:left w:val="single" w:sz="4" w:space="0" w:color="auto"/>
              <w:bottom w:val="single" w:sz="4" w:space="0" w:color="auto"/>
              <w:right w:val="single" w:sz="4" w:space="0" w:color="auto"/>
            </w:tcBorders>
            <w:shd w:val="clear" w:color="auto" w:fill="auto"/>
            <w:vAlign w:val="center"/>
            <w:hideMark/>
          </w:tcPr>
          <w:p w14:paraId="5E12D29A"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1326517D"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2015</w:t>
            </w:r>
          </w:p>
        </w:tc>
        <w:tc>
          <w:tcPr>
            <w:tcW w:w="1020" w:type="dxa"/>
            <w:tcBorders>
              <w:top w:val="nil"/>
              <w:left w:val="nil"/>
              <w:bottom w:val="single" w:sz="4" w:space="0" w:color="auto"/>
              <w:right w:val="single" w:sz="4" w:space="0" w:color="auto"/>
            </w:tcBorders>
            <w:shd w:val="clear" w:color="auto" w:fill="auto"/>
            <w:noWrap/>
            <w:vAlign w:val="center"/>
            <w:hideMark/>
          </w:tcPr>
          <w:p w14:paraId="4010DF55"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11 869,41</w:t>
            </w:r>
          </w:p>
        </w:tc>
        <w:tc>
          <w:tcPr>
            <w:tcW w:w="1134" w:type="dxa"/>
            <w:tcBorders>
              <w:top w:val="nil"/>
              <w:left w:val="nil"/>
              <w:bottom w:val="single" w:sz="4" w:space="0" w:color="auto"/>
              <w:right w:val="single" w:sz="4" w:space="0" w:color="auto"/>
            </w:tcBorders>
            <w:shd w:val="clear" w:color="auto" w:fill="auto"/>
            <w:noWrap/>
            <w:vAlign w:val="center"/>
            <w:hideMark/>
          </w:tcPr>
          <w:p w14:paraId="62549F30"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1077" w:type="dxa"/>
            <w:tcBorders>
              <w:top w:val="nil"/>
              <w:left w:val="nil"/>
              <w:bottom w:val="single" w:sz="4" w:space="0" w:color="auto"/>
              <w:right w:val="single" w:sz="4" w:space="0" w:color="auto"/>
            </w:tcBorders>
            <w:shd w:val="clear" w:color="auto" w:fill="auto"/>
            <w:noWrap/>
            <w:vAlign w:val="center"/>
            <w:hideMark/>
          </w:tcPr>
          <w:p w14:paraId="636BD013"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13 007,56</w:t>
            </w:r>
          </w:p>
        </w:tc>
        <w:tc>
          <w:tcPr>
            <w:tcW w:w="1134" w:type="dxa"/>
            <w:tcBorders>
              <w:top w:val="nil"/>
              <w:left w:val="nil"/>
              <w:bottom w:val="single" w:sz="4" w:space="0" w:color="auto"/>
              <w:right w:val="single" w:sz="4" w:space="0" w:color="auto"/>
            </w:tcBorders>
            <w:shd w:val="clear" w:color="auto" w:fill="auto"/>
            <w:noWrap/>
            <w:vAlign w:val="bottom"/>
            <w:hideMark/>
          </w:tcPr>
          <w:p w14:paraId="3A1A485D"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ÚVN</w:t>
            </w:r>
          </w:p>
        </w:tc>
        <w:tc>
          <w:tcPr>
            <w:tcW w:w="899" w:type="dxa"/>
            <w:tcBorders>
              <w:top w:val="nil"/>
              <w:left w:val="nil"/>
              <w:bottom w:val="single" w:sz="4" w:space="0" w:color="auto"/>
              <w:right w:val="single" w:sz="4" w:space="0" w:color="auto"/>
            </w:tcBorders>
            <w:shd w:val="clear" w:color="auto" w:fill="auto"/>
            <w:noWrap/>
            <w:vAlign w:val="center"/>
            <w:hideMark/>
          </w:tcPr>
          <w:p w14:paraId="1D56DB00"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1 138,15</w:t>
            </w:r>
          </w:p>
        </w:tc>
        <w:tc>
          <w:tcPr>
            <w:tcW w:w="879" w:type="dxa"/>
            <w:tcBorders>
              <w:top w:val="nil"/>
              <w:left w:val="nil"/>
              <w:bottom w:val="single" w:sz="4" w:space="0" w:color="auto"/>
              <w:right w:val="single" w:sz="4" w:space="0" w:color="auto"/>
            </w:tcBorders>
            <w:shd w:val="clear" w:color="auto" w:fill="auto"/>
            <w:noWrap/>
            <w:vAlign w:val="center"/>
            <w:hideMark/>
          </w:tcPr>
          <w:p w14:paraId="281C3FDB" w14:textId="04231D84" w:rsidR="001945E1" w:rsidRPr="00F52921" w:rsidRDefault="001945E1" w:rsidP="009373D3">
            <w:pPr>
              <w:spacing w:before="40" w:after="40"/>
              <w:jc w:val="right"/>
              <w:rPr>
                <w:rFonts w:cstheme="minorHAnsi"/>
                <w:color w:val="000000"/>
                <w:sz w:val="20"/>
              </w:rPr>
            </w:pPr>
            <w:r w:rsidRPr="00F52921">
              <w:rPr>
                <w:rFonts w:cstheme="minorHAnsi"/>
                <w:color w:val="000000"/>
                <w:sz w:val="20"/>
              </w:rPr>
              <w:t>9,59</w:t>
            </w:r>
          </w:p>
        </w:tc>
        <w:tc>
          <w:tcPr>
            <w:tcW w:w="907" w:type="dxa"/>
            <w:tcBorders>
              <w:top w:val="nil"/>
              <w:left w:val="nil"/>
              <w:bottom w:val="single" w:sz="4" w:space="0" w:color="auto"/>
              <w:right w:val="single" w:sz="4" w:space="0" w:color="auto"/>
            </w:tcBorders>
            <w:shd w:val="clear" w:color="auto" w:fill="auto"/>
            <w:noWrap/>
            <w:vAlign w:val="center"/>
            <w:hideMark/>
          </w:tcPr>
          <w:p w14:paraId="5ECA7884"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187E567E"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4</w:t>
            </w:r>
          </w:p>
        </w:tc>
      </w:tr>
      <w:tr w:rsidR="00FE37EA" w:rsidRPr="00F52921" w14:paraId="5DE2DAC3" w14:textId="77777777" w:rsidTr="009D6C3F">
        <w:trPr>
          <w:trHeight w:val="283"/>
        </w:trPr>
        <w:tc>
          <w:tcPr>
            <w:tcW w:w="794" w:type="dxa"/>
            <w:vMerge/>
            <w:tcBorders>
              <w:top w:val="nil"/>
              <w:left w:val="single" w:sz="4" w:space="0" w:color="auto"/>
              <w:bottom w:val="single" w:sz="4" w:space="0" w:color="auto"/>
              <w:right w:val="single" w:sz="4" w:space="0" w:color="auto"/>
            </w:tcBorders>
            <w:shd w:val="clear" w:color="auto" w:fill="auto"/>
            <w:vAlign w:val="center"/>
            <w:hideMark/>
          </w:tcPr>
          <w:p w14:paraId="52683862"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0347F23B"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2016</w:t>
            </w:r>
          </w:p>
        </w:tc>
        <w:tc>
          <w:tcPr>
            <w:tcW w:w="1020" w:type="dxa"/>
            <w:tcBorders>
              <w:top w:val="nil"/>
              <w:left w:val="nil"/>
              <w:bottom w:val="single" w:sz="4" w:space="0" w:color="auto"/>
              <w:right w:val="single" w:sz="4" w:space="0" w:color="auto"/>
            </w:tcBorders>
            <w:shd w:val="clear" w:color="auto" w:fill="auto"/>
            <w:noWrap/>
            <w:vAlign w:val="center"/>
            <w:hideMark/>
          </w:tcPr>
          <w:p w14:paraId="7A2460C0" w14:textId="77777777" w:rsidR="001945E1" w:rsidRPr="00F52921" w:rsidRDefault="001945E1" w:rsidP="009D6C3F">
            <w:pPr>
              <w:spacing w:before="40" w:after="40"/>
              <w:jc w:val="right"/>
              <w:rPr>
                <w:rFonts w:cstheme="minorHAnsi"/>
                <w:sz w:val="20"/>
              </w:rPr>
            </w:pPr>
            <w:r w:rsidRPr="00F52921">
              <w:rPr>
                <w:rFonts w:cstheme="minorHAnsi"/>
                <w:sz w:val="20"/>
              </w:rPr>
              <w:t>12 241,36</w:t>
            </w:r>
          </w:p>
        </w:tc>
        <w:tc>
          <w:tcPr>
            <w:tcW w:w="1134" w:type="dxa"/>
            <w:tcBorders>
              <w:top w:val="nil"/>
              <w:left w:val="nil"/>
              <w:bottom w:val="single" w:sz="4" w:space="0" w:color="auto"/>
              <w:right w:val="single" w:sz="4" w:space="0" w:color="auto"/>
            </w:tcBorders>
            <w:shd w:val="clear" w:color="auto" w:fill="auto"/>
            <w:noWrap/>
            <w:vAlign w:val="center"/>
            <w:hideMark/>
          </w:tcPr>
          <w:p w14:paraId="60A0A31B"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0D9E2F3C"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12 522,48</w:t>
            </w:r>
          </w:p>
        </w:tc>
        <w:tc>
          <w:tcPr>
            <w:tcW w:w="1134" w:type="dxa"/>
            <w:tcBorders>
              <w:top w:val="nil"/>
              <w:left w:val="nil"/>
              <w:bottom w:val="single" w:sz="4" w:space="0" w:color="auto"/>
              <w:right w:val="single" w:sz="4" w:space="0" w:color="auto"/>
            </w:tcBorders>
            <w:shd w:val="clear" w:color="auto" w:fill="auto"/>
            <w:noWrap/>
            <w:vAlign w:val="bottom"/>
            <w:hideMark/>
          </w:tcPr>
          <w:p w14:paraId="0886BDE8"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nil"/>
              <w:left w:val="nil"/>
              <w:bottom w:val="single" w:sz="4" w:space="0" w:color="auto"/>
              <w:right w:val="single" w:sz="4" w:space="0" w:color="auto"/>
            </w:tcBorders>
            <w:shd w:val="clear" w:color="auto" w:fill="auto"/>
            <w:noWrap/>
            <w:vAlign w:val="center"/>
            <w:hideMark/>
          </w:tcPr>
          <w:p w14:paraId="34302E18"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281,12</w:t>
            </w:r>
          </w:p>
        </w:tc>
        <w:tc>
          <w:tcPr>
            <w:tcW w:w="879" w:type="dxa"/>
            <w:tcBorders>
              <w:top w:val="nil"/>
              <w:left w:val="nil"/>
              <w:bottom w:val="single" w:sz="4" w:space="0" w:color="auto"/>
              <w:right w:val="single" w:sz="4" w:space="0" w:color="auto"/>
            </w:tcBorders>
            <w:shd w:val="clear" w:color="auto" w:fill="auto"/>
            <w:noWrap/>
            <w:vAlign w:val="center"/>
            <w:hideMark/>
          </w:tcPr>
          <w:p w14:paraId="37652D21" w14:textId="522FF538" w:rsidR="001945E1" w:rsidRPr="00F52921" w:rsidRDefault="001945E1" w:rsidP="009373D3">
            <w:pPr>
              <w:spacing w:before="40" w:after="40"/>
              <w:jc w:val="right"/>
              <w:rPr>
                <w:rFonts w:cstheme="minorHAnsi"/>
                <w:color w:val="000000"/>
                <w:sz w:val="20"/>
              </w:rPr>
            </w:pPr>
            <w:r w:rsidRPr="00F52921">
              <w:rPr>
                <w:rFonts w:cstheme="minorHAnsi"/>
                <w:color w:val="000000"/>
                <w:sz w:val="20"/>
              </w:rPr>
              <w:t>2,30</w:t>
            </w:r>
          </w:p>
        </w:tc>
        <w:tc>
          <w:tcPr>
            <w:tcW w:w="907" w:type="dxa"/>
            <w:tcBorders>
              <w:top w:val="nil"/>
              <w:left w:val="nil"/>
              <w:bottom w:val="single" w:sz="4" w:space="0" w:color="auto"/>
              <w:right w:val="single" w:sz="4" w:space="0" w:color="auto"/>
            </w:tcBorders>
            <w:shd w:val="clear" w:color="auto" w:fill="auto"/>
            <w:noWrap/>
            <w:vAlign w:val="center"/>
            <w:hideMark/>
          </w:tcPr>
          <w:p w14:paraId="3F811FBC"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57AB337B"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3</w:t>
            </w:r>
          </w:p>
        </w:tc>
      </w:tr>
      <w:tr w:rsidR="00FE37EA" w:rsidRPr="00F52921" w14:paraId="52B0894F" w14:textId="77777777"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EF45F3" w14:textId="77777777" w:rsidR="001945E1" w:rsidRPr="00F52921" w:rsidRDefault="001945E1" w:rsidP="009D6C3F">
            <w:pPr>
              <w:spacing w:before="40" w:after="40"/>
              <w:ind w:left="-57" w:right="-57"/>
              <w:jc w:val="center"/>
              <w:rPr>
                <w:rFonts w:cstheme="minorHAnsi"/>
                <w:color w:val="000000"/>
                <w:sz w:val="20"/>
              </w:rPr>
            </w:pPr>
            <w:r>
              <w:rPr>
                <w:rFonts w:cstheme="minorHAnsi"/>
                <w:color w:val="000000"/>
                <w:sz w:val="20"/>
              </w:rPr>
              <w:t>00</w:t>
            </w:r>
            <w:r w:rsidRPr="00F52921">
              <w:rPr>
                <w:rFonts w:cstheme="minorHAnsi"/>
                <w:color w:val="000000"/>
                <w:sz w:val="20"/>
              </w:rPr>
              <w:t>26889</w:t>
            </w:r>
          </w:p>
        </w:tc>
        <w:tc>
          <w:tcPr>
            <w:tcW w:w="573" w:type="dxa"/>
            <w:tcBorders>
              <w:top w:val="nil"/>
              <w:left w:val="nil"/>
              <w:bottom w:val="single" w:sz="4" w:space="0" w:color="auto"/>
              <w:right w:val="single" w:sz="4" w:space="0" w:color="auto"/>
            </w:tcBorders>
            <w:shd w:val="clear" w:color="auto" w:fill="auto"/>
            <w:noWrap/>
            <w:vAlign w:val="center"/>
            <w:hideMark/>
          </w:tcPr>
          <w:p w14:paraId="105B76B0"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2014</w:t>
            </w:r>
          </w:p>
        </w:tc>
        <w:tc>
          <w:tcPr>
            <w:tcW w:w="1020" w:type="dxa"/>
            <w:tcBorders>
              <w:top w:val="nil"/>
              <w:left w:val="nil"/>
              <w:bottom w:val="single" w:sz="4" w:space="0" w:color="auto"/>
              <w:right w:val="single" w:sz="4" w:space="0" w:color="auto"/>
            </w:tcBorders>
            <w:shd w:val="clear" w:color="auto" w:fill="auto"/>
            <w:noWrap/>
            <w:vAlign w:val="center"/>
            <w:hideMark/>
          </w:tcPr>
          <w:p w14:paraId="1FE4F7A2" w14:textId="77777777" w:rsidR="001945E1" w:rsidRPr="00F52921" w:rsidRDefault="001945E1" w:rsidP="009D6C3F">
            <w:pPr>
              <w:spacing w:before="40" w:after="40"/>
              <w:jc w:val="right"/>
              <w:rPr>
                <w:rFonts w:cstheme="minorHAnsi"/>
                <w:sz w:val="20"/>
              </w:rPr>
            </w:pPr>
            <w:r w:rsidRPr="00F52921">
              <w:rPr>
                <w:rFonts w:cstheme="minorHAnsi"/>
                <w:sz w:val="20"/>
              </w:rPr>
              <w:t>13 316,25</w:t>
            </w:r>
          </w:p>
        </w:tc>
        <w:tc>
          <w:tcPr>
            <w:tcW w:w="1134" w:type="dxa"/>
            <w:tcBorders>
              <w:top w:val="nil"/>
              <w:left w:val="nil"/>
              <w:bottom w:val="single" w:sz="4" w:space="0" w:color="auto"/>
              <w:right w:val="single" w:sz="4" w:space="0" w:color="auto"/>
            </w:tcBorders>
            <w:shd w:val="clear" w:color="auto" w:fill="auto"/>
            <w:noWrap/>
            <w:vAlign w:val="center"/>
            <w:hideMark/>
          </w:tcPr>
          <w:p w14:paraId="2DFCD672"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57BBB006" w14:textId="77777777" w:rsidR="001945E1" w:rsidRPr="00F52921" w:rsidRDefault="001945E1" w:rsidP="009D6C3F">
            <w:pPr>
              <w:spacing w:before="40" w:after="40"/>
              <w:jc w:val="right"/>
              <w:rPr>
                <w:rFonts w:cstheme="minorHAnsi"/>
                <w:sz w:val="20"/>
              </w:rPr>
            </w:pPr>
            <w:r w:rsidRPr="00F52921">
              <w:rPr>
                <w:rFonts w:cstheme="minorHAnsi"/>
                <w:sz w:val="20"/>
              </w:rPr>
              <w:t>15 704,53</w:t>
            </w:r>
          </w:p>
        </w:tc>
        <w:tc>
          <w:tcPr>
            <w:tcW w:w="1134" w:type="dxa"/>
            <w:tcBorders>
              <w:top w:val="nil"/>
              <w:left w:val="nil"/>
              <w:bottom w:val="single" w:sz="4" w:space="0" w:color="auto"/>
              <w:right w:val="single" w:sz="4" w:space="0" w:color="auto"/>
            </w:tcBorders>
            <w:shd w:val="clear" w:color="auto" w:fill="auto"/>
            <w:noWrap/>
            <w:vAlign w:val="bottom"/>
            <w:hideMark/>
          </w:tcPr>
          <w:p w14:paraId="565CC380"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899" w:type="dxa"/>
            <w:tcBorders>
              <w:top w:val="nil"/>
              <w:left w:val="nil"/>
              <w:bottom w:val="single" w:sz="4" w:space="0" w:color="auto"/>
              <w:right w:val="single" w:sz="4" w:space="0" w:color="auto"/>
            </w:tcBorders>
            <w:shd w:val="clear" w:color="auto" w:fill="auto"/>
            <w:noWrap/>
            <w:vAlign w:val="center"/>
            <w:hideMark/>
          </w:tcPr>
          <w:p w14:paraId="3FC4DFDD"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2 388,28</w:t>
            </w:r>
          </w:p>
        </w:tc>
        <w:tc>
          <w:tcPr>
            <w:tcW w:w="879" w:type="dxa"/>
            <w:tcBorders>
              <w:top w:val="nil"/>
              <w:left w:val="nil"/>
              <w:bottom w:val="single" w:sz="4" w:space="0" w:color="auto"/>
              <w:right w:val="single" w:sz="4" w:space="0" w:color="auto"/>
            </w:tcBorders>
            <w:shd w:val="clear" w:color="auto" w:fill="auto"/>
            <w:noWrap/>
            <w:vAlign w:val="center"/>
            <w:hideMark/>
          </w:tcPr>
          <w:p w14:paraId="7ECCFD5E" w14:textId="14DF3BE4" w:rsidR="001945E1" w:rsidRPr="00F52921" w:rsidRDefault="001945E1" w:rsidP="009373D3">
            <w:pPr>
              <w:spacing w:before="40" w:after="40"/>
              <w:jc w:val="right"/>
              <w:rPr>
                <w:rFonts w:cstheme="minorHAnsi"/>
                <w:color w:val="000000"/>
                <w:sz w:val="20"/>
              </w:rPr>
            </w:pPr>
            <w:r w:rsidRPr="00F52921">
              <w:rPr>
                <w:rFonts w:cstheme="minorHAnsi"/>
                <w:color w:val="000000"/>
                <w:sz w:val="20"/>
              </w:rPr>
              <w:t>17,94</w:t>
            </w:r>
          </w:p>
        </w:tc>
        <w:tc>
          <w:tcPr>
            <w:tcW w:w="907" w:type="dxa"/>
            <w:tcBorders>
              <w:top w:val="nil"/>
              <w:left w:val="nil"/>
              <w:bottom w:val="single" w:sz="4" w:space="0" w:color="auto"/>
              <w:right w:val="single" w:sz="4" w:space="0" w:color="auto"/>
            </w:tcBorders>
            <w:shd w:val="clear" w:color="auto" w:fill="auto"/>
            <w:noWrap/>
            <w:vAlign w:val="center"/>
            <w:hideMark/>
          </w:tcPr>
          <w:p w14:paraId="1921086B"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2</w:t>
            </w:r>
          </w:p>
        </w:tc>
        <w:tc>
          <w:tcPr>
            <w:tcW w:w="1020" w:type="dxa"/>
            <w:tcBorders>
              <w:top w:val="nil"/>
              <w:left w:val="nil"/>
              <w:bottom w:val="single" w:sz="4" w:space="0" w:color="auto"/>
              <w:right w:val="single" w:sz="4" w:space="0" w:color="auto"/>
            </w:tcBorders>
            <w:shd w:val="clear" w:color="auto" w:fill="auto"/>
            <w:noWrap/>
            <w:vAlign w:val="center"/>
            <w:hideMark/>
          </w:tcPr>
          <w:p w14:paraId="234CC1B9"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3</w:t>
            </w:r>
          </w:p>
        </w:tc>
      </w:tr>
      <w:tr w:rsidR="00FE37EA" w:rsidRPr="00F52921" w14:paraId="6885B345" w14:textId="77777777"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14:paraId="599070E4"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1547C8D3"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2015</w:t>
            </w:r>
          </w:p>
        </w:tc>
        <w:tc>
          <w:tcPr>
            <w:tcW w:w="1020" w:type="dxa"/>
            <w:tcBorders>
              <w:top w:val="nil"/>
              <w:left w:val="nil"/>
              <w:bottom w:val="single" w:sz="4" w:space="0" w:color="auto"/>
              <w:right w:val="single" w:sz="4" w:space="0" w:color="auto"/>
            </w:tcBorders>
            <w:shd w:val="clear" w:color="auto" w:fill="auto"/>
            <w:noWrap/>
            <w:vAlign w:val="center"/>
            <w:hideMark/>
          </w:tcPr>
          <w:p w14:paraId="7DF01300" w14:textId="77777777" w:rsidR="001945E1" w:rsidRPr="00F52921" w:rsidRDefault="001945E1" w:rsidP="009D6C3F">
            <w:pPr>
              <w:spacing w:before="40" w:after="40"/>
              <w:jc w:val="right"/>
              <w:rPr>
                <w:rFonts w:cstheme="minorHAnsi"/>
                <w:sz w:val="20"/>
              </w:rPr>
            </w:pPr>
            <w:r w:rsidRPr="00F52921">
              <w:rPr>
                <w:rFonts w:cstheme="minorHAnsi"/>
                <w:sz w:val="20"/>
              </w:rPr>
              <w:t>12 737,29</w:t>
            </w:r>
          </w:p>
        </w:tc>
        <w:tc>
          <w:tcPr>
            <w:tcW w:w="1134" w:type="dxa"/>
            <w:tcBorders>
              <w:top w:val="nil"/>
              <w:left w:val="nil"/>
              <w:bottom w:val="single" w:sz="4" w:space="0" w:color="auto"/>
              <w:right w:val="single" w:sz="4" w:space="0" w:color="auto"/>
            </w:tcBorders>
            <w:shd w:val="clear" w:color="auto" w:fill="auto"/>
            <w:noWrap/>
            <w:vAlign w:val="center"/>
            <w:hideMark/>
          </w:tcPr>
          <w:p w14:paraId="7E15EAB8"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29DAA1A3"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13 675,32</w:t>
            </w:r>
          </w:p>
        </w:tc>
        <w:tc>
          <w:tcPr>
            <w:tcW w:w="1134" w:type="dxa"/>
            <w:tcBorders>
              <w:top w:val="nil"/>
              <w:left w:val="nil"/>
              <w:bottom w:val="single" w:sz="4" w:space="0" w:color="auto"/>
              <w:right w:val="single" w:sz="4" w:space="0" w:color="auto"/>
            </w:tcBorders>
            <w:shd w:val="clear" w:color="auto" w:fill="auto"/>
            <w:noWrap/>
            <w:vAlign w:val="bottom"/>
            <w:hideMark/>
          </w:tcPr>
          <w:p w14:paraId="4377A961"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 ÚVN</w:t>
            </w:r>
          </w:p>
        </w:tc>
        <w:tc>
          <w:tcPr>
            <w:tcW w:w="899" w:type="dxa"/>
            <w:tcBorders>
              <w:top w:val="nil"/>
              <w:left w:val="nil"/>
              <w:bottom w:val="single" w:sz="4" w:space="0" w:color="auto"/>
              <w:right w:val="single" w:sz="4" w:space="0" w:color="auto"/>
            </w:tcBorders>
            <w:shd w:val="clear" w:color="auto" w:fill="auto"/>
            <w:noWrap/>
            <w:vAlign w:val="center"/>
            <w:hideMark/>
          </w:tcPr>
          <w:p w14:paraId="60A9CCCC"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938,03</w:t>
            </w:r>
          </w:p>
        </w:tc>
        <w:tc>
          <w:tcPr>
            <w:tcW w:w="879" w:type="dxa"/>
            <w:tcBorders>
              <w:top w:val="nil"/>
              <w:left w:val="nil"/>
              <w:bottom w:val="single" w:sz="4" w:space="0" w:color="auto"/>
              <w:right w:val="single" w:sz="4" w:space="0" w:color="auto"/>
            </w:tcBorders>
            <w:shd w:val="clear" w:color="auto" w:fill="auto"/>
            <w:noWrap/>
            <w:vAlign w:val="center"/>
            <w:hideMark/>
          </w:tcPr>
          <w:p w14:paraId="6D2290CA" w14:textId="53094570" w:rsidR="001945E1" w:rsidRPr="00F52921" w:rsidRDefault="001945E1" w:rsidP="009373D3">
            <w:pPr>
              <w:spacing w:before="40" w:after="40"/>
              <w:jc w:val="right"/>
              <w:rPr>
                <w:rFonts w:cstheme="minorHAnsi"/>
                <w:color w:val="000000"/>
                <w:sz w:val="20"/>
              </w:rPr>
            </w:pPr>
            <w:r w:rsidRPr="00F52921">
              <w:rPr>
                <w:rFonts w:cstheme="minorHAnsi"/>
                <w:color w:val="000000"/>
                <w:sz w:val="20"/>
              </w:rPr>
              <w:t>7,36</w:t>
            </w:r>
          </w:p>
        </w:tc>
        <w:tc>
          <w:tcPr>
            <w:tcW w:w="907" w:type="dxa"/>
            <w:tcBorders>
              <w:top w:val="nil"/>
              <w:left w:val="nil"/>
              <w:bottom w:val="single" w:sz="4" w:space="0" w:color="auto"/>
              <w:right w:val="single" w:sz="4" w:space="0" w:color="auto"/>
            </w:tcBorders>
            <w:shd w:val="clear" w:color="auto" w:fill="auto"/>
            <w:noWrap/>
            <w:vAlign w:val="center"/>
            <w:hideMark/>
          </w:tcPr>
          <w:p w14:paraId="621977B0"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061180C5"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1</w:t>
            </w:r>
          </w:p>
        </w:tc>
      </w:tr>
      <w:tr w:rsidR="00FE37EA" w:rsidRPr="00F52921" w14:paraId="1161406C" w14:textId="77777777"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14:paraId="6C3B56A0"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3B771BEE"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2016</w:t>
            </w:r>
          </w:p>
        </w:tc>
        <w:tc>
          <w:tcPr>
            <w:tcW w:w="1020" w:type="dxa"/>
            <w:tcBorders>
              <w:top w:val="nil"/>
              <w:left w:val="nil"/>
              <w:bottom w:val="single" w:sz="4" w:space="0" w:color="auto"/>
              <w:right w:val="single" w:sz="4" w:space="0" w:color="auto"/>
            </w:tcBorders>
            <w:shd w:val="clear" w:color="auto" w:fill="auto"/>
            <w:noWrap/>
            <w:vAlign w:val="center"/>
            <w:hideMark/>
          </w:tcPr>
          <w:p w14:paraId="63775133" w14:textId="77777777" w:rsidR="001945E1" w:rsidRPr="00F52921" w:rsidRDefault="001945E1" w:rsidP="009D6C3F">
            <w:pPr>
              <w:spacing w:before="40" w:after="40"/>
              <w:jc w:val="right"/>
              <w:rPr>
                <w:rFonts w:cstheme="minorHAnsi"/>
                <w:sz w:val="20"/>
              </w:rPr>
            </w:pPr>
            <w:r w:rsidRPr="00F52921">
              <w:rPr>
                <w:rFonts w:cstheme="minorHAnsi"/>
                <w:sz w:val="20"/>
              </w:rPr>
              <w:t>7 438,43</w:t>
            </w:r>
          </w:p>
        </w:tc>
        <w:tc>
          <w:tcPr>
            <w:tcW w:w="1134" w:type="dxa"/>
            <w:tcBorders>
              <w:top w:val="nil"/>
              <w:left w:val="nil"/>
              <w:bottom w:val="single" w:sz="4" w:space="0" w:color="auto"/>
              <w:right w:val="single" w:sz="4" w:space="0" w:color="auto"/>
            </w:tcBorders>
            <w:shd w:val="clear" w:color="auto" w:fill="auto"/>
            <w:noWrap/>
            <w:vAlign w:val="center"/>
            <w:hideMark/>
          </w:tcPr>
          <w:p w14:paraId="73730643"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1EC43865"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13 661,85</w:t>
            </w:r>
          </w:p>
        </w:tc>
        <w:tc>
          <w:tcPr>
            <w:tcW w:w="1134" w:type="dxa"/>
            <w:tcBorders>
              <w:top w:val="nil"/>
              <w:left w:val="nil"/>
              <w:bottom w:val="single" w:sz="4" w:space="0" w:color="auto"/>
              <w:right w:val="single" w:sz="4" w:space="0" w:color="auto"/>
            </w:tcBorders>
            <w:shd w:val="clear" w:color="auto" w:fill="auto"/>
            <w:noWrap/>
            <w:vAlign w:val="bottom"/>
            <w:hideMark/>
          </w:tcPr>
          <w:p w14:paraId="68B43E80"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ÚVN</w:t>
            </w:r>
          </w:p>
        </w:tc>
        <w:tc>
          <w:tcPr>
            <w:tcW w:w="899" w:type="dxa"/>
            <w:tcBorders>
              <w:top w:val="nil"/>
              <w:left w:val="nil"/>
              <w:bottom w:val="single" w:sz="4" w:space="0" w:color="auto"/>
              <w:right w:val="single" w:sz="4" w:space="0" w:color="auto"/>
            </w:tcBorders>
            <w:shd w:val="clear" w:color="auto" w:fill="auto"/>
            <w:noWrap/>
            <w:vAlign w:val="center"/>
            <w:hideMark/>
          </w:tcPr>
          <w:p w14:paraId="65CE9D19"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6 223,42</w:t>
            </w:r>
          </w:p>
        </w:tc>
        <w:tc>
          <w:tcPr>
            <w:tcW w:w="879" w:type="dxa"/>
            <w:tcBorders>
              <w:top w:val="nil"/>
              <w:left w:val="nil"/>
              <w:bottom w:val="single" w:sz="4" w:space="0" w:color="auto"/>
              <w:right w:val="single" w:sz="4" w:space="0" w:color="auto"/>
            </w:tcBorders>
            <w:shd w:val="clear" w:color="auto" w:fill="auto"/>
            <w:noWrap/>
            <w:vAlign w:val="center"/>
            <w:hideMark/>
          </w:tcPr>
          <w:p w14:paraId="426DB7CD" w14:textId="25B9A897" w:rsidR="001945E1" w:rsidRPr="00F52921" w:rsidRDefault="001945E1" w:rsidP="009373D3">
            <w:pPr>
              <w:spacing w:before="40" w:after="40"/>
              <w:jc w:val="right"/>
              <w:rPr>
                <w:rFonts w:cstheme="minorHAnsi"/>
                <w:color w:val="000000"/>
                <w:sz w:val="20"/>
              </w:rPr>
            </w:pPr>
            <w:r w:rsidRPr="00F52921">
              <w:rPr>
                <w:rFonts w:cstheme="minorHAnsi"/>
                <w:color w:val="000000"/>
                <w:sz w:val="20"/>
              </w:rPr>
              <w:t>83,67</w:t>
            </w:r>
          </w:p>
        </w:tc>
        <w:tc>
          <w:tcPr>
            <w:tcW w:w="907" w:type="dxa"/>
            <w:tcBorders>
              <w:top w:val="nil"/>
              <w:left w:val="nil"/>
              <w:bottom w:val="single" w:sz="4" w:space="0" w:color="auto"/>
              <w:right w:val="single" w:sz="4" w:space="0" w:color="auto"/>
            </w:tcBorders>
            <w:shd w:val="clear" w:color="auto" w:fill="auto"/>
            <w:noWrap/>
            <w:vAlign w:val="center"/>
            <w:hideMark/>
          </w:tcPr>
          <w:p w14:paraId="063106A6"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2</w:t>
            </w:r>
          </w:p>
        </w:tc>
        <w:tc>
          <w:tcPr>
            <w:tcW w:w="1020" w:type="dxa"/>
            <w:tcBorders>
              <w:top w:val="nil"/>
              <w:left w:val="nil"/>
              <w:bottom w:val="single" w:sz="4" w:space="0" w:color="auto"/>
              <w:right w:val="single" w:sz="4" w:space="0" w:color="auto"/>
            </w:tcBorders>
            <w:shd w:val="clear" w:color="auto" w:fill="auto"/>
            <w:noWrap/>
            <w:vAlign w:val="center"/>
            <w:hideMark/>
          </w:tcPr>
          <w:p w14:paraId="21D8B33F"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3</w:t>
            </w:r>
          </w:p>
        </w:tc>
      </w:tr>
      <w:tr w:rsidR="00FE37EA" w:rsidRPr="00F52921" w14:paraId="0B24F45B" w14:textId="77777777"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F11C1D" w14:textId="77777777" w:rsidR="001945E1" w:rsidRPr="00F52921" w:rsidRDefault="001945E1" w:rsidP="009D6C3F">
            <w:pPr>
              <w:spacing w:before="40" w:after="40"/>
              <w:ind w:left="-57" w:right="-57"/>
              <w:jc w:val="center"/>
              <w:rPr>
                <w:rFonts w:cstheme="minorHAnsi"/>
                <w:color w:val="000000"/>
                <w:sz w:val="20"/>
              </w:rPr>
            </w:pPr>
            <w:r>
              <w:rPr>
                <w:rFonts w:cstheme="minorHAnsi"/>
                <w:color w:val="000000"/>
                <w:sz w:val="20"/>
              </w:rPr>
              <w:t>00</w:t>
            </w:r>
            <w:r w:rsidRPr="00F52921">
              <w:rPr>
                <w:rFonts w:cstheme="minorHAnsi"/>
                <w:color w:val="000000"/>
                <w:sz w:val="20"/>
              </w:rPr>
              <w:t>26902</w:t>
            </w:r>
          </w:p>
        </w:tc>
        <w:tc>
          <w:tcPr>
            <w:tcW w:w="573" w:type="dxa"/>
            <w:tcBorders>
              <w:top w:val="nil"/>
              <w:left w:val="nil"/>
              <w:bottom w:val="single" w:sz="4" w:space="0" w:color="auto"/>
              <w:right w:val="single" w:sz="4" w:space="0" w:color="auto"/>
            </w:tcBorders>
            <w:shd w:val="clear" w:color="auto" w:fill="auto"/>
            <w:noWrap/>
            <w:vAlign w:val="center"/>
            <w:hideMark/>
          </w:tcPr>
          <w:p w14:paraId="6ED07D2B"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2014</w:t>
            </w:r>
          </w:p>
        </w:tc>
        <w:tc>
          <w:tcPr>
            <w:tcW w:w="1020" w:type="dxa"/>
            <w:tcBorders>
              <w:top w:val="nil"/>
              <w:left w:val="nil"/>
              <w:bottom w:val="single" w:sz="4" w:space="0" w:color="auto"/>
              <w:right w:val="single" w:sz="4" w:space="0" w:color="auto"/>
            </w:tcBorders>
            <w:shd w:val="clear" w:color="auto" w:fill="auto"/>
            <w:noWrap/>
            <w:vAlign w:val="center"/>
            <w:hideMark/>
          </w:tcPr>
          <w:p w14:paraId="4F5EC565" w14:textId="77777777" w:rsidR="001945E1" w:rsidRPr="00F52921" w:rsidRDefault="001945E1" w:rsidP="009D6C3F">
            <w:pPr>
              <w:spacing w:before="40" w:after="40"/>
              <w:jc w:val="right"/>
              <w:rPr>
                <w:rFonts w:cstheme="minorHAnsi"/>
                <w:sz w:val="20"/>
              </w:rPr>
            </w:pPr>
            <w:r w:rsidRPr="00F52921">
              <w:rPr>
                <w:rFonts w:cstheme="minorHAnsi"/>
                <w:sz w:val="20"/>
              </w:rPr>
              <w:t>2 933,01</w:t>
            </w:r>
          </w:p>
        </w:tc>
        <w:tc>
          <w:tcPr>
            <w:tcW w:w="1134" w:type="dxa"/>
            <w:tcBorders>
              <w:top w:val="nil"/>
              <w:left w:val="nil"/>
              <w:bottom w:val="single" w:sz="4" w:space="0" w:color="auto"/>
              <w:right w:val="single" w:sz="4" w:space="0" w:color="auto"/>
            </w:tcBorders>
            <w:shd w:val="clear" w:color="auto" w:fill="auto"/>
            <w:noWrap/>
            <w:vAlign w:val="center"/>
            <w:hideMark/>
          </w:tcPr>
          <w:p w14:paraId="01C78764"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5EA1B6AE"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2 963,88</w:t>
            </w:r>
          </w:p>
        </w:tc>
        <w:tc>
          <w:tcPr>
            <w:tcW w:w="1134" w:type="dxa"/>
            <w:tcBorders>
              <w:top w:val="nil"/>
              <w:left w:val="nil"/>
              <w:bottom w:val="single" w:sz="4" w:space="0" w:color="auto"/>
              <w:right w:val="single" w:sz="4" w:space="0" w:color="auto"/>
            </w:tcBorders>
            <w:shd w:val="clear" w:color="auto" w:fill="auto"/>
            <w:noWrap/>
            <w:vAlign w:val="bottom"/>
            <w:hideMark/>
          </w:tcPr>
          <w:p w14:paraId="7CEA299F"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ÚVN</w:t>
            </w:r>
          </w:p>
        </w:tc>
        <w:tc>
          <w:tcPr>
            <w:tcW w:w="899" w:type="dxa"/>
            <w:tcBorders>
              <w:top w:val="nil"/>
              <w:left w:val="nil"/>
              <w:bottom w:val="single" w:sz="4" w:space="0" w:color="auto"/>
              <w:right w:val="single" w:sz="4" w:space="0" w:color="auto"/>
            </w:tcBorders>
            <w:shd w:val="clear" w:color="auto" w:fill="auto"/>
            <w:noWrap/>
            <w:vAlign w:val="center"/>
            <w:hideMark/>
          </w:tcPr>
          <w:p w14:paraId="3E4BA5A2"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30,87</w:t>
            </w:r>
          </w:p>
        </w:tc>
        <w:tc>
          <w:tcPr>
            <w:tcW w:w="879" w:type="dxa"/>
            <w:tcBorders>
              <w:top w:val="nil"/>
              <w:left w:val="nil"/>
              <w:bottom w:val="single" w:sz="4" w:space="0" w:color="auto"/>
              <w:right w:val="single" w:sz="4" w:space="0" w:color="auto"/>
            </w:tcBorders>
            <w:shd w:val="clear" w:color="auto" w:fill="auto"/>
            <w:noWrap/>
            <w:vAlign w:val="center"/>
            <w:hideMark/>
          </w:tcPr>
          <w:p w14:paraId="771E0ED7" w14:textId="5E856698" w:rsidR="001945E1" w:rsidRPr="00F52921" w:rsidRDefault="001945E1" w:rsidP="009373D3">
            <w:pPr>
              <w:spacing w:before="40" w:after="40"/>
              <w:jc w:val="right"/>
              <w:rPr>
                <w:rFonts w:cstheme="minorHAnsi"/>
                <w:color w:val="000000"/>
                <w:sz w:val="20"/>
              </w:rPr>
            </w:pPr>
            <w:r w:rsidRPr="00F52921">
              <w:rPr>
                <w:rFonts w:cstheme="minorHAnsi"/>
                <w:color w:val="000000"/>
                <w:sz w:val="20"/>
              </w:rPr>
              <w:t>1,05</w:t>
            </w:r>
          </w:p>
        </w:tc>
        <w:tc>
          <w:tcPr>
            <w:tcW w:w="907" w:type="dxa"/>
            <w:tcBorders>
              <w:top w:val="nil"/>
              <w:left w:val="nil"/>
              <w:bottom w:val="single" w:sz="4" w:space="0" w:color="auto"/>
              <w:right w:val="single" w:sz="4" w:space="0" w:color="auto"/>
            </w:tcBorders>
            <w:shd w:val="clear" w:color="auto" w:fill="auto"/>
            <w:noWrap/>
            <w:vAlign w:val="center"/>
            <w:hideMark/>
          </w:tcPr>
          <w:p w14:paraId="572C49E3"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591B6600"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3</w:t>
            </w:r>
          </w:p>
        </w:tc>
      </w:tr>
      <w:tr w:rsidR="00FE37EA" w:rsidRPr="00F52921" w14:paraId="46B522FB" w14:textId="77777777"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14:paraId="23BEFF2F"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7150636C"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2015</w:t>
            </w:r>
          </w:p>
        </w:tc>
        <w:tc>
          <w:tcPr>
            <w:tcW w:w="1020" w:type="dxa"/>
            <w:tcBorders>
              <w:top w:val="nil"/>
              <w:left w:val="nil"/>
              <w:bottom w:val="single" w:sz="4" w:space="0" w:color="auto"/>
              <w:right w:val="single" w:sz="4" w:space="0" w:color="auto"/>
            </w:tcBorders>
            <w:shd w:val="clear" w:color="auto" w:fill="auto"/>
            <w:noWrap/>
            <w:vAlign w:val="center"/>
            <w:hideMark/>
          </w:tcPr>
          <w:p w14:paraId="34030CAA" w14:textId="77777777" w:rsidR="001945E1" w:rsidRPr="00F52921" w:rsidRDefault="001945E1" w:rsidP="009D6C3F">
            <w:pPr>
              <w:spacing w:before="40" w:after="40"/>
              <w:jc w:val="right"/>
              <w:rPr>
                <w:rFonts w:cstheme="minorHAnsi"/>
                <w:sz w:val="20"/>
              </w:rPr>
            </w:pPr>
            <w:r w:rsidRPr="00F52921">
              <w:rPr>
                <w:rFonts w:cstheme="minorHAnsi"/>
                <w:sz w:val="20"/>
              </w:rPr>
              <w:t>2 805,48</w:t>
            </w:r>
          </w:p>
        </w:tc>
        <w:tc>
          <w:tcPr>
            <w:tcW w:w="1134" w:type="dxa"/>
            <w:tcBorders>
              <w:top w:val="nil"/>
              <w:left w:val="nil"/>
              <w:bottom w:val="single" w:sz="4" w:space="0" w:color="auto"/>
              <w:right w:val="single" w:sz="4" w:space="0" w:color="auto"/>
            </w:tcBorders>
            <w:shd w:val="clear" w:color="auto" w:fill="auto"/>
            <w:noWrap/>
            <w:vAlign w:val="center"/>
            <w:hideMark/>
          </w:tcPr>
          <w:p w14:paraId="740994EB"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2EA3004C"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2 850,34</w:t>
            </w:r>
          </w:p>
        </w:tc>
        <w:tc>
          <w:tcPr>
            <w:tcW w:w="1134" w:type="dxa"/>
            <w:tcBorders>
              <w:top w:val="nil"/>
              <w:left w:val="nil"/>
              <w:bottom w:val="single" w:sz="4" w:space="0" w:color="auto"/>
              <w:right w:val="single" w:sz="4" w:space="0" w:color="auto"/>
            </w:tcBorders>
            <w:shd w:val="clear" w:color="auto" w:fill="auto"/>
            <w:noWrap/>
            <w:vAlign w:val="bottom"/>
            <w:hideMark/>
          </w:tcPr>
          <w:p w14:paraId="3E4F2014"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ÚVN</w:t>
            </w:r>
          </w:p>
        </w:tc>
        <w:tc>
          <w:tcPr>
            <w:tcW w:w="899" w:type="dxa"/>
            <w:tcBorders>
              <w:top w:val="nil"/>
              <w:left w:val="nil"/>
              <w:bottom w:val="single" w:sz="4" w:space="0" w:color="auto"/>
              <w:right w:val="single" w:sz="4" w:space="0" w:color="auto"/>
            </w:tcBorders>
            <w:shd w:val="clear" w:color="auto" w:fill="auto"/>
            <w:noWrap/>
            <w:vAlign w:val="center"/>
            <w:hideMark/>
          </w:tcPr>
          <w:p w14:paraId="7C8E6924"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44,86</w:t>
            </w:r>
          </w:p>
        </w:tc>
        <w:tc>
          <w:tcPr>
            <w:tcW w:w="879" w:type="dxa"/>
            <w:tcBorders>
              <w:top w:val="nil"/>
              <w:left w:val="nil"/>
              <w:bottom w:val="single" w:sz="4" w:space="0" w:color="auto"/>
              <w:right w:val="single" w:sz="4" w:space="0" w:color="auto"/>
            </w:tcBorders>
            <w:shd w:val="clear" w:color="auto" w:fill="auto"/>
            <w:noWrap/>
            <w:vAlign w:val="center"/>
            <w:hideMark/>
          </w:tcPr>
          <w:p w14:paraId="7E648E06" w14:textId="3EBDC8D5" w:rsidR="001945E1" w:rsidRPr="00F52921" w:rsidRDefault="001945E1" w:rsidP="009373D3">
            <w:pPr>
              <w:spacing w:before="40" w:after="40"/>
              <w:jc w:val="right"/>
              <w:rPr>
                <w:rFonts w:cstheme="minorHAnsi"/>
                <w:color w:val="000000"/>
                <w:sz w:val="20"/>
              </w:rPr>
            </w:pPr>
            <w:r w:rsidRPr="00F52921">
              <w:rPr>
                <w:rFonts w:cstheme="minorHAnsi"/>
                <w:color w:val="000000"/>
                <w:sz w:val="20"/>
              </w:rPr>
              <w:t>1,60</w:t>
            </w:r>
          </w:p>
        </w:tc>
        <w:tc>
          <w:tcPr>
            <w:tcW w:w="907" w:type="dxa"/>
            <w:tcBorders>
              <w:top w:val="nil"/>
              <w:left w:val="nil"/>
              <w:bottom w:val="single" w:sz="4" w:space="0" w:color="auto"/>
              <w:right w:val="single" w:sz="4" w:space="0" w:color="auto"/>
            </w:tcBorders>
            <w:shd w:val="clear" w:color="auto" w:fill="auto"/>
            <w:noWrap/>
            <w:vAlign w:val="center"/>
            <w:hideMark/>
          </w:tcPr>
          <w:p w14:paraId="72A9776F"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6A57D5E2"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4</w:t>
            </w:r>
          </w:p>
        </w:tc>
      </w:tr>
      <w:tr w:rsidR="00FE37EA" w:rsidRPr="00F52921" w14:paraId="507E51C5" w14:textId="77777777"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14:paraId="2E0BD5E5" w14:textId="77777777" w:rsidR="001945E1" w:rsidRPr="00F52921" w:rsidRDefault="001945E1" w:rsidP="009D6C3F">
            <w:pPr>
              <w:spacing w:before="40" w:after="40"/>
              <w:ind w:left="-57" w:right="-57"/>
              <w:jc w:val="center"/>
              <w:rPr>
                <w:rFonts w:cstheme="minorHAnsi"/>
                <w:color w:val="000000"/>
                <w:sz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17197C73"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2016</w:t>
            </w:r>
          </w:p>
        </w:tc>
        <w:tc>
          <w:tcPr>
            <w:tcW w:w="1020" w:type="dxa"/>
            <w:tcBorders>
              <w:top w:val="nil"/>
              <w:left w:val="nil"/>
              <w:bottom w:val="single" w:sz="4" w:space="0" w:color="auto"/>
              <w:right w:val="single" w:sz="4" w:space="0" w:color="auto"/>
            </w:tcBorders>
            <w:shd w:val="clear" w:color="auto" w:fill="auto"/>
            <w:noWrap/>
            <w:vAlign w:val="center"/>
            <w:hideMark/>
          </w:tcPr>
          <w:p w14:paraId="47C7FB7A" w14:textId="77777777" w:rsidR="001945E1" w:rsidRPr="00F52921" w:rsidRDefault="001945E1" w:rsidP="009D6C3F">
            <w:pPr>
              <w:spacing w:before="40" w:after="40"/>
              <w:jc w:val="right"/>
              <w:rPr>
                <w:rFonts w:cstheme="minorHAnsi"/>
                <w:sz w:val="20"/>
              </w:rPr>
            </w:pPr>
            <w:r w:rsidRPr="00F52921">
              <w:rPr>
                <w:rFonts w:cstheme="minorHAnsi"/>
                <w:sz w:val="20"/>
              </w:rPr>
              <w:t>1 537,04</w:t>
            </w:r>
          </w:p>
        </w:tc>
        <w:tc>
          <w:tcPr>
            <w:tcW w:w="1134" w:type="dxa"/>
            <w:tcBorders>
              <w:top w:val="nil"/>
              <w:left w:val="nil"/>
              <w:bottom w:val="single" w:sz="4" w:space="0" w:color="auto"/>
              <w:right w:val="single" w:sz="4" w:space="0" w:color="auto"/>
            </w:tcBorders>
            <w:shd w:val="clear" w:color="auto" w:fill="auto"/>
            <w:noWrap/>
            <w:vAlign w:val="center"/>
            <w:hideMark/>
          </w:tcPr>
          <w:p w14:paraId="5E075DE5"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nil"/>
              <w:left w:val="nil"/>
              <w:bottom w:val="single" w:sz="4" w:space="0" w:color="auto"/>
              <w:right w:val="single" w:sz="4" w:space="0" w:color="auto"/>
            </w:tcBorders>
            <w:shd w:val="clear" w:color="auto" w:fill="auto"/>
            <w:noWrap/>
            <w:vAlign w:val="center"/>
            <w:hideMark/>
          </w:tcPr>
          <w:p w14:paraId="5BAA0D94"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2 828,05</w:t>
            </w:r>
          </w:p>
        </w:tc>
        <w:tc>
          <w:tcPr>
            <w:tcW w:w="1134" w:type="dxa"/>
            <w:tcBorders>
              <w:top w:val="nil"/>
              <w:left w:val="nil"/>
              <w:bottom w:val="single" w:sz="4" w:space="0" w:color="auto"/>
              <w:right w:val="single" w:sz="4" w:space="0" w:color="auto"/>
            </w:tcBorders>
            <w:shd w:val="clear" w:color="auto" w:fill="auto"/>
            <w:noWrap/>
            <w:vAlign w:val="bottom"/>
            <w:hideMark/>
          </w:tcPr>
          <w:p w14:paraId="25D7DC7B" w14:textId="77777777" w:rsidR="001945E1" w:rsidRPr="00F52921" w:rsidRDefault="001945E1"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nil"/>
              <w:left w:val="nil"/>
              <w:bottom w:val="single" w:sz="4" w:space="0" w:color="auto"/>
              <w:right w:val="single" w:sz="4" w:space="0" w:color="auto"/>
            </w:tcBorders>
            <w:shd w:val="clear" w:color="auto" w:fill="auto"/>
            <w:noWrap/>
            <w:vAlign w:val="center"/>
            <w:hideMark/>
          </w:tcPr>
          <w:p w14:paraId="65321BDF" w14:textId="77777777" w:rsidR="001945E1" w:rsidRPr="00F52921" w:rsidRDefault="001945E1" w:rsidP="009D6C3F">
            <w:pPr>
              <w:spacing w:before="40" w:after="40"/>
              <w:jc w:val="right"/>
              <w:rPr>
                <w:rFonts w:cstheme="minorHAnsi"/>
                <w:color w:val="000000"/>
                <w:sz w:val="20"/>
              </w:rPr>
            </w:pPr>
            <w:r w:rsidRPr="00F52921">
              <w:rPr>
                <w:rFonts w:cstheme="minorHAnsi"/>
                <w:color w:val="000000"/>
                <w:sz w:val="20"/>
              </w:rPr>
              <w:t>1 291,01</w:t>
            </w:r>
          </w:p>
        </w:tc>
        <w:tc>
          <w:tcPr>
            <w:tcW w:w="879" w:type="dxa"/>
            <w:tcBorders>
              <w:top w:val="nil"/>
              <w:left w:val="nil"/>
              <w:bottom w:val="single" w:sz="4" w:space="0" w:color="auto"/>
              <w:right w:val="single" w:sz="4" w:space="0" w:color="auto"/>
            </w:tcBorders>
            <w:shd w:val="clear" w:color="auto" w:fill="auto"/>
            <w:noWrap/>
            <w:vAlign w:val="center"/>
            <w:hideMark/>
          </w:tcPr>
          <w:p w14:paraId="4E6414E6" w14:textId="11CE77A3" w:rsidR="001945E1" w:rsidRPr="00F52921" w:rsidRDefault="001945E1" w:rsidP="009373D3">
            <w:pPr>
              <w:spacing w:before="40" w:after="40"/>
              <w:jc w:val="right"/>
              <w:rPr>
                <w:rFonts w:cstheme="minorHAnsi"/>
                <w:color w:val="000000"/>
                <w:sz w:val="20"/>
              </w:rPr>
            </w:pPr>
            <w:r w:rsidRPr="00F52921">
              <w:rPr>
                <w:rFonts w:cstheme="minorHAnsi"/>
                <w:color w:val="000000"/>
                <w:sz w:val="20"/>
              </w:rPr>
              <w:t>83,99</w:t>
            </w:r>
          </w:p>
        </w:tc>
        <w:tc>
          <w:tcPr>
            <w:tcW w:w="907" w:type="dxa"/>
            <w:tcBorders>
              <w:top w:val="nil"/>
              <w:left w:val="nil"/>
              <w:bottom w:val="single" w:sz="4" w:space="0" w:color="auto"/>
              <w:right w:val="single" w:sz="4" w:space="0" w:color="auto"/>
            </w:tcBorders>
            <w:shd w:val="clear" w:color="auto" w:fill="auto"/>
            <w:noWrap/>
            <w:vAlign w:val="center"/>
            <w:hideMark/>
          </w:tcPr>
          <w:p w14:paraId="7082A20E" w14:textId="77777777" w:rsidR="001945E1" w:rsidRPr="00F52921" w:rsidRDefault="001945E1"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5E8FDF81" w14:textId="77777777" w:rsidR="001945E1" w:rsidRPr="00F52921" w:rsidRDefault="001945E1" w:rsidP="009D6C3F">
            <w:pPr>
              <w:spacing w:before="40" w:after="40"/>
              <w:ind w:right="117"/>
              <w:jc w:val="right"/>
              <w:rPr>
                <w:rFonts w:cstheme="minorHAnsi"/>
                <w:color w:val="000000"/>
                <w:sz w:val="20"/>
              </w:rPr>
            </w:pPr>
            <w:r w:rsidRPr="00F52921">
              <w:rPr>
                <w:rFonts w:cstheme="minorHAnsi"/>
                <w:color w:val="000000"/>
                <w:sz w:val="20"/>
              </w:rPr>
              <w:t>2</w:t>
            </w:r>
          </w:p>
        </w:tc>
      </w:tr>
      <w:tr w:rsidR="009D6C3F" w:rsidRPr="00F52921" w14:paraId="55045362" w14:textId="77777777" w:rsidTr="009D6C3F">
        <w:trPr>
          <w:trHeight w:val="283"/>
        </w:trPr>
        <w:tc>
          <w:tcPr>
            <w:tcW w:w="794" w:type="dxa"/>
            <w:vMerge w:val="restart"/>
            <w:tcBorders>
              <w:top w:val="single" w:sz="4" w:space="0" w:color="auto"/>
              <w:left w:val="single" w:sz="4" w:space="0" w:color="auto"/>
              <w:right w:val="single" w:sz="4" w:space="0" w:color="auto"/>
            </w:tcBorders>
            <w:vAlign w:val="center"/>
          </w:tcPr>
          <w:p w14:paraId="33F20ADC" w14:textId="64A21441" w:rsidR="009D6C3F" w:rsidRPr="009D6C3F" w:rsidRDefault="009D6C3F" w:rsidP="009D6C3F">
            <w:pPr>
              <w:spacing w:before="40" w:after="40"/>
              <w:ind w:left="-57" w:right="-57"/>
              <w:jc w:val="center"/>
              <w:rPr>
                <w:rFonts w:cstheme="minorHAnsi"/>
                <w:color w:val="000000"/>
                <w:sz w:val="18"/>
                <w:szCs w:val="18"/>
              </w:rPr>
            </w:pPr>
            <w:r w:rsidRPr="009D6C3F">
              <w:rPr>
                <w:rFonts w:cstheme="minorHAnsi"/>
                <w:color w:val="000000"/>
                <w:sz w:val="18"/>
                <w:szCs w:val="18"/>
              </w:rPr>
              <w:t>0029464</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79756D6" w14:textId="25273474"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33EB436F" w14:textId="6C141197"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11 500,00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86BE2E" w14:textId="58F3CAAF"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433AE824" w14:textId="1BB38D18"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12 043,95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E88977" w14:textId="52388C50"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04EE72A6" w14:textId="5E6BB48C"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543,95</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4AB10AAB" w14:textId="38D05D0A"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4,73</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04F31D17" w14:textId="72DEA8D6"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DAF9C18" w14:textId="63001692"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1</w:t>
            </w:r>
          </w:p>
        </w:tc>
      </w:tr>
      <w:tr w:rsidR="009D6C3F" w:rsidRPr="00F52921" w14:paraId="2B87B104" w14:textId="77777777" w:rsidTr="009D6C3F">
        <w:trPr>
          <w:trHeight w:val="283"/>
        </w:trPr>
        <w:tc>
          <w:tcPr>
            <w:tcW w:w="794" w:type="dxa"/>
            <w:vMerge/>
            <w:tcBorders>
              <w:left w:val="single" w:sz="4" w:space="0" w:color="auto"/>
              <w:right w:val="single" w:sz="4" w:space="0" w:color="auto"/>
            </w:tcBorders>
            <w:vAlign w:val="center"/>
          </w:tcPr>
          <w:p w14:paraId="01CA5D4E"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4B6A3906" w14:textId="156ED08F"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51A8428" w14:textId="5743B88B"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11 000,00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4CCF5F" w14:textId="5C0B87FB"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0EBC2504" w14:textId="416CA012"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11 520,30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E4B217" w14:textId="7F459DFD"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7A90F990" w14:textId="2CCAEFBE"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520,30</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26C30805" w14:textId="2C8E24A5"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4,73</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2317614A" w14:textId="67F1FA4E"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2FC1392" w14:textId="491C5DD3"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1</w:t>
            </w:r>
          </w:p>
        </w:tc>
      </w:tr>
      <w:tr w:rsidR="009D6C3F" w:rsidRPr="00F52921" w14:paraId="0B1FBB28" w14:textId="77777777" w:rsidTr="009D6C3F">
        <w:trPr>
          <w:trHeight w:val="283"/>
        </w:trPr>
        <w:tc>
          <w:tcPr>
            <w:tcW w:w="794" w:type="dxa"/>
            <w:vMerge/>
            <w:tcBorders>
              <w:left w:val="single" w:sz="4" w:space="0" w:color="auto"/>
              <w:bottom w:val="single" w:sz="4" w:space="0" w:color="auto"/>
              <w:right w:val="single" w:sz="4" w:space="0" w:color="auto"/>
            </w:tcBorders>
            <w:vAlign w:val="center"/>
          </w:tcPr>
          <w:p w14:paraId="6A76878C"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03AF1FB" w14:textId="6048478F"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0620825" w14:textId="4FEE25F8"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11 000,00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DF44BD" w14:textId="7E337FF2"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1F5CE393" w14:textId="18C0537D"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11 521,33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933ADF" w14:textId="254F9D88"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304646E4" w14:textId="7A5B29F1"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521,33</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131A766B" w14:textId="6420A9E0"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4,74</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793D9553" w14:textId="3C5575CB"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A9682AB" w14:textId="3594B188"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1</w:t>
            </w:r>
          </w:p>
        </w:tc>
      </w:tr>
      <w:tr w:rsidR="009D6C3F" w:rsidRPr="00F52921" w14:paraId="4AF0F84B" w14:textId="77777777" w:rsidTr="009D6C3F">
        <w:trPr>
          <w:trHeight w:val="283"/>
        </w:trPr>
        <w:tc>
          <w:tcPr>
            <w:tcW w:w="794" w:type="dxa"/>
            <w:tcBorders>
              <w:top w:val="single" w:sz="4" w:space="0" w:color="auto"/>
              <w:left w:val="single" w:sz="4" w:space="0" w:color="auto"/>
              <w:bottom w:val="single" w:sz="4" w:space="0" w:color="auto"/>
              <w:right w:val="single" w:sz="4" w:space="0" w:color="auto"/>
            </w:tcBorders>
            <w:vAlign w:val="center"/>
          </w:tcPr>
          <w:p w14:paraId="1EB91992" w14:textId="38EFE8A4" w:rsidR="009D6C3F" w:rsidRPr="009D6C3F" w:rsidRDefault="009D6C3F" w:rsidP="009D6C3F">
            <w:pPr>
              <w:spacing w:before="40" w:after="40"/>
              <w:ind w:left="-57" w:right="-57"/>
              <w:jc w:val="center"/>
              <w:rPr>
                <w:rFonts w:cstheme="minorHAnsi"/>
                <w:color w:val="000000"/>
                <w:sz w:val="18"/>
                <w:szCs w:val="18"/>
              </w:rPr>
            </w:pPr>
            <w:r w:rsidRPr="009D6C3F">
              <w:rPr>
                <w:rFonts w:cstheme="minorHAnsi"/>
                <w:color w:val="000000"/>
                <w:sz w:val="18"/>
                <w:szCs w:val="18"/>
              </w:rPr>
              <w:t>0066036</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16C77D" w14:textId="246B7E82"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AEFCAE6" w14:textId="4AE0FB5F"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377,70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478DC8" w14:textId="3418438E"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5016FC49" w14:textId="21E46279"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911,19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D95310" w14:textId="51A28529"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58545EC8" w14:textId="62DB617D"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533,49</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7C513EB" w14:textId="5421F1B5"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141,25</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1E9A027A" w14:textId="1E57FB93"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55DCF93" w14:textId="305AEA54"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2</w:t>
            </w:r>
          </w:p>
        </w:tc>
      </w:tr>
      <w:tr w:rsidR="009D6C3F" w:rsidRPr="00F52921" w14:paraId="7F573485" w14:textId="77777777" w:rsidTr="009D6C3F">
        <w:trPr>
          <w:trHeight w:val="283"/>
        </w:trPr>
        <w:tc>
          <w:tcPr>
            <w:tcW w:w="794" w:type="dxa"/>
            <w:vMerge w:val="restart"/>
            <w:tcBorders>
              <w:top w:val="single" w:sz="4" w:space="0" w:color="auto"/>
              <w:left w:val="single" w:sz="4" w:space="0" w:color="auto"/>
              <w:right w:val="single" w:sz="4" w:space="0" w:color="auto"/>
            </w:tcBorders>
            <w:vAlign w:val="center"/>
          </w:tcPr>
          <w:p w14:paraId="1C37CB63" w14:textId="66BCAC0D" w:rsidR="009D6C3F" w:rsidRPr="009D6C3F" w:rsidRDefault="009D6C3F" w:rsidP="009D6C3F">
            <w:pPr>
              <w:spacing w:before="40" w:after="40"/>
              <w:ind w:left="-57" w:right="-57"/>
              <w:jc w:val="center"/>
              <w:rPr>
                <w:rFonts w:cstheme="minorHAnsi"/>
                <w:color w:val="000000"/>
                <w:sz w:val="18"/>
                <w:szCs w:val="18"/>
              </w:rPr>
            </w:pPr>
            <w:r w:rsidRPr="009D6C3F">
              <w:rPr>
                <w:rFonts w:cstheme="minorHAnsi"/>
                <w:sz w:val="18"/>
                <w:szCs w:val="18"/>
              </w:rPr>
              <w:t>0072972</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38247EB" w14:textId="2ADC6DA3"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80DC9A0" w14:textId="6566C6E0"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77,91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FCF55D" w14:textId="32E87636"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A5DBC63" w14:textId="1B0BD29B"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sz w:val="18"/>
                <w:szCs w:val="18"/>
              </w:rPr>
              <w:t>109,25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11065F" w14:textId="2F9B47BF"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5D2E2D45" w14:textId="731C3024"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31,34</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4F8BAA33" w14:textId="354285D8"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40,23</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3C0D4337" w14:textId="2CF415DE"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3D862E7" w14:textId="2AF7AA22"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2</w:t>
            </w:r>
          </w:p>
        </w:tc>
      </w:tr>
      <w:tr w:rsidR="009D6C3F" w:rsidRPr="00F52921" w14:paraId="4A961050" w14:textId="77777777" w:rsidTr="009D6C3F">
        <w:trPr>
          <w:trHeight w:val="283"/>
        </w:trPr>
        <w:tc>
          <w:tcPr>
            <w:tcW w:w="794" w:type="dxa"/>
            <w:vMerge/>
            <w:tcBorders>
              <w:left w:val="single" w:sz="4" w:space="0" w:color="auto"/>
              <w:right w:val="single" w:sz="4" w:space="0" w:color="auto"/>
            </w:tcBorders>
            <w:vAlign w:val="center"/>
          </w:tcPr>
          <w:p w14:paraId="393EEFA1"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7BB461" w14:textId="7A46B4F0"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AC3C342" w14:textId="05984C2F"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74,53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268289" w14:textId="3EAF5741"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76A8727" w14:textId="67B32A95"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138,60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CFC4A5" w14:textId="5F758B64"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ÚVN</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49B7FA35" w14:textId="3B715F6F"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64,07</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2069E4B" w14:textId="5415882F"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85,97</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42F37152" w14:textId="1374D5A9"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04F3AF9" w14:textId="04356939"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3</w:t>
            </w:r>
          </w:p>
        </w:tc>
      </w:tr>
      <w:tr w:rsidR="009D6C3F" w:rsidRPr="00F52921" w14:paraId="04465762" w14:textId="77777777" w:rsidTr="009D6C3F">
        <w:trPr>
          <w:trHeight w:val="283"/>
        </w:trPr>
        <w:tc>
          <w:tcPr>
            <w:tcW w:w="794" w:type="dxa"/>
            <w:vMerge/>
            <w:tcBorders>
              <w:left w:val="single" w:sz="4" w:space="0" w:color="auto"/>
              <w:bottom w:val="single" w:sz="4" w:space="0" w:color="auto"/>
              <w:right w:val="single" w:sz="4" w:space="0" w:color="auto"/>
            </w:tcBorders>
            <w:vAlign w:val="center"/>
          </w:tcPr>
          <w:p w14:paraId="68DB5A39"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4221357E" w14:textId="1012655C"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F0DF51F" w14:textId="2CC72FFF" w:rsidR="009D6C3F" w:rsidRPr="006E5933" w:rsidRDefault="009D6C3F" w:rsidP="009D6C3F">
            <w:pPr>
              <w:spacing w:before="40" w:after="40"/>
              <w:jc w:val="right"/>
              <w:rPr>
                <w:rFonts w:ascii="Calibri" w:hAnsi="Calibri" w:cs="Calibri"/>
                <w:sz w:val="18"/>
                <w:szCs w:val="18"/>
              </w:rPr>
            </w:pPr>
            <w:r w:rsidRPr="006E5933">
              <w:rPr>
                <w:rFonts w:ascii="Calibri" w:hAnsi="Calibri" w:cs="Calibri"/>
                <w:color w:val="000000"/>
                <w:sz w:val="18"/>
                <w:szCs w:val="18"/>
              </w:rPr>
              <w:t>104,21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8171A4" w14:textId="70891E9A"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1F17013" w14:textId="5767F966"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181,50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657E64" w14:textId="4AD796D8"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 ÚVN</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0EAE94FA" w14:textId="4BC2BFAC"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77,29</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5A95FBB5" w14:textId="59164F4F"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74,17</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46E63422" w14:textId="7AA0B83B"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86ACCFA" w14:textId="02C8AC7E"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4</w:t>
            </w:r>
          </w:p>
        </w:tc>
      </w:tr>
      <w:tr w:rsidR="009D6C3F" w:rsidRPr="00F52921" w14:paraId="3DB37E45" w14:textId="77777777" w:rsidTr="009D6C3F">
        <w:trPr>
          <w:trHeight w:val="283"/>
        </w:trPr>
        <w:tc>
          <w:tcPr>
            <w:tcW w:w="794" w:type="dxa"/>
            <w:vMerge w:val="restart"/>
            <w:tcBorders>
              <w:top w:val="single" w:sz="4" w:space="0" w:color="auto"/>
              <w:left w:val="single" w:sz="4" w:space="0" w:color="auto"/>
              <w:right w:val="single" w:sz="4" w:space="0" w:color="auto"/>
            </w:tcBorders>
            <w:vAlign w:val="center"/>
          </w:tcPr>
          <w:p w14:paraId="25298CB6" w14:textId="6F214BB5" w:rsidR="009D6C3F" w:rsidRPr="009D6C3F" w:rsidRDefault="009D6C3F" w:rsidP="009D6C3F">
            <w:pPr>
              <w:spacing w:before="40" w:after="40"/>
              <w:ind w:left="-57" w:right="-57"/>
              <w:jc w:val="center"/>
              <w:rPr>
                <w:rFonts w:cstheme="minorHAnsi"/>
                <w:color w:val="000000"/>
                <w:sz w:val="18"/>
                <w:szCs w:val="18"/>
              </w:rPr>
            </w:pPr>
            <w:r w:rsidRPr="009D6C3F">
              <w:rPr>
                <w:rFonts w:cstheme="minorHAnsi"/>
                <w:sz w:val="18"/>
                <w:szCs w:val="18"/>
              </w:rPr>
              <w:t>0083417</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4607E1E2" w14:textId="678E1764"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377164AF" w14:textId="51244B52"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2 873,85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304F4A" w14:textId="786A5A28"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1C5E88D3" w14:textId="2311BAC7"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sz w:val="18"/>
                <w:szCs w:val="18"/>
              </w:rPr>
              <w:t>5 666,04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B3D04E" w14:textId="7A371CB6"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1A4B2F62" w14:textId="2F5569B4"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2 792,19</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51657D92" w14:textId="47ED7A8B"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97,16</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3D8F2201" w14:textId="70DE47D4"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371863A5" w14:textId="1A768009"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3</w:t>
            </w:r>
          </w:p>
        </w:tc>
      </w:tr>
      <w:tr w:rsidR="009D6C3F" w:rsidRPr="00F52921" w14:paraId="35E667DB" w14:textId="77777777" w:rsidTr="009D6C3F">
        <w:trPr>
          <w:trHeight w:val="283"/>
        </w:trPr>
        <w:tc>
          <w:tcPr>
            <w:tcW w:w="794" w:type="dxa"/>
            <w:vMerge/>
            <w:tcBorders>
              <w:left w:val="single" w:sz="4" w:space="0" w:color="auto"/>
              <w:right w:val="single" w:sz="4" w:space="0" w:color="auto"/>
            </w:tcBorders>
            <w:vAlign w:val="center"/>
          </w:tcPr>
          <w:p w14:paraId="6D05C291"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1062FA3" w14:textId="4F1AA206"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355E368A" w14:textId="4BC6A854"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2 748,90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5F1A0E" w14:textId="1F348ACA"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2D7787B1" w14:textId="3DBD2CEB"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3 780,55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9D6DD6" w14:textId="1D70FC6E"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7B8B9117" w14:textId="1290BF43"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1 031,65</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44A2434" w14:textId="7C82EF19"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37,53</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1B5BBAAE" w14:textId="4470803C"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9156C3F" w14:textId="2AF45F21"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3</w:t>
            </w:r>
          </w:p>
        </w:tc>
      </w:tr>
      <w:tr w:rsidR="009D6C3F" w:rsidRPr="00F52921" w14:paraId="58646095" w14:textId="77777777" w:rsidTr="009D6C3F">
        <w:trPr>
          <w:trHeight w:val="283"/>
        </w:trPr>
        <w:tc>
          <w:tcPr>
            <w:tcW w:w="794" w:type="dxa"/>
            <w:vMerge/>
            <w:tcBorders>
              <w:left w:val="single" w:sz="4" w:space="0" w:color="auto"/>
              <w:bottom w:val="single" w:sz="4" w:space="0" w:color="auto"/>
              <w:right w:val="single" w:sz="4" w:space="0" w:color="auto"/>
            </w:tcBorders>
            <w:vAlign w:val="center"/>
          </w:tcPr>
          <w:p w14:paraId="445A0001"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4BBEF902" w14:textId="7BF24CF3"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863A8FA" w14:textId="197F0FEC"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2 748,90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566433" w14:textId="3A929E23"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74EC939" w14:textId="25C9708B"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sz w:val="18"/>
                <w:szCs w:val="18"/>
              </w:rPr>
              <w:t>5 356,42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8A8199" w14:textId="3BEF5771"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609AA804" w14:textId="67FA66CF"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2 607,52</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282C8EB3" w14:textId="461B92A9"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94,86</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506B3C6C" w14:textId="1D0270A1"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3CF9DB71" w14:textId="01A786F7"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4</w:t>
            </w:r>
          </w:p>
        </w:tc>
      </w:tr>
      <w:tr w:rsidR="009D6C3F" w:rsidRPr="00F52921" w14:paraId="19B99A06" w14:textId="77777777" w:rsidTr="009D6C3F">
        <w:trPr>
          <w:trHeight w:val="283"/>
        </w:trPr>
        <w:tc>
          <w:tcPr>
            <w:tcW w:w="794" w:type="dxa"/>
            <w:vMerge w:val="restart"/>
            <w:tcBorders>
              <w:top w:val="single" w:sz="4" w:space="0" w:color="auto"/>
              <w:left w:val="single" w:sz="4" w:space="0" w:color="auto"/>
              <w:right w:val="single" w:sz="4" w:space="0" w:color="auto"/>
            </w:tcBorders>
            <w:vAlign w:val="center"/>
          </w:tcPr>
          <w:p w14:paraId="5FEE11EC" w14:textId="6B62488D" w:rsidR="009D6C3F" w:rsidRPr="009D6C3F" w:rsidRDefault="009D6C3F" w:rsidP="009D6C3F">
            <w:pPr>
              <w:spacing w:before="40" w:after="40"/>
              <w:ind w:left="-57" w:right="-57"/>
              <w:jc w:val="center"/>
              <w:rPr>
                <w:rFonts w:cstheme="minorHAnsi"/>
                <w:color w:val="000000"/>
                <w:sz w:val="18"/>
                <w:szCs w:val="18"/>
              </w:rPr>
            </w:pPr>
            <w:r w:rsidRPr="009D6C3F">
              <w:rPr>
                <w:rFonts w:cstheme="minorHAnsi"/>
                <w:color w:val="000000"/>
                <w:sz w:val="18"/>
                <w:szCs w:val="18"/>
              </w:rPr>
              <w:t>0087200</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4B326433" w14:textId="12F1673B"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73ACDB8" w14:textId="5212106F" w:rsidR="009D6C3F" w:rsidRPr="006E5933" w:rsidRDefault="009D6C3F" w:rsidP="009D6C3F">
            <w:pPr>
              <w:spacing w:before="40" w:after="40"/>
              <w:jc w:val="right"/>
              <w:rPr>
                <w:rFonts w:ascii="Calibri" w:hAnsi="Calibri" w:cs="Calibri"/>
                <w:sz w:val="18"/>
                <w:szCs w:val="18"/>
              </w:rPr>
            </w:pPr>
            <w:r w:rsidRPr="006E5933">
              <w:rPr>
                <w:rFonts w:ascii="Calibri" w:hAnsi="Calibri" w:cs="Calibri"/>
                <w:color w:val="000000"/>
                <w:sz w:val="18"/>
                <w:szCs w:val="18"/>
              </w:rPr>
              <w:t>532,74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F2F9D6" w14:textId="1A0D5B0A"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5677975" w14:textId="0D6A4F39"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633,97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AB5ADD" w14:textId="426E0736"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41C9B690" w14:textId="121783BA"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101,23</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726D89D3" w14:textId="2AD62B8C"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19,00</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6F4D69D9" w14:textId="4E20C522"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7E28FF7" w14:textId="5A37758D"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3</w:t>
            </w:r>
          </w:p>
        </w:tc>
      </w:tr>
      <w:tr w:rsidR="009D6C3F" w:rsidRPr="00F52921" w14:paraId="099037FA" w14:textId="77777777" w:rsidTr="009D6C3F">
        <w:trPr>
          <w:trHeight w:val="283"/>
        </w:trPr>
        <w:tc>
          <w:tcPr>
            <w:tcW w:w="794" w:type="dxa"/>
            <w:vMerge/>
            <w:tcBorders>
              <w:left w:val="single" w:sz="4" w:space="0" w:color="auto"/>
              <w:right w:val="single" w:sz="4" w:space="0" w:color="auto"/>
            </w:tcBorders>
            <w:vAlign w:val="center"/>
          </w:tcPr>
          <w:p w14:paraId="79437793"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C4F2C5A" w14:textId="1CA59803"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4654C8A" w14:textId="17C57340" w:rsidR="009D6C3F" w:rsidRPr="006E5933" w:rsidRDefault="009D6C3F" w:rsidP="009D6C3F">
            <w:pPr>
              <w:spacing w:before="40" w:after="40"/>
              <w:jc w:val="right"/>
              <w:rPr>
                <w:rFonts w:ascii="Calibri" w:hAnsi="Calibri" w:cs="Calibri"/>
                <w:sz w:val="18"/>
                <w:szCs w:val="18"/>
              </w:rPr>
            </w:pPr>
            <w:r w:rsidRPr="006E5933">
              <w:rPr>
                <w:rFonts w:ascii="Calibri" w:hAnsi="Calibri" w:cs="Calibri"/>
                <w:color w:val="000000"/>
                <w:sz w:val="18"/>
                <w:szCs w:val="18"/>
              </w:rPr>
              <w:t>513,89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362DC9" w14:textId="0CE30EA8"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52876856" w14:textId="7DB6038B"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605,23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BA8FDF" w14:textId="4AB2D465"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232E35AE" w14:textId="498B0BEB"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91,34</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ECE1B9E" w14:textId="75515EA4"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17,77</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04065A36" w14:textId="3AA33F09"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2BF8CFB" w14:textId="23B61D27"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4</w:t>
            </w:r>
          </w:p>
        </w:tc>
      </w:tr>
      <w:tr w:rsidR="009D6C3F" w:rsidRPr="00F52921" w14:paraId="6E8EEA51" w14:textId="77777777" w:rsidTr="009D6C3F">
        <w:trPr>
          <w:trHeight w:val="283"/>
        </w:trPr>
        <w:tc>
          <w:tcPr>
            <w:tcW w:w="794" w:type="dxa"/>
            <w:vMerge/>
            <w:tcBorders>
              <w:left w:val="single" w:sz="4" w:space="0" w:color="auto"/>
              <w:bottom w:val="single" w:sz="4" w:space="0" w:color="auto"/>
              <w:right w:val="single" w:sz="4" w:space="0" w:color="auto"/>
            </w:tcBorders>
            <w:vAlign w:val="center"/>
          </w:tcPr>
          <w:p w14:paraId="19112DE4"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431A4AEF" w14:textId="1C8935B1"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2B99B1F" w14:textId="56DD7694" w:rsidR="009D6C3F" w:rsidRPr="006E5933" w:rsidRDefault="009D6C3F" w:rsidP="009D6C3F">
            <w:pPr>
              <w:spacing w:before="40" w:after="40"/>
              <w:jc w:val="right"/>
              <w:rPr>
                <w:rFonts w:ascii="Calibri" w:hAnsi="Calibri" w:cs="Calibri"/>
                <w:sz w:val="18"/>
                <w:szCs w:val="18"/>
              </w:rPr>
            </w:pPr>
            <w:r w:rsidRPr="006E5933">
              <w:rPr>
                <w:rFonts w:ascii="Calibri" w:hAnsi="Calibri" w:cs="Calibri"/>
                <w:color w:val="000000"/>
                <w:sz w:val="18"/>
                <w:szCs w:val="18"/>
              </w:rPr>
              <w:t>507,87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80EE79" w14:textId="091AFD36"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ÚVN</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E495540" w14:textId="6B70B43E"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605,23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58420F" w14:textId="5DBF8E21"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3AEAE9B4" w14:textId="18BC7F80"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97,36</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61147754" w14:textId="4DA8B00A"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19,17</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6932C2A8" w14:textId="0C0EAD08"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B628B82" w14:textId="2A10D50A"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3</w:t>
            </w:r>
          </w:p>
        </w:tc>
      </w:tr>
      <w:tr w:rsidR="009D6C3F" w:rsidRPr="00F52921" w14:paraId="57B4BA5F" w14:textId="77777777" w:rsidTr="009D6C3F">
        <w:trPr>
          <w:trHeight w:val="283"/>
        </w:trPr>
        <w:tc>
          <w:tcPr>
            <w:tcW w:w="794" w:type="dxa"/>
            <w:vMerge w:val="restart"/>
            <w:tcBorders>
              <w:top w:val="single" w:sz="4" w:space="0" w:color="auto"/>
              <w:left w:val="single" w:sz="4" w:space="0" w:color="auto"/>
              <w:right w:val="single" w:sz="4" w:space="0" w:color="auto"/>
            </w:tcBorders>
            <w:vAlign w:val="center"/>
          </w:tcPr>
          <w:p w14:paraId="63538726" w14:textId="34863558" w:rsidR="009D6C3F" w:rsidRPr="009D6C3F" w:rsidRDefault="009D6C3F" w:rsidP="009D6C3F">
            <w:pPr>
              <w:spacing w:before="40" w:after="40"/>
              <w:ind w:left="-57" w:right="-57"/>
              <w:jc w:val="center"/>
              <w:rPr>
                <w:rFonts w:cstheme="minorHAnsi"/>
                <w:color w:val="000000"/>
                <w:sz w:val="18"/>
                <w:szCs w:val="18"/>
              </w:rPr>
            </w:pPr>
            <w:r w:rsidRPr="009D6C3F">
              <w:rPr>
                <w:rFonts w:cstheme="minorHAnsi"/>
                <w:color w:val="000000"/>
                <w:sz w:val="18"/>
                <w:szCs w:val="18"/>
              </w:rPr>
              <w:t>0092359</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674AA0E" w14:textId="62C99EE5"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4AC881F" w14:textId="6BE1B538" w:rsidR="009D6C3F" w:rsidRPr="006E5933" w:rsidRDefault="009D6C3F" w:rsidP="009D6C3F">
            <w:pPr>
              <w:spacing w:before="40" w:after="40"/>
              <w:jc w:val="right"/>
              <w:rPr>
                <w:rFonts w:ascii="Calibri" w:hAnsi="Calibri" w:cs="Calibri"/>
                <w:sz w:val="18"/>
                <w:szCs w:val="18"/>
              </w:rPr>
            </w:pPr>
            <w:r w:rsidRPr="006E5933">
              <w:rPr>
                <w:rFonts w:ascii="Calibri" w:hAnsi="Calibri" w:cs="Calibri"/>
                <w:color w:val="000000"/>
                <w:sz w:val="18"/>
                <w:szCs w:val="18"/>
              </w:rPr>
              <w:t>36,93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EEC71B" w14:textId="4CF2131D"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ÚVN</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18593958" w14:textId="7DD41D6B"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37,70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F992FA" w14:textId="4D798290"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4E884887" w14:textId="4992AF58"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0,77</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5D53365D" w14:textId="5B765037"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2,08</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5C596706" w14:textId="72A013FF"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CD237D4" w14:textId="022C0FD5"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4</w:t>
            </w:r>
          </w:p>
        </w:tc>
      </w:tr>
      <w:tr w:rsidR="009D6C3F" w:rsidRPr="00F52921" w14:paraId="08F8A4CC" w14:textId="77777777" w:rsidTr="009D6C3F">
        <w:trPr>
          <w:trHeight w:val="283"/>
        </w:trPr>
        <w:tc>
          <w:tcPr>
            <w:tcW w:w="794" w:type="dxa"/>
            <w:vMerge/>
            <w:tcBorders>
              <w:left w:val="single" w:sz="4" w:space="0" w:color="auto"/>
              <w:right w:val="single" w:sz="4" w:space="0" w:color="auto"/>
            </w:tcBorders>
            <w:vAlign w:val="center"/>
          </w:tcPr>
          <w:p w14:paraId="03A452AF"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204B63A" w14:textId="6F680AF5"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9CFA0D2" w14:textId="05795C22" w:rsidR="009D6C3F" w:rsidRPr="006E5933" w:rsidRDefault="009D6C3F" w:rsidP="009D6C3F">
            <w:pPr>
              <w:spacing w:before="40" w:after="40"/>
              <w:jc w:val="right"/>
              <w:rPr>
                <w:rFonts w:ascii="Calibri" w:hAnsi="Calibri" w:cs="Calibri"/>
                <w:sz w:val="18"/>
                <w:szCs w:val="18"/>
              </w:rPr>
            </w:pPr>
            <w:r w:rsidRPr="006E5933">
              <w:rPr>
                <w:rFonts w:ascii="Calibri" w:hAnsi="Calibri" w:cs="Calibri"/>
                <w:color w:val="000000"/>
                <w:sz w:val="18"/>
                <w:szCs w:val="18"/>
              </w:rPr>
              <w:t>35,37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595248" w14:textId="1BD049F6"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ÚVN</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6B6849F" w14:textId="20B23265"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35,98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0ABA40" w14:textId="6F43FFDD"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5D981811" w14:textId="1EBBC3D0"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0,61</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2EE036D1" w14:textId="64F02CFD"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1,72</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6AA3C651" w14:textId="3CE8535F"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7FBFBD3" w14:textId="37D3351C"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4</w:t>
            </w:r>
          </w:p>
        </w:tc>
      </w:tr>
      <w:tr w:rsidR="009D6C3F" w:rsidRPr="00F52921" w14:paraId="5F749969" w14:textId="77777777" w:rsidTr="009D6C3F">
        <w:trPr>
          <w:trHeight w:val="283"/>
        </w:trPr>
        <w:tc>
          <w:tcPr>
            <w:tcW w:w="794" w:type="dxa"/>
            <w:vMerge/>
            <w:tcBorders>
              <w:left w:val="single" w:sz="4" w:space="0" w:color="auto"/>
              <w:bottom w:val="single" w:sz="4" w:space="0" w:color="auto"/>
              <w:right w:val="single" w:sz="4" w:space="0" w:color="auto"/>
            </w:tcBorders>
            <w:vAlign w:val="center"/>
          </w:tcPr>
          <w:p w14:paraId="50CBEFC3"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AB9F7BD" w14:textId="3CA94598"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B61D6B8" w14:textId="44DFAA91" w:rsidR="009D6C3F" w:rsidRPr="006E5933" w:rsidRDefault="009D6C3F" w:rsidP="009D6C3F">
            <w:pPr>
              <w:spacing w:before="40" w:after="40"/>
              <w:jc w:val="right"/>
              <w:rPr>
                <w:rFonts w:ascii="Calibri" w:hAnsi="Calibri" w:cs="Calibri"/>
                <w:sz w:val="18"/>
                <w:szCs w:val="18"/>
              </w:rPr>
            </w:pPr>
            <w:r w:rsidRPr="006E5933">
              <w:rPr>
                <w:rFonts w:ascii="Calibri" w:hAnsi="Calibri" w:cs="Calibri"/>
                <w:color w:val="000000"/>
                <w:sz w:val="18"/>
                <w:szCs w:val="18"/>
              </w:rPr>
              <w:t>35,37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770824" w14:textId="539F480E"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ÚVN</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488028DD" w14:textId="209C1096"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35,77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AC93AD" w14:textId="1E35199E"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32AA5B8B" w14:textId="7624950B"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0,40</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4C86BB89" w14:textId="6CFACC09"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1,14</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67D56104" w14:textId="08078C6B"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FF7C605" w14:textId="24A29D25"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2</w:t>
            </w:r>
          </w:p>
        </w:tc>
      </w:tr>
      <w:tr w:rsidR="009D6C3F" w:rsidRPr="00F52921" w14:paraId="4A536788" w14:textId="77777777" w:rsidTr="009D6C3F">
        <w:trPr>
          <w:trHeight w:val="283"/>
        </w:trPr>
        <w:tc>
          <w:tcPr>
            <w:tcW w:w="794" w:type="dxa"/>
            <w:vMerge w:val="restart"/>
            <w:tcBorders>
              <w:top w:val="single" w:sz="4" w:space="0" w:color="auto"/>
              <w:left w:val="single" w:sz="4" w:space="0" w:color="auto"/>
              <w:right w:val="single" w:sz="4" w:space="0" w:color="auto"/>
            </w:tcBorders>
            <w:vAlign w:val="center"/>
          </w:tcPr>
          <w:p w14:paraId="1A241D31" w14:textId="1BB94F02" w:rsidR="009D6C3F" w:rsidRPr="009D6C3F" w:rsidRDefault="009D6C3F" w:rsidP="009D6C3F">
            <w:pPr>
              <w:spacing w:before="40" w:after="40"/>
              <w:ind w:left="-57" w:right="-57"/>
              <w:jc w:val="center"/>
              <w:rPr>
                <w:rFonts w:cstheme="minorHAnsi"/>
                <w:color w:val="000000"/>
                <w:sz w:val="18"/>
                <w:szCs w:val="18"/>
              </w:rPr>
            </w:pPr>
            <w:r w:rsidRPr="009D6C3F">
              <w:rPr>
                <w:rFonts w:cstheme="minorHAnsi"/>
                <w:sz w:val="18"/>
                <w:szCs w:val="18"/>
              </w:rPr>
              <w:t>0113453</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7680B34B" w14:textId="0D7357BB"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26B43ED" w14:textId="1CF958C2"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352,02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19A25B" w14:textId="24CECA51"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A764CEE" w14:textId="2C3455FA"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529,00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72386E" w14:textId="6ED31569"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ÚVN</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63EB9213" w14:textId="32E942D3"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176,98</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5F4FD2FE" w14:textId="6C726536"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50,28</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145E504A" w14:textId="7E04FF53"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13ADD96" w14:textId="20C41874"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2</w:t>
            </w:r>
          </w:p>
        </w:tc>
      </w:tr>
      <w:tr w:rsidR="009D6C3F" w:rsidRPr="00F52921" w14:paraId="7E27EA90" w14:textId="77777777" w:rsidTr="009D6C3F">
        <w:trPr>
          <w:trHeight w:val="283"/>
        </w:trPr>
        <w:tc>
          <w:tcPr>
            <w:tcW w:w="794" w:type="dxa"/>
            <w:vMerge/>
            <w:tcBorders>
              <w:left w:val="single" w:sz="4" w:space="0" w:color="auto"/>
              <w:right w:val="single" w:sz="4" w:space="0" w:color="auto"/>
            </w:tcBorders>
            <w:vAlign w:val="center"/>
          </w:tcPr>
          <w:p w14:paraId="14B8EF27"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5BB71C1" w14:textId="1DEAD303"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307B0A2" w14:textId="54ADEEC2"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385,00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10278B" w14:textId="2FAD6C0F"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2BC9E088" w14:textId="2B173E49"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2 102,50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B77D7F" w14:textId="35BD5142"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ÚVN</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6C5664E6" w14:textId="3AE3298B"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1 717,50</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4969BDD2" w14:textId="7BA1B0D7"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446,10</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78A3FB46" w14:textId="7D0F6FD4"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5EBB267" w14:textId="5442063C"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2</w:t>
            </w:r>
          </w:p>
        </w:tc>
      </w:tr>
      <w:tr w:rsidR="009D6C3F" w:rsidRPr="00F52921" w14:paraId="0DC18C3F" w14:textId="77777777" w:rsidTr="009D6C3F">
        <w:trPr>
          <w:trHeight w:val="283"/>
        </w:trPr>
        <w:tc>
          <w:tcPr>
            <w:tcW w:w="794" w:type="dxa"/>
            <w:vMerge/>
            <w:tcBorders>
              <w:left w:val="single" w:sz="4" w:space="0" w:color="auto"/>
              <w:bottom w:val="single" w:sz="4" w:space="0" w:color="auto"/>
              <w:right w:val="single" w:sz="4" w:space="0" w:color="auto"/>
            </w:tcBorders>
            <w:vAlign w:val="center"/>
          </w:tcPr>
          <w:p w14:paraId="27BA84BA"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982A325" w14:textId="03F60D22"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3B9A409" w14:textId="116282F5" w:rsidR="009D6C3F" w:rsidRPr="006E5933" w:rsidRDefault="009D6C3F" w:rsidP="009D6C3F">
            <w:pPr>
              <w:spacing w:before="40" w:after="40"/>
              <w:jc w:val="right"/>
              <w:rPr>
                <w:rFonts w:ascii="Calibri" w:hAnsi="Calibri" w:cs="Calibri"/>
                <w:sz w:val="18"/>
                <w:szCs w:val="18"/>
              </w:rPr>
            </w:pPr>
            <w:r w:rsidRPr="006E5933">
              <w:rPr>
                <w:rFonts w:ascii="Calibri" w:hAnsi="Calibri" w:cs="Calibri"/>
                <w:color w:val="000000"/>
                <w:sz w:val="18"/>
                <w:szCs w:val="18"/>
              </w:rPr>
              <w:t>627,00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D6CA7A" w14:textId="0B46ADED"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4222A906" w14:textId="318B0410"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1 154,89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BB2AF0" w14:textId="3D279EAC"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ÚVN</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156B1846" w14:textId="33FF038D"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527,89</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488EFC29" w14:textId="050A1B6D"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84,19</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306C9CB8" w14:textId="577B7D16"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1C500EE" w14:textId="377A9BB8"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1</w:t>
            </w:r>
          </w:p>
        </w:tc>
      </w:tr>
      <w:tr w:rsidR="009D6C3F" w:rsidRPr="00F52921" w14:paraId="0B8CBFDD" w14:textId="77777777" w:rsidTr="009D6C3F">
        <w:trPr>
          <w:trHeight w:val="283"/>
        </w:trPr>
        <w:tc>
          <w:tcPr>
            <w:tcW w:w="794" w:type="dxa"/>
            <w:vMerge w:val="restart"/>
            <w:tcBorders>
              <w:top w:val="single" w:sz="4" w:space="0" w:color="auto"/>
              <w:left w:val="single" w:sz="4" w:space="0" w:color="auto"/>
              <w:right w:val="single" w:sz="4" w:space="0" w:color="auto"/>
            </w:tcBorders>
            <w:vAlign w:val="center"/>
          </w:tcPr>
          <w:p w14:paraId="39E094DB" w14:textId="2F18B1A1" w:rsidR="009D6C3F" w:rsidRPr="009D6C3F" w:rsidRDefault="009D6C3F" w:rsidP="009D6C3F">
            <w:pPr>
              <w:spacing w:before="40" w:after="40"/>
              <w:ind w:left="-57" w:right="-57"/>
              <w:jc w:val="center"/>
              <w:rPr>
                <w:rFonts w:cstheme="minorHAnsi"/>
                <w:color w:val="000000"/>
                <w:sz w:val="18"/>
                <w:szCs w:val="18"/>
              </w:rPr>
            </w:pPr>
            <w:r w:rsidRPr="009D6C3F">
              <w:rPr>
                <w:rFonts w:cstheme="minorHAnsi"/>
                <w:sz w:val="18"/>
                <w:szCs w:val="18"/>
              </w:rPr>
              <w:t>0142077</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77BB7696" w14:textId="75B4BCCE"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DC1614F" w14:textId="31BC184F"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817,80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BF079D" w14:textId="17FD50B7"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193EBDF" w14:textId="6C0E30EE"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1 233,89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CCC20C" w14:textId="7777F9FE"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ÚVN</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143D1FE7" w14:textId="50BE75E4"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416,09</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07FD96B8" w14:textId="6FCAC6B0"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50,88</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268BD45B" w14:textId="42C94247"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D5E73C9" w14:textId="3E0066B3"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4</w:t>
            </w:r>
          </w:p>
        </w:tc>
      </w:tr>
      <w:tr w:rsidR="009D6C3F" w:rsidRPr="00F52921" w14:paraId="60438E26" w14:textId="77777777" w:rsidTr="009D6C3F">
        <w:trPr>
          <w:trHeight w:val="283"/>
        </w:trPr>
        <w:tc>
          <w:tcPr>
            <w:tcW w:w="794" w:type="dxa"/>
            <w:vMerge/>
            <w:tcBorders>
              <w:left w:val="single" w:sz="4" w:space="0" w:color="auto"/>
              <w:right w:val="single" w:sz="4" w:space="0" w:color="auto"/>
            </w:tcBorders>
            <w:vAlign w:val="center"/>
          </w:tcPr>
          <w:p w14:paraId="031E1CD1"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5442B8F" w14:textId="3070B0C1"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347D82F" w14:textId="6E3999C7"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781,55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3D3547" w14:textId="32CD53F1"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531B318" w14:textId="0A1A06B7"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sz w:val="18"/>
                <w:szCs w:val="18"/>
              </w:rPr>
              <w:t>784,63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B07270" w14:textId="23805CDE"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622320E8" w14:textId="0E7787F1"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3,08</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78B24589" w14:textId="51354094"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0,39</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6A229021" w14:textId="11D781BD"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B002977" w14:textId="1398F127"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3</w:t>
            </w:r>
          </w:p>
        </w:tc>
      </w:tr>
      <w:tr w:rsidR="009D6C3F" w:rsidRPr="00F52921" w14:paraId="49F5136F" w14:textId="77777777" w:rsidTr="009D6C3F">
        <w:trPr>
          <w:trHeight w:val="283"/>
        </w:trPr>
        <w:tc>
          <w:tcPr>
            <w:tcW w:w="794" w:type="dxa"/>
            <w:vMerge/>
            <w:tcBorders>
              <w:left w:val="single" w:sz="4" w:space="0" w:color="auto"/>
              <w:bottom w:val="single" w:sz="4" w:space="0" w:color="auto"/>
              <w:right w:val="single" w:sz="4" w:space="0" w:color="auto"/>
            </w:tcBorders>
            <w:vAlign w:val="center"/>
          </w:tcPr>
          <w:p w14:paraId="19223A4D" w14:textId="77777777" w:rsidR="009D6C3F" w:rsidRPr="009D6C3F" w:rsidRDefault="009D6C3F" w:rsidP="009D6C3F">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12362EE" w14:textId="6D680F33"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5971ED3" w14:textId="4C1C13E8" w:rsidR="009D6C3F" w:rsidRPr="006E5933" w:rsidRDefault="009D6C3F" w:rsidP="009D6C3F">
            <w:pPr>
              <w:spacing w:before="40" w:after="40"/>
              <w:jc w:val="right"/>
              <w:rPr>
                <w:rFonts w:ascii="Calibri" w:hAnsi="Calibri" w:cs="Calibri"/>
                <w:sz w:val="18"/>
                <w:szCs w:val="18"/>
              </w:rPr>
            </w:pPr>
            <w:r w:rsidRPr="006E5933">
              <w:rPr>
                <w:rFonts w:ascii="Calibri" w:hAnsi="Calibri" w:cs="Calibri"/>
                <w:color w:val="000000"/>
                <w:sz w:val="18"/>
                <w:szCs w:val="18"/>
              </w:rPr>
              <w:t>776,70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8660BE" w14:textId="6C349933"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ÚVN</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B3A1591" w14:textId="38E62546"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962,12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5A2C86" w14:textId="7030D00F"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246AEA25" w14:textId="1BAAC34A"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185,42</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4A562A3" w14:textId="02FB4450"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23,87</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47C5CED9" w14:textId="477C61C7"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A9D2730" w14:textId="09BFE431"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4</w:t>
            </w:r>
          </w:p>
        </w:tc>
      </w:tr>
      <w:tr w:rsidR="009D6C3F" w:rsidRPr="00F52921" w14:paraId="1F93BCC5" w14:textId="77777777" w:rsidTr="009D6C3F">
        <w:trPr>
          <w:trHeight w:val="283"/>
        </w:trPr>
        <w:tc>
          <w:tcPr>
            <w:tcW w:w="794" w:type="dxa"/>
            <w:vMerge w:val="restart"/>
            <w:tcBorders>
              <w:top w:val="single" w:sz="4" w:space="0" w:color="auto"/>
              <w:left w:val="single" w:sz="4" w:space="0" w:color="auto"/>
              <w:right w:val="single" w:sz="4" w:space="0" w:color="auto"/>
            </w:tcBorders>
            <w:vAlign w:val="center"/>
          </w:tcPr>
          <w:p w14:paraId="57269409" w14:textId="61634647" w:rsidR="009D6C3F" w:rsidRPr="009D6C3F" w:rsidRDefault="009D6C3F" w:rsidP="009D6C3F">
            <w:pPr>
              <w:spacing w:before="40" w:after="40"/>
              <w:ind w:left="-57" w:right="-57"/>
              <w:jc w:val="center"/>
              <w:rPr>
                <w:rFonts w:cstheme="minorHAnsi"/>
                <w:color w:val="000000"/>
                <w:sz w:val="18"/>
                <w:szCs w:val="18"/>
              </w:rPr>
            </w:pPr>
            <w:r w:rsidRPr="009D6C3F">
              <w:rPr>
                <w:rFonts w:cstheme="minorHAnsi"/>
                <w:sz w:val="18"/>
                <w:szCs w:val="18"/>
              </w:rPr>
              <w:t>0155939</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7E0A0498" w14:textId="21A1E306"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15F2790" w14:textId="5A8F31FF" w:rsidR="009D6C3F" w:rsidRPr="006E5933" w:rsidRDefault="009D6C3F" w:rsidP="009D6C3F">
            <w:pPr>
              <w:spacing w:before="40" w:after="40"/>
              <w:jc w:val="right"/>
              <w:rPr>
                <w:rFonts w:ascii="Calibri" w:hAnsi="Calibri" w:cs="Calibri"/>
                <w:sz w:val="18"/>
                <w:szCs w:val="18"/>
              </w:rPr>
            </w:pPr>
            <w:r w:rsidRPr="006E5933">
              <w:rPr>
                <w:rFonts w:ascii="Calibri" w:hAnsi="Calibri" w:cs="Calibri"/>
                <w:sz w:val="18"/>
                <w:szCs w:val="18"/>
              </w:rPr>
              <w:t>637,88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7DB254" w14:textId="427DF527"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 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32F1362" w14:textId="7532BA1F"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683,49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0792C3" w14:textId="361B391D" w:rsidR="009D6C3F" w:rsidRPr="006E5933" w:rsidRDefault="009D6C3F"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ÚVN</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5D95F57D" w14:textId="4D6ADF22" w:rsidR="009D6C3F" w:rsidRPr="006E5933" w:rsidRDefault="009D6C3F"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45,61</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5CF7B485" w14:textId="7C785CAB" w:rsidR="009D6C3F" w:rsidRPr="006E5933" w:rsidRDefault="009D6C3F"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7,15</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25D532AD" w14:textId="29F49747" w:rsidR="009D6C3F" w:rsidRPr="006E5933" w:rsidRDefault="009D6C3F"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F05E0F3" w14:textId="275C4A2C" w:rsidR="009D6C3F" w:rsidRPr="006E5933" w:rsidRDefault="009D6C3F"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3</w:t>
            </w:r>
          </w:p>
        </w:tc>
      </w:tr>
      <w:tr w:rsidR="006E5933" w:rsidRPr="00F52921" w14:paraId="467583EE" w14:textId="77777777" w:rsidTr="009D6C3F">
        <w:trPr>
          <w:trHeight w:val="283"/>
        </w:trPr>
        <w:tc>
          <w:tcPr>
            <w:tcW w:w="794" w:type="dxa"/>
            <w:vMerge/>
            <w:tcBorders>
              <w:left w:val="single" w:sz="4" w:space="0" w:color="auto"/>
              <w:right w:val="single" w:sz="4" w:space="0" w:color="auto"/>
            </w:tcBorders>
            <w:vAlign w:val="center"/>
          </w:tcPr>
          <w:p w14:paraId="73B16230" w14:textId="77777777" w:rsidR="006E5933" w:rsidRPr="00F52921" w:rsidRDefault="006E5933" w:rsidP="009D6C3F">
            <w:pPr>
              <w:spacing w:before="40" w:after="40"/>
              <w:ind w:left="-57" w:right="-57"/>
              <w:jc w:val="center"/>
              <w:rPr>
                <w:rFonts w:cstheme="minorHAnsi"/>
                <w:color w:val="000000"/>
                <w:sz w:val="20"/>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7710D142" w14:textId="1A96497C" w:rsidR="006E5933" w:rsidRPr="006E5933" w:rsidRDefault="006E5933"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B38BAB3" w14:textId="128DE92D" w:rsidR="006E5933" w:rsidRPr="006E5933" w:rsidRDefault="006E5933" w:rsidP="009D6C3F">
            <w:pPr>
              <w:spacing w:before="40" w:after="40"/>
              <w:jc w:val="right"/>
              <w:rPr>
                <w:rFonts w:ascii="Calibri" w:hAnsi="Calibri" w:cs="Calibri"/>
                <w:sz w:val="18"/>
                <w:szCs w:val="18"/>
              </w:rPr>
            </w:pPr>
            <w:r w:rsidRPr="006E5933">
              <w:rPr>
                <w:rFonts w:ascii="Calibri" w:hAnsi="Calibri" w:cs="Calibri"/>
                <w:sz w:val="18"/>
                <w:szCs w:val="18"/>
              </w:rPr>
              <w:t>610,15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5F4A42" w14:textId="69370FA1" w:rsidR="006E5933" w:rsidRPr="006E5933" w:rsidRDefault="006E5933"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24B088AA" w14:textId="005F7ABE" w:rsidR="006E5933" w:rsidRPr="006E5933" w:rsidRDefault="006E5933"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784,37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77AE90" w14:textId="69F48A09" w:rsidR="006E5933" w:rsidRPr="006E5933" w:rsidRDefault="006E5933"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FNB</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417084C2" w14:textId="65607241" w:rsidR="006E5933" w:rsidRPr="006E5933" w:rsidRDefault="006E5933"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174,22</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14A1D408" w14:textId="30880163" w:rsidR="006E5933" w:rsidRPr="006E5933" w:rsidRDefault="006E5933"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28,55</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1F4FEA4F" w14:textId="2C57DA7F" w:rsidR="006E5933" w:rsidRPr="006E5933" w:rsidRDefault="006E5933"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7DCA367" w14:textId="41660F08" w:rsidR="006E5933" w:rsidRPr="006E5933" w:rsidRDefault="006E5933"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3</w:t>
            </w:r>
          </w:p>
        </w:tc>
      </w:tr>
      <w:tr w:rsidR="006E5933" w:rsidRPr="00F52921" w14:paraId="1164F228" w14:textId="77777777" w:rsidTr="009D6C3F">
        <w:trPr>
          <w:trHeight w:val="283"/>
        </w:trPr>
        <w:tc>
          <w:tcPr>
            <w:tcW w:w="794" w:type="dxa"/>
            <w:vMerge/>
            <w:tcBorders>
              <w:left w:val="single" w:sz="4" w:space="0" w:color="auto"/>
              <w:bottom w:val="single" w:sz="4" w:space="0" w:color="auto"/>
              <w:right w:val="single" w:sz="4" w:space="0" w:color="auto"/>
            </w:tcBorders>
            <w:vAlign w:val="center"/>
          </w:tcPr>
          <w:p w14:paraId="1D642A64" w14:textId="77777777" w:rsidR="006E5933" w:rsidRPr="00F52921" w:rsidRDefault="006E5933" w:rsidP="009D6C3F">
            <w:pPr>
              <w:spacing w:before="40" w:after="40"/>
              <w:ind w:left="-57" w:right="-57"/>
              <w:jc w:val="center"/>
              <w:rPr>
                <w:rFonts w:cstheme="minorHAnsi"/>
                <w:color w:val="000000"/>
                <w:sz w:val="20"/>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6BAF8B3" w14:textId="035B7808" w:rsidR="006E5933" w:rsidRPr="006E5933" w:rsidRDefault="006E5933"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DE3B19B" w14:textId="67188161" w:rsidR="006E5933" w:rsidRPr="006E5933" w:rsidRDefault="006E5933" w:rsidP="009D6C3F">
            <w:pPr>
              <w:spacing w:before="40" w:after="40"/>
              <w:jc w:val="right"/>
              <w:rPr>
                <w:rFonts w:ascii="Calibri" w:hAnsi="Calibri" w:cs="Calibri"/>
                <w:sz w:val="18"/>
                <w:szCs w:val="18"/>
              </w:rPr>
            </w:pPr>
            <w:r w:rsidRPr="006E5933">
              <w:rPr>
                <w:rFonts w:ascii="Calibri" w:hAnsi="Calibri" w:cs="Calibri"/>
                <w:sz w:val="18"/>
                <w:szCs w:val="18"/>
              </w:rPr>
              <w:t>590,47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218B8E" w14:textId="3228421A" w:rsidR="006E5933" w:rsidRPr="006E5933" w:rsidRDefault="006E5933"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48F3B75A" w14:textId="4D7CAD72" w:rsidR="006E5933" w:rsidRPr="006E5933" w:rsidRDefault="006E5933"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788,25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CDDFB2" w14:textId="4316CBA0" w:rsidR="006E5933" w:rsidRPr="006E5933" w:rsidRDefault="006E5933" w:rsidP="009D6C3F">
            <w:pPr>
              <w:spacing w:before="40" w:after="40"/>
              <w:jc w:val="center"/>
              <w:rPr>
                <w:rFonts w:ascii="Calibri" w:hAnsi="Calibri" w:cs="Calibri"/>
                <w:color w:val="000000"/>
                <w:sz w:val="18"/>
                <w:szCs w:val="18"/>
              </w:rPr>
            </w:pPr>
            <w:r w:rsidRPr="006E5933">
              <w:rPr>
                <w:rFonts w:ascii="Calibri" w:hAnsi="Calibri" w:cs="Calibri"/>
                <w:color w:val="000000"/>
                <w:sz w:val="18"/>
                <w:szCs w:val="18"/>
              </w:rPr>
              <w:t>ÚVN</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1D0B8E00" w14:textId="5C8E9177" w:rsidR="006E5933" w:rsidRPr="006E5933" w:rsidRDefault="006E5933" w:rsidP="009D6C3F">
            <w:pPr>
              <w:spacing w:before="40" w:after="40"/>
              <w:jc w:val="right"/>
              <w:rPr>
                <w:rFonts w:ascii="Calibri" w:hAnsi="Calibri" w:cs="Calibri"/>
                <w:color w:val="000000"/>
                <w:sz w:val="18"/>
                <w:szCs w:val="18"/>
              </w:rPr>
            </w:pPr>
            <w:r w:rsidRPr="006E5933">
              <w:rPr>
                <w:rFonts w:ascii="Calibri" w:hAnsi="Calibri" w:cs="Calibri"/>
                <w:color w:val="000000"/>
                <w:sz w:val="18"/>
                <w:szCs w:val="18"/>
              </w:rPr>
              <w:t>197,78</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5F5363C6" w14:textId="6CAA07B5" w:rsidR="006E5933" w:rsidRPr="006E5933" w:rsidRDefault="006E5933" w:rsidP="009373D3">
            <w:pPr>
              <w:spacing w:before="40" w:after="40"/>
              <w:jc w:val="right"/>
              <w:rPr>
                <w:rFonts w:ascii="Calibri" w:hAnsi="Calibri" w:cs="Calibri"/>
                <w:color w:val="000000"/>
                <w:sz w:val="18"/>
                <w:szCs w:val="18"/>
              </w:rPr>
            </w:pPr>
            <w:r w:rsidRPr="006E5933">
              <w:rPr>
                <w:rFonts w:ascii="Calibri" w:hAnsi="Calibri" w:cs="Calibri"/>
                <w:color w:val="000000"/>
                <w:sz w:val="18"/>
                <w:szCs w:val="18"/>
              </w:rPr>
              <w:t>33,50</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1D27919A" w14:textId="200F05FF" w:rsidR="006E5933" w:rsidRPr="006E5933" w:rsidRDefault="006E5933" w:rsidP="009D6C3F">
            <w:pPr>
              <w:spacing w:before="40" w:after="40"/>
              <w:ind w:right="-12"/>
              <w:jc w:val="right"/>
              <w:rPr>
                <w:rFonts w:ascii="Calibri" w:hAnsi="Calibri" w:cs="Calibri"/>
                <w:color w:val="000000"/>
                <w:sz w:val="18"/>
                <w:szCs w:val="18"/>
              </w:rPr>
            </w:pPr>
            <w:r w:rsidRPr="006E5933">
              <w:rPr>
                <w:rFonts w:ascii="Calibri" w:hAnsi="Calibri" w:cs="Calibri"/>
                <w:color w:val="000000"/>
                <w:sz w:val="18"/>
                <w:szCs w:val="18"/>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2097F4A" w14:textId="7B65CE5E" w:rsidR="006E5933" w:rsidRPr="006E5933" w:rsidRDefault="006E5933" w:rsidP="009D6C3F">
            <w:pPr>
              <w:spacing w:before="40" w:after="40"/>
              <w:ind w:right="117"/>
              <w:jc w:val="right"/>
              <w:rPr>
                <w:rFonts w:ascii="Calibri" w:hAnsi="Calibri" w:cs="Calibri"/>
                <w:color w:val="000000"/>
                <w:sz w:val="18"/>
                <w:szCs w:val="18"/>
              </w:rPr>
            </w:pPr>
            <w:r w:rsidRPr="006E5933">
              <w:rPr>
                <w:rFonts w:ascii="Calibri" w:hAnsi="Calibri" w:cs="Calibri"/>
                <w:color w:val="000000"/>
                <w:sz w:val="18"/>
                <w:szCs w:val="18"/>
              </w:rPr>
              <w:t>4</w:t>
            </w:r>
          </w:p>
        </w:tc>
      </w:tr>
      <w:tr w:rsidR="001352EB" w:rsidRPr="00F52921" w14:paraId="4ABB37C2" w14:textId="77777777" w:rsidTr="001352EB">
        <w:trPr>
          <w:trHeight w:val="283"/>
        </w:trPr>
        <w:tc>
          <w:tcPr>
            <w:tcW w:w="794" w:type="dxa"/>
            <w:vMerge w:val="restart"/>
            <w:tcBorders>
              <w:top w:val="single" w:sz="4" w:space="0" w:color="auto"/>
              <w:left w:val="single" w:sz="4" w:space="0" w:color="auto"/>
              <w:right w:val="single" w:sz="4" w:space="0" w:color="auto"/>
            </w:tcBorders>
            <w:vAlign w:val="center"/>
          </w:tcPr>
          <w:p w14:paraId="09932F63" w14:textId="34D29F6A" w:rsidR="001352EB" w:rsidRPr="001352EB" w:rsidRDefault="001352EB" w:rsidP="001352EB">
            <w:pPr>
              <w:spacing w:before="40" w:after="40"/>
              <w:ind w:left="-57" w:right="-57"/>
              <w:jc w:val="center"/>
              <w:rPr>
                <w:rFonts w:cstheme="minorHAnsi"/>
                <w:color w:val="000000"/>
                <w:sz w:val="18"/>
                <w:szCs w:val="18"/>
              </w:rPr>
            </w:pPr>
            <w:r w:rsidRPr="001352EB">
              <w:rPr>
                <w:rFonts w:cstheme="minorHAnsi"/>
                <w:sz w:val="18"/>
                <w:szCs w:val="18"/>
              </w:rPr>
              <w:t>0156835</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6E8DA009" w14:textId="6457A790" w:rsidR="001352EB" w:rsidRPr="00F52921" w:rsidRDefault="001352EB" w:rsidP="001352EB">
            <w:pPr>
              <w:spacing w:before="40" w:after="40"/>
              <w:jc w:val="center"/>
              <w:rPr>
                <w:rFonts w:cstheme="minorHAnsi"/>
                <w:color w:val="000000"/>
                <w:sz w:val="20"/>
              </w:rPr>
            </w:pPr>
            <w:r w:rsidRPr="00F52921">
              <w:rPr>
                <w:rFonts w:cstheme="minorHAnsi"/>
                <w:color w:val="000000"/>
                <w:sz w:val="20"/>
              </w:rPr>
              <w:t>2014</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A416684" w14:textId="11C424B2" w:rsidR="001352EB" w:rsidRPr="00F52921" w:rsidRDefault="001352EB" w:rsidP="001352EB">
            <w:pPr>
              <w:spacing w:before="40" w:after="40"/>
              <w:jc w:val="right"/>
              <w:rPr>
                <w:rFonts w:cstheme="minorHAnsi"/>
                <w:sz w:val="20"/>
              </w:rPr>
            </w:pPr>
            <w:r w:rsidRPr="00F52921">
              <w:rPr>
                <w:rFonts w:cstheme="minorHAnsi"/>
                <w:sz w:val="20"/>
              </w:rPr>
              <w:t>1 155,75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06A97F" w14:textId="2CC06AED" w:rsidR="001352EB" w:rsidRPr="00F52921" w:rsidRDefault="001352EB" w:rsidP="001352EB">
            <w:pPr>
              <w:spacing w:before="40" w:after="40"/>
              <w:jc w:val="center"/>
              <w:rPr>
                <w:rFonts w:cstheme="minorHAnsi"/>
                <w:color w:val="000000"/>
                <w:sz w:val="20"/>
              </w:rPr>
            </w:pPr>
            <w:r w:rsidRPr="00F52921">
              <w:rPr>
                <w:rFonts w:cstheme="minorHAnsi"/>
                <w:color w:val="000000"/>
                <w:sz w:val="20"/>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CA15B47" w14:textId="6CD2CAA8" w:rsidR="001352EB" w:rsidRPr="00F52921" w:rsidRDefault="001352EB" w:rsidP="001352EB">
            <w:pPr>
              <w:spacing w:before="40" w:after="40"/>
              <w:jc w:val="right"/>
              <w:rPr>
                <w:rFonts w:cstheme="minorHAnsi"/>
                <w:color w:val="000000"/>
                <w:sz w:val="20"/>
              </w:rPr>
            </w:pPr>
            <w:r w:rsidRPr="00F52921">
              <w:rPr>
                <w:rFonts w:cstheme="minorHAnsi"/>
                <w:color w:val="000000"/>
                <w:sz w:val="20"/>
              </w:rPr>
              <w:t>3 450,00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537B372" w14:textId="6DB57096" w:rsidR="001352EB" w:rsidRPr="00F52921" w:rsidRDefault="001352EB" w:rsidP="001352EB">
            <w:pPr>
              <w:spacing w:before="40" w:after="40"/>
              <w:jc w:val="center"/>
              <w:rPr>
                <w:rFonts w:cstheme="minorHAnsi"/>
                <w:color w:val="000000"/>
                <w:sz w:val="20"/>
              </w:rPr>
            </w:pPr>
            <w:r w:rsidRPr="00F52921">
              <w:rPr>
                <w:rFonts w:cstheme="minorHAnsi"/>
                <w:color w:val="000000"/>
                <w:sz w:val="20"/>
              </w:rPr>
              <w:t>FNB</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54EBF19B" w14:textId="64AD1783" w:rsidR="001352EB" w:rsidRPr="00F52921" w:rsidRDefault="001352EB" w:rsidP="001352EB">
            <w:pPr>
              <w:spacing w:before="40" w:after="40"/>
              <w:jc w:val="right"/>
              <w:rPr>
                <w:rFonts w:cstheme="minorHAnsi"/>
                <w:color w:val="000000"/>
                <w:sz w:val="20"/>
              </w:rPr>
            </w:pPr>
            <w:r w:rsidRPr="00F52921">
              <w:rPr>
                <w:rFonts w:cstheme="minorHAnsi"/>
                <w:color w:val="000000"/>
                <w:sz w:val="20"/>
              </w:rPr>
              <w:t>2 294,25</w:t>
            </w:r>
          </w:p>
        </w:tc>
        <w:tc>
          <w:tcPr>
            <w:tcW w:w="879" w:type="dxa"/>
            <w:tcBorders>
              <w:top w:val="single" w:sz="4" w:space="0" w:color="auto"/>
              <w:left w:val="nil"/>
              <w:bottom w:val="single" w:sz="4" w:space="0" w:color="auto"/>
              <w:right w:val="single" w:sz="4" w:space="0" w:color="auto"/>
            </w:tcBorders>
            <w:shd w:val="clear" w:color="auto" w:fill="auto"/>
            <w:noWrap/>
            <w:vAlign w:val="bottom"/>
          </w:tcPr>
          <w:p w14:paraId="7AA0B54D" w14:textId="51F6954D" w:rsidR="001352EB" w:rsidRPr="00F52921" w:rsidRDefault="001352EB" w:rsidP="009373D3">
            <w:pPr>
              <w:spacing w:before="40" w:after="40"/>
              <w:jc w:val="right"/>
              <w:rPr>
                <w:rFonts w:cstheme="minorHAnsi"/>
                <w:color w:val="000000"/>
                <w:sz w:val="20"/>
              </w:rPr>
            </w:pPr>
            <w:r w:rsidRPr="00F52921">
              <w:rPr>
                <w:rFonts w:cstheme="minorHAnsi"/>
                <w:color w:val="000000"/>
                <w:sz w:val="20"/>
              </w:rPr>
              <w:t>198,51</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02583DB1" w14:textId="48B7787E" w:rsidR="001352EB" w:rsidRPr="00F52921" w:rsidRDefault="001352EB" w:rsidP="001352EB">
            <w:pPr>
              <w:spacing w:before="40" w:after="40"/>
              <w:ind w:right="-12"/>
              <w:jc w:val="right"/>
              <w:rPr>
                <w:rFonts w:cstheme="minorHAnsi"/>
                <w:color w:val="000000"/>
                <w:sz w:val="20"/>
              </w:rPr>
            </w:pPr>
            <w:r w:rsidRPr="00F52921">
              <w:rPr>
                <w:rFonts w:cstheme="minorHAnsi"/>
                <w:color w:val="000000"/>
                <w:sz w:val="20"/>
              </w:rPr>
              <w:t>2</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E436660" w14:textId="4196570F" w:rsidR="001352EB" w:rsidRPr="00F52921" w:rsidRDefault="001352EB" w:rsidP="001352EB">
            <w:pPr>
              <w:spacing w:before="40" w:after="40"/>
              <w:ind w:right="117"/>
              <w:jc w:val="right"/>
              <w:rPr>
                <w:rFonts w:cstheme="minorHAnsi"/>
                <w:color w:val="000000"/>
                <w:sz w:val="20"/>
              </w:rPr>
            </w:pPr>
            <w:r w:rsidRPr="00F52921">
              <w:rPr>
                <w:rFonts w:cstheme="minorHAnsi"/>
                <w:color w:val="000000"/>
                <w:sz w:val="20"/>
              </w:rPr>
              <w:t>1</w:t>
            </w:r>
          </w:p>
        </w:tc>
      </w:tr>
      <w:tr w:rsidR="001352EB" w:rsidRPr="00F52921" w14:paraId="1497A0E2" w14:textId="77777777" w:rsidTr="001352EB">
        <w:trPr>
          <w:trHeight w:val="283"/>
        </w:trPr>
        <w:tc>
          <w:tcPr>
            <w:tcW w:w="794" w:type="dxa"/>
            <w:vMerge/>
            <w:tcBorders>
              <w:left w:val="single" w:sz="4" w:space="0" w:color="auto"/>
              <w:right w:val="single" w:sz="4" w:space="0" w:color="auto"/>
            </w:tcBorders>
            <w:vAlign w:val="center"/>
          </w:tcPr>
          <w:p w14:paraId="60EB858B" w14:textId="77777777" w:rsidR="001352EB" w:rsidRPr="001352EB" w:rsidRDefault="001352EB" w:rsidP="001352EB">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466F01BC" w14:textId="3F96B9C2" w:rsidR="001352EB" w:rsidRPr="00F52921" w:rsidRDefault="001352EB" w:rsidP="001352EB">
            <w:pPr>
              <w:spacing w:before="40" w:after="40"/>
              <w:jc w:val="center"/>
              <w:rPr>
                <w:rFonts w:cstheme="minorHAnsi"/>
                <w:color w:val="000000"/>
                <w:sz w:val="20"/>
              </w:rPr>
            </w:pPr>
            <w:r w:rsidRPr="00F52921">
              <w:rPr>
                <w:rFonts w:cstheme="minorHAnsi"/>
                <w:color w:val="000000"/>
                <w:sz w:val="20"/>
              </w:rPr>
              <w:t>2015</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BA253C7" w14:textId="1461231E" w:rsidR="001352EB" w:rsidRPr="00F52921" w:rsidRDefault="001352EB" w:rsidP="001352EB">
            <w:pPr>
              <w:spacing w:before="40" w:after="40"/>
              <w:jc w:val="right"/>
              <w:rPr>
                <w:rFonts w:cstheme="minorHAnsi"/>
                <w:sz w:val="20"/>
              </w:rPr>
            </w:pPr>
            <w:r w:rsidRPr="00F52921">
              <w:rPr>
                <w:rFonts w:cstheme="minorHAnsi"/>
                <w:color w:val="000000"/>
                <w:sz w:val="20"/>
              </w:rPr>
              <w:t>955,90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74C1E7" w14:textId="6D8CEEFE" w:rsidR="001352EB" w:rsidRPr="00F52921" w:rsidRDefault="001352EB" w:rsidP="001352EB">
            <w:pPr>
              <w:spacing w:before="40" w:after="40"/>
              <w:jc w:val="center"/>
              <w:rPr>
                <w:rFonts w:cstheme="minorHAnsi"/>
                <w:color w:val="000000"/>
                <w:sz w:val="20"/>
              </w:rPr>
            </w:pPr>
            <w:r w:rsidRPr="00F52921">
              <w:rPr>
                <w:rFonts w:cstheme="minorHAnsi"/>
                <w:color w:val="000000"/>
                <w:sz w:val="20"/>
              </w:rPr>
              <w:t>ÚVN</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533F6EC4" w14:textId="52B96FD9" w:rsidR="001352EB" w:rsidRPr="00F52921" w:rsidRDefault="001352EB" w:rsidP="001352EB">
            <w:pPr>
              <w:spacing w:before="40" w:after="40"/>
              <w:jc w:val="right"/>
              <w:rPr>
                <w:rFonts w:cstheme="minorHAnsi"/>
                <w:color w:val="000000"/>
                <w:sz w:val="20"/>
              </w:rPr>
            </w:pPr>
            <w:r w:rsidRPr="00F52921">
              <w:rPr>
                <w:rFonts w:cstheme="minorHAnsi"/>
                <w:color w:val="000000"/>
                <w:sz w:val="20"/>
              </w:rPr>
              <w:t>3 300,00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38949B7" w14:textId="2F04AF20" w:rsidR="001352EB" w:rsidRPr="00F52921" w:rsidRDefault="001352EB" w:rsidP="001352EB">
            <w:pPr>
              <w:spacing w:before="40" w:after="40"/>
              <w:jc w:val="center"/>
              <w:rPr>
                <w:rFonts w:cstheme="minorHAnsi"/>
                <w:color w:val="000000"/>
                <w:sz w:val="20"/>
              </w:rPr>
            </w:pPr>
            <w:r w:rsidRPr="00F52921">
              <w:rPr>
                <w:rFonts w:cstheme="minorHAnsi"/>
                <w:color w:val="000000"/>
                <w:sz w:val="20"/>
              </w:rPr>
              <w:t>FNB</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04DDDCA2" w14:textId="61BF298D" w:rsidR="001352EB" w:rsidRPr="00F52921" w:rsidRDefault="001352EB" w:rsidP="001352EB">
            <w:pPr>
              <w:spacing w:before="40" w:after="40"/>
              <w:jc w:val="right"/>
              <w:rPr>
                <w:rFonts w:cstheme="minorHAnsi"/>
                <w:color w:val="000000"/>
                <w:sz w:val="20"/>
              </w:rPr>
            </w:pPr>
            <w:r w:rsidRPr="00F52921">
              <w:rPr>
                <w:rFonts w:cstheme="minorHAnsi"/>
                <w:color w:val="000000"/>
                <w:sz w:val="20"/>
              </w:rPr>
              <w:t>2 344,10</w:t>
            </w:r>
          </w:p>
        </w:tc>
        <w:tc>
          <w:tcPr>
            <w:tcW w:w="879" w:type="dxa"/>
            <w:tcBorders>
              <w:top w:val="single" w:sz="4" w:space="0" w:color="auto"/>
              <w:left w:val="nil"/>
              <w:bottom w:val="single" w:sz="4" w:space="0" w:color="auto"/>
              <w:right w:val="single" w:sz="4" w:space="0" w:color="auto"/>
            </w:tcBorders>
            <w:shd w:val="clear" w:color="auto" w:fill="auto"/>
            <w:noWrap/>
            <w:vAlign w:val="bottom"/>
          </w:tcPr>
          <w:p w14:paraId="4E65DC96" w14:textId="7BCA9033" w:rsidR="001352EB" w:rsidRPr="00F52921" w:rsidRDefault="001352EB" w:rsidP="009373D3">
            <w:pPr>
              <w:spacing w:before="40" w:after="40"/>
              <w:jc w:val="right"/>
              <w:rPr>
                <w:rFonts w:cstheme="minorHAnsi"/>
                <w:color w:val="000000"/>
                <w:sz w:val="20"/>
              </w:rPr>
            </w:pPr>
            <w:r w:rsidRPr="00F52921">
              <w:rPr>
                <w:rFonts w:cstheme="minorHAnsi"/>
                <w:color w:val="000000"/>
                <w:sz w:val="20"/>
              </w:rPr>
              <w:t>245,22</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34CC4700" w14:textId="7CB46D10" w:rsidR="001352EB" w:rsidRPr="00F52921" w:rsidRDefault="001352EB" w:rsidP="001352EB">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BCCA30B" w14:textId="30C8F5BA" w:rsidR="001352EB" w:rsidRPr="00F52921" w:rsidRDefault="001352EB" w:rsidP="001352EB">
            <w:pPr>
              <w:spacing w:before="40" w:after="40"/>
              <w:ind w:right="117"/>
              <w:jc w:val="right"/>
              <w:rPr>
                <w:rFonts w:cstheme="minorHAnsi"/>
                <w:color w:val="000000"/>
                <w:sz w:val="20"/>
              </w:rPr>
            </w:pPr>
            <w:r w:rsidRPr="00F52921">
              <w:rPr>
                <w:rFonts w:cstheme="minorHAnsi"/>
                <w:color w:val="000000"/>
                <w:sz w:val="20"/>
              </w:rPr>
              <w:t>1</w:t>
            </w:r>
          </w:p>
        </w:tc>
      </w:tr>
      <w:tr w:rsidR="001352EB" w:rsidRPr="00F52921" w14:paraId="35C0BEC1" w14:textId="77777777" w:rsidTr="001352EB">
        <w:trPr>
          <w:trHeight w:val="283"/>
        </w:trPr>
        <w:tc>
          <w:tcPr>
            <w:tcW w:w="794" w:type="dxa"/>
            <w:vMerge/>
            <w:tcBorders>
              <w:left w:val="single" w:sz="4" w:space="0" w:color="auto"/>
              <w:bottom w:val="single" w:sz="4" w:space="0" w:color="auto"/>
              <w:right w:val="single" w:sz="4" w:space="0" w:color="auto"/>
            </w:tcBorders>
            <w:vAlign w:val="center"/>
          </w:tcPr>
          <w:p w14:paraId="322177A9" w14:textId="77777777" w:rsidR="001352EB" w:rsidRPr="001352EB" w:rsidRDefault="001352EB" w:rsidP="001352EB">
            <w:pPr>
              <w:spacing w:before="40" w:after="40"/>
              <w:ind w:left="-57" w:right="-57"/>
              <w:jc w:val="center"/>
              <w:rPr>
                <w:rFonts w:cstheme="minorHAnsi"/>
                <w:color w:val="000000"/>
                <w:sz w:val="18"/>
                <w:szCs w:val="18"/>
              </w:rPr>
            </w:pP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48F85773" w14:textId="28879E3D" w:rsidR="001352EB" w:rsidRPr="00F52921" w:rsidRDefault="001352EB" w:rsidP="001352EB">
            <w:pPr>
              <w:spacing w:before="40" w:after="40"/>
              <w:jc w:val="center"/>
              <w:rPr>
                <w:rFonts w:cstheme="minorHAnsi"/>
                <w:color w:val="000000"/>
                <w:sz w:val="20"/>
              </w:rPr>
            </w:pPr>
            <w:r w:rsidRPr="00F52921">
              <w:rPr>
                <w:rFonts w:cstheme="minorHAnsi"/>
                <w:color w:val="000000"/>
                <w:sz w:val="20"/>
              </w:rPr>
              <w:t>2016</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A3FB46F" w14:textId="75CE5071" w:rsidR="001352EB" w:rsidRPr="00F52921" w:rsidRDefault="001352EB" w:rsidP="001352EB">
            <w:pPr>
              <w:spacing w:before="40" w:after="40"/>
              <w:jc w:val="right"/>
              <w:rPr>
                <w:rFonts w:cstheme="minorHAnsi"/>
                <w:sz w:val="20"/>
              </w:rPr>
            </w:pPr>
            <w:r w:rsidRPr="00F52921">
              <w:rPr>
                <w:rFonts w:cstheme="minorHAnsi"/>
                <w:sz w:val="20"/>
              </w:rPr>
              <w:t>935,00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FA0879" w14:textId="06F0E76E" w:rsidR="001352EB" w:rsidRPr="00F52921" w:rsidRDefault="001352EB" w:rsidP="001352EB">
            <w:pPr>
              <w:spacing w:before="40" w:after="40"/>
              <w:jc w:val="center"/>
              <w:rPr>
                <w:rFonts w:cstheme="minorHAnsi"/>
                <w:color w:val="000000"/>
                <w:sz w:val="20"/>
              </w:rPr>
            </w:pPr>
            <w:r w:rsidRPr="00F52921">
              <w:rPr>
                <w:rFonts w:cstheme="minorHAnsi"/>
                <w:color w:val="000000"/>
                <w:sz w:val="20"/>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2B23F76E" w14:textId="62EB1B7C" w:rsidR="001352EB" w:rsidRPr="00F52921" w:rsidRDefault="001352EB" w:rsidP="001352EB">
            <w:pPr>
              <w:spacing w:before="40" w:after="40"/>
              <w:jc w:val="right"/>
              <w:rPr>
                <w:rFonts w:cstheme="minorHAnsi"/>
                <w:color w:val="000000"/>
                <w:sz w:val="20"/>
              </w:rPr>
            </w:pPr>
            <w:r w:rsidRPr="00F52921">
              <w:rPr>
                <w:rFonts w:cstheme="minorHAnsi"/>
                <w:color w:val="000000"/>
                <w:sz w:val="20"/>
              </w:rPr>
              <w:t>3 300,00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DD7F8FA" w14:textId="708A4A8C" w:rsidR="001352EB" w:rsidRPr="00F52921" w:rsidRDefault="001352EB" w:rsidP="001352EB">
            <w:pPr>
              <w:spacing w:before="40" w:after="40"/>
              <w:jc w:val="center"/>
              <w:rPr>
                <w:rFonts w:cstheme="minorHAnsi"/>
                <w:color w:val="000000"/>
                <w:sz w:val="20"/>
              </w:rPr>
            </w:pPr>
            <w:r w:rsidRPr="00F52921">
              <w:rPr>
                <w:rFonts w:cstheme="minorHAnsi"/>
                <w:color w:val="000000"/>
                <w:sz w:val="20"/>
              </w:rPr>
              <w:t>FNB</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01774346" w14:textId="045AC949" w:rsidR="001352EB" w:rsidRPr="00F52921" w:rsidRDefault="001352EB" w:rsidP="001352EB">
            <w:pPr>
              <w:spacing w:before="40" w:after="40"/>
              <w:jc w:val="right"/>
              <w:rPr>
                <w:rFonts w:cstheme="minorHAnsi"/>
                <w:color w:val="000000"/>
                <w:sz w:val="20"/>
              </w:rPr>
            </w:pPr>
            <w:r w:rsidRPr="00F52921">
              <w:rPr>
                <w:rFonts w:cstheme="minorHAnsi"/>
                <w:color w:val="000000"/>
                <w:sz w:val="20"/>
              </w:rPr>
              <w:t>2 365,00</w:t>
            </w:r>
          </w:p>
        </w:tc>
        <w:tc>
          <w:tcPr>
            <w:tcW w:w="879" w:type="dxa"/>
            <w:tcBorders>
              <w:top w:val="single" w:sz="4" w:space="0" w:color="auto"/>
              <w:left w:val="nil"/>
              <w:bottom w:val="single" w:sz="4" w:space="0" w:color="auto"/>
              <w:right w:val="single" w:sz="4" w:space="0" w:color="auto"/>
            </w:tcBorders>
            <w:shd w:val="clear" w:color="auto" w:fill="auto"/>
            <w:noWrap/>
            <w:vAlign w:val="bottom"/>
          </w:tcPr>
          <w:p w14:paraId="575C8D99" w14:textId="250ADD94" w:rsidR="001352EB" w:rsidRPr="00F52921" w:rsidRDefault="001352EB" w:rsidP="009373D3">
            <w:pPr>
              <w:spacing w:before="40" w:after="40"/>
              <w:jc w:val="right"/>
              <w:rPr>
                <w:rFonts w:cstheme="minorHAnsi"/>
                <w:color w:val="000000"/>
                <w:sz w:val="20"/>
              </w:rPr>
            </w:pPr>
            <w:r w:rsidRPr="00F52921">
              <w:rPr>
                <w:rFonts w:cstheme="minorHAnsi"/>
                <w:color w:val="000000"/>
                <w:sz w:val="20"/>
              </w:rPr>
              <w:t>252,94</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14B11721" w14:textId="5CB69B2C" w:rsidR="001352EB" w:rsidRPr="00F52921" w:rsidRDefault="001352EB" w:rsidP="001352EB">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8D1052F" w14:textId="646BC145" w:rsidR="001352EB" w:rsidRPr="00F52921" w:rsidRDefault="001352EB" w:rsidP="001352EB">
            <w:pPr>
              <w:spacing w:before="40" w:after="40"/>
              <w:ind w:right="117"/>
              <w:jc w:val="right"/>
              <w:rPr>
                <w:rFonts w:cstheme="minorHAnsi"/>
                <w:color w:val="000000"/>
                <w:sz w:val="20"/>
              </w:rPr>
            </w:pPr>
            <w:r w:rsidRPr="00F52921">
              <w:rPr>
                <w:rFonts w:cstheme="minorHAnsi"/>
                <w:color w:val="000000"/>
                <w:sz w:val="20"/>
              </w:rPr>
              <w:t>1</w:t>
            </w:r>
          </w:p>
        </w:tc>
      </w:tr>
      <w:tr w:rsidR="001352EB" w:rsidRPr="00F52921" w14:paraId="6D3E6364" w14:textId="77777777" w:rsidTr="009D6C3F">
        <w:trPr>
          <w:trHeight w:val="283"/>
        </w:trPr>
        <w:tc>
          <w:tcPr>
            <w:tcW w:w="794" w:type="dxa"/>
            <w:tcBorders>
              <w:top w:val="single" w:sz="4" w:space="0" w:color="auto"/>
              <w:left w:val="single" w:sz="4" w:space="0" w:color="auto"/>
              <w:bottom w:val="single" w:sz="4" w:space="0" w:color="auto"/>
              <w:right w:val="single" w:sz="4" w:space="0" w:color="auto"/>
            </w:tcBorders>
            <w:vAlign w:val="center"/>
          </w:tcPr>
          <w:p w14:paraId="31782E23" w14:textId="0F3A6919" w:rsidR="001352EB" w:rsidRPr="001352EB" w:rsidRDefault="001352EB" w:rsidP="001352EB">
            <w:pPr>
              <w:spacing w:before="40" w:after="40"/>
              <w:ind w:left="-57" w:right="-57"/>
              <w:jc w:val="center"/>
              <w:rPr>
                <w:rFonts w:cstheme="minorHAnsi"/>
                <w:color w:val="000000"/>
                <w:sz w:val="18"/>
                <w:szCs w:val="18"/>
              </w:rPr>
            </w:pPr>
            <w:r w:rsidRPr="001352EB">
              <w:rPr>
                <w:rFonts w:cstheme="minorHAnsi"/>
                <w:sz w:val="18"/>
                <w:szCs w:val="18"/>
              </w:rPr>
              <w:t>0164350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6A8EBB38" w14:textId="14E26F8D" w:rsidR="001352EB" w:rsidRPr="00F52921" w:rsidRDefault="001352EB" w:rsidP="001352EB">
            <w:pPr>
              <w:spacing w:before="40" w:after="40"/>
              <w:jc w:val="center"/>
              <w:rPr>
                <w:rFonts w:cstheme="minorHAnsi"/>
                <w:color w:val="000000"/>
                <w:sz w:val="20"/>
              </w:rPr>
            </w:pPr>
            <w:r w:rsidRPr="00F52921">
              <w:rPr>
                <w:rFonts w:cstheme="minorHAnsi"/>
                <w:color w:val="000000"/>
                <w:sz w:val="20"/>
              </w:rPr>
              <w:t>2014</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0B150A1" w14:textId="4DDE34E3" w:rsidR="001352EB" w:rsidRPr="00F52921" w:rsidRDefault="001352EB" w:rsidP="001352EB">
            <w:pPr>
              <w:spacing w:before="40" w:after="40"/>
              <w:jc w:val="right"/>
              <w:rPr>
                <w:rFonts w:cstheme="minorHAnsi"/>
                <w:sz w:val="20"/>
              </w:rPr>
            </w:pPr>
            <w:r w:rsidRPr="00F52921">
              <w:rPr>
                <w:rFonts w:cstheme="minorHAnsi"/>
                <w:sz w:val="20"/>
              </w:rPr>
              <w:t>2 263,20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6ED894" w14:textId="609FB8F0" w:rsidR="001352EB" w:rsidRPr="00F52921" w:rsidRDefault="001352EB" w:rsidP="001352EB">
            <w:pPr>
              <w:spacing w:before="40" w:after="40"/>
              <w:jc w:val="center"/>
              <w:rPr>
                <w:rFonts w:cstheme="minorHAnsi"/>
                <w:color w:val="000000"/>
                <w:sz w:val="20"/>
              </w:rPr>
            </w:pPr>
            <w:r w:rsidRPr="00F52921">
              <w:rPr>
                <w:rFonts w:cstheme="minorHAnsi"/>
                <w:color w:val="000000"/>
                <w:sz w:val="20"/>
              </w:rPr>
              <w:t>FNM</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10776010" w14:textId="6A86AC2C" w:rsidR="001352EB" w:rsidRPr="00F52921" w:rsidRDefault="001352EB" w:rsidP="001352EB">
            <w:pPr>
              <w:spacing w:before="40" w:after="40"/>
              <w:jc w:val="right"/>
              <w:rPr>
                <w:rFonts w:cstheme="minorHAnsi"/>
                <w:color w:val="000000"/>
                <w:sz w:val="20"/>
              </w:rPr>
            </w:pPr>
            <w:r w:rsidRPr="00F52921">
              <w:rPr>
                <w:rFonts w:cstheme="minorHAnsi"/>
                <w:color w:val="000000"/>
                <w:sz w:val="20"/>
              </w:rPr>
              <w:t>3 775,59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EAD10ED" w14:textId="4B87FDC8" w:rsidR="001352EB" w:rsidRPr="00F52921" w:rsidRDefault="001352EB" w:rsidP="001352EB">
            <w:pPr>
              <w:spacing w:before="40" w:after="40"/>
              <w:jc w:val="center"/>
              <w:rPr>
                <w:rFonts w:cstheme="minorHAnsi"/>
                <w:color w:val="000000"/>
                <w:sz w:val="20"/>
              </w:rPr>
            </w:pPr>
            <w:r w:rsidRPr="00F52921">
              <w:rPr>
                <w:rFonts w:cstheme="minorHAnsi"/>
                <w:color w:val="000000"/>
                <w:sz w:val="20"/>
              </w:rPr>
              <w:t>FNB</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606F44C0" w14:textId="3B1FCDC7" w:rsidR="001352EB" w:rsidRPr="00F52921" w:rsidRDefault="001352EB" w:rsidP="001352EB">
            <w:pPr>
              <w:spacing w:before="40" w:after="40"/>
              <w:jc w:val="right"/>
              <w:rPr>
                <w:rFonts w:cstheme="minorHAnsi"/>
                <w:color w:val="000000"/>
                <w:sz w:val="20"/>
              </w:rPr>
            </w:pPr>
            <w:r w:rsidRPr="00F52921">
              <w:rPr>
                <w:rFonts w:cstheme="minorHAnsi"/>
                <w:color w:val="000000"/>
                <w:sz w:val="20"/>
              </w:rPr>
              <w:t>1 512,39</w:t>
            </w:r>
          </w:p>
        </w:tc>
        <w:tc>
          <w:tcPr>
            <w:tcW w:w="879" w:type="dxa"/>
            <w:tcBorders>
              <w:top w:val="single" w:sz="4" w:space="0" w:color="auto"/>
              <w:left w:val="nil"/>
              <w:bottom w:val="single" w:sz="4" w:space="0" w:color="auto"/>
              <w:right w:val="single" w:sz="4" w:space="0" w:color="auto"/>
            </w:tcBorders>
            <w:shd w:val="clear" w:color="auto" w:fill="auto"/>
            <w:noWrap/>
            <w:vAlign w:val="bottom"/>
          </w:tcPr>
          <w:p w14:paraId="27AD6A72" w14:textId="2CE343B8" w:rsidR="001352EB" w:rsidRPr="00F52921" w:rsidRDefault="001352EB" w:rsidP="009373D3">
            <w:pPr>
              <w:spacing w:before="40" w:after="40"/>
              <w:jc w:val="right"/>
              <w:rPr>
                <w:rFonts w:cstheme="minorHAnsi"/>
                <w:color w:val="000000"/>
                <w:sz w:val="20"/>
              </w:rPr>
            </w:pPr>
            <w:r w:rsidRPr="00F52921">
              <w:rPr>
                <w:rFonts w:cstheme="minorHAnsi"/>
                <w:color w:val="000000"/>
                <w:sz w:val="20"/>
              </w:rPr>
              <w:t>66,83</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42D95215" w14:textId="290973EA" w:rsidR="001352EB" w:rsidRPr="00F52921" w:rsidRDefault="001352EB" w:rsidP="001352EB">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62ED216" w14:textId="6AB08E8E" w:rsidR="001352EB" w:rsidRPr="00F52921" w:rsidRDefault="001352EB" w:rsidP="001352EB">
            <w:pPr>
              <w:spacing w:before="40" w:after="40"/>
              <w:ind w:right="117"/>
              <w:jc w:val="right"/>
              <w:rPr>
                <w:rFonts w:cstheme="minorHAnsi"/>
                <w:color w:val="000000"/>
                <w:sz w:val="20"/>
              </w:rPr>
            </w:pPr>
            <w:r w:rsidRPr="00F52921">
              <w:rPr>
                <w:rFonts w:cstheme="minorHAnsi"/>
                <w:color w:val="000000"/>
                <w:sz w:val="20"/>
              </w:rPr>
              <w:t>3</w:t>
            </w:r>
          </w:p>
        </w:tc>
      </w:tr>
      <w:tr w:rsidR="001352EB" w:rsidRPr="00F52921" w14:paraId="16528E5C" w14:textId="77777777" w:rsidTr="001352EB">
        <w:trPr>
          <w:trHeight w:val="283"/>
        </w:trPr>
        <w:tc>
          <w:tcPr>
            <w:tcW w:w="794" w:type="dxa"/>
            <w:vMerge w:val="restart"/>
            <w:tcBorders>
              <w:top w:val="single" w:sz="4" w:space="0" w:color="auto"/>
              <w:left w:val="single" w:sz="4" w:space="0" w:color="auto"/>
              <w:right w:val="single" w:sz="4" w:space="0" w:color="auto"/>
            </w:tcBorders>
            <w:vAlign w:val="center"/>
          </w:tcPr>
          <w:p w14:paraId="4A4ABF3A" w14:textId="4EDE916A" w:rsidR="001352EB" w:rsidRPr="001352EB" w:rsidRDefault="001352EB" w:rsidP="001352EB">
            <w:pPr>
              <w:spacing w:before="40" w:after="40"/>
              <w:ind w:left="-57" w:right="-57"/>
              <w:jc w:val="center"/>
              <w:rPr>
                <w:rFonts w:cstheme="minorHAnsi"/>
                <w:color w:val="000000"/>
                <w:sz w:val="18"/>
                <w:szCs w:val="18"/>
              </w:rPr>
            </w:pPr>
            <w:r w:rsidRPr="001352EB">
              <w:rPr>
                <w:rFonts w:cstheme="minorHAnsi"/>
                <w:color w:val="000000"/>
                <w:sz w:val="18"/>
                <w:szCs w:val="18"/>
              </w:rPr>
              <w:t>0198417</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3096F567" w14:textId="1259C06B" w:rsidR="001352EB" w:rsidRPr="00F52921" w:rsidRDefault="001352EB" w:rsidP="001352EB">
            <w:pPr>
              <w:spacing w:before="40" w:after="40"/>
              <w:jc w:val="center"/>
              <w:rPr>
                <w:rFonts w:cstheme="minorHAnsi"/>
                <w:color w:val="000000"/>
                <w:sz w:val="20"/>
              </w:rPr>
            </w:pPr>
            <w:r w:rsidRPr="00F52921">
              <w:rPr>
                <w:rFonts w:cstheme="minorHAnsi"/>
                <w:color w:val="000000"/>
                <w:sz w:val="20"/>
              </w:rPr>
              <w:t>2014</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A514863" w14:textId="183792C1" w:rsidR="001352EB" w:rsidRPr="00F52921" w:rsidRDefault="001352EB" w:rsidP="001352EB">
            <w:pPr>
              <w:spacing w:before="40" w:after="40"/>
              <w:jc w:val="right"/>
              <w:rPr>
                <w:rFonts w:cstheme="minorHAnsi"/>
                <w:sz w:val="20"/>
              </w:rPr>
            </w:pPr>
            <w:r w:rsidRPr="00F52921">
              <w:rPr>
                <w:rFonts w:cstheme="minorHAnsi"/>
                <w:color w:val="000000"/>
                <w:sz w:val="20"/>
              </w:rPr>
              <w:t>23 148,60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52BAE3" w14:textId="2705AD56" w:rsidR="001352EB" w:rsidRPr="00F52921" w:rsidRDefault="001352EB" w:rsidP="001352EB">
            <w:pPr>
              <w:spacing w:before="40" w:after="40"/>
              <w:jc w:val="center"/>
              <w:rPr>
                <w:rFonts w:cstheme="minorHAnsi"/>
                <w:color w:val="000000"/>
                <w:sz w:val="20"/>
              </w:rPr>
            </w:pPr>
            <w:r w:rsidRPr="00F52921">
              <w:rPr>
                <w:rFonts w:cstheme="minorHAnsi"/>
                <w:color w:val="000000"/>
                <w:sz w:val="20"/>
              </w:rPr>
              <w:t>ÚVN</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FD83D6D" w14:textId="1FD79110" w:rsidR="001352EB" w:rsidRPr="00F52921" w:rsidRDefault="001352EB" w:rsidP="001352EB">
            <w:pPr>
              <w:spacing w:before="40" w:after="40"/>
              <w:jc w:val="right"/>
              <w:rPr>
                <w:rFonts w:cstheme="minorHAnsi"/>
                <w:color w:val="000000"/>
                <w:sz w:val="20"/>
              </w:rPr>
            </w:pPr>
            <w:r w:rsidRPr="00F52921">
              <w:rPr>
                <w:rFonts w:cstheme="minorHAnsi"/>
                <w:color w:val="000000"/>
                <w:sz w:val="20"/>
              </w:rPr>
              <w:t>26 101,15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5B969D2" w14:textId="2BE4DDF8" w:rsidR="001352EB" w:rsidRPr="00F52921" w:rsidRDefault="001352EB" w:rsidP="001352EB">
            <w:pPr>
              <w:spacing w:before="40" w:after="40"/>
              <w:jc w:val="center"/>
              <w:rPr>
                <w:rFonts w:cstheme="minorHAnsi"/>
                <w:color w:val="000000"/>
                <w:sz w:val="20"/>
              </w:rPr>
            </w:pPr>
            <w:r w:rsidRPr="00F52921">
              <w:rPr>
                <w:rFonts w:cstheme="minorHAnsi"/>
                <w:color w:val="000000"/>
                <w:sz w:val="20"/>
              </w:rPr>
              <w:t>FNB</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551D746E" w14:textId="06242DB1" w:rsidR="001352EB" w:rsidRPr="00F52921" w:rsidRDefault="001352EB" w:rsidP="001352EB">
            <w:pPr>
              <w:spacing w:before="40" w:after="40"/>
              <w:jc w:val="right"/>
              <w:rPr>
                <w:rFonts w:cstheme="minorHAnsi"/>
                <w:color w:val="000000"/>
                <w:sz w:val="20"/>
              </w:rPr>
            </w:pPr>
            <w:r w:rsidRPr="00F52921">
              <w:rPr>
                <w:rFonts w:cstheme="minorHAnsi"/>
                <w:color w:val="000000"/>
                <w:sz w:val="20"/>
              </w:rPr>
              <w:t>2 952,55</w:t>
            </w:r>
          </w:p>
        </w:tc>
        <w:tc>
          <w:tcPr>
            <w:tcW w:w="879" w:type="dxa"/>
            <w:tcBorders>
              <w:top w:val="single" w:sz="4" w:space="0" w:color="auto"/>
              <w:left w:val="nil"/>
              <w:bottom w:val="single" w:sz="4" w:space="0" w:color="auto"/>
              <w:right w:val="single" w:sz="4" w:space="0" w:color="auto"/>
            </w:tcBorders>
            <w:shd w:val="clear" w:color="auto" w:fill="auto"/>
            <w:noWrap/>
            <w:vAlign w:val="bottom"/>
          </w:tcPr>
          <w:p w14:paraId="66088350" w14:textId="25A9B23A" w:rsidR="001352EB" w:rsidRPr="00F52921" w:rsidRDefault="001352EB" w:rsidP="009373D3">
            <w:pPr>
              <w:spacing w:before="40" w:after="40"/>
              <w:jc w:val="right"/>
              <w:rPr>
                <w:rFonts w:cstheme="minorHAnsi"/>
                <w:color w:val="000000"/>
                <w:sz w:val="20"/>
              </w:rPr>
            </w:pPr>
            <w:r w:rsidRPr="00F52921">
              <w:rPr>
                <w:rFonts w:cstheme="minorHAnsi"/>
                <w:color w:val="000000"/>
                <w:sz w:val="20"/>
              </w:rPr>
              <w:t>12,75</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6FA28EB8" w14:textId="65BFEB1E" w:rsidR="001352EB" w:rsidRPr="00F52921" w:rsidRDefault="001352EB" w:rsidP="001352EB">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A4A0FF2" w14:textId="0EABCFB8" w:rsidR="001352EB" w:rsidRPr="00F52921" w:rsidRDefault="001352EB" w:rsidP="001352EB">
            <w:pPr>
              <w:spacing w:before="40" w:after="40"/>
              <w:ind w:right="117"/>
              <w:jc w:val="right"/>
              <w:rPr>
                <w:rFonts w:cstheme="minorHAnsi"/>
                <w:color w:val="000000"/>
                <w:sz w:val="20"/>
              </w:rPr>
            </w:pPr>
            <w:r w:rsidRPr="00F52921">
              <w:rPr>
                <w:rFonts w:cstheme="minorHAnsi"/>
                <w:color w:val="000000"/>
                <w:sz w:val="20"/>
              </w:rPr>
              <w:t>3</w:t>
            </w:r>
          </w:p>
        </w:tc>
      </w:tr>
      <w:tr w:rsidR="001352EB" w:rsidRPr="00F52921" w14:paraId="7BF47155" w14:textId="77777777" w:rsidTr="001352EB">
        <w:trPr>
          <w:trHeight w:val="283"/>
        </w:trPr>
        <w:tc>
          <w:tcPr>
            <w:tcW w:w="794" w:type="dxa"/>
            <w:vMerge/>
            <w:tcBorders>
              <w:left w:val="single" w:sz="4" w:space="0" w:color="auto"/>
              <w:right w:val="single" w:sz="4" w:space="0" w:color="auto"/>
            </w:tcBorders>
            <w:vAlign w:val="center"/>
          </w:tcPr>
          <w:p w14:paraId="3135B99A" w14:textId="77777777" w:rsidR="001352EB" w:rsidRPr="00F52921" w:rsidRDefault="001352EB" w:rsidP="009D6C3F">
            <w:pPr>
              <w:spacing w:before="40" w:after="40"/>
              <w:ind w:left="-57" w:right="-57"/>
              <w:jc w:val="center"/>
              <w:rPr>
                <w:rFonts w:cstheme="minorHAnsi"/>
                <w:color w:val="000000"/>
                <w:sz w:val="20"/>
              </w:rPr>
            </w:pP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751E1C6A" w14:textId="704C75F2" w:rsidR="001352EB" w:rsidRPr="00F52921" w:rsidRDefault="001352EB" w:rsidP="009D6C3F">
            <w:pPr>
              <w:spacing w:before="40" w:after="40"/>
              <w:jc w:val="center"/>
              <w:rPr>
                <w:rFonts w:cstheme="minorHAnsi"/>
                <w:color w:val="000000"/>
                <w:sz w:val="20"/>
              </w:rPr>
            </w:pPr>
            <w:r w:rsidRPr="00F52921">
              <w:rPr>
                <w:rFonts w:cstheme="minorHAnsi"/>
                <w:color w:val="000000"/>
                <w:sz w:val="20"/>
              </w:rPr>
              <w:t>2015</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F34F5B0" w14:textId="4055B648" w:rsidR="001352EB" w:rsidRPr="00F52921" w:rsidRDefault="001352EB" w:rsidP="009D6C3F">
            <w:pPr>
              <w:spacing w:before="40" w:after="40"/>
              <w:jc w:val="right"/>
              <w:rPr>
                <w:rFonts w:cstheme="minorHAnsi"/>
                <w:sz w:val="20"/>
              </w:rPr>
            </w:pPr>
            <w:r w:rsidRPr="00F52921">
              <w:rPr>
                <w:rFonts w:cstheme="minorHAnsi"/>
                <w:color w:val="000000"/>
                <w:sz w:val="20"/>
              </w:rPr>
              <w:t>22 074,45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C2190F" w14:textId="333EBB41" w:rsidR="001352EB" w:rsidRPr="00F52921" w:rsidRDefault="001352EB" w:rsidP="009D6C3F">
            <w:pPr>
              <w:spacing w:before="40" w:after="40"/>
              <w:jc w:val="center"/>
              <w:rPr>
                <w:rFonts w:cstheme="minorHAnsi"/>
                <w:color w:val="000000"/>
                <w:sz w:val="20"/>
              </w:rPr>
            </w:pPr>
            <w:r w:rsidRPr="00F52921">
              <w:rPr>
                <w:rFonts w:cstheme="minorHAnsi"/>
                <w:color w:val="000000"/>
                <w:sz w:val="20"/>
              </w:rPr>
              <w:t>ÚVN</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2A48302A" w14:textId="08A270F4" w:rsidR="001352EB" w:rsidRPr="00F52921" w:rsidRDefault="001352EB" w:rsidP="009D6C3F">
            <w:pPr>
              <w:spacing w:before="40" w:after="40"/>
              <w:jc w:val="right"/>
              <w:rPr>
                <w:rFonts w:cstheme="minorHAnsi"/>
                <w:color w:val="000000"/>
                <w:sz w:val="20"/>
              </w:rPr>
            </w:pPr>
            <w:r w:rsidRPr="00F52921">
              <w:rPr>
                <w:rFonts w:cstheme="minorHAnsi"/>
                <w:color w:val="000000"/>
                <w:sz w:val="20"/>
              </w:rPr>
              <w:t>26 432,44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E6C7B53" w14:textId="5AD3E6ED" w:rsidR="001352EB" w:rsidRPr="00F52921" w:rsidRDefault="001352EB" w:rsidP="009D6C3F">
            <w:pPr>
              <w:spacing w:before="40" w:after="40"/>
              <w:jc w:val="center"/>
              <w:rPr>
                <w:rFonts w:cstheme="minorHAnsi"/>
                <w:color w:val="000000"/>
                <w:sz w:val="20"/>
              </w:rPr>
            </w:pPr>
            <w:r w:rsidRPr="00F52921">
              <w:rPr>
                <w:rFonts w:cstheme="minorHAnsi"/>
                <w:color w:val="000000"/>
                <w:sz w:val="20"/>
              </w:rPr>
              <w:t>FNB</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12C3DE3F" w14:textId="0E4F0B56" w:rsidR="001352EB" w:rsidRPr="00F52921" w:rsidRDefault="001352EB" w:rsidP="009D6C3F">
            <w:pPr>
              <w:spacing w:before="40" w:after="40"/>
              <w:jc w:val="right"/>
              <w:rPr>
                <w:rFonts w:cstheme="minorHAnsi"/>
                <w:color w:val="000000"/>
                <w:sz w:val="20"/>
              </w:rPr>
            </w:pPr>
            <w:r w:rsidRPr="00F52921">
              <w:rPr>
                <w:rFonts w:cstheme="minorHAnsi"/>
                <w:color w:val="000000"/>
                <w:sz w:val="20"/>
              </w:rPr>
              <w:t>4 357,99</w:t>
            </w:r>
          </w:p>
        </w:tc>
        <w:tc>
          <w:tcPr>
            <w:tcW w:w="879" w:type="dxa"/>
            <w:tcBorders>
              <w:top w:val="single" w:sz="4" w:space="0" w:color="auto"/>
              <w:left w:val="nil"/>
              <w:bottom w:val="single" w:sz="4" w:space="0" w:color="auto"/>
              <w:right w:val="single" w:sz="4" w:space="0" w:color="auto"/>
            </w:tcBorders>
            <w:shd w:val="clear" w:color="auto" w:fill="auto"/>
            <w:noWrap/>
            <w:vAlign w:val="bottom"/>
          </w:tcPr>
          <w:p w14:paraId="7F31C81C" w14:textId="7A272060" w:rsidR="001352EB" w:rsidRPr="00F52921" w:rsidRDefault="001352EB" w:rsidP="009373D3">
            <w:pPr>
              <w:spacing w:before="40" w:after="40"/>
              <w:jc w:val="right"/>
              <w:rPr>
                <w:rFonts w:cstheme="minorHAnsi"/>
                <w:color w:val="000000"/>
                <w:sz w:val="20"/>
              </w:rPr>
            </w:pPr>
            <w:r w:rsidRPr="00F52921">
              <w:rPr>
                <w:rFonts w:cstheme="minorHAnsi"/>
                <w:color w:val="000000"/>
                <w:sz w:val="20"/>
              </w:rPr>
              <w:t>19,74</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33D6E756" w14:textId="0B4B4C81" w:rsidR="001352EB" w:rsidRPr="00F52921" w:rsidRDefault="001352EB" w:rsidP="009D6C3F">
            <w:pPr>
              <w:spacing w:before="40" w:after="40"/>
              <w:ind w:right="-12"/>
              <w:jc w:val="right"/>
              <w:rPr>
                <w:rFonts w:cstheme="minorHAnsi"/>
                <w:color w:val="000000"/>
                <w:sz w:val="20"/>
              </w:rPr>
            </w:pPr>
            <w:r w:rsidRPr="00F52921">
              <w:rPr>
                <w:rFonts w:cstheme="minorHAnsi"/>
                <w:color w:val="000000"/>
                <w:sz w:val="20"/>
              </w:rPr>
              <w:t>3</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675B02C" w14:textId="62C29C3F" w:rsidR="001352EB" w:rsidRPr="00F52921" w:rsidRDefault="001352EB" w:rsidP="009D6C3F">
            <w:pPr>
              <w:spacing w:before="40" w:after="40"/>
              <w:ind w:right="117"/>
              <w:jc w:val="right"/>
              <w:rPr>
                <w:rFonts w:cstheme="minorHAnsi"/>
                <w:color w:val="000000"/>
                <w:sz w:val="20"/>
              </w:rPr>
            </w:pPr>
            <w:r w:rsidRPr="00F52921">
              <w:rPr>
                <w:rFonts w:cstheme="minorHAnsi"/>
                <w:color w:val="000000"/>
                <w:sz w:val="20"/>
              </w:rPr>
              <w:t>4</w:t>
            </w:r>
          </w:p>
        </w:tc>
      </w:tr>
      <w:tr w:rsidR="001352EB" w:rsidRPr="00F52921" w14:paraId="3064E6D9" w14:textId="77777777" w:rsidTr="001352EB">
        <w:trPr>
          <w:trHeight w:val="283"/>
        </w:trPr>
        <w:tc>
          <w:tcPr>
            <w:tcW w:w="794" w:type="dxa"/>
            <w:vMerge/>
            <w:tcBorders>
              <w:left w:val="single" w:sz="4" w:space="0" w:color="auto"/>
              <w:bottom w:val="single" w:sz="4" w:space="0" w:color="auto"/>
              <w:right w:val="single" w:sz="4" w:space="0" w:color="auto"/>
            </w:tcBorders>
            <w:vAlign w:val="center"/>
          </w:tcPr>
          <w:p w14:paraId="15D433A7" w14:textId="77777777" w:rsidR="001352EB" w:rsidRPr="00F52921" w:rsidRDefault="001352EB" w:rsidP="009D6C3F">
            <w:pPr>
              <w:spacing w:before="40" w:after="40"/>
              <w:ind w:left="-57" w:right="-57"/>
              <w:jc w:val="center"/>
              <w:rPr>
                <w:rFonts w:cstheme="minorHAnsi"/>
                <w:color w:val="000000"/>
                <w:sz w:val="20"/>
              </w:rPr>
            </w:pP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08CE4A70" w14:textId="5EF0FD3E" w:rsidR="001352EB" w:rsidRPr="00F52921" w:rsidRDefault="001352EB" w:rsidP="009D6C3F">
            <w:pPr>
              <w:spacing w:before="40" w:after="40"/>
              <w:jc w:val="center"/>
              <w:rPr>
                <w:rFonts w:cstheme="minorHAnsi"/>
                <w:color w:val="000000"/>
                <w:sz w:val="20"/>
              </w:rPr>
            </w:pPr>
            <w:r w:rsidRPr="00F52921">
              <w:rPr>
                <w:rFonts w:cstheme="minorHAnsi"/>
                <w:color w:val="000000"/>
                <w:sz w:val="20"/>
              </w:rPr>
              <w:t>2016</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D0A6A13" w14:textId="5E3023FD" w:rsidR="001352EB" w:rsidRPr="00F52921" w:rsidRDefault="001352EB" w:rsidP="009D6C3F">
            <w:pPr>
              <w:spacing w:before="40" w:after="40"/>
              <w:jc w:val="right"/>
              <w:rPr>
                <w:rFonts w:cstheme="minorHAnsi"/>
                <w:sz w:val="20"/>
              </w:rPr>
            </w:pPr>
            <w:r w:rsidRPr="00F52921">
              <w:rPr>
                <w:rFonts w:cstheme="minorHAnsi"/>
                <w:sz w:val="20"/>
              </w:rPr>
              <w:t>25 203,24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944E5E" w14:textId="77E19366" w:rsidR="001352EB" w:rsidRPr="00F52921" w:rsidRDefault="001352EB" w:rsidP="009D6C3F">
            <w:pPr>
              <w:spacing w:before="40" w:after="40"/>
              <w:jc w:val="center"/>
              <w:rPr>
                <w:rFonts w:cstheme="minorHAnsi"/>
                <w:color w:val="000000"/>
                <w:sz w:val="20"/>
              </w:rPr>
            </w:pPr>
            <w:r w:rsidRPr="00F52921">
              <w:rPr>
                <w:rFonts w:cstheme="minorHAnsi"/>
                <w:color w:val="000000"/>
                <w:sz w:val="20"/>
              </w:rPr>
              <w:t>FNM</w:t>
            </w:r>
          </w:p>
        </w:tc>
        <w:tc>
          <w:tcPr>
            <w:tcW w:w="1077" w:type="dxa"/>
            <w:tcBorders>
              <w:top w:val="single" w:sz="4" w:space="0" w:color="auto"/>
              <w:left w:val="nil"/>
              <w:bottom w:val="single" w:sz="4" w:space="0" w:color="auto"/>
              <w:right w:val="single" w:sz="4" w:space="0" w:color="auto"/>
            </w:tcBorders>
            <w:shd w:val="clear" w:color="auto" w:fill="auto"/>
            <w:noWrap/>
            <w:vAlign w:val="bottom"/>
          </w:tcPr>
          <w:p w14:paraId="2B8F428B" w14:textId="23E09EE0" w:rsidR="001352EB" w:rsidRPr="00F52921" w:rsidRDefault="001352EB" w:rsidP="009D6C3F">
            <w:pPr>
              <w:spacing w:before="40" w:after="40"/>
              <w:jc w:val="right"/>
              <w:rPr>
                <w:rFonts w:cstheme="minorHAnsi"/>
                <w:color w:val="000000"/>
                <w:sz w:val="20"/>
              </w:rPr>
            </w:pPr>
            <w:r w:rsidRPr="00F52921">
              <w:rPr>
                <w:rFonts w:cstheme="minorHAnsi"/>
                <w:sz w:val="20"/>
              </w:rPr>
              <w:t>26 047,87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1F89288" w14:textId="7B3BC3B9" w:rsidR="001352EB" w:rsidRPr="00F52921" w:rsidRDefault="001352EB" w:rsidP="009D6C3F">
            <w:pPr>
              <w:spacing w:before="40" w:after="40"/>
              <w:jc w:val="center"/>
              <w:rPr>
                <w:rFonts w:cstheme="minorHAnsi"/>
                <w:color w:val="000000"/>
                <w:sz w:val="20"/>
              </w:rPr>
            </w:pPr>
            <w:r w:rsidRPr="00F52921">
              <w:rPr>
                <w:rFonts w:cstheme="minorHAnsi"/>
                <w:color w:val="000000"/>
                <w:sz w:val="20"/>
              </w:rPr>
              <w:t>FNM</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281A428D" w14:textId="3ED093EE" w:rsidR="001352EB" w:rsidRPr="00F52921" w:rsidRDefault="001352EB" w:rsidP="009D6C3F">
            <w:pPr>
              <w:spacing w:before="40" w:after="40"/>
              <w:jc w:val="right"/>
              <w:rPr>
                <w:rFonts w:cstheme="minorHAnsi"/>
                <w:color w:val="000000"/>
                <w:sz w:val="20"/>
              </w:rPr>
            </w:pPr>
            <w:r w:rsidRPr="00F52921">
              <w:rPr>
                <w:rFonts w:cstheme="minorHAnsi"/>
                <w:color w:val="000000"/>
                <w:sz w:val="20"/>
              </w:rPr>
              <w:t>844,63</w:t>
            </w:r>
          </w:p>
        </w:tc>
        <w:tc>
          <w:tcPr>
            <w:tcW w:w="879" w:type="dxa"/>
            <w:tcBorders>
              <w:top w:val="single" w:sz="4" w:space="0" w:color="auto"/>
              <w:left w:val="nil"/>
              <w:bottom w:val="single" w:sz="4" w:space="0" w:color="auto"/>
              <w:right w:val="single" w:sz="4" w:space="0" w:color="auto"/>
            </w:tcBorders>
            <w:shd w:val="clear" w:color="auto" w:fill="auto"/>
            <w:noWrap/>
            <w:vAlign w:val="bottom"/>
          </w:tcPr>
          <w:p w14:paraId="1277D838" w14:textId="4A1203C0" w:rsidR="001352EB" w:rsidRPr="00F52921" w:rsidRDefault="001352EB" w:rsidP="009373D3">
            <w:pPr>
              <w:spacing w:before="40" w:after="40"/>
              <w:jc w:val="right"/>
              <w:rPr>
                <w:rFonts w:cstheme="minorHAnsi"/>
                <w:color w:val="000000"/>
                <w:sz w:val="20"/>
              </w:rPr>
            </w:pPr>
            <w:r w:rsidRPr="00F52921">
              <w:rPr>
                <w:rFonts w:cstheme="minorHAnsi"/>
                <w:color w:val="000000"/>
                <w:sz w:val="20"/>
              </w:rPr>
              <w:t>3,35</w:t>
            </w:r>
          </w:p>
        </w:tc>
        <w:tc>
          <w:tcPr>
            <w:tcW w:w="907" w:type="dxa"/>
            <w:tcBorders>
              <w:top w:val="single" w:sz="4" w:space="0" w:color="auto"/>
              <w:left w:val="nil"/>
              <w:bottom w:val="single" w:sz="4" w:space="0" w:color="auto"/>
              <w:right w:val="single" w:sz="4" w:space="0" w:color="auto"/>
            </w:tcBorders>
            <w:shd w:val="clear" w:color="auto" w:fill="auto"/>
            <w:noWrap/>
            <w:vAlign w:val="bottom"/>
          </w:tcPr>
          <w:p w14:paraId="1AAE8A47" w14:textId="2C7DA4EB" w:rsidR="001352EB" w:rsidRPr="00F52921" w:rsidRDefault="001352EB" w:rsidP="009D6C3F">
            <w:pPr>
              <w:spacing w:before="40" w:after="40"/>
              <w:ind w:right="-12"/>
              <w:jc w:val="right"/>
              <w:rPr>
                <w:rFonts w:cstheme="minorHAnsi"/>
                <w:color w:val="000000"/>
                <w:sz w:val="20"/>
              </w:rPr>
            </w:pPr>
            <w:r w:rsidRPr="00F52921">
              <w:rPr>
                <w:rFonts w:cstheme="minorHAnsi"/>
                <w:color w:val="000000"/>
                <w:sz w:val="20"/>
              </w:rPr>
              <w:t>2</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4FB8688" w14:textId="6B2CA2F6" w:rsidR="001352EB" w:rsidRPr="00F52921" w:rsidRDefault="001352EB" w:rsidP="009D6C3F">
            <w:pPr>
              <w:spacing w:before="40" w:after="40"/>
              <w:ind w:right="117"/>
              <w:jc w:val="right"/>
              <w:rPr>
                <w:rFonts w:cstheme="minorHAnsi"/>
                <w:color w:val="000000"/>
                <w:sz w:val="20"/>
              </w:rPr>
            </w:pPr>
            <w:r w:rsidRPr="00F52921">
              <w:rPr>
                <w:rFonts w:cstheme="minorHAnsi"/>
                <w:color w:val="000000"/>
                <w:sz w:val="20"/>
              </w:rPr>
              <w:t>3</w:t>
            </w:r>
          </w:p>
        </w:tc>
      </w:tr>
    </w:tbl>
    <w:p w14:paraId="7A94252C" w14:textId="72C049A7" w:rsidR="0068280A" w:rsidRDefault="006E5933" w:rsidP="006E5933">
      <w:pPr>
        <w:spacing w:before="40"/>
        <w:rPr>
          <w:sz w:val="20"/>
        </w:rPr>
      </w:pPr>
      <w:r w:rsidRPr="009D6C3F">
        <w:rPr>
          <w:b/>
          <w:sz w:val="20"/>
        </w:rPr>
        <w:t>Zdroj:</w:t>
      </w:r>
      <w:r w:rsidRPr="009D6C3F">
        <w:rPr>
          <w:sz w:val="20"/>
        </w:rPr>
        <w:t xml:space="preserve"> Přílohy jednotlivých kontrolních protokolů fakultních nemocnic (dle faktur).</w:t>
      </w:r>
    </w:p>
    <w:p w14:paraId="55D68D71" w14:textId="07533AB6" w:rsidR="001352EB" w:rsidRDefault="001352EB">
      <w:pPr>
        <w:jc w:val="left"/>
        <w:rPr>
          <w:sz w:val="20"/>
        </w:rPr>
      </w:pPr>
    </w:p>
    <w:p w14:paraId="087720CD" w14:textId="77777777" w:rsidR="001352EB" w:rsidRDefault="001352EB" w:rsidP="001352EB">
      <w:pPr>
        <w:jc w:val="right"/>
        <w:rPr>
          <w:rFonts w:cstheme="minorHAnsi"/>
          <w:b/>
          <w:noProof/>
          <w:color w:val="000000" w:themeColor="text1"/>
          <w:szCs w:val="28"/>
        </w:rPr>
        <w:sectPr w:rsidR="001352EB" w:rsidSect="00E60983">
          <w:pgSz w:w="11906" w:h="16838" w:code="9"/>
          <w:pgMar w:top="1418" w:right="1418" w:bottom="1418" w:left="1418" w:header="709" w:footer="709" w:gutter="0"/>
          <w:cols w:space="708"/>
          <w:docGrid w:linePitch="360"/>
        </w:sectPr>
      </w:pPr>
    </w:p>
    <w:p w14:paraId="72AA3119" w14:textId="0E0C49C7" w:rsidR="001352EB" w:rsidRDefault="001352EB" w:rsidP="001352EB">
      <w:pPr>
        <w:jc w:val="right"/>
        <w:rPr>
          <w:rFonts w:cstheme="minorHAnsi"/>
          <w:b/>
          <w:noProof/>
          <w:color w:val="000000" w:themeColor="text1"/>
          <w:szCs w:val="28"/>
        </w:rPr>
      </w:pPr>
      <w:r>
        <w:rPr>
          <w:rFonts w:cstheme="minorHAnsi"/>
          <w:b/>
          <w:noProof/>
          <w:color w:val="000000" w:themeColor="text1"/>
          <w:szCs w:val="28"/>
        </w:rPr>
        <w:t>Příloha č. 3</w:t>
      </w:r>
    </w:p>
    <w:p w14:paraId="062A6F71" w14:textId="02454151" w:rsidR="001352EB" w:rsidRPr="0068280A" w:rsidRDefault="001352EB" w:rsidP="001352EB">
      <w:pPr>
        <w:spacing w:before="120" w:after="40"/>
        <w:rPr>
          <w:rFonts w:cstheme="minorHAnsi"/>
          <w:b/>
          <w:noProof/>
          <w:color w:val="000000" w:themeColor="text1"/>
          <w:szCs w:val="28"/>
        </w:rPr>
      </w:pPr>
      <w:r w:rsidRPr="001352EB">
        <w:rPr>
          <w:rFonts w:cstheme="minorHAnsi"/>
          <w:b/>
          <w:noProof/>
          <w:szCs w:val="28"/>
        </w:rPr>
        <w:t>Cenové rozdíly jednotkových cen zdravotnických prostředků (ZUM)</w:t>
      </w:r>
    </w:p>
    <w:tbl>
      <w:tblPr>
        <w:tblW w:w="0" w:type="auto"/>
        <w:tblLayout w:type="fixed"/>
        <w:tblCellMar>
          <w:left w:w="70" w:type="dxa"/>
          <w:right w:w="70" w:type="dxa"/>
        </w:tblCellMar>
        <w:tblLook w:val="04A0" w:firstRow="1" w:lastRow="0" w:firstColumn="1" w:lastColumn="0" w:noHBand="0" w:noVBand="1"/>
      </w:tblPr>
      <w:tblGrid>
        <w:gridCol w:w="737"/>
        <w:gridCol w:w="510"/>
        <w:gridCol w:w="964"/>
        <w:gridCol w:w="1304"/>
        <w:gridCol w:w="964"/>
        <w:gridCol w:w="1191"/>
        <w:gridCol w:w="907"/>
        <w:gridCol w:w="794"/>
        <w:gridCol w:w="907"/>
        <w:gridCol w:w="907"/>
      </w:tblGrid>
      <w:tr w:rsidR="00AE6966" w:rsidRPr="001352EB" w14:paraId="08A6BB9A" w14:textId="77777777" w:rsidTr="00192F57">
        <w:trPr>
          <w:trHeight w:val="283"/>
          <w:tblHeader/>
        </w:trPr>
        <w:tc>
          <w:tcPr>
            <w:tcW w:w="737"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5866B38B" w14:textId="77777777" w:rsidR="001352EB" w:rsidRPr="001352EB" w:rsidRDefault="001352EB" w:rsidP="00192F57">
            <w:pPr>
              <w:ind w:left="-57" w:right="-57"/>
              <w:jc w:val="center"/>
              <w:rPr>
                <w:rFonts w:ascii="Calibri" w:hAnsi="Calibri" w:cs="Calibri"/>
                <w:b/>
                <w:bCs/>
                <w:color w:val="000000"/>
                <w:sz w:val="18"/>
                <w:szCs w:val="18"/>
              </w:rPr>
            </w:pPr>
            <w:r w:rsidRPr="001352EB">
              <w:rPr>
                <w:rFonts w:ascii="Calibri" w:hAnsi="Calibri" w:cs="Calibri"/>
                <w:b/>
                <w:bCs/>
                <w:color w:val="000000"/>
                <w:sz w:val="18"/>
                <w:szCs w:val="18"/>
              </w:rPr>
              <w:t>Kód ZP</w:t>
            </w:r>
            <w:r w:rsidRPr="001352EB">
              <w:rPr>
                <w:rStyle w:val="Znakapoznpodarou"/>
                <w:rFonts w:ascii="Calibri" w:hAnsi="Calibri" w:cs="Calibri"/>
                <w:b/>
                <w:bCs/>
                <w:color w:val="000000"/>
                <w:sz w:val="18"/>
                <w:szCs w:val="18"/>
              </w:rPr>
              <w:footnoteReference w:id="59"/>
            </w:r>
          </w:p>
        </w:tc>
        <w:tc>
          <w:tcPr>
            <w:tcW w:w="510" w:type="dxa"/>
            <w:tcBorders>
              <w:top w:val="single" w:sz="4" w:space="0" w:color="auto"/>
              <w:left w:val="nil"/>
              <w:bottom w:val="single" w:sz="4" w:space="0" w:color="auto"/>
              <w:right w:val="single" w:sz="4" w:space="0" w:color="auto"/>
            </w:tcBorders>
            <w:shd w:val="clear" w:color="000000" w:fill="E5F1FF"/>
            <w:noWrap/>
            <w:vAlign w:val="center"/>
            <w:hideMark/>
          </w:tcPr>
          <w:p w14:paraId="7702BC60" w14:textId="77777777" w:rsidR="001352EB" w:rsidRPr="001352EB" w:rsidRDefault="001352EB" w:rsidP="00192F57">
            <w:pPr>
              <w:jc w:val="center"/>
              <w:rPr>
                <w:rFonts w:ascii="Calibri" w:hAnsi="Calibri" w:cs="Calibri"/>
                <w:b/>
                <w:bCs/>
                <w:color w:val="000000"/>
                <w:sz w:val="18"/>
                <w:szCs w:val="18"/>
              </w:rPr>
            </w:pPr>
            <w:r w:rsidRPr="001352EB">
              <w:rPr>
                <w:rFonts w:ascii="Calibri" w:hAnsi="Calibri" w:cs="Calibri"/>
                <w:b/>
                <w:bCs/>
                <w:color w:val="000000"/>
                <w:sz w:val="18"/>
                <w:szCs w:val="18"/>
              </w:rPr>
              <w:t>Rok</w:t>
            </w:r>
          </w:p>
        </w:tc>
        <w:tc>
          <w:tcPr>
            <w:tcW w:w="964" w:type="dxa"/>
            <w:tcBorders>
              <w:top w:val="single" w:sz="4" w:space="0" w:color="auto"/>
              <w:left w:val="nil"/>
              <w:bottom w:val="single" w:sz="4" w:space="0" w:color="auto"/>
              <w:right w:val="single" w:sz="4" w:space="0" w:color="auto"/>
            </w:tcBorders>
            <w:shd w:val="clear" w:color="000000" w:fill="E5F1FF"/>
            <w:noWrap/>
            <w:vAlign w:val="center"/>
            <w:hideMark/>
          </w:tcPr>
          <w:p w14:paraId="3F01A9C2" w14:textId="30F204EE" w:rsidR="001352EB" w:rsidRPr="001352EB" w:rsidRDefault="001352EB" w:rsidP="00192F57">
            <w:pPr>
              <w:ind w:left="-57" w:right="-57"/>
              <w:jc w:val="center"/>
              <w:rPr>
                <w:rFonts w:ascii="Calibri" w:hAnsi="Calibri" w:cs="Calibri"/>
                <w:b/>
                <w:bCs/>
                <w:color w:val="000000"/>
                <w:sz w:val="18"/>
                <w:szCs w:val="18"/>
              </w:rPr>
            </w:pPr>
            <w:r w:rsidRPr="001352EB">
              <w:rPr>
                <w:rFonts w:ascii="Calibri" w:hAnsi="Calibri" w:cs="Calibri"/>
                <w:b/>
                <w:bCs/>
                <w:color w:val="000000"/>
                <w:sz w:val="18"/>
                <w:szCs w:val="18"/>
              </w:rPr>
              <w:t>Minimální jednotková cena</w:t>
            </w:r>
            <w:r w:rsidR="00A31EC4">
              <w:rPr>
                <w:rFonts w:ascii="Calibri" w:hAnsi="Calibri" w:cs="Calibri"/>
                <w:b/>
                <w:bCs/>
                <w:color w:val="000000"/>
                <w:sz w:val="18"/>
                <w:szCs w:val="18"/>
              </w:rPr>
              <w:t xml:space="preserve"> v Kč</w:t>
            </w:r>
          </w:p>
        </w:tc>
        <w:tc>
          <w:tcPr>
            <w:tcW w:w="1304" w:type="dxa"/>
            <w:tcBorders>
              <w:top w:val="single" w:sz="4" w:space="0" w:color="auto"/>
              <w:left w:val="nil"/>
              <w:bottom w:val="single" w:sz="4" w:space="0" w:color="auto"/>
              <w:right w:val="single" w:sz="4" w:space="0" w:color="auto"/>
            </w:tcBorders>
            <w:shd w:val="clear" w:color="000000" w:fill="E5F1FF"/>
            <w:vAlign w:val="center"/>
            <w:hideMark/>
          </w:tcPr>
          <w:p w14:paraId="3DDA4D1F" w14:textId="4DAFD44C" w:rsidR="001352EB" w:rsidRPr="001352EB" w:rsidRDefault="00AE6966" w:rsidP="00192F57">
            <w:pPr>
              <w:ind w:left="-57" w:right="-57"/>
              <w:jc w:val="center"/>
              <w:rPr>
                <w:rFonts w:ascii="Calibri" w:hAnsi="Calibri" w:cs="Calibri"/>
                <w:b/>
                <w:bCs/>
                <w:color w:val="000000"/>
                <w:sz w:val="18"/>
                <w:szCs w:val="18"/>
              </w:rPr>
            </w:pPr>
            <w:r>
              <w:rPr>
                <w:rFonts w:ascii="Calibri" w:hAnsi="Calibri" w:cs="Calibri"/>
                <w:b/>
                <w:bCs/>
                <w:color w:val="000000"/>
                <w:sz w:val="18"/>
                <w:szCs w:val="18"/>
              </w:rPr>
              <w:t>Nemocnice s </w:t>
            </w:r>
            <w:r w:rsidR="001352EB" w:rsidRPr="001352EB">
              <w:rPr>
                <w:rFonts w:ascii="Calibri" w:hAnsi="Calibri" w:cs="Calibri"/>
                <w:b/>
                <w:bCs/>
                <w:color w:val="000000"/>
                <w:sz w:val="18"/>
                <w:szCs w:val="18"/>
              </w:rPr>
              <w:t>min. jednotkovou cenou</w:t>
            </w:r>
          </w:p>
        </w:tc>
        <w:tc>
          <w:tcPr>
            <w:tcW w:w="964" w:type="dxa"/>
            <w:tcBorders>
              <w:top w:val="single" w:sz="4" w:space="0" w:color="auto"/>
              <w:left w:val="nil"/>
              <w:bottom w:val="single" w:sz="4" w:space="0" w:color="auto"/>
              <w:right w:val="single" w:sz="4" w:space="0" w:color="auto"/>
            </w:tcBorders>
            <w:shd w:val="clear" w:color="000000" w:fill="E5F1FF"/>
            <w:noWrap/>
            <w:vAlign w:val="center"/>
            <w:hideMark/>
          </w:tcPr>
          <w:p w14:paraId="7ACD6956" w14:textId="3D0C7201" w:rsidR="001352EB" w:rsidRPr="001352EB" w:rsidRDefault="001352EB" w:rsidP="00192F57">
            <w:pPr>
              <w:ind w:left="-57" w:right="-57"/>
              <w:jc w:val="center"/>
              <w:rPr>
                <w:rFonts w:ascii="Calibri" w:hAnsi="Calibri" w:cs="Calibri"/>
                <w:b/>
                <w:bCs/>
                <w:color w:val="000000"/>
                <w:sz w:val="18"/>
                <w:szCs w:val="18"/>
              </w:rPr>
            </w:pPr>
            <w:r w:rsidRPr="001352EB">
              <w:rPr>
                <w:rFonts w:ascii="Calibri" w:hAnsi="Calibri" w:cs="Calibri"/>
                <w:b/>
                <w:bCs/>
                <w:color w:val="000000"/>
                <w:sz w:val="18"/>
                <w:szCs w:val="18"/>
              </w:rPr>
              <w:t>Maximální jednotková cena</w:t>
            </w:r>
            <w:r w:rsidR="00A31EC4">
              <w:rPr>
                <w:rFonts w:ascii="Calibri" w:hAnsi="Calibri" w:cs="Calibri"/>
                <w:b/>
                <w:bCs/>
                <w:color w:val="000000"/>
                <w:sz w:val="18"/>
                <w:szCs w:val="18"/>
              </w:rPr>
              <w:t xml:space="preserve"> v Kč</w:t>
            </w:r>
          </w:p>
        </w:tc>
        <w:tc>
          <w:tcPr>
            <w:tcW w:w="1191" w:type="dxa"/>
            <w:tcBorders>
              <w:top w:val="single" w:sz="4" w:space="0" w:color="auto"/>
              <w:left w:val="nil"/>
              <w:bottom w:val="single" w:sz="4" w:space="0" w:color="auto"/>
              <w:right w:val="single" w:sz="4" w:space="0" w:color="auto"/>
            </w:tcBorders>
            <w:shd w:val="clear" w:color="000000" w:fill="E5F1FF"/>
            <w:vAlign w:val="center"/>
            <w:hideMark/>
          </w:tcPr>
          <w:p w14:paraId="354F0898" w14:textId="67207D5B" w:rsidR="001352EB" w:rsidRPr="001352EB" w:rsidRDefault="001352EB" w:rsidP="00192F57">
            <w:pPr>
              <w:ind w:left="-57" w:right="-57"/>
              <w:jc w:val="center"/>
              <w:rPr>
                <w:rFonts w:ascii="Calibri" w:hAnsi="Calibri" w:cs="Calibri"/>
                <w:b/>
                <w:bCs/>
                <w:color w:val="000000"/>
                <w:sz w:val="18"/>
                <w:szCs w:val="18"/>
              </w:rPr>
            </w:pPr>
            <w:r w:rsidRPr="001352EB">
              <w:rPr>
                <w:rFonts w:ascii="Calibri" w:hAnsi="Calibri" w:cs="Calibri"/>
                <w:b/>
                <w:bCs/>
                <w:color w:val="000000"/>
                <w:sz w:val="18"/>
                <w:szCs w:val="18"/>
              </w:rPr>
              <w:t>Nemocnice s</w:t>
            </w:r>
            <w:r w:rsidR="00AE6966">
              <w:rPr>
                <w:rFonts w:ascii="Calibri" w:hAnsi="Calibri" w:cs="Calibri"/>
                <w:b/>
                <w:bCs/>
                <w:color w:val="000000"/>
                <w:sz w:val="18"/>
                <w:szCs w:val="18"/>
              </w:rPr>
              <w:t> </w:t>
            </w:r>
            <w:r w:rsidRPr="001352EB">
              <w:rPr>
                <w:rFonts w:ascii="Calibri" w:hAnsi="Calibri" w:cs="Calibri"/>
                <w:b/>
                <w:bCs/>
                <w:color w:val="000000"/>
                <w:sz w:val="18"/>
                <w:szCs w:val="18"/>
              </w:rPr>
              <w:t>max. jednotkovou cenou</w:t>
            </w:r>
          </w:p>
        </w:tc>
        <w:tc>
          <w:tcPr>
            <w:tcW w:w="907" w:type="dxa"/>
            <w:tcBorders>
              <w:top w:val="single" w:sz="4" w:space="0" w:color="auto"/>
              <w:left w:val="nil"/>
              <w:bottom w:val="single" w:sz="4" w:space="0" w:color="auto"/>
              <w:right w:val="single" w:sz="4" w:space="0" w:color="auto"/>
            </w:tcBorders>
            <w:shd w:val="clear" w:color="000000" w:fill="E5F1FF"/>
            <w:noWrap/>
            <w:vAlign w:val="center"/>
            <w:hideMark/>
          </w:tcPr>
          <w:p w14:paraId="34098EE7" w14:textId="061B7C0F" w:rsidR="001352EB" w:rsidRPr="001352EB" w:rsidRDefault="001352EB" w:rsidP="00192F57">
            <w:pPr>
              <w:ind w:left="-57" w:right="-57"/>
              <w:jc w:val="center"/>
              <w:rPr>
                <w:rFonts w:ascii="Calibri" w:hAnsi="Calibri" w:cs="Calibri"/>
                <w:b/>
                <w:bCs/>
                <w:color w:val="000000"/>
                <w:sz w:val="18"/>
                <w:szCs w:val="18"/>
              </w:rPr>
            </w:pPr>
            <w:r w:rsidRPr="001352EB">
              <w:rPr>
                <w:rFonts w:ascii="Calibri" w:hAnsi="Calibri" w:cs="Calibri"/>
                <w:b/>
                <w:bCs/>
                <w:color w:val="000000"/>
                <w:sz w:val="18"/>
                <w:szCs w:val="18"/>
              </w:rPr>
              <w:t>Rozdíl</w:t>
            </w:r>
            <w:r w:rsidR="00A31EC4">
              <w:rPr>
                <w:rFonts w:ascii="Calibri" w:hAnsi="Calibri" w:cs="Calibri"/>
                <w:b/>
                <w:bCs/>
                <w:color w:val="000000"/>
                <w:sz w:val="18"/>
                <w:szCs w:val="18"/>
              </w:rPr>
              <w:t xml:space="preserve"> </w:t>
            </w:r>
            <w:r w:rsidR="00A31EC4">
              <w:rPr>
                <w:rFonts w:ascii="Calibri" w:hAnsi="Calibri" w:cs="Calibri"/>
                <w:b/>
                <w:bCs/>
                <w:color w:val="000000"/>
                <w:sz w:val="18"/>
                <w:szCs w:val="18"/>
              </w:rPr>
              <w:br/>
              <w:t>v Kč</w:t>
            </w:r>
          </w:p>
        </w:tc>
        <w:tc>
          <w:tcPr>
            <w:tcW w:w="794" w:type="dxa"/>
            <w:tcBorders>
              <w:top w:val="single" w:sz="4" w:space="0" w:color="auto"/>
              <w:left w:val="nil"/>
              <w:bottom w:val="single" w:sz="4" w:space="0" w:color="auto"/>
              <w:right w:val="single" w:sz="4" w:space="0" w:color="auto"/>
            </w:tcBorders>
            <w:shd w:val="clear" w:color="000000" w:fill="E5F1FF"/>
            <w:noWrap/>
            <w:vAlign w:val="center"/>
            <w:hideMark/>
          </w:tcPr>
          <w:p w14:paraId="6DBC0C08" w14:textId="3026C6C6" w:rsidR="001352EB" w:rsidRPr="001352EB" w:rsidRDefault="00A31EC4" w:rsidP="00A31EC4">
            <w:pPr>
              <w:ind w:left="-57" w:right="-57"/>
              <w:jc w:val="center"/>
              <w:rPr>
                <w:rFonts w:ascii="Calibri" w:hAnsi="Calibri" w:cs="Calibri"/>
                <w:b/>
                <w:bCs/>
                <w:color w:val="000000"/>
                <w:sz w:val="18"/>
                <w:szCs w:val="18"/>
              </w:rPr>
            </w:pPr>
            <w:r>
              <w:rPr>
                <w:rFonts w:ascii="Calibri" w:hAnsi="Calibri" w:cs="Calibri"/>
                <w:b/>
                <w:bCs/>
                <w:color w:val="000000"/>
                <w:sz w:val="18"/>
                <w:szCs w:val="18"/>
              </w:rPr>
              <w:t>R</w:t>
            </w:r>
            <w:r w:rsidR="001352EB" w:rsidRPr="001352EB">
              <w:rPr>
                <w:rFonts w:ascii="Calibri" w:hAnsi="Calibri" w:cs="Calibri"/>
                <w:b/>
                <w:bCs/>
                <w:color w:val="000000"/>
                <w:sz w:val="18"/>
                <w:szCs w:val="18"/>
              </w:rPr>
              <w:t>ozdíl</w:t>
            </w:r>
            <w:r>
              <w:rPr>
                <w:rFonts w:ascii="Calibri" w:hAnsi="Calibri" w:cs="Calibri"/>
                <w:b/>
                <w:bCs/>
                <w:color w:val="000000"/>
                <w:sz w:val="18"/>
                <w:szCs w:val="18"/>
              </w:rPr>
              <w:t xml:space="preserve"> v %</w:t>
            </w:r>
          </w:p>
        </w:tc>
        <w:tc>
          <w:tcPr>
            <w:tcW w:w="907" w:type="dxa"/>
            <w:tcBorders>
              <w:top w:val="single" w:sz="4" w:space="0" w:color="auto"/>
              <w:left w:val="nil"/>
              <w:bottom w:val="single" w:sz="4" w:space="0" w:color="auto"/>
              <w:right w:val="single" w:sz="4" w:space="0" w:color="auto"/>
            </w:tcBorders>
            <w:shd w:val="clear" w:color="000000" w:fill="E5F1FF"/>
            <w:vAlign w:val="center"/>
            <w:hideMark/>
          </w:tcPr>
          <w:p w14:paraId="6226801F" w14:textId="77777777" w:rsidR="001352EB" w:rsidRPr="001352EB" w:rsidRDefault="001352EB" w:rsidP="00192F57">
            <w:pPr>
              <w:ind w:left="-57" w:right="-57"/>
              <w:jc w:val="center"/>
              <w:rPr>
                <w:rFonts w:ascii="Calibri" w:hAnsi="Calibri" w:cs="Calibri"/>
                <w:b/>
                <w:bCs/>
                <w:color w:val="000000"/>
                <w:sz w:val="18"/>
                <w:szCs w:val="18"/>
              </w:rPr>
            </w:pPr>
            <w:r w:rsidRPr="001352EB">
              <w:rPr>
                <w:rFonts w:ascii="Calibri" w:hAnsi="Calibri" w:cs="Calibri"/>
                <w:b/>
                <w:bCs/>
                <w:color w:val="000000"/>
                <w:sz w:val="18"/>
                <w:szCs w:val="18"/>
              </w:rPr>
              <w:t>Počet nemocnic ve vzorku</w:t>
            </w:r>
          </w:p>
        </w:tc>
        <w:tc>
          <w:tcPr>
            <w:tcW w:w="907" w:type="dxa"/>
            <w:tcBorders>
              <w:top w:val="single" w:sz="4" w:space="0" w:color="auto"/>
              <w:left w:val="nil"/>
              <w:bottom w:val="single" w:sz="4" w:space="0" w:color="auto"/>
              <w:right w:val="single" w:sz="4" w:space="0" w:color="auto"/>
            </w:tcBorders>
            <w:shd w:val="clear" w:color="000000" w:fill="E5F1FF"/>
            <w:vAlign w:val="center"/>
            <w:hideMark/>
          </w:tcPr>
          <w:p w14:paraId="7A0E10C8" w14:textId="77777777" w:rsidR="001352EB" w:rsidRPr="001352EB" w:rsidRDefault="001352EB" w:rsidP="00192F57">
            <w:pPr>
              <w:ind w:left="-57" w:right="-57"/>
              <w:jc w:val="center"/>
              <w:rPr>
                <w:rFonts w:ascii="Calibri" w:hAnsi="Calibri" w:cs="Calibri"/>
                <w:b/>
                <w:bCs/>
                <w:color w:val="000000"/>
                <w:sz w:val="18"/>
                <w:szCs w:val="18"/>
              </w:rPr>
            </w:pPr>
            <w:r w:rsidRPr="001352EB">
              <w:rPr>
                <w:rFonts w:ascii="Calibri" w:hAnsi="Calibri" w:cs="Calibri"/>
                <w:b/>
                <w:bCs/>
                <w:color w:val="000000"/>
                <w:sz w:val="18"/>
                <w:szCs w:val="18"/>
              </w:rPr>
              <w:t>Počet dodavatelů ve vzorku</w:t>
            </w:r>
          </w:p>
        </w:tc>
      </w:tr>
      <w:tr w:rsidR="00AE6966" w:rsidRPr="001352EB" w14:paraId="4ED77399"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7A8A1"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0031589</w:t>
            </w:r>
          </w:p>
        </w:tc>
        <w:tc>
          <w:tcPr>
            <w:tcW w:w="510" w:type="dxa"/>
            <w:tcBorders>
              <w:top w:val="nil"/>
              <w:left w:val="nil"/>
              <w:bottom w:val="single" w:sz="4" w:space="0" w:color="auto"/>
              <w:right w:val="single" w:sz="4" w:space="0" w:color="auto"/>
            </w:tcBorders>
            <w:shd w:val="clear" w:color="auto" w:fill="auto"/>
            <w:noWrap/>
            <w:vAlign w:val="center"/>
            <w:hideMark/>
          </w:tcPr>
          <w:p w14:paraId="2C8D36B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407867F0"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30 008,10</w:t>
            </w:r>
          </w:p>
        </w:tc>
        <w:tc>
          <w:tcPr>
            <w:tcW w:w="1304" w:type="dxa"/>
            <w:tcBorders>
              <w:top w:val="nil"/>
              <w:left w:val="nil"/>
              <w:bottom w:val="single" w:sz="4" w:space="0" w:color="auto"/>
              <w:right w:val="single" w:sz="4" w:space="0" w:color="auto"/>
            </w:tcBorders>
            <w:shd w:val="clear" w:color="auto" w:fill="auto"/>
            <w:noWrap/>
            <w:vAlign w:val="center"/>
            <w:hideMark/>
          </w:tcPr>
          <w:p w14:paraId="6638462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FNM, ÚVN</w:t>
            </w:r>
          </w:p>
        </w:tc>
        <w:tc>
          <w:tcPr>
            <w:tcW w:w="964" w:type="dxa"/>
            <w:tcBorders>
              <w:top w:val="nil"/>
              <w:left w:val="nil"/>
              <w:bottom w:val="single" w:sz="4" w:space="0" w:color="auto"/>
              <w:right w:val="single" w:sz="4" w:space="0" w:color="auto"/>
            </w:tcBorders>
            <w:shd w:val="clear" w:color="auto" w:fill="auto"/>
            <w:noWrap/>
            <w:vAlign w:val="center"/>
            <w:hideMark/>
          </w:tcPr>
          <w:p w14:paraId="17E7B8C2" w14:textId="77777777" w:rsidR="001352EB" w:rsidRPr="001352EB" w:rsidRDefault="001352EB" w:rsidP="00192F57">
            <w:pPr>
              <w:spacing w:before="40" w:after="40"/>
              <w:jc w:val="right"/>
              <w:rPr>
                <w:rFonts w:ascii="Calibri" w:hAnsi="Calibri" w:cs="Calibri"/>
                <w:sz w:val="18"/>
                <w:szCs w:val="18"/>
              </w:rPr>
            </w:pPr>
            <w:proofErr w:type="spellStart"/>
            <w:r w:rsidRPr="001352EB">
              <w:rPr>
                <w:rFonts w:ascii="Calibri" w:hAnsi="Calibri" w:cs="Calibri"/>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2FA7B09C"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4F2F2B1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794" w:type="dxa"/>
            <w:tcBorders>
              <w:top w:val="nil"/>
              <w:left w:val="nil"/>
              <w:bottom w:val="single" w:sz="4" w:space="0" w:color="auto"/>
              <w:right w:val="single" w:sz="4" w:space="0" w:color="auto"/>
            </w:tcBorders>
            <w:shd w:val="clear" w:color="auto" w:fill="auto"/>
            <w:noWrap/>
            <w:vAlign w:val="center"/>
            <w:hideMark/>
          </w:tcPr>
          <w:p w14:paraId="5F95B43A" w14:textId="5AA47497"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0D2FF3D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03AAE9C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01CD1446"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3A7A9B89"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0CADA047"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7BEA7E89"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30 008,10</w:t>
            </w:r>
          </w:p>
        </w:tc>
        <w:tc>
          <w:tcPr>
            <w:tcW w:w="1304" w:type="dxa"/>
            <w:tcBorders>
              <w:top w:val="nil"/>
              <w:left w:val="nil"/>
              <w:bottom w:val="single" w:sz="4" w:space="0" w:color="auto"/>
              <w:right w:val="single" w:sz="4" w:space="0" w:color="auto"/>
            </w:tcBorders>
            <w:shd w:val="clear" w:color="auto" w:fill="auto"/>
            <w:noWrap/>
            <w:vAlign w:val="center"/>
            <w:hideMark/>
          </w:tcPr>
          <w:p w14:paraId="6E053731"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FNM, ÚVN</w:t>
            </w:r>
          </w:p>
        </w:tc>
        <w:tc>
          <w:tcPr>
            <w:tcW w:w="964" w:type="dxa"/>
            <w:tcBorders>
              <w:top w:val="nil"/>
              <w:left w:val="nil"/>
              <w:bottom w:val="single" w:sz="4" w:space="0" w:color="auto"/>
              <w:right w:val="single" w:sz="4" w:space="0" w:color="auto"/>
            </w:tcBorders>
            <w:shd w:val="clear" w:color="auto" w:fill="auto"/>
            <w:noWrap/>
            <w:vAlign w:val="center"/>
            <w:hideMark/>
          </w:tcPr>
          <w:p w14:paraId="59234285" w14:textId="77777777" w:rsidR="001352EB" w:rsidRPr="001352EB" w:rsidRDefault="001352EB" w:rsidP="00192F57">
            <w:pPr>
              <w:spacing w:before="40" w:after="40"/>
              <w:jc w:val="right"/>
              <w:rPr>
                <w:rFonts w:ascii="Calibri" w:hAnsi="Calibri" w:cs="Calibri"/>
                <w:sz w:val="18"/>
                <w:szCs w:val="18"/>
              </w:rPr>
            </w:pPr>
            <w:proofErr w:type="spellStart"/>
            <w:r w:rsidRPr="001352EB">
              <w:rPr>
                <w:rFonts w:ascii="Calibri" w:hAnsi="Calibri" w:cs="Calibri"/>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38BBBB90"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15175596"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794" w:type="dxa"/>
            <w:tcBorders>
              <w:top w:val="nil"/>
              <w:left w:val="nil"/>
              <w:bottom w:val="single" w:sz="4" w:space="0" w:color="auto"/>
              <w:right w:val="single" w:sz="4" w:space="0" w:color="auto"/>
            </w:tcBorders>
            <w:shd w:val="clear" w:color="auto" w:fill="auto"/>
            <w:noWrap/>
            <w:vAlign w:val="center"/>
            <w:hideMark/>
          </w:tcPr>
          <w:p w14:paraId="3B3B1FE7" w14:textId="7219BCD0"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6643B48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4E71E0E2"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410C9FBA"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338F7090"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20DE0175"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7FEAB85F"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30 008,10</w:t>
            </w:r>
          </w:p>
        </w:tc>
        <w:tc>
          <w:tcPr>
            <w:tcW w:w="1304" w:type="dxa"/>
            <w:tcBorders>
              <w:top w:val="nil"/>
              <w:left w:val="nil"/>
              <w:bottom w:val="single" w:sz="4" w:space="0" w:color="auto"/>
              <w:right w:val="single" w:sz="4" w:space="0" w:color="auto"/>
            </w:tcBorders>
            <w:shd w:val="clear" w:color="auto" w:fill="auto"/>
            <w:noWrap/>
            <w:vAlign w:val="center"/>
            <w:hideMark/>
          </w:tcPr>
          <w:p w14:paraId="6AB010AA"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FNM, ÚVN</w:t>
            </w:r>
          </w:p>
        </w:tc>
        <w:tc>
          <w:tcPr>
            <w:tcW w:w="964" w:type="dxa"/>
            <w:tcBorders>
              <w:top w:val="nil"/>
              <w:left w:val="nil"/>
              <w:bottom w:val="single" w:sz="4" w:space="0" w:color="auto"/>
              <w:right w:val="single" w:sz="4" w:space="0" w:color="auto"/>
            </w:tcBorders>
            <w:shd w:val="clear" w:color="auto" w:fill="auto"/>
            <w:noWrap/>
            <w:vAlign w:val="center"/>
            <w:hideMark/>
          </w:tcPr>
          <w:p w14:paraId="7F7C4935" w14:textId="77777777" w:rsidR="001352EB" w:rsidRPr="001352EB" w:rsidRDefault="001352EB" w:rsidP="00192F57">
            <w:pPr>
              <w:spacing w:before="40" w:after="40"/>
              <w:jc w:val="right"/>
              <w:rPr>
                <w:rFonts w:ascii="Calibri" w:hAnsi="Calibri" w:cs="Calibri"/>
                <w:sz w:val="18"/>
                <w:szCs w:val="18"/>
              </w:rPr>
            </w:pPr>
            <w:proofErr w:type="spellStart"/>
            <w:r w:rsidRPr="001352EB">
              <w:rPr>
                <w:rFonts w:ascii="Calibri" w:hAnsi="Calibri" w:cs="Calibri"/>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5E117555"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5ECF1A1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794" w:type="dxa"/>
            <w:tcBorders>
              <w:top w:val="nil"/>
              <w:left w:val="nil"/>
              <w:bottom w:val="single" w:sz="4" w:space="0" w:color="auto"/>
              <w:right w:val="single" w:sz="4" w:space="0" w:color="auto"/>
            </w:tcBorders>
            <w:shd w:val="clear" w:color="auto" w:fill="auto"/>
            <w:noWrap/>
            <w:vAlign w:val="center"/>
            <w:hideMark/>
          </w:tcPr>
          <w:p w14:paraId="4A29BB60" w14:textId="606D7058"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3E0640D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10F278B0"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61014A2D"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58675B"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0031591</w:t>
            </w:r>
          </w:p>
        </w:tc>
        <w:tc>
          <w:tcPr>
            <w:tcW w:w="510" w:type="dxa"/>
            <w:tcBorders>
              <w:top w:val="nil"/>
              <w:left w:val="nil"/>
              <w:bottom w:val="single" w:sz="4" w:space="0" w:color="auto"/>
              <w:right w:val="single" w:sz="4" w:space="0" w:color="auto"/>
            </w:tcBorders>
            <w:shd w:val="clear" w:color="auto" w:fill="auto"/>
            <w:noWrap/>
            <w:vAlign w:val="center"/>
            <w:hideMark/>
          </w:tcPr>
          <w:p w14:paraId="0681DE29"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3F34850A"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30 008,10</w:t>
            </w:r>
          </w:p>
        </w:tc>
        <w:tc>
          <w:tcPr>
            <w:tcW w:w="1304" w:type="dxa"/>
            <w:tcBorders>
              <w:top w:val="nil"/>
              <w:left w:val="nil"/>
              <w:bottom w:val="single" w:sz="4" w:space="0" w:color="auto"/>
              <w:right w:val="single" w:sz="4" w:space="0" w:color="auto"/>
            </w:tcBorders>
            <w:shd w:val="clear" w:color="auto" w:fill="auto"/>
            <w:noWrap/>
            <w:vAlign w:val="center"/>
            <w:hideMark/>
          </w:tcPr>
          <w:p w14:paraId="5CE0A8AC"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FNM, ÚVN</w:t>
            </w:r>
          </w:p>
        </w:tc>
        <w:tc>
          <w:tcPr>
            <w:tcW w:w="964" w:type="dxa"/>
            <w:tcBorders>
              <w:top w:val="nil"/>
              <w:left w:val="nil"/>
              <w:bottom w:val="single" w:sz="4" w:space="0" w:color="auto"/>
              <w:right w:val="single" w:sz="4" w:space="0" w:color="auto"/>
            </w:tcBorders>
            <w:shd w:val="clear" w:color="auto" w:fill="auto"/>
            <w:noWrap/>
            <w:vAlign w:val="center"/>
            <w:hideMark/>
          </w:tcPr>
          <w:p w14:paraId="31B3B8BC" w14:textId="77777777" w:rsidR="001352EB" w:rsidRPr="001352EB" w:rsidRDefault="001352EB" w:rsidP="00192F57">
            <w:pPr>
              <w:spacing w:before="40" w:after="40"/>
              <w:jc w:val="right"/>
              <w:rPr>
                <w:rFonts w:ascii="Calibri" w:hAnsi="Calibri" w:cs="Calibri"/>
                <w:sz w:val="18"/>
                <w:szCs w:val="18"/>
              </w:rPr>
            </w:pPr>
            <w:proofErr w:type="spellStart"/>
            <w:r w:rsidRPr="001352EB">
              <w:rPr>
                <w:rFonts w:ascii="Calibri" w:hAnsi="Calibri" w:cs="Calibri"/>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56C2CD80"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0A52931A"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794" w:type="dxa"/>
            <w:tcBorders>
              <w:top w:val="nil"/>
              <w:left w:val="nil"/>
              <w:bottom w:val="single" w:sz="4" w:space="0" w:color="auto"/>
              <w:right w:val="single" w:sz="4" w:space="0" w:color="auto"/>
            </w:tcBorders>
            <w:shd w:val="clear" w:color="auto" w:fill="auto"/>
            <w:noWrap/>
            <w:vAlign w:val="center"/>
            <w:hideMark/>
          </w:tcPr>
          <w:p w14:paraId="1CE1F9A1" w14:textId="617BD8AD"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24325D46"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3B30FA5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2DFD299B"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09878761"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2F613E59"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40A1B951"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30 008,10</w:t>
            </w:r>
          </w:p>
        </w:tc>
        <w:tc>
          <w:tcPr>
            <w:tcW w:w="1304" w:type="dxa"/>
            <w:tcBorders>
              <w:top w:val="nil"/>
              <w:left w:val="nil"/>
              <w:bottom w:val="single" w:sz="4" w:space="0" w:color="auto"/>
              <w:right w:val="single" w:sz="4" w:space="0" w:color="auto"/>
            </w:tcBorders>
            <w:shd w:val="clear" w:color="auto" w:fill="auto"/>
            <w:noWrap/>
            <w:vAlign w:val="center"/>
            <w:hideMark/>
          </w:tcPr>
          <w:p w14:paraId="174F423A"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FNM, ÚVN</w:t>
            </w:r>
          </w:p>
        </w:tc>
        <w:tc>
          <w:tcPr>
            <w:tcW w:w="964" w:type="dxa"/>
            <w:tcBorders>
              <w:top w:val="nil"/>
              <w:left w:val="nil"/>
              <w:bottom w:val="single" w:sz="4" w:space="0" w:color="auto"/>
              <w:right w:val="single" w:sz="4" w:space="0" w:color="auto"/>
            </w:tcBorders>
            <w:shd w:val="clear" w:color="auto" w:fill="auto"/>
            <w:noWrap/>
            <w:vAlign w:val="center"/>
            <w:hideMark/>
          </w:tcPr>
          <w:p w14:paraId="56AC70D4" w14:textId="77777777" w:rsidR="001352EB" w:rsidRPr="001352EB" w:rsidRDefault="001352EB" w:rsidP="00192F57">
            <w:pPr>
              <w:spacing w:before="40" w:after="40"/>
              <w:jc w:val="right"/>
              <w:rPr>
                <w:rFonts w:ascii="Calibri" w:hAnsi="Calibri" w:cs="Calibri"/>
                <w:sz w:val="18"/>
                <w:szCs w:val="18"/>
              </w:rPr>
            </w:pPr>
            <w:proofErr w:type="spellStart"/>
            <w:r w:rsidRPr="001352EB">
              <w:rPr>
                <w:rFonts w:ascii="Calibri" w:hAnsi="Calibri" w:cs="Calibri"/>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307152FA"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0689121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794" w:type="dxa"/>
            <w:tcBorders>
              <w:top w:val="nil"/>
              <w:left w:val="nil"/>
              <w:bottom w:val="single" w:sz="4" w:space="0" w:color="auto"/>
              <w:right w:val="single" w:sz="4" w:space="0" w:color="auto"/>
            </w:tcBorders>
            <w:shd w:val="clear" w:color="auto" w:fill="auto"/>
            <w:noWrap/>
            <w:vAlign w:val="center"/>
            <w:hideMark/>
          </w:tcPr>
          <w:p w14:paraId="5388E5CF" w14:textId="67345696"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45E5190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00FE11CA"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1D5A381B"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6431F420"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6B6F6CA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2CA7BF39"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30 008,10</w:t>
            </w:r>
          </w:p>
        </w:tc>
        <w:tc>
          <w:tcPr>
            <w:tcW w:w="1304" w:type="dxa"/>
            <w:tcBorders>
              <w:top w:val="nil"/>
              <w:left w:val="nil"/>
              <w:bottom w:val="single" w:sz="4" w:space="0" w:color="auto"/>
              <w:right w:val="single" w:sz="4" w:space="0" w:color="auto"/>
            </w:tcBorders>
            <w:shd w:val="clear" w:color="auto" w:fill="auto"/>
            <w:noWrap/>
            <w:vAlign w:val="center"/>
            <w:hideMark/>
          </w:tcPr>
          <w:p w14:paraId="3A5FBA0F"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FNM, ÚVN</w:t>
            </w:r>
          </w:p>
        </w:tc>
        <w:tc>
          <w:tcPr>
            <w:tcW w:w="964" w:type="dxa"/>
            <w:tcBorders>
              <w:top w:val="nil"/>
              <w:left w:val="nil"/>
              <w:bottom w:val="single" w:sz="4" w:space="0" w:color="auto"/>
              <w:right w:val="single" w:sz="4" w:space="0" w:color="auto"/>
            </w:tcBorders>
            <w:shd w:val="clear" w:color="auto" w:fill="auto"/>
            <w:noWrap/>
            <w:vAlign w:val="center"/>
            <w:hideMark/>
          </w:tcPr>
          <w:p w14:paraId="0571AED0" w14:textId="77777777" w:rsidR="001352EB" w:rsidRPr="001352EB" w:rsidRDefault="001352EB" w:rsidP="00192F57">
            <w:pPr>
              <w:spacing w:before="40" w:after="40"/>
              <w:jc w:val="right"/>
              <w:rPr>
                <w:rFonts w:ascii="Calibri" w:hAnsi="Calibri" w:cs="Calibri"/>
                <w:sz w:val="18"/>
                <w:szCs w:val="18"/>
              </w:rPr>
            </w:pPr>
            <w:proofErr w:type="spellStart"/>
            <w:r w:rsidRPr="001352EB">
              <w:rPr>
                <w:rFonts w:ascii="Calibri" w:hAnsi="Calibri" w:cs="Calibri"/>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754C2179"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04AD1CD7"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794" w:type="dxa"/>
            <w:tcBorders>
              <w:top w:val="nil"/>
              <w:left w:val="nil"/>
              <w:bottom w:val="single" w:sz="4" w:space="0" w:color="auto"/>
              <w:right w:val="single" w:sz="4" w:space="0" w:color="auto"/>
            </w:tcBorders>
            <w:shd w:val="clear" w:color="auto" w:fill="auto"/>
            <w:noWrap/>
            <w:vAlign w:val="center"/>
            <w:hideMark/>
          </w:tcPr>
          <w:p w14:paraId="00381D94" w14:textId="5DEAAE5A"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03D37675"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6274291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6A820F61"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272D17"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0046018</w:t>
            </w:r>
          </w:p>
        </w:tc>
        <w:tc>
          <w:tcPr>
            <w:tcW w:w="510" w:type="dxa"/>
            <w:tcBorders>
              <w:top w:val="nil"/>
              <w:left w:val="nil"/>
              <w:bottom w:val="single" w:sz="4" w:space="0" w:color="auto"/>
              <w:right w:val="single" w:sz="4" w:space="0" w:color="auto"/>
            </w:tcBorders>
            <w:shd w:val="clear" w:color="auto" w:fill="auto"/>
            <w:noWrap/>
            <w:vAlign w:val="center"/>
            <w:hideMark/>
          </w:tcPr>
          <w:p w14:paraId="5EF9978E"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28381860"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54 450,00</w:t>
            </w:r>
          </w:p>
        </w:tc>
        <w:tc>
          <w:tcPr>
            <w:tcW w:w="1304" w:type="dxa"/>
            <w:tcBorders>
              <w:top w:val="nil"/>
              <w:left w:val="nil"/>
              <w:bottom w:val="single" w:sz="4" w:space="0" w:color="auto"/>
              <w:right w:val="single" w:sz="4" w:space="0" w:color="auto"/>
            </w:tcBorders>
            <w:shd w:val="clear" w:color="auto" w:fill="auto"/>
            <w:noWrap/>
            <w:vAlign w:val="center"/>
            <w:hideMark/>
          </w:tcPr>
          <w:p w14:paraId="0B0BE309"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FNM</w:t>
            </w:r>
          </w:p>
        </w:tc>
        <w:tc>
          <w:tcPr>
            <w:tcW w:w="964" w:type="dxa"/>
            <w:tcBorders>
              <w:top w:val="nil"/>
              <w:left w:val="nil"/>
              <w:bottom w:val="single" w:sz="4" w:space="0" w:color="auto"/>
              <w:right w:val="single" w:sz="4" w:space="0" w:color="auto"/>
            </w:tcBorders>
            <w:shd w:val="clear" w:color="auto" w:fill="auto"/>
            <w:noWrap/>
            <w:vAlign w:val="center"/>
            <w:hideMark/>
          </w:tcPr>
          <w:p w14:paraId="621180AC"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55 782,00</w:t>
            </w:r>
          </w:p>
        </w:tc>
        <w:tc>
          <w:tcPr>
            <w:tcW w:w="1191" w:type="dxa"/>
            <w:tcBorders>
              <w:top w:val="nil"/>
              <w:left w:val="nil"/>
              <w:bottom w:val="single" w:sz="4" w:space="0" w:color="auto"/>
              <w:right w:val="single" w:sz="4" w:space="0" w:color="auto"/>
            </w:tcBorders>
            <w:shd w:val="clear" w:color="auto" w:fill="auto"/>
            <w:noWrap/>
            <w:vAlign w:val="bottom"/>
            <w:hideMark/>
          </w:tcPr>
          <w:p w14:paraId="54822D5C"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w:t>
            </w:r>
          </w:p>
        </w:tc>
        <w:tc>
          <w:tcPr>
            <w:tcW w:w="907" w:type="dxa"/>
            <w:tcBorders>
              <w:top w:val="nil"/>
              <w:left w:val="nil"/>
              <w:bottom w:val="single" w:sz="4" w:space="0" w:color="auto"/>
              <w:right w:val="single" w:sz="4" w:space="0" w:color="auto"/>
            </w:tcBorders>
            <w:shd w:val="clear" w:color="auto" w:fill="auto"/>
            <w:noWrap/>
            <w:vAlign w:val="center"/>
            <w:hideMark/>
          </w:tcPr>
          <w:p w14:paraId="21130B53"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1 332,00</w:t>
            </w:r>
          </w:p>
        </w:tc>
        <w:tc>
          <w:tcPr>
            <w:tcW w:w="794" w:type="dxa"/>
            <w:tcBorders>
              <w:top w:val="nil"/>
              <w:left w:val="nil"/>
              <w:bottom w:val="single" w:sz="4" w:space="0" w:color="auto"/>
              <w:right w:val="single" w:sz="4" w:space="0" w:color="auto"/>
            </w:tcBorders>
            <w:shd w:val="clear" w:color="auto" w:fill="auto"/>
            <w:noWrap/>
            <w:vAlign w:val="center"/>
            <w:hideMark/>
          </w:tcPr>
          <w:p w14:paraId="72A62E04" w14:textId="0F2FA830"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2,45</w:t>
            </w:r>
          </w:p>
        </w:tc>
        <w:tc>
          <w:tcPr>
            <w:tcW w:w="907" w:type="dxa"/>
            <w:tcBorders>
              <w:top w:val="nil"/>
              <w:left w:val="nil"/>
              <w:bottom w:val="single" w:sz="4" w:space="0" w:color="auto"/>
              <w:right w:val="single" w:sz="4" w:space="0" w:color="auto"/>
            </w:tcBorders>
            <w:shd w:val="clear" w:color="auto" w:fill="auto"/>
            <w:noWrap/>
            <w:vAlign w:val="center"/>
            <w:hideMark/>
          </w:tcPr>
          <w:p w14:paraId="6C403880"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76C479D0"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332A0599"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1A94EEF5"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5E9FE400"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36FABA47"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54 450,00</w:t>
            </w:r>
          </w:p>
        </w:tc>
        <w:tc>
          <w:tcPr>
            <w:tcW w:w="1304" w:type="dxa"/>
            <w:tcBorders>
              <w:top w:val="nil"/>
              <w:left w:val="nil"/>
              <w:bottom w:val="single" w:sz="4" w:space="0" w:color="auto"/>
              <w:right w:val="single" w:sz="4" w:space="0" w:color="auto"/>
            </w:tcBorders>
            <w:shd w:val="clear" w:color="auto" w:fill="auto"/>
            <w:noWrap/>
            <w:vAlign w:val="center"/>
            <w:hideMark/>
          </w:tcPr>
          <w:p w14:paraId="4BC90D4F"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FNM</w:t>
            </w:r>
          </w:p>
        </w:tc>
        <w:tc>
          <w:tcPr>
            <w:tcW w:w="964" w:type="dxa"/>
            <w:tcBorders>
              <w:top w:val="nil"/>
              <w:left w:val="nil"/>
              <w:bottom w:val="single" w:sz="4" w:space="0" w:color="auto"/>
              <w:right w:val="single" w:sz="4" w:space="0" w:color="auto"/>
            </w:tcBorders>
            <w:shd w:val="clear" w:color="auto" w:fill="auto"/>
            <w:noWrap/>
            <w:vAlign w:val="center"/>
            <w:hideMark/>
          </w:tcPr>
          <w:p w14:paraId="7B106F87"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55 000,00</w:t>
            </w:r>
          </w:p>
        </w:tc>
        <w:tc>
          <w:tcPr>
            <w:tcW w:w="1191" w:type="dxa"/>
            <w:tcBorders>
              <w:top w:val="nil"/>
              <w:left w:val="nil"/>
              <w:bottom w:val="single" w:sz="4" w:space="0" w:color="auto"/>
              <w:right w:val="single" w:sz="4" w:space="0" w:color="auto"/>
            </w:tcBorders>
            <w:shd w:val="clear" w:color="auto" w:fill="auto"/>
            <w:noWrap/>
            <w:vAlign w:val="bottom"/>
            <w:hideMark/>
          </w:tcPr>
          <w:p w14:paraId="40939A75"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ÚVN</w:t>
            </w:r>
          </w:p>
        </w:tc>
        <w:tc>
          <w:tcPr>
            <w:tcW w:w="907" w:type="dxa"/>
            <w:tcBorders>
              <w:top w:val="nil"/>
              <w:left w:val="nil"/>
              <w:bottom w:val="single" w:sz="4" w:space="0" w:color="auto"/>
              <w:right w:val="single" w:sz="4" w:space="0" w:color="auto"/>
            </w:tcBorders>
            <w:shd w:val="clear" w:color="auto" w:fill="auto"/>
            <w:noWrap/>
            <w:vAlign w:val="center"/>
            <w:hideMark/>
          </w:tcPr>
          <w:p w14:paraId="799963A0"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550,00</w:t>
            </w:r>
          </w:p>
        </w:tc>
        <w:tc>
          <w:tcPr>
            <w:tcW w:w="794" w:type="dxa"/>
            <w:tcBorders>
              <w:top w:val="nil"/>
              <w:left w:val="nil"/>
              <w:bottom w:val="single" w:sz="4" w:space="0" w:color="auto"/>
              <w:right w:val="single" w:sz="4" w:space="0" w:color="auto"/>
            </w:tcBorders>
            <w:shd w:val="clear" w:color="auto" w:fill="auto"/>
            <w:noWrap/>
            <w:vAlign w:val="center"/>
            <w:hideMark/>
          </w:tcPr>
          <w:p w14:paraId="0C8FEB43" w14:textId="3253E5B9"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1,01</w:t>
            </w:r>
          </w:p>
        </w:tc>
        <w:tc>
          <w:tcPr>
            <w:tcW w:w="907" w:type="dxa"/>
            <w:tcBorders>
              <w:top w:val="nil"/>
              <w:left w:val="nil"/>
              <w:bottom w:val="single" w:sz="4" w:space="0" w:color="auto"/>
              <w:right w:val="single" w:sz="4" w:space="0" w:color="auto"/>
            </w:tcBorders>
            <w:shd w:val="clear" w:color="auto" w:fill="auto"/>
            <w:noWrap/>
            <w:vAlign w:val="center"/>
            <w:hideMark/>
          </w:tcPr>
          <w:p w14:paraId="08411FD1"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456E4A6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6A43BE13"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6E259BCA"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33D69316"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49D592D3"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54 450,00</w:t>
            </w:r>
          </w:p>
        </w:tc>
        <w:tc>
          <w:tcPr>
            <w:tcW w:w="1304" w:type="dxa"/>
            <w:tcBorders>
              <w:top w:val="nil"/>
              <w:left w:val="nil"/>
              <w:bottom w:val="single" w:sz="4" w:space="0" w:color="auto"/>
              <w:right w:val="single" w:sz="4" w:space="0" w:color="auto"/>
            </w:tcBorders>
            <w:shd w:val="clear" w:color="auto" w:fill="auto"/>
            <w:noWrap/>
            <w:vAlign w:val="center"/>
            <w:hideMark/>
          </w:tcPr>
          <w:p w14:paraId="216E8EB5"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FNM</w:t>
            </w:r>
          </w:p>
        </w:tc>
        <w:tc>
          <w:tcPr>
            <w:tcW w:w="964" w:type="dxa"/>
            <w:tcBorders>
              <w:top w:val="nil"/>
              <w:left w:val="nil"/>
              <w:bottom w:val="single" w:sz="4" w:space="0" w:color="auto"/>
              <w:right w:val="single" w:sz="4" w:space="0" w:color="auto"/>
            </w:tcBorders>
            <w:shd w:val="clear" w:color="auto" w:fill="auto"/>
            <w:noWrap/>
            <w:vAlign w:val="center"/>
            <w:hideMark/>
          </w:tcPr>
          <w:p w14:paraId="2965785E"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55 782,00</w:t>
            </w:r>
          </w:p>
        </w:tc>
        <w:tc>
          <w:tcPr>
            <w:tcW w:w="1191" w:type="dxa"/>
            <w:tcBorders>
              <w:top w:val="nil"/>
              <w:left w:val="nil"/>
              <w:bottom w:val="single" w:sz="4" w:space="0" w:color="auto"/>
              <w:right w:val="single" w:sz="4" w:space="0" w:color="auto"/>
            </w:tcBorders>
            <w:shd w:val="clear" w:color="auto" w:fill="auto"/>
            <w:noWrap/>
            <w:vAlign w:val="bottom"/>
            <w:hideMark/>
          </w:tcPr>
          <w:p w14:paraId="34C773FC"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ÚVN</w:t>
            </w:r>
          </w:p>
        </w:tc>
        <w:tc>
          <w:tcPr>
            <w:tcW w:w="907" w:type="dxa"/>
            <w:tcBorders>
              <w:top w:val="nil"/>
              <w:left w:val="nil"/>
              <w:bottom w:val="single" w:sz="4" w:space="0" w:color="auto"/>
              <w:right w:val="single" w:sz="4" w:space="0" w:color="auto"/>
            </w:tcBorders>
            <w:shd w:val="clear" w:color="auto" w:fill="auto"/>
            <w:noWrap/>
            <w:vAlign w:val="center"/>
            <w:hideMark/>
          </w:tcPr>
          <w:p w14:paraId="62B9491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1 332,00</w:t>
            </w:r>
          </w:p>
        </w:tc>
        <w:tc>
          <w:tcPr>
            <w:tcW w:w="794" w:type="dxa"/>
            <w:tcBorders>
              <w:top w:val="nil"/>
              <w:left w:val="nil"/>
              <w:bottom w:val="single" w:sz="4" w:space="0" w:color="auto"/>
              <w:right w:val="single" w:sz="4" w:space="0" w:color="auto"/>
            </w:tcBorders>
            <w:shd w:val="clear" w:color="auto" w:fill="auto"/>
            <w:noWrap/>
            <w:vAlign w:val="center"/>
            <w:hideMark/>
          </w:tcPr>
          <w:p w14:paraId="7936AAB5" w14:textId="57A0AB18"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2,45</w:t>
            </w:r>
          </w:p>
        </w:tc>
        <w:tc>
          <w:tcPr>
            <w:tcW w:w="907" w:type="dxa"/>
            <w:tcBorders>
              <w:top w:val="nil"/>
              <w:left w:val="nil"/>
              <w:bottom w:val="single" w:sz="4" w:space="0" w:color="auto"/>
              <w:right w:val="single" w:sz="4" w:space="0" w:color="auto"/>
            </w:tcBorders>
            <w:shd w:val="clear" w:color="auto" w:fill="auto"/>
            <w:noWrap/>
            <w:vAlign w:val="center"/>
            <w:hideMark/>
          </w:tcPr>
          <w:p w14:paraId="413FE567"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4B507FC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6F5F8E36"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DFE09A"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0046020</w:t>
            </w:r>
          </w:p>
        </w:tc>
        <w:tc>
          <w:tcPr>
            <w:tcW w:w="510" w:type="dxa"/>
            <w:tcBorders>
              <w:top w:val="nil"/>
              <w:left w:val="nil"/>
              <w:bottom w:val="single" w:sz="4" w:space="0" w:color="auto"/>
              <w:right w:val="single" w:sz="4" w:space="0" w:color="auto"/>
            </w:tcBorders>
            <w:shd w:val="clear" w:color="auto" w:fill="auto"/>
            <w:noWrap/>
            <w:vAlign w:val="center"/>
            <w:hideMark/>
          </w:tcPr>
          <w:p w14:paraId="7EB85DE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01F6EDE4"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37 620,00</w:t>
            </w:r>
          </w:p>
        </w:tc>
        <w:tc>
          <w:tcPr>
            <w:tcW w:w="1304" w:type="dxa"/>
            <w:tcBorders>
              <w:top w:val="nil"/>
              <w:left w:val="nil"/>
              <w:bottom w:val="single" w:sz="4" w:space="0" w:color="auto"/>
              <w:right w:val="single" w:sz="4" w:space="0" w:color="auto"/>
            </w:tcBorders>
            <w:shd w:val="clear" w:color="auto" w:fill="auto"/>
            <w:noWrap/>
            <w:vAlign w:val="center"/>
            <w:hideMark/>
          </w:tcPr>
          <w:p w14:paraId="7910F341"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1A5103FF"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42 987,00</w:t>
            </w:r>
          </w:p>
        </w:tc>
        <w:tc>
          <w:tcPr>
            <w:tcW w:w="1191" w:type="dxa"/>
            <w:tcBorders>
              <w:top w:val="nil"/>
              <w:left w:val="nil"/>
              <w:bottom w:val="single" w:sz="4" w:space="0" w:color="auto"/>
              <w:right w:val="single" w:sz="4" w:space="0" w:color="auto"/>
            </w:tcBorders>
            <w:shd w:val="clear" w:color="auto" w:fill="auto"/>
            <w:noWrap/>
            <w:vAlign w:val="bottom"/>
            <w:hideMark/>
          </w:tcPr>
          <w:p w14:paraId="31131019"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435D6D5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5 367,00</w:t>
            </w:r>
          </w:p>
        </w:tc>
        <w:tc>
          <w:tcPr>
            <w:tcW w:w="794" w:type="dxa"/>
            <w:tcBorders>
              <w:top w:val="nil"/>
              <w:left w:val="nil"/>
              <w:bottom w:val="single" w:sz="4" w:space="0" w:color="auto"/>
              <w:right w:val="single" w:sz="4" w:space="0" w:color="auto"/>
            </w:tcBorders>
            <w:shd w:val="clear" w:color="auto" w:fill="auto"/>
            <w:noWrap/>
            <w:vAlign w:val="center"/>
            <w:hideMark/>
          </w:tcPr>
          <w:p w14:paraId="72388FC6" w14:textId="49D09D19"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14,27</w:t>
            </w:r>
          </w:p>
        </w:tc>
        <w:tc>
          <w:tcPr>
            <w:tcW w:w="907" w:type="dxa"/>
            <w:tcBorders>
              <w:top w:val="nil"/>
              <w:left w:val="nil"/>
              <w:bottom w:val="single" w:sz="4" w:space="0" w:color="auto"/>
              <w:right w:val="single" w:sz="4" w:space="0" w:color="auto"/>
            </w:tcBorders>
            <w:shd w:val="clear" w:color="auto" w:fill="auto"/>
            <w:noWrap/>
            <w:vAlign w:val="center"/>
            <w:hideMark/>
          </w:tcPr>
          <w:p w14:paraId="7EF091B7"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6E13242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4827FD58"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3FDFB2EA"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03DF9A3F"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342D1132"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34 500,00</w:t>
            </w:r>
          </w:p>
        </w:tc>
        <w:tc>
          <w:tcPr>
            <w:tcW w:w="1304" w:type="dxa"/>
            <w:tcBorders>
              <w:top w:val="nil"/>
              <w:left w:val="nil"/>
              <w:bottom w:val="single" w:sz="4" w:space="0" w:color="auto"/>
              <w:right w:val="single" w:sz="4" w:space="0" w:color="auto"/>
            </w:tcBorders>
            <w:shd w:val="clear" w:color="auto" w:fill="auto"/>
            <w:noWrap/>
            <w:vAlign w:val="center"/>
            <w:hideMark/>
          </w:tcPr>
          <w:p w14:paraId="3FF96861"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5E263A70"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42 987,00</w:t>
            </w:r>
          </w:p>
        </w:tc>
        <w:tc>
          <w:tcPr>
            <w:tcW w:w="1191" w:type="dxa"/>
            <w:tcBorders>
              <w:top w:val="nil"/>
              <w:left w:val="nil"/>
              <w:bottom w:val="single" w:sz="4" w:space="0" w:color="auto"/>
              <w:right w:val="single" w:sz="4" w:space="0" w:color="auto"/>
            </w:tcBorders>
            <w:shd w:val="clear" w:color="auto" w:fill="auto"/>
            <w:noWrap/>
            <w:vAlign w:val="bottom"/>
            <w:hideMark/>
          </w:tcPr>
          <w:p w14:paraId="7B9CB56C"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45E8EF2A"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8 487,00</w:t>
            </w:r>
          </w:p>
        </w:tc>
        <w:tc>
          <w:tcPr>
            <w:tcW w:w="794" w:type="dxa"/>
            <w:tcBorders>
              <w:top w:val="nil"/>
              <w:left w:val="nil"/>
              <w:bottom w:val="single" w:sz="4" w:space="0" w:color="auto"/>
              <w:right w:val="single" w:sz="4" w:space="0" w:color="auto"/>
            </w:tcBorders>
            <w:shd w:val="clear" w:color="auto" w:fill="auto"/>
            <w:noWrap/>
            <w:vAlign w:val="center"/>
            <w:hideMark/>
          </w:tcPr>
          <w:p w14:paraId="142BECB6" w14:textId="632798B4"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24,60</w:t>
            </w:r>
          </w:p>
        </w:tc>
        <w:tc>
          <w:tcPr>
            <w:tcW w:w="907" w:type="dxa"/>
            <w:tcBorders>
              <w:top w:val="nil"/>
              <w:left w:val="nil"/>
              <w:bottom w:val="single" w:sz="4" w:space="0" w:color="auto"/>
              <w:right w:val="single" w:sz="4" w:space="0" w:color="auto"/>
            </w:tcBorders>
            <w:shd w:val="clear" w:color="auto" w:fill="auto"/>
            <w:noWrap/>
            <w:vAlign w:val="center"/>
            <w:hideMark/>
          </w:tcPr>
          <w:p w14:paraId="7424BC6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405CEE1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1468FF03"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412EE9E4"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3FCFB043"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1DA9CB6A"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34 500,00</w:t>
            </w:r>
          </w:p>
        </w:tc>
        <w:tc>
          <w:tcPr>
            <w:tcW w:w="1304" w:type="dxa"/>
            <w:tcBorders>
              <w:top w:val="nil"/>
              <w:left w:val="nil"/>
              <w:bottom w:val="single" w:sz="4" w:space="0" w:color="auto"/>
              <w:right w:val="single" w:sz="4" w:space="0" w:color="auto"/>
            </w:tcBorders>
            <w:shd w:val="clear" w:color="auto" w:fill="auto"/>
            <w:noWrap/>
            <w:vAlign w:val="center"/>
            <w:hideMark/>
          </w:tcPr>
          <w:p w14:paraId="15ED698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4FF5B5C8"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42 987,00</w:t>
            </w:r>
          </w:p>
        </w:tc>
        <w:tc>
          <w:tcPr>
            <w:tcW w:w="1191" w:type="dxa"/>
            <w:tcBorders>
              <w:top w:val="nil"/>
              <w:left w:val="nil"/>
              <w:bottom w:val="single" w:sz="4" w:space="0" w:color="auto"/>
              <w:right w:val="single" w:sz="4" w:space="0" w:color="auto"/>
            </w:tcBorders>
            <w:shd w:val="clear" w:color="auto" w:fill="auto"/>
            <w:noWrap/>
            <w:vAlign w:val="bottom"/>
            <w:hideMark/>
          </w:tcPr>
          <w:p w14:paraId="204BA8C7"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11969C15"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8 487,00</w:t>
            </w:r>
          </w:p>
        </w:tc>
        <w:tc>
          <w:tcPr>
            <w:tcW w:w="794" w:type="dxa"/>
            <w:tcBorders>
              <w:top w:val="nil"/>
              <w:left w:val="nil"/>
              <w:bottom w:val="single" w:sz="4" w:space="0" w:color="auto"/>
              <w:right w:val="single" w:sz="4" w:space="0" w:color="auto"/>
            </w:tcBorders>
            <w:shd w:val="clear" w:color="auto" w:fill="auto"/>
            <w:noWrap/>
            <w:vAlign w:val="center"/>
            <w:hideMark/>
          </w:tcPr>
          <w:p w14:paraId="59EE9789" w14:textId="011A1C51"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24,60</w:t>
            </w:r>
          </w:p>
        </w:tc>
        <w:tc>
          <w:tcPr>
            <w:tcW w:w="907" w:type="dxa"/>
            <w:tcBorders>
              <w:top w:val="nil"/>
              <w:left w:val="nil"/>
              <w:bottom w:val="single" w:sz="4" w:space="0" w:color="auto"/>
              <w:right w:val="single" w:sz="4" w:space="0" w:color="auto"/>
            </w:tcBorders>
            <w:shd w:val="clear" w:color="auto" w:fill="auto"/>
            <w:noWrap/>
            <w:vAlign w:val="center"/>
            <w:hideMark/>
          </w:tcPr>
          <w:p w14:paraId="31384EA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582EBF2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751CA477"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BCB84"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0046021</w:t>
            </w:r>
          </w:p>
        </w:tc>
        <w:tc>
          <w:tcPr>
            <w:tcW w:w="510" w:type="dxa"/>
            <w:tcBorders>
              <w:top w:val="nil"/>
              <w:left w:val="nil"/>
              <w:bottom w:val="single" w:sz="4" w:space="0" w:color="auto"/>
              <w:right w:val="single" w:sz="4" w:space="0" w:color="auto"/>
            </w:tcBorders>
            <w:shd w:val="clear" w:color="auto" w:fill="auto"/>
            <w:noWrap/>
            <w:vAlign w:val="center"/>
            <w:hideMark/>
          </w:tcPr>
          <w:p w14:paraId="2E8B4DFD"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313B9DE1"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46 200,00</w:t>
            </w:r>
          </w:p>
        </w:tc>
        <w:tc>
          <w:tcPr>
            <w:tcW w:w="1304" w:type="dxa"/>
            <w:tcBorders>
              <w:top w:val="nil"/>
              <w:left w:val="nil"/>
              <w:bottom w:val="single" w:sz="4" w:space="0" w:color="auto"/>
              <w:right w:val="single" w:sz="4" w:space="0" w:color="auto"/>
            </w:tcBorders>
            <w:shd w:val="clear" w:color="auto" w:fill="auto"/>
            <w:noWrap/>
            <w:vAlign w:val="center"/>
            <w:hideMark/>
          </w:tcPr>
          <w:p w14:paraId="572498B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320314AC"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51 819,00</w:t>
            </w:r>
          </w:p>
        </w:tc>
        <w:tc>
          <w:tcPr>
            <w:tcW w:w="1191" w:type="dxa"/>
            <w:tcBorders>
              <w:top w:val="nil"/>
              <w:left w:val="nil"/>
              <w:bottom w:val="single" w:sz="4" w:space="0" w:color="auto"/>
              <w:right w:val="single" w:sz="4" w:space="0" w:color="auto"/>
            </w:tcBorders>
            <w:shd w:val="clear" w:color="auto" w:fill="auto"/>
            <w:noWrap/>
            <w:vAlign w:val="bottom"/>
            <w:hideMark/>
          </w:tcPr>
          <w:p w14:paraId="3B3CD7D0"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28300B6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5 619,00</w:t>
            </w:r>
          </w:p>
        </w:tc>
        <w:tc>
          <w:tcPr>
            <w:tcW w:w="794" w:type="dxa"/>
            <w:tcBorders>
              <w:top w:val="nil"/>
              <w:left w:val="nil"/>
              <w:bottom w:val="single" w:sz="4" w:space="0" w:color="auto"/>
              <w:right w:val="single" w:sz="4" w:space="0" w:color="auto"/>
            </w:tcBorders>
            <w:shd w:val="clear" w:color="auto" w:fill="auto"/>
            <w:noWrap/>
            <w:vAlign w:val="center"/>
            <w:hideMark/>
          </w:tcPr>
          <w:p w14:paraId="5633054D" w14:textId="61BD0A9E"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12,16</w:t>
            </w:r>
          </w:p>
        </w:tc>
        <w:tc>
          <w:tcPr>
            <w:tcW w:w="907" w:type="dxa"/>
            <w:tcBorders>
              <w:top w:val="nil"/>
              <w:left w:val="nil"/>
              <w:bottom w:val="single" w:sz="4" w:space="0" w:color="auto"/>
              <w:right w:val="single" w:sz="4" w:space="0" w:color="auto"/>
            </w:tcBorders>
            <w:shd w:val="clear" w:color="auto" w:fill="auto"/>
            <w:noWrap/>
            <w:vAlign w:val="center"/>
            <w:hideMark/>
          </w:tcPr>
          <w:p w14:paraId="7E5F375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25DB9CD7"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r>
      <w:tr w:rsidR="00AE6966" w:rsidRPr="001352EB" w14:paraId="36F87A4B"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66DE6A8E"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7DAAB73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19433C21"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46 200,00</w:t>
            </w:r>
          </w:p>
        </w:tc>
        <w:tc>
          <w:tcPr>
            <w:tcW w:w="1304" w:type="dxa"/>
            <w:tcBorders>
              <w:top w:val="nil"/>
              <w:left w:val="nil"/>
              <w:bottom w:val="single" w:sz="4" w:space="0" w:color="auto"/>
              <w:right w:val="single" w:sz="4" w:space="0" w:color="auto"/>
            </w:tcBorders>
            <w:shd w:val="clear" w:color="auto" w:fill="auto"/>
            <w:noWrap/>
            <w:vAlign w:val="center"/>
            <w:hideMark/>
          </w:tcPr>
          <w:p w14:paraId="436689BE"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4FBF0A00"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51 819,00</w:t>
            </w:r>
          </w:p>
        </w:tc>
        <w:tc>
          <w:tcPr>
            <w:tcW w:w="1191" w:type="dxa"/>
            <w:tcBorders>
              <w:top w:val="nil"/>
              <w:left w:val="nil"/>
              <w:bottom w:val="single" w:sz="4" w:space="0" w:color="auto"/>
              <w:right w:val="single" w:sz="4" w:space="0" w:color="auto"/>
            </w:tcBorders>
            <w:shd w:val="clear" w:color="auto" w:fill="auto"/>
            <w:noWrap/>
            <w:vAlign w:val="bottom"/>
            <w:hideMark/>
          </w:tcPr>
          <w:p w14:paraId="6EEF82E1"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757CEC9E"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5 619,00</w:t>
            </w:r>
          </w:p>
        </w:tc>
        <w:tc>
          <w:tcPr>
            <w:tcW w:w="794" w:type="dxa"/>
            <w:tcBorders>
              <w:top w:val="nil"/>
              <w:left w:val="nil"/>
              <w:bottom w:val="single" w:sz="4" w:space="0" w:color="auto"/>
              <w:right w:val="single" w:sz="4" w:space="0" w:color="auto"/>
            </w:tcBorders>
            <w:shd w:val="clear" w:color="auto" w:fill="auto"/>
            <w:noWrap/>
            <w:vAlign w:val="center"/>
            <w:hideMark/>
          </w:tcPr>
          <w:p w14:paraId="548E6567" w14:textId="2C4D3C46"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12,16</w:t>
            </w:r>
          </w:p>
        </w:tc>
        <w:tc>
          <w:tcPr>
            <w:tcW w:w="907" w:type="dxa"/>
            <w:tcBorders>
              <w:top w:val="nil"/>
              <w:left w:val="nil"/>
              <w:bottom w:val="single" w:sz="4" w:space="0" w:color="auto"/>
              <w:right w:val="single" w:sz="4" w:space="0" w:color="auto"/>
            </w:tcBorders>
            <w:shd w:val="clear" w:color="auto" w:fill="auto"/>
            <w:noWrap/>
            <w:vAlign w:val="center"/>
            <w:hideMark/>
          </w:tcPr>
          <w:p w14:paraId="75D511EE"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0A1DDEC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r>
      <w:tr w:rsidR="00AE6966" w:rsidRPr="001352EB" w14:paraId="0A411FFE"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75786EB4"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283BD8F7"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1AFF5306"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46 200,00</w:t>
            </w:r>
          </w:p>
        </w:tc>
        <w:tc>
          <w:tcPr>
            <w:tcW w:w="1304" w:type="dxa"/>
            <w:tcBorders>
              <w:top w:val="nil"/>
              <w:left w:val="nil"/>
              <w:bottom w:val="single" w:sz="4" w:space="0" w:color="auto"/>
              <w:right w:val="single" w:sz="4" w:space="0" w:color="auto"/>
            </w:tcBorders>
            <w:shd w:val="clear" w:color="auto" w:fill="auto"/>
            <w:noWrap/>
            <w:vAlign w:val="center"/>
            <w:hideMark/>
          </w:tcPr>
          <w:p w14:paraId="5020D81B"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170F763A"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51 819,00</w:t>
            </w:r>
          </w:p>
        </w:tc>
        <w:tc>
          <w:tcPr>
            <w:tcW w:w="1191" w:type="dxa"/>
            <w:tcBorders>
              <w:top w:val="nil"/>
              <w:left w:val="nil"/>
              <w:bottom w:val="single" w:sz="4" w:space="0" w:color="auto"/>
              <w:right w:val="single" w:sz="4" w:space="0" w:color="auto"/>
            </w:tcBorders>
            <w:shd w:val="clear" w:color="auto" w:fill="auto"/>
            <w:noWrap/>
            <w:vAlign w:val="bottom"/>
            <w:hideMark/>
          </w:tcPr>
          <w:p w14:paraId="4737508F"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301A4E5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5 619,00</w:t>
            </w:r>
          </w:p>
        </w:tc>
        <w:tc>
          <w:tcPr>
            <w:tcW w:w="794" w:type="dxa"/>
            <w:tcBorders>
              <w:top w:val="nil"/>
              <w:left w:val="nil"/>
              <w:bottom w:val="single" w:sz="4" w:space="0" w:color="auto"/>
              <w:right w:val="single" w:sz="4" w:space="0" w:color="auto"/>
            </w:tcBorders>
            <w:shd w:val="clear" w:color="auto" w:fill="auto"/>
            <w:noWrap/>
            <w:vAlign w:val="center"/>
            <w:hideMark/>
          </w:tcPr>
          <w:p w14:paraId="7C3C8259" w14:textId="2A0E0573"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12,16</w:t>
            </w:r>
          </w:p>
        </w:tc>
        <w:tc>
          <w:tcPr>
            <w:tcW w:w="907" w:type="dxa"/>
            <w:tcBorders>
              <w:top w:val="nil"/>
              <w:left w:val="nil"/>
              <w:bottom w:val="single" w:sz="4" w:space="0" w:color="auto"/>
              <w:right w:val="single" w:sz="4" w:space="0" w:color="auto"/>
            </w:tcBorders>
            <w:shd w:val="clear" w:color="auto" w:fill="auto"/>
            <w:noWrap/>
            <w:vAlign w:val="center"/>
            <w:hideMark/>
          </w:tcPr>
          <w:p w14:paraId="38617E41"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0F354913"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r>
      <w:tr w:rsidR="00AE6966" w:rsidRPr="001352EB" w14:paraId="364E2A3D"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50EB0"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0049219</w:t>
            </w:r>
          </w:p>
        </w:tc>
        <w:tc>
          <w:tcPr>
            <w:tcW w:w="510" w:type="dxa"/>
            <w:tcBorders>
              <w:top w:val="nil"/>
              <w:left w:val="nil"/>
              <w:bottom w:val="single" w:sz="4" w:space="0" w:color="auto"/>
              <w:right w:val="single" w:sz="4" w:space="0" w:color="auto"/>
            </w:tcBorders>
            <w:shd w:val="clear" w:color="auto" w:fill="auto"/>
            <w:noWrap/>
            <w:vAlign w:val="center"/>
            <w:hideMark/>
          </w:tcPr>
          <w:p w14:paraId="48C177B7"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411A7209"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60 500,00</w:t>
            </w:r>
          </w:p>
        </w:tc>
        <w:tc>
          <w:tcPr>
            <w:tcW w:w="1304" w:type="dxa"/>
            <w:tcBorders>
              <w:top w:val="nil"/>
              <w:left w:val="nil"/>
              <w:bottom w:val="single" w:sz="4" w:space="0" w:color="auto"/>
              <w:right w:val="single" w:sz="4" w:space="0" w:color="auto"/>
            </w:tcBorders>
            <w:shd w:val="clear" w:color="auto" w:fill="auto"/>
            <w:noWrap/>
            <w:vAlign w:val="center"/>
            <w:hideMark/>
          </w:tcPr>
          <w:p w14:paraId="2E9592D8"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3B2F3E90"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77 502,10</w:t>
            </w:r>
          </w:p>
        </w:tc>
        <w:tc>
          <w:tcPr>
            <w:tcW w:w="1191" w:type="dxa"/>
            <w:tcBorders>
              <w:top w:val="nil"/>
              <w:left w:val="nil"/>
              <w:bottom w:val="single" w:sz="4" w:space="0" w:color="auto"/>
              <w:right w:val="single" w:sz="4" w:space="0" w:color="auto"/>
            </w:tcBorders>
            <w:shd w:val="clear" w:color="auto" w:fill="auto"/>
            <w:noWrap/>
            <w:vAlign w:val="bottom"/>
            <w:hideMark/>
          </w:tcPr>
          <w:p w14:paraId="1E7FE8D7"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2C14415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17 002,10</w:t>
            </w:r>
          </w:p>
        </w:tc>
        <w:tc>
          <w:tcPr>
            <w:tcW w:w="794" w:type="dxa"/>
            <w:tcBorders>
              <w:top w:val="nil"/>
              <w:left w:val="nil"/>
              <w:bottom w:val="single" w:sz="4" w:space="0" w:color="auto"/>
              <w:right w:val="single" w:sz="4" w:space="0" w:color="auto"/>
            </w:tcBorders>
            <w:shd w:val="clear" w:color="auto" w:fill="auto"/>
            <w:noWrap/>
            <w:vAlign w:val="center"/>
            <w:hideMark/>
          </w:tcPr>
          <w:p w14:paraId="201C9502" w14:textId="76F3D335"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28,10</w:t>
            </w:r>
          </w:p>
        </w:tc>
        <w:tc>
          <w:tcPr>
            <w:tcW w:w="907" w:type="dxa"/>
            <w:tcBorders>
              <w:top w:val="nil"/>
              <w:left w:val="nil"/>
              <w:bottom w:val="single" w:sz="4" w:space="0" w:color="auto"/>
              <w:right w:val="single" w:sz="4" w:space="0" w:color="auto"/>
            </w:tcBorders>
            <w:shd w:val="clear" w:color="auto" w:fill="auto"/>
            <w:noWrap/>
            <w:vAlign w:val="center"/>
            <w:hideMark/>
          </w:tcPr>
          <w:p w14:paraId="038D29C0"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59874AD1"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6F02B5FA"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6FB738BB"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63083E37"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4E47AD8E"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60 500,00</w:t>
            </w:r>
          </w:p>
        </w:tc>
        <w:tc>
          <w:tcPr>
            <w:tcW w:w="1304" w:type="dxa"/>
            <w:tcBorders>
              <w:top w:val="nil"/>
              <w:left w:val="nil"/>
              <w:bottom w:val="single" w:sz="4" w:space="0" w:color="auto"/>
              <w:right w:val="single" w:sz="4" w:space="0" w:color="auto"/>
            </w:tcBorders>
            <w:shd w:val="clear" w:color="auto" w:fill="auto"/>
            <w:noWrap/>
            <w:vAlign w:val="center"/>
            <w:hideMark/>
          </w:tcPr>
          <w:p w14:paraId="2ED9F7CE"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7B045DCB"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74 655,00</w:t>
            </w:r>
          </w:p>
        </w:tc>
        <w:tc>
          <w:tcPr>
            <w:tcW w:w="1191" w:type="dxa"/>
            <w:tcBorders>
              <w:top w:val="nil"/>
              <w:left w:val="nil"/>
              <w:bottom w:val="single" w:sz="4" w:space="0" w:color="auto"/>
              <w:right w:val="single" w:sz="4" w:space="0" w:color="auto"/>
            </w:tcBorders>
            <w:shd w:val="clear" w:color="auto" w:fill="auto"/>
            <w:noWrap/>
            <w:vAlign w:val="bottom"/>
            <w:hideMark/>
          </w:tcPr>
          <w:p w14:paraId="718F2B48"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ÚVN</w:t>
            </w:r>
          </w:p>
        </w:tc>
        <w:tc>
          <w:tcPr>
            <w:tcW w:w="907" w:type="dxa"/>
            <w:tcBorders>
              <w:top w:val="nil"/>
              <w:left w:val="nil"/>
              <w:bottom w:val="single" w:sz="4" w:space="0" w:color="auto"/>
              <w:right w:val="single" w:sz="4" w:space="0" w:color="auto"/>
            </w:tcBorders>
            <w:shd w:val="clear" w:color="auto" w:fill="auto"/>
            <w:noWrap/>
            <w:vAlign w:val="center"/>
            <w:hideMark/>
          </w:tcPr>
          <w:p w14:paraId="1C7C50C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14 155,00</w:t>
            </w:r>
          </w:p>
        </w:tc>
        <w:tc>
          <w:tcPr>
            <w:tcW w:w="794" w:type="dxa"/>
            <w:tcBorders>
              <w:top w:val="nil"/>
              <w:left w:val="nil"/>
              <w:bottom w:val="single" w:sz="4" w:space="0" w:color="auto"/>
              <w:right w:val="single" w:sz="4" w:space="0" w:color="auto"/>
            </w:tcBorders>
            <w:shd w:val="clear" w:color="auto" w:fill="auto"/>
            <w:noWrap/>
            <w:vAlign w:val="center"/>
            <w:hideMark/>
          </w:tcPr>
          <w:p w14:paraId="6833EA96" w14:textId="02FA8E92"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23,40</w:t>
            </w:r>
          </w:p>
        </w:tc>
        <w:tc>
          <w:tcPr>
            <w:tcW w:w="907" w:type="dxa"/>
            <w:tcBorders>
              <w:top w:val="nil"/>
              <w:left w:val="nil"/>
              <w:bottom w:val="single" w:sz="4" w:space="0" w:color="auto"/>
              <w:right w:val="single" w:sz="4" w:space="0" w:color="auto"/>
            </w:tcBorders>
            <w:shd w:val="clear" w:color="auto" w:fill="auto"/>
            <w:noWrap/>
            <w:vAlign w:val="center"/>
            <w:hideMark/>
          </w:tcPr>
          <w:p w14:paraId="2ABB65D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723ED1C7"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53A41CC7"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560C2D3B"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2C30228D"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4DAA4733"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60 500,00</w:t>
            </w:r>
          </w:p>
        </w:tc>
        <w:tc>
          <w:tcPr>
            <w:tcW w:w="1304" w:type="dxa"/>
            <w:tcBorders>
              <w:top w:val="nil"/>
              <w:left w:val="nil"/>
              <w:bottom w:val="single" w:sz="4" w:space="0" w:color="auto"/>
              <w:right w:val="single" w:sz="4" w:space="0" w:color="auto"/>
            </w:tcBorders>
            <w:shd w:val="clear" w:color="auto" w:fill="auto"/>
            <w:noWrap/>
            <w:vAlign w:val="center"/>
            <w:hideMark/>
          </w:tcPr>
          <w:p w14:paraId="187A506A"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276BA0AA"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74 655,00</w:t>
            </w:r>
          </w:p>
        </w:tc>
        <w:tc>
          <w:tcPr>
            <w:tcW w:w="1191" w:type="dxa"/>
            <w:tcBorders>
              <w:top w:val="nil"/>
              <w:left w:val="nil"/>
              <w:bottom w:val="single" w:sz="4" w:space="0" w:color="auto"/>
              <w:right w:val="single" w:sz="4" w:space="0" w:color="auto"/>
            </w:tcBorders>
            <w:shd w:val="clear" w:color="auto" w:fill="auto"/>
            <w:noWrap/>
            <w:vAlign w:val="bottom"/>
            <w:hideMark/>
          </w:tcPr>
          <w:p w14:paraId="66FF6F66"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ÚVN</w:t>
            </w:r>
          </w:p>
        </w:tc>
        <w:tc>
          <w:tcPr>
            <w:tcW w:w="907" w:type="dxa"/>
            <w:tcBorders>
              <w:top w:val="nil"/>
              <w:left w:val="nil"/>
              <w:bottom w:val="single" w:sz="4" w:space="0" w:color="auto"/>
              <w:right w:val="single" w:sz="4" w:space="0" w:color="auto"/>
            </w:tcBorders>
            <w:shd w:val="clear" w:color="auto" w:fill="auto"/>
            <w:noWrap/>
            <w:vAlign w:val="center"/>
            <w:hideMark/>
          </w:tcPr>
          <w:p w14:paraId="70618D7E"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14 155,00</w:t>
            </w:r>
          </w:p>
        </w:tc>
        <w:tc>
          <w:tcPr>
            <w:tcW w:w="794" w:type="dxa"/>
            <w:tcBorders>
              <w:top w:val="nil"/>
              <w:left w:val="nil"/>
              <w:bottom w:val="single" w:sz="4" w:space="0" w:color="auto"/>
              <w:right w:val="single" w:sz="4" w:space="0" w:color="auto"/>
            </w:tcBorders>
            <w:shd w:val="clear" w:color="auto" w:fill="auto"/>
            <w:noWrap/>
            <w:vAlign w:val="center"/>
            <w:hideMark/>
          </w:tcPr>
          <w:p w14:paraId="697E1B20" w14:textId="613C2352"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23,40</w:t>
            </w:r>
          </w:p>
        </w:tc>
        <w:tc>
          <w:tcPr>
            <w:tcW w:w="907" w:type="dxa"/>
            <w:tcBorders>
              <w:top w:val="nil"/>
              <w:left w:val="nil"/>
              <w:bottom w:val="single" w:sz="4" w:space="0" w:color="auto"/>
              <w:right w:val="single" w:sz="4" w:space="0" w:color="auto"/>
            </w:tcBorders>
            <w:shd w:val="clear" w:color="auto" w:fill="auto"/>
            <w:noWrap/>
            <w:vAlign w:val="center"/>
            <w:hideMark/>
          </w:tcPr>
          <w:p w14:paraId="25E37A4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22D800D1"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7DA1974E"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F0E9BD"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0059007</w:t>
            </w:r>
          </w:p>
        </w:tc>
        <w:tc>
          <w:tcPr>
            <w:tcW w:w="510" w:type="dxa"/>
            <w:tcBorders>
              <w:top w:val="nil"/>
              <w:left w:val="nil"/>
              <w:bottom w:val="single" w:sz="4" w:space="0" w:color="auto"/>
              <w:right w:val="single" w:sz="4" w:space="0" w:color="auto"/>
            </w:tcBorders>
            <w:shd w:val="clear" w:color="auto" w:fill="auto"/>
            <w:noWrap/>
            <w:vAlign w:val="center"/>
            <w:hideMark/>
          </w:tcPr>
          <w:p w14:paraId="0A43E3A3"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69808DDF"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5 757,50</w:t>
            </w:r>
          </w:p>
        </w:tc>
        <w:tc>
          <w:tcPr>
            <w:tcW w:w="1304" w:type="dxa"/>
            <w:tcBorders>
              <w:top w:val="nil"/>
              <w:left w:val="nil"/>
              <w:bottom w:val="single" w:sz="4" w:space="0" w:color="auto"/>
              <w:right w:val="single" w:sz="4" w:space="0" w:color="auto"/>
            </w:tcBorders>
            <w:shd w:val="clear" w:color="auto" w:fill="auto"/>
            <w:noWrap/>
            <w:vAlign w:val="center"/>
            <w:hideMark/>
          </w:tcPr>
          <w:p w14:paraId="03CFA3EB"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4FD0242B"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8 349,00</w:t>
            </w:r>
          </w:p>
        </w:tc>
        <w:tc>
          <w:tcPr>
            <w:tcW w:w="1191" w:type="dxa"/>
            <w:tcBorders>
              <w:top w:val="nil"/>
              <w:left w:val="nil"/>
              <w:bottom w:val="single" w:sz="4" w:space="0" w:color="auto"/>
              <w:right w:val="single" w:sz="4" w:space="0" w:color="auto"/>
            </w:tcBorders>
            <w:shd w:val="clear" w:color="auto" w:fill="auto"/>
            <w:noWrap/>
            <w:vAlign w:val="bottom"/>
            <w:hideMark/>
          </w:tcPr>
          <w:p w14:paraId="7F086F7E"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ÚVN</w:t>
            </w:r>
          </w:p>
        </w:tc>
        <w:tc>
          <w:tcPr>
            <w:tcW w:w="907" w:type="dxa"/>
            <w:tcBorders>
              <w:top w:val="nil"/>
              <w:left w:val="nil"/>
              <w:bottom w:val="single" w:sz="4" w:space="0" w:color="auto"/>
              <w:right w:val="single" w:sz="4" w:space="0" w:color="auto"/>
            </w:tcBorders>
            <w:shd w:val="clear" w:color="auto" w:fill="auto"/>
            <w:noWrap/>
            <w:vAlign w:val="center"/>
            <w:hideMark/>
          </w:tcPr>
          <w:p w14:paraId="01AA27DE"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2 591,50</w:t>
            </w:r>
          </w:p>
        </w:tc>
        <w:tc>
          <w:tcPr>
            <w:tcW w:w="794" w:type="dxa"/>
            <w:tcBorders>
              <w:top w:val="nil"/>
              <w:left w:val="nil"/>
              <w:bottom w:val="single" w:sz="4" w:space="0" w:color="auto"/>
              <w:right w:val="single" w:sz="4" w:space="0" w:color="auto"/>
            </w:tcBorders>
            <w:shd w:val="clear" w:color="auto" w:fill="auto"/>
            <w:noWrap/>
            <w:vAlign w:val="center"/>
            <w:hideMark/>
          </w:tcPr>
          <w:p w14:paraId="77C8231F" w14:textId="5B23E80B"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45,01</w:t>
            </w:r>
          </w:p>
        </w:tc>
        <w:tc>
          <w:tcPr>
            <w:tcW w:w="907" w:type="dxa"/>
            <w:tcBorders>
              <w:top w:val="nil"/>
              <w:left w:val="nil"/>
              <w:bottom w:val="single" w:sz="4" w:space="0" w:color="auto"/>
              <w:right w:val="single" w:sz="4" w:space="0" w:color="auto"/>
            </w:tcBorders>
            <w:shd w:val="clear" w:color="auto" w:fill="auto"/>
            <w:noWrap/>
            <w:vAlign w:val="center"/>
            <w:hideMark/>
          </w:tcPr>
          <w:p w14:paraId="53F8544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78C6CC8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69E30135"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3B368F23"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371DF8AC"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13D9B8DA"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5 757,50</w:t>
            </w:r>
          </w:p>
        </w:tc>
        <w:tc>
          <w:tcPr>
            <w:tcW w:w="1304" w:type="dxa"/>
            <w:tcBorders>
              <w:top w:val="nil"/>
              <w:left w:val="nil"/>
              <w:bottom w:val="single" w:sz="4" w:space="0" w:color="auto"/>
              <w:right w:val="single" w:sz="4" w:space="0" w:color="auto"/>
            </w:tcBorders>
            <w:shd w:val="clear" w:color="auto" w:fill="auto"/>
            <w:noWrap/>
            <w:vAlign w:val="center"/>
            <w:hideMark/>
          </w:tcPr>
          <w:p w14:paraId="229538EC"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51B57247"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12 087,90</w:t>
            </w:r>
          </w:p>
        </w:tc>
        <w:tc>
          <w:tcPr>
            <w:tcW w:w="1191" w:type="dxa"/>
            <w:tcBorders>
              <w:top w:val="nil"/>
              <w:left w:val="nil"/>
              <w:bottom w:val="single" w:sz="4" w:space="0" w:color="auto"/>
              <w:right w:val="single" w:sz="4" w:space="0" w:color="auto"/>
            </w:tcBorders>
            <w:shd w:val="clear" w:color="auto" w:fill="auto"/>
            <w:noWrap/>
            <w:vAlign w:val="bottom"/>
            <w:hideMark/>
          </w:tcPr>
          <w:p w14:paraId="38EDDEA4"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1883130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6 330,40</w:t>
            </w:r>
          </w:p>
        </w:tc>
        <w:tc>
          <w:tcPr>
            <w:tcW w:w="794" w:type="dxa"/>
            <w:tcBorders>
              <w:top w:val="nil"/>
              <w:left w:val="nil"/>
              <w:bottom w:val="single" w:sz="4" w:space="0" w:color="auto"/>
              <w:right w:val="single" w:sz="4" w:space="0" w:color="auto"/>
            </w:tcBorders>
            <w:shd w:val="clear" w:color="auto" w:fill="auto"/>
            <w:noWrap/>
            <w:vAlign w:val="center"/>
            <w:hideMark/>
          </w:tcPr>
          <w:p w14:paraId="777E6230" w14:textId="0B89C404"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109,95</w:t>
            </w:r>
          </w:p>
        </w:tc>
        <w:tc>
          <w:tcPr>
            <w:tcW w:w="907" w:type="dxa"/>
            <w:tcBorders>
              <w:top w:val="nil"/>
              <w:left w:val="nil"/>
              <w:bottom w:val="single" w:sz="4" w:space="0" w:color="auto"/>
              <w:right w:val="single" w:sz="4" w:space="0" w:color="auto"/>
            </w:tcBorders>
            <w:shd w:val="clear" w:color="auto" w:fill="auto"/>
            <w:noWrap/>
            <w:vAlign w:val="center"/>
            <w:hideMark/>
          </w:tcPr>
          <w:p w14:paraId="4689B96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2C9BA3A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r>
      <w:tr w:rsidR="00AE6966" w:rsidRPr="001352EB" w14:paraId="07503BB4"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B23488"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0059793</w:t>
            </w:r>
          </w:p>
        </w:tc>
        <w:tc>
          <w:tcPr>
            <w:tcW w:w="510" w:type="dxa"/>
            <w:tcBorders>
              <w:top w:val="nil"/>
              <w:left w:val="nil"/>
              <w:bottom w:val="single" w:sz="4" w:space="0" w:color="auto"/>
              <w:right w:val="single" w:sz="4" w:space="0" w:color="auto"/>
            </w:tcBorders>
            <w:shd w:val="clear" w:color="auto" w:fill="auto"/>
            <w:noWrap/>
            <w:vAlign w:val="center"/>
            <w:hideMark/>
          </w:tcPr>
          <w:p w14:paraId="03961CED"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30E06992"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31 481,61</w:t>
            </w:r>
          </w:p>
        </w:tc>
        <w:tc>
          <w:tcPr>
            <w:tcW w:w="1304" w:type="dxa"/>
            <w:tcBorders>
              <w:top w:val="nil"/>
              <w:left w:val="nil"/>
              <w:bottom w:val="single" w:sz="4" w:space="0" w:color="auto"/>
              <w:right w:val="single" w:sz="4" w:space="0" w:color="auto"/>
            </w:tcBorders>
            <w:shd w:val="clear" w:color="auto" w:fill="auto"/>
            <w:noWrap/>
            <w:vAlign w:val="center"/>
            <w:hideMark/>
          </w:tcPr>
          <w:p w14:paraId="2C3EC5BB"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7F34598B"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32 985,65</w:t>
            </w:r>
          </w:p>
        </w:tc>
        <w:tc>
          <w:tcPr>
            <w:tcW w:w="1191" w:type="dxa"/>
            <w:tcBorders>
              <w:top w:val="nil"/>
              <w:left w:val="nil"/>
              <w:bottom w:val="single" w:sz="4" w:space="0" w:color="auto"/>
              <w:right w:val="single" w:sz="4" w:space="0" w:color="auto"/>
            </w:tcBorders>
            <w:shd w:val="clear" w:color="auto" w:fill="auto"/>
            <w:noWrap/>
            <w:vAlign w:val="bottom"/>
            <w:hideMark/>
          </w:tcPr>
          <w:p w14:paraId="165C15B2"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65B90C3A"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1 504,04</w:t>
            </w:r>
          </w:p>
        </w:tc>
        <w:tc>
          <w:tcPr>
            <w:tcW w:w="794" w:type="dxa"/>
            <w:tcBorders>
              <w:top w:val="nil"/>
              <w:left w:val="nil"/>
              <w:bottom w:val="single" w:sz="4" w:space="0" w:color="auto"/>
              <w:right w:val="single" w:sz="4" w:space="0" w:color="auto"/>
            </w:tcBorders>
            <w:shd w:val="clear" w:color="auto" w:fill="auto"/>
            <w:noWrap/>
            <w:vAlign w:val="center"/>
            <w:hideMark/>
          </w:tcPr>
          <w:p w14:paraId="0717009D" w14:textId="3F319503"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4,78</w:t>
            </w:r>
          </w:p>
        </w:tc>
        <w:tc>
          <w:tcPr>
            <w:tcW w:w="907" w:type="dxa"/>
            <w:tcBorders>
              <w:top w:val="nil"/>
              <w:left w:val="nil"/>
              <w:bottom w:val="single" w:sz="4" w:space="0" w:color="auto"/>
              <w:right w:val="single" w:sz="4" w:space="0" w:color="auto"/>
            </w:tcBorders>
            <w:shd w:val="clear" w:color="auto" w:fill="auto"/>
            <w:noWrap/>
            <w:vAlign w:val="center"/>
            <w:hideMark/>
          </w:tcPr>
          <w:p w14:paraId="187F3DF6"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6478BF50"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0024865B"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2C0F217D"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5B847B9F"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048759FB"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32 780,00</w:t>
            </w:r>
          </w:p>
        </w:tc>
        <w:tc>
          <w:tcPr>
            <w:tcW w:w="1304" w:type="dxa"/>
            <w:tcBorders>
              <w:top w:val="nil"/>
              <w:left w:val="nil"/>
              <w:bottom w:val="single" w:sz="4" w:space="0" w:color="auto"/>
              <w:right w:val="single" w:sz="4" w:space="0" w:color="auto"/>
            </w:tcBorders>
            <w:shd w:val="clear" w:color="auto" w:fill="auto"/>
            <w:noWrap/>
            <w:vAlign w:val="center"/>
            <w:hideMark/>
          </w:tcPr>
          <w:p w14:paraId="5793B62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58BF799D"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32 985,65</w:t>
            </w:r>
          </w:p>
        </w:tc>
        <w:tc>
          <w:tcPr>
            <w:tcW w:w="1191" w:type="dxa"/>
            <w:tcBorders>
              <w:top w:val="nil"/>
              <w:left w:val="nil"/>
              <w:bottom w:val="single" w:sz="4" w:space="0" w:color="auto"/>
              <w:right w:val="single" w:sz="4" w:space="0" w:color="auto"/>
            </w:tcBorders>
            <w:shd w:val="clear" w:color="auto" w:fill="auto"/>
            <w:noWrap/>
            <w:vAlign w:val="bottom"/>
            <w:hideMark/>
          </w:tcPr>
          <w:p w14:paraId="44A96383"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315B6C83"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205,65</w:t>
            </w:r>
          </w:p>
        </w:tc>
        <w:tc>
          <w:tcPr>
            <w:tcW w:w="794" w:type="dxa"/>
            <w:tcBorders>
              <w:top w:val="nil"/>
              <w:left w:val="nil"/>
              <w:bottom w:val="single" w:sz="4" w:space="0" w:color="auto"/>
              <w:right w:val="single" w:sz="4" w:space="0" w:color="auto"/>
            </w:tcBorders>
            <w:shd w:val="clear" w:color="auto" w:fill="auto"/>
            <w:noWrap/>
            <w:vAlign w:val="center"/>
            <w:hideMark/>
          </w:tcPr>
          <w:p w14:paraId="1B5EA1DA" w14:textId="6C2E5979"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0,63</w:t>
            </w:r>
          </w:p>
        </w:tc>
        <w:tc>
          <w:tcPr>
            <w:tcW w:w="907" w:type="dxa"/>
            <w:tcBorders>
              <w:top w:val="nil"/>
              <w:left w:val="nil"/>
              <w:bottom w:val="single" w:sz="4" w:space="0" w:color="auto"/>
              <w:right w:val="single" w:sz="4" w:space="0" w:color="auto"/>
            </w:tcBorders>
            <w:shd w:val="clear" w:color="auto" w:fill="auto"/>
            <w:noWrap/>
            <w:vAlign w:val="center"/>
            <w:hideMark/>
          </w:tcPr>
          <w:p w14:paraId="1873EDE2"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3279A7B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5F57C136"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1443073C"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6A7948C9"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49EA33DF"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32 780,00</w:t>
            </w:r>
          </w:p>
        </w:tc>
        <w:tc>
          <w:tcPr>
            <w:tcW w:w="1304" w:type="dxa"/>
            <w:tcBorders>
              <w:top w:val="nil"/>
              <w:left w:val="nil"/>
              <w:bottom w:val="single" w:sz="4" w:space="0" w:color="auto"/>
              <w:right w:val="single" w:sz="4" w:space="0" w:color="auto"/>
            </w:tcBorders>
            <w:shd w:val="clear" w:color="auto" w:fill="auto"/>
            <w:noWrap/>
            <w:vAlign w:val="center"/>
            <w:hideMark/>
          </w:tcPr>
          <w:p w14:paraId="38D4D0CC"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575AF355"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32 986,00</w:t>
            </w:r>
          </w:p>
        </w:tc>
        <w:tc>
          <w:tcPr>
            <w:tcW w:w="1191" w:type="dxa"/>
            <w:tcBorders>
              <w:top w:val="nil"/>
              <w:left w:val="nil"/>
              <w:bottom w:val="single" w:sz="4" w:space="0" w:color="auto"/>
              <w:right w:val="single" w:sz="4" w:space="0" w:color="auto"/>
            </w:tcBorders>
            <w:shd w:val="clear" w:color="auto" w:fill="auto"/>
            <w:noWrap/>
            <w:vAlign w:val="bottom"/>
            <w:hideMark/>
          </w:tcPr>
          <w:p w14:paraId="5735D9D2"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47F2343E"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206,00</w:t>
            </w:r>
          </w:p>
        </w:tc>
        <w:tc>
          <w:tcPr>
            <w:tcW w:w="794" w:type="dxa"/>
            <w:tcBorders>
              <w:top w:val="nil"/>
              <w:left w:val="nil"/>
              <w:bottom w:val="single" w:sz="4" w:space="0" w:color="auto"/>
              <w:right w:val="single" w:sz="4" w:space="0" w:color="auto"/>
            </w:tcBorders>
            <w:shd w:val="clear" w:color="auto" w:fill="auto"/>
            <w:noWrap/>
            <w:vAlign w:val="center"/>
            <w:hideMark/>
          </w:tcPr>
          <w:p w14:paraId="31CAF807" w14:textId="492B5870"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0,63</w:t>
            </w:r>
          </w:p>
        </w:tc>
        <w:tc>
          <w:tcPr>
            <w:tcW w:w="907" w:type="dxa"/>
            <w:tcBorders>
              <w:top w:val="nil"/>
              <w:left w:val="nil"/>
              <w:bottom w:val="single" w:sz="4" w:space="0" w:color="auto"/>
              <w:right w:val="single" w:sz="4" w:space="0" w:color="auto"/>
            </w:tcBorders>
            <w:shd w:val="clear" w:color="auto" w:fill="auto"/>
            <w:noWrap/>
            <w:vAlign w:val="center"/>
            <w:hideMark/>
          </w:tcPr>
          <w:p w14:paraId="529A05A6"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79D79ABA"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78BAB666"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4DAD3A"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0059987</w:t>
            </w:r>
          </w:p>
        </w:tc>
        <w:tc>
          <w:tcPr>
            <w:tcW w:w="510" w:type="dxa"/>
            <w:tcBorders>
              <w:top w:val="nil"/>
              <w:left w:val="nil"/>
              <w:bottom w:val="single" w:sz="4" w:space="0" w:color="auto"/>
              <w:right w:val="single" w:sz="4" w:space="0" w:color="auto"/>
            </w:tcBorders>
            <w:shd w:val="clear" w:color="auto" w:fill="auto"/>
            <w:noWrap/>
            <w:vAlign w:val="center"/>
            <w:hideMark/>
          </w:tcPr>
          <w:p w14:paraId="06FB7A6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78930C84"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34 960,00</w:t>
            </w:r>
          </w:p>
        </w:tc>
        <w:tc>
          <w:tcPr>
            <w:tcW w:w="1304" w:type="dxa"/>
            <w:tcBorders>
              <w:top w:val="nil"/>
              <w:left w:val="nil"/>
              <w:bottom w:val="single" w:sz="4" w:space="0" w:color="auto"/>
              <w:right w:val="single" w:sz="4" w:space="0" w:color="auto"/>
            </w:tcBorders>
            <w:shd w:val="clear" w:color="auto" w:fill="auto"/>
            <w:noWrap/>
            <w:vAlign w:val="center"/>
            <w:hideMark/>
          </w:tcPr>
          <w:p w14:paraId="3C541B0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FNM</w:t>
            </w:r>
          </w:p>
        </w:tc>
        <w:tc>
          <w:tcPr>
            <w:tcW w:w="964" w:type="dxa"/>
            <w:tcBorders>
              <w:top w:val="nil"/>
              <w:left w:val="nil"/>
              <w:bottom w:val="single" w:sz="4" w:space="0" w:color="auto"/>
              <w:right w:val="single" w:sz="4" w:space="0" w:color="auto"/>
            </w:tcBorders>
            <w:shd w:val="clear" w:color="auto" w:fill="auto"/>
            <w:noWrap/>
            <w:vAlign w:val="center"/>
            <w:hideMark/>
          </w:tcPr>
          <w:p w14:paraId="019D340F" w14:textId="77777777" w:rsidR="001352EB" w:rsidRPr="001352EB" w:rsidRDefault="001352EB" w:rsidP="00192F57">
            <w:pPr>
              <w:spacing w:before="40" w:after="40"/>
              <w:jc w:val="right"/>
              <w:rPr>
                <w:rFonts w:ascii="Calibri" w:hAnsi="Calibri" w:cs="Calibri"/>
                <w:sz w:val="18"/>
                <w:szCs w:val="18"/>
              </w:rPr>
            </w:pPr>
            <w:proofErr w:type="spellStart"/>
            <w:r w:rsidRPr="001352EB">
              <w:rPr>
                <w:rFonts w:ascii="Calibri" w:hAnsi="Calibri" w:cs="Calibri"/>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06E2E17E"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48F1618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794" w:type="dxa"/>
            <w:tcBorders>
              <w:top w:val="nil"/>
              <w:left w:val="nil"/>
              <w:bottom w:val="single" w:sz="4" w:space="0" w:color="auto"/>
              <w:right w:val="single" w:sz="4" w:space="0" w:color="auto"/>
            </w:tcBorders>
            <w:shd w:val="clear" w:color="auto" w:fill="auto"/>
            <w:noWrap/>
            <w:vAlign w:val="center"/>
            <w:hideMark/>
          </w:tcPr>
          <w:p w14:paraId="6F37A40A" w14:textId="1EECA6AB"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449CFEEE"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55ECCE7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3022394C"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2DF46636"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1401E289"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275C6F19"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34 959,00</w:t>
            </w:r>
          </w:p>
        </w:tc>
        <w:tc>
          <w:tcPr>
            <w:tcW w:w="1304" w:type="dxa"/>
            <w:tcBorders>
              <w:top w:val="nil"/>
              <w:left w:val="nil"/>
              <w:bottom w:val="single" w:sz="4" w:space="0" w:color="auto"/>
              <w:right w:val="single" w:sz="4" w:space="0" w:color="auto"/>
            </w:tcBorders>
            <w:shd w:val="clear" w:color="auto" w:fill="auto"/>
            <w:noWrap/>
            <w:vAlign w:val="center"/>
            <w:hideMark/>
          </w:tcPr>
          <w:p w14:paraId="201ED6F2"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5A28B29E"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34 960,00</w:t>
            </w:r>
          </w:p>
        </w:tc>
        <w:tc>
          <w:tcPr>
            <w:tcW w:w="1191" w:type="dxa"/>
            <w:tcBorders>
              <w:top w:val="nil"/>
              <w:left w:val="nil"/>
              <w:bottom w:val="single" w:sz="4" w:space="0" w:color="auto"/>
              <w:right w:val="single" w:sz="4" w:space="0" w:color="auto"/>
            </w:tcBorders>
            <w:shd w:val="clear" w:color="auto" w:fill="auto"/>
            <w:noWrap/>
            <w:vAlign w:val="bottom"/>
            <w:hideMark/>
          </w:tcPr>
          <w:p w14:paraId="665933C8"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07247E70"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1,00</w:t>
            </w:r>
          </w:p>
        </w:tc>
        <w:tc>
          <w:tcPr>
            <w:tcW w:w="794" w:type="dxa"/>
            <w:tcBorders>
              <w:top w:val="nil"/>
              <w:left w:val="nil"/>
              <w:bottom w:val="single" w:sz="4" w:space="0" w:color="auto"/>
              <w:right w:val="single" w:sz="4" w:space="0" w:color="auto"/>
            </w:tcBorders>
            <w:shd w:val="clear" w:color="auto" w:fill="auto"/>
            <w:noWrap/>
            <w:vAlign w:val="center"/>
            <w:hideMark/>
          </w:tcPr>
          <w:p w14:paraId="1E134F0E" w14:textId="77C2A9C3"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65CC80A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7171A70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25D95FC2"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2BFCEC75"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210801CC"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4B39B8EA"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34 959,00</w:t>
            </w:r>
          </w:p>
        </w:tc>
        <w:tc>
          <w:tcPr>
            <w:tcW w:w="1304" w:type="dxa"/>
            <w:tcBorders>
              <w:top w:val="nil"/>
              <w:left w:val="nil"/>
              <w:bottom w:val="single" w:sz="4" w:space="0" w:color="auto"/>
              <w:right w:val="single" w:sz="4" w:space="0" w:color="auto"/>
            </w:tcBorders>
            <w:shd w:val="clear" w:color="auto" w:fill="auto"/>
            <w:noWrap/>
            <w:vAlign w:val="center"/>
            <w:hideMark/>
          </w:tcPr>
          <w:p w14:paraId="0077BFA1"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0CFF3611"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34 960,00</w:t>
            </w:r>
          </w:p>
        </w:tc>
        <w:tc>
          <w:tcPr>
            <w:tcW w:w="1191" w:type="dxa"/>
            <w:tcBorders>
              <w:top w:val="nil"/>
              <w:left w:val="nil"/>
              <w:bottom w:val="single" w:sz="4" w:space="0" w:color="auto"/>
              <w:right w:val="single" w:sz="4" w:space="0" w:color="auto"/>
            </w:tcBorders>
            <w:shd w:val="clear" w:color="auto" w:fill="auto"/>
            <w:noWrap/>
            <w:vAlign w:val="bottom"/>
            <w:hideMark/>
          </w:tcPr>
          <w:p w14:paraId="35C9F4F5"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1FC724A0"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1,00</w:t>
            </w:r>
          </w:p>
        </w:tc>
        <w:tc>
          <w:tcPr>
            <w:tcW w:w="794" w:type="dxa"/>
            <w:tcBorders>
              <w:top w:val="nil"/>
              <w:left w:val="nil"/>
              <w:bottom w:val="single" w:sz="4" w:space="0" w:color="auto"/>
              <w:right w:val="single" w:sz="4" w:space="0" w:color="auto"/>
            </w:tcBorders>
            <w:shd w:val="clear" w:color="auto" w:fill="auto"/>
            <w:noWrap/>
            <w:vAlign w:val="center"/>
            <w:hideMark/>
          </w:tcPr>
          <w:p w14:paraId="35D4C02E" w14:textId="01F78E29"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3DDD6513"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717B64D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66252D46"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3B577E"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0091792</w:t>
            </w:r>
          </w:p>
        </w:tc>
        <w:tc>
          <w:tcPr>
            <w:tcW w:w="510" w:type="dxa"/>
            <w:tcBorders>
              <w:top w:val="nil"/>
              <w:left w:val="nil"/>
              <w:bottom w:val="single" w:sz="4" w:space="0" w:color="auto"/>
              <w:right w:val="single" w:sz="4" w:space="0" w:color="auto"/>
            </w:tcBorders>
            <w:shd w:val="clear" w:color="auto" w:fill="auto"/>
            <w:noWrap/>
            <w:vAlign w:val="center"/>
            <w:hideMark/>
          </w:tcPr>
          <w:p w14:paraId="42983139"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63A5373D"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31 801,00</w:t>
            </w:r>
          </w:p>
        </w:tc>
        <w:tc>
          <w:tcPr>
            <w:tcW w:w="1304" w:type="dxa"/>
            <w:tcBorders>
              <w:top w:val="nil"/>
              <w:left w:val="nil"/>
              <w:bottom w:val="single" w:sz="4" w:space="0" w:color="auto"/>
              <w:right w:val="single" w:sz="4" w:space="0" w:color="auto"/>
            </w:tcBorders>
            <w:shd w:val="clear" w:color="auto" w:fill="auto"/>
            <w:noWrap/>
            <w:vAlign w:val="center"/>
            <w:hideMark/>
          </w:tcPr>
          <w:p w14:paraId="54450FB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78783F7C"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33 126,00</w:t>
            </w:r>
          </w:p>
        </w:tc>
        <w:tc>
          <w:tcPr>
            <w:tcW w:w="1191" w:type="dxa"/>
            <w:tcBorders>
              <w:top w:val="nil"/>
              <w:left w:val="nil"/>
              <w:bottom w:val="single" w:sz="4" w:space="0" w:color="auto"/>
              <w:right w:val="single" w:sz="4" w:space="0" w:color="auto"/>
            </w:tcBorders>
            <w:shd w:val="clear" w:color="auto" w:fill="auto"/>
            <w:noWrap/>
            <w:vAlign w:val="bottom"/>
            <w:hideMark/>
          </w:tcPr>
          <w:p w14:paraId="382862BF"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w:t>
            </w:r>
          </w:p>
        </w:tc>
        <w:tc>
          <w:tcPr>
            <w:tcW w:w="907" w:type="dxa"/>
            <w:tcBorders>
              <w:top w:val="nil"/>
              <w:left w:val="nil"/>
              <w:bottom w:val="single" w:sz="4" w:space="0" w:color="auto"/>
              <w:right w:val="single" w:sz="4" w:space="0" w:color="auto"/>
            </w:tcBorders>
            <w:shd w:val="clear" w:color="auto" w:fill="auto"/>
            <w:noWrap/>
            <w:vAlign w:val="center"/>
            <w:hideMark/>
          </w:tcPr>
          <w:p w14:paraId="0061060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1 325,00</w:t>
            </w:r>
          </w:p>
        </w:tc>
        <w:tc>
          <w:tcPr>
            <w:tcW w:w="794" w:type="dxa"/>
            <w:tcBorders>
              <w:top w:val="nil"/>
              <w:left w:val="nil"/>
              <w:bottom w:val="single" w:sz="4" w:space="0" w:color="auto"/>
              <w:right w:val="single" w:sz="4" w:space="0" w:color="auto"/>
            </w:tcBorders>
            <w:shd w:val="clear" w:color="auto" w:fill="auto"/>
            <w:noWrap/>
            <w:vAlign w:val="center"/>
            <w:hideMark/>
          </w:tcPr>
          <w:p w14:paraId="25318081" w14:textId="1115792A"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4,17</w:t>
            </w:r>
          </w:p>
        </w:tc>
        <w:tc>
          <w:tcPr>
            <w:tcW w:w="907" w:type="dxa"/>
            <w:tcBorders>
              <w:top w:val="nil"/>
              <w:left w:val="nil"/>
              <w:bottom w:val="single" w:sz="4" w:space="0" w:color="auto"/>
              <w:right w:val="single" w:sz="4" w:space="0" w:color="auto"/>
            </w:tcBorders>
            <w:shd w:val="clear" w:color="auto" w:fill="auto"/>
            <w:noWrap/>
            <w:vAlign w:val="center"/>
            <w:hideMark/>
          </w:tcPr>
          <w:p w14:paraId="771BAAA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7B6ED66E"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r>
      <w:tr w:rsidR="00AE6966" w:rsidRPr="001352EB" w14:paraId="22146FDC"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3B46C540"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2509F487"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09F6B570"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30 033,90</w:t>
            </w:r>
          </w:p>
        </w:tc>
        <w:tc>
          <w:tcPr>
            <w:tcW w:w="1304" w:type="dxa"/>
            <w:tcBorders>
              <w:top w:val="nil"/>
              <w:left w:val="nil"/>
              <w:bottom w:val="single" w:sz="4" w:space="0" w:color="auto"/>
              <w:right w:val="single" w:sz="4" w:space="0" w:color="auto"/>
            </w:tcBorders>
            <w:shd w:val="clear" w:color="auto" w:fill="auto"/>
            <w:noWrap/>
            <w:vAlign w:val="center"/>
            <w:hideMark/>
          </w:tcPr>
          <w:p w14:paraId="589B4DB9"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59018959"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36 600,00</w:t>
            </w:r>
          </w:p>
        </w:tc>
        <w:tc>
          <w:tcPr>
            <w:tcW w:w="1191" w:type="dxa"/>
            <w:tcBorders>
              <w:top w:val="nil"/>
              <w:left w:val="nil"/>
              <w:bottom w:val="single" w:sz="4" w:space="0" w:color="auto"/>
              <w:right w:val="single" w:sz="4" w:space="0" w:color="auto"/>
            </w:tcBorders>
            <w:shd w:val="clear" w:color="auto" w:fill="auto"/>
            <w:noWrap/>
            <w:vAlign w:val="bottom"/>
            <w:hideMark/>
          </w:tcPr>
          <w:p w14:paraId="2AFEFEB0"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137D7A3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6 566,10</w:t>
            </w:r>
          </w:p>
        </w:tc>
        <w:tc>
          <w:tcPr>
            <w:tcW w:w="794" w:type="dxa"/>
            <w:tcBorders>
              <w:top w:val="nil"/>
              <w:left w:val="nil"/>
              <w:bottom w:val="single" w:sz="4" w:space="0" w:color="auto"/>
              <w:right w:val="single" w:sz="4" w:space="0" w:color="auto"/>
            </w:tcBorders>
            <w:shd w:val="clear" w:color="auto" w:fill="auto"/>
            <w:noWrap/>
            <w:vAlign w:val="center"/>
            <w:hideMark/>
          </w:tcPr>
          <w:p w14:paraId="4FC71089" w14:textId="7FD5F18F"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21,86</w:t>
            </w:r>
          </w:p>
        </w:tc>
        <w:tc>
          <w:tcPr>
            <w:tcW w:w="907" w:type="dxa"/>
            <w:tcBorders>
              <w:top w:val="nil"/>
              <w:left w:val="nil"/>
              <w:bottom w:val="single" w:sz="4" w:space="0" w:color="auto"/>
              <w:right w:val="single" w:sz="4" w:space="0" w:color="auto"/>
            </w:tcBorders>
            <w:shd w:val="clear" w:color="auto" w:fill="auto"/>
            <w:noWrap/>
            <w:vAlign w:val="center"/>
            <w:hideMark/>
          </w:tcPr>
          <w:p w14:paraId="22D22F37"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746A037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r>
      <w:tr w:rsidR="00AE6966" w:rsidRPr="001352EB" w14:paraId="7B90381C"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05140D3D"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6D4C871E"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2BE87F50"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31 801,00</w:t>
            </w:r>
          </w:p>
        </w:tc>
        <w:tc>
          <w:tcPr>
            <w:tcW w:w="1304" w:type="dxa"/>
            <w:tcBorders>
              <w:top w:val="nil"/>
              <w:left w:val="nil"/>
              <w:bottom w:val="single" w:sz="4" w:space="0" w:color="auto"/>
              <w:right w:val="single" w:sz="4" w:space="0" w:color="auto"/>
            </w:tcBorders>
            <w:shd w:val="clear" w:color="auto" w:fill="auto"/>
            <w:noWrap/>
            <w:vAlign w:val="center"/>
            <w:hideMark/>
          </w:tcPr>
          <w:p w14:paraId="1168EBD1"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012B7CE8"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36 600,00</w:t>
            </w:r>
          </w:p>
        </w:tc>
        <w:tc>
          <w:tcPr>
            <w:tcW w:w="1191" w:type="dxa"/>
            <w:tcBorders>
              <w:top w:val="nil"/>
              <w:left w:val="nil"/>
              <w:bottom w:val="single" w:sz="4" w:space="0" w:color="auto"/>
              <w:right w:val="single" w:sz="4" w:space="0" w:color="auto"/>
            </w:tcBorders>
            <w:shd w:val="clear" w:color="auto" w:fill="auto"/>
            <w:noWrap/>
            <w:vAlign w:val="bottom"/>
            <w:hideMark/>
          </w:tcPr>
          <w:p w14:paraId="7C638ACC"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11D0AEF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4 799,00</w:t>
            </w:r>
          </w:p>
        </w:tc>
        <w:tc>
          <w:tcPr>
            <w:tcW w:w="794" w:type="dxa"/>
            <w:tcBorders>
              <w:top w:val="nil"/>
              <w:left w:val="nil"/>
              <w:bottom w:val="single" w:sz="4" w:space="0" w:color="auto"/>
              <w:right w:val="single" w:sz="4" w:space="0" w:color="auto"/>
            </w:tcBorders>
            <w:shd w:val="clear" w:color="auto" w:fill="auto"/>
            <w:noWrap/>
            <w:vAlign w:val="center"/>
            <w:hideMark/>
          </w:tcPr>
          <w:p w14:paraId="0DD62775" w14:textId="4DA0FFB9"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15,09</w:t>
            </w:r>
          </w:p>
        </w:tc>
        <w:tc>
          <w:tcPr>
            <w:tcW w:w="907" w:type="dxa"/>
            <w:tcBorders>
              <w:top w:val="nil"/>
              <w:left w:val="nil"/>
              <w:bottom w:val="single" w:sz="4" w:space="0" w:color="auto"/>
              <w:right w:val="single" w:sz="4" w:space="0" w:color="auto"/>
            </w:tcBorders>
            <w:shd w:val="clear" w:color="auto" w:fill="auto"/>
            <w:noWrap/>
            <w:vAlign w:val="center"/>
            <w:hideMark/>
          </w:tcPr>
          <w:p w14:paraId="6BB47D8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0640B5E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r>
      <w:tr w:rsidR="00AE6966" w:rsidRPr="001352EB" w14:paraId="542746BF"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C58367"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0111741</w:t>
            </w:r>
          </w:p>
        </w:tc>
        <w:tc>
          <w:tcPr>
            <w:tcW w:w="510" w:type="dxa"/>
            <w:tcBorders>
              <w:top w:val="nil"/>
              <w:left w:val="nil"/>
              <w:bottom w:val="single" w:sz="4" w:space="0" w:color="auto"/>
              <w:right w:val="single" w:sz="4" w:space="0" w:color="auto"/>
            </w:tcBorders>
            <w:shd w:val="clear" w:color="auto" w:fill="auto"/>
            <w:noWrap/>
            <w:vAlign w:val="center"/>
            <w:hideMark/>
          </w:tcPr>
          <w:p w14:paraId="424F02B9"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6C285A28"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51 999,55</w:t>
            </w:r>
          </w:p>
        </w:tc>
        <w:tc>
          <w:tcPr>
            <w:tcW w:w="1304" w:type="dxa"/>
            <w:tcBorders>
              <w:top w:val="nil"/>
              <w:left w:val="nil"/>
              <w:bottom w:val="single" w:sz="4" w:space="0" w:color="auto"/>
              <w:right w:val="single" w:sz="4" w:space="0" w:color="auto"/>
            </w:tcBorders>
            <w:shd w:val="clear" w:color="auto" w:fill="auto"/>
            <w:noWrap/>
            <w:vAlign w:val="center"/>
            <w:hideMark/>
          </w:tcPr>
          <w:p w14:paraId="6317A066"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FNM, ÚVN</w:t>
            </w:r>
          </w:p>
        </w:tc>
        <w:tc>
          <w:tcPr>
            <w:tcW w:w="964" w:type="dxa"/>
            <w:tcBorders>
              <w:top w:val="nil"/>
              <w:left w:val="nil"/>
              <w:bottom w:val="single" w:sz="4" w:space="0" w:color="auto"/>
              <w:right w:val="single" w:sz="4" w:space="0" w:color="auto"/>
            </w:tcBorders>
            <w:shd w:val="clear" w:color="auto" w:fill="auto"/>
            <w:noWrap/>
            <w:vAlign w:val="center"/>
            <w:hideMark/>
          </w:tcPr>
          <w:p w14:paraId="1C714A3D" w14:textId="77777777" w:rsidR="001352EB" w:rsidRPr="001352EB" w:rsidRDefault="001352EB" w:rsidP="00192F57">
            <w:pPr>
              <w:spacing w:before="40" w:after="40"/>
              <w:jc w:val="right"/>
              <w:rPr>
                <w:rFonts w:ascii="Calibri" w:hAnsi="Calibri" w:cs="Calibri"/>
                <w:sz w:val="18"/>
                <w:szCs w:val="18"/>
              </w:rPr>
            </w:pPr>
            <w:proofErr w:type="spellStart"/>
            <w:r w:rsidRPr="001352EB">
              <w:rPr>
                <w:rFonts w:ascii="Calibri" w:hAnsi="Calibri" w:cs="Calibri"/>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4139D031"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61F4ACF5"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794" w:type="dxa"/>
            <w:tcBorders>
              <w:top w:val="nil"/>
              <w:left w:val="nil"/>
              <w:bottom w:val="single" w:sz="4" w:space="0" w:color="auto"/>
              <w:right w:val="single" w:sz="4" w:space="0" w:color="auto"/>
            </w:tcBorders>
            <w:shd w:val="clear" w:color="auto" w:fill="auto"/>
            <w:noWrap/>
            <w:vAlign w:val="center"/>
            <w:hideMark/>
          </w:tcPr>
          <w:p w14:paraId="029C25F3" w14:textId="347F30F4"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3B6880D1"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3322ABD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26A44B0C"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01D1FFF5"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70550310"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08636B56"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51 999,55</w:t>
            </w:r>
          </w:p>
        </w:tc>
        <w:tc>
          <w:tcPr>
            <w:tcW w:w="1304" w:type="dxa"/>
            <w:tcBorders>
              <w:top w:val="nil"/>
              <w:left w:val="nil"/>
              <w:bottom w:val="single" w:sz="4" w:space="0" w:color="auto"/>
              <w:right w:val="single" w:sz="4" w:space="0" w:color="auto"/>
            </w:tcBorders>
            <w:shd w:val="clear" w:color="auto" w:fill="auto"/>
            <w:noWrap/>
            <w:vAlign w:val="center"/>
            <w:hideMark/>
          </w:tcPr>
          <w:p w14:paraId="691989A6"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FNM, ÚVN</w:t>
            </w:r>
          </w:p>
        </w:tc>
        <w:tc>
          <w:tcPr>
            <w:tcW w:w="964" w:type="dxa"/>
            <w:tcBorders>
              <w:top w:val="nil"/>
              <w:left w:val="nil"/>
              <w:bottom w:val="single" w:sz="4" w:space="0" w:color="auto"/>
              <w:right w:val="single" w:sz="4" w:space="0" w:color="auto"/>
            </w:tcBorders>
            <w:shd w:val="clear" w:color="auto" w:fill="auto"/>
            <w:noWrap/>
            <w:vAlign w:val="center"/>
            <w:hideMark/>
          </w:tcPr>
          <w:p w14:paraId="13C2831E"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52 000,00</w:t>
            </w:r>
          </w:p>
        </w:tc>
        <w:tc>
          <w:tcPr>
            <w:tcW w:w="1191" w:type="dxa"/>
            <w:tcBorders>
              <w:top w:val="nil"/>
              <w:left w:val="nil"/>
              <w:bottom w:val="single" w:sz="4" w:space="0" w:color="auto"/>
              <w:right w:val="single" w:sz="4" w:space="0" w:color="auto"/>
            </w:tcBorders>
            <w:shd w:val="clear" w:color="auto" w:fill="auto"/>
            <w:noWrap/>
            <w:vAlign w:val="bottom"/>
            <w:hideMark/>
          </w:tcPr>
          <w:p w14:paraId="282CD943"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w:t>
            </w:r>
          </w:p>
        </w:tc>
        <w:tc>
          <w:tcPr>
            <w:tcW w:w="907" w:type="dxa"/>
            <w:tcBorders>
              <w:top w:val="nil"/>
              <w:left w:val="nil"/>
              <w:bottom w:val="single" w:sz="4" w:space="0" w:color="auto"/>
              <w:right w:val="single" w:sz="4" w:space="0" w:color="auto"/>
            </w:tcBorders>
            <w:shd w:val="clear" w:color="auto" w:fill="auto"/>
            <w:noWrap/>
            <w:vAlign w:val="center"/>
            <w:hideMark/>
          </w:tcPr>
          <w:p w14:paraId="5B979E21"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0,45</w:t>
            </w:r>
          </w:p>
        </w:tc>
        <w:tc>
          <w:tcPr>
            <w:tcW w:w="794" w:type="dxa"/>
            <w:tcBorders>
              <w:top w:val="nil"/>
              <w:left w:val="nil"/>
              <w:bottom w:val="single" w:sz="4" w:space="0" w:color="auto"/>
              <w:right w:val="single" w:sz="4" w:space="0" w:color="auto"/>
            </w:tcBorders>
            <w:shd w:val="clear" w:color="auto" w:fill="auto"/>
            <w:noWrap/>
            <w:vAlign w:val="center"/>
            <w:hideMark/>
          </w:tcPr>
          <w:p w14:paraId="629A3A11" w14:textId="0E85C4D4"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51B29576"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4B1CB04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0FFCAD76"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07DFD35F"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30BC85FB"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4B6CB6F0"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51 999,55</w:t>
            </w:r>
          </w:p>
        </w:tc>
        <w:tc>
          <w:tcPr>
            <w:tcW w:w="1304" w:type="dxa"/>
            <w:tcBorders>
              <w:top w:val="nil"/>
              <w:left w:val="nil"/>
              <w:bottom w:val="single" w:sz="4" w:space="0" w:color="auto"/>
              <w:right w:val="single" w:sz="4" w:space="0" w:color="auto"/>
            </w:tcBorders>
            <w:shd w:val="clear" w:color="auto" w:fill="auto"/>
            <w:noWrap/>
            <w:vAlign w:val="center"/>
            <w:hideMark/>
          </w:tcPr>
          <w:p w14:paraId="24B2FD57"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FNM, ÚVN</w:t>
            </w:r>
          </w:p>
        </w:tc>
        <w:tc>
          <w:tcPr>
            <w:tcW w:w="964" w:type="dxa"/>
            <w:tcBorders>
              <w:top w:val="nil"/>
              <w:left w:val="nil"/>
              <w:bottom w:val="single" w:sz="4" w:space="0" w:color="auto"/>
              <w:right w:val="single" w:sz="4" w:space="0" w:color="auto"/>
            </w:tcBorders>
            <w:shd w:val="clear" w:color="auto" w:fill="auto"/>
            <w:noWrap/>
            <w:vAlign w:val="center"/>
            <w:hideMark/>
          </w:tcPr>
          <w:p w14:paraId="01ADB885"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52 000,00</w:t>
            </w:r>
          </w:p>
        </w:tc>
        <w:tc>
          <w:tcPr>
            <w:tcW w:w="1191" w:type="dxa"/>
            <w:tcBorders>
              <w:top w:val="nil"/>
              <w:left w:val="nil"/>
              <w:bottom w:val="single" w:sz="4" w:space="0" w:color="auto"/>
              <w:right w:val="single" w:sz="4" w:space="0" w:color="auto"/>
            </w:tcBorders>
            <w:shd w:val="clear" w:color="auto" w:fill="auto"/>
            <w:noWrap/>
            <w:vAlign w:val="bottom"/>
            <w:hideMark/>
          </w:tcPr>
          <w:p w14:paraId="008C657E"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w:t>
            </w:r>
          </w:p>
        </w:tc>
        <w:tc>
          <w:tcPr>
            <w:tcW w:w="907" w:type="dxa"/>
            <w:tcBorders>
              <w:top w:val="nil"/>
              <w:left w:val="nil"/>
              <w:bottom w:val="single" w:sz="4" w:space="0" w:color="auto"/>
              <w:right w:val="single" w:sz="4" w:space="0" w:color="auto"/>
            </w:tcBorders>
            <w:shd w:val="clear" w:color="auto" w:fill="auto"/>
            <w:noWrap/>
            <w:vAlign w:val="center"/>
            <w:hideMark/>
          </w:tcPr>
          <w:p w14:paraId="251E357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0,45</w:t>
            </w:r>
          </w:p>
        </w:tc>
        <w:tc>
          <w:tcPr>
            <w:tcW w:w="794" w:type="dxa"/>
            <w:tcBorders>
              <w:top w:val="nil"/>
              <w:left w:val="nil"/>
              <w:bottom w:val="single" w:sz="4" w:space="0" w:color="auto"/>
              <w:right w:val="single" w:sz="4" w:space="0" w:color="auto"/>
            </w:tcBorders>
            <w:shd w:val="clear" w:color="auto" w:fill="auto"/>
            <w:noWrap/>
            <w:vAlign w:val="center"/>
            <w:hideMark/>
          </w:tcPr>
          <w:p w14:paraId="12F60AE4" w14:textId="3CDCB7BB"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040C8C6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70733D1E"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3620CBB6"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9745FB"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0111742</w:t>
            </w:r>
          </w:p>
        </w:tc>
        <w:tc>
          <w:tcPr>
            <w:tcW w:w="510" w:type="dxa"/>
            <w:tcBorders>
              <w:top w:val="nil"/>
              <w:left w:val="nil"/>
              <w:bottom w:val="single" w:sz="4" w:space="0" w:color="auto"/>
              <w:right w:val="single" w:sz="4" w:space="0" w:color="auto"/>
            </w:tcBorders>
            <w:shd w:val="clear" w:color="auto" w:fill="auto"/>
            <w:noWrap/>
            <w:vAlign w:val="center"/>
            <w:hideMark/>
          </w:tcPr>
          <w:p w14:paraId="25649E47"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2018D972"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51 999,55</w:t>
            </w:r>
          </w:p>
        </w:tc>
        <w:tc>
          <w:tcPr>
            <w:tcW w:w="1304" w:type="dxa"/>
            <w:tcBorders>
              <w:top w:val="nil"/>
              <w:left w:val="nil"/>
              <w:bottom w:val="single" w:sz="4" w:space="0" w:color="auto"/>
              <w:right w:val="single" w:sz="4" w:space="0" w:color="auto"/>
            </w:tcBorders>
            <w:shd w:val="clear" w:color="auto" w:fill="auto"/>
            <w:noWrap/>
            <w:vAlign w:val="center"/>
            <w:hideMark/>
          </w:tcPr>
          <w:p w14:paraId="745AA11C"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FNM</w:t>
            </w:r>
          </w:p>
        </w:tc>
        <w:tc>
          <w:tcPr>
            <w:tcW w:w="964" w:type="dxa"/>
            <w:tcBorders>
              <w:top w:val="nil"/>
              <w:left w:val="nil"/>
              <w:bottom w:val="single" w:sz="4" w:space="0" w:color="auto"/>
              <w:right w:val="single" w:sz="4" w:space="0" w:color="auto"/>
            </w:tcBorders>
            <w:shd w:val="clear" w:color="auto" w:fill="auto"/>
            <w:noWrap/>
            <w:vAlign w:val="center"/>
            <w:hideMark/>
          </w:tcPr>
          <w:p w14:paraId="53E39FF0"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52 000,00</w:t>
            </w:r>
          </w:p>
        </w:tc>
        <w:tc>
          <w:tcPr>
            <w:tcW w:w="1191" w:type="dxa"/>
            <w:tcBorders>
              <w:top w:val="nil"/>
              <w:left w:val="nil"/>
              <w:bottom w:val="single" w:sz="4" w:space="0" w:color="auto"/>
              <w:right w:val="single" w:sz="4" w:space="0" w:color="auto"/>
            </w:tcBorders>
            <w:shd w:val="clear" w:color="auto" w:fill="auto"/>
            <w:noWrap/>
            <w:vAlign w:val="bottom"/>
            <w:hideMark/>
          </w:tcPr>
          <w:p w14:paraId="5E7BA243"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 ÚVN</w:t>
            </w:r>
          </w:p>
        </w:tc>
        <w:tc>
          <w:tcPr>
            <w:tcW w:w="907" w:type="dxa"/>
            <w:tcBorders>
              <w:top w:val="nil"/>
              <w:left w:val="nil"/>
              <w:bottom w:val="single" w:sz="4" w:space="0" w:color="auto"/>
              <w:right w:val="single" w:sz="4" w:space="0" w:color="auto"/>
            </w:tcBorders>
            <w:shd w:val="clear" w:color="auto" w:fill="auto"/>
            <w:noWrap/>
            <w:vAlign w:val="center"/>
            <w:hideMark/>
          </w:tcPr>
          <w:p w14:paraId="480CC9A5"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0,45</w:t>
            </w:r>
          </w:p>
        </w:tc>
        <w:tc>
          <w:tcPr>
            <w:tcW w:w="794" w:type="dxa"/>
            <w:tcBorders>
              <w:top w:val="nil"/>
              <w:left w:val="nil"/>
              <w:bottom w:val="single" w:sz="4" w:space="0" w:color="auto"/>
              <w:right w:val="single" w:sz="4" w:space="0" w:color="auto"/>
            </w:tcBorders>
            <w:shd w:val="clear" w:color="auto" w:fill="auto"/>
            <w:noWrap/>
            <w:vAlign w:val="center"/>
            <w:hideMark/>
          </w:tcPr>
          <w:p w14:paraId="2DA08899" w14:textId="7A815C0B"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02A51E44"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1386D186"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4D3C1397"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2333E148"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18564AAB"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417B4ED9"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52 000,00</w:t>
            </w:r>
          </w:p>
        </w:tc>
        <w:tc>
          <w:tcPr>
            <w:tcW w:w="1304" w:type="dxa"/>
            <w:tcBorders>
              <w:top w:val="nil"/>
              <w:left w:val="nil"/>
              <w:bottom w:val="single" w:sz="4" w:space="0" w:color="auto"/>
              <w:right w:val="single" w:sz="4" w:space="0" w:color="auto"/>
            </w:tcBorders>
            <w:shd w:val="clear" w:color="auto" w:fill="auto"/>
            <w:noWrap/>
            <w:vAlign w:val="center"/>
            <w:hideMark/>
          </w:tcPr>
          <w:p w14:paraId="328CB4AC"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ÚVN</w:t>
            </w:r>
          </w:p>
        </w:tc>
        <w:tc>
          <w:tcPr>
            <w:tcW w:w="964" w:type="dxa"/>
            <w:tcBorders>
              <w:top w:val="nil"/>
              <w:left w:val="nil"/>
              <w:bottom w:val="single" w:sz="4" w:space="0" w:color="auto"/>
              <w:right w:val="single" w:sz="4" w:space="0" w:color="auto"/>
            </w:tcBorders>
            <w:shd w:val="clear" w:color="auto" w:fill="auto"/>
            <w:noWrap/>
            <w:vAlign w:val="center"/>
            <w:hideMark/>
          </w:tcPr>
          <w:p w14:paraId="5AFBFC28" w14:textId="77777777" w:rsidR="001352EB" w:rsidRPr="001352EB" w:rsidRDefault="001352EB" w:rsidP="00192F57">
            <w:pPr>
              <w:spacing w:before="40" w:after="40"/>
              <w:jc w:val="right"/>
              <w:rPr>
                <w:rFonts w:ascii="Calibri" w:hAnsi="Calibri" w:cs="Calibri"/>
                <w:color w:val="000000"/>
                <w:sz w:val="18"/>
                <w:szCs w:val="18"/>
              </w:rPr>
            </w:pPr>
            <w:proofErr w:type="spellStart"/>
            <w:r w:rsidRPr="001352EB">
              <w:rPr>
                <w:rFonts w:ascii="Calibri" w:hAnsi="Calibri" w:cs="Calibri"/>
                <w:color w:val="000000"/>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100563ED"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39D722F6"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794" w:type="dxa"/>
            <w:tcBorders>
              <w:top w:val="nil"/>
              <w:left w:val="nil"/>
              <w:bottom w:val="single" w:sz="4" w:space="0" w:color="auto"/>
              <w:right w:val="single" w:sz="4" w:space="0" w:color="auto"/>
            </w:tcBorders>
            <w:shd w:val="clear" w:color="auto" w:fill="auto"/>
            <w:noWrap/>
            <w:vAlign w:val="center"/>
            <w:hideMark/>
          </w:tcPr>
          <w:p w14:paraId="0D650320" w14:textId="4FB50D67"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7735883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5BB86D0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084C0772"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14C86478"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66C3168C"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6544F996"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52 000,00</w:t>
            </w:r>
          </w:p>
        </w:tc>
        <w:tc>
          <w:tcPr>
            <w:tcW w:w="1304" w:type="dxa"/>
            <w:tcBorders>
              <w:top w:val="nil"/>
              <w:left w:val="nil"/>
              <w:bottom w:val="single" w:sz="4" w:space="0" w:color="auto"/>
              <w:right w:val="single" w:sz="4" w:space="0" w:color="auto"/>
            </w:tcBorders>
            <w:shd w:val="clear" w:color="auto" w:fill="auto"/>
            <w:noWrap/>
            <w:vAlign w:val="center"/>
            <w:hideMark/>
          </w:tcPr>
          <w:p w14:paraId="2227CB95"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ÚVN</w:t>
            </w:r>
          </w:p>
        </w:tc>
        <w:tc>
          <w:tcPr>
            <w:tcW w:w="964" w:type="dxa"/>
            <w:tcBorders>
              <w:top w:val="nil"/>
              <w:left w:val="nil"/>
              <w:bottom w:val="single" w:sz="4" w:space="0" w:color="auto"/>
              <w:right w:val="single" w:sz="4" w:space="0" w:color="auto"/>
            </w:tcBorders>
            <w:shd w:val="clear" w:color="auto" w:fill="auto"/>
            <w:noWrap/>
            <w:vAlign w:val="center"/>
            <w:hideMark/>
          </w:tcPr>
          <w:p w14:paraId="6BB9CFAB" w14:textId="77777777" w:rsidR="001352EB" w:rsidRPr="001352EB" w:rsidRDefault="001352EB" w:rsidP="00192F57">
            <w:pPr>
              <w:spacing w:before="40" w:after="40"/>
              <w:jc w:val="right"/>
              <w:rPr>
                <w:rFonts w:ascii="Calibri" w:hAnsi="Calibri" w:cs="Calibri"/>
                <w:color w:val="000000"/>
                <w:sz w:val="18"/>
                <w:szCs w:val="18"/>
              </w:rPr>
            </w:pPr>
            <w:proofErr w:type="spellStart"/>
            <w:r w:rsidRPr="001352EB">
              <w:rPr>
                <w:rFonts w:ascii="Calibri" w:hAnsi="Calibri" w:cs="Calibri"/>
                <w:color w:val="000000"/>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5260CA55"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663EF86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794" w:type="dxa"/>
            <w:tcBorders>
              <w:top w:val="nil"/>
              <w:left w:val="nil"/>
              <w:bottom w:val="single" w:sz="4" w:space="0" w:color="auto"/>
              <w:right w:val="single" w:sz="4" w:space="0" w:color="auto"/>
            </w:tcBorders>
            <w:shd w:val="clear" w:color="auto" w:fill="auto"/>
            <w:noWrap/>
            <w:vAlign w:val="center"/>
            <w:hideMark/>
          </w:tcPr>
          <w:p w14:paraId="18CCFD09" w14:textId="6FD0088C"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0B1405C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1A2E9663"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492039C2"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C64BB8"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0113355</w:t>
            </w:r>
          </w:p>
        </w:tc>
        <w:tc>
          <w:tcPr>
            <w:tcW w:w="510" w:type="dxa"/>
            <w:tcBorders>
              <w:top w:val="nil"/>
              <w:left w:val="nil"/>
              <w:bottom w:val="single" w:sz="4" w:space="0" w:color="auto"/>
              <w:right w:val="single" w:sz="4" w:space="0" w:color="auto"/>
            </w:tcBorders>
            <w:shd w:val="clear" w:color="auto" w:fill="auto"/>
            <w:noWrap/>
            <w:vAlign w:val="center"/>
            <w:hideMark/>
          </w:tcPr>
          <w:p w14:paraId="3D53D199"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539CA8CE"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59 800,00</w:t>
            </w:r>
          </w:p>
        </w:tc>
        <w:tc>
          <w:tcPr>
            <w:tcW w:w="1304" w:type="dxa"/>
            <w:tcBorders>
              <w:top w:val="nil"/>
              <w:left w:val="nil"/>
              <w:bottom w:val="single" w:sz="4" w:space="0" w:color="auto"/>
              <w:right w:val="single" w:sz="4" w:space="0" w:color="auto"/>
            </w:tcBorders>
            <w:shd w:val="clear" w:color="auto" w:fill="auto"/>
            <w:noWrap/>
            <w:vAlign w:val="center"/>
            <w:hideMark/>
          </w:tcPr>
          <w:p w14:paraId="3C04D8F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FNM, ÚVN</w:t>
            </w:r>
          </w:p>
        </w:tc>
        <w:tc>
          <w:tcPr>
            <w:tcW w:w="964" w:type="dxa"/>
            <w:tcBorders>
              <w:top w:val="nil"/>
              <w:left w:val="nil"/>
              <w:bottom w:val="single" w:sz="4" w:space="0" w:color="auto"/>
              <w:right w:val="single" w:sz="4" w:space="0" w:color="auto"/>
            </w:tcBorders>
            <w:shd w:val="clear" w:color="auto" w:fill="auto"/>
            <w:noWrap/>
            <w:vAlign w:val="center"/>
            <w:hideMark/>
          </w:tcPr>
          <w:p w14:paraId="2103D49F" w14:textId="77777777" w:rsidR="001352EB" w:rsidRPr="001352EB" w:rsidRDefault="001352EB" w:rsidP="00192F57">
            <w:pPr>
              <w:spacing w:before="40" w:after="40"/>
              <w:jc w:val="right"/>
              <w:rPr>
                <w:rFonts w:ascii="Calibri" w:hAnsi="Calibri" w:cs="Calibri"/>
                <w:color w:val="000000"/>
                <w:sz w:val="18"/>
                <w:szCs w:val="18"/>
              </w:rPr>
            </w:pPr>
            <w:proofErr w:type="spellStart"/>
            <w:r w:rsidRPr="001352EB">
              <w:rPr>
                <w:rFonts w:ascii="Calibri" w:hAnsi="Calibri" w:cs="Calibri"/>
                <w:color w:val="000000"/>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2B009248"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4FF8A8A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794" w:type="dxa"/>
            <w:tcBorders>
              <w:top w:val="nil"/>
              <w:left w:val="nil"/>
              <w:bottom w:val="single" w:sz="4" w:space="0" w:color="auto"/>
              <w:right w:val="single" w:sz="4" w:space="0" w:color="auto"/>
            </w:tcBorders>
            <w:shd w:val="clear" w:color="auto" w:fill="auto"/>
            <w:noWrap/>
            <w:vAlign w:val="center"/>
            <w:hideMark/>
          </w:tcPr>
          <w:p w14:paraId="116BCA7E" w14:textId="1AE4E4CA"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6F440ED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20FA9B30"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7560EBB6"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74549F97"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6D7B5512"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2F7B7F10"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51 175,00</w:t>
            </w:r>
          </w:p>
        </w:tc>
        <w:tc>
          <w:tcPr>
            <w:tcW w:w="1304" w:type="dxa"/>
            <w:tcBorders>
              <w:top w:val="nil"/>
              <w:left w:val="nil"/>
              <w:bottom w:val="single" w:sz="4" w:space="0" w:color="auto"/>
              <w:right w:val="single" w:sz="4" w:space="0" w:color="auto"/>
            </w:tcBorders>
            <w:shd w:val="clear" w:color="auto" w:fill="auto"/>
            <w:noWrap/>
            <w:vAlign w:val="center"/>
            <w:hideMark/>
          </w:tcPr>
          <w:p w14:paraId="2FC65577"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FNM</w:t>
            </w:r>
          </w:p>
        </w:tc>
        <w:tc>
          <w:tcPr>
            <w:tcW w:w="964" w:type="dxa"/>
            <w:tcBorders>
              <w:top w:val="nil"/>
              <w:left w:val="nil"/>
              <w:bottom w:val="single" w:sz="4" w:space="0" w:color="auto"/>
              <w:right w:val="single" w:sz="4" w:space="0" w:color="auto"/>
            </w:tcBorders>
            <w:shd w:val="clear" w:color="auto" w:fill="auto"/>
            <w:noWrap/>
            <w:vAlign w:val="center"/>
            <w:hideMark/>
          </w:tcPr>
          <w:p w14:paraId="66C98919"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59 800,00</w:t>
            </w:r>
          </w:p>
        </w:tc>
        <w:tc>
          <w:tcPr>
            <w:tcW w:w="1191" w:type="dxa"/>
            <w:tcBorders>
              <w:top w:val="nil"/>
              <w:left w:val="nil"/>
              <w:bottom w:val="single" w:sz="4" w:space="0" w:color="auto"/>
              <w:right w:val="single" w:sz="4" w:space="0" w:color="auto"/>
            </w:tcBorders>
            <w:shd w:val="clear" w:color="auto" w:fill="auto"/>
            <w:noWrap/>
            <w:vAlign w:val="bottom"/>
            <w:hideMark/>
          </w:tcPr>
          <w:p w14:paraId="5C9D803D"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 ÚVN</w:t>
            </w:r>
          </w:p>
        </w:tc>
        <w:tc>
          <w:tcPr>
            <w:tcW w:w="907" w:type="dxa"/>
            <w:tcBorders>
              <w:top w:val="nil"/>
              <w:left w:val="nil"/>
              <w:bottom w:val="single" w:sz="4" w:space="0" w:color="auto"/>
              <w:right w:val="single" w:sz="4" w:space="0" w:color="auto"/>
            </w:tcBorders>
            <w:shd w:val="clear" w:color="auto" w:fill="auto"/>
            <w:noWrap/>
            <w:vAlign w:val="center"/>
            <w:hideMark/>
          </w:tcPr>
          <w:p w14:paraId="214D7D2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8 625,00</w:t>
            </w:r>
          </w:p>
        </w:tc>
        <w:tc>
          <w:tcPr>
            <w:tcW w:w="794" w:type="dxa"/>
            <w:tcBorders>
              <w:top w:val="nil"/>
              <w:left w:val="nil"/>
              <w:bottom w:val="single" w:sz="4" w:space="0" w:color="auto"/>
              <w:right w:val="single" w:sz="4" w:space="0" w:color="auto"/>
            </w:tcBorders>
            <w:shd w:val="clear" w:color="auto" w:fill="auto"/>
            <w:noWrap/>
            <w:vAlign w:val="center"/>
            <w:hideMark/>
          </w:tcPr>
          <w:p w14:paraId="34C7F918" w14:textId="5A29CBA9"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16,85</w:t>
            </w:r>
          </w:p>
        </w:tc>
        <w:tc>
          <w:tcPr>
            <w:tcW w:w="907" w:type="dxa"/>
            <w:tcBorders>
              <w:top w:val="nil"/>
              <w:left w:val="nil"/>
              <w:bottom w:val="single" w:sz="4" w:space="0" w:color="auto"/>
              <w:right w:val="single" w:sz="4" w:space="0" w:color="auto"/>
            </w:tcBorders>
            <w:shd w:val="clear" w:color="auto" w:fill="auto"/>
            <w:noWrap/>
            <w:vAlign w:val="center"/>
            <w:hideMark/>
          </w:tcPr>
          <w:p w14:paraId="76ABEE13"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3CD93F5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6698F576"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3F9AE8"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0113357</w:t>
            </w:r>
          </w:p>
        </w:tc>
        <w:tc>
          <w:tcPr>
            <w:tcW w:w="510" w:type="dxa"/>
            <w:tcBorders>
              <w:top w:val="nil"/>
              <w:left w:val="nil"/>
              <w:bottom w:val="single" w:sz="4" w:space="0" w:color="auto"/>
              <w:right w:val="single" w:sz="4" w:space="0" w:color="auto"/>
            </w:tcBorders>
            <w:shd w:val="clear" w:color="auto" w:fill="auto"/>
            <w:noWrap/>
            <w:vAlign w:val="center"/>
            <w:hideMark/>
          </w:tcPr>
          <w:p w14:paraId="7D267E6F"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48CD6574"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58 075,00</w:t>
            </w:r>
          </w:p>
        </w:tc>
        <w:tc>
          <w:tcPr>
            <w:tcW w:w="1304" w:type="dxa"/>
            <w:tcBorders>
              <w:top w:val="nil"/>
              <w:left w:val="nil"/>
              <w:bottom w:val="single" w:sz="4" w:space="0" w:color="auto"/>
              <w:right w:val="single" w:sz="4" w:space="0" w:color="auto"/>
            </w:tcBorders>
            <w:shd w:val="clear" w:color="auto" w:fill="auto"/>
            <w:noWrap/>
            <w:vAlign w:val="center"/>
            <w:hideMark/>
          </w:tcPr>
          <w:p w14:paraId="0AB9FA2C"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FNM</w:t>
            </w:r>
          </w:p>
        </w:tc>
        <w:tc>
          <w:tcPr>
            <w:tcW w:w="964" w:type="dxa"/>
            <w:tcBorders>
              <w:top w:val="nil"/>
              <w:left w:val="nil"/>
              <w:bottom w:val="single" w:sz="4" w:space="0" w:color="auto"/>
              <w:right w:val="single" w:sz="4" w:space="0" w:color="auto"/>
            </w:tcBorders>
            <w:shd w:val="clear" w:color="auto" w:fill="auto"/>
            <w:noWrap/>
            <w:vAlign w:val="center"/>
            <w:hideMark/>
          </w:tcPr>
          <w:p w14:paraId="1BBF1419"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59 800,00</w:t>
            </w:r>
          </w:p>
        </w:tc>
        <w:tc>
          <w:tcPr>
            <w:tcW w:w="1191" w:type="dxa"/>
            <w:tcBorders>
              <w:top w:val="nil"/>
              <w:left w:val="nil"/>
              <w:bottom w:val="single" w:sz="4" w:space="0" w:color="auto"/>
              <w:right w:val="single" w:sz="4" w:space="0" w:color="auto"/>
            </w:tcBorders>
            <w:shd w:val="clear" w:color="auto" w:fill="auto"/>
            <w:noWrap/>
            <w:vAlign w:val="bottom"/>
            <w:hideMark/>
          </w:tcPr>
          <w:p w14:paraId="0C72B9B5"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 ÚVN</w:t>
            </w:r>
          </w:p>
        </w:tc>
        <w:tc>
          <w:tcPr>
            <w:tcW w:w="907" w:type="dxa"/>
            <w:tcBorders>
              <w:top w:val="nil"/>
              <w:left w:val="nil"/>
              <w:bottom w:val="single" w:sz="4" w:space="0" w:color="auto"/>
              <w:right w:val="single" w:sz="4" w:space="0" w:color="auto"/>
            </w:tcBorders>
            <w:shd w:val="clear" w:color="auto" w:fill="auto"/>
            <w:noWrap/>
            <w:vAlign w:val="center"/>
            <w:hideMark/>
          </w:tcPr>
          <w:p w14:paraId="284B1831"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1 725,00</w:t>
            </w:r>
          </w:p>
        </w:tc>
        <w:tc>
          <w:tcPr>
            <w:tcW w:w="794" w:type="dxa"/>
            <w:tcBorders>
              <w:top w:val="nil"/>
              <w:left w:val="nil"/>
              <w:bottom w:val="single" w:sz="4" w:space="0" w:color="auto"/>
              <w:right w:val="single" w:sz="4" w:space="0" w:color="auto"/>
            </w:tcBorders>
            <w:shd w:val="clear" w:color="auto" w:fill="auto"/>
            <w:noWrap/>
            <w:vAlign w:val="center"/>
            <w:hideMark/>
          </w:tcPr>
          <w:p w14:paraId="63EBD58F" w14:textId="1076E7AB"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2,97</w:t>
            </w:r>
          </w:p>
        </w:tc>
        <w:tc>
          <w:tcPr>
            <w:tcW w:w="907" w:type="dxa"/>
            <w:tcBorders>
              <w:top w:val="nil"/>
              <w:left w:val="nil"/>
              <w:bottom w:val="single" w:sz="4" w:space="0" w:color="auto"/>
              <w:right w:val="single" w:sz="4" w:space="0" w:color="auto"/>
            </w:tcBorders>
            <w:shd w:val="clear" w:color="auto" w:fill="auto"/>
            <w:noWrap/>
            <w:vAlign w:val="center"/>
            <w:hideMark/>
          </w:tcPr>
          <w:p w14:paraId="696CACE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093237F2"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5F714DCF"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150D92B3"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44C1A6E8"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542CEFDE"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58 075,00</w:t>
            </w:r>
          </w:p>
        </w:tc>
        <w:tc>
          <w:tcPr>
            <w:tcW w:w="1304" w:type="dxa"/>
            <w:tcBorders>
              <w:top w:val="nil"/>
              <w:left w:val="nil"/>
              <w:bottom w:val="single" w:sz="4" w:space="0" w:color="auto"/>
              <w:right w:val="single" w:sz="4" w:space="0" w:color="auto"/>
            </w:tcBorders>
            <w:shd w:val="clear" w:color="auto" w:fill="auto"/>
            <w:noWrap/>
            <w:vAlign w:val="center"/>
            <w:hideMark/>
          </w:tcPr>
          <w:p w14:paraId="5AFAEC77"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FNM</w:t>
            </w:r>
          </w:p>
        </w:tc>
        <w:tc>
          <w:tcPr>
            <w:tcW w:w="964" w:type="dxa"/>
            <w:tcBorders>
              <w:top w:val="nil"/>
              <w:left w:val="nil"/>
              <w:bottom w:val="single" w:sz="4" w:space="0" w:color="auto"/>
              <w:right w:val="single" w:sz="4" w:space="0" w:color="auto"/>
            </w:tcBorders>
            <w:shd w:val="clear" w:color="auto" w:fill="auto"/>
            <w:noWrap/>
            <w:vAlign w:val="center"/>
            <w:hideMark/>
          </w:tcPr>
          <w:p w14:paraId="674E82BF"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59 800,00</w:t>
            </w:r>
          </w:p>
        </w:tc>
        <w:tc>
          <w:tcPr>
            <w:tcW w:w="1191" w:type="dxa"/>
            <w:tcBorders>
              <w:top w:val="nil"/>
              <w:left w:val="nil"/>
              <w:bottom w:val="single" w:sz="4" w:space="0" w:color="auto"/>
              <w:right w:val="single" w:sz="4" w:space="0" w:color="auto"/>
            </w:tcBorders>
            <w:shd w:val="clear" w:color="auto" w:fill="auto"/>
            <w:noWrap/>
            <w:vAlign w:val="bottom"/>
            <w:hideMark/>
          </w:tcPr>
          <w:p w14:paraId="49FABA58"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 ÚVN</w:t>
            </w:r>
          </w:p>
        </w:tc>
        <w:tc>
          <w:tcPr>
            <w:tcW w:w="907" w:type="dxa"/>
            <w:tcBorders>
              <w:top w:val="nil"/>
              <w:left w:val="nil"/>
              <w:bottom w:val="single" w:sz="4" w:space="0" w:color="auto"/>
              <w:right w:val="single" w:sz="4" w:space="0" w:color="auto"/>
            </w:tcBorders>
            <w:shd w:val="clear" w:color="auto" w:fill="auto"/>
            <w:noWrap/>
            <w:vAlign w:val="center"/>
            <w:hideMark/>
          </w:tcPr>
          <w:p w14:paraId="32CB9D75"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1 725,00</w:t>
            </w:r>
          </w:p>
        </w:tc>
        <w:tc>
          <w:tcPr>
            <w:tcW w:w="794" w:type="dxa"/>
            <w:tcBorders>
              <w:top w:val="nil"/>
              <w:left w:val="nil"/>
              <w:bottom w:val="single" w:sz="4" w:space="0" w:color="auto"/>
              <w:right w:val="single" w:sz="4" w:space="0" w:color="auto"/>
            </w:tcBorders>
            <w:shd w:val="clear" w:color="auto" w:fill="auto"/>
            <w:noWrap/>
            <w:vAlign w:val="center"/>
            <w:hideMark/>
          </w:tcPr>
          <w:p w14:paraId="48646307" w14:textId="3CA2335C"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2,97</w:t>
            </w:r>
          </w:p>
        </w:tc>
        <w:tc>
          <w:tcPr>
            <w:tcW w:w="907" w:type="dxa"/>
            <w:tcBorders>
              <w:top w:val="nil"/>
              <w:left w:val="nil"/>
              <w:bottom w:val="single" w:sz="4" w:space="0" w:color="auto"/>
              <w:right w:val="single" w:sz="4" w:space="0" w:color="auto"/>
            </w:tcBorders>
            <w:shd w:val="clear" w:color="auto" w:fill="auto"/>
            <w:noWrap/>
            <w:vAlign w:val="center"/>
            <w:hideMark/>
          </w:tcPr>
          <w:p w14:paraId="4E37CEF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4E0CE31A"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5B00C486"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C2F796"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0141338</w:t>
            </w:r>
          </w:p>
        </w:tc>
        <w:tc>
          <w:tcPr>
            <w:tcW w:w="510" w:type="dxa"/>
            <w:tcBorders>
              <w:top w:val="nil"/>
              <w:left w:val="nil"/>
              <w:bottom w:val="single" w:sz="4" w:space="0" w:color="auto"/>
              <w:right w:val="single" w:sz="4" w:space="0" w:color="auto"/>
            </w:tcBorders>
            <w:shd w:val="clear" w:color="auto" w:fill="auto"/>
            <w:noWrap/>
            <w:vAlign w:val="center"/>
            <w:hideMark/>
          </w:tcPr>
          <w:p w14:paraId="0AA0F2DD"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5B91B2B1"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282 378,00</w:t>
            </w:r>
          </w:p>
        </w:tc>
        <w:tc>
          <w:tcPr>
            <w:tcW w:w="1304" w:type="dxa"/>
            <w:tcBorders>
              <w:top w:val="nil"/>
              <w:left w:val="nil"/>
              <w:bottom w:val="single" w:sz="4" w:space="0" w:color="auto"/>
              <w:right w:val="single" w:sz="4" w:space="0" w:color="auto"/>
            </w:tcBorders>
            <w:shd w:val="clear" w:color="auto" w:fill="auto"/>
            <w:noWrap/>
            <w:vAlign w:val="center"/>
            <w:hideMark/>
          </w:tcPr>
          <w:p w14:paraId="7F812928"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1914E336"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282 451,50</w:t>
            </w:r>
          </w:p>
        </w:tc>
        <w:tc>
          <w:tcPr>
            <w:tcW w:w="1191" w:type="dxa"/>
            <w:tcBorders>
              <w:top w:val="nil"/>
              <w:left w:val="nil"/>
              <w:bottom w:val="single" w:sz="4" w:space="0" w:color="auto"/>
              <w:right w:val="single" w:sz="4" w:space="0" w:color="auto"/>
            </w:tcBorders>
            <w:shd w:val="clear" w:color="auto" w:fill="auto"/>
            <w:noWrap/>
            <w:vAlign w:val="bottom"/>
            <w:hideMark/>
          </w:tcPr>
          <w:p w14:paraId="515D55E0"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04B44241"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73,50</w:t>
            </w:r>
          </w:p>
        </w:tc>
        <w:tc>
          <w:tcPr>
            <w:tcW w:w="794" w:type="dxa"/>
            <w:tcBorders>
              <w:top w:val="nil"/>
              <w:left w:val="nil"/>
              <w:bottom w:val="single" w:sz="4" w:space="0" w:color="auto"/>
              <w:right w:val="single" w:sz="4" w:space="0" w:color="auto"/>
            </w:tcBorders>
            <w:shd w:val="clear" w:color="auto" w:fill="auto"/>
            <w:noWrap/>
            <w:vAlign w:val="center"/>
            <w:hideMark/>
          </w:tcPr>
          <w:p w14:paraId="125E5CDB" w14:textId="359918A7"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0,03</w:t>
            </w:r>
          </w:p>
        </w:tc>
        <w:tc>
          <w:tcPr>
            <w:tcW w:w="907" w:type="dxa"/>
            <w:tcBorders>
              <w:top w:val="nil"/>
              <w:left w:val="nil"/>
              <w:bottom w:val="single" w:sz="4" w:space="0" w:color="auto"/>
              <w:right w:val="single" w:sz="4" w:space="0" w:color="auto"/>
            </w:tcBorders>
            <w:shd w:val="clear" w:color="auto" w:fill="auto"/>
            <w:noWrap/>
            <w:vAlign w:val="center"/>
            <w:hideMark/>
          </w:tcPr>
          <w:p w14:paraId="491CFB9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77ED05B4"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02F39AC9"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47802584"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1A2C14D1"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282763EE"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274 999,50</w:t>
            </w:r>
          </w:p>
        </w:tc>
        <w:tc>
          <w:tcPr>
            <w:tcW w:w="1304" w:type="dxa"/>
            <w:tcBorders>
              <w:top w:val="nil"/>
              <w:left w:val="nil"/>
              <w:bottom w:val="single" w:sz="4" w:space="0" w:color="auto"/>
              <w:right w:val="single" w:sz="4" w:space="0" w:color="auto"/>
            </w:tcBorders>
            <w:shd w:val="clear" w:color="auto" w:fill="auto"/>
            <w:noWrap/>
            <w:vAlign w:val="center"/>
            <w:hideMark/>
          </w:tcPr>
          <w:p w14:paraId="0A315850"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2215A70B"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282 378,00</w:t>
            </w:r>
          </w:p>
        </w:tc>
        <w:tc>
          <w:tcPr>
            <w:tcW w:w="1191" w:type="dxa"/>
            <w:tcBorders>
              <w:top w:val="nil"/>
              <w:left w:val="nil"/>
              <w:bottom w:val="single" w:sz="4" w:space="0" w:color="auto"/>
              <w:right w:val="single" w:sz="4" w:space="0" w:color="auto"/>
            </w:tcBorders>
            <w:shd w:val="clear" w:color="auto" w:fill="auto"/>
            <w:noWrap/>
            <w:vAlign w:val="bottom"/>
            <w:hideMark/>
          </w:tcPr>
          <w:p w14:paraId="33B60A64"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ÚVN</w:t>
            </w:r>
          </w:p>
        </w:tc>
        <w:tc>
          <w:tcPr>
            <w:tcW w:w="907" w:type="dxa"/>
            <w:tcBorders>
              <w:top w:val="nil"/>
              <w:left w:val="nil"/>
              <w:bottom w:val="single" w:sz="4" w:space="0" w:color="auto"/>
              <w:right w:val="single" w:sz="4" w:space="0" w:color="auto"/>
            </w:tcBorders>
            <w:shd w:val="clear" w:color="auto" w:fill="auto"/>
            <w:noWrap/>
            <w:vAlign w:val="center"/>
            <w:hideMark/>
          </w:tcPr>
          <w:p w14:paraId="69B97D69"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7 378,50</w:t>
            </w:r>
          </w:p>
        </w:tc>
        <w:tc>
          <w:tcPr>
            <w:tcW w:w="794" w:type="dxa"/>
            <w:tcBorders>
              <w:top w:val="nil"/>
              <w:left w:val="nil"/>
              <w:bottom w:val="single" w:sz="4" w:space="0" w:color="auto"/>
              <w:right w:val="single" w:sz="4" w:space="0" w:color="auto"/>
            </w:tcBorders>
            <w:shd w:val="clear" w:color="auto" w:fill="auto"/>
            <w:noWrap/>
            <w:vAlign w:val="center"/>
            <w:hideMark/>
          </w:tcPr>
          <w:p w14:paraId="0C0D123E" w14:textId="4D539C67"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2,68</w:t>
            </w:r>
          </w:p>
        </w:tc>
        <w:tc>
          <w:tcPr>
            <w:tcW w:w="907" w:type="dxa"/>
            <w:tcBorders>
              <w:top w:val="nil"/>
              <w:left w:val="nil"/>
              <w:bottom w:val="single" w:sz="4" w:space="0" w:color="auto"/>
              <w:right w:val="single" w:sz="4" w:space="0" w:color="auto"/>
            </w:tcBorders>
            <w:shd w:val="clear" w:color="auto" w:fill="auto"/>
            <w:noWrap/>
            <w:vAlign w:val="center"/>
            <w:hideMark/>
          </w:tcPr>
          <w:p w14:paraId="6C8199F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42FD1AA2"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32FA26BD"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5685D401"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6723130A"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479E4DF5"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274 999,50</w:t>
            </w:r>
          </w:p>
        </w:tc>
        <w:tc>
          <w:tcPr>
            <w:tcW w:w="1304" w:type="dxa"/>
            <w:tcBorders>
              <w:top w:val="nil"/>
              <w:left w:val="nil"/>
              <w:bottom w:val="single" w:sz="4" w:space="0" w:color="auto"/>
              <w:right w:val="single" w:sz="4" w:space="0" w:color="auto"/>
            </w:tcBorders>
            <w:shd w:val="clear" w:color="auto" w:fill="auto"/>
            <w:noWrap/>
            <w:vAlign w:val="center"/>
            <w:hideMark/>
          </w:tcPr>
          <w:p w14:paraId="1F219C5A"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6777F532"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282 378,00</w:t>
            </w:r>
          </w:p>
        </w:tc>
        <w:tc>
          <w:tcPr>
            <w:tcW w:w="1191" w:type="dxa"/>
            <w:tcBorders>
              <w:top w:val="nil"/>
              <w:left w:val="nil"/>
              <w:bottom w:val="single" w:sz="4" w:space="0" w:color="auto"/>
              <w:right w:val="single" w:sz="4" w:space="0" w:color="auto"/>
            </w:tcBorders>
            <w:shd w:val="clear" w:color="auto" w:fill="auto"/>
            <w:noWrap/>
            <w:vAlign w:val="bottom"/>
            <w:hideMark/>
          </w:tcPr>
          <w:p w14:paraId="00066A77"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ÚVN</w:t>
            </w:r>
          </w:p>
        </w:tc>
        <w:tc>
          <w:tcPr>
            <w:tcW w:w="907" w:type="dxa"/>
            <w:tcBorders>
              <w:top w:val="nil"/>
              <w:left w:val="nil"/>
              <w:bottom w:val="single" w:sz="4" w:space="0" w:color="auto"/>
              <w:right w:val="single" w:sz="4" w:space="0" w:color="auto"/>
            </w:tcBorders>
            <w:shd w:val="clear" w:color="auto" w:fill="auto"/>
            <w:noWrap/>
            <w:vAlign w:val="center"/>
            <w:hideMark/>
          </w:tcPr>
          <w:p w14:paraId="112F0EE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7 378,50</w:t>
            </w:r>
          </w:p>
        </w:tc>
        <w:tc>
          <w:tcPr>
            <w:tcW w:w="794" w:type="dxa"/>
            <w:tcBorders>
              <w:top w:val="nil"/>
              <w:left w:val="nil"/>
              <w:bottom w:val="single" w:sz="4" w:space="0" w:color="auto"/>
              <w:right w:val="single" w:sz="4" w:space="0" w:color="auto"/>
            </w:tcBorders>
            <w:shd w:val="clear" w:color="auto" w:fill="auto"/>
            <w:noWrap/>
            <w:vAlign w:val="center"/>
            <w:hideMark/>
          </w:tcPr>
          <w:p w14:paraId="555B8C2F" w14:textId="1BA3FE2D"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2,68</w:t>
            </w:r>
          </w:p>
        </w:tc>
        <w:tc>
          <w:tcPr>
            <w:tcW w:w="907" w:type="dxa"/>
            <w:tcBorders>
              <w:top w:val="nil"/>
              <w:left w:val="nil"/>
              <w:bottom w:val="single" w:sz="4" w:space="0" w:color="auto"/>
              <w:right w:val="single" w:sz="4" w:space="0" w:color="auto"/>
            </w:tcBorders>
            <w:shd w:val="clear" w:color="auto" w:fill="auto"/>
            <w:noWrap/>
            <w:vAlign w:val="center"/>
            <w:hideMark/>
          </w:tcPr>
          <w:p w14:paraId="341DCD85"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766244E6"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370D6422"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ACEBD0"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0192089</w:t>
            </w:r>
          </w:p>
        </w:tc>
        <w:tc>
          <w:tcPr>
            <w:tcW w:w="510" w:type="dxa"/>
            <w:tcBorders>
              <w:top w:val="nil"/>
              <w:left w:val="nil"/>
              <w:bottom w:val="single" w:sz="4" w:space="0" w:color="auto"/>
              <w:right w:val="single" w:sz="4" w:space="0" w:color="auto"/>
            </w:tcBorders>
            <w:shd w:val="clear" w:color="auto" w:fill="auto"/>
            <w:noWrap/>
            <w:vAlign w:val="center"/>
            <w:hideMark/>
          </w:tcPr>
          <w:p w14:paraId="21DF6B86"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132CA8CF"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118 324,00</w:t>
            </w:r>
          </w:p>
        </w:tc>
        <w:tc>
          <w:tcPr>
            <w:tcW w:w="1304" w:type="dxa"/>
            <w:tcBorders>
              <w:top w:val="nil"/>
              <w:left w:val="nil"/>
              <w:bottom w:val="single" w:sz="4" w:space="0" w:color="auto"/>
              <w:right w:val="single" w:sz="4" w:space="0" w:color="auto"/>
            </w:tcBorders>
            <w:shd w:val="clear" w:color="auto" w:fill="auto"/>
            <w:noWrap/>
            <w:vAlign w:val="center"/>
            <w:hideMark/>
          </w:tcPr>
          <w:p w14:paraId="3354B85C"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54316CE0"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118 324,19</w:t>
            </w:r>
          </w:p>
        </w:tc>
        <w:tc>
          <w:tcPr>
            <w:tcW w:w="1191" w:type="dxa"/>
            <w:tcBorders>
              <w:top w:val="nil"/>
              <w:left w:val="nil"/>
              <w:bottom w:val="single" w:sz="4" w:space="0" w:color="auto"/>
              <w:right w:val="single" w:sz="4" w:space="0" w:color="auto"/>
            </w:tcBorders>
            <w:shd w:val="clear" w:color="auto" w:fill="auto"/>
            <w:noWrap/>
            <w:vAlign w:val="bottom"/>
            <w:hideMark/>
          </w:tcPr>
          <w:p w14:paraId="072AA3D9"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FNM</w:t>
            </w:r>
          </w:p>
        </w:tc>
        <w:tc>
          <w:tcPr>
            <w:tcW w:w="907" w:type="dxa"/>
            <w:tcBorders>
              <w:top w:val="nil"/>
              <w:left w:val="nil"/>
              <w:bottom w:val="single" w:sz="4" w:space="0" w:color="auto"/>
              <w:right w:val="single" w:sz="4" w:space="0" w:color="auto"/>
            </w:tcBorders>
            <w:shd w:val="clear" w:color="auto" w:fill="auto"/>
            <w:noWrap/>
            <w:vAlign w:val="center"/>
            <w:hideMark/>
          </w:tcPr>
          <w:p w14:paraId="09DC607A"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0,19</w:t>
            </w:r>
          </w:p>
        </w:tc>
        <w:tc>
          <w:tcPr>
            <w:tcW w:w="794" w:type="dxa"/>
            <w:tcBorders>
              <w:top w:val="nil"/>
              <w:left w:val="nil"/>
              <w:bottom w:val="single" w:sz="4" w:space="0" w:color="auto"/>
              <w:right w:val="single" w:sz="4" w:space="0" w:color="auto"/>
            </w:tcBorders>
            <w:shd w:val="clear" w:color="auto" w:fill="auto"/>
            <w:noWrap/>
            <w:vAlign w:val="center"/>
            <w:hideMark/>
          </w:tcPr>
          <w:p w14:paraId="666DD4FA" w14:textId="7D5AC741"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0,00</w:t>
            </w:r>
          </w:p>
        </w:tc>
        <w:tc>
          <w:tcPr>
            <w:tcW w:w="907" w:type="dxa"/>
            <w:tcBorders>
              <w:top w:val="nil"/>
              <w:left w:val="nil"/>
              <w:bottom w:val="single" w:sz="4" w:space="0" w:color="auto"/>
              <w:right w:val="single" w:sz="4" w:space="0" w:color="auto"/>
            </w:tcBorders>
            <w:shd w:val="clear" w:color="auto" w:fill="auto"/>
            <w:noWrap/>
            <w:vAlign w:val="center"/>
            <w:hideMark/>
          </w:tcPr>
          <w:p w14:paraId="1E905E8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238817F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3E51BCD4"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17C745AB"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52C87861"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6FBEF11C"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112 408,01</w:t>
            </w:r>
          </w:p>
        </w:tc>
        <w:tc>
          <w:tcPr>
            <w:tcW w:w="1304" w:type="dxa"/>
            <w:tcBorders>
              <w:top w:val="nil"/>
              <w:left w:val="nil"/>
              <w:bottom w:val="single" w:sz="4" w:space="0" w:color="auto"/>
              <w:right w:val="single" w:sz="4" w:space="0" w:color="auto"/>
            </w:tcBorders>
            <w:shd w:val="clear" w:color="auto" w:fill="auto"/>
            <w:noWrap/>
            <w:vAlign w:val="center"/>
            <w:hideMark/>
          </w:tcPr>
          <w:p w14:paraId="0B34B12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FNM</w:t>
            </w:r>
          </w:p>
        </w:tc>
        <w:tc>
          <w:tcPr>
            <w:tcW w:w="964" w:type="dxa"/>
            <w:tcBorders>
              <w:top w:val="nil"/>
              <w:left w:val="nil"/>
              <w:bottom w:val="single" w:sz="4" w:space="0" w:color="auto"/>
              <w:right w:val="single" w:sz="4" w:space="0" w:color="auto"/>
            </w:tcBorders>
            <w:shd w:val="clear" w:color="auto" w:fill="auto"/>
            <w:noWrap/>
            <w:vAlign w:val="center"/>
            <w:hideMark/>
          </w:tcPr>
          <w:p w14:paraId="7F7C7031"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118 324,19</w:t>
            </w:r>
          </w:p>
        </w:tc>
        <w:tc>
          <w:tcPr>
            <w:tcW w:w="1191" w:type="dxa"/>
            <w:tcBorders>
              <w:top w:val="nil"/>
              <w:left w:val="nil"/>
              <w:bottom w:val="single" w:sz="4" w:space="0" w:color="auto"/>
              <w:right w:val="single" w:sz="4" w:space="0" w:color="auto"/>
            </w:tcBorders>
            <w:shd w:val="clear" w:color="auto" w:fill="auto"/>
            <w:noWrap/>
            <w:vAlign w:val="bottom"/>
            <w:hideMark/>
          </w:tcPr>
          <w:p w14:paraId="63E8F7E4"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 FNM</w:t>
            </w:r>
          </w:p>
        </w:tc>
        <w:tc>
          <w:tcPr>
            <w:tcW w:w="907" w:type="dxa"/>
            <w:tcBorders>
              <w:top w:val="nil"/>
              <w:left w:val="nil"/>
              <w:bottom w:val="single" w:sz="4" w:space="0" w:color="auto"/>
              <w:right w:val="single" w:sz="4" w:space="0" w:color="auto"/>
            </w:tcBorders>
            <w:shd w:val="clear" w:color="auto" w:fill="auto"/>
            <w:noWrap/>
            <w:vAlign w:val="center"/>
            <w:hideMark/>
          </w:tcPr>
          <w:p w14:paraId="7B7ADBD6"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5 916,18</w:t>
            </w:r>
          </w:p>
        </w:tc>
        <w:tc>
          <w:tcPr>
            <w:tcW w:w="794" w:type="dxa"/>
            <w:tcBorders>
              <w:top w:val="nil"/>
              <w:left w:val="nil"/>
              <w:bottom w:val="single" w:sz="4" w:space="0" w:color="auto"/>
              <w:right w:val="single" w:sz="4" w:space="0" w:color="auto"/>
            </w:tcBorders>
            <w:shd w:val="clear" w:color="auto" w:fill="auto"/>
            <w:noWrap/>
            <w:vAlign w:val="center"/>
            <w:hideMark/>
          </w:tcPr>
          <w:p w14:paraId="3350A42B" w14:textId="1E9B10AF"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5,26</w:t>
            </w:r>
          </w:p>
        </w:tc>
        <w:tc>
          <w:tcPr>
            <w:tcW w:w="907" w:type="dxa"/>
            <w:tcBorders>
              <w:top w:val="nil"/>
              <w:left w:val="nil"/>
              <w:bottom w:val="single" w:sz="4" w:space="0" w:color="auto"/>
              <w:right w:val="single" w:sz="4" w:space="0" w:color="auto"/>
            </w:tcBorders>
            <w:shd w:val="clear" w:color="auto" w:fill="auto"/>
            <w:noWrap/>
            <w:vAlign w:val="center"/>
            <w:hideMark/>
          </w:tcPr>
          <w:p w14:paraId="37B6D02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7B5D1DE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72B058BD"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60C5DF9D"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222078A2"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52C09639"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82 826,93</w:t>
            </w:r>
          </w:p>
        </w:tc>
        <w:tc>
          <w:tcPr>
            <w:tcW w:w="1304" w:type="dxa"/>
            <w:tcBorders>
              <w:top w:val="nil"/>
              <w:left w:val="nil"/>
              <w:bottom w:val="single" w:sz="4" w:space="0" w:color="auto"/>
              <w:right w:val="single" w:sz="4" w:space="0" w:color="auto"/>
            </w:tcBorders>
            <w:shd w:val="clear" w:color="auto" w:fill="auto"/>
            <w:noWrap/>
            <w:vAlign w:val="center"/>
            <w:hideMark/>
          </w:tcPr>
          <w:p w14:paraId="414FEB76"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3208F725"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118 324,19</w:t>
            </w:r>
          </w:p>
        </w:tc>
        <w:tc>
          <w:tcPr>
            <w:tcW w:w="1191" w:type="dxa"/>
            <w:tcBorders>
              <w:top w:val="nil"/>
              <w:left w:val="nil"/>
              <w:bottom w:val="single" w:sz="4" w:space="0" w:color="auto"/>
              <w:right w:val="single" w:sz="4" w:space="0" w:color="auto"/>
            </w:tcBorders>
            <w:shd w:val="clear" w:color="auto" w:fill="auto"/>
            <w:noWrap/>
            <w:vAlign w:val="bottom"/>
            <w:hideMark/>
          </w:tcPr>
          <w:p w14:paraId="1CFE01C9"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w:t>
            </w:r>
          </w:p>
        </w:tc>
        <w:tc>
          <w:tcPr>
            <w:tcW w:w="907" w:type="dxa"/>
            <w:tcBorders>
              <w:top w:val="nil"/>
              <w:left w:val="nil"/>
              <w:bottom w:val="single" w:sz="4" w:space="0" w:color="auto"/>
              <w:right w:val="single" w:sz="4" w:space="0" w:color="auto"/>
            </w:tcBorders>
            <w:shd w:val="clear" w:color="auto" w:fill="auto"/>
            <w:noWrap/>
            <w:vAlign w:val="center"/>
            <w:hideMark/>
          </w:tcPr>
          <w:p w14:paraId="57975076"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35 497,26</w:t>
            </w:r>
          </w:p>
        </w:tc>
        <w:tc>
          <w:tcPr>
            <w:tcW w:w="794" w:type="dxa"/>
            <w:tcBorders>
              <w:top w:val="nil"/>
              <w:left w:val="nil"/>
              <w:bottom w:val="single" w:sz="4" w:space="0" w:color="auto"/>
              <w:right w:val="single" w:sz="4" w:space="0" w:color="auto"/>
            </w:tcBorders>
            <w:shd w:val="clear" w:color="auto" w:fill="auto"/>
            <w:noWrap/>
            <w:vAlign w:val="center"/>
            <w:hideMark/>
          </w:tcPr>
          <w:p w14:paraId="62F6B3E7" w14:textId="3DDBDE05"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42,86</w:t>
            </w:r>
          </w:p>
        </w:tc>
        <w:tc>
          <w:tcPr>
            <w:tcW w:w="907" w:type="dxa"/>
            <w:tcBorders>
              <w:top w:val="nil"/>
              <w:left w:val="nil"/>
              <w:bottom w:val="single" w:sz="4" w:space="0" w:color="auto"/>
              <w:right w:val="single" w:sz="4" w:space="0" w:color="auto"/>
            </w:tcBorders>
            <w:shd w:val="clear" w:color="auto" w:fill="auto"/>
            <w:noWrap/>
            <w:vAlign w:val="center"/>
            <w:hideMark/>
          </w:tcPr>
          <w:p w14:paraId="2D609A7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6E133A4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4BEF2D8E"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49307C"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0193339</w:t>
            </w:r>
          </w:p>
        </w:tc>
        <w:tc>
          <w:tcPr>
            <w:tcW w:w="510" w:type="dxa"/>
            <w:tcBorders>
              <w:top w:val="nil"/>
              <w:left w:val="nil"/>
              <w:bottom w:val="single" w:sz="4" w:space="0" w:color="auto"/>
              <w:right w:val="single" w:sz="4" w:space="0" w:color="auto"/>
            </w:tcBorders>
            <w:shd w:val="clear" w:color="auto" w:fill="auto"/>
            <w:noWrap/>
            <w:vAlign w:val="center"/>
            <w:hideMark/>
          </w:tcPr>
          <w:p w14:paraId="7CD5FF8D"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2014</w:t>
            </w:r>
          </w:p>
        </w:tc>
        <w:tc>
          <w:tcPr>
            <w:tcW w:w="964" w:type="dxa"/>
            <w:tcBorders>
              <w:top w:val="nil"/>
              <w:left w:val="nil"/>
              <w:bottom w:val="single" w:sz="4" w:space="0" w:color="auto"/>
              <w:right w:val="single" w:sz="4" w:space="0" w:color="auto"/>
            </w:tcBorders>
            <w:shd w:val="clear" w:color="auto" w:fill="auto"/>
            <w:noWrap/>
            <w:vAlign w:val="center"/>
            <w:hideMark/>
          </w:tcPr>
          <w:p w14:paraId="38B9C3D4"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71 797,00</w:t>
            </w:r>
          </w:p>
        </w:tc>
        <w:tc>
          <w:tcPr>
            <w:tcW w:w="1304" w:type="dxa"/>
            <w:tcBorders>
              <w:top w:val="nil"/>
              <w:left w:val="nil"/>
              <w:bottom w:val="single" w:sz="4" w:space="0" w:color="auto"/>
              <w:right w:val="single" w:sz="4" w:space="0" w:color="auto"/>
            </w:tcBorders>
            <w:shd w:val="clear" w:color="auto" w:fill="auto"/>
            <w:noWrap/>
            <w:vAlign w:val="center"/>
            <w:hideMark/>
          </w:tcPr>
          <w:p w14:paraId="499A5C61"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41D6D034"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74 410,60</w:t>
            </w:r>
          </w:p>
        </w:tc>
        <w:tc>
          <w:tcPr>
            <w:tcW w:w="1191" w:type="dxa"/>
            <w:tcBorders>
              <w:top w:val="nil"/>
              <w:left w:val="nil"/>
              <w:bottom w:val="single" w:sz="4" w:space="0" w:color="auto"/>
              <w:right w:val="single" w:sz="4" w:space="0" w:color="auto"/>
            </w:tcBorders>
            <w:shd w:val="clear" w:color="auto" w:fill="auto"/>
            <w:noWrap/>
            <w:vAlign w:val="bottom"/>
            <w:hideMark/>
          </w:tcPr>
          <w:p w14:paraId="68FE21FF"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w:t>
            </w:r>
          </w:p>
        </w:tc>
        <w:tc>
          <w:tcPr>
            <w:tcW w:w="907" w:type="dxa"/>
            <w:tcBorders>
              <w:top w:val="nil"/>
              <w:left w:val="nil"/>
              <w:bottom w:val="single" w:sz="4" w:space="0" w:color="auto"/>
              <w:right w:val="single" w:sz="4" w:space="0" w:color="auto"/>
            </w:tcBorders>
            <w:shd w:val="clear" w:color="auto" w:fill="auto"/>
            <w:noWrap/>
            <w:vAlign w:val="center"/>
            <w:hideMark/>
          </w:tcPr>
          <w:p w14:paraId="786B1BE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2 613,60</w:t>
            </w:r>
          </w:p>
        </w:tc>
        <w:tc>
          <w:tcPr>
            <w:tcW w:w="794" w:type="dxa"/>
            <w:tcBorders>
              <w:top w:val="nil"/>
              <w:left w:val="nil"/>
              <w:bottom w:val="single" w:sz="4" w:space="0" w:color="auto"/>
              <w:right w:val="single" w:sz="4" w:space="0" w:color="auto"/>
            </w:tcBorders>
            <w:shd w:val="clear" w:color="auto" w:fill="auto"/>
            <w:noWrap/>
            <w:vAlign w:val="center"/>
            <w:hideMark/>
          </w:tcPr>
          <w:p w14:paraId="401B9A08" w14:textId="36E1347E"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3,64</w:t>
            </w:r>
          </w:p>
        </w:tc>
        <w:tc>
          <w:tcPr>
            <w:tcW w:w="907" w:type="dxa"/>
            <w:tcBorders>
              <w:top w:val="nil"/>
              <w:left w:val="nil"/>
              <w:bottom w:val="single" w:sz="4" w:space="0" w:color="auto"/>
              <w:right w:val="single" w:sz="4" w:space="0" w:color="auto"/>
            </w:tcBorders>
            <w:shd w:val="clear" w:color="auto" w:fill="auto"/>
            <w:noWrap/>
            <w:vAlign w:val="center"/>
            <w:hideMark/>
          </w:tcPr>
          <w:p w14:paraId="7DF108A2"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22E525F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1C2CD4BF"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31B387D7"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4F6F021F"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70B12FE2"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70 687,16</w:t>
            </w:r>
          </w:p>
        </w:tc>
        <w:tc>
          <w:tcPr>
            <w:tcW w:w="1304" w:type="dxa"/>
            <w:tcBorders>
              <w:top w:val="nil"/>
              <w:left w:val="nil"/>
              <w:bottom w:val="single" w:sz="4" w:space="0" w:color="auto"/>
              <w:right w:val="single" w:sz="4" w:space="0" w:color="auto"/>
            </w:tcBorders>
            <w:shd w:val="clear" w:color="auto" w:fill="auto"/>
            <w:noWrap/>
            <w:vAlign w:val="center"/>
            <w:hideMark/>
          </w:tcPr>
          <w:p w14:paraId="5886DC06"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FNM</w:t>
            </w:r>
          </w:p>
        </w:tc>
        <w:tc>
          <w:tcPr>
            <w:tcW w:w="964" w:type="dxa"/>
            <w:tcBorders>
              <w:top w:val="nil"/>
              <w:left w:val="nil"/>
              <w:bottom w:val="single" w:sz="4" w:space="0" w:color="auto"/>
              <w:right w:val="single" w:sz="4" w:space="0" w:color="auto"/>
            </w:tcBorders>
            <w:shd w:val="clear" w:color="auto" w:fill="auto"/>
            <w:noWrap/>
            <w:vAlign w:val="center"/>
            <w:hideMark/>
          </w:tcPr>
          <w:p w14:paraId="48B3B3D0"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74 410,87</w:t>
            </w:r>
          </w:p>
        </w:tc>
        <w:tc>
          <w:tcPr>
            <w:tcW w:w="1191" w:type="dxa"/>
            <w:tcBorders>
              <w:top w:val="nil"/>
              <w:left w:val="nil"/>
              <w:bottom w:val="single" w:sz="4" w:space="0" w:color="auto"/>
              <w:right w:val="single" w:sz="4" w:space="0" w:color="auto"/>
            </w:tcBorders>
            <w:shd w:val="clear" w:color="auto" w:fill="auto"/>
            <w:noWrap/>
            <w:vAlign w:val="bottom"/>
            <w:hideMark/>
          </w:tcPr>
          <w:p w14:paraId="3106000A"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w:t>
            </w:r>
          </w:p>
        </w:tc>
        <w:tc>
          <w:tcPr>
            <w:tcW w:w="907" w:type="dxa"/>
            <w:tcBorders>
              <w:top w:val="nil"/>
              <w:left w:val="nil"/>
              <w:bottom w:val="single" w:sz="4" w:space="0" w:color="auto"/>
              <w:right w:val="single" w:sz="4" w:space="0" w:color="auto"/>
            </w:tcBorders>
            <w:shd w:val="clear" w:color="auto" w:fill="auto"/>
            <w:noWrap/>
            <w:vAlign w:val="center"/>
            <w:hideMark/>
          </w:tcPr>
          <w:p w14:paraId="4E3C526E"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3 723,71</w:t>
            </w:r>
          </w:p>
        </w:tc>
        <w:tc>
          <w:tcPr>
            <w:tcW w:w="794" w:type="dxa"/>
            <w:tcBorders>
              <w:top w:val="nil"/>
              <w:left w:val="nil"/>
              <w:bottom w:val="single" w:sz="4" w:space="0" w:color="auto"/>
              <w:right w:val="single" w:sz="4" w:space="0" w:color="auto"/>
            </w:tcBorders>
            <w:shd w:val="clear" w:color="auto" w:fill="auto"/>
            <w:noWrap/>
            <w:vAlign w:val="center"/>
            <w:hideMark/>
          </w:tcPr>
          <w:p w14:paraId="7B3314C8" w14:textId="78A794F8"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5,27</w:t>
            </w:r>
          </w:p>
        </w:tc>
        <w:tc>
          <w:tcPr>
            <w:tcW w:w="907" w:type="dxa"/>
            <w:tcBorders>
              <w:top w:val="nil"/>
              <w:left w:val="nil"/>
              <w:bottom w:val="single" w:sz="4" w:space="0" w:color="auto"/>
              <w:right w:val="single" w:sz="4" w:space="0" w:color="auto"/>
            </w:tcBorders>
            <w:shd w:val="clear" w:color="auto" w:fill="auto"/>
            <w:noWrap/>
            <w:vAlign w:val="center"/>
            <w:hideMark/>
          </w:tcPr>
          <w:p w14:paraId="71B14027"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37F70FF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17028592"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7EEA5E94"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003B40A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7C2B8434"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44 646,52</w:t>
            </w:r>
          </w:p>
        </w:tc>
        <w:tc>
          <w:tcPr>
            <w:tcW w:w="1304" w:type="dxa"/>
            <w:tcBorders>
              <w:top w:val="nil"/>
              <w:left w:val="nil"/>
              <w:bottom w:val="single" w:sz="4" w:space="0" w:color="auto"/>
              <w:right w:val="single" w:sz="4" w:space="0" w:color="auto"/>
            </w:tcBorders>
            <w:shd w:val="clear" w:color="auto" w:fill="auto"/>
            <w:noWrap/>
            <w:vAlign w:val="center"/>
            <w:hideMark/>
          </w:tcPr>
          <w:p w14:paraId="2C7BBAAD"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w:t>
            </w:r>
          </w:p>
        </w:tc>
        <w:tc>
          <w:tcPr>
            <w:tcW w:w="964" w:type="dxa"/>
            <w:tcBorders>
              <w:top w:val="nil"/>
              <w:left w:val="nil"/>
              <w:bottom w:val="single" w:sz="4" w:space="0" w:color="auto"/>
              <w:right w:val="single" w:sz="4" w:space="0" w:color="auto"/>
            </w:tcBorders>
            <w:shd w:val="clear" w:color="auto" w:fill="auto"/>
            <w:noWrap/>
            <w:vAlign w:val="center"/>
            <w:hideMark/>
          </w:tcPr>
          <w:p w14:paraId="21B54369"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74 410,87</w:t>
            </w:r>
          </w:p>
        </w:tc>
        <w:tc>
          <w:tcPr>
            <w:tcW w:w="1191" w:type="dxa"/>
            <w:tcBorders>
              <w:top w:val="nil"/>
              <w:left w:val="nil"/>
              <w:bottom w:val="single" w:sz="4" w:space="0" w:color="auto"/>
              <w:right w:val="single" w:sz="4" w:space="0" w:color="auto"/>
            </w:tcBorders>
            <w:shd w:val="clear" w:color="auto" w:fill="auto"/>
            <w:noWrap/>
            <w:vAlign w:val="bottom"/>
            <w:hideMark/>
          </w:tcPr>
          <w:p w14:paraId="41E7CE57"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w:t>
            </w:r>
          </w:p>
        </w:tc>
        <w:tc>
          <w:tcPr>
            <w:tcW w:w="907" w:type="dxa"/>
            <w:tcBorders>
              <w:top w:val="nil"/>
              <w:left w:val="nil"/>
              <w:bottom w:val="single" w:sz="4" w:space="0" w:color="auto"/>
              <w:right w:val="single" w:sz="4" w:space="0" w:color="auto"/>
            </w:tcBorders>
            <w:shd w:val="clear" w:color="auto" w:fill="auto"/>
            <w:noWrap/>
            <w:vAlign w:val="center"/>
            <w:hideMark/>
          </w:tcPr>
          <w:p w14:paraId="74E3A61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29 764,35</w:t>
            </w:r>
          </w:p>
        </w:tc>
        <w:tc>
          <w:tcPr>
            <w:tcW w:w="794" w:type="dxa"/>
            <w:tcBorders>
              <w:top w:val="nil"/>
              <w:left w:val="nil"/>
              <w:bottom w:val="single" w:sz="4" w:space="0" w:color="auto"/>
              <w:right w:val="single" w:sz="4" w:space="0" w:color="auto"/>
            </w:tcBorders>
            <w:shd w:val="clear" w:color="auto" w:fill="auto"/>
            <w:noWrap/>
            <w:vAlign w:val="center"/>
            <w:hideMark/>
          </w:tcPr>
          <w:p w14:paraId="5C687D73" w14:textId="500AEE12"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66,67</w:t>
            </w:r>
          </w:p>
        </w:tc>
        <w:tc>
          <w:tcPr>
            <w:tcW w:w="907" w:type="dxa"/>
            <w:tcBorders>
              <w:top w:val="nil"/>
              <w:left w:val="nil"/>
              <w:bottom w:val="single" w:sz="4" w:space="0" w:color="auto"/>
              <w:right w:val="single" w:sz="4" w:space="0" w:color="auto"/>
            </w:tcBorders>
            <w:shd w:val="clear" w:color="auto" w:fill="auto"/>
            <w:noWrap/>
            <w:vAlign w:val="center"/>
            <w:hideMark/>
          </w:tcPr>
          <w:p w14:paraId="2FA1999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658E1683"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4B1B9798" w14:textId="77777777" w:rsidTr="00192F57">
        <w:trPr>
          <w:trHeight w:val="34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239D6B03"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0193810</w:t>
            </w:r>
          </w:p>
        </w:tc>
        <w:tc>
          <w:tcPr>
            <w:tcW w:w="510" w:type="dxa"/>
            <w:tcBorders>
              <w:top w:val="nil"/>
              <w:left w:val="nil"/>
              <w:bottom w:val="single" w:sz="4" w:space="0" w:color="auto"/>
              <w:right w:val="single" w:sz="4" w:space="0" w:color="auto"/>
            </w:tcBorders>
            <w:shd w:val="clear" w:color="auto" w:fill="auto"/>
            <w:noWrap/>
            <w:vAlign w:val="center"/>
            <w:hideMark/>
          </w:tcPr>
          <w:p w14:paraId="691F2568"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6AEB0662"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310 500,00</w:t>
            </w:r>
          </w:p>
        </w:tc>
        <w:tc>
          <w:tcPr>
            <w:tcW w:w="1304" w:type="dxa"/>
            <w:tcBorders>
              <w:top w:val="nil"/>
              <w:left w:val="nil"/>
              <w:bottom w:val="single" w:sz="4" w:space="0" w:color="auto"/>
              <w:right w:val="single" w:sz="4" w:space="0" w:color="auto"/>
            </w:tcBorders>
            <w:shd w:val="clear" w:color="auto" w:fill="auto"/>
            <w:noWrap/>
            <w:vAlign w:val="center"/>
            <w:hideMark/>
          </w:tcPr>
          <w:p w14:paraId="5560C441"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ÚVN</w:t>
            </w:r>
          </w:p>
        </w:tc>
        <w:tc>
          <w:tcPr>
            <w:tcW w:w="964" w:type="dxa"/>
            <w:tcBorders>
              <w:top w:val="nil"/>
              <w:left w:val="nil"/>
              <w:bottom w:val="single" w:sz="4" w:space="0" w:color="auto"/>
              <w:right w:val="single" w:sz="4" w:space="0" w:color="auto"/>
            </w:tcBorders>
            <w:shd w:val="clear" w:color="auto" w:fill="auto"/>
            <w:noWrap/>
            <w:vAlign w:val="center"/>
            <w:hideMark/>
          </w:tcPr>
          <w:p w14:paraId="7C55C5C1" w14:textId="77777777" w:rsidR="001352EB" w:rsidRPr="001352EB" w:rsidRDefault="001352EB" w:rsidP="00192F57">
            <w:pPr>
              <w:spacing w:before="40" w:after="40"/>
              <w:jc w:val="right"/>
              <w:rPr>
                <w:rFonts w:ascii="Calibri" w:hAnsi="Calibri" w:cs="Calibri"/>
                <w:color w:val="000000"/>
                <w:sz w:val="18"/>
                <w:szCs w:val="18"/>
              </w:rPr>
            </w:pPr>
            <w:proofErr w:type="spellStart"/>
            <w:r w:rsidRPr="001352EB">
              <w:rPr>
                <w:rFonts w:ascii="Calibri" w:hAnsi="Calibri" w:cs="Calibri"/>
                <w:color w:val="000000"/>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01907CA5"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1F0A7F6A"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70C6C532"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w:t>
            </w:r>
          </w:p>
        </w:tc>
        <w:tc>
          <w:tcPr>
            <w:tcW w:w="907" w:type="dxa"/>
            <w:tcBorders>
              <w:top w:val="nil"/>
              <w:left w:val="nil"/>
              <w:bottom w:val="single" w:sz="4" w:space="0" w:color="auto"/>
              <w:right w:val="single" w:sz="4" w:space="0" w:color="auto"/>
            </w:tcBorders>
            <w:shd w:val="clear" w:color="auto" w:fill="auto"/>
            <w:noWrap/>
            <w:vAlign w:val="center"/>
            <w:hideMark/>
          </w:tcPr>
          <w:p w14:paraId="148803A5"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c>
          <w:tcPr>
            <w:tcW w:w="907" w:type="dxa"/>
            <w:tcBorders>
              <w:top w:val="nil"/>
              <w:left w:val="nil"/>
              <w:bottom w:val="single" w:sz="4" w:space="0" w:color="auto"/>
              <w:right w:val="single" w:sz="4" w:space="0" w:color="auto"/>
            </w:tcBorders>
            <w:shd w:val="clear" w:color="auto" w:fill="auto"/>
            <w:noWrap/>
            <w:vAlign w:val="center"/>
            <w:hideMark/>
          </w:tcPr>
          <w:p w14:paraId="41007F2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56AB9B2E"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938F89"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0193999</w:t>
            </w:r>
          </w:p>
        </w:tc>
        <w:tc>
          <w:tcPr>
            <w:tcW w:w="510" w:type="dxa"/>
            <w:tcBorders>
              <w:top w:val="nil"/>
              <w:left w:val="nil"/>
              <w:bottom w:val="single" w:sz="4" w:space="0" w:color="auto"/>
              <w:right w:val="single" w:sz="4" w:space="0" w:color="auto"/>
            </w:tcBorders>
            <w:shd w:val="clear" w:color="auto" w:fill="auto"/>
            <w:noWrap/>
            <w:vAlign w:val="center"/>
            <w:hideMark/>
          </w:tcPr>
          <w:p w14:paraId="43F67B7F"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61EC935F"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51 175,00</w:t>
            </w:r>
          </w:p>
        </w:tc>
        <w:tc>
          <w:tcPr>
            <w:tcW w:w="1304" w:type="dxa"/>
            <w:tcBorders>
              <w:top w:val="nil"/>
              <w:left w:val="nil"/>
              <w:bottom w:val="single" w:sz="4" w:space="0" w:color="auto"/>
              <w:right w:val="single" w:sz="4" w:space="0" w:color="auto"/>
            </w:tcBorders>
            <w:shd w:val="clear" w:color="auto" w:fill="auto"/>
            <w:noWrap/>
            <w:vAlign w:val="center"/>
            <w:hideMark/>
          </w:tcPr>
          <w:p w14:paraId="4BDE945A"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FNM</w:t>
            </w:r>
          </w:p>
        </w:tc>
        <w:tc>
          <w:tcPr>
            <w:tcW w:w="964" w:type="dxa"/>
            <w:tcBorders>
              <w:top w:val="nil"/>
              <w:left w:val="nil"/>
              <w:bottom w:val="single" w:sz="4" w:space="0" w:color="auto"/>
              <w:right w:val="single" w:sz="4" w:space="0" w:color="auto"/>
            </w:tcBorders>
            <w:shd w:val="clear" w:color="auto" w:fill="auto"/>
            <w:noWrap/>
            <w:vAlign w:val="center"/>
            <w:hideMark/>
          </w:tcPr>
          <w:p w14:paraId="34EE2FAA"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59 800,00</w:t>
            </w:r>
          </w:p>
        </w:tc>
        <w:tc>
          <w:tcPr>
            <w:tcW w:w="1191" w:type="dxa"/>
            <w:tcBorders>
              <w:top w:val="nil"/>
              <w:left w:val="nil"/>
              <w:bottom w:val="single" w:sz="4" w:space="0" w:color="auto"/>
              <w:right w:val="single" w:sz="4" w:space="0" w:color="auto"/>
            </w:tcBorders>
            <w:shd w:val="clear" w:color="auto" w:fill="auto"/>
            <w:noWrap/>
            <w:vAlign w:val="bottom"/>
            <w:hideMark/>
          </w:tcPr>
          <w:p w14:paraId="30A766F9"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 ÚVN</w:t>
            </w:r>
          </w:p>
        </w:tc>
        <w:tc>
          <w:tcPr>
            <w:tcW w:w="907" w:type="dxa"/>
            <w:tcBorders>
              <w:top w:val="nil"/>
              <w:left w:val="nil"/>
              <w:bottom w:val="single" w:sz="4" w:space="0" w:color="auto"/>
              <w:right w:val="single" w:sz="4" w:space="0" w:color="auto"/>
            </w:tcBorders>
            <w:shd w:val="clear" w:color="auto" w:fill="auto"/>
            <w:noWrap/>
            <w:vAlign w:val="center"/>
            <w:hideMark/>
          </w:tcPr>
          <w:p w14:paraId="21262C9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8 625,00</w:t>
            </w:r>
          </w:p>
        </w:tc>
        <w:tc>
          <w:tcPr>
            <w:tcW w:w="794" w:type="dxa"/>
            <w:tcBorders>
              <w:top w:val="nil"/>
              <w:left w:val="nil"/>
              <w:bottom w:val="single" w:sz="4" w:space="0" w:color="auto"/>
              <w:right w:val="single" w:sz="4" w:space="0" w:color="auto"/>
            </w:tcBorders>
            <w:shd w:val="clear" w:color="auto" w:fill="auto"/>
            <w:noWrap/>
            <w:vAlign w:val="center"/>
            <w:hideMark/>
          </w:tcPr>
          <w:p w14:paraId="508A2175" w14:textId="4E5C0BAB"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16,85</w:t>
            </w:r>
          </w:p>
        </w:tc>
        <w:tc>
          <w:tcPr>
            <w:tcW w:w="907" w:type="dxa"/>
            <w:tcBorders>
              <w:top w:val="nil"/>
              <w:left w:val="nil"/>
              <w:bottom w:val="single" w:sz="4" w:space="0" w:color="auto"/>
              <w:right w:val="single" w:sz="4" w:space="0" w:color="auto"/>
            </w:tcBorders>
            <w:shd w:val="clear" w:color="auto" w:fill="auto"/>
            <w:noWrap/>
            <w:vAlign w:val="center"/>
            <w:hideMark/>
          </w:tcPr>
          <w:p w14:paraId="5E32559A"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4C0AD574"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4212A44A"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106D1DF6"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45232F92"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71E4DFA2"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49 399,00</w:t>
            </w:r>
          </w:p>
        </w:tc>
        <w:tc>
          <w:tcPr>
            <w:tcW w:w="1304" w:type="dxa"/>
            <w:tcBorders>
              <w:top w:val="nil"/>
              <w:left w:val="nil"/>
              <w:bottom w:val="single" w:sz="4" w:space="0" w:color="auto"/>
              <w:right w:val="single" w:sz="4" w:space="0" w:color="auto"/>
            </w:tcBorders>
            <w:shd w:val="clear" w:color="auto" w:fill="auto"/>
            <w:noWrap/>
            <w:vAlign w:val="center"/>
            <w:hideMark/>
          </w:tcPr>
          <w:p w14:paraId="746443C2"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458857B2"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59 800,00</w:t>
            </w:r>
          </w:p>
        </w:tc>
        <w:tc>
          <w:tcPr>
            <w:tcW w:w="1191" w:type="dxa"/>
            <w:tcBorders>
              <w:top w:val="nil"/>
              <w:left w:val="nil"/>
              <w:bottom w:val="single" w:sz="4" w:space="0" w:color="auto"/>
              <w:right w:val="single" w:sz="4" w:space="0" w:color="auto"/>
            </w:tcBorders>
            <w:shd w:val="clear" w:color="auto" w:fill="auto"/>
            <w:noWrap/>
            <w:vAlign w:val="bottom"/>
            <w:hideMark/>
          </w:tcPr>
          <w:p w14:paraId="1A992900"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w:t>
            </w:r>
          </w:p>
        </w:tc>
        <w:tc>
          <w:tcPr>
            <w:tcW w:w="907" w:type="dxa"/>
            <w:tcBorders>
              <w:top w:val="nil"/>
              <w:left w:val="nil"/>
              <w:bottom w:val="single" w:sz="4" w:space="0" w:color="auto"/>
              <w:right w:val="single" w:sz="4" w:space="0" w:color="auto"/>
            </w:tcBorders>
            <w:shd w:val="clear" w:color="auto" w:fill="auto"/>
            <w:noWrap/>
            <w:vAlign w:val="center"/>
            <w:hideMark/>
          </w:tcPr>
          <w:p w14:paraId="00C6969B"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10 401,00</w:t>
            </w:r>
          </w:p>
        </w:tc>
        <w:tc>
          <w:tcPr>
            <w:tcW w:w="794" w:type="dxa"/>
            <w:tcBorders>
              <w:top w:val="nil"/>
              <w:left w:val="nil"/>
              <w:bottom w:val="single" w:sz="4" w:space="0" w:color="auto"/>
              <w:right w:val="single" w:sz="4" w:space="0" w:color="auto"/>
            </w:tcBorders>
            <w:shd w:val="clear" w:color="auto" w:fill="auto"/>
            <w:noWrap/>
            <w:vAlign w:val="center"/>
            <w:hideMark/>
          </w:tcPr>
          <w:p w14:paraId="5D8C7539" w14:textId="3C3884E0"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21,06</w:t>
            </w:r>
          </w:p>
        </w:tc>
        <w:tc>
          <w:tcPr>
            <w:tcW w:w="907" w:type="dxa"/>
            <w:tcBorders>
              <w:top w:val="nil"/>
              <w:left w:val="nil"/>
              <w:bottom w:val="single" w:sz="4" w:space="0" w:color="auto"/>
              <w:right w:val="single" w:sz="4" w:space="0" w:color="auto"/>
            </w:tcBorders>
            <w:shd w:val="clear" w:color="auto" w:fill="auto"/>
            <w:noWrap/>
            <w:vAlign w:val="center"/>
            <w:hideMark/>
          </w:tcPr>
          <w:p w14:paraId="7079FF65"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1347BC62"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1</w:t>
            </w:r>
          </w:p>
        </w:tc>
      </w:tr>
      <w:tr w:rsidR="00AE6966" w:rsidRPr="001352EB" w14:paraId="3B819F8E" w14:textId="77777777"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35768F" w14:textId="77777777" w:rsidR="001352EB" w:rsidRPr="001352EB" w:rsidRDefault="001352EB" w:rsidP="00192F57">
            <w:pPr>
              <w:spacing w:before="40" w:after="40"/>
              <w:ind w:left="-57" w:right="-57"/>
              <w:jc w:val="center"/>
              <w:rPr>
                <w:rFonts w:ascii="Calibri" w:hAnsi="Calibri" w:cs="Calibri"/>
                <w:color w:val="000000"/>
                <w:sz w:val="18"/>
                <w:szCs w:val="18"/>
              </w:rPr>
            </w:pPr>
            <w:r w:rsidRPr="001352EB">
              <w:rPr>
                <w:rFonts w:ascii="Calibri" w:hAnsi="Calibri" w:cs="Calibri"/>
                <w:color w:val="000000"/>
                <w:sz w:val="18"/>
                <w:szCs w:val="18"/>
              </w:rPr>
              <w:t>0194014</w:t>
            </w:r>
          </w:p>
        </w:tc>
        <w:tc>
          <w:tcPr>
            <w:tcW w:w="510" w:type="dxa"/>
            <w:tcBorders>
              <w:top w:val="nil"/>
              <w:left w:val="nil"/>
              <w:bottom w:val="single" w:sz="4" w:space="0" w:color="auto"/>
              <w:right w:val="single" w:sz="4" w:space="0" w:color="auto"/>
            </w:tcBorders>
            <w:shd w:val="clear" w:color="auto" w:fill="auto"/>
            <w:noWrap/>
            <w:vAlign w:val="center"/>
            <w:hideMark/>
          </w:tcPr>
          <w:p w14:paraId="7E123751"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2015</w:t>
            </w:r>
          </w:p>
        </w:tc>
        <w:tc>
          <w:tcPr>
            <w:tcW w:w="964" w:type="dxa"/>
            <w:tcBorders>
              <w:top w:val="nil"/>
              <w:left w:val="nil"/>
              <w:bottom w:val="single" w:sz="4" w:space="0" w:color="auto"/>
              <w:right w:val="single" w:sz="4" w:space="0" w:color="auto"/>
            </w:tcBorders>
            <w:shd w:val="clear" w:color="auto" w:fill="auto"/>
            <w:noWrap/>
            <w:vAlign w:val="center"/>
            <w:hideMark/>
          </w:tcPr>
          <w:p w14:paraId="1BE129CC"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79 990,00</w:t>
            </w:r>
          </w:p>
        </w:tc>
        <w:tc>
          <w:tcPr>
            <w:tcW w:w="1304" w:type="dxa"/>
            <w:tcBorders>
              <w:top w:val="nil"/>
              <w:left w:val="nil"/>
              <w:bottom w:val="single" w:sz="4" w:space="0" w:color="auto"/>
              <w:right w:val="single" w:sz="4" w:space="0" w:color="auto"/>
            </w:tcBorders>
            <w:shd w:val="clear" w:color="auto" w:fill="auto"/>
            <w:noWrap/>
            <w:vAlign w:val="center"/>
            <w:hideMark/>
          </w:tcPr>
          <w:p w14:paraId="280D24E4"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FNB, FNM, ÚVN</w:t>
            </w:r>
          </w:p>
        </w:tc>
        <w:tc>
          <w:tcPr>
            <w:tcW w:w="964" w:type="dxa"/>
            <w:tcBorders>
              <w:top w:val="nil"/>
              <w:left w:val="nil"/>
              <w:bottom w:val="single" w:sz="4" w:space="0" w:color="auto"/>
              <w:right w:val="single" w:sz="4" w:space="0" w:color="auto"/>
            </w:tcBorders>
            <w:shd w:val="clear" w:color="auto" w:fill="auto"/>
            <w:noWrap/>
            <w:vAlign w:val="center"/>
            <w:hideMark/>
          </w:tcPr>
          <w:p w14:paraId="1B4D17FF" w14:textId="77777777" w:rsidR="001352EB" w:rsidRPr="001352EB" w:rsidRDefault="001352EB" w:rsidP="00192F57">
            <w:pPr>
              <w:spacing w:before="40" w:after="40"/>
              <w:jc w:val="right"/>
              <w:rPr>
                <w:rFonts w:ascii="Calibri" w:hAnsi="Calibri" w:cs="Calibri"/>
                <w:color w:val="000000"/>
                <w:sz w:val="18"/>
                <w:szCs w:val="18"/>
              </w:rPr>
            </w:pPr>
            <w:proofErr w:type="spellStart"/>
            <w:r w:rsidRPr="001352EB">
              <w:rPr>
                <w:rFonts w:ascii="Calibri" w:hAnsi="Calibri" w:cs="Calibri"/>
                <w:color w:val="000000"/>
                <w:sz w:val="18"/>
                <w:szCs w:val="18"/>
              </w:rPr>
              <w:t>xx</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14:paraId="779E4AF4" w14:textId="77777777" w:rsidR="001352EB" w:rsidRPr="001352EB" w:rsidRDefault="001352EB" w:rsidP="00192F57">
            <w:pPr>
              <w:spacing w:before="40" w:after="40"/>
              <w:jc w:val="center"/>
              <w:rPr>
                <w:rFonts w:ascii="Calibri" w:hAnsi="Calibri" w:cs="Calibri"/>
                <w:sz w:val="18"/>
                <w:szCs w:val="18"/>
              </w:rPr>
            </w:pPr>
            <w:proofErr w:type="spellStart"/>
            <w:r w:rsidRPr="001352EB">
              <w:rPr>
                <w:rFonts w:ascii="Calibri" w:hAnsi="Calibri" w:cs="Calibri"/>
                <w:sz w:val="18"/>
                <w:szCs w:val="18"/>
              </w:rPr>
              <w:t>xx</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14:paraId="0EAE711F"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55367D1D"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0</w:t>
            </w:r>
          </w:p>
        </w:tc>
        <w:tc>
          <w:tcPr>
            <w:tcW w:w="907" w:type="dxa"/>
            <w:tcBorders>
              <w:top w:val="nil"/>
              <w:left w:val="nil"/>
              <w:bottom w:val="single" w:sz="4" w:space="0" w:color="auto"/>
              <w:right w:val="single" w:sz="4" w:space="0" w:color="auto"/>
            </w:tcBorders>
            <w:shd w:val="clear" w:color="auto" w:fill="auto"/>
            <w:noWrap/>
            <w:vAlign w:val="center"/>
            <w:hideMark/>
          </w:tcPr>
          <w:p w14:paraId="266AACFC"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657B0527"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r>
      <w:tr w:rsidR="00AE6966" w:rsidRPr="001352EB" w14:paraId="679ADA1D" w14:textId="77777777"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14:paraId="76D2E41F" w14:textId="77777777" w:rsidR="001352EB" w:rsidRPr="001352EB" w:rsidRDefault="001352EB" w:rsidP="00192F57">
            <w:pPr>
              <w:spacing w:before="40" w:after="40"/>
              <w:ind w:left="-57" w:right="-57"/>
              <w:jc w:val="center"/>
              <w:rPr>
                <w:rFonts w:ascii="Calibri" w:hAnsi="Calibri" w:cs="Calibri"/>
                <w:color w:val="000000"/>
                <w:sz w:val="18"/>
                <w:szCs w:val="18"/>
              </w:rPr>
            </w:pPr>
          </w:p>
        </w:tc>
        <w:tc>
          <w:tcPr>
            <w:tcW w:w="510" w:type="dxa"/>
            <w:tcBorders>
              <w:top w:val="nil"/>
              <w:left w:val="nil"/>
              <w:bottom w:val="single" w:sz="4" w:space="0" w:color="auto"/>
              <w:right w:val="single" w:sz="4" w:space="0" w:color="auto"/>
            </w:tcBorders>
            <w:shd w:val="clear" w:color="auto" w:fill="auto"/>
            <w:noWrap/>
            <w:vAlign w:val="center"/>
            <w:hideMark/>
          </w:tcPr>
          <w:p w14:paraId="13867BCA"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2016</w:t>
            </w:r>
          </w:p>
        </w:tc>
        <w:tc>
          <w:tcPr>
            <w:tcW w:w="964" w:type="dxa"/>
            <w:tcBorders>
              <w:top w:val="nil"/>
              <w:left w:val="nil"/>
              <w:bottom w:val="single" w:sz="4" w:space="0" w:color="auto"/>
              <w:right w:val="single" w:sz="4" w:space="0" w:color="auto"/>
            </w:tcBorders>
            <w:shd w:val="clear" w:color="auto" w:fill="auto"/>
            <w:noWrap/>
            <w:vAlign w:val="center"/>
            <w:hideMark/>
          </w:tcPr>
          <w:p w14:paraId="2947B80B" w14:textId="77777777" w:rsidR="001352EB" w:rsidRPr="001352EB" w:rsidRDefault="001352EB" w:rsidP="00192F57">
            <w:pPr>
              <w:spacing w:before="40" w:after="40"/>
              <w:jc w:val="right"/>
              <w:rPr>
                <w:rFonts w:ascii="Calibri" w:hAnsi="Calibri" w:cs="Calibri"/>
                <w:sz w:val="18"/>
                <w:szCs w:val="18"/>
              </w:rPr>
            </w:pPr>
            <w:r w:rsidRPr="001352EB">
              <w:rPr>
                <w:rFonts w:ascii="Calibri" w:hAnsi="Calibri" w:cs="Calibri"/>
                <w:sz w:val="18"/>
                <w:szCs w:val="18"/>
              </w:rPr>
              <w:t>59 414,00</w:t>
            </w:r>
          </w:p>
        </w:tc>
        <w:tc>
          <w:tcPr>
            <w:tcW w:w="1304" w:type="dxa"/>
            <w:tcBorders>
              <w:top w:val="nil"/>
              <w:left w:val="nil"/>
              <w:bottom w:val="single" w:sz="4" w:space="0" w:color="auto"/>
              <w:right w:val="single" w:sz="4" w:space="0" w:color="auto"/>
            </w:tcBorders>
            <w:shd w:val="clear" w:color="auto" w:fill="auto"/>
            <w:noWrap/>
            <w:vAlign w:val="center"/>
            <w:hideMark/>
          </w:tcPr>
          <w:p w14:paraId="3F6C58A9" w14:textId="77777777" w:rsidR="001352EB" w:rsidRPr="001352EB" w:rsidRDefault="001352EB" w:rsidP="00192F57">
            <w:pPr>
              <w:spacing w:before="40" w:after="40"/>
              <w:jc w:val="center"/>
              <w:rPr>
                <w:rFonts w:ascii="Calibri" w:hAnsi="Calibri" w:cs="Calibri"/>
                <w:color w:val="000000"/>
                <w:sz w:val="18"/>
                <w:szCs w:val="18"/>
              </w:rPr>
            </w:pPr>
            <w:r w:rsidRPr="001352EB">
              <w:rPr>
                <w:rFonts w:ascii="Calibri" w:hAnsi="Calibri" w:cs="Calibri"/>
                <w:color w:val="000000"/>
                <w:sz w:val="18"/>
                <w:szCs w:val="18"/>
              </w:rPr>
              <w:t>ÚVN</w:t>
            </w:r>
          </w:p>
        </w:tc>
        <w:tc>
          <w:tcPr>
            <w:tcW w:w="964" w:type="dxa"/>
            <w:tcBorders>
              <w:top w:val="nil"/>
              <w:left w:val="nil"/>
              <w:bottom w:val="single" w:sz="4" w:space="0" w:color="auto"/>
              <w:right w:val="single" w:sz="4" w:space="0" w:color="auto"/>
            </w:tcBorders>
            <w:shd w:val="clear" w:color="auto" w:fill="auto"/>
            <w:noWrap/>
            <w:vAlign w:val="center"/>
            <w:hideMark/>
          </w:tcPr>
          <w:p w14:paraId="3A921CFE" w14:textId="77777777" w:rsidR="001352EB" w:rsidRPr="001352EB" w:rsidRDefault="001352EB" w:rsidP="00192F57">
            <w:pPr>
              <w:spacing w:before="40" w:after="40"/>
              <w:jc w:val="right"/>
              <w:rPr>
                <w:rFonts w:ascii="Calibri" w:hAnsi="Calibri" w:cs="Calibri"/>
                <w:color w:val="000000"/>
                <w:sz w:val="18"/>
                <w:szCs w:val="18"/>
              </w:rPr>
            </w:pPr>
            <w:r w:rsidRPr="001352EB">
              <w:rPr>
                <w:rFonts w:ascii="Calibri" w:hAnsi="Calibri" w:cs="Calibri"/>
                <w:color w:val="000000"/>
                <w:sz w:val="18"/>
                <w:szCs w:val="18"/>
              </w:rPr>
              <w:t>79 990,00</w:t>
            </w:r>
          </w:p>
        </w:tc>
        <w:tc>
          <w:tcPr>
            <w:tcW w:w="1191" w:type="dxa"/>
            <w:tcBorders>
              <w:top w:val="nil"/>
              <w:left w:val="nil"/>
              <w:bottom w:val="single" w:sz="4" w:space="0" w:color="auto"/>
              <w:right w:val="single" w:sz="4" w:space="0" w:color="auto"/>
            </w:tcBorders>
            <w:shd w:val="clear" w:color="auto" w:fill="auto"/>
            <w:noWrap/>
            <w:vAlign w:val="bottom"/>
            <w:hideMark/>
          </w:tcPr>
          <w:p w14:paraId="126F0EB3" w14:textId="77777777" w:rsidR="001352EB" w:rsidRPr="001352EB" w:rsidRDefault="001352EB" w:rsidP="00192F57">
            <w:pPr>
              <w:spacing w:before="40" w:after="40"/>
              <w:jc w:val="center"/>
              <w:rPr>
                <w:rFonts w:ascii="Calibri" w:hAnsi="Calibri" w:cs="Calibri"/>
                <w:sz w:val="18"/>
                <w:szCs w:val="18"/>
              </w:rPr>
            </w:pPr>
            <w:r w:rsidRPr="001352EB">
              <w:rPr>
                <w:rFonts w:ascii="Calibri" w:hAnsi="Calibri" w:cs="Calibri"/>
                <w:sz w:val="18"/>
                <w:szCs w:val="18"/>
              </w:rPr>
              <w:t>FNB</w:t>
            </w:r>
          </w:p>
        </w:tc>
        <w:tc>
          <w:tcPr>
            <w:tcW w:w="907" w:type="dxa"/>
            <w:tcBorders>
              <w:top w:val="nil"/>
              <w:left w:val="nil"/>
              <w:bottom w:val="single" w:sz="4" w:space="0" w:color="auto"/>
              <w:right w:val="single" w:sz="4" w:space="0" w:color="auto"/>
            </w:tcBorders>
            <w:shd w:val="clear" w:color="auto" w:fill="auto"/>
            <w:noWrap/>
            <w:vAlign w:val="center"/>
            <w:hideMark/>
          </w:tcPr>
          <w:p w14:paraId="49939503"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20 576,00</w:t>
            </w:r>
          </w:p>
        </w:tc>
        <w:tc>
          <w:tcPr>
            <w:tcW w:w="794" w:type="dxa"/>
            <w:tcBorders>
              <w:top w:val="nil"/>
              <w:left w:val="nil"/>
              <w:bottom w:val="single" w:sz="4" w:space="0" w:color="auto"/>
              <w:right w:val="single" w:sz="4" w:space="0" w:color="auto"/>
            </w:tcBorders>
            <w:shd w:val="clear" w:color="auto" w:fill="auto"/>
            <w:noWrap/>
            <w:vAlign w:val="center"/>
            <w:hideMark/>
          </w:tcPr>
          <w:p w14:paraId="3DC85F78" w14:textId="5F4E527A" w:rsidR="001352EB" w:rsidRPr="001352EB" w:rsidRDefault="001352EB" w:rsidP="00A31EC4">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34,63</w:t>
            </w:r>
          </w:p>
        </w:tc>
        <w:tc>
          <w:tcPr>
            <w:tcW w:w="907" w:type="dxa"/>
            <w:tcBorders>
              <w:top w:val="nil"/>
              <w:left w:val="nil"/>
              <w:bottom w:val="single" w:sz="4" w:space="0" w:color="auto"/>
              <w:right w:val="single" w:sz="4" w:space="0" w:color="auto"/>
            </w:tcBorders>
            <w:shd w:val="clear" w:color="auto" w:fill="auto"/>
            <w:noWrap/>
            <w:vAlign w:val="center"/>
            <w:hideMark/>
          </w:tcPr>
          <w:p w14:paraId="4B034E1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3</w:t>
            </w:r>
          </w:p>
        </w:tc>
        <w:tc>
          <w:tcPr>
            <w:tcW w:w="907" w:type="dxa"/>
            <w:tcBorders>
              <w:top w:val="nil"/>
              <w:left w:val="nil"/>
              <w:bottom w:val="single" w:sz="4" w:space="0" w:color="auto"/>
              <w:right w:val="single" w:sz="4" w:space="0" w:color="auto"/>
            </w:tcBorders>
            <w:shd w:val="clear" w:color="auto" w:fill="auto"/>
            <w:noWrap/>
            <w:vAlign w:val="center"/>
            <w:hideMark/>
          </w:tcPr>
          <w:p w14:paraId="58D7BDD8" w14:textId="77777777" w:rsidR="001352EB" w:rsidRPr="001352EB" w:rsidRDefault="001352EB" w:rsidP="00192F57">
            <w:pPr>
              <w:spacing w:before="40" w:after="40"/>
              <w:ind w:left="-57" w:right="57"/>
              <w:jc w:val="right"/>
              <w:rPr>
                <w:rFonts w:ascii="Calibri" w:hAnsi="Calibri" w:cs="Calibri"/>
                <w:color w:val="000000"/>
                <w:sz w:val="18"/>
                <w:szCs w:val="18"/>
              </w:rPr>
            </w:pPr>
            <w:r w:rsidRPr="001352EB">
              <w:rPr>
                <w:rFonts w:ascii="Calibri" w:hAnsi="Calibri" w:cs="Calibri"/>
                <w:color w:val="000000"/>
                <w:sz w:val="18"/>
                <w:szCs w:val="18"/>
              </w:rPr>
              <w:t>2</w:t>
            </w:r>
          </w:p>
        </w:tc>
      </w:tr>
    </w:tbl>
    <w:p w14:paraId="645DFC13" w14:textId="5ABEE8A3" w:rsidR="001352EB" w:rsidRPr="001352EB" w:rsidRDefault="001352EB" w:rsidP="00192F57">
      <w:pPr>
        <w:spacing w:before="40"/>
        <w:rPr>
          <w:sz w:val="20"/>
        </w:rPr>
      </w:pPr>
      <w:r w:rsidRPr="001352EB">
        <w:rPr>
          <w:b/>
          <w:sz w:val="20"/>
        </w:rPr>
        <w:t>Zdroj:</w:t>
      </w:r>
      <w:r w:rsidRPr="001352EB">
        <w:rPr>
          <w:sz w:val="20"/>
        </w:rPr>
        <w:t xml:space="preserve"> </w:t>
      </w:r>
      <w:r w:rsidR="00A31EC4">
        <w:rPr>
          <w:sz w:val="20"/>
        </w:rPr>
        <w:t>p</w:t>
      </w:r>
      <w:r w:rsidRPr="001352EB">
        <w:rPr>
          <w:sz w:val="20"/>
        </w:rPr>
        <w:t>řílohy jednotlivých kontrolních protokolů fakultních nemocnic (dle faktur).</w:t>
      </w:r>
    </w:p>
    <w:p w14:paraId="4104A1FE" w14:textId="77777777" w:rsidR="001352EB" w:rsidRPr="001352EB" w:rsidRDefault="001352EB" w:rsidP="006E5933">
      <w:pPr>
        <w:spacing w:before="40"/>
        <w:rPr>
          <w:rFonts w:cstheme="minorHAnsi"/>
          <w:noProof/>
          <w:color w:val="000000" w:themeColor="text1"/>
          <w:szCs w:val="28"/>
        </w:rPr>
      </w:pPr>
    </w:p>
    <w:sectPr w:rsidR="001352EB" w:rsidRPr="001352EB" w:rsidSect="00E6098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E9C7C" w14:textId="77777777" w:rsidR="009F4E3E" w:rsidRDefault="009F4E3E">
      <w:r>
        <w:separator/>
      </w:r>
    </w:p>
  </w:endnote>
  <w:endnote w:type="continuationSeparator" w:id="0">
    <w:p w14:paraId="3A9E3999" w14:textId="77777777" w:rsidR="009F4E3E" w:rsidRDefault="009F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7316" w14:textId="77777777" w:rsidR="009F4E3E" w:rsidRDefault="009F4E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554CCB56" w14:textId="77777777" w:rsidR="009F4E3E" w:rsidRDefault="009F4E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480642"/>
      <w:docPartObj>
        <w:docPartGallery w:val="Page Numbers (Bottom of Page)"/>
        <w:docPartUnique/>
      </w:docPartObj>
    </w:sdtPr>
    <w:sdtEndPr/>
    <w:sdtContent>
      <w:p w14:paraId="752A42ED" w14:textId="1C2AE888" w:rsidR="009F4E3E" w:rsidRDefault="009F4E3E" w:rsidP="00AC339B">
        <w:pPr>
          <w:pStyle w:val="Zpat"/>
          <w:jc w:val="center"/>
        </w:pPr>
        <w:r>
          <w:fldChar w:fldCharType="begin"/>
        </w:r>
        <w:r>
          <w:instrText>PAGE   \* MERGEFORMAT</w:instrText>
        </w:r>
        <w:r>
          <w:fldChar w:fldCharType="separate"/>
        </w:r>
        <w:r w:rsidR="00A34CFA">
          <w:rPr>
            <w:noProof/>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2244" w14:textId="70BEAB9F" w:rsidR="009F4E3E" w:rsidRDefault="009F4E3E" w:rsidP="0068280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9CF66" w14:textId="77777777" w:rsidR="009F4E3E" w:rsidRDefault="009F4E3E">
      <w:r>
        <w:separator/>
      </w:r>
    </w:p>
  </w:footnote>
  <w:footnote w:type="continuationSeparator" w:id="0">
    <w:p w14:paraId="5C043DF8" w14:textId="77777777" w:rsidR="009F4E3E" w:rsidRDefault="009F4E3E">
      <w:r>
        <w:continuationSeparator/>
      </w:r>
    </w:p>
  </w:footnote>
  <w:footnote w:id="1">
    <w:p w14:paraId="788FA967" w14:textId="29B87D48" w:rsidR="009F4E3E" w:rsidRPr="00477D25" w:rsidRDefault="009F4E3E" w:rsidP="00FA221A">
      <w:pPr>
        <w:pStyle w:val="Textpoznpodarou"/>
        <w:ind w:left="284" w:hanging="284"/>
        <w:rPr>
          <w:sz w:val="20"/>
        </w:rPr>
      </w:pPr>
      <w:r w:rsidRPr="00477D25">
        <w:rPr>
          <w:rStyle w:val="Znakapoznpodarou"/>
          <w:sz w:val="20"/>
        </w:rPr>
        <w:footnoteRef/>
      </w:r>
      <w:r w:rsidRPr="00477D25">
        <w:rPr>
          <w:sz w:val="20"/>
        </w:rPr>
        <w:t xml:space="preserve"> </w:t>
      </w:r>
      <w:r>
        <w:rPr>
          <w:sz w:val="20"/>
        </w:rPr>
        <w:tab/>
      </w:r>
      <w:r w:rsidRPr="00477D25">
        <w:rPr>
          <w:sz w:val="20"/>
        </w:rPr>
        <w:t>Náklady jsou uvedeny bez nákladů na krev a krevní deriváty</w:t>
      </w:r>
      <w:r>
        <w:rPr>
          <w:sz w:val="20"/>
        </w:rPr>
        <w:t xml:space="preserve"> a na medicinální plyny</w:t>
      </w:r>
      <w:r w:rsidRPr="00477D25">
        <w:rPr>
          <w:sz w:val="20"/>
        </w:rPr>
        <w:t>.</w:t>
      </w:r>
    </w:p>
  </w:footnote>
  <w:footnote w:id="2">
    <w:p w14:paraId="01281EF3" w14:textId="029AE15A" w:rsidR="009F4E3E" w:rsidRPr="00477D25" w:rsidRDefault="009F4E3E" w:rsidP="00FA221A">
      <w:pPr>
        <w:pStyle w:val="Textpoznpodarou"/>
        <w:ind w:left="284" w:hanging="284"/>
        <w:rPr>
          <w:sz w:val="20"/>
        </w:rPr>
      </w:pPr>
      <w:r w:rsidRPr="00477D25">
        <w:rPr>
          <w:rStyle w:val="Znakapoznpodarou"/>
          <w:sz w:val="20"/>
        </w:rPr>
        <w:footnoteRef/>
      </w:r>
      <w:r w:rsidRPr="00477D25">
        <w:rPr>
          <w:sz w:val="20"/>
        </w:rPr>
        <w:t xml:space="preserve"> </w:t>
      </w:r>
      <w:r>
        <w:rPr>
          <w:sz w:val="20"/>
        </w:rPr>
        <w:tab/>
        <w:t>J</w:t>
      </w:r>
      <w:r w:rsidRPr="00477D25">
        <w:rPr>
          <w:sz w:val="20"/>
        </w:rPr>
        <w:t>sou uved</w:t>
      </w:r>
      <w:r>
        <w:rPr>
          <w:sz w:val="20"/>
        </w:rPr>
        <w:t>eny pouze náklady evidované na účtu 501. Dále v tomto smyslu používáno v celém textu tohoto kontrolního závěru.</w:t>
      </w:r>
    </w:p>
  </w:footnote>
  <w:footnote w:id="3">
    <w:p w14:paraId="007D604D" w14:textId="0AC3F558" w:rsidR="009F4E3E" w:rsidRPr="00397679" w:rsidRDefault="009F4E3E" w:rsidP="00FA221A">
      <w:pPr>
        <w:pStyle w:val="Textpoznpodarou"/>
        <w:ind w:left="284" w:hanging="284"/>
        <w:rPr>
          <w:rFonts w:cstheme="minorHAnsi"/>
          <w:sz w:val="20"/>
        </w:rPr>
      </w:pPr>
      <w:r w:rsidRPr="00397679">
        <w:rPr>
          <w:rStyle w:val="Znakapoznpodarou"/>
          <w:sz w:val="20"/>
        </w:rPr>
        <w:footnoteRef/>
      </w:r>
      <w:r w:rsidRPr="00397679">
        <w:rPr>
          <w:sz w:val="20"/>
        </w:rPr>
        <w:t xml:space="preserve"> </w:t>
      </w:r>
      <w:r>
        <w:rPr>
          <w:sz w:val="20"/>
        </w:rPr>
        <w:tab/>
      </w:r>
      <w:r w:rsidRPr="00397679">
        <w:rPr>
          <w:rFonts w:cstheme="minorHAnsi"/>
          <w:sz w:val="20"/>
        </w:rPr>
        <w:t>Ustanovení § 21 zákona č. 137/2006 Sb., o veřejných zakázkách</w:t>
      </w:r>
      <w:r>
        <w:rPr>
          <w:rFonts w:cstheme="minorHAnsi"/>
          <w:sz w:val="20"/>
        </w:rPr>
        <w:t>,</w:t>
      </w:r>
      <w:r w:rsidRPr="00397679">
        <w:rPr>
          <w:rFonts w:cstheme="minorHAnsi"/>
          <w:sz w:val="20"/>
        </w:rPr>
        <w:t xml:space="preserve"> a ustanovení § 2 odst. 3 a § 3 zákona č.</w:t>
      </w:r>
      <w:r>
        <w:rPr>
          <w:rFonts w:cstheme="minorHAnsi"/>
          <w:sz w:val="20"/>
        </w:rPr>
        <w:t> </w:t>
      </w:r>
      <w:r w:rsidRPr="00397679">
        <w:rPr>
          <w:rFonts w:cstheme="minorHAnsi"/>
          <w:sz w:val="20"/>
        </w:rPr>
        <w:t>134/2016 Sb., o zadávání veřejných zakázek.</w:t>
      </w:r>
    </w:p>
  </w:footnote>
  <w:footnote w:id="4">
    <w:p w14:paraId="540EB489" w14:textId="0B6C3ABB" w:rsidR="009F4E3E" w:rsidRPr="00397679" w:rsidRDefault="009F4E3E" w:rsidP="00FA221A">
      <w:pPr>
        <w:pStyle w:val="Textpoznpodarou"/>
        <w:ind w:left="284" w:hanging="284"/>
        <w:rPr>
          <w:rFonts w:cstheme="minorHAnsi"/>
          <w:sz w:val="20"/>
        </w:rPr>
      </w:pPr>
      <w:r w:rsidRPr="00397679">
        <w:rPr>
          <w:rStyle w:val="Znakapoznpodarou"/>
          <w:sz w:val="20"/>
        </w:rPr>
        <w:footnoteRef/>
      </w:r>
      <w:r w:rsidRPr="00397679">
        <w:rPr>
          <w:sz w:val="20"/>
        </w:rPr>
        <w:t xml:space="preserve"> </w:t>
      </w:r>
      <w:r>
        <w:rPr>
          <w:sz w:val="20"/>
        </w:rPr>
        <w:tab/>
      </w:r>
      <w:r w:rsidRPr="00397679">
        <w:rPr>
          <w:rFonts w:cstheme="minorHAnsi"/>
          <w:sz w:val="20"/>
        </w:rPr>
        <w:t>Ustanovení § 2 odst. 2 písm. b) zákona č. 137/2006 Sb., o veřejných zakázkách</w:t>
      </w:r>
      <w:r>
        <w:rPr>
          <w:rFonts w:cstheme="minorHAnsi"/>
          <w:sz w:val="20"/>
        </w:rPr>
        <w:t>,</w:t>
      </w:r>
      <w:r w:rsidRPr="00397679">
        <w:rPr>
          <w:rFonts w:cstheme="minorHAnsi"/>
          <w:sz w:val="20"/>
        </w:rPr>
        <w:t xml:space="preserve"> a ustanovení § 4 odst. 1 písm.</w:t>
      </w:r>
      <w:r>
        <w:rPr>
          <w:rFonts w:cstheme="minorHAnsi"/>
          <w:sz w:val="20"/>
        </w:rPr>
        <w:t> </w:t>
      </w:r>
      <w:r w:rsidRPr="00397679">
        <w:rPr>
          <w:rFonts w:cstheme="minorHAnsi"/>
          <w:sz w:val="20"/>
        </w:rPr>
        <w:t>c) zákona č. 134/2016 Sb., o zadávání veřejných zakázek.</w:t>
      </w:r>
    </w:p>
  </w:footnote>
  <w:footnote w:id="5">
    <w:p w14:paraId="3F88A565" w14:textId="38BD2887" w:rsidR="009F4E3E" w:rsidRPr="00397679" w:rsidRDefault="009F4E3E" w:rsidP="00FA221A">
      <w:pPr>
        <w:pStyle w:val="Textpoznpodarou"/>
        <w:ind w:left="284" w:hanging="284"/>
        <w:rPr>
          <w:sz w:val="20"/>
        </w:rPr>
      </w:pPr>
      <w:r w:rsidRPr="00397679">
        <w:rPr>
          <w:rStyle w:val="Znakapoznpodarou"/>
          <w:sz w:val="20"/>
        </w:rPr>
        <w:footnoteRef/>
      </w:r>
      <w:r w:rsidRPr="00397679">
        <w:rPr>
          <w:sz w:val="20"/>
        </w:rPr>
        <w:t xml:space="preserve"> </w:t>
      </w:r>
      <w:r>
        <w:rPr>
          <w:sz w:val="20"/>
        </w:rPr>
        <w:tab/>
      </w:r>
      <w:r w:rsidRPr="00397679">
        <w:rPr>
          <w:rFonts w:cstheme="minorHAnsi"/>
          <w:sz w:val="20"/>
        </w:rPr>
        <w:t xml:space="preserve">Anatomicko-terapeuticko-chemická klasifikace léčiv (zkráceně ATC </w:t>
      </w:r>
      <w:r>
        <w:rPr>
          <w:rFonts w:cstheme="minorHAnsi"/>
          <w:sz w:val="20"/>
        </w:rPr>
        <w:t>–</w:t>
      </w:r>
      <w:r w:rsidRPr="00397679">
        <w:rPr>
          <w:rFonts w:cstheme="minorHAnsi"/>
          <w:sz w:val="20"/>
        </w:rPr>
        <w:t xml:space="preserve"> klasifikace) je mezinárodní systém třídění léčiv, ATC</w:t>
      </w:r>
      <w:r>
        <w:rPr>
          <w:rFonts w:cstheme="minorHAnsi"/>
          <w:sz w:val="20"/>
        </w:rPr>
        <w:t xml:space="preserve"> – </w:t>
      </w:r>
      <w:r w:rsidRPr="00397679">
        <w:rPr>
          <w:rFonts w:cstheme="minorHAnsi"/>
          <w:sz w:val="20"/>
        </w:rPr>
        <w:t xml:space="preserve">J </w:t>
      </w:r>
      <w:r>
        <w:rPr>
          <w:rFonts w:cstheme="minorHAnsi"/>
          <w:sz w:val="20"/>
        </w:rPr>
        <w:t>–</w:t>
      </w:r>
      <w:r w:rsidRPr="00397679">
        <w:rPr>
          <w:rFonts w:cstheme="minorHAnsi"/>
          <w:sz w:val="20"/>
        </w:rPr>
        <w:t xml:space="preserve"> </w:t>
      </w:r>
      <w:proofErr w:type="spellStart"/>
      <w:r>
        <w:rPr>
          <w:rFonts w:cstheme="minorHAnsi"/>
          <w:sz w:val="20"/>
        </w:rPr>
        <w:t>antiinfektiva</w:t>
      </w:r>
      <w:proofErr w:type="spellEnd"/>
      <w:r>
        <w:rPr>
          <w:rFonts w:cstheme="minorHAnsi"/>
          <w:sz w:val="20"/>
        </w:rPr>
        <w:t xml:space="preserve"> pro systémovou aplikaci</w:t>
      </w:r>
      <w:r w:rsidRPr="00397679">
        <w:rPr>
          <w:rFonts w:cstheme="minorHAnsi"/>
          <w:sz w:val="20"/>
        </w:rPr>
        <w:t>.</w:t>
      </w:r>
    </w:p>
  </w:footnote>
  <w:footnote w:id="6">
    <w:p w14:paraId="01277B0F" w14:textId="4B7CC99C" w:rsidR="009F4E3E" w:rsidRPr="002535AD" w:rsidRDefault="009F4E3E" w:rsidP="00FA221A">
      <w:pPr>
        <w:pStyle w:val="Textpoznpodarou"/>
        <w:ind w:left="284" w:hanging="284"/>
        <w:rPr>
          <w:rStyle w:val="Znakapoznpodarou"/>
          <w:sz w:val="20"/>
          <w:vertAlign w:val="baseline"/>
        </w:rPr>
      </w:pPr>
      <w:r w:rsidRPr="007A59CF">
        <w:rPr>
          <w:rStyle w:val="Znakapoznpodarou"/>
          <w:sz w:val="20"/>
        </w:rPr>
        <w:footnoteRef/>
      </w:r>
      <w:r w:rsidRPr="007A59CF">
        <w:rPr>
          <w:sz w:val="20"/>
        </w:rPr>
        <w:t xml:space="preserve"> </w:t>
      </w:r>
      <w:r>
        <w:rPr>
          <w:sz w:val="20"/>
        </w:rPr>
        <w:tab/>
      </w:r>
      <w:r w:rsidRPr="007A59CF">
        <w:rPr>
          <w:rFonts w:cstheme="minorHAnsi"/>
          <w:sz w:val="20"/>
        </w:rPr>
        <w:t>Kód SÚKL – kód je jednoznačným identifikátorem léčivého přípravku, přiděluje jej Státní ústav pro kontrolu léčiv.</w:t>
      </w:r>
    </w:p>
  </w:footnote>
  <w:footnote w:id="7">
    <w:p w14:paraId="62C3B21C" w14:textId="407D7467" w:rsidR="009F4E3E" w:rsidRPr="007A59CF" w:rsidRDefault="009F4E3E" w:rsidP="00FA221A">
      <w:pPr>
        <w:pStyle w:val="Textpoznpodarou"/>
        <w:ind w:left="284" w:hanging="284"/>
        <w:rPr>
          <w:rFonts w:cstheme="minorHAnsi"/>
          <w:sz w:val="20"/>
        </w:rPr>
      </w:pPr>
      <w:r w:rsidRPr="009734D4">
        <w:rPr>
          <w:rStyle w:val="Znakapoznpodarou"/>
          <w:sz w:val="20"/>
        </w:rPr>
        <w:footnoteRef/>
      </w:r>
      <w:r w:rsidRPr="009734D4">
        <w:rPr>
          <w:sz w:val="20"/>
        </w:rPr>
        <w:t xml:space="preserve"> </w:t>
      </w:r>
      <w:r>
        <w:rPr>
          <w:sz w:val="20"/>
        </w:rPr>
        <w:tab/>
      </w:r>
      <w:r w:rsidRPr="009734D4">
        <w:rPr>
          <w:rFonts w:cstheme="minorHAnsi"/>
          <w:sz w:val="20"/>
        </w:rPr>
        <w:t>Druh, tj. léčivo registrované pod kódem SÚKL, který definuje mj. název léčivého přípravku, doplněk názvu, sílu,</w:t>
      </w:r>
      <w:r w:rsidRPr="007A59CF">
        <w:rPr>
          <w:rFonts w:cstheme="minorHAnsi"/>
          <w:sz w:val="20"/>
        </w:rPr>
        <w:t xml:space="preserve"> lékovou formu, velikost balení, účinnou látku a ATC skupinu.</w:t>
      </w:r>
    </w:p>
  </w:footnote>
  <w:footnote w:id="8">
    <w:p w14:paraId="784977AE" w14:textId="7BD277C3" w:rsidR="009F4E3E" w:rsidRPr="007A59CF" w:rsidRDefault="009F4E3E" w:rsidP="00FA221A">
      <w:pPr>
        <w:pStyle w:val="Textpoznpodarou"/>
        <w:ind w:left="284" w:hanging="284"/>
        <w:rPr>
          <w:rFonts w:cstheme="minorHAnsi"/>
          <w:sz w:val="20"/>
        </w:rPr>
      </w:pPr>
      <w:r w:rsidRPr="007A59CF">
        <w:rPr>
          <w:rStyle w:val="Znakapoznpodarou"/>
          <w:sz w:val="20"/>
        </w:rPr>
        <w:footnoteRef/>
      </w:r>
      <w:r w:rsidRPr="007A59CF">
        <w:rPr>
          <w:sz w:val="20"/>
        </w:rPr>
        <w:t xml:space="preserve"> </w:t>
      </w:r>
      <w:r>
        <w:rPr>
          <w:sz w:val="20"/>
        </w:rPr>
        <w:tab/>
      </w:r>
      <w:r>
        <w:rPr>
          <w:rFonts w:cstheme="minorHAnsi"/>
          <w:sz w:val="20"/>
        </w:rPr>
        <w:t xml:space="preserve">Kód </w:t>
      </w:r>
      <w:r w:rsidRPr="007A59CF">
        <w:rPr>
          <w:rFonts w:cstheme="minorHAnsi"/>
          <w:sz w:val="20"/>
        </w:rPr>
        <w:t>ZP – kód přiděluje Všeobecná zdravotní pojišťovna České republiky dle platné metodiky, tento kód je jednoznačným identifikátorem příslu</w:t>
      </w:r>
      <w:r>
        <w:rPr>
          <w:rFonts w:cstheme="minorHAnsi"/>
          <w:sz w:val="20"/>
        </w:rPr>
        <w:t>šného zdravotnického prostředku a je uveden v číselníku VZP – ZP (ZUM), příp. v úhradovém katalogu ZP/ZUM.</w:t>
      </w:r>
    </w:p>
  </w:footnote>
  <w:footnote w:id="9">
    <w:p w14:paraId="5E586AB8" w14:textId="7BA5FC2B" w:rsidR="009F4E3E" w:rsidRPr="00784BE6" w:rsidRDefault="009F4E3E" w:rsidP="00167B45">
      <w:pPr>
        <w:pStyle w:val="Textpoznpodarou"/>
        <w:ind w:left="284" w:hanging="284"/>
        <w:rPr>
          <w:rFonts w:cstheme="minorHAnsi"/>
          <w:sz w:val="20"/>
        </w:rPr>
      </w:pPr>
      <w:r w:rsidRPr="00784BE6">
        <w:rPr>
          <w:rStyle w:val="Znakapoznpodarou"/>
          <w:rFonts w:cstheme="minorHAnsi"/>
          <w:sz w:val="20"/>
        </w:rPr>
        <w:footnoteRef/>
      </w:r>
      <w:r w:rsidRPr="00784BE6">
        <w:rPr>
          <w:rFonts w:cstheme="minorHAnsi"/>
          <w:sz w:val="20"/>
        </w:rPr>
        <w:t xml:space="preserve"> </w:t>
      </w:r>
      <w:r>
        <w:rPr>
          <w:rFonts w:cstheme="minorHAnsi"/>
          <w:sz w:val="20"/>
        </w:rPr>
        <w:t> </w:t>
      </w:r>
      <w:r>
        <w:rPr>
          <w:rFonts w:cstheme="minorHAnsi"/>
          <w:sz w:val="20"/>
        </w:rPr>
        <w:tab/>
      </w:r>
      <w:proofErr w:type="spellStart"/>
      <w:r w:rsidRPr="00784BE6">
        <w:rPr>
          <w:rFonts w:cstheme="minorHAnsi"/>
          <w:sz w:val="20"/>
        </w:rPr>
        <w:t>Generikum</w:t>
      </w:r>
      <w:proofErr w:type="spellEnd"/>
      <w:r w:rsidRPr="00784BE6">
        <w:rPr>
          <w:rFonts w:cstheme="minorHAnsi"/>
          <w:sz w:val="20"/>
        </w:rPr>
        <w:t xml:space="preserve"> </w:t>
      </w:r>
      <w:r w:rsidRPr="00784BE6">
        <w:rPr>
          <w:rFonts w:cstheme="minorHAnsi"/>
          <w:color w:val="000000"/>
          <w:sz w:val="20"/>
          <w:shd w:val="clear" w:color="auto" w:fill="FFFFFF"/>
        </w:rPr>
        <w:t>obsahuje stejné léčivo ve stejném množství jako příslušný originální přípravek, má i stejnou lékovou formu, např. tablety a tobolky, a stejnou biologickou účinnost. Typ a poměr použitých pomocných látek (plniv, pojiv, barviv apod.) může být od originálu odlišný.</w:t>
      </w:r>
    </w:p>
  </w:footnote>
  <w:footnote w:id="10">
    <w:p w14:paraId="4936A48D" w14:textId="71145034" w:rsidR="009F4E3E" w:rsidRDefault="009F4E3E" w:rsidP="00167B45">
      <w:pPr>
        <w:pStyle w:val="Textpoznpodarou"/>
        <w:ind w:left="284" w:hanging="284"/>
        <w:rPr>
          <w:rFonts w:cstheme="minorHAnsi"/>
          <w:sz w:val="20"/>
        </w:rPr>
      </w:pPr>
      <w:r>
        <w:rPr>
          <w:rStyle w:val="Znakapoznpodarou"/>
          <w:rFonts w:cstheme="minorHAnsi"/>
          <w:sz w:val="20"/>
        </w:rPr>
        <w:footnoteRef/>
      </w:r>
      <w:r>
        <w:rPr>
          <w:rFonts w:cstheme="minorHAnsi"/>
          <w:sz w:val="20"/>
        </w:rPr>
        <w:t xml:space="preserve"> </w:t>
      </w:r>
      <w:r>
        <w:rPr>
          <w:rFonts w:cstheme="minorHAnsi"/>
          <w:sz w:val="20"/>
        </w:rPr>
        <w:tab/>
        <w:t>Ustanovení § 44 odst. 1 písm. a) ve spojení s ustanovením § 3 písm. c) a § 3 písm. e) zákona č. 218/2000 Sb., o rozpočtových pravidlech a o změně některých souvisejících zákonů (rozpočtová pravidla).</w:t>
      </w:r>
    </w:p>
  </w:footnote>
  <w:footnote w:id="11">
    <w:p w14:paraId="505381CC" w14:textId="37F84B93" w:rsidR="009F4E3E" w:rsidRDefault="009F4E3E" w:rsidP="00167B45">
      <w:pPr>
        <w:pStyle w:val="Textpoznpodarou"/>
        <w:ind w:left="284" w:hanging="284"/>
        <w:rPr>
          <w:rFonts w:cstheme="minorHAnsi"/>
          <w:sz w:val="20"/>
        </w:rPr>
      </w:pPr>
      <w:r>
        <w:rPr>
          <w:rStyle w:val="Znakapoznpodarou"/>
          <w:rFonts w:cstheme="minorHAnsi"/>
          <w:sz w:val="20"/>
        </w:rPr>
        <w:footnoteRef/>
      </w:r>
      <w:r>
        <w:rPr>
          <w:rFonts w:cstheme="minorHAnsi"/>
          <w:sz w:val="20"/>
        </w:rPr>
        <w:t xml:space="preserve"> </w:t>
      </w:r>
      <w:r>
        <w:rPr>
          <w:rFonts w:cstheme="minorHAnsi"/>
          <w:sz w:val="20"/>
        </w:rPr>
        <w:tab/>
        <w:t>Ustanovení § 6 a § 76 odst. 1 zákona č. 137/2006 Sb., o veřejných zakázkách.</w:t>
      </w:r>
    </w:p>
  </w:footnote>
  <w:footnote w:id="12">
    <w:p w14:paraId="57745109" w14:textId="3B85AA12" w:rsidR="009F4E3E" w:rsidRDefault="009F4E3E" w:rsidP="00167B45">
      <w:pPr>
        <w:pStyle w:val="Textpoznpodarou"/>
        <w:ind w:left="284" w:hanging="284"/>
        <w:rPr>
          <w:rFonts w:cstheme="minorHAnsi"/>
          <w:sz w:val="20"/>
        </w:rPr>
      </w:pPr>
      <w:r>
        <w:rPr>
          <w:rStyle w:val="Znakapoznpodarou"/>
          <w:rFonts w:cstheme="minorHAnsi"/>
          <w:sz w:val="20"/>
        </w:rPr>
        <w:footnoteRef/>
      </w:r>
      <w:r>
        <w:rPr>
          <w:rFonts w:cstheme="minorHAnsi"/>
          <w:sz w:val="20"/>
        </w:rPr>
        <w:t xml:space="preserve"> </w:t>
      </w:r>
      <w:r>
        <w:rPr>
          <w:rFonts w:cstheme="minorHAnsi"/>
          <w:sz w:val="20"/>
        </w:rPr>
        <w:tab/>
        <w:t>Ustanovení § 13 odst. 3 a § 21 zákona č. 137/2006 Sb., o veřejných zakázkách, § 2 odst. 3 a § 24 zákona č. 134/2016 Sb., o zadávání veřejných zakázek.</w:t>
      </w:r>
    </w:p>
  </w:footnote>
  <w:footnote w:id="13">
    <w:p w14:paraId="7B5E9707" w14:textId="7230A072" w:rsidR="009F4E3E" w:rsidRPr="00784BE6" w:rsidRDefault="009F4E3E" w:rsidP="00167B45">
      <w:pPr>
        <w:pStyle w:val="Textpoznpodarou"/>
        <w:ind w:left="284" w:hanging="284"/>
        <w:rPr>
          <w:rFonts w:cstheme="minorHAnsi"/>
          <w:sz w:val="20"/>
        </w:rPr>
      </w:pPr>
      <w:r w:rsidRPr="00784BE6">
        <w:rPr>
          <w:rStyle w:val="Znakapoznpodarou"/>
          <w:rFonts w:cstheme="minorHAnsi"/>
          <w:sz w:val="20"/>
        </w:rPr>
        <w:footnoteRef/>
      </w:r>
      <w:r>
        <w:rPr>
          <w:rFonts w:cstheme="minorHAnsi"/>
          <w:sz w:val="20"/>
        </w:rPr>
        <w:t xml:space="preserve"> </w:t>
      </w:r>
      <w:r>
        <w:rPr>
          <w:rFonts w:cstheme="minorHAnsi"/>
          <w:sz w:val="20"/>
        </w:rPr>
        <w:tab/>
        <w:t xml:space="preserve">Ustanovení </w:t>
      </w:r>
      <w:r w:rsidRPr="00784BE6">
        <w:rPr>
          <w:rFonts w:cstheme="minorHAnsi"/>
          <w:sz w:val="20"/>
        </w:rPr>
        <w:t xml:space="preserve">§ 14 odst. 1 zákona č. 219/2000 Sb., o majetku České </w:t>
      </w:r>
      <w:r>
        <w:rPr>
          <w:rFonts w:cstheme="minorHAnsi"/>
          <w:sz w:val="20"/>
        </w:rPr>
        <w:t>republiky a jejím vystupování v </w:t>
      </w:r>
      <w:r w:rsidRPr="00784BE6">
        <w:rPr>
          <w:rFonts w:cstheme="minorHAnsi"/>
          <w:sz w:val="20"/>
        </w:rPr>
        <w:t>právních vztazích.</w:t>
      </w:r>
    </w:p>
  </w:footnote>
  <w:footnote w:id="14">
    <w:p w14:paraId="15D1DED1" w14:textId="65036F5B" w:rsidR="009F4E3E" w:rsidRPr="00993FBD" w:rsidRDefault="009F4E3E" w:rsidP="00167B45">
      <w:pPr>
        <w:pStyle w:val="Textpoznpodarou"/>
        <w:ind w:left="284" w:hanging="284"/>
        <w:rPr>
          <w:rFonts w:cstheme="minorHAnsi"/>
          <w:sz w:val="20"/>
        </w:rPr>
      </w:pPr>
      <w:r w:rsidRPr="00993FBD">
        <w:rPr>
          <w:rFonts w:cstheme="minorHAnsi"/>
          <w:sz w:val="20"/>
          <w:vertAlign w:val="superscript"/>
        </w:rPr>
        <w:footnoteRef/>
      </w:r>
      <w:r w:rsidRPr="00993FBD">
        <w:rPr>
          <w:rFonts w:cstheme="minorHAnsi"/>
          <w:sz w:val="20"/>
          <w:vertAlign w:val="superscript"/>
        </w:rPr>
        <w:t xml:space="preserve"> </w:t>
      </w:r>
      <w:r w:rsidRPr="00F2045E">
        <w:rPr>
          <w:rFonts w:cstheme="minorHAnsi"/>
          <w:sz w:val="20"/>
        </w:rPr>
        <w:tab/>
      </w:r>
      <w:r>
        <w:rPr>
          <w:rFonts w:cstheme="minorHAnsi"/>
          <w:sz w:val="20"/>
        </w:rPr>
        <w:t>U</w:t>
      </w:r>
      <w:r w:rsidRPr="00993FBD">
        <w:rPr>
          <w:rFonts w:cstheme="minorHAnsi"/>
          <w:sz w:val="20"/>
        </w:rPr>
        <w:t>stanovení § 10 odst. 1 a § 22 zákona České národní rady č. 2/1969 Sb., o zřízení ministerstev a jiných ústředních orgánů státní správy České republiky.</w:t>
      </w:r>
    </w:p>
  </w:footnote>
  <w:footnote w:id="15">
    <w:p w14:paraId="30B80D71" w14:textId="64CF6DD4" w:rsidR="009F4E3E" w:rsidRPr="00F83F97" w:rsidRDefault="009F4E3E" w:rsidP="00167B45">
      <w:pPr>
        <w:pStyle w:val="Textpoznpodarou"/>
        <w:ind w:left="284" w:hanging="284"/>
        <w:rPr>
          <w:rFonts w:cstheme="minorHAnsi"/>
          <w:sz w:val="20"/>
        </w:rPr>
      </w:pPr>
      <w:r w:rsidRPr="008A249D">
        <w:rPr>
          <w:rStyle w:val="Znakapoznpodarou"/>
          <w:rFonts w:cstheme="minorHAnsi"/>
          <w:sz w:val="20"/>
        </w:rPr>
        <w:footnoteRef/>
      </w:r>
      <w:r w:rsidRPr="008A249D">
        <w:rPr>
          <w:rFonts w:cstheme="minorHAnsi"/>
          <w:sz w:val="20"/>
        </w:rPr>
        <w:t xml:space="preserve"> </w:t>
      </w:r>
      <w:r>
        <w:rPr>
          <w:rFonts w:cstheme="minorHAnsi"/>
          <w:sz w:val="20"/>
        </w:rPr>
        <w:tab/>
      </w:r>
      <w:r>
        <w:rPr>
          <w:rFonts w:cstheme="minorHAnsi"/>
          <w:noProof/>
          <w:color w:val="000000" w:themeColor="text1"/>
          <w:sz w:val="20"/>
        </w:rPr>
        <w:t>Ustanovení § 39 odst. 3 zákona</w:t>
      </w:r>
      <w:r w:rsidRPr="00F83F97">
        <w:rPr>
          <w:rFonts w:cstheme="minorHAnsi"/>
          <w:sz w:val="20"/>
        </w:rPr>
        <w:t xml:space="preserve"> č. 218/2000 Sb., o rozpočtových pravidlech a o změně některých souvisejících zákonů (rozpočtová pravidla)</w:t>
      </w:r>
      <w:r>
        <w:rPr>
          <w:rFonts w:cstheme="minorHAnsi"/>
          <w:sz w:val="20"/>
        </w:rPr>
        <w:t>.</w:t>
      </w:r>
    </w:p>
  </w:footnote>
  <w:footnote w:id="16">
    <w:p w14:paraId="542FF34E" w14:textId="4FE92867" w:rsidR="009F4E3E" w:rsidRPr="00B33410" w:rsidRDefault="009F4E3E" w:rsidP="00167B45">
      <w:pPr>
        <w:pStyle w:val="Textpoznpodarou"/>
        <w:ind w:left="284" w:hanging="284"/>
        <w:rPr>
          <w:sz w:val="20"/>
        </w:rPr>
      </w:pPr>
      <w:r w:rsidRPr="00B33410">
        <w:rPr>
          <w:rStyle w:val="Znakapoznpodarou"/>
          <w:sz w:val="20"/>
        </w:rPr>
        <w:footnoteRef/>
      </w:r>
      <w:r w:rsidRPr="00B33410">
        <w:rPr>
          <w:sz w:val="20"/>
        </w:rPr>
        <w:t xml:space="preserve"> </w:t>
      </w:r>
      <w:r>
        <w:rPr>
          <w:sz w:val="20"/>
        </w:rPr>
        <w:tab/>
      </w:r>
      <w:r w:rsidRPr="00B33410">
        <w:rPr>
          <w:sz w:val="20"/>
        </w:rPr>
        <w:t xml:space="preserve">Ustanovení článku 107 odst. 1 </w:t>
      </w:r>
      <w:r w:rsidRPr="00E60983">
        <w:rPr>
          <w:i/>
          <w:sz w:val="20"/>
        </w:rPr>
        <w:t>Smlouvy o fungování Evropské unie</w:t>
      </w:r>
      <w:r w:rsidRPr="00B33410">
        <w:rPr>
          <w:sz w:val="20"/>
        </w:rPr>
        <w:t>.</w:t>
      </w:r>
    </w:p>
  </w:footnote>
  <w:footnote w:id="17">
    <w:p w14:paraId="51740D02" w14:textId="26627AB7" w:rsidR="009F4E3E" w:rsidRPr="00A67C2A" w:rsidRDefault="009F4E3E" w:rsidP="00167B45">
      <w:pPr>
        <w:pStyle w:val="Textpoznpodarou"/>
        <w:ind w:left="284" w:hanging="284"/>
        <w:rPr>
          <w:sz w:val="20"/>
        </w:rPr>
      </w:pPr>
      <w:r w:rsidRPr="00A67C2A">
        <w:rPr>
          <w:rStyle w:val="Znakapoznpodarou"/>
          <w:rFonts w:cstheme="minorHAnsi"/>
          <w:sz w:val="20"/>
        </w:rPr>
        <w:footnoteRef/>
      </w:r>
      <w:r w:rsidRPr="00A67C2A">
        <w:rPr>
          <w:rFonts w:cstheme="minorHAnsi"/>
          <w:sz w:val="20"/>
        </w:rPr>
        <w:t xml:space="preserve"> </w:t>
      </w:r>
      <w:r>
        <w:rPr>
          <w:rFonts w:cstheme="minorHAnsi"/>
          <w:sz w:val="20"/>
        </w:rPr>
        <w:tab/>
      </w:r>
      <w:r w:rsidRPr="00A67C2A">
        <w:rPr>
          <w:rFonts w:cstheme="minorHAnsi"/>
          <w:sz w:val="20"/>
        </w:rPr>
        <w:t>Služba obecného hospodářského zájmu je služba, jejíž zajišťování ve prospěch určité skupiny občanů nebo společnosti jako celku je ze strany orgánů veřejné správy považováno za nezbytné z důvodů kulturních, sociálních nebo společenských.</w:t>
      </w:r>
    </w:p>
  </w:footnote>
  <w:footnote w:id="18">
    <w:p w14:paraId="7E83C02D" w14:textId="54496578" w:rsidR="009F4E3E" w:rsidRPr="00A67C2A" w:rsidRDefault="009F4E3E" w:rsidP="00167B45">
      <w:pPr>
        <w:pStyle w:val="Textpoznpodarou"/>
        <w:ind w:left="284" w:hanging="284"/>
        <w:rPr>
          <w:rFonts w:cstheme="minorHAnsi"/>
          <w:sz w:val="20"/>
        </w:rPr>
      </w:pPr>
      <w:r w:rsidRPr="00A67C2A">
        <w:rPr>
          <w:rStyle w:val="Znakapoznpodarou"/>
          <w:sz w:val="20"/>
        </w:rPr>
        <w:footnoteRef/>
      </w:r>
      <w:r w:rsidRPr="00A67C2A">
        <w:rPr>
          <w:sz w:val="20"/>
        </w:rPr>
        <w:t xml:space="preserve"> </w:t>
      </w:r>
      <w:r>
        <w:rPr>
          <w:sz w:val="20"/>
        </w:rPr>
        <w:tab/>
      </w:r>
      <w:r w:rsidRPr="00A67C2A">
        <w:rPr>
          <w:rFonts w:cstheme="minorHAnsi"/>
          <w:sz w:val="20"/>
        </w:rPr>
        <w:t xml:space="preserve">Příkaz ministra č. 3/2013 </w:t>
      </w:r>
      <w:r w:rsidRPr="00E60983">
        <w:rPr>
          <w:rFonts w:cstheme="minorHAnsi"/>
          <w:i/>
          <w:sz w:val="20"/>
        </w:rPr>
        <w:t>Protikorupční strategie Ministerstva zdravotnictví České republiky pro přímo řízené organizace</w:t>
      </w:r>
      <w:r>
        <w:rPr>
          <w:rFonts w:cstheme="minorHAnsi"/>
          <w:sz w:val="20"/>
        </w:rPr>
        <w:t>, tento byl zrušen</w:t>
      </w:r>
      <w:r w:rsidRPr="00A67C2A">
        <w:rPr>
          <w:rFonts w:cstheme="minorHAnsi"/>
          <w:sz w:val="20"/>
        </w:rPr>
        <w:t xml:space="preserve"> </w:t>
      </w:r>
      <w:r>
        <w:rPr>
          <w:rFonts w:cstheme="minorHAnsi"/>
          <w:sz w:val="20"/>
        </w:rPr>
        <w:t>p</w:t>
      </w:r>
      <w:r w:rsidRPr="00A67C2A">
        <w:rPr>
          <w:rFonts w:cstheme="minorHAnsi"/>
          <w:sz w:val="20"/>
        </w:rPr>
        <w:t>říkazem ministra č. 2/2017 ze dne 3. 2. 2017, čj. MZDR 4984/2017.</w:t>
      </w:r>
    </w:p>
  </w:footnote>
  <w:footnote w:id="19">
    <w:p w14:paraId="7405F516" w14:textId="1EC684F0" w:rsidR="009F4E3E" w:rsidRPr="007843F1" w:rsidRDefault="009F4E3E" w:rsidP="00167B45">
      <w:pPr>
        <w:pStyle w:val="Textpoznpodarou"/>
        <w:ind w:left="284" w:hanging="284"/>
        <w:rPr>
          <w:sz w:val="20"/>
        </w:rPr>
      </w:pPr>
      <w:r w:rsidRPr="007843F1">
        <w:rPr>
          <w:rStyle w:val="Znakapoznpodarou"/>
          <w:sz w:val="20"/>
        </w:rPr>
        <w:footnoteRef/>
      </w:r>
      <w:r>
        <w:rPr>
          <w:sz w:val="20"/>
        </w:rPr>
        <w:t> </w:t>
      </w:r>
      <w:r>
        <w:rPr>
          <w:sz w:val="20"/>
        </w:rPr>
        <w:tab/>
      </w:r>
      <w:r w:rsidRPr="007843F1">
        <w:rPr>
          <w:sz w:val="20"/>
        </w:rPr>
        <w:t>Ministr zdravotnictví v příkazu č. 3/2018</w:t>
      </w:r>
      <w:r w:rsidRPr="007843F1">
        <w:rPr>
          <w:i/>
          <w:sz w:val="20"/>
        </w:rPr>
        <w:t xml:space="preserve"> Vybrané zásady transparentního hospodaření přímo řízených organizací Ministerstva zdravotnictví v oblasti nákupu zboží a služeb</w:t>
      </w:r>
      <w:r>
        <w:rPr>
          <w:sz w:val="20"/>
        </w:rPr>
        <w:t>,</w:t>
      </w:r>
      <w:r w:rsidRPr="007843F1">
        <w:rPr>
          <w:i/>
          <w:sz w:val="20"/>
        </w:rPr>
        <w:t xml:space="preserve"> </w:t>
      </w:r>
      <w:r w:rsidRPr="007843F1">
        <w:rPr>
          <w:sz w:val="20"/>
        </w:rPr>
        <w:t>čj. MZDR 16781/2018</w:t>
      </w:r>
      <w:r>
        <w:rPr>
          <w:sz w:val="20"/>
        </w:rPr>
        <w:t>,</w:t>
      </w:r>
      <w:r w:rsidRPr="007843F1">
        <w:rPr>
          <w:sz w:val="20"/>
        </w:rPr>
        <w:t xml:space="preserve"> účin</w:t>
      </w:r>
      <w:r>
        <w:rPr>
          <w:sz w:val="20"/>
        </w:rPr>
        <w:t>ném od 1. 9. </w:t>
      </w:r>
      <w:r w:rsidRPr="007843F1">
        <w:rPr>
          <w:sz w:val="20"/>
        </w:rPr>
        <w:t>2018 stanovil v článku 3 podřízeným FN povinnost řádně zdůvodnit a doložit každou výjimku z postupu při výběru dodavatelů mimo zadávací řízení</w:t>
      </w:r>
      <w:r>
        <w:rPr>
          <w:sz w:val="20"/>
        </w:rPr>
        <w:t xml:space="preserve">. </w:t>
      </w:r>
    </w:p>
  </w:footnote>
  <w:footnote w:id="20">
    <w:p w14:paraId="38D9EA97" w14:textId="56395ADB" w:rsidR="009F4E3E" w:rsidRPr="0067164A" w:rsidRDefault="009F4E3E" w:rsidP="00167B45">
      <w:pPr>
        <w:pStyle w:val="Textpoznpodarou"/>
        <w:ind w:left="284" w:hanging="284"/>
        <w:rPr>
          <w:sz w:val="20"/>
        </w:rPr>
      </w:pPr>
      <w:r w:rsidRPr="0067164A">
        <w:rPr>
          <w:rStyle w:val="Znakapoznpodarou"/>
          <w:sz w:val="20"/>
        </w:rPr>
        <w:footnoteRef/>
      </w:r>
      <w:r w:rsidRPr="0067164A">
        <w:rPr>
          <w:sz w:val="20"/>
        </w:rPr>
        <w:t xml:space="preserve"> </w:t>
      </w:r>
      <w:r>
        <w:rPr>
          <w:sz w:val="20"/>
        </w:rPr>
        <w:tab/>
      </w:r>
      <w:r w:rsidRPr="0067164A">
        <w:rPr>
          <w:rFonts w:cstheme="minorHAnsi"/>
          <w:sz w:val="20"/>
        </w:rPr>
        <w:t xml:space="preserve">Zákon </w:t>
      </w:r>
      <w:r w:rsidRPr="0067164A">
        <w:rPr>
          <w:rFonts w:cs="Arial"/>
          <w:sz w:val="20"/>
        </w:rPr>
        <w:t>č. 218/2000 Sb., o rozpočtových pravidlech a o změně některých souvisejících zákonů (rozpočtová pravidla).</w:t>
      </w:r>
    </w:p>
  </w:footnote>
  <w:footnote w:id="21">
    <w:p w14:paraId="1B097714" w14:textId="4566F48C" w:rsidR="009F4E3E" w:rsidRPr="0067164A" w:rsidRDefault="009F4E3E" w:rsidP="00167B45">
      <w:pPr>
        <w:pStyle w:val="Textpoznpodarou"/>
        <w:ind w:left="284" w:hanging="284"/>
        <w:rPr>
          <w:sz w:val="20"/>
        </w:rPr>
      </w:pPr>
      <w:r w:rsidRPr="0067164A">
        <w:rPr>
          <w:rStyle w:val="Znakapoznpodarou"/>
          <w:sz w:val="20"/>
        </w:rPr>
        <w:footnoteRef/>
      </w:r>
      <w:r>
        <w:rPr>
          <w:sz w:val="20"/>
        </w:rPr>
        <w:t xml:space="preserve"> </w:t>
      </w:r>
      <w:r>
        <w:rPr>
          <w:sz w:val="20"/>
        </w:rPr>
        <w:tab/>
      </w:r>
      <w:r>
        <w:rPr>
          <w:rFonts w:cs="Arial"/>
          <w:sz w:val="20"/>
        </w:rPr>
        <w:t>Z</w:t>
      </w:r>
      <w:r w:rsidRPr="0067164A">
        <w:rPr>
          <w:rFonts w:cs="Arial"/>
          <w:sz w:val="20"/>
        </w:rPr>
        <w:t>ákon č. 219/2000 Sb., o majetku České republiky a jejím vystupování v právních vztazích.</w:t>
      </w:r>
    </w:p>
  </w:footnote>
  <w:footnote w:id="22">
    <w:p w14:paraId="250287E9" w14:textId="2D2CC5E1" w:rsidR="009F4E3E" w:rsidRPr="0067164A" w:rsidRDefault="009F4E3E" w:rsidP="00167B45">
      <w:pPr>
        <w:pStyle w:val="Textpoznpodarou"/>
        <w:ind w:left="284" w:hanging="284"/>
        <w:rPr>
          <w:sz w:val="20"/>
        </w:rPr>
      </w:pPr>
      <w:r w:rsidRPr="0067164A">
        <w:rPr>
          <w:rStyle w:val="Znakapoznpodarou"/>
          <w:sz w:val="20"/>
        </w:rPr>
        <w:footnoteRef/>
      </w:r>
      <w:r w:rsidRPr="0067164A">
        <w:rPr>
          <w:sz w:val="20"/>
        </w:rPr>
        <w:t xml:space="preserve"> </w:t>
      </w:r>
      <w:r>
        <w:rPr>
          <w:sz w:val="20"/>
        </w:rPr>
        <w:tab/>
      </w:r>
      <w:r w:rsidRPr="0067164A">
        <w:rPr>
          <w:sz w:val="20"/>
        </w:rPr>
        <w:t>Zákon č. 372/2011 Sb., o zdravotních službách a podmínkách jejich poskytování (zákon o zdravotních službách).</w:t>
      </w:r>
    </w:p>
  </w:footnote>
  <w:footnote w:id="23">
    <w:p w14:paraId="057F0959" w14:textId="5C121BC6" w:rsidR="009F4E3E" w:rsidRPr="0067164A" w:rsidRDefault="009F4E3E" w:rsidP="00167B45">
      <w:pPr>
        <w:pStyle w:val="Textpoznpodarou"/>
        <w:ind w:left="284" w:hanging="284"/>
        <w:rPr>
          <w:sz w:val="20"/>
        </w:rPr>
      </w:pPr>
      <w:r w:rsidRPr="0067164A">
        <w:rPr>
          <w:rStyle w:val="Znakapoznpodarou"/>
          <w:sz w:val="20"/>
        </w:rPr>
        <w:footnoteRef/>
      </w:r>
      <w:r w:rsidRPr="0067164A">
        <w:rPr>
          <w:sz w:val="20"/>
        </w:rPr>
        <w:t xml:space="preserve"> </w:t>
      </w:r>
      <w:r>
        <w:rPr>
          <w:sz w:val="20"/>
        </w:rPr>
        <w:tab/>
      </w:r>
      <w:r w:rsidRPr="0067164A">
        <w:rPr>
          <w:sz w:val="20"/>
        </w:rPr>
        <w:t>Zákon č. 563/1991 Sb., o účetnictví.</w:t>
      </w:r>
    </w:p>
  </w:footnote>
  <w:footnote w:id="24">
    <w:p w14:paraId="4BF8D41F" w14:textId="398D44F5" w:rsidR="009F4E3E" w:rsidRPr="0067164A" w:rsidRDefault="009F4E3E" w:rsidP="00167B45">
      <w:pPr>
        <w:pStyle w:val="Textpoznpodarou"/>
        <w:ind w:left="284" w:hanging="284"/>
        <w:rPr>
          <w:rFonts w:cstheme="minorHAnsi"/>
          <w:sz w:val="20"/>
        </w:rPr>
      </w:pPr>
      <w:r w:rsidRPr="0067164A">
        <w:rPr>
          <w:rStyle w:val="Znakapoznpodarou"/>
          <w:rFonts w:cstheme="minorHAnsi"/>
          <w:sz w:val="20"/>
        </w:rPr>
        <w:footnoteRef/>
      </w:r>
      <w:r>
        <w:rPr>
          <w:rFonts w:cstheme="minorHAnsi"/>
          <w:sz w:val="20"/>
        </w:rPr>
        <w:t xml:space="preserve"> </w:t>
      </w:r>
      <w:r>
        <w:rPr>
          <w:rFonts w:cstheme="minorHAnsi"/>
          <w:sz w:val="20"/>
        </w:rPr>
        <w:tab/>
        <w:t>Ustanovení § 112 z</w:t>
      </w:r>
      <w:r w:rsidRPr="0067164A">
        <w:rPr>
          <w:rFonts w:cstheme="minorHAnsi"/>
          <w:sz w:val="20"/>
        </w:rPr>
        <w:t>ákon</w:t>
      </w:r>
      <w:r>
        <w:rPr>
          <w:rFonts w:cstheme="minorHAnsi"/>
          <w:sz w:val="20"/>
        </w:rPr>
        <w:t>a</w:t>
      </w:r>
      <w:r w:rsidRPr="0067164A">
        <w:rPr>
          <w:rFonts w:cstheme="minorHAnsi"/>
          <w:sz w:val="20"/>
        </w:rPr>
        <w:t xml:space="preserve"> č. 372/2011 Sb., o zdravotních službách a podmínkách jejich poskytování (zákon o zdravot</w:t>
      </w:r>
      <w:r>
        <w:rPr>
          <w:rFonts w:cstheme="minorHAnsi"/>
          <w:sz w:val="20"/>
        </w:rPr>
        <w:t>ních službách)</w:t>
      </w:r>
      <w:r w:rsidRPr="0067164A">
        <w:rPr>
          <w:rFonts w:cstheme="minorHAnsi"/>
          <w:sz w:val="20"/>
        </w:rPr>
        <w:t>.</w:t>
      </w:r>
    </w:p>
  </w:footnote>
  <w:footnote w:id="25">
    <w:p w14:paraId="23EE965C" w14:textId="31769C3A" w:rsidR="009F4E3E" w:rsidRPr="0067164A" w:rsidRDefault="009F4E3E" w:rsidP="00167B45">
      <w:pPr>
        <w:pStyle w:val="Textpoznpodarou"/>
        <w:ind w:left="284" w:hanging="284"/>
        <w:rPr>
          <w:rFonts w:cstheme="minorHAnsi"/>
          <w:sz w:val="20"/>
        </w:rPr>
      </w:pPr>
      <w:r w:rsidRPr="0067164A">
        <w:rPr>
          <w:rStyle w:val="Znakapoznpodarou"/>
          <w:rFonts w:cstheme="minorHAnsi"/>
          <w:sz w:val="20"/>
        </w:rPr>
        <w:footnoteRef/>
      </w:r>
      <w:r w:rsidRPr="0067164A">
        <w:rPr>
          <w:rFonts w:cstheme="minorHAnsi"/>
          <w:sz w:val="20"/>
        </w:rPr>
        <w:t xml:space="preserve"> </w:t>
      </w:r>
      <w:r>
        <w:rPr>
          <w:rFonts w:cstheme="minorHAnsi"/>
          <w:sz w:val="20"/>
        </w:rPr>
        <w:tab/>
      </w:r>
      <w:r w:rsidRPr="0067164A">
        <w:rPr>
          <w:rFonts w:cstheme="minorHAnsi"/>
          <w:sz w:val="20"/>
        </w:rPr>
        <w:t>Seznam center vysoce specializované a komplexní péče a vysoce specializovaných center zveřejňuje MZ ve Věstníku MZ ČR.</w:t>
      </w:r>
      <w:r>
        <w:rPr>
          <w:rFonts w:cstheme="minorHAnsi"/>
          <w:sz w:val="20"/>
        </w:rPr>
        <w:t xml:space="preserve"> </w:t>
      </w:r>
    </w:p>
  </w:footnote>
  <w:footnote w:id="26">
    <w:p w14:paraId="525D7701" w14:textId="7D248C35" w:rsidR="009F4E3E" w:rsidRPr="0067164A" w:rsidRDefault="009F4E3E" w:rsidP="00167B45">
      <w:pPr>
        <w:pStyle w:val="Textpoznpodarou"/>
        <w:ind w:left="284" w:hanging="284"/>
        <w:rPr>
          <w:rFonts w:cstheme="minorHAnsi"/>
          <w:sz w:val="20"/>
        </w:rPr>
      </w:pPr>
      <w:r w:rsidRPr="0067164A">
        <w:rPr>
          <w:rStyle w:val="Znakapoznpodarou"/>
          <w:rFonts w:cstheme="minorHAnsi"/>
          <w:sz w:val="20"/>
        </w:rPr>
        <w:footnoteRef/>
      </w:r>
      <w:r>
        <w:rPr>
          <w:rFonts w:cstheme="minorHAnsi"/>
          <w:sz w:val="20"/>
        </w:rPr>
        <w:t xml:space="preserve"> </w:t>
      </w:r>
      <w:r>
        <w:rPr>
          <w:rFonts w:cstheme="minorHAnsi"/>
          <w:sz w:val="20"/>
        </w:rPr>
        <w:tab/>
        <w:t>Ustanovení § 53 a § 63 z</w:t>
      </w:r>
      <w:r w:rsidRPr="0067164A">
        <w:rPr>
          <w:rFonts w:cstheme="minorHAnsi"/>
          <w:sz w:val="20"/>
        </w:rPr>
        <w:t>ákon</w:t>
      </w:r>
      <w:r>
        <w:rPr>
          <w:rFonts w:cstheme="minorHAnsi"/>
          <w:sz w:val="20"/>
        </w:rPr>
        <w:t>a</w:t>
      </w:r>
      <w:r w:rsidRPr="0067164A">
        <w:rPr>
          <w:rFonts w:cstheme="minorHAnsi"/>
          <w:sz w:val="20"/>
        </w:rPr>
        <w:t xml:space="preserve"> č. 218/2000 Sb.</w:t>
      </w:r>
      <w:r>
        <w:rPr>
          <w:rFonts w:cstheme="minorHAnsi"/>
          <w:sz w:val="20"/>
        </w:rPr>
        <w:t xml:space="preserve"> a</w:t>
      </w:r>
      <w:r w:rsidRPr="0067164A">
        <w:rPr>
          <w:rFonts w:cstheme="minorHAnsi"/>
          <w:sz w:val="20"/>
        </w:rPr>
        <w:t xml:space="preserve"> </w:t>
      </w:r>
      <w:r>
        <w:rPr>
          <w:rFonts w:cstheme="minorHAnsi"/>
          <w:sz w:val="20"/>
        </w:rPr>
        <w:t>u</w:t>
      </w:r>
      <w:r w:rsidRPr="0067164A">
        <w:rPr>
          <w:rFonts w:cstheme="minorHAnsi"/>
          <w:sz w:val="20"/>
        </w:rPr>
        <w:t xml:space="preserve">stanovení </w:t>
      </w:r>
      <w:r w:rsidRPr="0067164A">
        <w:rPr>
          <w:sz w:val="20"/>
        </w:rPr>
        <w:t>§ 5 odst. 4 vyhlášky č. 410/2009 Sb., kterou se provádí některá ustanovení zákona č. 563/1991 Sb., o účetnictví</w:t>
      </w:r>
      <w:r>
        <w:rPr>
          <w:sz w:val="20"/>
        </w:rPr>
        <w:t>,</w:t>
      </w:r>
      <w:r w:rsidRPr="0067164A">
        <w:rPr>
          <w:sz w:val="20"/>
        </w:rPr>
        <w:t xml:space="preserve"> ve znění pozdějších předpisů, pro některé vybrané účetní jednotky.</w:t>
      </w:r>
    </w:p>
  </w:footnote>
  <w:footnote w:id="27">
    <w:p w14:paraId="4471F0EF" w14:textId="287C55FF" w:rsidR="009F4E3E" w:rsidRPr="000B465C" w:rsidRDefault="009F4E3E" w:rsidP="000B465C">
      <w:pPr>
        <w:pStyle w:val="Textpoznpodarou"/>
        <w:ind w:left="284" w:hanging="284"/>
        <w:rPr>
          <w:sz w:val="20"/>
        </w:rPr>
      </w:pPr>
      <w:r w:rsidRPr="000B465C">
        <w:rPr>
          <w:rStyle w:val="Znakapoznpodarou"/>
          <w:sz w:val="20"/>
        </w:rPr>
        <w:footnoteRef/>
      </w:r>
      <w:r>
        <w:rPr>
          <w:sz w:val="20"/>
        </w:rPr>
        <w:tab/>
      </w:r>
      <w:r w:rsidRPr="000B465C">
        <w:rPr>
          <w:sz w:val="20"/>
        </w:rPr>
        <w:t>Kontrolou byly prověřovány náklady na zdravotnické prostředky</w:t>
      </w:r>
      <w:r>
        <w:rPr>
          <w:sz w:val="20"/>
        </w:rPr>
        <w:t>,</w:t>
      </w:r>
      <w:r w:rsidRPr="000B465C">
        <w:rPr>
          <w:sz w:val="20"/>
        </w:rPr>
        <w:t xml:space="preserve"> zejména na zdravotnický materiál. Zdravotnickým prostředkem se rozumí nástroj, přístroj, zařízení, včetně programového vybavení</w:t>
      </w:r>
      <w:r>
        <w:rPr>
          <w:sz w:val="20"/>
        </w:rPr>
        <w:t>,</w:t>
      </w:r>
      <w:r w:rsidRPr="000B465C">
        <w:rPr>
          <w:sz w:val="20"/>
        </w:rPr>
        <w:t xml:space="preserve"> určen</w:t>
      </w:r>
      <w:r>
        <w:rPr>
          <w:sz w:val="20"/>
        </w:rPr>
        <w:t>ý</w:t>
      </w:r>
      <w:r w:rsidRPr="000B465C">
        <w:rPr>
          <w:sz w:val="20"/>
        </w:rPr>
        <w:t xml:space="preserve"> jeho výrobcem ke specifickému použití pro diagnostické nebo léčebné účely a</w:t>
      </w:r>
      <w:r>
        <w:rPr>
          <w:sz w:val="20"/>
        </w:rPr>
        <w:t> </w:t>
      </w:r>
      <w:r w:rsidRPr="000B465C">
        <w:rPr>
          <w:sz w:val="20"/>
        </w:rPr>
        <w:t>nezbytn</w:t>
      </w:r>
      <w:r>
        <w:rPr>
          <w:sz w:val="20"/>
        </w:rPr>
        <w:t>ý</w:t>
      </w:r>
      <w:r w:rsidRPr="000B465C">
        <w:rPr>
          <w:sz w:val="20"/>
        </w:rPr>
        <w:t xml:space="preserve"> ke správnému použití zdravotnického prostředku, materiál</w:t>
      </w:r>
      <w:r>
        <w:rPr>
          <w:sz w:val="20"/>
        </w:rPr>
        <w:t>u</w:t>
      </w:r>
      <w:r w:rsidRPr="000B465C">
        <w:rPr>
          <w:sz w:val="20"/>
        </w:rPr>
        <w:t xml:space="preserve"> nebo jin</w:t>
      </w:r>
      <w:r>
        <w:rPr>
          <w:sz w:val="20"/>
        </w:rPr>
        <w:t>ého</w:t>
      </w:r>
      <w:r w:rsidRPr="000B465C">
        <w:rPr>
          <w:sz w:val="20"/>
        </w:rPr>
        <w:t xml:space="preserve"> předmět</w:t>
      </w:r>
      <w:r>
        <w:rPr>
          <w:sz w:val="20"/>
        </w:rPr>
        <w:t>u</w:t>
      </w:r>
      <w:r w:rsidRPr="000B465C">
        <w:rPr>
          <w:sz w:val="20"/>
        </w:rPr>
        <w:t>.</w:t>
      </w:r>
    </w:p>
  </w:footnote>
  <w:footnote w:id="28">
    <w:p w14:paraId="6234E4ED" w14:textId="44FBF30D" w:rsidR="009F4E3E" w:rsidRPr="000B465C" w:rsidRDefault="009F4E3E" w:rsidP="000B465C">
      <w:pPr>
        <w:pStyle w:val="Textpoznpodarou"/>
        <w:ind w:left="284" w:hanging="284"/>
        <w:rPr>
          <w:sz w:val="20"/>
        </w:rPr>
      </w:pPr>
      <w:r w:rsidRPr="000B465C">
        <w:rPr>
          <w:rStyle w:val="Znakapoznpodarou"/>
          <w:sz w:val="20"/>
        </w:rPr>
        <w:footnoteRef/>
      </w:r>
      <w:r>
        <w:rPr>
          <w:sz w:val="20"/>
        </w:rPr>
        <w:tab/>
      </w:r>
      <w:r w:rsidRPr="000B465C">
        <w:rPr>
          <w:sz w:val="20"/>
        </w:rPr>
        <w:t>Pojem bonus není právně definov</w:t>
      </w:r>
      <w:r>
        <w:rPr>
          <w:sz w:val="20"/>
        </w:rPr>
        <w:t>án</w:t>
      </w:r>
      <w:r w:rsidRPr="000B465C">
        <w:rPr>
          <w:sz w:val="20"/>
        </w:rPr>
        <w:t>. Pro účely tohoto textu je bonus chápán jako cenové zvýhodnění poskytnuté dodavatelem při odběru předem stanoveného množství odebraného zboží za určité časové období.</w:t>
      </w:r>
    </w:p>
  </w:footnote>
  <w:footnote w:id="29">
    <w:p w14:paraId="0C7F0E6C" w14:textId="10A80448" w:rsidR="009F4E3E" w:rsidRPr="003176F8" w:rsidRDefault="009F4E3E" w:rsidP="009B0845">
      <w:pPr>
        <w:pStyle w:val="Textpoznpodarou"/>
        <w:ind w:left="284" w:hanging="284"/>
        <w:rPr>
          <w:sz w:val="20"/>
        </w:rPr>
      </w:pPr>
      <w:r w:rsidRPr="003176F8">
        <w:rPr>
          <w:rStyle w:val="Znakapoznpodarou"/>
          <w:sz w:val="20"/>
        </w:rPr>
        <w:footnoteRef/>
      </w:r>
      <w:r w:rsidRPr="003176F8">
        <w:rPr>
          <w:sz w:val="20"/>
        </w:rPr>
        <w:t xml:space="preserve"> </w:t>
      </w:r>
      <w:r>
        <w:rPr>
          <w:sz w:val="20"/>
        </w:rPr>
        <w:tab/>
      </w:r>
      <w:r w:rsidRPr="003176F8">
        <w:rPr>
          <w:sz w:val="20"/>
        </w:rPr>
        <w:t>Objem veřejných zakázek se skládá nejenom ze</w:t>
      </w:r>
      <w:r>
        <w:rPr>
          <w:sz w:val="20"/>
        </w:rPr>
        <w:t xml:space="preserve"> </w:t>
      </w:r>
      <w:r w:rsidRPr="003176F8">
        <w:rPr>
          <w:sz w:val="20"/>
        </w:rPr>
        <w:t>vzorku shodných vybraných léčivých přípravků a</w:t>
      </w:r>
      <w:r>
        <w:rPr>
          <w:sz w:val="20"/>
        </w:rPr>
        <w:t> </w:t>
      </w:r>
      <w:r w:rsidRPr="003176F8">
        <w:rPr>
          <w:sz w:val="20"/>
        </w:rPr>
        <w:t>zdravotnických prostředků v kontrolovaném období u všech FN pořízených na základě zadávacího řízení, ale také z objemu dalších veřejných zakázek týkajících se léčiv, zdravotnických prostředků a vybraných kontrolovaných služeb (úklid, likvidace odpadu, právní a poradenské služby, opravy a udržování).</w:t>
      </w:r>
    </w:p>
  </w:footnote>
  <w:footnote w:id="30">
    <w:p w14:paraId="5844381C" w14:textId="20E7DE79" w:rsidR="009F4E3E" w:rsidRPr="004418EA" w:rsidRDefault="009F4E3E" w:rsidP="009B0845">
      <w:pPr>
        <w:pStyle w:val="Textpoznpodarou"/>
        <w:ind w:left="284" w:hanging="284"/>
        <w:rPr>
          <w:rFonts w:cstheme="minorHAnsi"/>
          <w:sz w:val="20"/>
        </w:rPr>
      </w:pPr>
      <w:r w:rsidRPr="00C9154A">
        <w:rPr>
          <w:rStyle w:val="Znakapoznpodarou"/>
          <w:rFonts w:cstheme="minorHAnsi"/>
          <w:sz w:val="20"/>
        </w:rPr>
        <w:footnoteRef/>
      </w:r>
      <w:r w:rsidRPr="00C9154A">
        <w:rPr>
          <w:rFonts w:cstheme="minorHAnsi"/>
          <w:sz w:val="20"/>
        </w:rPr>
        <w:t xml:space="preserve"> </w:t>
      </w:r>
      <w:r>
        <w:rPr>
          <w:rFonts w:cstheme="minorHAnsi"/>
          <w:sz w:val="20"/>
        </w:rPr>
        <w:tab/>
      </w:r>
      <w:r w:rsidRPr="00C9154A">
        <w:rPr>
          <w:rFonts w:cstheme="minorHAnsi"/>
          <w:sz w:val="20"/>
        </w:rPr>
        <w:t>Model DTP (</w:t>
      </w:r>
      <w:r w:rsidRPr="00E60983">
        <w:rPr>
          <w:rFonts w:cstheme="minorHAnsi"/>
          <w:i/>
          <w:sz w:val="20"/>
        </w:rPr>
        <w:t>Direct-To-</w:t>
      </w:r>
      <w:proofErr w:type="spellStart"/>
      <w:r w:rsidRPr="00E60983">
        <w:rPr>
          <w:rFonts w:cstheme="minorHAnsi"/>
          <w:i/>
          <w:sz w:val="20"/>
        </w:rPr>
        <w:t>Pharmacy</w:t>
      </w:r>
      <w:proofErr w:type="spellEnd"/>
      <w:r w:rsidRPr="00C9154A">
        <w:rPr>
          <w:rFonts w:cstheme="minorHAnsi"/>
          <w:sz w:val="20"/>
        </w:rPr>
        <w:t>) kanálů představuje způsob distribuce léčiva objednávaného přímo u</w:t>
      </w:r>
      <w:r>
        <w:rPr>
          <w:rFonts w:cstheme="minorHAnsi"/>
          <w:sz w:val="20"/>
        </w:rPr>
        <w:t> </w:t>
      </w:r>
      <w:r w:rsidRPr="00C9154A">
        <w:rPr>
          <w:rFonts w:cstheme="minorHAnsi"/>
          <w:sz w:val="20"/>
        </w:rPr>
        <w:t>výrobce a dodávaného výhradním distributorem.</w:t>
      </w:r>
    </w:p>
  </w:footnote>
  <w:footnote w:id="31">
    <w:p w14:paraId="4FB97E40" w14:textId="4E233F8C" w:rsidR="009F4E3E" w:rsidRPr="00D065B6" w:rsidRDefault="009F4E3E" w:rsidP="009B0845">
      <w:pPr>
        <w:pStyle w:val="Textpoznpodarou"/>
        <w:ind w:left="284" w:hanging="284"/>
        <w:rPr>
          <w:rFonts w:cstheme="minorHAnsi"/>
        </w:rPr>
      </w:pPr>
      <w:r w:rsidRPr="00C9154A">
        <w:rPr>
          <w:rStyle w:val="Znakapoznpodarou"/>
          <w:rFonts w:cstheme="minorHAnsi"/>
          <w:sz w:val="20"/>
        </w:rPr>
        <w:footnoteRef/>
      </w:r>
      <w:r w:rsidRPr="00C9154A">
        <w:rPr>
          <w:rFonts w:cstheme="minorHAnsi"/>
          <w:sz w:val="20"/>
        </w:rPr>
        <w:t xml:space="preserve"> </w:t>
      </w:r>
      <w:r>
        <w:rPr>
          <w:rFonts w:cstheme="minorHAnsi"/>
          <w:sz w:val="20"/>
        </w:rPr>
        <w:tab/>
      </w:r>
      <w:r w:rsidRPr="00C9154A">
        <w:rPr>
          <w:rFonts w:cstheme="minorHAnsi"/>
          <w:sz w:val="20"/>
        </w:rPr>
        <w:t>Zákon č. 48/1997 Sb., o veřejném zdravotním pojištění a o změně a doplnění některých souvisejících zákonů.</w:t>
      </w:r>
    </w:p>
  </w:footnote>
  <w:footnote w:id="32">
    <w:p w14:paraId="4AD853B4" w14:textId="72D68908" w:rsidR="009F4E3E" w:rsidRPr="00B023BF" w:rsidRDefault="009F4E3E" w:rsidP="009B0845">
      <w:pPr>
        <w:pStyle w:val="Textpoznpodarou"/>
        <w:ind w:left="284" w:hanging="284"/>
        <w:rPr>
          <w:rFonts w:cstheme="minorHAnsi"/>
          <w:noProof/>
          <w:color w:val="000000" w:themeColor="text1"/>
          <w:sz w:val="20"/>
        </w:rPr>
      </w:pPr>
      <w:r w:rsidRPr="00C9154A">
        <w:rPr>
          <w:rStyle w:val="Znakapoznpodarou"/>
          <w:rFonts w:cstheme="minorHAnsi"/>
          <w:sz w:val="20"/>
        </w:rPr>
        <w:footnoteRef/>
      </w:r>
      <w:r w:rsidRPr="00C9154A">
        <w:rPr>
          <w:rFonts w:cstheme="minorHAnsi"/>
          <w:sz w:val="20"/>
        </w:rPr>
        <w:t xml:space="preserve"> </w:t>
      </w:r>
      <w:r>
        <w:rPr>
          <w:rFonts w:cstheme="minorHAnsi"/>
          <w:sz w:val="20"/>
        </w:rPr>
        <w:tab/>
        <w:t xml:space="preserve">Ustanovení </w:t>
      </w:r>
      <w:r>
        <w:rPr>
          <w:rFonts w:cstheme="minorHAnsi"/>
          <w:noProof/>
          <w:color w:val="000000" w:themeColor="text1"/>
          <w:sz w:val="20"/>
        </w:rPr>
        <w:t>§ 16 zákona č. 4</w:t>
      </w:r>
      <w:r w:rsidRPr="00C9154A">
        <w:rPr>
          <w:rFonts w:cstheme="minorHAnsi"/>
          <w:noProof/>
          <w:color w:val="000000" w:themeColor="text1"/>
          <w:sz w:val="20"/>
        </w:rPr>
        <w:t>8/1997 Sb., o veřejném zdravotním pojiště</w:t>
      </w:r>
      <w:r>
        <w:rPr>
          <w:rFonts w:cstheme="minorHAnsi"/>
          <w:noProof/>
          <w:color w:val="000000" w:themeColor="text1"/>
          <w:sz w:val="20"/>
        </w:rPr>
        <w:t>ní a o změně a doplnění některých souvisejících zákonů.</w:t>
      </w:r>
    </w:p>
  </w:footnote>
  <w:footnote w:id="33">
    <w:p w14:paraId="12C333FB" w14:textId="5062B5F8" w:rsidR="009F4E3E" w:rsidRPr="00AF20C6" w:rsidRDefault="009F4E3E" w:rsidP="009B0845">
      <w:pPr>
        <w:pStyle w:val="Textpoznpodarou"/>
        <w:ind w:left="284" w:hanging="284"/>
        <w:rPr>
          <w:sz w:val="20"/>
        </w:rPr>
      </w:pPr>
      <w:r w:rsidRPr="00AF20C6">
        <w:rPr>
          <w:rStyle w:val="Znakapoznpodarou"/>
          <w:sz w:val="20"/>
        </w:rPr>
        <w:footnoteRef/>
      </w:r>
      <w:r w:rsidRPr="00AF20C6">
        <w:rPr>
          <w:sz w:val="20"/>
        </w:rPr>
        <w:t xml:space="preserve"> </w:t>
      </w:r>
      <w:r>
        <w:rPr>
          <w:sz w:val="20"/>
        </w:rPr>
        <w:tab/>
        <w:t>Ustanovení § 17 zákona</w:t>
      </w:r>
      <w:r w:rsidRPr="00AF20C6">
        <w:rPr>
          <w:sz w:val="20"/>
        </w:rPr>
        <w:t xml:space="preserve"> č. 219/2000 Sb., o majetku České republiky a jejím vystupování v právních vztazích</w:t>
      </w:r>
      <w:r>
        <w:rPr>
          <w:sz w:val="20"/>
        </w:rPr>
        <w:t>.</w:t>
      </w:r>
    </w:p>
  </w:footnote>
  <w:footnote w:id="34">
    <w:p w14:paraId="0ED6E983" w14:textId="18B8E75F" w:rsidR="009F4E3E" w:rsidRPr="00571D13" w:rsidRDefault="009F4E3E" w:rsidP="009B0845">
      <w:pPr>
        <w:pStyle w:val="Textpoznpodarou"/>
        <w:ind w:left="284" w:hanging="284"/>
        <w:rPr>
          <w:sz w:val="20"/>
        </w:rPr>
      </w:pPr>
      <w:r w:rsidRPr="00571D13">
        <w:rPr>
          <w:rStyle w:val="Znakapoznpodarou"/>
          <w:sz w:val="20"/>
        </w:rPr>
        <w:footnoteRef/>
      </w:r>
      <w:r w:rsidRPr="00571D13">
        <w:rPr>
          <w:sz w:val="20"/>
        </w:rPr>
        <w:t xml:space="preserve"> </w:t>
      </w:r>
      <w:r>
        <w:rPr>
          <w:sz w:val="20"/>
        </w:rPr>
        <w:tab/>
      </w:r>
      <w:r w:rsidRPr="00571D13">
        <w:rPr>
          <w:sz w:val="20"/>
        </w:rPr>
        <w:t xml:space="preserve">Příkaz ministra č. 13/2018 </w:t>
      </w:r>
      <w:r w:rsidRPr="00571D13">
        <w:rPr>
          <w:i/>
          <w:sz w:val="20"/>
        </w:rPr>
        <w:t>Vybrané zásady transparentního hospodaření přímo řízených organizací Ministerstva zdravotnictví v oblasti nákupu zboží a služeb</w:t>
      </w:r>
      <w:r>
        <w:rPr>
          <w:sz w:val="20"/>
        </w:rPr>
        <w:t>,</w:t>
      </w:r>
      <w:r w:rsidRPr="00571D13">
        <w:rPr>
          <w:i/>
          <w:sz w:val="20"/>
        </w:rPr>
        <w:t xml:space="preserve"> </w:t>
      </w:r>
      <w:r w:rsidRPr="00571D13">
        <w:rPr>
          <w:sz w:val="20"/>
        </w:rPr>
        <w:t>čj. MZDR 16781/2018</w:t>
      </w:r>
      <w:r>
        <w:rPr>
          <w:sz w:val="20"/>
        </w:rPr>
        <w:t>,</w:t>
      </w:r>
      <w:r w:rsidRPr="00571D13">
        <w:rPr>
          <w:sz w:val="20"/>
        </w:rPr>
        <w:t xml:space="preserve"> účinný od 1. 9. 2018.</w:t>
      </w:r>
    </w:p>
  </w:footnote>
  <w:footnote w:id="35">
    <w:p w14:paraId="4DC5753F" w14:textId="2CB91550" w:rsidR="009F4E3E" w:rsidRPr="002105C0" w:rsidRDefault="009F4E3E" w:rsidP="009B0845">
      <w:pPr>
        <w:pStyle w:val="Textpoznpodarou"/>
        <w:ind w:left="284" w:hanging="284"/>
        <w:rPr>
          <w:sz w:val="20"/>
        </w:rPr>
      </w:pPr>
      <w:r w:rsidRPr="002105C0">
        <w:rPr>
          <w:rStyle w:val="Znakapoznpodarou"/>
          <w:rFonts w:cstheme="minorHAnsi"/>
          <w:sz w:val="20"/>
        </w:rPr>
        <w:footnoteRef/>
      </w:r>
      <w:r w:rsidRPr="002105C0">
        <w:rPr>
          <w:rFonts w:cstheme="minorHAnsi"/>
          <w:sz w:val="20"/>
        </w:rPr>
        <w:t xml:space="preserve"> </w:t>
      </w:r>
      <w:r>
        <w:rPr>
          <w:rFonts w:cstheme="minorHAnsi"/>
          <w:sz w:val="20"/>
        </w:rPr>
        <w:tab/>
      </w:r>
      <w:r w:rsidRPr="002105C0">
        <w:rPr>
          <w:rFonts w:cstheme="minorHAnsi"/>
          <w:sz w:val="20"/>
        </w:rPr>
        <w:t>Ustanovení § 88 zákona č. 378/2007 Sb., o léčivech</w:t>
      </w:r>
      <w:r w:rsidRPr="00B023BF">
        <w:rPr>
          <w:rFonts w:cstheme="minorHAnsi"/>
          <w:sz w:val="20"/>
        </w:rPr>
        <w:t xml:space="preserve"> </w:t>
      </w:r>
      <w:r w:rsidRPr="002105C0">
        <w:rPr>
          <w:rFonts w:cstheme="minorHAnsi"/>
          <w:sz w:val="20"/>
        </w:rPr>
        <w:t>a o změnách některých souvisejících zákonů</w:t>
      </w:r>
      <w:r>
        <w:rPr>
          <w:rFonts w:cstheme="minorHAnsi"/>
          <w:sz w:val="20"/>
        </w:rPr>
        <w:t xml:space="preserve"> (zákon o léčivech)</w:t>
      </w:r>
      <w:r w:rsidRPr="002105C0">
        <w:rPr>
          <w:rFonts w:cstheme="minorHAnsi"/>
          <w:sz w:val="20"/>
        </w:rPr>
        <w:t>.</w:t>
      </w:r>
    </w:p>
  </w:footnote>
  <w:footnote w:id="36">
    <w:p w14:paraId="2B2FC6A2" w14:textId="6B561777" w:rsidR="009F4E3E" w:rsidRPr="002105C0" w:rsidRDefault="009F4E3E" w:rsidP="009B0845">
      <w:pPr>
        <w:pStyle w:val="Textpoznpodarou"/>
        <w:ind w:left="284" w:hanging="284"/>
        <w:rPr>
          <w:rFonts w:cstheme="minorHAnsi"/>
          <w:sz w:val="20"/>
        </w:rPr>
      </w:pPr>
      <w:r w:rsidRPr="002105C0">
        <w:rPr>
          <w:rStyle w:val="Znakapoznpodarou"/>
          <w:rFonts w:cstheme="minorHAnsi"/>
          <w:sz w:val="20"/>
        </w:rPr>
        <w:footnoteRef/>
      </w:r>
      <w:r>
        <w:rPr>
          <w:rFonts w:cstheme="minorHAnsi"/>
          <w:sz w:val="20"/>
        </w:rPr>
        <w:t xml:space="preserve"> </w:t>
      </w:r>
      <w:r>
        <w:rPr>
          <w:rFonts w:cstheme="minorHAnsi"/>
          <w:sz w:val="20"/>
        </w:rPr>
        <w:tab/>
        <w:t>Ustanovení § 89 odst. 2</w:t>
      </w:r>
      <w:r w:rsidRPr="002105C0">
        <w:rPr>
          <w:rFonts w:cstheme="minorHAnsi"/>
          <w:sz w:val="20"/>
        </w:rPr>
        <w:t xml:space="preserve"> zákona č. 378/2007 Sb., o léčivech a o změnách některých souvisejících zákonů</w:t>
      </w:r>
      <w:r>
        <w:rPr>
          <w:rFonts w:cstheme="minorHAnsi"/>
          <w:sz w:val="20"/>
        </w:rPr>
        <w:t xml:space="preserve"> (zákon o léčivech)</w:t>
      </w:r>
      <w:r w:rsidRPr="002105C0">
        <w:rPr>
          <w:rFonts w:cstheme="minorHAnsi"/>
          <w:sz w:val="20"/>
        </w:rPr>
        <w:t>.</w:t>
      </w:r>
    </w:p>
  </w:footnote>
  <w:footnote w:id="37">
    <w:p w14:paraId="73B1D270" w14:textId="5583D3A4" w:rsidR="009F4E3E" w:rsidRPr="002105C0" w:rsidRDefault="009F4E3E" w:rsidP="009B0845">
      <w:pPr>
        <w:pStyle w:val="Textpoznpodarou"/>
        <w:ind w:left="284" w:hanging="284"/>
        <w:rPr>
          <w:rFonts w:cstheme="minorHAnsi"/>
          <w:sz w:val="20"/>
        </w:rPr>
      </w:pPr>
      <w:r w:rsidRPr="002105C0">
        <w:rPr>
          <w:rStyle w:val="Znakapoznpodarou"/>
          <w:rFonts w:cstheme="minorHAnsi"/>
          <w:sz w:val="20"/>
        </w:rPr>
        <w:footnoteRef/>
      </w:r>
      <w:r w:rsidRPr="002105C0">
        <w:rPr>
          <w:rFonts w:cstheme="minorHAnsi"/>
          <w:sz w:val="20"/>
        </w:rPr>
        <w:t xml:space="preserve"> </w:t>
      </w:r>
      <w:r>
        <w:rPr>
          <w:rFonts w:cstheme="minorHAnsi"/>
          <w:sz w:val="20"/>
        </w:rPr>
        <w:tab/>
      </w:r>
      <w:r w:rsidRPr="002105C0">
        <w:rPr>
          <w:rFonts w:cstheme="minorHAnsi"/>
          <w:sz w:val="20"/>
        </w:rPr>
        <w:t>Ustanovení § 81 odst. 3, § 82 odst. 1, § 85 odst. 4, § 110 odst. 4 zákona č. 137/2006 Sb., o veřejných zakázkách.</w:t>
      </w:r>
    </w:p>
  </w:footnote>
  <w:footnote w:id="38">
    <w:p w14:paraId="07E30E79" w14:textId="27B59132" w:rsidR="009F4E3E" w:rsidRPr="002105C0" w:rsidRDefault="009F4E3E" w:rsidP="009B0845">
      <w:pPr>
        <w:pStyle w:val="Textpoznpodarou"/>
        <w:ind w:left="284" w:hanging="284"/>
        <w:rPr>
          <w:sz w:val="20"/>
        </w:rPr>
      </w:pPr>
      <w:r w:rsidRPr="002105C0">
        <w:rPr>
          <w:rStyle w:val="Znakapoznpodarou"/>
          <w:rFonts w:cstheme="minorHAnsi"/>
          <w:sz w:val="20"/>
        </w:rPr>
        <w:footnoteRef/>
      </w:r>
      <w:r w:rsidRPr="002105C0">
        <w:rPr>
          <w:rFonts w:cstheme="minorHAnsi"/>
          <w:sz w:val="20"/>
        </w:rPr>
        <w:t xml:space="preserve"> </w:t>
      </w:r>
      <w:r>
        <w:rPr>
          <w:rFonts w:cstheme="minorHAnsi"/>
          <w:sz w:val="20"/>
        </w:rPr>
        <w:tab/>
      </w:r>
      <w:r w:rsidRPr="002105C0">
        <w:rPr>
          <w:rFonts w:cstheme="minorHAnsi"/>
          <w:sz w:val="20"/>
        </w:rPr>
        <w:t>Ustanovení § 83 odst. 1 zákona č. 137/2006 Sb., o veřejných zakázkách.</w:t>
      </w:r>
    </w:p>
  </w:footnote>
  <w:footnote w:id="39">
    <w:p w14:paraId="5410F2E5" w14:textId="56F2B39D" w:rsidR="009F4E3E" w:rsidRDefault="009F4E3E" w:rsidP="009B0845">
      <w:pPr>
        <w:pStyle w:val="Textpoznpodarou"/>
        <w:ind w:left="284" w:hanging="284"/>
        <w:rPr>
          <w:rFonts w:cstheme="minorHAnsi"/>
          <w:sz w:val="20"/>
        </w:rPr>
      </w:pPr>
      <w:r w:rsidRPr="002105C0">
        <w:rPr>
          <w:rStyle w:val="Znakapoznpodarou"/>
          <w:rFonts w:cstheme="minorHAnsi"/>
          <w:sz w:val="20"/>
        </w:rPr>
        <w:footnoteRef/>
      </w:r>
      <w:r w:rsidRPr="002105C0">
        <w:rPr>
          <w:rFonts w:cstheme="minorHAnsi"/>
          <w:sz w:val="20"/>
        </w:rPr>
        <w:t xml:space="preserve"> </w:t>
      </w:r>
      <w:r>
        <w:rPr>
          <w:rFonts w:cstheme="minorHAnsi"/>
          <w:sz w:val="20"/>
        </w:rPr>
        <w:tab/>
        <w:t>Ustanovení</w:t>
      </w:r>
      <w:r w:rsidRPr="002105C0">
        <w:rPr>
          <w:rFonts w:cstheme="minorHAnsi"/>
          <w:sz w:val="20"/>
        </w:rPr>
        <w:t xml:space="preserve"> § 44 odst. 1 písm. a) ve spojení s ustanovením § 3 písm. c) a § 3 písm. e) zákona č. 218/2000 Sb.,</w:t>
      </w:r>
      <w:r>
        <w:rPr>
          <w:rFonts w:cstheme="minorHAnsi"/>
          <w:sz w:val="20"/>
        </w:rPr>
        <w:t xml:space="preserve"> </w:t>
      </w:r>
      <w:r w:rsidRPr="002105C0">
        <w:rPr>
          <w:rFonts w:cstheme="minorHAnsi"/>
          <w:sz w:val="20"/>
        </w:rPr>
        <w:t>o</w:t>
      </w:r>
      <w:r>
        <w:rPr>
          <w:rFonts w:cstheme="minorHAnsi"/>
          <w:sz w:val="20"/>
        </w:rPr>
        <w:t> </w:t>
      </w:r>
      <w:r w:rsidRPr="002105C0">
        <w:rPr>
          <w:rFonts w:cstheme="minorHAnsi"/>
          <w:sz w:val="20"/>
        </w:rPr>
        <w:t>rozpočtových pravidlech a o změně některých souvisejících zákonů (rozpočtová pravidla).</w:t>
      </w:r>
    </w:p>
  </w:footnote>
  <w:footnote w:id="40">
    <w:p w14:paraId="294318EE" w14:textId="0E65893D" w:rsidR="009F4E3E" w:rsidRPr="0094328B" w:rsidRDefault="009F4E3E" w:rsidP="009B0845">
      <w:pPr>
        <w:pStyle w:val="Textpoznpodarou"/>
        <w:ind w:left="284" w:hanging="284"/>
        <w:rPr>
          <w:rFonts w:cstheme="minorHAnsi"/>
          <w:sz w:val="20"/>
        </w:rPr>
      </w:pPr>
      <w:r w:rsidRPr="0094328B">
        <w:rPr>
          <w:rStyle w:val="Znakapoznpodarou"/>
          <w:rFonts w:cstheme="minorHAnsi"/>
          <w:sz w:val="20"/>
        </w:rPr>
        <w:footnoteRef/>
      </w:r>
      <w:r w:rsidRPr="0094328B">
        <w:rPr>
          <w:rFonts w:cstheme="minorHAnsi"/>
          <w:sz w:val="20"/>
        </w:rPr>
        <w:t xml:space="preserve"> </w:t>
      </w:r>
      <w:r>
        <w:rPr>
          <w:rFonts w:cstheme="minorHAnsi"/>
          <w:sz w:val="20"/>
        </w:rPr>
        <w:tab/>
      </w:r>
      <w:r w:rsidRPr="0094328B">
        <w:rPr>
          <w:rFonts w:cstheme="minorHAnsi"/>
          <w:sz w:val="20"/>
        </w:rPr>
        <w:t>Ustanovení § 6 a § 76 odst. 1 zákona č. 137/2006 Sb., o veřejných zakázkách.</w:t>
      </w:r>
    </w:p>
  </w:footnote>
  <w:footnote w:id="41">
    <w:p w14:paraId="13049CE6" w14:textId="29983BFB" w:rsidR="009F4E3E" w:rsidRPr="008D0B02" w:rsidRDefault="009F4E3E" w:rsidP="009B0845">
      <w:pPr>
        <w:pStyle w:val="Textpoznpodarou"/>
        <w:ind w:left="284" w:hanging="284"/>
        <w:rPr>
          <w:sz w:val="20"/>
        </w:rPr>
      </w:pPr>
      <w:r w:rsidRPr="008D0B02">
        <w:rPr>
          <w:rStyle w:val="Znakapoznpodarou"/>
          <w:sz w:val="20"/>
        </w:rPr>
        <w:footnoteRef/>
      </w:r>
      <w:r w:rsidRPr="008D0B02">
        <w:rPr>
          <w:sz w:val="20"/>
        </w:rPr>
        <w:t xml:space="preserve"> </w:t>
      </w:r>
      <w:r>
        <w:rPr>
          <w:sz w:val="20"/>
        </w:rPr>
        <w:tab/>
      </w:r>
      <w:r w:rsidRPr="008D0B02">
        <w:rPr>
          <w:sz w:val="20"/>
        </w:rPr>
        <w:t>Zákon č. 137/2006 Sb., o veřejných zakázkách.</w:t>
      </w:r>
    </w:p>
  </w:footnote>
  <w:footnote w:id="42">
    <w:p w14:paraId="35E9F0D6" w14:textId="697C9668" w:rsidR="009F4E3E" w:rsidRPr="00953817" w:rsidRDefault="009F4E3E" w:rsidP="00F72449">
      <w:pPr>
        <w:pStyle w:val="Textpoznpodarou"/>
        <w:ind w:left="284" w:hanging="284"/>
        <w:rPr>
          <w:sz w:val="20"/>
        </w:rPr>
      </w:pPr>
      <w:r w:rsidRPr="00953817">
        <w:rPr>
          <w:rStyle w:val="Znakapoznpodarou"/>
          <w:sz w:val="20"/>
        </w:rPr>
        <w:footnoteRef/>
      </w:r>
      <w:r w:rsidRPr="00953817">
        <w:rPr>
          <w:sz w:val="20"/>
        </w:rPr>
        <w:t xml:space="preserve"> </w:t>
      </w:r>
      <w:r>
        <w:rPr>
          <w:sz w:val="20"/>
        </w:rPr>
        <w:tab/>
      </w:r>
      <w:r>
        <w:rPr>
          <w:rFonts w:cstheme="minorHAnsi"/>
          <w:noProof/>
          <w:color w:val="000000" w:themeColor="text1"/>
          <w:sz w:val="20"/>
        </w:rPr>
        <w:t>U</w:t>
      </w:r>
      <w:r w:rsidRPr="00953817">
        <w:rPr>
          <w:rFonts w:cstheme="minorHAnsi"/>
          <w:noProof/>
          <w:color w:val="000000" w:themeColor="text1"/>
          <w:sz w:val="20"/>
        </w:rPr>
        <w:t>stanovení § 44 odst. 1 písm. a) ve spojení s ustanovením § 3 písm. c) a § 3 písm. e) zákona č. 218/2000 Sb.</w:t>
      </w:r>
    </w:p>
  </w:footnote>
  <w:footnote w:id="43">
    <w:p w14:paraId="11AB0190" w14:textId="6246D317" w:rsidR="009F4E3E" w:rsidRPr="001825BA" w:rsidRDefault="009F4E3E" w:rsidP="00F72449">
      <w:pPr>
        <w:pStyle w:val="Textpoznpodarou"/>
        <w:ind w:left="284" w:hanging="284"/>
        <w:rPr>
          <w:sz w:val="20"/>
        </w:rPr>
      </w:pPr>
      <w:r w:rsidRPr="001825BA">
        <w:rPr>
          <w:rStyle w:val="Znakapoznpodarou"/>
          <w:sz w:val="20"/>
        </w:rPr>
        <w:footnoteRef/>
      </w:r>
      <w:r>
        <w:rPr>
          <w:sz w:val="20"/>
        </w:rPr>
        <w:t> </w:t>
      </w:r>
      <w:r>
        <w:rPr>
          <w:sz w:val="20"/>
        </w:rPr>
        <w:tab/>
      </w:r>
      <w:r w:rsidRPr="001825BA">
        <w:rPr>
          <w:sz w:val="20"/>
        </w:rPr>
        <w:t xml:space="preserve">Zákon č. 340/2015 Sb., </w:t>
      </w:r>
      <w:r w:rsidRPr="001825BA">
        <w:rPr>
          <w:rFonts w:cstheme="minorHAnsi"/>
          <w:noProof/>
          <w:color w:val="000000" w:themeColor="text1"/>
          <w:sz w:val="20"/>
        </w:rPr>
        <w:t>o zvláštních podmínkách účinnosti některých sml</w:t>
      </w:r>
      <w:r>
        <w:rPr>
          <w:rFonts w:cstheme="minorHAnsi"/>
          <w:noProof/>
          <w:color w:val="000000" w:themeColor="text1"/>
          <w:sz w:val="20"/>
        </w:rPr>
        <w:t>uv, uveřejňování těchto smluv a </w:t>
      </w:r>
      <w:r w:rsidRPr="001825BA">
        <w:rPr>
          <w:rFonts w:cstheme="minorHAnsi"/>
          <w:noProof/>
          <w:color w:val="000000" w:themeColor="text1"/>
          <w:sz w:val="20"/>
        </w:rPr>
        <w:t>o</w:t>
      </w:r>
      <w:r>
        <w:rPr>
          <w:rFonts w:cstheme="minorHAnsi"/>
          <w:noProof/>
          <w:color w:val="000000" w:themeColor="text1"/>
          <w:sz w:val="20"/>
        </w:rPr>
        <w:t> </w:t>
      </w:r>
      <w:r w:rsidRPr="001825BA">
        <w:rPr>
          <w:rFonts w:cstheme="minorHAnsi"/>
          <w:noProof/>
          <w:color w:val="000000" w:themeColor="text1"/>
          <w:sz w:val="20"/>
        </w:rPr>
        <w:t>registru smluv (zákon o registru smluv).</w:t>
      </w:r>
    </w:p>
  </w:footnote>
  <w:footnote w:id="44">
    <w:p w14:paraId="3FF9ABD4" w14:textId="1311C0D1" w:rsidR="009F4E3E" w:rsidRPr="006050C3" w:rsidRDefault="009F4E3E" w:rsidP="00F72449">
      <w:pPr>
        <w:pStyle w:val="Textpoznpodarou"/>
        <w:ind w:left="284" w:hanging="284"/>
        <w:rPr>
          <w:sz w:val="20"/>
        </w:rPr>
      </w:pPr>
      <w:r w:rsidRPr="006050C3">
        <w:rPr>
          <w:rStyle w:val="Znakapoznpodarou"/>
          <w:sz w:val="20"/>
        </w:rPr>
        <w:footnoteRef/>
      </w:r>
      <w:r w:rsidRPr="006050C3">
        <w:rPr>
          <w:sz w:val="20"/>
        </w:rPr>
        <w:t xml:space="preserve"> </w:t>
      </w:r>
      <w:r>
        <w:rPr>
          <w:sz w:val="20"/>
        </w:rPr>
        <w:tab/>
      </w:r>
      <w:r w:rsidRPr="006050C3">
        <w:rPr>
          <w:sz w:val="20"/>
        </w:rPr>
        <w:t xml:space="preserve">Ustanovení </w:t>
      </w:r>
      <w:r w:rsidRPr="006050C3">
        <w:rPr>
          <w:rFonts w:cstheme="minorHAnsi"/>
          <w:noProof/>
          <w:color w:val="000000" w:themeColor="text1"/>
          <w:sz w:val="20"/>
        </w:rPr>
        <w:t>§ 83 odst. 1 zákona č. 137/2006 Sb.</w:t>
      </w:r>
      <w:r>
        <w:rPr>
          <w:rFonts w:cstheme="minorHAnsi"/>
          <w:noProof/>
          <w:color w:val="000000" w:themeColor="text1"/>
          <w:sz w:val="20"/>
        </w:rPr>
        <w:t xml:space="preserve">, </w:t>
      </w:r>
      <w:r w:rsidRPr="006050C3">
        <w:rPr>
          <w:rFonts w:cstheme="minorHAnsi"/>
          <w:noProof/>
          <w:color w:val="000000" w:themeColor="text1"/>
          <w:sz w:val="20"/>
        </w:rPr>
        <w:t>o veřejných zakázkách</w:t>
      </w:r>
      <w:r>
        <w:rPr>
          <w:rFonts w:cstheme="minorHAnsi"/>
          <w:noProof/>
          <w:color w:val="000000" w:themeColor="text1"/>
          <w:sz w:val="20"/>
        </w:rPr>
        <w:t>.</w:t>
      </w:r>
    </w:p>
  </w:footnote>
  <w:footnote w:id="45">
    <w:p w14:paraId="479403C5" w14:textId="748765E7" w:rsidR="009F4E3E" w:rsidRPr="006050C3" w:rsidRDefault="009F4E3E" w:rsidP="00F72449">
      <w:pPr>
        <w:pStyle w:val="Textpoznpodarou"/>
        <w:ind w:left="284" w:hanging="284"/>
        <w:rPr>
          <w:sz w:val="20"/>
        </w:rPr>
      </w:pPr>
      <w:r w:rsidRPr="006050C3">
        <w:rPr>
          <w:rStyle w:val="Znakapoznpodarou"/>
          <w:sz w:val="20"/>
        </w:rPr>
        <w:footnoteRef/>
      </w:r>
      <w:r w:rsidRPr="006050C3">
        <w:rPr>
          <w:sz w:val="20"/>
        </w:rPr>
        <w:t xml:space="preserve"> </w:t>
      </w:r>
      <w:r>
        <w:rPr>
          <w:sz w:val="20"/>
        </w:rPr>
        <w:tab/>
      </w:r>
      <w:r w:rsidRPr="006050C3">
        <w:rPr>
          <w:sz w:val="20"/>
        </w:rPr>
        <w:t>U</w:t>
      </w:r>
      <w:r w:rsidRPr="006050C3">
        <w:rPr>
          <w:rFonts w:cstheme="minorHAnsi"/>
          <w:noProof/>
          <w:color w:val="000000" w:themeColor="text1"/>
          <w:sz w:val="20"/>
        </w:rPr>
        <w:t>stanovení § 76 odst. 3 zákona č. 137/2006 Sb., o veřejných zakázkách.</w:t>
      </w:r>
    </w:p>
  </w:footnote>
  <w:footnote w:id="46">
    <w:p w14:paraId="27BA0319" w14:textId="1747A284" w:rsidR="009F4E3E" w:rsidRPr="003F25B9" w:rsidRDefault="009F4E3E" w:rsidP="00F72449">
      <w:pPr>
        <w:pStyle w:val="Textpoznpodarou"/>
        <w:ind w:left="284" w:hanging="284"/>
        <w:rPr>
          <w:sz w:val="20"/>
        </w:rPr>
      </w:pPr>
      <w:r w:rsidRPr="003F25B9">
        <w:rPr>
          <w:rStyle w:val="Znakapoznpodarou"/>
          <w:sz w:val="20"/>
        </w:rPr>
        <w:footnoteRef/>
      </w:r>
      <w:r w:rsidRPr="003F25B9">
        <w:rPr>
          <w:sz w:val="20"/>
        </w:rPr>
        <w:t xml:space="preserve"> </w:t>
      </w:r>
      <w:r>
        <w:rPr>
          <w:sz w:val="20"/>
        </w:rPr>
        <w:tab/>
      </w:r>
      <w:r w:rsidRPr="003F25B9">
        <w:rPr>
          <w:rFonts w:cstheme="minorHAnsi"/>
          <w:noProof/>
          <w:color w:val="000000" w:themeColor="text1"/>
          <w:sz w:val="20"/>
        </w:rPr>
        <w:t>Ustanovení § 78 odst. 4 zákona č. 137/2006 Sb., o veřejných zakázkách.</w:t>
      </w:r>
    </w:p>
  </w:footnote>
  <w:footnote w:id="47">
    <w:p w14:paraId="162AFCED" w14:textId="7785D3A8" w:rsidR="009F4E3E" w:rsidRPr="00C9154A" w:rsidRDefault="009F4E3E" w:rsidP="00F72449">
      <w:pPr>
        <w:pStyle w:val="Textpoznpodarou"/>
        <w:ind w:left="284" w:hanging="284"/>
        <w:rPr>
          <w:rFonts w:cstheme="minorHAnsi"/>
          <w:sz w:val="20"/>
        </w:rPr>
      </w:pPr>
      <w:r w:rsidRPr="00C9154A">
        <w:rPr>
          <w:rStyle w:val="Znakapoznpodarou"/>
          <w:rFonts w:cstheme="minorHAnsi"/>
          <w:sz w:val="20"/>
        </w:rPr>
        <w:footnoteRef/>
      </w:r>
      <w:r w:rsidRPr="00C9154A">
        <w:rPr>
          <w:rFonts w:cstheme="minorHAnsi"/>
          <w:sz w:val="20"/>
        </w:rPr>
        <w:t xml:space="preserve"> </w:t>
      </w:r>
      <w:r>
        <w:rPr>
          <w:rFonts w:cstheme="minorHAnsi"/>
          <w:sz w:val="20"/>
        </w:rPr>
        <w:tab/>
      </w:r>
      <w:r w:rsidRPr="00C9154A">
        <w:rPr>
          <w:rFonts w:cstheme="minorHAnsi"/>
          <w:sz w:val="20"/>
        </w:rPr>
        <w:t xml:space="preserve">Zákon č. 320/2001 Sb., </w:t>
      </w:r>
      <w:r w:rsidRPr="00C9154A">
        <w:rPr>
          <w:rFonts w:cstheme="minorHAnsi"/>
          <w:noProof/>
          <w:color w:val="000000" w:themeColor="text1"/>
          <w:sz w:val="20"/>
        </w:rPr>
        <w:t>o finanční kontrole ve veřejné správě a o změně některých zákonů (zákon o finanční kontrole).</w:t>
      </w:r>
    </w:p>
  </w:footnote>
  <w:footnote w:id="48">
    <w:p w14:paraId="03C618C2" w14:textId="4FB1A224" w:rsidR="009F4E3E" w:rsidRPr="00DB1753" w:rsidRDefault="009F4E3E" w:rsidP="00F72449">
      <w:pPr>
        <w:pStyle w:val="Textpoznpodarou"/>
        <w:ind w:left="284" w:hanging="284"/>
        <w:rPr>
          <w:sz w:val="20"/>
        </w:rPr>
      </w:pPr>
      <w:r w:rsidRPr="00DB1753">
        <w:rPr>
          <w:rStyle w:val="Znakapoznpodarou"/>
          <w:sz w:val="20"/>
        </w:rPr>
        <w:footnoteRef/>
      </w:r>
      <w:r w:rsidRPr="00DB1753">
        <w:rPr>
          <w:sz w:val="20"/>
        </w:rPr>
        <w:t xml:space="preserve"> </w:t>
      </w:r>
      <w:r>
        <w:rPr>
          <w:sz w:val="20"/>
        </w:rPr>
        <w:tab/>
        <w:t xml:space="preserve">Ustanovení </w:t>
      </w:r>
      <w:r w:rsidRPr="00DB1753">
        <w:rPr>
          <w:sz w:val="20"/>
        </w:rPr>
        <w:t>§ 14 zákona č. 219/2000 Sb., o majetku České republiky a jejím vystupování v právních vztazích</w:t>
      </w:r>
      <w:r>
        <w:rPr>
          <w:sz w:val="20"/>
        </w:rPr>
        <w:t>.</w:t>
      </w:r>
    </w:p>
  </w:footnote>
  <w:footnote w:id="49">
    <w:p w14:paraId="7EC490D6" w14:textId="0890D73F" w:rsidR="009F4E3E" w:rsidRPr="002118D5" w:rsidRDefault="009F4E3E" w:rsidP="000C1D64">
      <w:pPr>
        <w:pStyle w:val="Textpoznpodarou"/>
        <w:ind w:left="284" w:hanging="284"/>
        <w:rPr>
          <w:rFonts w:cstheme="minorHAnsi"/>
          <w:sz w:val="20"/>
        </w:rPr>
      </w:pPr>
      <w:r w:rsidRPr="002118D5">
        <w:rPr>
          <w:rStyle w:val="Znakapoznpodarou"/>
          <w:rFonts w:cstheme="minorHAnsi"/>
          <w:sz w:val="20"/>
        </w:rPr>
        <w:footnoteRef/>
      </w:r>
      <w:r>
        <w:rPr>
          <w:rFonts w:cstheme="minorHAnsi"/>
          <w:sz w:val="20"/>
        </w:rPr>
        <w:tab/>
      </w:r>
      <w:r w:rsidRPr="002118D5">
        <w:rPr>
          <w:rFonts w:cstheme="minorHAnsi"/>
          <w:sz w:val="20"/>
        </w:rPr>
        <w:t xml:space="preserve">FNB: </w:t>
      </w:r>
      <w:r>
        <w:rPr>
          <w:rFonts w:cstheme="minorHAnsi"/>
          <w:sz w:val="20"/>
        </w:rPr>
        <w:t>p</w:t>
      </w:r>
      <w:r w:rsidRPr="002118D5">
        <w:rPr>
          <w:rFonts w:cstheme="minorHAnsi"/>
          <w:sz w:val="20"/>
        </w:rPr>
        <w:t xml:space="preserve">řístroj pro magnetickou rezonanci, typ MR </w:t>
      </w:r>
      <w:proofErr w:type="spellStart"/>
      <w:r w:rsidRPr="002118D5">
        <w:rPr>
          <w:rFonts w:cstheme="minorHAnsi"/>
          <w:sz w:val="20"/>
        </w:rPr>
        <w:t>Achieva</w:t>
      </w:r>
      <w:proofErr w:type="spellEnd"/>
      <w:r w:rsidRPr="002118D5">
        <w:rPr>
          <w:rFonts w:cstheme="minorHAnsi"/>
          <w:sz w:val="20"/>
        </w:rPr>
        <w:t xml:space="preserve"> 1,5 T (Nova </w:t>
      </w:r>
      <w:proofErr w:type="spellStart"/>
      <w:r w:rsidRPr="002118D5">
        <w:rPr>
          <w:rFonts w:cstheme="minorHAnsi"/>
          <w:sz w:val="20"/>
        </w:rPr>
        <w:t>Dual</w:t>
      </w:r>
      <w:proofErr w:type="spellEnd"/>
      <w:r w:rsidRPr="002118D5">
        <w:rPr>
          <w:rFonts w:cstheme="minorHAnsi"/>
          <w:sz w:val="20"/>
        </w:rPr>
        <w:t>)</w:t>
      </w:r>
      <w:r>
        <w:rPr>
          <w:rFonts w:cstheme="minorHAnsi"/>
          <w:sz w:val="20"/>
        </w:rPr>
        <w:t>,</w:t>
      </w:r>
      <w:r w:rsidRPr="002118D5">
        <w:rPr>
          <w:rFonts w:cstheme="minorHAnsi"/>
          <w:sz w:val="20"/>
        </w:rPr>
        <w:t xml:space="preserve"> včetně příslušenství, hybridní skener PET/MR a přístroj pro nukleární magnetickou rezonanci MR </w:t>
      </w:r>
      <w:proofErr w:type="spellStart"/>
      <w:r w:rsidRPr="002118D5">
        <w:rPr>
          <w:rFonts w:cstheme="minorHAnsi"/>
          <w:sz w:val="20"/>
        </w:rPr>
        <w:t>Magnetom</w:t>
      </w:r>
      <w:proofErr w:type="spellEnd"/>
      <w:r w:rsidRPr="002118D5">
        <w:rPr>
          <w:rFonts w:cstheme="minorHAnsi"/>
          <w:sz w:val="20"/>
        </w:rPr>
        <w:t xml:space="preserve"> </w:t>
      </w:r>
      <w:proofErr w:type="spellStart"/>
      <w:r w:rsidRPr="002118D5">
        <w:rPr>
          <w:rFonts w:cstheme="minorHAnsi"/>
          <w:sz w:val="20"/>
        </w:rPr>
        <w:t>Impact</w:t>
      </w:r>
      <w:proofErr w:type="spellEnd"/>
      <w:r w:rsidRPr="002118D5">
        <w:rPr>
          <w:rFonts w:cstheme="minorHAnsi"/>
          <w:sz w:val="20"/>
        </w:rPr>
        <w:t>.</w:t>
      </w:r>
    </w:p>
    <w:p w14:paraId="55F5508F" w14:textId="61B68067" w:rsidR="009F4E3E" w:rsidRPr="002118D5" w:rsidRDefault="009F4E3E" w:rsidP="000C1D64">
      <w:pPr>
        <w:pStyle w:val="Textpoznpodarou"/>
        <w:ind w:left="284"/>
        <w:rPr>
          <w:rFonts w:cstheme="minorHAnsi"/>
          <w:sz w:val="20"/>
        </w:rPr>
      </w:pPr>
      <w:r w:rsidRPr="002118D5">
        <w:rPr>
          <w:rFonts w:cstheme="minorHAnsi"/>
          <w:sz w:val="20"/>
        </w:rPr>
        <w:t xml:space="preserve">FNM: </w:t>
      </w:r>
      <w:r>
        <w:rPr>
          <w:rFonts w:cstheme="minorHAnsi"/>
          <w:sz w:val="20"/>
        </w:rPr>
        <w:t>m</w:t>
      </w:r>
      <w:r w:rsidRPr="002118D5">
        <w:rPr>
          <w:rFonts w:cstheme="minorHAnsi"/>
          <w:sz w:val="20"/>
        </w:rPr>
        <w:t xml:space="preserve">agnetická rezonance, 1,5 T, </w:t>
      </w:r>
      <w:proofErr w:type="spellStart"/>
      <w:r w:rsidRPr="002118D5">
        <w:rPr>
          <w:rFonts w:cstheme="minorHAnsi"/>
          <w:sz w:val="20"/>
        </w:rPr>
        <w:t>Magnetom</w:t>
      </w:r>
      <w:proofErr w:type="spellEnd"/>
      <w:r w:rsidRPr="002118D5">
        <w:rPr>
          <w:rFonts w:cstheme="minorHAnsi"/>
          <w:sz w:val="20"/>
        </w:rPr>
        <w:t xml:space="preserve"> </w:t>
      </w:r>
      <w:proofErr w:type="spellStart"/>
      <w:r w:rsidRPr="002118D5">
        <w:rPr>
          <w:rFonts w:cstheme="minorHAnsi"/>
          <w:sz w:val="20"/>
        </w:rPr>
        <w:t>Avanto</w:t>
      </w:r>
      <w:proofErr w:type="spellEnd"/>
      <w:r w:rsidRPr="002118D5">
        <w:rPr>
          <w:rFonts w:cstheme="minorHAnsi"/>
          <w:sz w:val="20"/>
        </w:rPr>
        <w:t xml:space="preserve">, </w:t>
      </w:r>
      <w:r>
        <w:rPr>
          <w:rFonts w:cstheme="minorHAnsi"/>
          <w:sz w:val="20"/>
        </w:rPr>
        <w:t>u</w:t>
      </w:r>
      <w:r w:rsidRPr="002118D5">
        <w:rPr>
          <w:rFonts w:cstheme="minorHAnsi"/>
          <w:sz w:val="20"/>
        </w:rPr>
        <w:t xml:space="preserve">rychlovač lineárního CLINAC 2100 C/D, </w:t>
      </w:r>
      <w:r>
        <w:rPr>
          <w:rFonts w:cstheme="minorHAnsi"/>
          <w:sz w:val="20"/>
        </w:rPr>
        <w:t>u</w:t>
      </w:r>
      <w:r w:rsidRPr="002118D5">
        <w:rPr>
          <w:rFonts w:cstheme="minorHAnsi"/>
          <w:sz w:val="20"/>
        </w:rPr>
        <w:t>rychlovač lineárního CLINAC 2100 C/D.</w:t>
      </w:r>
    </w:p>
    <w:p w14:paraId="3F2070AA" w14:textId="58A59379" w:rsidR="009F4E3E" w:rsidRPr="002118D5" w:rsidRDefault="009F4E3E" w:rsidP="000C1D64">
      <w:pPr>
        <w:pStyle w:val="Textpoznpodarou"/>
        <w:ind w:left="284"/>
        <w:rPr>
          <w:rFonts w:cstheme="minorHAnsi"/>
          <w:sz w:val="20"/>
          <w:highlight w:val="yellow"/>
        </w:rPr>
      </w:pPr>
      <w:r w:rsidRPr="002118D5">
        <w:rPr>
          <w:rFonts w:cstheme="minorHAnsi"/>
          <w:sz w:val="20"/>
        </w:rPr>
        <w:t xml:space="preserve">ÚVN: magnetická rezonance, výr. </w:t>
      </w:r>
      <w:proofErr w:type="gramStart"/>
      <w:r w:rsidRPr="002118D5">
        <w:rPr>
          <w:rFonts w:cstheme="minorHAnsi"/>
          <w:sz w:val="20"/>
        </w:rPr>
        <w:t>model</w:t>
      </w:r>
      <w:proofErr w:type="gramEnd"/>
      <w:r w:rsidRPr="002118D5">
        <w:rPr>
          <w:rFonts w:cstheme="minorHAnsi"/>
          <w:sz w:val="20"/>
        </w:rPr>
        <w:t xml:space="preserve"> 3,0T SIGNA </w:t>
      </w:r>
      <w:proofErr w:type="spellStart"/>
      <w:r w:rsidRPr="002118D5">
        <w:rPr>
          <w:rFonts w:cstheme="minorHAnsi"/>
          <w:sz w:val="20"/>
        </w:rPr>
        <w:t>HDx</w:t>
      </w:r>
      <w:proofErr w:type="spellEnd"/>
      <w:r w:rsidRPr="002118D5">
        <w:rPr>
          <w:rFonts w:cstheme="minorHAnsi"/>
          <w:sz w:val="20"/>
        </w:rPr>
        <w:t>, tomograf počítačový, výr. model AQUILION ONE robot chirurgický operační, výr. model IS 3000 DA VINCI SI.</w:t>
      </w:r>
    </w:p>
  </w:footnote>
  <w:footnote w:id="50">
    <w:p w14:paraId="5A12B6A9" w14:textId="23EE1CA1" w:rsidR="009F4E3E" w:rsidRPr="00F83F97" w:rsidRDefault="009F4E3E" w:rsidP="00F72449">
      <w:pPr>
        <w:pStyle w:val="Textpoznpodarou"/>
        <w:ind w:left="284" w:hanging="284"/>
        <w:rPr>
          <w:rFonts w:cstheme="minorHAnsi"/>
          <w:sz w:val="20"/>
        </w:rPr>
      </w:pPr>
      <w:r w:rsidRPr="005A2AFA">
        <w:rPr>
          <w:rStyle w:val="Znakapoznpodarou"/>
          <w:rFonts w:cstheme="minorHAnsi"/>
          <w:sz w:val="20"/>
        </w:rPr>
        <w:footnoteRef/>
      </w:r>
      <w:r w:rsidRPr="005A2AFA">
        <w:rPr>
          <w:rFonts w:cstheme="minorHAnsi"/>
          <w:sz w:val="20"/>
        </w:rPr>
        <w:t xml:space="preserve"> </w:t>
      </w:r>
      <w:r>
        <w:rPr>
          <w:rFonts w:cstheme="minorHAnsi"/>
          <w:sz w:val="20"/>
        </w:rPr>
        <w:tab/>
      </w:r>
      <w:r w:rsidRPr="00F83F97">
        <w:rPr>
          <w:rFonts w:cstheme="minorHAnsi"/>
          <w:sz w:val="20"/>
        </w:rPr>
        <w:t>Ustanovení § 22 a § 10 odst. 1 zákona České národní rady č. 2/1969 Sb., o zřízení ministerstev a jiných ústředních orgánů státní správy České republiky.</w:t>
      </w:r>
    </w:p>
  </w:footnote>
  <w:footnote w:id="51">
    <w:p w14:paraId="53502551" w14:textId="45829B72" w:rsidR="009F4E3E" w:rsidRPr="00F83F97" w:rsidRDefault="009F4E3E" w:rsidP="00F72449">
      <w:pPr>
        <w:pStyle w:val="Textpoznpodarou"/>
        <w:ind w:left="284" w:hanging="284"/>
        <w:rPr>
          <w:rFonts w:cstheme="minorHAnsi"/>
          <w:sz w:val="20"/>
        </w:rPr>
      </w:pPr>
      <w:r w:rsidRPr="008A249D">
        <w:rPr>
          <w:rStyle w:val="Znakapoznpodarou"/>
          <w:rFonts w:cstheme="minorHAnsi"/>
          <w:sz w:val="20"/>
        </w:rPr>
        <w:footnoteRef/>
      </w:r>
      <w:r w:rsidRPr="008A249D">
        <w:rPr>
          <w:rFonts w:cstheme="minorHAnsi"/>
          <w:sz w:val="20"/>
        </w:rPr>
        <w:t xml:space="preserve"> </w:t>
      </w:r>
      <w:r>
        <w:rPr>
          <w:rFonts w:cstheme="minorHAnsi"/>
          <w:sz w:val="20"/>
        </w:rPr>
        <w:tab/>
      </w:r>
      <w:r>
        <w:rPr>
          <w:rFonts w:cstheme="minorHAnsi"/>
          <w:noProof/>
          <w:color w:val="000000" w:themeColor="text1"/>
          <w:sz w:val="20"/>
        </w:rPr>
        <w:t>Ustanovení § 39 odst. 3 zákona</w:t>
      </w:r>
      <w:r w:rsidRPr="00F83F97">
        <w:rPr>
          <w:rFonts w:cstheme="minorHAnsi"/>
          <w:sz w:val="20"/>
        </w:rPr>
        <w:t xml:space="preserve"> č. 218/2000 Sb., o rozpočtových pravidlech a o změně některých souvisejících zákonů (rozpočtová pravidla)</w:t>
      </w:r>
      <w:r>
        <w:rPr>
          <w:rFonts w:cstheme="minorHAnsi"/>
          <w:sz w:val="20"/>
        </w:rPr>
        <w:t>.</w:t>
      </w:r>
    </w:p>
  </w:footnote>
  <w:footnote w:id="52">
    <w:p w14:paraId="43598D3B" w14:textId="17AB1EC3" w:rsidR="009F4E3E" w:rsidRPr="008846AE" w:rsidRDefault="009F4E3E" w:rsidP="00F72449">
      <w:pPr>
        <w:pStyle w:val="Textpoznpodarou"/>
        <w:ind w:left="284" w:hanging="284"/>
        <w:rPr>
          <w:sz w:val="20"/>
        </w:rPr>
      </w:pPr>
      <w:r w:rsidRPr="008846AE">
        <w:rPr>
          <w:rStyle w:val="Znakapoznpodarou"/>
          <w:sz w:val="20"/>
        </w:rPr>
        <w:footnoteRef/>
      </w:r>
      <w:r w:rsidRPr="008846AE">
        <w:rPr>
          <w:sz w:val="20"/>
        </w:rPr>
        <w:t xml:space="preserve"> </w:t>
      </w:r>
      <w:r>
        <w:rPr>
          <w:sz w:val="20"/>
        </w:rPr>
        <w:tab/>
      </w:r>
      <w:r w:rsidRPr="008846AE">
        <w:rPr>
          <w:sz w:val="20"/>
        </w:rPr>
        <w:t xml:space="preserve">Ustanovení článku 107 odst. 1 </w:t>
      </w:r>
      <w:r w:rsidRPr="00E60983">
        <w:rPr>
          <w:i/>
          <w:sz w:val="20"/>
        </w:rPr>
        <w:t>Smlouvy o fungování Evropské unie</w:t>
      </w:r>
      <w:r w:rsidRPr="008846AE">
        <w:rPr>
          <w:sz w:val="20"/>
        </w:rPr>
        <w:t>.</w:t>
      </w:r>
    </w:p>
  </w:footnote>
  <w:footnote w:id="53">
    <w:p w14:paraId="5D8BF9B5" w14:textId="27AFC7B1" w:rsidR="009F4E3E" w:rsidRPr="008846AE" w:rsidRDefault="009F4E3E" w:rsidP="00F72449">
      <w:pPr>
        <w:pStyle w:val="Textpoznpodarou"/>
        <w:ind w:left="284" w:hanging="284"/>
        <w:rPr>
          <w:sz w:val="20"/>
        </w:rPr>
      </w:pPr>
      <w:r w:rsidRPr="008846AE">
        <w:rPr>
          <w:rStyle w:val="Znakapoznpodarou"/>
          <w:rFonts w:cstheme="minorHAnsi"/>
          <w:sz w:val="20"/>
        </w:rPr>
        <w:footnoteRef/>
      </w:r>
      <w:r w:rsidRPr="008846AE">
        <w:rPr>
          <w:rFonts w:cstheme="minorHAnsi"/>
          <w:sz w:val="20"/>
        </w:rPr>
        <w:t xml:space="preserve"> </w:t>
      </w:r>
      <w:r>
        <w:rPr>
          <w:rFonts w:cstheme="minorHAnsi"/>
          <w:sz w:val="20"/>
        </w:rPr>
        <w:tab/>
      </w:r>
      <w:r w:rsidRPr="008846AE">
        <w:rPr>
          <w:rFonts w:cstheme="minorHAnsi"/>
          <w:sz w:val="20"/>
        </w:rPr>
        <w:t>Služba obecného hospodářského zájmu je služba, jejíž zajišťování ve prospěch určité skupiny občanů nebo společnosti jako celku je ze strany orgánů veřejné správy považováno za nezbytné z důvodů kulturních, sociálních nebo společenských.</w:t>
      </w:r>
    </w:p>
  </w:footnote>
  <w:footnote w:id="54">
    <w:p w14:paraId="151A2988" w14:textId="5C94A158" w:rsidR="009F4E3E" w:rsidRPr="008846AE" w:rsidRDefault="009F4E3E" w:rsidP="00F72449">
      <w:pPr>
        <w:pStyle w:val="Textpoznpodarou"/>
        <w:ind w:left="284" w:hanging="284"/>
        <w:rPr>
          <w:rFonts w:cstheme="minorHAnsi"/>
          <w:noProof/>
          <w:color w:val="000000" w:themeColor="text1"/>
          <w:sz w:val="20"/>
        </w:rPr>
      </w:pPr>
      <w:r w:rsidRPr="008846AE">
        <w:rPr>
          <w:rStyle w:val="Znakapoznpodarou"/>
          <w:sz w:val="20"/>
        </w:rPr>
        <w:footnoteRef/>
      </w:r>
      <w:r w:rsidRPr="008846AE">
        <w:rPr>
          <w:rStyle w:val="Znakapoznpodarou"/>
          <w:sz w:val="20"/>
        </w:rPr>
        <w:t xml:space="preserve"> </w:t>
      </w:r>
      <w:r>
        <w:rPr>
          <w:rStyle w:val="Znakapoznpodarou"/>
          <w:sz w:val="20"/>
        </w:rPr>
        <w:tab/>
      </w:r>
      <w:r w:rsidRPr="008846AE">
        <w:rPr>
          <w:rFonts w:cstheme="minorHAnsi"/>
          <w:noProof/>
          <w:color w:val="000000" w:themeColor="text1"/>
          <w:sz w:val="20"/>
        </w:rPr>
        <w:t>Manuál služeb obecného hospodářského zájmu (ze dne 25. 4. 2013) na str. 7 a 18.</w:t>
      </w:r>
    </w:p>
  </w:footnote>
  <w:footnote w:id="55">
    <w:p w14:paraId="7D85C068" w14:textId="1453C539" w:rsidR="009F4E3E" w:rsidRPr="008846AE" w:rsidRDefault="009F4E3E" w:rsidP="00F72449">
      <w:pPr>
        <w:pStyle w:val="Textpoznpodarou"/>
        <w:ind w:left="284" w:hanging="284"/>
        <w:rPr>
          <w:sz w:val="20"/>
        </w:rPr>
      </w:pPr>
      <w:r w:rsidRPr="008846AE">
        <w:rPr>
          <w:rStyle w:val="Znakapoznpodarou"/>
          <w:sz w:val="20"/>
        </w:rPr>
        <w:footnoteRef/>
      </w:r>
      <w:r w:rsidRPr="008846AE">
        <w:rPr>
          <w:sz w:val="20"/>
        </w:rPr>
        <w:t xml:space="preserve"> </w:t>
      </w:r>
      <w:r>
        <w:rPr>
          <w:sz w:val="20"/>
        </w:rPr>
        <w:tab/>
      </w:r>
      <w:r w:rsidRPr="008846AE">
        <w:rPr>
          <w:sz w:val="20"/>
        </w:rPr>
        <w:t>Hospodářská činnost dle pravidel Evropské unie není totožná s vymezením hospodářské činnost dle ustanovení § 5 odst. 4 vyhlášky č. 410/2009 Sb., kterou se provádí některá ustanovení zákona č.</w:t>
      </w:r>
      <w:r>
        <w:rPr>
          <w:sz w:val="20"/>
        </w:rPr>
        <w:t> </w:t>
      </w:r>
      <w:r w:rsidRPr="008846AE">
        <w:rPr>
          <w:sz w:val="20"/>
        </w:rPr>
        <w:t>563/1991</w:t>
      </w:r>
      <w:r>
        <w:rPr>
          <w:sz w:val="20"/>
        </w:rPr>
        <w:t> </w:t>
      </w:r>
      <w:r w:rsidRPr="008846AE">
        <w:rPr>
          <w:sz w:val="20"/>
        </w:rPr>
        <w:t>Sb., o účetnictví</w:t>
      </w:r>
      <w:r>
        <w:rPr>
          <w:sz w:val="20"/>
        </w:rPr>
        <w:t>,</w:t>
      </w:r>
      <w:r w:rsidRPr="008846AE">
        <w:rPr>
          <w:sz w:val="20"/>
        </w:rPr>
        <w:t xml:space="preserve"> ve znění pozdějších předpisů, pro některé vybrané účetní jednotky</w:t>
      </w:r>
      <w:r>
        <w:rPr>
          <w:sz w:val="20"/>
        </w:rPr>
        <w:t>,</w:t>
      </w:r>
      <w:r w:rsidRPr="008846AE">
        <w:rPr>
          <w:sz w:val="20"/>
        </w:rPr>
        <w:t xml:space="preserve"> a</w:t>
      </w:r>
      <w:r>
        <w:rPr>
          <w:sz w:val="20"/>
        </w:rPr>
        <w:t> </w:t>
      </w:r>
      <w:r w:rsidRPr="008846AE">
        <w:rPr>
          <w:sz w:val="20"/>
        </w:rPr>
        <w:t>s vymezením jiné činnosti dle ustanovení § 63 zákona č. 218/2000 Sb., o rozpočtových pravidlech a o změně některých souvisejících zákonů (rozpočtová pravidla).</w:t>
      </w:r>
    </w:p>
  </w:footnote>
  <w:footnote w:id="56">
    <w:p w14:paraId="4080F009" w14:textId="63160166" w:rsidR="009F4E3E" w:rsidRPr="008846AE" w:rsidRDefault="009F4E3E" w:rsidP="00F72449">
      <w:pPr>
        <w:pStyle w:val="Textpoznpodarou"/>
        <w:ind w:left="284" w:hanging="284"/>
        <w:rPr>
          <w:sz w:val="20"/>
        </w:rPr>
      </w:pPr>
      <w:r w:rsidRPr="008846AE">
        <w:rPr>
          <w:rStyle w:val="Znakapoznpodarou"/>
          <w:sz w:val="20"/>
        </w:rPr>
        <w:footnoteRef/>
      </w:r>
      <w:r>
        <w:rPr>
          <w:sz w:val="20"/>
        </w:rPr>
        <w:t> </w:t>
      </w:r>
      <w:r>
        <w:rPr>
          <w:sz w:val="20"/>
        </w:rPr>
        <w:tab/>
      </w:r>
      <w:r w:rsidRPr="008846AE">
        <w:rPr>
          <w:sz w:val="20"/>
        </w:rPr>
        <w:t xml:space="preserve">Ustanovení </w:t>
      </w:r>
      <w:r w:rsidRPr="008846AE">
        <w:rPr>
          <w:rFonts w:cstheme="minorHAnsi"/>
          <w:noProof/>
          <w:color w:val="000000" w:themeColor="text1"/>
          <w:sz w:val="20"/>
        </w:rPr>
        <w:t>§ 2 písm. g) zákona č. 215/2004 Sb., o úpravě některých vztahů v oblasti veřejné podpory a</w:t>
      </w:r>
      <w:r>
        <w:rPr>
          <w:rFonts w:cstheme="minorHAnsi"/>
          <w:noProof/>
          <w:color w:val="000000" w:themeColor="text1"/>
          <w:sz w:val="20"/>
        </w:rPr>
        <w:t> </w:t>
      </w:r>
      <w:r w:rsidRPr="008846AE">
        <w:rPr>
          <w:rFonts w:cstheme="minorHAnsi"/>
          <w:noProof/>
          <w:color w:val="000000" w:themeColor="text1"/>
          <w:sz w:val="20"/>
        </w:rPr>
        <w:t>o</w:t>
      </w:r>
      <w:r>
        <w:rPr>
          <w:rFonts w:cstheme="minorHAnsi"/>
          <w:noProof/>
          <w:color w:val="000000" w:themeColor="text1"/>
          <w:sz w:val="20"/>
        </w:rPr>
        <w:t> </w:t>
      </w:r>
      <w:r w:rsidRPr="008846AE">
        <w:rPr>
          <w:rFonts w:cstheme="minorHAnsi"/>
          <w:noProof/>
          <w:color w:val="000000" w:themeColor="text1"/>
          <w:sz w:val="20"/>
        </w:rPr>
        <w:t>změně zákona o podpoře výzkumu a vývoje.</w:t>
      </w:r>
    </w:p>
  </w:footnote>
  <w:footnote w:id="57">
    <w:p w14:paraId="31D5276E" w14:textId="6CC1E416" w:rsidR="009F4E3E" w:rsidRPr="008846AE" w:rsidRDefault="009F4E3E" w:rsidP="00F72449">
      <w:pPr>
        <w:pStyle w:val="Textpoznpodarou"/>
        <w:ind w:left="284" w:hanging="284"/>
        <w:rPr>
          <w:rFonts w:cstheme="minorHAnsi"/>
          <w:sz w:val="20"/>
        </w:rPr>
      </w:pPr>
      <w:r w:rsidRPr="008846AE">
        <w:rPr>
          <w:rStyle w:val="Znakapoznpodarou"/>
          <w:rFonts w:cstheme="minorHAnsi"/>
          <w:sz w:val="20"/>
        </w:rPr>
        <w:footnoteRef/>
      </w:r>
      <w:r w:rsidRPr="008846AE">
        <w:rPr>
          <w:rFonts w:cstheme="minorHAnsi"/>
          <w:sz w:val="20"/>
        </w:rPr>
        <w:t xml:space="preserve"> </w:t>
      </w:r>
      <w:r>
        <w:rPr>
          <w:rFonts w:cstheme="minorHAnsi"/>
          <w:sz w:val="20"/>
        </w:rPr>
        <w:tab/>
      </w:r>
      <w:r w:rsidRPr="008846AE">
        <w:rPr>
          <w:rFonts w:cstheme="minorHAnsi"/>
          <w:sz w:val="20"/>
        </w:rPr>
        <w:t xml:space="preserve">Příkaz ministra č. 3/2013 </w:t>
      </w:r>
      <w:r w:rsidRPr="00E60983">
        <w:rPr>
          <w:rFonts w:cstheme="minorHAnsi"/>
          <w:i/>
          <w:sz w:val="20"/>
        </w:rPr>
        <w:t>Protikorupční strategie Ministerstva zdravotnictví České republiky pro přímo řízené organizace</w:t>
      </w:r>
      <w:r w:rsidRPr="008846AE">
        <w:rPr>
          <w:rFonts w:cstheme="minorHAnsi"/>
          <w:sz w:val="20"/>
        </w:rPr>
        <w:t xml:space="preserve">, tento </w:t>
      </w:r>
      <w:r>
        <w:rPr>
          <w:rFonts w:cstheme="minorHAnsi"/>
          <w:sz w:val="20"/>
        </w:rPr>
        <w:t xml:space="preserve">příkaz </w:t>
      </w:r>
      <w:r w:rsidRPr="008846AE">
        <w:rPr>
          <w:rFonts w:cstheme="minorHAnsi"/>
          <w:sz w:val="20"/>
        </w:rPr>
        <w:t xml:space="preserve">byl zrušen </w:t>
      </w:r>
      <w:r>
        <w:rPr>
          <w:rFonts w:cstheme="minorHAnsi"/>
          <w:sz w:val="20"/>
        </w:rPr>
        <w:t>p</w:t>
      </w:r>
      <w:r w:rsidRPr="008846AE">
        <w:rPr>
          <w:rFonts w:cstheme="minorHAnsi"/>
          <w:sz w:val="20"/>
        </w:rPr>
        <w:t xml:space="preserve">říkazem ministra č. 2/2017 ze dne 3. 2. 2017, čj. MZDR 4984/2017. MZ vydalo v dubnu 2018 po ukončení </w:t>
      </w:r>
      <w:r>
        <w:rPr>
          <w:rFonts w:cstheme="minorHAnsi"/>
          <w:sz w:val="20"/>
        </w:rPr>
        <w:t>této kontrolní akce</w:t>
      </w:r>
      <w:r w:rsidRPr="008846AE">
        <w:rPr>
          <w:rFonts w:cstheme="minorHAnsi"/>
          <w:sz w:val="20"/>
        </w:rPr>
        <w:t xml:space="preserve"> na objektech </w:t>
      </w:r>
      <w:r>
        <w:rPr>
          <w:rFonts w:cstheme="minorHAnsi"/>
          <w:sz w:val="20"/>
        </w:rPr>
        <w:t>p</w:t>
      </w:r>
      <w:r w:rsidRPr="008846AE">
        <w:rPr>
          <w:rFonts w:cstheme="minorHAnsi"/>
          <w:sz w:val="20"/>
        </w:rPr>
        <w:t xml:space="preserve">říkaz ministra č. 13/2018 </w:t>
      </w:r>
      <w:r w:rsidRPr="00E60983">
        <w:rPr>
          <w:rFonts w:cstheme="minorHAnsi"/>
          <w:i/>
          <w:sz w:val="20"/>
        </w:rPr>
        <w:t>Vybrané zásady transparentního hospodaření přímo řízených organizací Ministerstva zdravotnictví v oblasti nákupu zboží a</w:t>
      </w:r>
      <w:r>
        <w:rPr>
          <w:rFonts w:cstheme="minorHAnsi"/>
          <w:i/>
          <w:sz w:val="20"/>
        </w:rPr>
        <w:t> </w:t>
      </w:r>
      <w:r w:rsidRPr="00E60983">
        <w:rPr>
          <w:rFonts w:cstheme="minorHAnsi"/>
          <w:i/>
          <w:sz w:val="20"/>
        </w:rPr>
        <w:t>služeb</w:t>
      </w:r>
      <w:r>
        <w:rPr>
          <w:rFonts w:cstheme="minorHAnsi"/>
          <w:sz w:val="20"/>
        </w:rPr>
        <w:t>. V článku 3 s </w:t>
      </w:r>
      <w:r w:rsidRPr="008846AE">
        <w:rPr>
          <w:rFonts w:cstheme="minorHAnsi"/>
          <w:sz w:val="20"/>
        </w:rPr>
        <w:t>účinností od 1. 6. 2018 specifikuje používání jednacího řízení bez uveřejnění a používání výjimek nahodilého nákupu.</w:t>
      </w:r>
    </w:p>
  </w:footnote>
  <w:footnote w:id="58">
    <w:p w14:paraId="6037655A" w14:textId="49D391DC" w:rsidR="009F4E3E" w:rsidRDefault="009F4E3E" w:rsidP="0068280A">
      <w:pPr>
        <w:ind w:left="284" w:hanging="284"/>
      </w:pPr>
      <w:r w:rsidRPr="003D2B59">
        <w:rPr>
          <w:rStyle w:val="Znakapoznpodarou"/>
          <w:sz w:val="20"/>
        </w:rPr>
        <w:footnoteRef/>
      </w:r>
      <w:r w:rsidRPr="003D2B59">
        <w:rPr>
          <w:sz w:val="20"/>
        </w:rPr>
        <w:t xml:space="preserve"> </w:t>
      </w:r>
      <w:r>
        <w:rPr>
          <w:sz w:val="20"/>
        </w:rPr>
        <w:tab/>
      </w:r>
      <w:r w:rsidRPr="003D2B59">
        <w:rPr>
          <w:sz w:val="20"/>
        </w:rPr>
        <w:t>Kód SÚKL – kód je jednoznačným identifikátorem léčivého přípravku, přiděluje jej Státní ústav pro kontrolu léčiv.</w:t>
      </w:r>
    </w:p>
  </w:footnote>
  <w:footnote w:id="59">
    <w:p w14:paraId="3AAE71C9" w14:textId="65580BAA" w:rsidR="009F4E3E" w:rsidRPr="00192F57" w:rsidRDefault="009F4E3E" w:rsidP="00192F57">
      <w:pPr>
        <w:pStyle w:val="Textpoznpodarou"/>
        <w:ind w:left="284" w:hanging="284"/>
        <w:rPr>
          <w:sz w:val="20"/>
        </w:rPr>
      </w:pPr>
      <w:r w:rsidRPr="00192F57">
        <w:rPr>
          <w:rStyle w:val="Znakapoznpodarou"/>
          <w:sz w:val="20"/>
        </w:rPr>
        <w:footnoteRef/>
      </w:r>
      <w:r w:rsidRPr="00192F57">
        <w:rPr>
          <w:sz w:val="20"/>
        </w:rPr>
        <w:t xml:space="preserve"> </w:t>
      </w:r>
      <w:r>
        <w:rPr>
          <w:sz w:val="20"/>
        </w:rPr>
        <w:tab/>
      </w:r>
      <w:r w:rsidRPr="00192F57">
        <w:rPr>
          <w:sz w:val="20"/>
        </w:rPr>
        <w:t>Kód ZP – kód přiděluje Všeobecná zdravotní pojišťovna ČR dle platné metodiky</w:t>
      </w:r>
      <w:r>
        <w:rPr>
          <w:sz w:val="20"/>
        </w:rPr>
        <w:t>;</w:t>
      </w:r>
      <w:r w:rsidRPr="00192F57">
        <w:rPr>
          <w:sz w:val="20"/>
        </w:rPr>
        <w:t xml:space="preserve"> tento kód je jednoznačným identifikátorem příslušného zdravotnického prostředku (ZUM) a je uveden v </w:t>
      </w:r>
      <w:r>
        <w:rPr>
          <w:sz w:val="20"/>
        </w:rPr>
        <w:t>č</w:t>
      </w:r>
      <w:r w:rsidRPr="00192F57">
        <w:rPr>
          <w:sz w:val="20"/>
        </w:rPr>
        <w:t xml:space="preserve">íselníku VZP </w:t>
      </w:r>
      <w:r>
        <w:rPr>
          <w:sz w:val="20"/>
        </w:rPr>
        <w:t>–</w:t>
      </w:r>
      <w:r w:rsidRPr="00192F57">
        <w:rPr>
          <w:sz w:val="20"/>
        </w:rPr>
        <w:t xml:space="preserve"> ZP (ZUM) </w:t>
      </w:r>
      <w:r>
        <w:rPr>
          <w:sz w:val="20"/>
        </w:rPr>
        <w:t>a v ú</w:t>
      </w:r>
      <w:r w:rsidRPr="00192F57">
        <w:rPr>
          <w:sz w:val="20"/>
        </w:rPr>
        <w:t>hradov</w:t>
      </w:r>
      <w:r>
        <w:rPr>
          <w:sz w:val="20"/>
        </w:rPr>
        <w:t>ém</w:t>
      </w:r>
      <w:r w:rsidRPr="00192F57">
        <w:rPr>
          <w:sz w:val="20"/>
        </w:rPr>
        <w:t xml:space="preserve"> katalog</w:t>
      </w:r>
      <w:r>
        <w:rPr>
          <w:sz w:val="20"/>
        </w:rPr>
        <w:t>u</w:t>
      </w:r>
      <w:r w:rsidRPr="00192F57">
        <w:rPr>
          <w:sz w:val="20"/>
        </w:rPr>
        <w:t xml:space="preserve"> ZP/ZUM.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64D7" w14:textId="77777777" w:rsidR="00A34CFA" w:rsidRDefault="00A34C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8637" w14:textId="77777777" w:rsidR="00A34CFA" w:rsidRDefault="00A34C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733F4" w14:textId="77777777" w:rsidR="00A34CFA" w:rsidRDefault="00A34C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67"/>
    <w:multiLevelType w:val="hybridMultilevel"/>
    <w:tmpl w:val="BBEE2DA2"/>
    <w:lvl w:ilvl="0" w:tplc="48D6877A">
      <w:start w:val="1"/>
      <w:numFmt w:val="ordinal"/>
      <w:lvlText w:val="1.1.%1"/>
      <w:lvlJc w:val="right"/>
      <w:pPr>
        <w:ind w:left="360" w:hanging="360"/>
      </w:pPr>
      <w:rPr>
        <w:rFonts w:hint="default"/>
      </w:rPr>
    </w:lvl>
    <w:lvl w:ilvl="1" w:tplc="D0E20D42">
      <w:start w:val="1"/>
      <w:numFmt w:val="decimal"/>
      <w:pStyle w:val="N2"/>
      <w:lvlText w:val="1.%2"/>
      <w:lvlJc w:val="left"/>
      <w:pPr>
        <w:ind w:left="2880" w:hanging="360"/>
      </w:pPr>
      <w:rPr>
        <w:rFonts w:hint="default"/>
      </w:rPr>
    </w:lvl>
    <w:lvl w:ilvl="2" w:tplc="086EA9AE" w:tentative="1">
      <w:start w:val="1"/>
      <w:numFmt w:val="lowerRoman"/>
      <w:lvlText w:val="%3."/>
      <w:lvlJc w:val="right"/>
      <w:pPr>
        <w:ind w:left="3600" w:hanging="180"/>
      </w:pPr>
    </w:lvl>
    <w:lvl w:ilvl="3" w:tplc="132821BE" w:tentative="1">
      <w:start w:val="1"/>
      <w:numFmt w:val="decimal"/>
      <w:lvlText w:val="%4."/>
      <w:lvlJc w:val="left"/>
      <w:pPr>
        <w:ind w:left="4320" w:hanging="360"/>
      </w:pPr>
    </w:lvl>
    <w:lvl w:ilvl="4" w:tplc="F538E766" w:tentative="1">
      <w:start w:val="1"/>
      <w:numFmt w:val="lowerLetter"/>
      <w:lvlText w:val="%5."/>
      <w:lvlJc w:val="left"/>
      <w:pPr>
        <w:ind w:left="5040" w:hanging="360"/>
      </w:pPr>
    </w:lvl>
    <w:lvl w:ilvl="5" w:tplc="F960955E" w:tentative="1">
      <w:start w:val="1"/>
      <w:numFmt w:val="lowerRoman"/>
      <w:lvlText w:val="%6."/>
      <w:lvlJc w:val="right"/>
      <w:pPr>
        <w:ind w:left="5760" w:hanging="180"/>
      </w:pPr>
    </w:lvl>
    <w:lvl w:ilvl="6" w:tplc="9CE81CB2" w:tentative="1">
      <w:start w:val="1"/>
      <w:numFmt w:val="decimal"/>
      <w:lvlText w:val="%7."/>
      <w:lvlJc w:val="left"/>
      <w:pPr>
        <w:ind w:left="6480" w:hanging="360"/>
      </w:pPr>
    </w:lvl>
    <w:lvl w:ilvl="7" w:tplc="2BE8EE78" w:tentative="1">
      <w:start w:val="1"/>
      <w:numFmt w:val="lowerLetter"/>
      <w:lvlText w:val="%8."/>
      <w:lvlJc w:val="left"/>
      <w:pPr>
        <w:ind w:left="7200" w:hanging="360"/>
      </w:pPr>
    </w:lvl>
    <w:lvl w:ilvl="8" w:tplc="19B6BFDC" w:tentative="1">
      <w:start w:val="1"/>
      <w:numFmt w:val="lowerRoman"/>
      <w:lvlText w:val="%9."/>
      <w:lvlJc w:val="right"/>
      <w:pPr>
        <w:ind w:left="7920" w:hanging="180"/>
      </w:pPr>
    </w:lvl>
  </w:abstractNum>
  <w:abstractNum w:abstractNumId="1" w15:restartNumberingAfterBreak="0">
    <w:nsid w:val="03080BDB"/>
    <w:multiLevelType w:val="hybridMultilevel"/>
    <w:tmpl w:val="A6489D6C"/>
    <w:lvl w:ilvl="0" w:tplc="D4FEBA3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32B4A"/>
    <w:multiLevelType w:val="hybridMultilevel"/>
    <w:tmpl w:val="DA966D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FC11F5"/>
    <w:multiLevelType w:val="hybridMultilevel"/>
    <w:tmpl w:val="15E8A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DE037A"/>
    <w:multiLevelType w:val="multilevel"/>
    <w:tmpl w:val="7F86C4CC"/>
    <w:lvl w:ilvl="0">
      <w:start w:val="1"/>
      <w:numFmt w:val="decimal"/>
      <w:pStyle w:val="N1"/>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0552C3"/>
    <w:multiLevelType w:val="hybridMultilevel"/>
    <w:tmpl w:val="A4A833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326A8F"/>
    <w:multiLevelType w:val="multilevel"/>
    <w:tmpl w:val="ADA2C588"/>
    <w:lvl w:ilvl="0">
      <w:start w:val="1"/>
      <w:numFmt w:val="upperRoman"/>
      <w:pStyle w:val="lnek1"/>
      <w:suff w:val="nothing"/>
      <w:lvlText w:val="Čl. %1"/>
      <w:lvlJc w:val="left"/>
      <w:pPr>
        <w:ind w:left="486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277"/>
        </w:tabs>
        <w:ind w:left="653" w:hanging="11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1"/>
        </w:tabs>
        <w:ind w:left="1721" w:hanging="360"/>
      </w:pPr>
      <w:rPr>
        <w:rFonts w:hint="default"/>
        <w:b/>
        <w:i w:val="0"/>
        <w:sz w:val="28"/>
        <w:szCs w:val="28"/>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6A20C4A"/>
    <w:multiLevelType w:val="multilevel"/>
    <w:tmpl w:val="3418EC78"/>
    <w:lvl w:ilvl="0">
      <w:start w:val="1"/>
      <w:numFmt w:val="decimal"/>
      <w:lvlText w:val="%1"/>
      <w:lvlJc w:val="left"/>
      <w:pPr>
        <w:ind w:left="646" w:hanging="362"/>
      </w:pPr>
      <w:rPr>
        <w:rFonts w:asciiTheme="minorHAnsi" w:eastAsia="Times New Roman" w:hAnsiTheme="minorHAnsi" w:cstheme="minorHAnsi"/>
      </w:rPr>
    </w:lvl>
    <w:lvl w:ilvl="1">
      <w:start w:val="1"/>
      <w:numFmt w:val="decimal"/>
      <w:isLgl/>
      <w:lvlText w:val="%1.%2"/>
      <w:lvlJc w:val="left"/>
      <w:pPr>
        <w:tabs>
          <w:tab w:val="num" w:pos="7570"/>
        </w:tabs>
        <w:ind w:left="6742" w:hanging="362"/>
      </w:pPr>
      <w:rPr>
        <w:rFonts w:hint="default"/>
      </w:rPr>
    </w:lvl>
    <w:lvl w:ilvl="2">
      <w:start w:val="1"/>
      <w:numFmt w:val="decimal"/>
      <w:isLgl/>
      <w:lvlText w:val="%1.%2.%3"/>
      <w:lvlJc w:val="left"/>
      <w:pPr>
        <w:ind w:left="646" w:hanging="362"/>
      </w:pPr>
      <w:rPr>
        <w:rFonts w:hint="default"/>
      </w:rPr>
    </w:lvl>
    <w:lvl w:ilvl="3">
      <w:start w:val="1"/>
      <w:numFmt w:val="decimal"/>
      <w:isLgl/>
      <w:lvlText w:val="%1.%2.%3.%4"/>
      <w:lvlJc w:val="left"/>
      <w:pPr>
        <w:ind w:left="646" w:hanging="362"/>
      </w:pPr>
      <w:rPr>
        <w:rFonts w:hint="default"/>
      </w:rPr>
    </w:lvl>
    <w:lvl w:ilvl="4">
      <w:start w:val="1"/>
      <w:numFmt w:val="decimal"/>
      <w:isLgl/>
      <w:lvlText w:val="%1.%2.%3.%4.%5"/>
      <w:lvlJc w:val="left"/>
      <w:pPr>
        <w:ind w:left="646" w:hanging="362"/>
      </w:pPr>
      <w:rPr>
        <w:rFonts w:hint="default"/>
      </w:rPr>
    </w:lvl>
    <w:lvl w:ilvl="5">
      <w:start w:val="1"/>
      <w:numFmt w:val="decimal"/>
      <w:isLgl/>
      <w:lvlText w:val="%1.%2.%3.%4.%5.%6"/>
      <w:lvlJc w:val="left"/>
      <w:pPr>
        <w:ind w:left="646" w:hanging="362"/>
      </w:pPr>
      <w:rPr>
        <w:rFonts w:hint="default"/>
      </w:rPr>
    </w:lvl>
    <w:lvl w:ilvl="6">
      <w:start w:val="1"/>
      <w:numFmt w:val="decimal"/>
      <w:isLgl/>
      <w:lvlText w:val="%1.%2.%3.%4.%5.%6.%7"/>
      <w:lvlJc w:val="left"/>
      <w:pPr>
        <w:ind w:left="646" w:hanging="362"/>
      </w:pPr>
      <w:rPr>
        <w:rFonts w:hint="default"/>
      </w:rPr>
    </w:lvl>
    <w:lvl w:ilvl="7">
      <w:start w:val="1"/>
      <w:numFmt w:val="decimal"/>
      <w:isLgl/>
      <w:lvlText w:val="%1.%2.%3.%4.%5.%6.%7.%8"/>
      <w:lvlJc w:val="left"/>
      <w:pPr>
        <w:ind w:left="646" w:hanging="362"/>
      </w:pPr>
      <w:rPr>
        <w:rFonts w:hint="default"/>
      </w:rPr>
    </w:lvl>
    <w:lvl w:ilvl="8">
      <w:start w:val="1"/>
      <w:numFmt w:val="decimal"/>
      <w:isLgl/>
      <w:lvlText w:val="%1.%2.%3.%4.%5.%6.%7.%8.%9"/>
      <w:lvlJc w:val="left"/>
      <w:pPr>
        <w:ind w:left="646" w:hanging="362"/>
      </w:pPr>
      <w:rPr>
        <w:rFonts w:hint="default"/>
      </w:rPr>
    </w:lvl>
  </w:abstractNum>
  <w:abstractNum w:abstractNumId="8" w15:restartNumberingAfterBreak="0">
    <w:nsid w:val="18A82C62"/>
    <w:multiLevelType w:val="hybridMultilevel"/>
    <w:tmpl w:val="28B4E20C"/>
    <w:lvl w:ilvl="0" w:tplc="00F052F0">
      <w:start w:val="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0E264E"/>
    <w:multiLevelType w:val="hybridMultilevel"/>
    <w:tmpl w:val="57108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EF2F35"/>
    <w:multiLevelType w:val="hybridMultilevel"/>
    <w:tmpl w:val="3396807E"/>
    <w:lvl w:ilvl="0" w:tplc="73364430">
      <w:start w:val="1"/>
      <w:numFmt w:val="ordinal"/>
      <w:pStyle w:val="N3"/>
      <w:lvlText w:val="1.1.%1"/>
      <w:lvlJc w:val="right"/>
      <w:pPr>
        <w:ind w:left="360" w:hanging="360"/>
      </w:pPr>
      <w:rPr>
        <w:rFonts w:hint="default"/>
      </w:rPr>
    </w:lvl>
    <w:lvl w:ilvl="1" w:tplc="57C2425E">
      <w:start w:val="1"/>
      <w:numFmt w:val="lowerLetter"/>
      <w:lvlText w:val="%2."/>
      <w:lvlJc w:val="left"/>
      <w:pPr>
        <w:ind w:left="1440" w:hanging="360"/>
      </w:pPr>
    </w:lvl>
    <w:lvl w:ilvl="2" w:tplc="8072FF7C">
      <w:start w:val="1"/>
      <w:numFmt w:val="decimal"/>
      <w:lvlText w:val="%3"/>
      <w:lvlJc w:val="right"/>
      <w:pPr>
        <w:ind w:left="2160" w:hanging="180"/>
      </w:pPr>
      <w:rPr>
        <w:rFonts w:hint="default"/>
      </w:rPr>
    </w:lvl>
    <w:lvl w:ilvl="3" w:tplc="E1923972" w:tentative="1">
      <w:start w:val="1"/>
      <w:numFmt w:val="decimal"/>
      <w:lvlText w:val="%4."/>
      <w:lvlJc w:val="left"/>
      <w:pPr>
        <w:ind w:left="2880" w:hanging="360"/>
      </w:pPr>
    </w:lvl>
    <w:lvl w:ilvl="4" w:tplc="121E6446" w:tentative="1">
      <w:start w:val="1"/>
      <w:numFmt w:val="lowerLetter"/>
      <w:lvlText w:val="%5."/>
      <w:lvlJc w:val="left"/>
      <w:pPr>
        <w:ind w:left="3600" w:hanging="360"/>
      </w:pPr>
    </w:lvl>
    <w:lvl w:ilvl="5" w:tplc="49442810" w:tentative="1">
      <w:start w:val="1"/>
      <w:numFmt w:val="lowerRoman"/>
      <w:lvlText w:val="%6."/>
      <w:lvlJc w:val="right"/>
      <w:pPr>
        <w:ind w:left="4320" w:hanging="180"/>
      </w:pPr>
    </w:lvl>
    <w:lvl w:ilvl="6" w:tplc="35C40EA4" w:tentative="1">
      <w:start w:val="1"/>
      <w:numFmt w:val="decimal"/>
      <w:lvlText w:val="%7."/>
      <w:lvlJc w:val="left"/>
      <w:pPr>
        <w:ind w:left="5040" w:hanging="360"/>
      </w:pPr>
    </w:lvl>
    <w:lvl w:ilvl="7" w:tplc="15187A1A" w:tentative="1">
      <w:start w:val="1"/>
      <w:numFmt w:val="lowerLetter"/>
      <w:lvlText w:val="%8."/>
      <w:lvlJc w:val="left"/>
      <w:pPr>
        <w:ind w:left="5760" w:hanging="360"/>
      </w:pPr>
    </w:lvl>
    <w:lvl w:ilvl="8" w:tplc="A732D4B8" w:tentative="1">
      <w:start w:val="1"/>
      <w:numFmt w:val="lowerRoman"/>
      <w:lvlText w:val="%9."/>
      <w:lvlJc w:val="right"/>
      <w:pPr>
        <w:ind w:left="6480" w:hanging="180"/>
      </w:pPr>
    </w:lvl>
  </w:abstractNum>
  <w:abstractNum w:abstractNumId="11" w15:restartNumberingAfterBreak="0">
    <w:nsid w:val="28947B9F"/>
    <w:multiLevelType w:val="multilevel"/>
    <w:tmpl w:val="BC6E5E9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29451B"/>
    <w:multiLevelType w:val="hybridMultilevel"/>
    <w:tmpl w:val="A5E01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3F63F7"/>
    <w:multiLevelType w:val="hybridMultilevel"/>
    <w:tmpl w:val="7794ECBE"/>
    <w:lvl w:ilvl="0" w:tplc="0405000B">
      <w:start w:val="1"/>
      <w:numFmt w:val="bullet"/>
      <w:lvlText w:val=""/>
      <w:lvlJc w:val="left"/>
      <w:pPr>
        <w:ind w:left="5180" w:hanging="360"/>
      </w:pPr>
      <w:rPr>
        <w:rFonts w:ascii="Wingdings" w:hAnsi="Wingdings" w:hint="default"/>
      </w:rPr>
    </w:lvl>
    <w:lvl w:ilvl="1" w:tplc="04050003">
      <w:start w:val="1"/>
      <w:numFmt w:val="bullet"/>
      <w:lvlText w:val="o"/>
      <w:lvlJc w:val="left"/>
      <w:pPr>
        <w:ind w:left="5900" w:hanging="360"/>
      </w:pPr>
      <w:rPr>
        <w:rFonts w:ascii="Courier New" w:hAnsi="Courier New" w:cs="Times New Roman" w:hint="default"/>
      </w:rPr>
    </w:lvl>
    <w:lvl w:ilvl="2" w:tplc="04050005">
      <w:start w:val="1"/>
      <w:numFmt w:val="bullet"/>
      <w:lvlText w:val=""/>
      <w:lvlJc w:val="left"/>
      <w:pPr>
        <w:ind w:left="6620" w:hanging="360"/>
      </w:pPr>
      <w:rPr>
        <w:rFonts w:ascii="Wingdings" w:hAnsi="Wingdings" w:hint="default"/>
      </w:rPr>
    </w:lvl>
    <w:lvl w:ilvl="3" w:tplc="04050001">
      <w:start w:val="1"/>
      <w:numFmt w:val="bullet"/>
      <w:lvlText w:val=""/>
      <w:lvlJc w:val="left"/>
      <w:pPr>
        <w:ind w:left="7340" w:hanging="360"/>
      </w:pPr>
      <w:rPr>
        <w:rFonts w:ascii="Symbol" w:hAnsi="Symbol" w:hint="default"/>
      </w:rPr>
    </w:lvl>
    <w:lvl w:ilvl="4" w:tplc="04050003">
      <w:start w:val="1"/>
      <w:numFmt w:val="bullet"/>
      <w:lvlText w:val="o"/>
      <w:lvlJc w:val="left"/>
      <w:pPr>
        <w:ind w:left="8060" w:hanging="360"/>
      </w:pPr>
      <w:rPr>
        <w:rFonts w:ascii="Courier New" w:hAnsi="Courier New" w:cs="Times New Roman" w:hint="default"/>
      </w:rPr>
    </w:lvl>
    <w:lvl w:ilvl="5" w:tplc="04050005">
      <w:start w:val="1"/>
      <w:numFmt w:val="bullet"/>
      <w:lvlText w:val=""/>
      <w:lvlJc w:val="left"/>
      <w:pPr>
        <w:ind w:left="8780" w:hanging="360"/>
      </w:pPr>
      <w:rPr>
        <w:rFonts w:ascii="Wingdings" w:hAnsi="Wingdings" w:hint="default"/>
      </w:rPr>
    </w:lvl>
    <w:lvl w:ilvl="6" w:tplc="04050001">
      <w:start w:val="1"/>
      <w:numFmt w:val="bullet"/>
      <w:lvlText w:val=""/>
      <w:lvlJc w:val="left"/>
      <w:pPr>
        <w:ind w:left="9500" w:hanging="360"/>
      </w:pPr>
      <w:rPr>
        <w:rFonts w:ascii="Symbol" w:hAnsi="Symbol" w:hint="default"/>
      </w:rPr>
    </w:lvl>
    <w:lvl w:ilvl="7" w:tplc="04050003">
      <w:start w:val="1"/>
      <w:numFmt w:val="bullet"/>
      <w:lvlText w:val="o"/>
      <w:lvlJc w:val="left"/>
      <w:pPr>
        <w:ind w:left="10220" w:hanging="360"/>
      </w:pPr>
      <w:rPr>
        <w:rFonts w:ascii="Courier New" w:hAnsi="Courier New" w:cs="Times New Roman" w:hint="default"/>
      </w:rPr>
    </w:lvl>
    <w:lvl w:ilvl="8" w:tplc="04050005">
      <w:start w:val="1"/>
      <w:numFmt w:val="bullet"/>
      <w:lvlText w:val=""/>
      <w:lvlJc w:val="left"/>
      <w:pPr>
        <w:ind w:left="10940" w:hanging="360"/>
      </w:pPr>
      <w:rPr>
        <w:rFonts w:ascii="Wingdings" w:hAnsi="Wingdings" w:hint="default"/>
      </w:rPr>
    </w:lvl>
  </w:abstractNum>
  <w:abstractNum w:abstractNumId="14" w15:restartNumberingAfterBreak="0">
    <w:nsid w:val="2F521483"/>
    <w:multiLevelType w:val="hybridMultilevel"/>
    <w:tmpl w:val="B3565872"/>
    <w:lvl w:ilvl="0" w:tplc="35D4709C">
      <w:start w:val="1"/>
      <w:numFmt w:val="decimal"/>
      <w:lvlText w:val="Tabulka č. %1: X"/>
      <w:lvlJc w:val="left"/>
      <w:pPr>
        <w:ind w:left="720" w:hanging="360"/>
      </w:pPr>
      <w:rPr>
        <w:rFonts w:hint="default"/>
      </w:rPr>
    </w:lvl>
    <w:lvl w:ilvl="1" w:tplc="A676B0C0">
      <w:start w:val="1"/>
      <w:numFmt w:val="decimal"/>
      <w:pStyle w:val="Nzevtabulky"/>
      <w:suff w:val="space"/>
      <w:lvlText w:val="Tabulka č. %2:"/>
      <w:lvlJc w:val="left"/>
      <w:pPr>
        <w:ind w:left="5529" w:hanging="567"/>
      </w:pPr>
      <w:rPr>
        <w:rFonts w:hint="default"/>
      </w:rPr>
    </w:lvl>
    <w:lvl w:ilvl="2" w:tplc="0405001B">
      <w:start w:val="1"/>
      <w:numFmt w:val="lowerRoman"/>
      <w:lvlText w:val="%3."/>
      <w:lvlJc w:val="right"/>
      <w:pPr>
        <w:ind w:left="2160" w:hanging="180"/>
      </w:pPr>
    </w:lvl>
    <w:lvl w:ilvl="3" w:tplc="60CE4094">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845817"/>
    <w:multiLevelType w:val="hybridMultilevel"/>
    <w:tmpl w:val="DF4E2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FA2309"/>
    <w:multiLevelType w:val="hybridMultilevel"/>
    <w:tmpl w:val="938CDD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1D060C"/>
    <w:multiLevelType w:val="hybridMultilevel"/>
    <w:tmpl w:val="77F0C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4E07C1"/>
    <w:multiLevelType w:val="hybridMultilevel"/>
    <w:tmpl w:val="3E0258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1D66F95"/>
    <w:multiLevelType w:val="multilevel"/>
    <w:tmpl w:val="753AA110"/>
    <w:styleLink w:val="Styl2"/>
    <w:lvl w:ilvl="0">
      <w:start w:val="1"/>
      <w:numFmt w:val="decimal"/>
      <w:lvlText w:val="%1."/>
      <w:lvlJc w:val="left"/>
      <w:pPr>
        <w:ind w:left="646" w:hanging="362"/>
      </w:pPr>
      <w:rPr>
        <w:rFonts w:hint="default"/>
      </w:rPr>
    </w:lvl>
    <w:lvl w:ilvl="1">
      <w:start w:val="1"/>
      <w:numFmt w:val="decimal"/>
      <w:isLgl/>
      <w:lvlText w:val="%1.%2"/>
      <w:lvlJc w:val="left"/>
      <w:pPr>
        <w:ind w:left="646" w:hanging="362"/>
      </w:pPr>
      <w:rPr>
        <w:rFonts w:hint="default"/>
      </w:rPr>
    </w:lvl>
    <w:lvl w:ilvl="2">
      <w:start w:val="1"/>
      <w:numFmt w:val="decimal"/>
      <w:isLgl/>
      <w:lvlText w:val="%1.%2.%3"/>
      <w:lvlJc w:val="left"/>
      <w:pPr>
        <w:ind w:left="646" w:hanging="362"/>
      </w:pPr>
      <w:rPr>
        <w:rFonts w:hint="default"/>
      </w:rPr>
    </w:lvl>
    <w:lvl w:ilvl="3">
      <w:start w:val="1"/>
      <w:numFmt w:val="decimal"/>
      <w:isLgl/>
      <w:lvlText w:val="%1.%2.%3.%4"/>
      <w:lvlJc w:val="left"/>
      <w:pPr>
        <w:ind w:left="646" w:hanging="362"/>
      </w:pPr>
      <w:rPr>
        <w:rFonts w:hint="default"/>
      </w:rPr>
    </w:lvl>
    <w:lvl w:ilvl="4">
      <w:start w:val="1"/>
      <w:numFmt w:val="decimal"/>
      <w:isLgl/>
      <w:lvlText w:val="%1.%2.%3.%4.%5"/>
      <w:lvlJc w:val="left"/>
      <w:pPr>
        <w:ind w:left="646" w:hanging="362"/>
      </w:pPr>
      <w:rPr>
        <w:rFonts w:hint="default"/>
      </w:rPr>
    </w:lvl>
    <w:lvl w:ilvl="5">
      <w:start w:val="1"/>
      <w:numFmt w:val="decimal"/>
      <w:isLgl/>
      <w:lvlText w:val="%1.%2.%3.%4.%5.%6"/>
      <w:lvlJc w:val="left"/>
      <w:pPr>
        <w:ind w:left="646" w:hanging="362"/>
      </w:pPr>
      <w:rPr>
        <w:rFonts w:hint="default"/>
      </w:rPr>
    </w:lvl>
    <w:lvl w:ilvl="6">
      <w:start w:val="1"/>
      <w:numFmt w:val="decimal"/>
      <w:isLgl/>
      <w:lvlText w:val="%1.%2.%3.%4.%5.%6.%7"/>
      <w:lvlJc w:val="left"/>
      <w:pPr>
        <w:ind w:left="646" w:hanging="362"/>
      </w:pPr>
      <w:rPr>
        <w:rFonts w:hint="default"/>
      </w:rPr>
    </w:lvl>
    <w:lvl w:ilvl="7">
      <w:start w:val="1"/>
      <w:numFmt w:val="decimal"/>
      <w:isLgl/>
      <w:lvlText w:val="%1.%2.%3.%4.%5.%6.%7.%8"/>
      <w:lvlJc w:val="left"/>
      <w:pPr>
        <w:ind w:left="646" w:hanging="362"/>
      </w:pPr>
      <w:rPr>
        <w:rFonts w:hint="default"/>
      </w:rPr>
    </w:lvl>
    <w:lvl w:ilvl="8">
      <w:start w:val="1"/>
      <w:numFmt w:val="decimal"/>
      <w:isLgl/>
      <w:lvlText w:val="%1.%2.%3.%4.%5.%6.%7.%8.%9"/>
      <w:lvlJc w:val="left"/>
      <w:pPr>
        <w:ind w:left="646" w:hanging="362"/>
      </w:pPr>
      <w:rPr>
        <w:rFonts w:hint="default"/>
      </w:rPr>
    </w:lvl>
  </w:abstractNum>
  <w:abstractNum w:abstractNumId="20" w15:restartNumberingAfterBreak="0">
    <w:nsid w:val="422726F0"/>
    <w:multiLevelType w:val="hybridMultilevel"/>
    <w:tmpl w:val="71E01690"/>
    <w:lvl w:ilvl="0" w:tplc="145A38AC">
      <w:start w:val="66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76628E"/>
    <w:multiLevelType w:val="multilevel"/>
    <w:tmpl w:val="753AA110"/>
    <w:numStyleLink w:val="Styl2"/>
  </w:abstractNum>
  <w:abstractNum w:abstractNumId="22" w15:restartNumberingAfterBreak="0">
    <w:nsid w:val="481227B2"/>
    <w:multiLevelType w:val="hybridMultilevel"/>
    <w:tmpl w:val="2B84B5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D17DC6"/>
    <w:multiLevelType w:val="hybridMultilevel"/>
    <w:tmpl w:val="B9EC22C0"/>
    <w:lvl w:ilvl="0" w:tplc="E91C67F6">
      <w:start w:val="66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0B2880"/>
    <w:multiLevelType w:val="hybridMultilevel"/>
    <w:tmpl w:val="ECB0DD8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FC7AB3"/>
    <w:multiLevelType w:val="hybridMultilevel"/>
    <w:tmpl w:val="D9E4B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982C14"/>
    <w:multiLevelType w:val="hybridMultilevel"/>
    <w:tmpl w:val="6C3EE9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B102F4A"/>
    <w:multiLevelType w:val="hybridMultilevel"/>
    <w:tmpl w:val="CBA86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067BAC"/>
    <w:multiLevelType w:val="hybridMultilevel"/>
    <w:tmpl w:val="87F674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1787FF4"/>
    <w:multiLevelType w:val="hybridMultilevel"/>
    <w:tmpl w:val="EB7A3E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AA7946"/>
    <w:multiLevelType w:val="hybridMultilevel"/>
    <w:tmpl w:val="870C5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DA5E38"/>
    <w:multiLevelType w:val="hybridMultilevel"/>
    <w:tmpl w:val="B7801C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93238D"/>
    <w:multiLevelType w:val="hybridMultilevel"/>
    <w:tmpl w:val="0DB8C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1B774F"/>
    <w:multiLevelType w:val="hybridMultilevel"/>
    <w:tmpl w:val="64963762"/>
    <w:lvl w:ilvl="0" w:tplc="F586D596">
      <w:start w:val="1"/>
      <w:numFmt w:val="bullet"/>
      <w:pStyle w:val="Fous"/>
      <w:lvlText w:val=""/>
      <w:lvlJc w:val="left"/>
      <w:pPr>
        <w:tabs>
          <w:tab w:val="num" w:pos="722"/>
        </w:tabs>
        <w:ind w:left="722" w:hanging="382"/>
      </w:pPr>
      <w:rPr>
        <w:rFonts w:ascii="Symbol" w:hAnsi="Symbol" w:hint="default"/>
      </w:rPr>
    </w:lvl>
    <w:lvl w:ilvl="1" w:tplc="75A2603E" w:tentative="1">
      <w:start w:val="1"/>
      <w:numFmt w:val="bullet"/>
      <w:lvlText w:val="o"/>
      <w:lvlJc w:val="left"/>
      <w:pPr>
        <w:tabs>
          <w:tab w:val="num" w:pos="1442"/>
        </w:tabs>
        <w:ind w:left="1442" w:hanging="360"/>
      </w:pPr>
      <w:rPr>
        <w:rFonts w:ascii="Courier New" w:hAnsi="Courier New" w:hint="default"/>
      </w:rPr>
    </w:lvl>
    <w:lvl w:ilvl="2" w:tplc="C2F845DC" w:tentative="1">
      <w:start w:val="1"/>
      <w:numFmt w:val="bullet"/>
      <w:lvlText w:val=""/>
      <w:lvlJc w:val="left"/>
      <w:pPr>
        <w:tabs>
          <w:tab w:val="num" w:pos="2162"/>
        </w:tabs>
        <w:ind w:left="2162" w:hanging="360"/>
      </w:pPr>
      <w:rPr>
        <w:rFonts w:ascii="Wingdings" w:hAnsi="Wingdings" w:hint="default"/>
      </w:rPr>
    </w:lvl>
    <w:lvl w:ilvl="3" w:tplc="778CB0FC" w:tentative="1">
      <w:start w:val="1"/>
      <w:numFmt w:val="bullet"/>
      <w:lvlText w:val=""/>
      <w:lvlJc w:val="left"/>
      <w:pPr>
        <w:tabs>
          <w:tab w:val="num" w:pos="2882"/>
        </w:tabs>
        <w:ind w:left="2882" w:hanging="360"/>
      </w:pPr>
      <w:rPr>
        <w:rFonts w:ascii="Symbol" w:hAnsi="Symbol" w:hint="default"/>
      </w:rPr>
    </w:lvl>
    <w:lvl w:ilvl="4" w:tplc="65142CC2" w:tentative="1">
      <w:start w:val="1"/>
      <w:numFmt w:val="bullet"/>
      <w:lvlText w:val="o"/>
      <w:lvlJc w:val="left"/>
      <w:pPr>
        <w:tabs>
          <w:tab w:val="num" w:pos="3602"/>
        </w:tabs>
        <w:ind w:left="3602" w:hanging="360"/>
      </w:pPr>
      <w:rPr>
        <w:rFonts w:ascii="Courier New" w:hAnsi="Courier New" w:hint="default"/>
      </w:rPr>
    </w:lvl>
    <w:lvl w:ilvl="5" w:tplc="89F4CBC0" w:tentative="1">
      <w:start w:val="1"/>
      <w:numFmt w:val="bullet"/>
      <w:lvlText w:val=""/>
      <w:lvlJc w:val="left"/>
      <w:pPr>
        <w:tabs>
          <w:tab w:val="num" w:pos="4322"/>
        </w:tabs>
        <w:ind w:left="4322" w:hanging="360"/>
      </w:pPr>
      <w:rPr>
        <w:rFonts w:ascii="Wingdings" w:hAnsi="Wingdings" w:hint="default"/>
      </w:rPr>
    </w:lvl>
    <w:lvl w:ilvl="6" w:tplc="04768918" w:tentative="1">
      <w:start w:val="1"/>
      <w:numFmt w:val="bullet"/>
      <w:lvlText w:val=""/>
      <w:lvlJc w:val="left"/>
      <w:pPr>
        <w:tabs>
          <w:tab w:val="num" w:pos="5042"/>
        </w:tabs>
        <w:ind w:left="5042" w:hanging="360"/>
      </w:pPr>
      <w:rPr>
        <w:rFonts w:ascii="Symbol" w:hAnsi="Symbol" w:hint="default"/>
      </w:rPr>
    </w:lvl>
    <w:lvl w:ilvl="7" w:tplc="C01C73DE" w:tentative="1">
      <w:start w:val="1"/>
      <w:numFmt w:val="bullet"/>
      <w:lvlText w:val="o"/>
      <w:lvlJc w:val="left"/>
      <w:pPr>
        <w:tabs>
          <w:tab w:val="num" w:pos="5762"/>
        </w:tabs>
        <w:ind w:left="5762" w:hanging="360"/>
      </w:pPr>
      <w:rPr>
        <w:rFonts w:ascii="Courier New" w:hAnsi="Courier New" w:hint="default"/>
      </w:rPr>
    </w:lvl>
    <w:lvl w:ilvl="8" w:tplc="6504CA7E" w:tentative="1">
      <w:start w:val="1"/>
      <w:numFmt w:val="bullet"/>
      <w:lvlText w:val=""/>
      <w:lvlJc w:val="left"/>
      <w:pPr>
        <w:tabs>
          <w:tab w:val="num" w:pos="6482"/>
        </w:tabs>
        <w:ind w:left="6482" w:hanging="360"/>
      </w:pPr>
      <w:rPr>
        <w:rFonts w:ascii="Wingdings" w:hAnsi="Wingdings" w:hint="default"/>
      </w:rPr>
    </w:lvl>
  </w:abstractNum>
  <w:abstractNum w:abstractNumId="34" w15:restartNumberingAfterBreak="0">
    <w:nsid w:val="6A853474"/>
    <w:multiLevelType w:val="hybridMultilevel"/>
    <w:tmpl w:val="01381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A96DF8"/>
    <w:multiLevelType w:val="hybridMultilevel"/>
    <w:tmpl w:val="8342E95C"/>
    <w:lvl w:ilvl="0" w:tplc="866C4794">
      <w:start w:val="3"/>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3E03804"/>
    <w:multiLevelType w:val="hybridMultilevel"/>
    <w:tmpl w:val="24008D00"/>
    <w:lvl w:ilvl="0" w:tplc="834C6E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BB23FB"/>
    <w:multiLevelType w:val="hybridMultilevel"/>
    <w:tmpl w:val="70C22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05197A"/>
    <w:multiLevelType w:val="hybridMultilevel"/>
    <w:tmpl w:val="13D055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C54C1A"/>
    <w:multiLevelType w:val="multilevel"/>
    <w:tmpl w:val="A1CEE7EA"/>
    <w:lvl w:ilvl="0">
      <w:start w:val="1"/>
      <w:numFmt w:val="upperRoman"/>
      <w:lvlText w:val="%1."/>
      <w:lvlJc w:val="left"/>
      <w:pPr>
        <w:ind w:left="1080" w:hanging="720"/>
      </w:pPr>
      <w:rPr>
        <w:rFonts w:hint="default"/>
      </w:rPr>
    </w:lvl>
    <w:lvl w:ilvl="1">
      <w:start w:val="17"/>
      <w:numFmt w:val="decimal"/>
      <w:isLgl/>
      <w:lvlText w:val="%1.%2"/>
      <w:lvlJc w:val="left"/>
      <w:pPr>
        <w:ind w:left="780" w:hanging="4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num w:numId="1">
    <w:abstractNumId w:val="6"/>
  </w:num>
  <w:num w:numId="2">
    <w:abstractNumId w:val="33"/>
  </w:num>
  <w:num w:numId="3">
    <w:abstractNumId w:val="14"/>
  </w:num>
  <w:num w:numId="4">
    <w:abstractNumId w:val="37"/>
  </w:num>
  <w:num w:numId="5">
    <w:abstractNumId w:val="8"/>
  </w:num>
  <w:num w:numId="6">
    <w:abstractNumId w:val="4"/>
  </w:num>
  <w:num w:numId="7">
    <w:abstractNumId w:val="0"/>
  </w:num>
  <w:num w:numId="8">
    <w:abstractNumId w:val="10"/>
  </w:num>
  <w:num w:numId="9">
    <w:abstractNumId w:val="15"/>
  </w:num>
  <w:num w:numId="10">
    <w:abstractNumId w:val="32"/>
  </w:num>
  <w:num w:numId="11">
    <w:abstractNumId w:val="7"/>
  </w:num>
  <w:num w:numId="12">
    <w:abstractNumId w:val="19"/>
  </w:num>
  <w:num w:numId="13">
    <w:abstractNumId w:val="21"/>
    <w:lvlOverride w:ilvl="0">
      <w:lvl w:ilvl="0">
        <w:start w:val="1"/>
        <w:numFmt w:val="decimal"/>
        <w:lvlText w:val="%1."/>
        <w:lvlJc w:val="left"/>
        <w:pPr>
          <w:ind w:left="646" w:hanging="362"/>
        </w:pPr>
        <w:rPr>
          <w:rFonts w:hint="default"/>
        </w:rPr>
      </w:lvl>
    </w:lvlOverride>
    <w:lvlOverride w:ilvl="1">
      <w:lvl w:ilvl="1">
        <w:start w:val="1"/>
        <w:numFmt w:val="decimal"/>
        <w:isLgl/>
        <w:lvlText w:val="%1.%2"/>
        <w:lvlJc w:val="left"/>
        <w:pPr>
          <w:ind w:left="646" w:hanging="362"/>
        </w:pPr>
        <w:rPr>
          <w:rFonts w:hint="default"/>
          <w:sz w:val="26"/>
          <w:szCs w:val="26"/>
        </w:rPr>
      </w:lvl>
    </w:lvlOverride>
    <w:lvlOverride w:ilvl="2">
      <w:lvl w:ilvl="2">
        <w:start w:val="1"/>
        <w:numFmt w:val="decimal"/>
        <w:isLgl/>
        <w:lvlText w:val="%1.%2.%3"/>
        <w:lvlJc w:val="left"/>
        <w:pPr>
          <w:ind w:left="646" w:hanging="362"/>
        </w:pPr>
        <w:rPr>
          <w:rFonts w:hint="default"/>
        </w:rPr>
      </w:lvl>
    </w:lvlOverride>
    <w:lvlOverride w:ilvl="3">
      <w:lvl w:ilvl="3">
        <w:start w:val="1"/>
        <w:numFmt w:val="decimal"/>
        <w:isLgl/>
        <w:lvlText w:val="%1.%2.%3.%4"/>
        <w:lvlJc w:val="left"/>
        <w:pPr>
          <w:ind w:left="646" w:hanging="362"/>
        </w:pPr>
        <w:rPr>
          <w:rFonts w:hint="default"/>
        </w:rPr>
      </w:lvl>
    </w:lvlOverride>
    <w:lvlOverride w:ilvl="4">
      <w:lvl w:ilvl="4">
        <w:start w:val="1"/>
        <w:numFmt w:val="decimal"/>
        <w:isLgl/>
        <w:lvlText w:val="%1.%2.%3.%4.%5"/>
        <w:lvlJc w:val="left"/>
        <w:pPr>
          <w:ind w:left="646" w:hanging="362"/>
        </w:pPr>
        <w:rPr>
          <w:rFonts w:hint="default"/>
        </w:rPr>
      </w:lvl>
    </w:lvlOverride>
    <w:lvlOverride w:ilvl="5">
      <w:lvl w:ilvl="5">
        <w:start w:val="1"/>
        <w:numFmt w:val="decimal"/>
        <w:isLgl/>
        <w:lvlText w:val="%1.%2.%3.%4.%5.%6"/>
        <w:lvlJc w:val="left"/>
        <w:pPr>
          <w:ind w:left="646" w:hanging="362"/>
        </w:pPr>
        <w:rPr>
          <w:rFonts w:hint="default"/>
        </w:rPr>
      </w:lvl>
    </w:lvlOverride>
    <w:lvlOverride w:ilvl="6">
      <w:lvl w:ilvl="6">
        <w:start w:val="1"/>
        <w:numFmt w:val="decimal"/>
        <w:isLgl/>
        <w:lvlText w:val="%1.%2.%3.%4.%5.%6.%7"/>
        <w:lvlJc w:val="left"/>
        <w:pPr>
          <w:ind w:left="646" w:hanging="362"/>
        </w:pPr>
        <w:rPr>
          <w:rFonts w:hint="default"/>
        </w:rPr>
      </w:lvl>
    </w:lvlOverride>
    <w:lvlOverride w:ilvl="7">
      <w:lvl w:ilvl="7">
        <w:start w:val="1"/>
        <w:numFmt w:val="decimal"/>
        <w:isLgl/>
        <w:lvlText w:val="%1.%2.%3.%4.%5.%6.%7.%8"/>
        <w:lvlJc w:val="left"/>
        <w:pPr>
          <w:ind w:left="646" w:hanging="362"/>
        </w:pPr>
        <w:rPr>
          <w:rFonts w:hint="default"/>
        </w:rPr>
      </w:lvl>
    </w:lvlOverride>
    <w:lvlOverride w:ilvl="8">
      <w:lvl w:ilvl="8">
        <w:start w:val="1"/>
        <w:numFmt w:val="decimal"/>
        <w:isLgl/>
        <w:lvlText w:val="%1.%2.%3.%4.%5.%6.%7.%8.%9"/>
        <w:lvlJc w:val="left"/>
        <w:pPr>
          <w:ind w:left="646" w:hanging="362"/>
        </w:pPr>
        <w:rPr>
          <w:rFonts w:hint="default"/>
        </w:rPr>
      </w:lvl>
    </w:lvlOverride>
  </w:num>
  <w:num w:numId="14">
    <w:abstractNumId w:val="39"/>
  </w:num>
  <w:num w:numId="15">
    <w:abstractNumId w:val="24"/>
  </w:num>
  <w:num w:numId="16">
    <w:abstractNumId w:val="23"/>
  </w:num>
  <w:num w:numId="17">
    <w:abstractNumId w:val="20"/>
  </w:num>
  <w:num w:numId="18">
    <w:abstractNumId w:val="13"/>
  </w:num>
  <w:num w:numId="19">
    <w:abstractNumId w:val="12"/>
  </w:num>
  <w:num w:numId="20">
    <w:abstractNumId w:val="9"/>
  </w:num>
  <w:num w:numId="21">
    <w:abstractNumId w:val="2"/>
  </w:num>
  <w:num w:numId="22">
    <w:abstractNumId w:val="11"/>
  </w:num>
  <w:num w:numId="23">
    <w:abstractNumId w:val="1"/>
  </w:num>
  <w:num w:numId="24">
    <w:abstractNumId w:val="36"/>
  </w:num>
  <w:num w:numId="25">
    <w:abstractNumId w:val="8"/>
  </w:num>
  <w:num w:numId="26">
    <w:abstractNumId w:val="35"/>
  </w:num>
  <w:num w:numId="27">
    <w:abstractNumId w:val="17"/>
  </w:num>
  <w:num w:numId="28">
    <w:abstractNumId w:val="34"/>
  </w:num>
  <w:num w:numId="29">
    <w:abstractNumId w:val="31"/>
  </w:num>
  <w:num w:numId="30">
    <w:abstractNumId w:val="26"/>
  </w:num>
  <w:num w:numId="31">
    <w:abstractNumId w:val="30"/>
  </w:num>
  <w:num w:numId="32">
    <w:abstractNumId w:val="16"/>
  </w:num>
  <w:num w:numId="33">
    <w:abstractNumId w:val="27"/>
  </w:num>
  <w:num w:numId="34">
    <w:abstractNumId w:val="29"/>
  </w:num>
  <w:num w:numId="35">
    <w:abstractNumId w:val="28"/>
  </w:num>
  <w:num w:numId="36">
    <w:abstractNumId w:val="5"/>
  </w:num>
  <w:num w:numId="37">
    <w:abstractNumId w:val="22"/>
  </w:num>
  <w:num w:numId="38">
    <w:abstractNumId w:val="38"/>
  </w:num>
  <w:num w:numId="39">
    <w:abstractNumId w:val="18"/>
  </w:num>
  <w:num w:numId="40">
    <w:abstractNumId w:val="3"/>
  </w:num>
  <w:num w:numId="4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Moves/>
  <w:defaultTabStop w:val="720"/>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F2"/>
    <w:rsid w:val="00001048"/>
    <w:rsid w:val="000013A5"/>
    <w:rsid w:val="000017C6"/>
    <w:rsid w:val="000022CA"/>
    <w:rsid w:val="00002D56"/>
    <w:rsid w:val="00004843"/>
    <w:rsid w:val="000049B3"/>
    <w:rsid w:val="00005EA6"/>
    <w:rsid w:val="0000654A"/>
    <w:rsid w:val="00006575"/>
    <w:rsid w:val="00006A49"/>
    <w:rsid w:val="000076CA"/>
    <w:rsid w:val="000076DC"/>
    <w:rsid w:val="0000775B"/>
    <w:rsid w:val="00007918"/>
    <w:rsid w:val="00007FFD"/>
    <w:rsid w:val="00010542"/>
    <w:rsid w:val="00011FAC"/>
    <w:rsid w:val="00012F18"/>
    <w:rsid w:val="00014CB9"/>
    <w:rsid w:val="00014D44"/>
    <w:rsid w:val="00014F37"/>
    <w:rsid w:val="000155EE"/>
    <w:rsid w:val="000161C5"/>
    <w:rsid w:val="0001697E"/>
    <w:rsid w:val="000173B5"/>
    <w:rsid w:val="00021451"/>
    <w:rsid w:val="000220A3"/>
    <w:rsid w:val="0002290A"/>
    <w:rsid w:val="00022FC2"/>
    <w:rsid w:val="00022FC4"/>
    <w:rsid w:val="000230A3"/>
    <w:rsid w:val="00025AC2"/>
    <w:rsid w:val="00026CB1"/>
    <w:rsid w:val="00027882"/>
    <w:rsid w:val="000278F1"/>
    <w:rsid w:val="00030C9F"/>
    <w:rsid w:val="0003124C"/>
    <w:rsid w:val="0003306C"/>
    <w:rsid w:val="00033719"/>
    <w:rsid w:val="00033FB5"/>
    <w:rsid w:val="000341CD"/>
    <w:rsid w:val="000348F1"/>
    <w:rsid w:val="00034BDE"/>
    <w:rsid w:val="00035A25"/>
    <w:rsid w:val="00035F07"/>
    <w:rsid w:val="00037F4A"/>
    <w:rsid w:val="000401FE"/>
    <w:rsid w:val="000406B6"/>
    <w:rsid w:val="00041201"/>
    <w:rsid w:val="00041493"/>
    <w:rsid w:val="00041623"/>
    <w:rsid w:val="000423E7"/>
    <w:rsid w:val="00042AFC"/>
    <w:rsid w:val="000450C4"/>
    <w:rsid w:val="00046471"/>
    <w:rsid w:val="00046B2F"/>
    <w:rsid w:val="0005097D"/>
    <w:rsid w:val="000533BD"/>
    <w:rsid w:val="00053EBB"/>
    <w:rsid w:val="000540D5"/>
    <w:rsid w:val="00054F7C"/>
    <w:rsid w:val="000554FF"/>
    <w:rsid w:val="00056850"/>
    <w:rsid w:val="00056D90"/>
    <w:rsid w:val="00057281"/>
    <w:rsid w:val="000606F4"/>
    <w:rsid w:val="000607AD"/>
    <w:rsid w:val="0006091C"/>
    <w:rsid w:val="000633B1"/>
    <w:rsid w:val="00064732"/>
    <w:rsid w:val="00064908"/>
    <w:rsid w:val="000653DE"/>
    <w:rsid w:val="00067058"/>
    <w:rsid w:val="00067CA8"/>
    <w:rsid w:val="0007148D"/>
    <w:rsid w:val="00071774"/>
    <w:rsid w:val="00071BC4"/>
    <w:rsid w:val="0007201D"/>
    <w:rsid w:val="00072D49"/>
    <w:rsid w:val="0007313D"/>
    <w:rsid w:val="000734DF"/>
    <w:rsid w:val="00073EB2"/>
    <w:rsid w:val="00074563"/>
    <w:rsid w:val="00074564"/>
    <w:rsid w:val="00074596"/>
    <w:rsid w:val="000751B8"/>
    <w:rsid w:val="00075DF6"/>
    <w:rsid w:val="000763D7"/>
    <w:rsid w:val="00076920"/>
    <w:rsid w:val="000807FE"/>
    <w:rsid w:val="00080A12"/>
    <w:rsid w:val="000816AF"/>
    <w:rsid w:val="000817E9"/>
    <w:rsid w:val="000818A3"/>
    <w:rsid w:val="00081930"/>
    <w:rsid w:val="00081A40"/>
    <w:rsid w:val="00081CC2"/>
    <w:rsid w:val="00082B47"/>
    <w:rsid w:val="00083C5D"/>
    <w:rsid w:val="00083E82"/>
    <w:rsid w:val="00084150"/>
    <w:rsid w:val="00085249"/>
    <w:rsid w:val="0008554B"/>
    <w:rsid w:val="0008578C"/>
    <w:rsid w:val="00085EB5"/>
    <w:rsid w:val="00090196"/>
    <w:rsid w:val="00091F7A"/>
    <w:rsid w:val="00092B1E"/>
    <w:rsid w:val="00092F80"/>
    <w:rsid w:val="00093EDD"/>
    <w:rsid w:val="000954AD"/>
    <w:rsid w:val="0009563B"/>
    <w:rsid w:val="00095886"/>
    <w:rsid w:val="0009696A"/>
    <w:rsid w:val="00097112"/>
    <w:rsid w:val="000974F8"/>
    <w:rsid w:val="000A105B"/>
    <w:rsid w:val="000A13E2"/>
    <w:rsid w:val="000A1605"/>
    <w:rsid w:val="000A21B1"/>
    <w:rsid w:val="000A2806"/>
    <w:rsid w:val="000A2BCA"/>
    <w:rsid w:val="000A4695"/>
    <w:rsid w:val="000A4C77"/>
    <w:rsid w:val="000A67CE"/>
    <w:rsid w:val="000B07F2"/>
    <w:rsid w:val="000B0BFB"/>
    <w:rsid w:val="000B1D38"/>
    <w:rsid w:val="000B210E"/>
    <w:rsid w:val="000B3D9D"/>
    <w:rsid w:val="000B3E7F"/>
    <w:rsid w:val="000B465C"/>
    <w:rsid w:val="000B50FD"/>
    <w:rsid w:val="000B5139"/>
    <w:rsid w:val="000B54A0"/>
    <w:rsid w:val="000B5D4A"/>
    <w:rsid w:val="000C1D64"/>
    <w:rsid w:val="000C226C"/>
    <w:rsid w:val="000C2291"/>
    <w:rsid w:val="000C2413"/>
    <w:rsid w:val="000C2678"/>
    <w:rsid w:val="000C290D"/>
    <w:rsid w:val="000C2E41"/>
    <w:rsid w:val="000C3071"/>
    <w:rsid w:val="000C387F"/>
    <w:rsid w:val="000C4D53"/>
    <w:rsid w:val="000C580F"/>
    <w:rsid w:val="000C5C4C"/>
    <w:rsid w:val="000C6244"/>
    <w:rsid w:val="000C64A3"/>
    <w:rsid w:val="000C7F4F"/>
    <w:rsid w:val="000D0D17"/>
    <w:rsid w:val="000D1E29"/>
    <w:rsid w:val="000D2C9A"/>
    <w:rsid w:val="000D2EB6"/>
    <w:rsid w:val="000D366B"/>
    <w:rsid w:val="000D42D3"/>
    <w:rsid w:val="000D44D5"/>
    <w:rsid w:val="000D4526"/>
    <w:rsid w:val="000D4CC7"/>
    <w:rsid w:val="000D54C3"/>
    <w:rsid w:val="000D5D39"/>
    <w:rsid w:val="000D600A"/>
    <w:rsid w:val="000D6FBB"/>
    <w:rsid w:val="000D6FDD"/>
    <w:rsid w:val="000D71E5"/>
    <w:rsid w:val="000D78F1"/>
    <w:rsid w:val="000E0135"/>
    <w:rsid w:val="000E0A1D"/>
    <w:rsid w:val="000E0BF4"/>
    <w:rsid w:val="000E179A"/>
    <w:rsid w:val="000E2A91"/>
    <w:rsid w:val="000E2BAD"/>
    <w:rsid w:val="000E2EC7"/>
    <w:rsid w:val="000E30A7"/>
    <w:rsid w:val="000E34E4"/>
    <w:rsid w:val="000E3CC2"/>
    <w:rsid w:val="000E40ED"/>
    <w:rsid w:val="000E4382"/>
    <w:rsid w:val="000E43D3"/>
    <w:rsid w:val="000E5368"/>
    <w:rsid w:val="000E63A0"/>
    <w:rsid w:val="000E786D"/>
    <w:rsid w:val="000E7CBF"/>
    <w:rsid w:val="000F0A00"/>
    <w:rsid w:val="000F0ED2"/>
    <w:rsid w:val="000F13A7"/>
    <w:rsid w:val="000F410A"/>
    <w:rsid w:val="000F5459"/>
    <w:rsid w:val="000F58EE"/>
    <w:rsid w:val="000F5AEA"/>
    <w:rsid w:val="000F612E"/>
    <w:rsid w:val="000F645C"/>
    <w:rsid w:val="000F67CA"/>
    <w:rsid w:val="000F6DA8"/>
    <w:rsid w:val="000F75AF"/>
    <w:rsid w:val="000F780C"/>
    <w:rsid w:val="000F7A20"/>
    <w:rsid w:val="000F7BF4"/>
    <w:rsid w:val="000F7F38"/>
    <w:rsid w:val="00100A98"/>
    <w:rsid w:val="00101DBF"/>
    <w:rsid w:val="00102121"/>
    <w:rsid w:val="0010226B"/>
    <w:rsid w:val="00102668"/>
    <w:rsid w:val="00103945"/>
    <w:rsid w:val="00103D72"/>
    <w:rsid w:val="001040B2"/>
    <w:rsid w:val="00104CE3"/>
    <w:rsid w:val="0010571B"/>
    <w:rsid w:val="00106228"/>
    <w:rsid w:val="001068DD"/>
    <w:rsid w:val="001073E8"/>
    <w:rsid w:val="001073F3"/>
    <w:rsid w:val="00107EB4"/>
    <w:rsid w:val="00107FBD"/>
    <w:rsid w:val="00110759"/>
    <w:rsid w:val="00110862"/>
    <w:rsid w:val="00112826"/>
    <w:rsid w:val="00113182"/>
    <w:rsid w:val="00114075"/>
    <w:rsid w:val="001149F4"/>
    <w:rsid w:val="00114BF6"/>
    <w:rsid w:val="00115867"/>
    <w:rsid w:val="00115996"/>
    <w:rsid w:val="00116174"/>
    <w:rsid w:val="001166DF"/>
    <w:rsid w:val="001167E0"/>
    <w:rsid w:val="00116B86"/>
    <w:rsid w:val="00117065"/>
    <w:rsid w:val="001172E8"/>
    <w:rsid w:val="001174D3"/>
    <w:rsid w:val="001175AE"/>
    <w:rsid w:val="00117F40"/>
    <w:rsid w:val="00120321"/>
    <w:rsid w:val="0012114C"/>
    <w:rsid w:val="00121A60"/>
    <w:rsid w:val="001227BA"/>
    <w:rsid w:val="00122BBB"/>
    <w:rsid w:val="0012318F"/>
    <w:rsid w:val="00123291"/>
    <w:rsid w:val="0012364D"/>
    <w:rsid w:val="0012368E"/>
    <w:rsid w:val="00123F07"/>
    <w:rsid w:val="00125199"/>
    <w:rsid w:val="00125387"/>
    <w:rsid w:val="00125619"/>
    <w:rsid w:val="0012619F"/>
    <w:rsid w:val="00126733"/>
    <w:rsid w:val="00126DD8"/>
    <w:rsid w:val="00127457"/>
    <w:rsid w:val="0012752F"/>
    <w:rsid w:val="00130322"/>
    <w:rsid w:val="0013075E"/>
    <w:rsid w:val="0013137B"/>
    <w:rsid w:val="00131417"/>
    <w:rsid w:val="00131936"/>
    <w:rsid w:val="001324CC"/>
    <w:rsid w:val="00132EB8"/>
    <w:rsid w:val="001344E8"/>
    <w:rsid w:val="00134572"/>
    <w:rsid w:val="001345D1"/>
    <w:rsid w:val="001352EB"/>
    <w:rsid w:val="00136072"/>
    <w:rsid w:val="00136A1E"/>
    <w:rsid w:val="00136B28"/>
    <w:rsid w:val="00136DF1"/>
    <w:rsid w:val="0013722C"/>
    <w:rsid w:val="00137474"/>
    <w:rsid w:val="001377D1"/>
    <w:rsid w:val="001379FA"/>
    <w:rsid w:val="00137BF1"/>
    <w:rsid w:val="00140681"/>
    <w:rsid w:val="00140F19"/>
    <w:rsid w:val="001418D9"/>
    <w:rsid w:val="0014202A"/>
    <w:rsid w:val="00142FAA"/>
    <w:rsid w:val="00143329"/>
    <w:rsid w:val="001446EC"/>
    <w:rsid w:val="00145240"/>
    <w:rsid w:val="00146072"/>
    <w:rsid w:val="00146F68"/>
    <w:rsid w:val="001475F7"/>
    <w:rsid w:val="0015179B"/>
    <w:rsid w:val="001525ED"/>
    <w:rsid w:val="0015309C"/>
    <w:rsid w:val="00153799"/>
    <w:rsid w:val="0015394B"/>
    <w:rsid w:val="00153BEA"/>
    <w:rsid w:val="001540BD"/>
    <w:rsid w:val="00154F85"/>
    <w:rsid w:val="00155733"/>
    <w:rsid w:val="00156690"/>
    <w:rsid w:val="0015677A"/>
    <w:rsid w:val="0015697C"/>
    <w:rsid w:val="00156E2E"/>
    <w:rsid w:val="00157147"/>
    <w:rsid w:val="00157AC3"/>
    <w:rsid w:val="00157B20"/>
    <w:rsid w:val="00157CA2"/>
    <w:rsid w:val="001612C3"/>
    <w:rsid w:val="00161937"/>
    <w:rsid w:val="001623DF"/>
    <w:rsid w:val="00162A64"/>
    <w:rsid w:val="00163701"/>
    <w:rsid w:val="00163AC0"/>
    <w:rsid w:val="001648D1"/>
    <w:rsid w:val="001648E9"/>
    <w:rsid w:val="00164A9C"/>
    <w:rsid w:val="00164CCA"/>
    <w:rsid w:val="001667B9"/>
    <w:rsid w:val="00167B45"/>
    <w:rsid w:val="00170325"/>
    <w:rsid w:val="001705BA"/>
    <w:rsid w:val="00170BA4"/>
    <w:rsid w:val="00170FBD"/>
    <w:rsid w:val="001713B0"/>
    <w:rsid w:val="001718FB"/>
    <w:rsid w:val="00171B60"/>
    <w:rsid w:val="00173640"/>
    <w:rsid w:val="0017386D"/>
    <w:rsid w:val="001738B0"/>
    <w:rsid w:val="00173C51"/>
    <w:rsid w:val="001741F3"/>
    <w:rsid w:val="001774F7"/>
    <w:rsid w:val="001779CB"/>
    <w:rsid w:val="00182367"/>
    <w:rsid w:val="001825BA"/>
    <w:rsid w:val="001826FD"/>
    <w:rsid w:val="00183315"/>
    <w:rsid w:val="00183922"/>
    <w:rsid w:val="00183BBE"/>
    <w:rsid w:val="00184145"/>
    <w:rsid w:val="00185165"/>
    <w:rsid w:val="00185546"/>
    <w:rsid w:val="0018594E"/>
    <w:rsid w:val="00187CAE"/>
    <w:rsid w:val="00190895"/>
    <w:rsid w:val="00191156"/>
    <w:rsid w:val="00191882"/>
    <w:rsid w:val="00191964"/>
    <w:rsid w:val="0019202D"/>
    <w:rsid w:val="00192620"/>
    <w:rsid w:val="00192978"/>
    <w:rsid w:val="00192A25"/>
    <w:rsid w:val="00192B17"/>
    <w:rsid w:val="00192F57"/>
    <w:rsid w:val="00193093"/>
    <w:rsid w:val="001945E1"/>
    <w:rsid w:val="001961E4"/>
    <w:rsid w:val="00196962"/>
    <w:rsid w:val="00196F23"/>
    <w:rsid w:val="001975B0"/>
    <w:rsid w:val="001A01AE"/>
    <w:rsid w:val="001A0A3A"/>
    <w:rsid w:val="001A0F1D"/>
    <w:rsid w:val="001A11F3"/>
    <w:rsid w:val="001A2490"/>
    <w:rsid w:val="001A3190"/>
    <w:rsid w:val="001A3EE3"/>
    <w:rsid w:val="001A475F"/>
    <w:rsid w:val="001A5689"/>
    <w:rsid w:val="001A57E4"/>
    <w:rsid w:val="001A5D0C"/>
    <w:rsid w:val="001A677E"/>
    <w:rsid w:val="001A6785"/>
    <w:rsid w:val="001A78DB"/>
    <w:rsid w:val="001B0290"/>
    <w:rsid w:val="001B0DCF"/>
    <w:rsid w:val="001B0F86"/>
    <w:rsid w:val="001B125D"/>
    <w:rsid w:val="001B1D2E"/>
    <w:rsid w:val="001B2407"/>
    <w:rsid w:val="001B2FA9"/>
    <w:rsid w:val="001B4062"/>
    <w:rsid w:val="001B4319"/>
    <w:rsid w:val="001B508A"/>
    <w:rsid w:val="001B629C"/>
    <w:rsid w:val="001B6C7B"/>
    <w:rsid w:val="001B7184"/>
    <w:rsid w:val="001B739F"/>
    <w:rsid w:val="001C0388"/>
    <w:rsid w:val="001C0D76"/>
    <w:rsid w:val="001C135B"/>
    <w:rsid w:val="001C148F"/>
    <w:rsid w:val="001C182F"/>
    <w:rsid w:val="001C1AB5"/>
    <w:rsid w:val="001C288F"/>
    <w:rsid w:val="001C29F6"/>
    <w:rsid w:val="001C3C63"/>
    <w:rsid w:val="001C4409"/>
    <w:rsid w:val="001C4A50"/>
    <w:rsid w:val="001C5505"/>
    <w:rsid w:val="001C6C81"/>
    <w:rsid w:val="001C7D85"/>
    <w:rsid w:val="001D0A44"/>
    <w:rsid w:val="001D0D8F"/>
    <w:rsid w:val="001D271D"/>
    <w:rsid w:val="001D2881"/>
    <w:rsid w:val="001D2FFE"/>
    <w:rsid w:val="001D30BB"/>
    <w:rsid w:val="001D38BE"/>
    <w:rsid w:val="001D4032"/>
    <w:rsid w:val="001D53E3"/>
    <w:rsid w:val="001D6055"/>
    <w:rsid w:val="001D63B1"/>
    <w:rsid w:val="001D64F4"/>
    <w:rsid w:val="001D6AD5"/>
    <w:rsid w:val="001D6B20"/>
    <w:rsid w:val="001D6ECC"/>
    <w:rsid w:val="001D78E4"/>
    <w:rsid w:val="001D7E3F"/>
    <w:rsid w:val="001E087E"/>
    <w:rsid w:val="001E0D97"/>
    <w:rsid w:val="001E1C5E"/>
    <w:rsid w:val="001E22F4"/>
    <w:rsid w:val="001E25ED"/>
    <w:rsid w:val="001E2669"/>
    <w:rsid w:val="001E2999"/>
    <w:rsid w:val="001E4AE9"/>
    <w:rsid w:val="001E5C32"/>
    <w:rsid w:val="001E5EB0"/>
    <w:rsid w:val="001E6F26"/>
    <w:rsid w:val="001E7076"/>
    <w:rsid w:val="001F1401"/>
    <w:rsid w:val="001F1DD2"/>
    <w:rsid w:val="001F2829"/>
    <w:rsid w:val="001F3C30"/>
    <w:rsid w:val="001F5AA5"/>
    <w:rsid w:val="001F64E7"/>
    <w:rsid w:val="001F6B43"/>
    <w:rsid w:val="001F6D77"/>
    <w:rsid w:val="001F7C0E"/>
    <w:rsid w:val="00202350"/>
    <w:rsid w:val="00202752"/>
    <w:rsid w:val="00202869"/>
    <w:rsid w:val="00204071"/>
    <w:rsid w:val="00204FD5"/>
    <w:rsid w:val="00205790"/>
    <w:rsid w:val="00205868"/>
    <w:rsid w:val="00205F89"/>
    <w:rsid w:val="002068A8"/>
    <w:rsid w:val="00207ECE"/>
    <w:rsid w:val="002105C0"/>
    <w:rsid w:val="00210B42"/>
    <w:rsid w:val="00211381"/>
    <w:rsid w:val="002118D5"/>
    <w:rsid w:val="00211B6B"/>
    <w:rsid w:val="00211F5F"/>
    <w:rsid w:val="00212C77"/>
    <w:rsid w:val="002131CD"/>
    <w:rsid w:val="00213575"/>
    <w:rsid w:val="00213A2C"/>
    <w:rsid w:val="00215386"/>
    <w:rsid w:val="00215B71"/>
    <w:rsid w:val="00216372"/>
    <w:rsid w:val="00216D7D"/>
    <w:rsid w:val="002174E5"/>
    <w:rsid w:val="0021797B"/>
    <w:rsid w:val="0022037B"/>
    <w:rsid w:val="00220380"/>
    <w:rsid w:val="00220492"/>
    <w:rsid w:val="00220ED5"/>
    <w:rsid w:val="00220F37"/>
    <w:rsid w:val="00221933"/>
    <w:rsid w:val="0022230F"/>
    <w:rsid w:val="00222517"/>
    <w:rsid w:val="002226A5"/>
    <w:rsid w:val="00222A90"/>
    <w:rsid w:val="002247E7"/>
    <w:rsid w:val="002254E8"/>
    <w:rsid w:val="0022656C"/>
    <w:rsid w:val="00226971"/>
    <w:rsid w:val="00226E22"/>
    <w:rsid w:val="002272BF"/>
    <w:rsid w:val="00227F68"/>
    <w:rsid w:val="00230CC5"/>
    <w:rsid w:val="0023125A"/>
    <w:rsid w:val="00232333"/>
    <w:rsid w:val="00233C15"/>
    <w:rsid w:val="00233F43"/>
    <w:rsid w:val="0023421C"/>
    <w:rsid w:val="00234507"/>
    <w:rsid w:val="002364FF"/>
    <w:rsid w:val="00237349"/>
    <w:rsid w:val="002373B2"/>
    <w:rsid w:val="002373F3"/>
    <w:rsid w:val="002374F1"/>
    <w:rsid w:val="0023789E"/>
    <w:rsid w:val="00237D99"/>
    <w:rsid w:val="00240271"/>
    <w:rsid w:val="00240ED2"/>
    <w:rsid w:val="002414C1"/>
    <w:rsid w:val="0024209B"/>
    <w:rsid w:val="00243050"/>
    <w:rsid w:val="00243101"/>
    <w:rsid w:val="00243BB9"/>
    <w:rsid w:val="00244421"/>
    <w:rsid w:val="00245215"/>
    <w:rsid w:val="0024570C"/>
    <w:rsid w:val="002460D5"/>
    <w:rsid w:val="00246562"/>
    <w:rsid w:val="00246566"/>
    <w:rsid w:val="0024693B"/>
    <w:rsid w:val="002511EB"/>
    <w:rsid w:val="00251869"/>
    <w:rsid w:val="002518AD"/>
    <w:rsid w:val="00252BF5"/>
    <w:rsid w:val="00252C51"/>
    <w:rsid w:val="00252ECA"/>
    <w:rsid w:val="002535AD"/>
    <w:rsid w:val="00254C6F"/>
    <w:rsid w:val="00255813"/>
    <w:rsid w:val="002566E0"/>
    <w:rsid w:val="002572B1"/>
    <w:rsid w:val="002576AA"/>
    <w:rsid w:val="00257F25"/>
    <w:rsid w:val="002605DD"/>
    <w:rsid w:val="00260BC6"/>
    <w:rsid w:val="00261783"/>
    <w:rsid w:val="00261C23"/>
    <w:rsid w:val="00262398"/>
    <w:rsid w:val="00262762"/>
    <w:rsid w:val="00262D89"/>
    <w:rsid w:val="00262EAB"/>
    <w:rsid w:val="00262FB4"/>
    <w:rsid w:val="0026353F"/>
    <w:rsid w:val="002635C5"/>
    <w:rsid w:val="00263D3E"/>
    <w:rsid w:val="00264405"/>
    <w:rsid w:val="002671F0"/>
    <w:rsid w:val="00267E25"/>
    <w:rsid w:val="00270130"/>
    <w:rsid w:val="00270620"/>
    <w:rsid w:val="002706ED"/>
    <w:rsid w:val="002713DB"/>
    <w:rsid w:val="00271B1D"/>
    <w:rsid w:val="00273136"/>
    <w:rsid w:val="002749C8"/>
    <w:rsid w:val="00274E8A"/>
    <w:rsid w:val="002752C1"/>
    <w:rsid w:val="002753B3"/>
    <w:rsid w:val="00275EE4"/>
    <w:rsid w:val="00277776"/>
    <w:rsid w:val="00277BFD"/>
    <w:rsid w:val="00277D34"/>
    <w:rsid w:val="00280DC3"/>
    <w:rsid w:val="002815AE"/>
    <w:rsid w:val="00282BAD"/>
    <w:rsid w:val="0028359C"/>
    <w:rsid w:val="002835FF"/>
    <w:rsid w:val="00284200"/>
    <w:rsid w:val="00285237"/>
    <w:rsid w:val="0028654E"/>
    <w:rsid w:val="00286E5F"/>
    <w:rsid w:val="00287830"/>
    <w:rsid w:val="0029063F"/>
    <w:rsid w:val="0029136A"/>
    <w:rsid w:val="00291440"/>
    <w:rsid w:val="00292A31"/>
    <w:rsid w:val="00293D4F"/>
    <w:rsid w:val="0029445C"/>
    <w:rsid w:val="00295369"/>
    <w:rsid w:val="00296345"/>
    <w:rsid w:val="00297272"/>
    <w:rsid w:val="002973DD"/>
    <w:rsid w:val="00297E67"/>
    <w:rsid w:val="002A177B"/>
    <w:rsid w:val="002A1999"/>
    <w:rsid w:val="002A2845"/>
    <w:rsid w:val="002A351B"/>
    <w:rsid w:val="002A3BF4"/>
    <w:rsid w:val="002A59EC"/>
    <w:rsid w:val="002A5DBA"/>
    <w:rsid w:val="002A73FB"/>
    <w:rsid w:val="002A761E"/>
    <w:rsid w:val="002B06B0"/>
    <w:rsid w:val="002B0E20"/>
    <w:rsid w:val="002B1045"/>
    <w:rsid w:val="002B19C9"/>
    <w:rsid w:val="002B260B"/>
    <w:rsid w:val="002B3D1B"/>
    <w:rsid w:val="002B454E"/>
    <w:rsid w:val="002B4B7F"/>
    <w:rsid w:val="002B62A8"/>
    <w:rsid w:val="002B6F3B"/>
    <w:rsid w:val="002B7954"/>
    <w:rsid w:val="002C03D6"/>
    <w:rsid w:val="002C07EA"/>
    <w:rsid w:val="002C16A2"/>
    <w:rsid w:val="002C20AE"/>
    <w:rsid w:val="002C22D1"/>
    <w:rsid w:val="002C2A84"/>
    <w:rsid w:val="002C3038"/>
    <w:rsid w:val="002C38A0"/>
    <w:rsid w:val="002C435D"/>
    <w:rsid w:val="002C48ED"/>
    <w:rsid w:val="002C4B59"/>
    <w:rsid w:val="002C4C83"/>
    <w:rsid w:val="002C4FE0"/>
    <w:rsid w:val="002C512B"/>
    <w:rsid w:val="002C563B"/>
    <w:rsid w:val="002C56BC"/>
    <w:rsid w:val="002C70A4"/>
    <w:rsid w:val="002C713D"/>
    <w:rsid w:val="002C7F4B"/>
    <w:rsid w:val="002D0662"/>
    <w:rsid w:val="002D10BB"/>
    <w:rsid w:val="002D10EF"/>
    <w:rsid w:val="002D142F"/>
    <w:rsid w:val="002D1491"/>
    <w:rsid w:val="002D15F4"/>
    <w:rsid w:val="002D18FE"/>
    <w:rsid w:val="002D2796"/>
    <w:rsid w:val="002D44C3"/>
    <w:rsid w:val="002D4A40"/>
    <w:rsid w:val="002D52C0"/>
    <w:rsid w:val="002D55EA"/>
    <w:rsid w:val="002D5618"/>
    <w:rsid w:val="002D71BC"/>
    <w:rsid w:val="002D71F3"/>
    <w:rsid w:val="002E15D3"/>
    <w:rsid w:val="002E24A5"/>
    <w:rsid w:val="002E24DA"/>
    <w:rsid w:val="002E256D"/>
    <w:rsid w:val="002E2E28"/>
    <w:rsid w:val="002E38F8"/>
    <w:rsid w:val="002E3B39"/>
    <w:rsid w:val="002E3E20"/>
    <w:rsid w:val="002E43BD"/>
    <w:rsid w:val="002E45D8"/>
    <w:rsid w:val="002E5678"/>
    <w:rsid w:val="002E5C27"/>
    <w:rsid w:val="002E69A2"/>
    <w:rsid w:val="002E6BEE"/>
    <w:rsid w:val="002E6E3A"/>
    <w:rsid w:val="002E6E55"/>
    <w:rsid w:val="002E74A3"/>
    <w:rsid w:val="002E78BA"/>
    <w:rsid w:val="002F063F"/>
    <w:rsid w:val="002F16C6"/>
    <w:rsid w:val="002F187E"/>
    <w:rsid w:val="002F217B"/>
    <w:rsid w:val="002F2A66"/>
    <w:rsid w:val="002F3287"/>
    <w:rsid w:val="002F3783"/>
    <w:rsid w:val="002F43C7"/>
    <w:rsid w:val="002F528C"/>
    <w:rsid w:val="002F5952"/>
    <w:rsid w:val="002F61F7"/>
    <w:rsid w:val="002F649F"/>
    <w:rsid w:val="002F6C5B"/>
    <w:rsid w:val="002F713B"/>
    <w:rsid w:val="002F71C0"/>
    <w:rsid w:val="002F7982"/>
    <w:rsid w:val="003001D5"/>
    <w:rsid w:val="0030065C"/>
    <w:rsid w:val="00301842"/>
    <w:rsid w:val="00301CA4"/>
    <w:rsid w:val="00302344"/>
    <w:rsid w:val="00302C62"/>
    <w:rsid w:val="00302E8D"/>
    <w:rsid w:val="00303B7B"/>
    <w:rsid w:val="00303C96"/>
    <w:rsid w:val="0030477A"/>
    <w:rsid w:val="003047CE"/>
    <w:rsid w:val="00304834"/>
    <w:rsid w:val="00304B23"/>
    <w:rsid w:val="00304C43"/>
    <w:rsid w:val="0030514A"/>
    <w:rsid w:val="00305307"/>
    <w:rsid w:val="003064F6"/>
    <w:rsid w:val="003068B4"/>
    <w:rsid w:val="00306CD3"/>
    <w:rsid w:val="00307511"/>
    <w:rsid w:val="00307ED3"/>
    <w:rsid w:val="00310635"/>
    <w:rsid w:val="0031149E"/>
    <w:rsid w:val="003116B6"/>
    <w:rsid w:val="00312385"/>
    <w:rsid w:val="00312E24"/>
    <w:rsid w:val="0031392F"/>
    <w:rsid w:val="00313966"/>
    <w:rsid w:val="00314009"/>
    <w:rsid w:val="00314D53"/>
    <w:rsid w:val="00314FC1"/>
    <w:rsid w:val="00314FD0"/>
    <w:rsid w:val="003158BC"/>
    <w:rsid w:val="0031664A"/>
    <w:rsid w:val="00317341"/>
    <w:rsid w:val="00317662"/>
    <w:rsid w:val="003176F8"/>
    <w:rsid w:val="00317CFE"/>
    <w:rsid w:val="00323C5E"/>
    <w:rsid w:val="00324526"/>
    <w:rsid w:val="00325D3A"/>
    <w:rsid w:val="003268D9"/>
    <w:rsid w:val="003268F7"/>
    <w:rsid w:val="00327772"/>
    <w:rsid w:val="00327954"/>
    <w:rsid w:val="00327F01"/>
    <w:rsid w:val="00330217"/>
    <w:rsid w:val="003310B1"/>
    <w:rsid w:val="00331537"/>
    <w:rsid w:val="003315C8"/>
    <w:rsid w:val="00332B39"/>
    <w:rsid w:val="00332B94"/>
    <w:rsid w:val="00334BE4"/>
    <w:rsid w:val="003356D1"/>
    <w:rsid w:val="00335CAC"/>
    <w:rsid w:val="0033628A"/>
    <w:rsid w:val="00336573"/>
    <w:rsid w:val="00336C53"/>
    <w:rsid w:val="00337D35"/>
    <w:rsid w:val="00340688"/>
    <w:rsid w:val="00340C92"/>
    <w:rsid w:val="00340C93"/>
    <w:rsid w:val="003417AC"/>
    <w:rsid w:val="00341B8C"/>
    <w:rsid w:val="0034241F"/>
    <w:rsid w:val="003435D8"/>
    <w:rsid w:val="003435F4"/>
    <w:rsid w:val="00343A84"/>
    <w:rsid w:val="00343C41"/>
    <w:rsid w:val="003449B2"/>
    <w:rsid w:val="00344A67"/>
    <w:rsid w:val="00345462"/>
    <w:rsid w:val="0034651C"/>
    <w:rsid w:val="00346743"/>
    <w:rsid w:val="00351499"/>
    <w:rsid w:val="0035297F"/>
    <w:rsid w:val="00352AC9"/>
    <w:rsid w:val="003534EB"/>
    <w:rsid w:val="00353820"/>
    <w:rsid w:val="00354A50"/>
    <w:rsid w:val="0035528E"/>
    <w:rsid w:val="003559EB"/>
    <w:rsid w:val="00356B17"/>
    <w:rsid w:val="00360359"/>
    <w:rsid w:val="0036121E"/>
    <w:rsid w:val="003635E0"/>
    <w:rsid w:val="003644B3"/>
    <w:rsid w:val="003648F0"/>
    <w:rsid w:val="00364CED"/>
    <w:rsid w:val="00364F31"/>
    <w:rsid w:val="003651D5"/>
    <w:rsid w:val="00366BED"/>
    <w:rsid w:val="00366F6F"/>
    <w:rsid w:val="00367A3A"/>
    <w:rsid w:val="00367D8B"/>
    <w:rsid w:val="00370427"/>
    <w:rsid w:val="00370B50"/>
    <w:rsid w:val="00371081"/>
    <w:rsid w:val="0037243E"/>
    <w:rsid w:val="003727AA"/>
    <w:rsid w:val="0037284A"/>
    <w:rsid w:val="00372B5C"/>
    <w:rsid w:val="00373532"/>
    <w:rsid w:val="00373DBA"/>
    <w:rsid w:val="0037457A"/>
    <w:rsid w:val="00376827"/>
    <w:rsid w:val="00376954"/>
    <w:rsid w:val="00376B94"/>
    <w:rsid w:val="003770F9"/>
    <w:rsid w:val="00377B8C"/>
    <w:rsid w:val="00381309"/>
    <w:rsid w:val="003818C0"/>
    <w:rsid w:val="00381B97"/>
    <w:rsid w:val="003826FB"/>
    <w:rsid w:val="00382CD2"/>
    <w:rsid w:val="00382D7E"/>
    <w:rsid w:val="0038332A"/>
    <w:rsid w:val="003835E2"/>
    <w:rsid w:val="003853CB"/>
    <w:rsid w:val="003858C3"/>
    <w:rsid w:val="00386218"/>
    <w:rsid w:val="0038641B"/>
    <w:rsid w:val="00386DAD"/>
    <w:rsid w:val="00387374"/>
    <w:rsid w:val="0038743A"/>
    <w:rsid w:val="00387C3C"/>
    <w:rsid w:val="003907C1"/>
    <w:rsid w:val="003917B0"/>
    <w:rsid w:val="003917F1"/>
    <w:rsid w:val="0039183F"/>
    <w:rsid w:val="00391E8A"/>
    <w:rsid w:val="00392AE0"/>
    <w:rsid w:val="00393082"/>
    <w:rsid w:val="003933EE"/>
    <w:rsid w:val="0039341B"/>
    <w:rsid w:val="00394706"/>
    <w:rsid w:val="00395194"/>
    <w:rsid w:val="00395264"/>
    <w:rsid w:val="00396331"/>
    <w:rsid w:val="00397679"/>
    <w:rsid w:val="00397683"/>
    <w:rsid w:val="00397D4C"/>
    <w:rsid w:val="003A0458"/>
    <w:rsid w:val="003A08C4"/>
    <w:rsid w:val="003A152B"/>
    <w:rsid w:val="003A305F"/>
    <w:rsid w:val="003A33C5"/>
    <w:rsid w:val="003A3CFF"/>
    <w:rsid w:val="003A4882"/>
    <w:rsid w:val="003A4F7B"/>
    <w:rsid w:val="003A51FA"/>
    <w:rsid w:val="003A5619"/>
    <w:rsid w:val="003A570B"/>
    <w:rsid w:val="003A6E65"/>
    <w:rsid w:val="003A76D8"/>
    <w:rsid w:val="003B191D"/>
    <w:rsid w:val="003B2326"/>
    <w:rsid w:val="003B26C9"/>
    <w:rsid w:val="003B2748"/>
    <w:rsid w:val="003B3819"/>
    <w:rsid w:val="003B3B3E"/>
    <w:rsid w:val="003B3DCE"/>
    <w:rsid w:val="003B465B"/>
    <w:rsid w:val="003B5475"/>
    <w:rsid w:val="003B64DC"/>
    <w:rsid w:val="003B6672"/>
    <w:rsid w:val="003B680D"/>
    <w:rsid w:val="003B6842"/>
    <w:rsid w:val="003B6AA0"/>
    <w:rsid w:val="003B6CF7"/>
    <w:rsid w:val="003B6FEA"/>
    <w:rsid w:val="003B73C5"/>
    <w:rsid w:val="003B7607"/>
    <w:rsid w:val="003B774B"/>
    <w:rsid w:val="003C07D6"/>
    <w:rsid w:val="003C2106"/>
    <w:rsid w:val="003C2967"/>
    <w:rsid w:val="003C3243"/>
    <w:rsid w:val="003C3FF3"/>
    <w:rsid w:val="003C54F4"/>
    <w:rsid w:val="003C59F9"/>
    <w:rsid w:val="003C684B"/>
    <w:rsid w:val="003D0AEA"/>
    <w:rsid w:val="003D1944"/>
    <w:rsid w:val="003D1A10"/>
    <w:rsid w:val="003D1B1E"/>
    <w:rsid w:val="003D1C64"/>
    <w:rsid w:val="003D2162"/>
    <w:rsid w:val="003D2219"/>
    <w:rsid w:val="003D2AB0"/>
    <w:rsid w:val="003D2CB1"/>
    <w:rsid w:val="003D31DD"/>
    <w:rsid w:val="003D352D"/>
    <w:rsid w:val="003D381D"/>
    <w:rsid w:val="003D4A51"/>
    <w:rsid w:val="003D6607"/>
    <w:rsid w:val="003D7541"/>
    <w:rsid w:val="003E1001"/>
    <w:rsid w:val="003E12C3"/>
    <w:rsid w:val="003E240F"/>
    <w:rsid w:val="003E2511"/>
    <w:rsid w:val="003E3003"/>
    <w:rsid w:val="003E3221"/>
    <w:rsid w:val="003E3B01"/>
    <w:rsid w:val="003E3DE8"/>
    <w:rsid w:val="003E3F26"/>
    <w:rsid w:val="003E3F2B"/>
    <w:rsid w:val="003E5E6F"/>
    <w:rsid w:val="003E7D91"/>
    <w:rsid w:val="003E7EBC"/>
    <w:rsid w:val="003F0544"/>
    <w:rsid w:val="003F0709"/>
    <w:rsid w:val="003F24EC"/>
    <w:rsid w:val="003F25B9"/>
    <w:rsid w:val="003F2997"/>
    <w:rsid w:val="003F2E07"/>
    <w:rsid w:val="003F375A"/>
    <w:rsid w:val="003F4506"/>
    <w:rsid w:val="003F4660"/>
    <w:rsid w:val="003F494D"/>
    <w:rsid w:val="003F5F38"/>
    <w:rsid w:val="003F6CA9"/>
    <w:rsid w:val="003F6E5E"/>
    <w:rsid w:val="003F7670"/>
    <w:rsid w:val="003F79B8"/>
    <w:rsid w:val="003F7B3E"/>
    <w:rsid w:val="004015E6"/>
    <w:rsid w:val="004019C0"/>
    <w:rsid w:val="00401E51"/>
    <w:rsid w:val="00402EC4"/>
    <w:rsid w:val="00402F03"/>
    <w:rsid w:val="004051C9"/>
    <w:rsid w:val="004062DF"/>
    <w:rsid w:val="004064C9"/>
    <w:rsid w:val="0040702C"/>
    <w:rsid w:val="004072FD"/>
    <w:rsid w:val="00407E27"/>
    <w:rsid w:val="004101D0"/>
    <w:rsid w:val="0041121A"/>
    <w:rsid w:val="00411C2A"/>
    <w:rsid w:val="00411EBB"/>
    <w:rsid w:val="00413E42"/>
    <w:rsid w:val="00414C09"/>
    <w:rsid w:val="00414F42"/>
    <w:rsid w:val="00415E3A"/>
    <w:rsid w:val="0041777A"/>
    <w:rsid w:val="00420D14"/>
    <w:rsid w:val="004215CE"/>
    <w:rsid w:val="00421724"/>
    <w:rsid w:val="00421C95"/>
    <w:rsid w:val="00422449"/>
    <w:rsid w:val="00422B7B"/>
    <w:rsid w:val="004234F6"/>
    <w:rsid w:val="004257CC"/>
    <w:rsid w:val="004259A5"/>
    <w:rsid w:val="00425B7E"/>
    <w:rsid w:val="00425E27"/>
    <w:rsid w:val="00425E9E"/>
    <w:rsid w:val="00425F5C"/>
    <w:rsid w:val="00426A05"/>
    <w:rsid w:val="0042725A"/>
    <w:rsid w:val="0043109D"/>
    <w:rsid w:val="00431284"/>
    <w:rsid w:val="00431869"/>
    <w:rsid w:val="00433A75"/>
    <w:rsid w:val="00437B29"/>
    <w:rsid w:val="00441004"/>
    <w:rsid w:val="004418C1"/>
    <w:rsid w:val="004418EA"/>
    <w:rsid w:val="004418EE"/>
    <w:rsid w:val="0044275D"/>
    <w:rsid w:val="004438E3"/>
    <w:rsid w:val="00443E20"/>
    <w:rsid w:val="00444132"/>
    <w:rsid w:val="004446DE"/>
    <w:rsid w:val="00445A25"/>
    <w:rsid w:val="00445BEE"/>
    <w:rsid w:val="00446055"/>
    <w:rsid w:val="00446C7F"/>
    <w:rsid w:val="00447599"/>
    <w:rsid w:val="00447C08"/>
    <w:rsid w:val="00450026"/>
    <w:rsid w:val="00451B06"/>
    <w:rsid w:val="00451EC3"/>
    <w:rsid w:val="00452925"/>
    <w:rsid w:val="0045362F"/>
    <w:rsid w:val="00454B37"/>
    <w:rsid w:val="00456840"/>
    <w:rsid w:val="00460A15"/>
    <w:rsid w:val="00462A22"/>
    <w:rsid w:val="00463224"/>
    <w:rsid w:val="00463E6E"/>
    <w:rsid w:val="00464ED2"/>
    <w:rsid w:val="00465572"/>
    <w:rsid w:val="00467196"/>
    <w:rsid w:val="004704F4"/>
    <w:rsid w:val="004706DA"/>
    <w:rsid w:val="00470C4E"/>
    <w:rsid w:val="004714D4"/>
    <w:rsid w:val="00471EAD"/>
    <w:rsid w:val="004723AC"/>
    <w:rsid w:val="004726EF"/>
    <w:rsid w:val="00472931"/>
    <w:rsid w:val="0047356F"/>
    <w:rsid w:val="00473F77"/>
    <w:rsid w:val="004748BB"/>
    <w:rsid w:val="0047498E"/>
    <w:rsid w:val="00475152"/>
    <w:rsid w:val="00475C43"/>
    <w:rsid w:val="004760E2"/>
    <w:rsid w:val="004770C2"/>
    <w:rsid w:val="004779AC"/>
    <w:rsid w:val="00477D25"/>
    <w:rsid w:val="00481090"/>
    <w:rsid w:val="00481E5D"/>
    <w:rsid w:val="00482432"/>
    <w:rsid w:val="00482AAC"/>
    <w:rsid w:val="00483276"/>
    <w:rsid w:val="00483543"/>
    <w:rsid w:val="00483A99"/>
    <w:rsid w:val="0048523F"/>
    <w:rsid w:val="0048559A"/>
    <w:rsid w:val="00486175"/>
    <w:rsid w:val="0048649C"/>
    <w:rsid w:val="0048738C"/>
    <w:rsid w:val="00487841"/>
    <w:rsid w:val="00487942"/>
    <w:rsid w:val="00487BDB"/>
    <w:rsid w:val="004906BB"/>
    <w:rsid w:val="00491B0E"/>
    <w:rsid w:val="0049254B"/>
    <w:rsid w:val="00492CC7"/>
    <w:rsid w:val="0049303D"/>
    <w:rsid w:val="00493829"/>
    <w:rsid w:val="00493B9A"/>
    <w:rsid w:val="00493BC6"/>
    <w:rsid w:val="00494465"/>
    <w:rsid w:val="004944FB"/>
    <w:rsid w:val="0049464E"/>
    <w:rsid w:val="00494725"/>
    <w:rsid w:val="00494C4F"/>
    <w:rsid w:val="00495CCA"/>
    <w:rsid w:val="00496042"/>
    <w:rsid w:val="004960AD"/>
    <w:rsid w:val="0049645D"/>
    <w:rsid w:val="004966C3"/>
    <w:rsid w:val="00496AEC"/>
    <w:rsid w:val="00497BE6"/>
    <w:rsid w:val="004A0B7B"/>
    <w:rsid w:val="004A0FCC"/>
    <w:rsid w:val="004A1940"/>
    <w:rsid w:val="004A1C61"/>
    <w:rsid w:val="004A242A"/>
    <w:rsid w:val="004A2D5A"/>
    <w:rsid w:val="004A4321"/>
    <w:rsid w:val="004A567C"/>
    <w:rsid w:val="004A6B9C"/>
    <w:rsid w:val="004B041F"/>
    <w:rsid w:val="004B0609"/>
    <w:rsid w:val="004B3095"/>
    <w:rsid w:val="004B3940"/>
    <w:rsid w:val="004B5359"/>
    <w:rsid w:val="004B5BC0"/>
    <w:rsid w:val="004B5C34"/>
    <w:rsid w:val="004B6C39"/>
    <w:rsid w:val="004B72E1"/>
    <w:rsid w:val="004B7B13"/>
    <w:rsid w:val="004C0F3E"/>
    <w:rsid w:val="004C154A"/>
    <w:rsid w:val="004C1DCF"/>
    <w:rsid w:val="004C2735"/>
    <w:rsid w:val="004C3463"/>
    <w:rsid w:val="004C37F9"/>
    <w:rsid w:val="004C3B13"/>
    <w:rsid w:val="004C3B35"/>
    <w:rsid w:val="004C4080"/>
    <w:rsid w:val="004C4773"/>
    <w:rsid w:val="004C4B5E"/>
    <w:rsid w:val="004C4BA9"/>
    <w:rsid w:val="004C5853"/>
    <w:rsid w:val="004C58FE"/>
    <w:rsid w:val="004C67D7"/>
    <w:rsid w:val="004C7568"/>
    <w:rsid w:val="004C7D21"/>
    <w:rsid w:val="004D03C8"/>
    <w:rsid w:val="004D073E"/>
    <w:rsid w:val="004D0F76"/>
    <w:rsid w:val="004D1254"/>
    <w:rsid w:val="004D1949"/>
    <w:rsid w:val="004D254A"/>
    <w:rsid w:val="004D2849"/>
    <w:rsid w:val="004D2D96"/>
    <w:rsid w:val="004D2E47"/>
    <w:rsid w:val="004D4311"/>
    <w:rsid w:val="004D532F"/>
    <w:rsid w:val="004D6856"/>
    <w:rsid w:val="004D69D2"/>
    <w:rsid w:val="004E0688"/>
    <w:rsid w:val="004E093D"/>
    <w:rsid w:val="004E0C94"/>
    <w:rsid w:val="004E0CE8"/>
    <w:rsid w:val="004E130B"/>
    <w:rsid w:val="004E1670"/>
    <w:rsid w:val="004E1A34"/>
    <w:rsid w:val="004E1F5C"/>
    <w:rsid w:val="004E2288"/>
    <w:rsid w:val="004E3744"/>
    <w:rsid w:val="004E441B"/>
    <w:rsid w:val="004E554A"/>
    <w:rsid w:val="004E630E"/>
    <w:rsid w:val="004E6757"/>
    <w:rsid w:val="004E6F7D"/>
    <w:rsid w:val="004E7E02"/>
    <w:rsid w:val="004F1A3C"/>
    <w:rsid w:val="004F1BF7"/>
    <w:rsid w:val="004F1C9C"/>
    <w:rsid w:val="004F1F7B"/>
    <w:rsid w:val="004F1F84"/>
    <w:rsid w:val="004F30C6"/>
    <w:rsid w:val="004F3EB7"/>
    <w:rsid w:val="004F55A9"/>
    <w:rsid w:val="004F61E1"/>
    <w:rsid w:val="004F637F"/>
    <w:rsid w:val="004F6C54"/>
    <w:rsid w:val="004F6D91"/>
    <w:rsid w:val="004F78C4"/>
    <w:rsid w:val="004F7CB6"/>
    <w:rsid w:val="00500103"/>
    <w:rsid w:val="00500C81"/>
    <w:rsid w:val="00500CD4"/>
    <w:rsid w:val="00500F30"/>
    <w:rsid w:val="00501478"/>
    <w:rsid w:val="00503609"/>
    <w:rsid w:val="005036A1"/>
    <w:rsid w:val="00504920"/>
    <w:rsid w:val="00504CA7"/>
    <w:rsid w:val="00505B0C"/>
    <w:rsid w:val="0050620E"/>
    <w:rsid w:val="005073BC"/>
    <w:rsid w:val="00507B53"/>
    <w:rsid w:val="00510048"/>
    <w:rsid w:val="005103CE"/>
    <w:rsid w:val="00513738"/>
    <w:rsid w:val="00514E98"/>
    <w:rsid w:val="00514EC4"/>
    <w:rsid w:val="00515168"/>
    <w:rsid w:val="00515414"/>
    <w:rsid w:val="00515A08"/>
    <w:rsid w:val="005160E9"/>
    <w:rsid w:val="00516423"/>
    <w:rsid w:val="00516E7C"/>
    <w:rsid w:val="005176B2"/>
    <w:rsid w:val="00520758"/>
    <w:rsid w:val="005215B9"/>
    <w:rsid w:val="00521BA0"/>
    <w:rsid w:val="00521E91"/>
    <w:rsid w:val="00522132"/>
    <w:rsid w:val="00522617"/>
    <w:rsid w:val="005236EB"/>
    <w:rsid w:val="005240A0"/>
    <w:rsid w:val="00524138"/>
    <w:rsid w:val="00524D9F"/>
    <w:rsid w:val="005252E3"/>
    <w:rsid w:val="00525F55"/>
    <w:rsid w:val="00526A1A"/>
    <w:rsid w:val="00533500"/>
    <w:rsid w:val="0053365D"/>
    <w:rsid w:val="0053376A"/>
    <w:rsid w:val="0053407D"/>
    <w:rsid w:val="00534531"/>
    <w:rsid w:val="005378E6"/>
    <w:rsid w:val="00540922"/>
    <w:rsid w:val="005432D5"/>
    <w:rsid w:val="0054362F"/>
    <w:rsid w:val="00543DCC"/>
    <w:rsid w:val="00543F9B"/>
    <w:rsid w:val="00544638"/>
    <w:rsid w:val="00544EA9"/>
    <w:rsid w:val="005457D9"/>
    <w:rsid w:val="00545807"/>
    <w:rsid w:val="005469A2"/>
    <w:rsid w:val="00546BA6"/>
    <w:rsid w:val="005473BB"/>
    <w:rsid w:val="00550706"/>
    <w:rsid w:val="0055186B"/>
    <w:rsid w:val="00551DE1"/>
    <w:rsid w:val="005531D4"/>
    <w:rsid w:val="00553552"/>
    <w:rsid w:val="00554E97"/>
    <w:rsid w:val="005556FA"/>
    <w:rsid w:val="00555739"/>
    <w:rsid w:val="00555929"/>
    <w:rsid w:val="005560C6"/>
    <w:rsid w:val="005569A1"/>
    <w:rsid w:val="0055768F"/>
    <w:rsid w:val="00557A02"/>
    <w:rsid w:val="00557F59"/>
    <w:rsid w:val="00561C12"/>
    <w:rsid w:val="00561C80"/>
    <w:rsid w:val="00562447"/>
    <w:rsid w:val="00562ED3"/>
    <w:rsid w:val="005633F6"/>
    <w:rsid w:val="005638B9"/>
    <w:rsid w:val="00565798"/>
    <w:rsid w:val="00566D84"/>
    <w:rsid w:val="00567584"/>
    <w:rsid w:val="00567E3C"/>
    <w:rsid w:val="00567E7A"/>
    <w:rsid w:val="005705FF"/>
    <w:rsid w:val="005708C2"/>
    <w:rsid w:val="005709C2"/>
    <w:rsid w:val="00570BC3"/>
    <w:rsid w:val="00570E13"/>
    <w:rsid w:val="00570E30"/>
    <w:rsid w:val="005718D3"/>
    <w:rsid w:val="0057196B"/>
    <w:rsid w:val="00571D13"/>
    <w:rsid w:val="00571E93"/>
    <w:rsid w:val="005721AF"/>
    <w:rsid w:val="00572A5E"/>
    <w:rsid w:val="00572E8A"/>
    <w:rsid w:val="00573215"/>
    <w:rsid w:val="0057383A"/>
    <w:rsid w:val="00574CD1"/>
    <w:rsid w:val="005762B3"/>
    <w:rsid w:val="00576613"/>
    <w:rsid w:val="00577C68"/>
    <w:rsid w:val="005808C5"/>
    <w:rsid w:val="00580A62"/>
    <w:rsid w:val="005811A3"/>
    <w:rsid w:val="0058123E"/>
    <w:rsid w:val="0058137F"/>
    <w:rsid w:val="00581B0F"/>
    <w:rsid w:val="00582401"/>
    <w:rsid w:val="00582F15"/>
    <w:rsid w:val="00583020"/>
    <w:rsid w:val="00583E18"/>
    <w:rsid w:val="00585D37"/>
    <w:rsid w:val="00586A57"/>
    <w:rsid w:val="00590250"/>
    <w:rsid w:val="005904C2"/>
    <w:rsid w:val="00590E83"/>
    <w:rsid w:val="005914EE"/>
    <w:rsid w:val="00591800"/>
    <w:rsid w:val="00592367"/>
    <w:rsid w:val="005935C6"/>
    <w:rsid w:val="00593F84"/>
    <w:rsid w:val="005940F6"/>
    <w:rsid w:val="00594D1B"/>
    <w:rsid w:val="00594E1A"/>
    <w:rsid w:val="00595062"/>
    <w:rsid w:val="00596C3C"/>
    <w:rsid w:val="005975C4"/>
    <w:rsid w:val="005A010D"/>
    <w:rsid w:val="005A049B"/>
    <w:rsid w:val="005A2AFA"/>
    <w:rsid w:val="005A46A6"/>
    <w:rsid w:val="005A4F13"/>
    <w:rsid w:val="005A5172"/>
    <w:rsid w:val="005A52E9"/>
    <w:rsid w:val="005A68D1"/>
    <w:rsid w:val="005A6CA4"/>
    <w:rsid w:val="005A6D6B"/>
    <w:rsid w:val="005A702E"/>
    <w:rsid w:val="005A77B9"/>
    <w:rsid w:val="005B01AD"/>
    <w:rsid w:val="005B0AB1"/>
    <w:rsid w:val="005B0C11"/>
    <w:rsid w:val="005B14C8"/>
    <w:rsid w:val="005B1ABF"/>
    <w:rsid w:val="005B2371"/>
    <w:rsid w:val="005B2A6A"/>
    <w:rsid w:val="005B3673"/>
    <w:rsid w:val="005B4628"/>
    <w:rsid w:val="005B4D4A"/>
    <w:rsid w:val="005B6146"/>
    <w:rsid w:val="005B695C"/>
    <w:rsid w:val="005B7134"/>
    <w:rsid w:val="005B75CD"/>
    <w:rsid w:val="005C0059"/>
    <w:rsid w:val="005C1AAE"/>
    <w:rsid w:val="005C1D2B"/>
    <w:rsid w:val="005C21BA"/>
    <w:rsid w:val="005C2276"/>
    <w:rsid w:val="005C3828"/>
    <w:rsid w:val="005C3EB5"/>
    <w:rsid w:val="005C4970"/>
    <w:rsid w:val="005C5281"/>
    <w:rsid w:val="005C5D8E"/>
    <w:rsid w:val="005C6021"/>
    <w:rsid w:val="005C6279"/>
    <w:rsid w:val="005C68F6"/>
    <w:rsid w:val="005C748F"/>
    <w:rsid w:val="005C7620"/>
    <w:rsid w:val="005D080F"/>
    <w:rsid w:val="005D0F2B"/>
    <w:rsid w:val="005D138B"/>
    <w:rsid w:val="005D154A"/>
    <w:rsid w:val="005D1944"/>
    <w:rsid w:val="005D19A2"/>
    <w:rsid w:val="005D1DAF"/>
    <w:rsid w:val="005D219A"/>
    <w:rsid w:val="005D2716"/>
    <w:rsid w:val="005D29D3"/>
    <w:rsid w:val="005D3169"/>
    <w:rsid w:val="005D3189"/>
    <w:rsid w:val="005D35F2"/>
    <w:rsid w:val="005D3BFA"/>
    <w:rsid w:val="005D44DF"/>
    <w:rsid w:val="005D6A6E"/>
    <w:rsid w:val="005D6BD0"/>
    <w:rsid w:val="005D743A"/>
    <w:rsid w:val="005D7A5C"/>
    <w:rsid w:val="005E1FB4"/>
    <w:rsid w:val="005E3739"/>
    <w:rsid w:val="005E4B35"/>
    <w:rsid w:val="005E4CE2"/>
    <w:rsid w:val="005E4DD0"/>
    <w:rsid w:val="005E5078"/>
    <w:rsid w:val="005E661E"/>
    <w:rsid w:val="005E6DD1"/>
    <w:rsid w:val="005E7FB6"/>
    <w:rsid w:val="005F07A8"/>
    <w:rsid w:val="005F143E"/>
    <w:rsid w:val="005F2388"/>
    <w:rsid w:val="005F4097"/>
    <w:rsid w:val="005F4AC8"/>
    <w:rsid w:val="005F59CF"/>
    <w:rsid w:val="005F66F7"/>
    <w:rsid w:val="005F74EF"/>
    <w:rsid w:val="005F7960"/>
    <w:rsid w:val="00600D17"/>
    <w:rsid w:val="006010DA"/>
    <w:rsid w:val="006018A9"/>
    <w:rsid w:val="00601A08"/>
    <w:rsid w:val="00603386"/>
    <w:rsid w:val="00603F57"/>
    <w:rsid w:val="00603F5F"/>
    <w:rsid w:val="00603F90"/>
    <w:rsid w:val="0060437B"/>
    <w:rsid w:val="006050C3"/>
    <w:rsid w:val="00605120"/>
    <w:rsid w:val="00605BCD"/>
    <w:rsid w:val="00606375"/>
    <w:rsid w:val="00606388"/>
    <w:rsid w:val="00607000"/>
    <w:rsid w:val="00611525"/>
    <w:rsid w:val="00612711"/>
    <w:rsid w:val="00613228"/>
    <w:rsid w:val="00613588"/>
    <w:rsid w:val="0061379E"/>
    <w:rsid w:val="00614291"/>
    <w:rsid w:val="00614E7A"/>
    <w:rsid w:val="00614F2E"/>
    <w:rsid w:val="006157C9"/>
    <w:rsid w:val="00615895"/>
    <w:rsid w:val="006158B8"/>
    <w:rsid w:val="00615D7F"/>
    <w:rsid w:val="00616317"/>
    <w:rsid w:val="006200A7"/>
    <w:rsid w:val="006201A3"/>
    <w:rsid w:val="00620A88"/>
    <w:rsid w:val="006217E3"/>
    <w:rsid w:val="00622573"/>
    <w:rsid w:val="00623726"/>
    <w:rsid w:val="0062472E"/>
    <w:rsid w:val="00624A48"/>
    <w:rsid w:val="00625117"/>
    <w:rsid w:val="006257F4"/>
    <w:rsid w:val="00630561"/>
    <w:rsid w:val="00630982"/>
    <w:rsid w:val="00630B90"/>
    <w:rsid w:val="00631D22"/>
    <w:rsid w:val="00633AB3"/>
    <w:rsid w:val="00634800"/>
    <w:rsid w:val="0063489E"/>
    <w:rsid w:val="00634A42"/>
    <w:rsid w:val="00635314"/>
    <w:rsid w:val="00635A9B"/>
    <w:rsid w:val="006361B3"/>
    <w:rsid w:val="00636EEA"/>
    <w:rsid w:val="00640BDF"/>
    <w:rsid w:val="006416FC"/>
    <w:rsid w:val="00641B48"/>
    <w:rsid w:val="006430A0"/>
    <w:rsid w:val="0064313C"/>
    <w:rsid w:val="006437E7"/>
    <w:rsid w:val="00643B88"/>
    <w:rsid w:val="006441C4"/>
    <w:rsid w:val="0064439D"/>
    <w:rsid w:val="0064448A"/>
    <w:rsid w:val="00644867"/>
    <w:rsid w:val="00644A87"/>
    <w:rsid w:val="00644D8F"/>
    <w:rsid w:val="00644F23"/>
    <w:rsid w:val="006457FE"/>
    <w:rsid w:val="00645B03"/>
    <w:rsid w:val="00645CC6"/>
    <w:rsid w:val="00647066"/>
    <w:rsid w:val="006517BB"/>
    <w:rsid w:val="006524E4"/>
    <w:rsid w:val="00652614"/>
    <w:rsid w:val="0065263C"/>
    <w:rsid w:val="00652D96"/>
    <w:rsid w:val="006531C3"/>
    <w:rsid w:val="006533E0"/>
    <w:rsid w:val="00655842"/>
    <w:rsid w:val="00656C8D"/>
    <w:rsid w:val="00657664"/>
    <w:rsid w:val="00660D3D"/>
    <w:rsid w:val="0066181D"/>
    <w:rsid w:val="00661C4F"/>
    <w:rsid w:val="00662821"/>
    <w:rsid w:val="00663CB5"/>
    <w:rsid w:val="00664D92"/>
    <w:rsid w:val="00665D98"/>
    <w:rsid w:val="0066642B"/>
    <w:rsid w:val="0066733D"/>
    <w:rsid w:val="006678A7"/>
    <w:rsid w:val="00667ADC"/>
    <w:rsid w:val="00667E65"/>
    <w:rsid w:val="0067164A"/>
    <w:rsid w:val="00671827"/>
    <w:rsid w:val="006735FC"/>
    <w:rsid w:val="00673662"/>
    <w:rsid w:val="006737DB"/>
    <w:rsid w:val="00673CC9"/>
    <w:rsid w:val="00675B12"/>
    <w:rsid w:val="00676486"/>
    <w:rsid w:val="00677279"/>
    <w:rsid w:val="00677BF5"/>
    <w:rsid w:val="00680058"/>
    <w:rsid w:val="00680598"/>
    <w:rsid w:val="00680B87"/>
    <w:rsid w:val="00680ED4"/>
    <w:rsid w:val="0068280A"/>
    <w:rsid w:val="00683FC8"/>
    <w:rsid w:val="006847C6"/>
    <w:rsid w:val="00684C33"/>
    <w:rsid w:val="006851F6"/>
    <w:rsid w:val="00686322"/>
    <w:rsid w:val="00686602"/>
    <w:rsid w:val="00687168"/>
    <w:rsid w:val="006871FA"/>
    <w:rsid w:val="0068740B"/>
    <w:rsid w:val="00687484"/>
    <w:rsid w:val="00687B81"/>
    <w:rsid w:val="0069060A"/>
    <w:rsid w:val="006912B8"/>
    <w:rsid w:val="006912FF"/>
    <w:rsid w:val="006914C5"/>
    <w:rsid w:val="00691E03"/>
    <w:rsid w:val="006940FA"/>
    <w:rsid w:val="00694F91"/>
    <w:rsid w:val="00694FD2"/>
    <w:rsid w:val="00696AFF"/>
    <w:rsid w:val="00697086"/>
    <w:rsid w:val="006973A4"/>
    <w:rsid w:val="00697473"/>
    <w:rsid w:val="00697672"/>
    <w:rsid w:val="00697D89"/>
    <w:rsid w:val="006A0A40"/>
    <w:rsid w:val="006A0D74"/>
    <w:rsid w:val="006A2283"/>
    <w:rsid w:val="006A46A5"/>
    <w:rsid w:val="006A5415"/>
    <w:rsid w:val="006A5737"/>
    <w:rsid w:val="006A5D52"/>
    <w:rsid w:val="006A71EF"/>
    <w:rsid w:val="006A7ABC"/>
    <w:rsid w:val="006A7C3C"/>
    <w:rsid w:val="006B009E"/>
    <w:rsid w:val="006B18A8"/>
    <w:rsid w:val="006B233D"/>
    <w:rsid w:val="006B2349"/>
    <w:rsid w:val="006B3520"/>
    <w:rsid w:val="006B3A94"/>
    <w:rsid w:val="006B3B48"/>
    <w:rsid w:val="006B4757"/>
    <w:rsid w:val="006B498E"/>
    <w:rsid w:val="006B5AE3"/>
    <w:rsid w:val="006B5DA1"/>
    <w:rsid w:val="006C28E7"/>
    <w:rsid w:val="006C2FC4"/>
    <w:rsid w:val="006C3E33"/>
    <w:rsid w:val="006C4C76"/>
    <w:rsid w:val="006C52C5"/>
    <w:rsid w:val="006C5ABD"/>
    <w:rsid w:val="006C5C24"/>
    <w:rsid w:val="006C6157"/>
    <w:rsid w:val="006C6CA6"/>
    <w:rsid w:val="006C72CF"/>
    <w:rsid w:val="006C7356"/>
    <w:rsid w:val="006D0253"/>
    <w:rsid w:val="006D05D5"/>
    <w:rsid w:val="006D07F6"/>
    <w:rsid w:val="006D0E50"/>
    <w:rsid w:val="006D1086"/>
    <w:rsid w:val="006D1E1D"/>
    <w:rsid w:val="006D463B"/>
    <w:rsid w:val="006D563B"/>
    <w:rsid w:val="006D5ADA"/>
    <w:rsid w:val="006D5AEE"/>
    <w:rsid w:val="006D6908"/>
    <w:rsid w:val="006D7080"/>
    <w:rsid w:val="006D7144"/>
    <w:rsid w:val="006D7563"/>
    <w:rsid w:val="006E084B"/>
    <w:rsid w:val="006E1D05"/>
    <w:rsid w:val="006E1DB7"/>
    <w:rsid w:val="006E3DD5"/>
    <w:rsid w:val="006E40F8"/>
    <w:rsid w:val="006E5474"/>
    <w:rsid w:val="006E5933"/>
    <w:rsid w:val="006E6402"/>
    <w:rsid w:val="006E69BF"/>
    <w:rsid w:val="006E78C0"/>
    <w:rsid w:val="006F0C20"/>
    <w:rsid w:val="006F0C8C"/>
    <w:rsid w:val="006F2E2A"/>
    <w:rsid w:val="006F3777"/>
    <w:rsid w:val="006F46F9"/>
    <w:rsid w:val="006F4BAB"/>
    <w:rsid w:val="006F4DC9"/>
    <w:rsid w:val="006F502C"/>
    <w:rsid w:val="006F5124"/>
    <w:rsid w:val="006F5D3A"/>
    <w:rsid w:val="006F5DC0"/>
    <w:rsid w:val="007004AC"/>
    <w:rsid w:val="007006F5"/>
    <w:rsid w:val="00700A41"/>
    <w:rsid w:val="00700FA5"/>
    <w:rsid w:val="0070172E"/>
    <w:rsid w:val="00701A7D"/>
    <w:rsid w:val="00702083"/>
    <w:rsid w:val="0070280B"/>
    <w:rsid w:val="00702823"/>
    <w:rsid w:val="00702B5F"/>
    <w:rsid w:val="0070388F"/>
    <w:rsid w:val="00703BE9"/>
    <w:rsid w:val="00703D7B"/>
    <w:rsid w:val="007041E4"/>
    <w:rsid w:val="00704F6B"/>
    <w:rsid w:val="007059A0"/>
    <w:rsid w:val="00706156"/>
    <w:rsid w:val="0070665A"/>
    <w:rsid w:val="00707960"/>
    <w:rsid w:val="0071044B"/>
    <w:rsid w:val="007106FD"/>
    <w:rsid w:val="00711130"/>
    <w:rsid w:val="0071152D"/>
    <w:rsid w:val="00712184"/>
    <w:rsid w:val="00713D4E"/>
    <w:rsid w:val="00714587"/>
    <w:rsid w:val="0071458C"/>
    <w:rsid w:val="00715706"/>
    <w:rsid w:val="00716A7C"/>
    <w:rsid w:val="00716ECF"/>
    <w:rsid w:val="007173B0"/>
    <w:rsid w:val="00717AB6"/>
    <w:rsid w:val="00720409"/>
    <w:rsid w:val="007204D3"/>
    <w:rsid w:val="007208E0"/>
    <w:rsid w:val="0072223E"/>
    <w:rsid w:val="0072281F"/>
    <w:rsid w:val="00723575"/>
    <w:rsid w:val="00723F7F"/>
    <w:rsid w:val="00724D15"/>
    <w:rsid w:val="007253FC"/>
    <w:rsid w:val="0072555C"/>
    <w:rsid w:val="00725C6B"/>
    <w:rsid w:val="00725EBC"/>
    <w:rsid w:val="0072670E"/>
    <w:rsid w:val="00727659"/>
    <w:rsid w:val="007276C3"/>
    <w:rsid w:val="00727BE9"/>
    <w:rsid w:val="00730A39"/>
    <w:rsid w:val="007315B1"/>
    <w:rsid w:val="0073188E"/>
    <w:rsid w:val="00731D0D"/>
    <w:rsid w:val="007329D2"/>
    <w:rsid w:val="007336E5"/>
    <w:rsid w:val="007338A0"/>
    <w:rsid w:val="00734205"/>
    <w:rsid w:val="0073442F"/>
    <w:rsid w:val="00735322"/>
    <w:rsid w:val="007368B9"/>
    <w:rsid w:val="00736A2A"/>
    <w:rsid w:val="0073750B"/>
    <w:rsid w:val="00740942"/>
    <w:rsid w:val="00740DBD"/>
    <w:rsid w:val="00740FD3"/>
    <w:rsid w:val="007410DA"/>
    <w:rsid w:val="00741161"/>
    <w:rsid w:val="00742BFB"/>
    <w:rsid w:val="00743B5D"/>
    <w:rsid w:val="00743B6C"/>
    <w:rsid w:val="00743BDB"/>
    <w:rsid w:val="007464C1"/>
    <w:rsid w:val="00746FB8"/>
    <w:rsid w:val="00747051"/>
    <w:rsid w:val="00747332"/>
    <w:rsid w:val="007514D8"/>
    <w:rsid w:val="00752C58"/>
    <w:rsid w:val="00752DA4"/>
    <w:rsid w:val="00753048"/>
    <w:rsid w:val="00755B8E"/>
    <w:rsid w:val="00756531"/>
    <w:rsid w:val="00756C0B"/>
    <w:rsid w:val="00757BF0"/>
    <w:rsid w:val="00760398"/>
    <w:rsid w:val="0076063D"/>
    <w:rsid w:val="00760A47"/>
    <w:rsid w:val="00760D50"/>
    <w:rsid w:val="0076179E"/>
    <w:rsid w:val="00761ED7"/>
    <w:rsid w:val="00763629"/>
    <w:rsid w:val="00763E8A"/>
    <w:rsid w:val="00764E9B"/>
    <w:rsid w:val="00765AF7"/>
    <w:rsid w:val="00765D08"/>
    <w:rsid w:val="007661E4"/>
    <w:rsid w:val="00766EBB"/>
    <w:rsid w:val="0077094B"/>
    <w:rsid w:val="00770FA8"/>
    <w:rsid w:val="007741C7"/>
    <w:rsid w:val="0077423A"/>
    <w:rsid w:val="0077471E"/>
    <w:rsid w:val="00774FD8"/>
    <w:rsid w:val="007750C7"/>
    <w:rsid w:val="00775B97"/>
    <w:rsid w:val="00775C38"/>
    <w:rsid w:val="0077637F"/>
    <w:rsid w:val="007763B5"/>
    <w:rsid w:val="007763F6"/>
    <w:rsid w:val="007824CF"/>
    <w:rsid w:val="00782C8B"/>
    <w:rsid w:val="00783607"/>
    <w:rsid w:val="007838DF"/>
    <w:rsid w:val="00783BA7"/>
    <w:rsid w:val="00783C0D"/>
    <w:rsid w:val="007843F1"/>
    <w:rsid w:val="00784431"/>
    <w:rsid w:val="00784784"/>
    <w:rsid w:val="00784BE6"/>
    <w:rsid w:val="00784E92"/>
    <w:rsid w:val="00784EFC"/>
    <w:rsid w:val="007850F1"/>
    <w:rsid w:val="0078604A"/>
    <w:rsid w:val="00787D15"/>
    <w:rsid w:val="0079102C"/>
    <w:rsid w:val="007912B2"/>
    <w:rsid w:val="007923C6"/>
    <w:rsid w:val="0079253B"/>
    <w:rsid w:val="0079299D"/>
    <w:rsid w:val="0079397B"/>
    <w:rsid w:val="00794F79"/>
    <w:rsid w:val="00796116"/>
    <w:rsid w:val="0079719D"/>
    <w:rsid w:val="007A00C3"/>
    <w:rsid w:val="007A08CA"/>
    <w:rsid w:val="007A3767"/>
    <w:rsid w:val="007A3AAD"/>
    <w:rsid w:val="007A4046"/>
    <w:rsid w:val="007A4079"/>
    <w:rsid w:val="007A5968"/>
    <w:rsid w:val="007A59CF"/>
    <w:rsid w:val="007A5F9F"/>
    <w:rsid w:val="007A61AF"/>
    <w:rsid w:val="007A6F9D"/>
    <w:rsid w:val="007A7240"/>
    <w:rsid w:val="007A7686"/>
    <w:rsid w:val="007A7763"/>
    <w:rsid w:val="007B0069"/>
    <w:rsid w:val="007B0604"/>
    <w:rsid w:val="007B1193"/>
    <w:rsid w:val="007B11F2"/>
    <w:rsid w:val="007B2BB6"/>
    <w:rsid w:val="007B2EDD"/>
    <w:rsid w:val="007B3311"/>
    <w:rsid w:val="007B39B2"/>
    <w:rsid w:val="007B39D6"/>
    <w:rsid w:val="007B3D2C"/>
    <w:rsid w:val="007B479E"/>
    <w:rsid w:val="007B5DBD"/>
    <w:rsid w:val="007B6416"/>
    <w:rsid w:val="007B7A08"/>
    <w:rsid w:val="007C05F0"/>
    <w:rsid w:val="007C0D6B"/>
    <w:rsid w:val="007C17E5"/>
    <w:rsid w:val="007C1883"/>
    <w:rsid w:val="007C1DB8"/>
    <w:rsid w:val="007C337A"/>
    <w:rsid w:val="007C425E"/>
    <w:rsid w:val="007C4924"/>
    <w:rsid w:val="007C60F9"/>
    <w:rsid w:val="007C683F"/>
    <w:rsid w:val="007C720D"/>
    <w:rsid w:val="007D060D"/>
    <w:rsid w:val="007D07B0"/>
    <w:rsid w:val="007D0C49"/>
    <w:rsid w:val="007D0E28"/>
    <w:rsid w:val="007D1401"/>
    <w:rsid w:val="007D16A8"/>
    <w:rsid w:val="007D1CB6"/>
    <w:rsid w:val="007D3346"/>
    <w:rsid w:val="007D3448"/>
    <w:rsid w:val="007D38D4"/>
    <w:rsid w:val="007D3938"/>
    <w:rsid w:val="007D47E0"/>
    <w:rsid w:val="007D4FBD"/>
    <w:rsid w:val="007D59CA"/>
    <w:rsid w:val="007D5BC9"/>
    <w:rsid w:val="007D5CC5"/>
    <w:rsid w:val="007D6A24"/>
    <w:rsid w:val="007D6E52"/>
    <w:rsid w:val="007D6F4B"/>
    <w:rsid w:val="007E09B6"/>
    <w:rsid w:val="007E1810"/>
    <w:rsid w:val="007E2320"/>
    <w:rsid w:val="007E2D2C"/>
    <w:rsid w:val="007E321F"/>
    <w:rsid w:val="007E33AE"/>
    <w:rsid w:val="007E3442"/>
    <w:rsid w:val="007E4329"/>
    <w:rsid w:val="007E4921"/>
    <w:rsid w:val="007E4F20"/>
    <w:rsid w:val="007E51E6"/>
    <w:rsid w:val="007E600E"/>
    <w:rsid w:val="007E616B"/>
    <w:rsid w:val="007E6545"/>
    <w:rsid w:val="007E79FA"/>
    <w:rsid w:val="007F08F8"/>
    <w:rsid w:val="007F132B"/>
    <w:rsid w:val="007F2E73"/>
    <w:rsid w:val="007F2F5D"/>
    <w:rsid w:val="007F38EC"/>
    <w:rsid w:val="007F47ED"/>
    <w:rsid w:val="007F7384"/>
    <w:rsid w:val="007F7854"/>
    <w:rsid w:val="007F7CD4"/>
    <w:rsid w:val="0080001A"/>
    <w:rsid w:val="0080066D"/>
    <w:rsid w:val="00801AD5"/>
    <w:rsid w:val="00801C3E"/>
    <w:rsid w:val="00802443"/>
    <w:rsid w:val="00802658"/>
    <w:rsid w:val="00803926"/>
    <w:rsid w:val="0080489A"/>
    <w:rsid w:val="00804FE9"/>
    <w:rsid w:val="00807C54"/>
    <w:rsid w:val="00810805"/>
    <w:rsid w:val="00810E6C"/>
    <w:rsid w:val="008116EA"/>
    <w:rsid w:val="00811E6B"/>
    <w:rsid w:val="0081295E"/>
    <w:rsid w:val="008134F7"/>
    <w:rsid w:val="00813827"/>
    <w:rsid w:val="00813BB0"/>
    <w:rsid w:val="0081425B"/>
    <w:rsid w:val="008146D8"/>
    <w:rsid w:val="0081508A"/>
    <w:rsid w:val="00815416"/>
    <w:rsid w:val="00815E6A"/>
    <w:rsid w:val="00816609"/>
    <w:rsid w:val="008175E1"/>
    <w:rsid w:val="00820447"/>
    <w:rsid w:val="00820B09"/>
    <w:rsid w:val="00821EB4"/>
    <w:rsid w:val="008223ED"/>
    <w:rsid w:val="008243D1"/>
    <w:rsid w:val="00824675"/>
    <w:rsid w:val="0082528D"/>
    <w:rsid w:val="008272E7"/>
    <w:rsid w:val="00831C73"/>
    <w:rsid w:val="00831C75"/>
    <w:rsid w:val="00831E12"/>
    <w:rsid w:val="0083389F"/>
    <w:rsid w:val="008338B7"/>
    <w:rsid w:val="00834CF7"/>
    <w:rsid w:val="0083524E"/>
    <w:rsid w:val="00835505"/>
    <w:rsid w:val="00836ABE"/>
    <w:rsid w:val="00837926"/>
    <w:rsid w:val="008402F5"/>
    <w:rsid w:val="008430DC"/>
    <w:rsid w:val="00843D71"/>
    <w:rsid w:val="00844B85"/>
    <w:rsid w:val="0084542D"/>
    <w:rsid w:val="008454E9"/>
    <w:rsid w:val="0084583B"/>
    <w:rsid w:val="00846F14"/>
    <w:rsid w:val="008479A2"/>
    <w:rsid w:val="00850ABF"/>
    <w:rsid w:val="00851804"/>
    <w:rsid w:val="0085206E"/>
    <w:rsid w:val="00852FFB"/>
    <w:rsid w:val="008534DD"/>
    <w:rsid w:val="00853899"/>
    <w:rsid w:val="00853A6C"/>
    <w:rsid w:val="0085523E"/>
    <w:rsid w:val="0085643B"/>
    <w:rsid w:val="00860447"/>
    <w:rsid w:val="0086117D"/>
    <w:rsid w:val="00861290"/>
    <w:rsid w:val="00861B62"/>
    <w:rsid w:val="00861DAF"/>
    <w:rsid w:val="00862071"/>
    <w:rsid w:val="00862BB7"/>
    <w:rsid w:val="00862EC0"/>
    <w:rsid w:val="008640B8"/>
    <w:rsid w:val="008640E2"/>
    <w:rsid w:val="008648DA"/>
    <w:rsid w:val="00865326"/>
    <w:rsid w:val="008656CE"/>
    <w:rsid w:val="00867E22"/>
    <w:rsid w:val="00867FAF"/>
    <w:rsid w:val="008702D3"/>
    <w:rsid w:val="00870919"/>
    <w:rsid w:val="00870B87"/>
    <w:rsid w:val="00871F25"/>
    <w:rsid w:val="00873A30"/>
    <w:rsid w:val="0087443F"/>
    <w:rsid w:val="00874469"/>
    <w:rsid w:val="00874FEC"/>
    <w:rsid w:val="008767C5"/>
    <w:rsid w:val="00876EE8"/>
    <w:rsid w:val="00877800"/>
    <w:rsid w:val="00877B7A"/>
    <w:rsid w:val="008816DA"/>
    <w:rsid w:val="00881BB8"/>
    <w:rsid w:val="00882EAC"/>
    <w:rsid w:val="00882F3F"/>
    <w:rsid w:val="0088361B"/>
    <w:rsid w:val="00883C25"/>
    <w:rsid w:val="008846AE"/>
    <w:rsid w:val="00884B80"/>
    <w:rsid w:val="00884CE3"/>
    <w:rsid w:val="0088541C"/>
    <w:rsid w:val="008854D7"/>
    <w:rsid w:val="00885CB4"/>
    <w:rsid w:val="00886452"/>
    <w:rsid w:val="008868D1"/>
    <w:rsid w:val="00886C0D"/>
    <w:rsid w:val="00886EBD"/>
    <w:rsid w:val="00886F57"/>
    <w:rsid w:val="00887D59"/>
    <w:rsid w:val="00890242"/>
    <w:rsid w:val="00892166"/>
    <w:rsid w:val="008922E8"/>
    <w:rsid w:val="00892FA3"/>
    <w:rsid w:val="00893152"/>
    <w:rsid w:val="00893989"/>
    <w:rsid w:val="00893E5C"/>
    <w:rsid w:val="00894697"/>
    <w:rsid w:val="008948F8"/>
    <w:rsid w:val="0089525F"/>
    <w:rsid w:val="0089533C"/>
    <w:rsid w:val="00896149"/>
    <w:rsid w:val="008964DE"/>
    <w:rsid w:val="00896D59"/>
    <w:rsid w:val="00896D5E"/>
    <w:rsid w:val="0089700B"/>
    <w:rsid w:val="0089702D"/>
    <w:rsid w:val="00897F41"/>
    <w:rsid w:val="008A0F75"/>
    <w:rsid w:val="008A1604"/>
    <w:rsid w:val="008A1DEB"/>
    <w:rsid w:val="008A249D"/>
    <w:rsid w:val="008A3292"/>
    <w:rsid w:val="008A4C46"/>
    <w:rsid w:val="008A588F"/>
    <w:rsid w:val="008A6798"/>
    <w:rsid w:val="008A6B0D"/>
    <w:rsid w:val="008A6DAE"/>
    <w:rsid w:val="008A7B3C"/>
    <w:rsid w:val="008B00C3"/>
    <w:rsid w:val="008B03CF"/>
    <w:rsid w:val="008B0DA1"/>
    <w:rsid w:val="008B0FAE"/>
    <w:rsid w:val="008B172F"/>
    <w:rsid w:val="008B216A"/>
    <w:rsid w:val="008B22AA"/>
    <w:rsid w:val="008B3705"/>
    <w:rsid w:val="008B38F9"/>
    <w:rsid w:val="008B4029"/>
    <w:rsid w:val="008B5043"/>
    <w:rsid w:val="008B6670"/>
    <w:rsid w:val="008B7145"/>
    <w:rsid w:val="008C043E"/>
    <w:rsid w:val="008C0E52"/>
    <w:rsid w:val="008C19DA"/>
    <w:rsid w:val="008C302E"/>
    <w:rsid w:val="008C4C30"/>
    <w:rsid w:val="008C5461"/>
    <w:rsid w:val="008C6807"/>
    <w:rsid w:val="008C6AEC"/>
    <w:rsid w:val="008C7591"/>
    <w:rsid w:val="008C75B3"/>
    <w:rsid w:val="008D0B02"/>
    <w:rsid w:val="008D1BD9"/>
    <w:rsid w:val="008D246C"/>
    <w:rsid w:val="008D2B63"/>
    <w:rsid w:val="008D3400"/>
    <w:rsid w:val="008D4B9B"/>
    <w:rsid w:val="008D4ED9"/>
    <w:rsid w:val="008D515E"/>
    <w:rsid w:val="008D5927"/>
    <w:rsid w:val="008D5BFC"/>
    <w:rsid w:val="008D69AF"/>
    <w:rsid w:val="008E05DB"/>
    <w:rsid w:val="008E0B55"/>
    <w:rsid w:val="008E32CA"/>
    <w:rsid w:val="008E3315"/>
    <w:rsid w:val="008E3AD5"/>
    <w:rsid w:val="008E3B17"/>
    <w:rsid w:val="008E6664"/>
    <w:rsid w:val="008E71D0"/>
    <w:rsid w:val="008E743B"/>
    <w:rsid w:val="008F0E80"/>
    <w:rsid w:val="008F1074"/>
    <w:rsid w:val="008F18A1"/>
    <w:rsid w:val="008F2CE5"/>
    <w:rsid w:val="008F47F6"/>
    <w:rsid w:val="008F53D1"/>
    <w:rsid w:val="008F5477"/>
    <w:rsid w:val="008F54F6"/>
    <w:rsid w:val="008F5565"/>
    <w:rsid w:val="008F56E2"/>
    <w:rsid w:val="008F5794"/>
    <w:rsid w:val="008F6DAB"/>
    <w:rsid w:val="008F7300"/>
    <w:rsid w:val="008F76A5"/>
    <w:rsid w:val="008F777B"/>
    <w:rsid w:val="008F7EA9"/>
    <w:rsid w:val="009001B2"/>
    <w:rsid w:val="00900B2E"/>
    <w:rsid w:val="0090149C"/>
    <w:rsid w:val="00901DC8"/>
    <w:rsid w:val="00902114"/>
    <w:rsid w:val="00902FF8"/>
    <w:rsid w:val="00903EB6"/>
    <w:rsid w:val="00903F0B"/>
    <w:rsid w:val="009052C3"/>
    <w:rsid w:val="009061B9"/>
    <w:rsid w:val="00906280"/>
    <w:rsid w:val="00906599"/>
    <w:rsid w:val="00906C6C"/>
    <w:rsid w:val="00907E5C"/>
    <w:rsid w:val="00907E95"/>
    <w:rsid w:val="009103CF"/>
    <w:rsid w:val="00910B10"/>
    <w:rsid w:val="00911340"/>
    <w:rsid w:val="00911982"/>
    <w:rsid w:val="00912B63"/>
    <w:rsid w:val="0091354D"/>
    <w:rsid w:val="0091418F"/>
    <w:rsid w:val="00914879"/>
    <w:rsid w:val="0091490C"/>
    <w:rsid w:val="009160F4"/>
    <w:rsid w:val="009161B7"/>
    <w:rsid w:val="00916226"/>
    <w:rsid w:val="00916D5B"/>
    <w:rsid w:val="00916DA0"/>
    <w:rsid w:val="00917B5E"/>
    <w:rsid w:val="00920186"/>
    <w:rsid w:val="0092048E"/>
    <w:rsid w:val="00920F94"/>
    <w:rsid w:val="009214D4"/>
    <w:rsid w:val="009221B7"/>
    <w:rsid w:val="00922B9E"/>
    <w:rsid w:val="00923097"/>
    <w:rsid w:val="00923467"/>
    <w:rsid w:val="00923B1D"/>
    <w:rsid w:val="00924002"/>
    <w:rsid w:val="0092528D"/>
    <w:rsid w:val="00925367"/>
    <w:rsid w:val="0092625E"/>
    <w:rsid w:val="00926AB1"/>
    <w:rsid w:val="0092754F"/>
    <w:rsid w:val="00927952"/>
    <w:rsid w:val="00927982"/>
    <w:rsid w:val="00930B50"/>
    <w:rsid w:val="00930C2D"/>
    <w:rsid w:val="00931249"/>
    <w:rsid w:val="00932059"/>
    <w:rsid w:val="0093223A"/>
    <w:rsid w:val="00932597"/>
    <w:rsid w:val="00932BDC"/>
    <w:rsid w:val="00933026"/>
    <w:rsid w:val="00933E12"/>
    <w:rsid w:val="0093467A"/>
    <w:rsid w:val="009347AD"/>
    <w:rsid w:val="00934C1C"/>
    <w:rsid w:val="00935045"/>
    <w:rsid w:val="009350E4"/>
    <w:rsid w:val="00935FA4"/>
    <w:rsid w:val="00937344"/>
    <w:rsid w:val="009373D3"/>
    <w:rsid w:val="0093781B"/>
    <w:rsid w:val="00941773"/>
    <w:rsid w:val="00941CA0"/>
    <w:rsid w:val="0094328B"/>
    <w:rsid w:val="00943387"/>
    <w:rsid w:val="009438A2"/>
    <w:rsid w:val="009443FF"/>
    <w:rsid w:val="00944EB3"/>
    <w:rsid w:val="00945165"/>
    <w:rsid w:val="00946C3B"/>
    <w:rsid w:val="00947377"/>
    <w:rsid w:val="00947953"/>
    <w:rsid w:val="00947A4F"/>
    <w:rsid w:val="00947B93"/>
    <w:rsid w:val="009504E4"/>
    <w:rsid w:val="00950FB2"/>
    <w:rsid w:val="009514D1"/>
    <w:rsid w:val="0095163C"/>
    <w:rsid w:val="009525D6"/>
    <w:rsid w:val="0095324F"/>
    <w:rsid w:val="00953509"/>
    <w:rsid w:val="00953532"/>
    <w:rsid w:val="0095359D"/>
    <w:rsid w:val="00953817"/>
    <w:rsid w:val="009549C9"/>
    <w:rsid w:val="009568A6"/>
    <w:rsid w:val="009570F9"/>
    <w:rsid w:val="0095743B"/>
    <w:rsid w:val="0096051D"/>
    <w:rsid w:val="00960CA0"/>
    <w:rsid w:val="00961000"/>
    <w:rsid w:val="00961EE5"/>
    <w:rsid w:val="00962577"/>
    <w:rsid w:val="0096375E"/>
    <w:rsid w:val="00963960"/>
    <w:rsid w:val="009643C2"/>
    <w:rsid w:val="0096472F"/>
    <w:rsid w:val="00964E70"/>
    <w:rsid w:val="00966DE0"/>
    <w:rsid w:val="009707E6"/>
    <w:rsid w:val="00971CD9"/>
    <w:rsid w:val="00971DEA"/>
    <w:rsid w:val="009722AA"/>
    <w:rsid w:val="009734D4"/>
    <w:rsid w:val="009736A0"/>
    <w:rsid w:val="009736FF"/>
    <w:rsid w:val="00973787"/>
    <w:rsid w:val="00973BE9"/>
    <w:rsid w:val="00974495"/>
    <w:rsid w:val="0097452C"/>
    <w:rsid w:val="00974BEA"/>
    <w:rsid w:val="0097646F"/>
    <w:rsid w:val="00976D6B"/>
    <w:rsid w:val="0097700E"/>
    <w:rsid w:val="00977ABF"/>
    <w:rsid w:val="00980B44"/>
    <w:rsid w:val="00980D4A"/>
    <w:rsid w:val="00981862"/>
    <w:rsid w:val="00981D55"/>
    <w:rsid w:val="00981EA2"/>
    <w:rsid w:val="0098270B"/>
    <w:rsid w:val="0098322E"/>
    <w:rsid w:val="00983796"/>
    <w:rsid w:val="00983957"/>
    <w:rsid w:val="00984890"/>
    <w:rsid w:val="0098498A"/>
    <w:rsid w:val="00984A4A"/>
    <w:rsid w:val="00985F43"/>
    <w:rsid w:val="0098605C"/>
    <w:rsid w:val="00986619"/>
    <w:rsid w:val="00986D17"/>
    <w:rsid w:val="0098771D"/>
    <w:rsid w:val="00987C16"/>
    <w:rsid w:val="00987C9E"/>
    <w:rsid w:val="009907AD"/>
    <w:rsid w:val="00990C77"/>
    <w:rsid w:val="009912FB"/>
    <w:rsid w:val="00992319"/>
    <w:rsid w:val="00993FBD"/>
    <w:rsid w:val="00994EB0"/>
    <w:rsid w:val="0099537C"/>
    <w:rsid w:val="00996B9C"/>
    <w:rsid w:val="00996ED6"/>
    <w:rsid w:val="009A077C"/>
    <w:rsid w:val="009A0986"/>
    <w:rsid w:val="009A35AC"/>
    <w:rsid w:val="009A48D1"/>
    <w:rsid w:val="009A5BF7"/>
    <w:rsid w:val="009A5E3D"/>
    <w:rsid w:val="009A63EB"/>
    <w:rsid w:val="009A754E"/>
    <w:rsid w:val="009A7EAB"/>
    <w:rsid w:val="009B0845"/>
    <w:rsid w:val="009B135C"/>
    <w:rsid w:val="009B15F1"/>
    <w:rsid w:val="009B2545"/>
    <w:rsid w:val="009B2C1B"/>
    <w:rsid w:val="009B3414"/>
    <w:rsid w:val="009B366A"/>
    <w:rsid w:val="009B3739"/>
    <w:rsid w:val="009B4276"/>
    <w:rsid w:val="009B4EF4"/>
    <w:rsid w:val="009B4F1B"/>
    <w:rsid w:val="009B502D"/>
    <w:rsid w:val="009B5375"/>
    <w:rsid w:val="009B5B10"/>
    <w:rsid w:val="009B66AC"/>
    <w:rsid w:val="009B6BB9"/>
    <w:rsid w:val="009B6E6F"/>
    <w:rsid w:val="009B77AE"/>
    <w:rsid w:val="009B7E8D"/>
    <w:rsid w:val="009B7EA3"/>
    <w:rsid w:val="009C04F3"/>
    <w:rsid w:val="009C081F"/>
    <w:rsid w:val="009C247D"/>
    <w:rsid w:val="009C32EF"/>
    <w:rsid w:val="009C50C6"/>
    <w:rsid w:val="009C6541"/>
    <w:rsid w:val="009C70B7"/>
    <w:rsid w:val="009C7D5D"/>
    <w:rsid w:val="009D0870"/>
    <w:rsid w:val="009D0BAF"/>
    <w:rsid w:val="009D1419"/>
    <w:rsid w:val="009D14F4"/>
    <w:rsid w:val="009D2109"/>
    <w:rsid w:val="009D22F1"/>
    <w:rsid w:val="009D2DF2"/>
    <w:rsid w:val="009D308D"/>
    <w:rsid w:val="009D37B9"/>
    <w:rsid w:val="009D3A7B"/>
    <w:rsid w:val="009D471C"/>
    <w:rsid w:val="009D4A1E"/>
    <w:rsid w:val="009D50C4"/>
    <w:rsid w:val="009D52C4"/>
    <w:rsid w:val="009D5372"/>
    <w:rsid w:val="009D601E"/>
    <w:rsid w:val="009D6062"/>
    <w:rsid w:val="009D6C3F"/>
    <w:rsid w:val="009D6E50"/>
    <w:rsid w:val="009E06B3"/>
    <w:rsid w:val="009E1ADF"/>
    <w:rsid w:val="009E2165"/>
    <w:rsid w:val="009E269E"/>
    <w:rsid w:val="009E26CF"/>
    <w:rsid w:val="009E36BA"/>
    <w:rsid w:val="009E401B"/>
    <w:rsid w:val="009E6309"/>
    <w:rsid w:val="009E6798"/>
    <w:rsid w:val="009E70C0"/>
    <w:rsid w:val="009E7685"/>
    <w:rsid w:val="009E7839"/>
    <w:rsid w:val="009E7ABD"/>
    <w:rsid w:val="009E7DFC"/>
    <w:rsid w:val="009F23EE"/>
    <w:rsid w:val="009F2863"/>
    <w:rsid w:val="009F2976"/>
    <w:rsid w:val="009F39B7"/>
    <w:rsid w:val="009F3B7C"/>
    <w:rsid w:val="009F3DEA"/>
    <w:rsid w:val="009F43DE"/>
    <w:rsid w:val="009F49F4"/>
    <w:rsid w:val="009F4A10"/>
    <w:rsid w:val="009F4E3E"/>
    <w:rsid w:val="009F4F96"/>
    <w:rsid w:val="009F5044"/>
    <w:rsid w:val="009F5329"/>
    <w:rsid w:val="009F5A6D"/>
    <w:rsid w:val="009F5DFD"/>
    <w:rsid w:val="009F5F83"/>
    <w:rsid w:val="009F69E7"/>
    <w:rsid w:val="009F706F"/>
    <w:rsid w:val="009F7600"/>
    <w:rsid w:val="009F7B1D"/>
    <w:rsid w:val="00A000FE"/>
    <w:rsid w:val="00A0097C"/>
    <w:rsid w:val="00A01B29"/>
    <w:rsid w:val="00A01C12"/>
    <w:rsid w:val="00A021DE"/>
    <w:rsid w:val="00A02383"/>
    <w:rsid w:val="00A0427F"/>
    <w:rsid w:val="00A073C0"/>
    <w:rsid w:val="00A07A20"/>
    <w:rsid w:val="00A109E9"/>
    <w:rsid w:val="00A10ED4"/>
    <w:rsid w:val="00A118F4"/>
    <w:rsid w:val="00A11C69"/>
    <w:rsid w:val="00A123FF"/>
    <w:rsid w:val="00A132E4"/>
    <w:rsid w:val="00A134C3"/>
    <w:rsid w:val="00A135CB"/>
    <w:rsid w:val="00A1385E"/>
    <w:rsid w:val="00A1420B"/>
    <w:rsid w:val="00A15C84"/>
    <w:rsid w:val="00A15CFF"/>
    <w:rsid w:val="00A1624D"/>
    <w:rsid w:val="00A162C3"/>
    <w:rsid w:val="00A164D5"/>
    <w:rsid w:val="00A1660A"/>
    <w:rsid w:val="00A171EE"/>
    <w:rsid w:val="00A17C4E"/>
    <w:rsid w:val="00A2032D"/>
    <w:rsid w:val="00A20D1D"/>
    <w:rsid w:val="00A2105D"/>
    <w:rsid w:val="00A21943"/>
    <w:rsid w:val="00A21960"/>
    <w:rsid w:val="00A21F17"/>
    <w:rsid w:val="00A22136"/>
    <w:rsid w:val="00A2213A"/>
    <w:rsid w:val="00A22304"/>
    <w:rsid w:val="00A22856"/>
    <w:rsid w:val="00A22D59"/>
    <w:rsid w:val="00A23056"/>
    <w:rsid w:val="00A233D5"/>
    <w:rsid w:val="00A242AF"/>
    <w:rsid w:val="00A246A2"/>
    <w:rsid w:val="00A2696F"/>
    <w:rsid w:val="00A26C55"/>
    <w:rsid w:val="00A27D38"/>
    <w:rsid w:val="00A31EC4"/>
    <w:rsid w:val="00A32828"/>
    <w:rsid w:val="00A32A0C"/>
    <w:rsid w:val="00A34CFA"/>
    <w:rsid w:val="00A35329"/>
    <w:rsid w:val="00A35731"/>
    <w:rsid w:val="00A40236"/>
    <w:rsid w:val="00A40DDA"/>
    <w:rsid w:val="00A4134F"/>
    <w:rsid w:val="00A413A0"/>
    <w:rsid w:val="00A4178E"/>
    <w:rsid w:val="00A42DC9"/>
    <w:rsid w:val="00A4360F"/>
    <w:rsid w:val="00A4382C"/>
    <w:rsid w:val="00A44ED9"/>
    <w:rsid w:val="00A455B2"/>
    <w:rsid w:val="00A4584A"/>
    <w:rsid w:val="00A53411"/>
    <w:rsid w:val="00A53859"/>
    <w:rsid w:val="00A53E26"/>
    <w:rsid w:val="00A55774"/>
    <w:rsid w:val="00A56CDA"/>
    <w:rsid w:val="00A57105"/>
    <w:rsid w:val="00A571BF"/>
    <w:rsid w:val="00A57290"/>
    <w:rsid w:val="00A574C6"/>
    <w:rsid w:val="00A6023D"/>
    <w:rsid w:val="00A60CF5"/>
    <w:rsid w:val="00A61BB2"/>
    <w:rsid w:val="00A62436"/>
    <w:rsid w:val="00A6358C"/>
    <w:rsid w:val="00A639E5"/>
    <w:rsid w:val="00A63B00"/>
    <w:rsid w:val="00A6621F"/>
    <w:rsid w:val="00A66674"/>
    <w:rsid w:val="00A66FF0"/>
    <w:rsid w:val="00A67C2A"/>
    <w:rsid w:val="00A7142D"/>
    <w:rsid w:val="00A72925"/>
    <w:rsid w:val="00A72B2F"/>
    <w:rsid w:val="00A73544"/>
    <w:rsid w:val="00A73981"/>
    <w:rsid w:val="00A73E54"/>
    <w:rsid w:val="00A74017"/>
    <w:rsid w:val="00A74046"/>
    <w:rsid w:val="00A74130"/>
    <w:rsid w:val="00A75A39"/>
    <w:rsid w:val="00A763AD"/>
    <w:rsid w:val="00A76400"/>
    <w:rsid w:val="00A807B7"/>
    <w:rsid w:val="00A8092D"/>
    <w:rsid w:val="00A80C51"/>
    <w:rsid w:val="00A811B4"/>
    <w:rsid w:val="00A81891"/>
    <w:rsid w:val="00A819A4"/>
    <w:rsid w:val="00A81A5D"/>
    <w:rsid w:val="00A81B22"/>
    <w:rsid w:val="00A823F2"/>
    <w:rsid w:val="00A82A9D"/>
    <w:rsid w:val="00A83005"/>
    <w:rsid w:val="00A83EDB"/>
    <w:rsid w:val="00A8401B"/>
    <w:rsid w:val="00A84630"/>
    <w:rsid w:val="00A86844"/>
    <w:rsid w:val="00A86A22"/>
    <w:rsid w:val="00A86BF4"/>
    <w:rsid w:val="00A87CED"/>
    <w:rsid w:val="00A90370"/>
    <w:rsid w:val="00A9123E"/>
    <w:rsid w:val="00A9235E"/>
    <w:rsid w:val="00A929C1"/>
    <w:rsid w:val="00A946AF"/>
    <w:rsid w:val="00A94D5A"/>
    <w:rsid w:val="00A94FA5"/>
    <w:rsid w:val="00A96383"/>
    <w:rsid w:val="00A96720"/>
    <w:rsid w:val="00AA0083"/>
    <w:rsid w:val="00AA1B87"/>
    <w:rsid w:val="00AA1C44"/>
    <w:rsid w:val="00AA225D"/>
    <w:rsid w:val="00AA3A85"/>
    <w:rsid w:val="00AA3DEC"/>
    <w:rsid w:val="00AA4232"/>
    <w:rsid w:val="00AA4B94"/>
    <w:rsid w:val="00AA53F9"/>
    <w:rsid w:val="00AA66C1"/>
    <w:rsid w:val="00AA791E"/>
    <w:rsid w:val="00AA7F15"/>
    <w:rsid w:val="00AB0984"/>
    <w:rsid w:val="00AB12DE"/>
    <w:rsid w:val="00AB1695"/>
    <w:rsid w:val="00AB245C"/>
    <w:rsid w:val="00AB28AB"/>
    <w:rsid w:val="00AB32E8"/>
    <w:rsid w:val="00AB3DF5"/>
    <w:rsid w:val="00AB4E2D"/>
    <w:rsid w:val="00AB52E8"/>
    <w:rsid w:val="00AB59C6"/>
    <w:rsid w:val="00AB5AF6"/>
    <w:rsid w:val="00AB5FBE"/>
    <w:rsid w:val="00AB6846"/>
    <w:rsid w:val="00AB7171"/>
    <w:rsid w:val="00AB718F"/>
    <w:rsid w:val="00AC14A1"/>
    <w:rsid w:val="00AC2CC8"/>
    <w:rsid w:val="00AC339B"/>
    <w:rsid w:val="00AC3661"/>
    <w:rsid w:val="00AC5DF3"/>
    <w:rsid w:val="00AC6A0C"/>
    <w:rsid w:val="00AD0C18"/>
    <w:rsid w:val="00AD1319"/>
    <w:rsid w:val="00AD18C1"/>
    <w:rsid w:val="00AD230A"/>
    <w:rsid w:val="00AD346A"/>
    <w:rsid w:val="00AD362A"/>
    <w:rsid w:val="00AD3A93"/>
    <w:rsid w:val="00AD45A5"/>
    <w:rsid w:val="00AD468F"/>
    <w:rsid w:val="00AD5085"/>
    <w:rsid w:val="00AD579B"/>
    <w:rsid w:val="00AD748B"/>
    <w:rsid w:val="00AE0A48"/>
    <w:rsid w:val="00AE19D4"/>
    <w:rsid w:val="00AE3229"/>
    <w:rsid w:val="00AE3356"/>
    <w:rsid w:val="00AE3BCC"/>
    <w:rsid w:val="00AE3CD3"/>
    <w:rsid w:val="00AE3D61"/>
    <w:rsid w:val="00AE6966"/>
    <w:rsid w:val="00AE727E"/>
    <w:rsid w:val="00AF012B"/>
    <w:rsid w:val="00AF1204"/>
    <w:rsid w:val="00AF12C8"/>
    <w:rsid w:val="00AF1A75"/>
    <w:rsid w:val="00AF20C6"/>
    <w:rsid w:val="00AF2C3D"/>
    <w:rsid w:val="00AF2CF9"/>
    <w:rsid w:val="00AF5093"/>
    <w:rsid w:val="00AF6850"/>
    <w:rsid w:val="00AF7520"/>
    <w:rsid w:val="00AF7825"/>
    <w:rsid w:val="00B0068E"/>
    <w:rsid w:val="00B006E9"/>
    <w:rsid w:val="00B01A20"/>
    <w:rsid w:val="00B01F72"/>
    <w:rsid w:val="00B02142"/>
    <w:rsid w:val="00B023BF"/>
    <w:rsid w:val="00B02B92"/>
    <w:rsid w:val="00B02D8F"/>
    <w:rsid w:val="00B04A02"/>
    <w:rsid w:val="00B05B52"/>
    <w:rsid w:val="00B05C2B"/>
    <w:rsid w:val="00B0613F"/>
    <w:rsid w:val="00B061EF"/>
    <w:rsid w:val="00B06244"/>
    <w:rsid w:val="00B06364"/>
    <w:rsid w:val="00B067EA"/>
    <w:rsid w:val="00B07343"/>
    <w:rsid w:val="00B07526"/>
    <w:rsid w:val="00B101BD"/>
    <w:rsid w:val="00B10E90"/>
    <w:rsid w:val="00B111DD"/>
    <w:rsid w:val="00B1137C"/>
    <w:rsid w:val="00B11829"/>
    <w:rsid w:val="00B119AD"/>
    <w:rsid w:val="00B11DA5"/>
    <w:rsid w:val="00B12534"/>
    <w:rsid w:val="00B12970"/>
    <w:rsid w:val="00B13D24"/>
    <w:rsid w:val="00B13E78"/>
    <w:rsid w:val="00B14581"/>
    <w:rsid w:val="00B159E8"/>
    <w:rsid w:val="00B15E5E"/>
    <w:rsid w:val="00B15EFE"/>
    <w:rsid w:val="00B161C3"/>
    <w:rsid w:val="00B162B9"/>
    <w:rsid w:val="00B16520"/>
    <w:rsid w:val="00B16AFB"/>
    <w:rsid w:val="00B16ECD"/>
    <w:rsid w:val="00B17079"/>
    <w:rsid w:val="00B17393"/>
    <w:rsid w:val="00B20345"/>
    <w:rsid w:val="00B21BE6"/>
    <w:rsid w:val="00B22727"/>
    <w:rsid w:val="00B22A64"/>
    <w:rsid w:val="00B243C2"/>
    <w:rsid w:val="00B24537"/>
    <w:rsid w:val="00B2456B"/>
    <w:rsid w:val="00B2481D"/>
    <w:rsid w:val="00B24E97"/>
    <w:rsid w:val="00B25DF7"/>
    <w:rsid w:val="00B27851"/>
    <w:rsid w:val="00B27EEE"/>
    <w:rsid w:val="00B30002"/>
    <w:rsid w:val="00B3042E"/>
    <w:rsid w:val="00B30B38"/>
    <w:rsid w:val="00B31246"/>
    <w:rsid w:val="00B31F1F"/>
    <w:rsid w:val="00B33410"/>
    <w:rsid w:val="00B33667"/>
    <w:rsid w:val="00B33967"/>
    <w:rsid w:val="00B33D10"/>
    <w:rsid w:val="00B34122"/>
    <w:rsid w:val="00B34C14"/>
    <w:rsid w:val="00B34C9F"/>
    <w:rsid w:val="00B355D9"/>
    <w:rsid w:val="00B3645F"/>
    <w:rsid w:val="00B376DC"/>
    <w:rsid w:val="00B379C8"/>
    <w:rsid w:val="00B40E17"/>
    <w:rsid w:val="00B41FFF"/>
    <w:rsid w:val="00B422C4"/>
    <w:rsid w:val="00B4262F"/>
    <w:rsid w:val="00B42715"/>
    <w:rsid w:val="00B43416"/>
    <w:rsid w:val="00B4415A"/>
    <w:rsid w:val="00B44749"/>
    <w:rsid w:val="00B44EB7"/>
    <w:rsid w:val="00B46F61"/>
    <w:rsid w:val="00B46F6B"/>
    <w:rsid w:val="00B470FA"/>
    <w:rsid w:val="00B47389"/>
    <w:rsid w:val="00B47C22"/>
    <w:rsid w:val="00B509E7"/>
    <w:rsid w:val="00B511D0"/>
    <w:rsid w:val="00B51722"/>
    <w:rsid w:val="00B5204D"/>
    <w:rsid w:val="00B533B3"/>
    <w:rsid w:val="00B5418E"/>
    <w:rsid w:val="00B54A4A"/>
    <w:rsid w:val="00B56110"/>
    <w:rsid w:val="00B56A76"/>
    <w:rsid w:val="00B608E7"/>
    <w:rsid w:val="00B63E23"/>
    <w:rsid w:val="00B6465F"/>
    <w:rsid w:val="00B6487F"/>
    <w:rsid w:val="00B651A8"/>
    <w:rsid w:val="00B66889"/>
    <w:rsid w:val="00B67746"/>
    <w:rsid w:val="00B67C32"/>
    <w:rsid w:val="00B7091A"/>
    <w:rsid w:val="00B7187D"/>
    <w:rsid w:val="00B725F7"/>
    <w:rsid w:val="00B72983"/>
    <w:rsid w:val="00B72E42"/>
    <w:rsid w:val="00B72F9A"/>
    <w:rsid w:val="00B74319"/>
    <w:rsid w:val="00B743AF"/>
    <w:rsid w:val="00B751BD"/>
    <w:rsid w:val="00B75850"/>
    <w:rsid w:val="00B75B71"/>
    <w:rsid w:val="00B75FFB"/>
    <w:rsid w:val="00B7675A"/>
    <w:rsid w:val="00B76D71"/>
    <w:rsid w:val="00B8004A"/>
    <w:rsid w:val="00B80759"/>
    <w:rsid w:val="00B80786"/>
    <w:rsid w:val="00B80BB3"/>
    <w:rsid w:val="00B80F3D"/>
    <w:rsid w:val="00B813ED"/>
    <w:rsid w:val="00B821F5"/>
    <w:rsid w:val="00B82B1F"/>
    <w:rsid w:val="00B82D4E"/>
    <w:rsid w:val="00B8338B"/>
    <w:rsid w:val="00B8391E"/>
    <w:rsid w:val="00B84B62"/>
    <w:rsid w:val="00B84F28"/>
    <w:rsid w:val="00B86977"/>
    <w:rsid w:val="00B8700E"/>
    <w:rsid w:val="00B90902"/>
    <w:rsid w:val="00B91BFE"/>
    <w:rsid w:val="00B92057"/>
    <w:rsid w:val="00B925B6"/>
    <w:rsid w:val="00B93A57"/>
    <w:rsid w:val="00B961F2"/>
    <w:rsid w:val="00B96289"/>
    <w:rsid w:val="00B96731"/>
    <w:rsid w:val="00B9710D"/>
    <w:rsid w:val="00BA09ED"/>
    <w:rsid w:val="00BA0E10"/>
    <w:rsid w:val="00BA2783"/>
    <w:rsid w:val="00BA3894"/>
    <w:rsid w:val="00BA3A98"/>
    <w:rsid w:val="00BA3B24"/>
    <w:rsid w:val="00BA4545"/>
    <w:rsid w:val="00BA45D0"/>
    <w:rsid w:val="00BA4B02"/>
    <w:rsid w:val="00BA521F"/>
    <w:rsid w:val="00BA5CCC"/>
    <w:rsid w:val="00BA64AB"/>
    <w:rsid w:val="00BA6697"/>
    <w:rsid w:val="00BB09B8"/>
    <w:rsid w:val="00BB115D"/>
    <w:rsid w:val="00BB1D6F"/>
    <w:rsid w:val="00BB20A0"/>
    <w:rsid w:val="00BB2488"/>
    <w:rsid w:val="00BB2E29"/>
    <w:rsid w:val="00BB365D"/>
    <w:rsid w:val="00BB3C62"/>
    <w:rsid w:val="00BB3DDE"/>
    <w:rsid w:val="00BB42E2"/>
    <w:rsid w:val="00BB4B15"/>
    <w:rsid w:val="00BB5184"/>
    <w:rsid w:val="00BB5322"/>
    <w:rsid w:val="00BB5D97"/>
    <w:rsid w:val="00BB5DC3"/>
    <w:rsid w:val="00BB5EDB"/>
    <w:rsid w:val="00BB6742"/>
    <w:rsid w:val="00BB6CA3"/>
    <w:rsid w:val="00BB6DC8"/>
    <w:rsid w:val="00BB7974"/>
    <w:rsid w:val="00BB7C08"/>
    <w:rsid w:val="00BB7F3D"/>
    <w:rsid w:val="00BC04E0"/>
    <w:rsid w:val="00BC0D2F"/>
    <w:rsid w:val="00BC1621"/>
    <w:rsid w:val="00BC20B3"/>
    <w:rsid w:val="00BC2245"/>
    <w:rsid w:val="00BC2AB0"/>
    <w:rsid w:val="00BC3581"/>
    <w:rsid w:val="00BC3B81"/>
    <w:rsid w:val="00BC490C"/>
    <w:rsid w:val="00BC4E89"/>
    <w:rsid w:val="00BC5778"/>
    <w:rsid w:val="00BC659D"/>
    <w:rsid w:val="00BC65D6"/>
    <w:rsid w:val="00BC6774"/>
    <w:rsid w:val="00BC6FC3"/>
    <w:rsid w:val="00BC790F"/>
    <w:rsid w:val="00BD1527"/>
    <w:rsid w:val="00BD15FE"/>
    <w:rsid w:val="00BD1905"/>
    <w:rsid w:val="00BD3232"/>
    <w:rsid w:val="00BD3471"/>
    <w:rsid w:val="00BD3618"/>
    <w:rsid w:val="00BD4B32"/>
    <w:rsid w:val="00BD70F0"/>
    <w:rsid w:val="00BD7EA3"/>
    <w:rsid w:val="00BE2D92"/>
    <w:rsid w:val="00BE2E61"/>
    <w:rsid w:val="00BE5DA1"/>
    <w:rsid w:val="00BE6CED"/>
    <w:rsid w:val="00BE7E59"/>
    <w:rsid w:val="00BF0578"/>
    <w:rsid w:val="00BF05EB"/>
    <w:rsid w:val="00BF08BE"/>
    <w:rsid w:val="00BF13AB"/>
    <w:rsid w:val="00BF1522"/>
    <w:rsid w:val="00BF3A76"/>
    <w:rsid w:val="00BF411D"/>
    <w:rsid w:val="00BF5D38"/>
    <w:rsid w:val="00BF618B"/>
    <w:rsid w:val="00BF626C"/>
    <w:rsid w:val="00BF679D"/>
    <w:rsid w:val="00BF6B82"/>
    <w:rsid w:val="00BF7FF2"/>
    <w:rsid w:val="00C00B5E"/>
    <w:rsid w:val="00C01BCB"/>
    <w:rsid w:val="00C02972"/>
    <w:rsid w:val="00C02A66"/>
    <w:rsid w:val="00C04ACC"/>
    <w:rsid w:val="00C051F8"/>
    <w:rsid w:val="00C05802"/>
    <w:rsid w:val="00C06804"/>
    <w:rsid w:val="00C07835"/>
    <w:rsid w:val="00C07CB0"/>
    <w:rsid w:val="00C10880"/>
    <w:rsid w:val="00C10AF0"/>
    <w:rsid w:val="00C10CDF"/>
    <w:rsid w:val="00C13DB1"/>
    <w:rsid w:val="00C1436A"/>
    <w:rsid w:val="00C1441E"/>
    <w:rsid w:val="00C14A51"/>
    <w:rsid w:val="00C150B4"/>
    <w:rsid w:val="00C1621B"/>
    <w:rsid w:val="00C16BA4"/>
    <w:rsid w:val="00C172E8"/>
    <w:rsid w:val="00C179C4"/>
    <w:rsid w:val="00C17CFA"/>
    <w:rsid w:val="00C202DB"/>
    <w:rsid w:val="00C2124B"/>
    <w:rsid w:val="00C21EF3"/>
    <w:rsid w:val="00C249DF"/>
    <w:rsid w:val="00C24A34"/>
    <w:rsid w:val="00C24CE6"/>
    <w:rsid w:val="00C24E57"/>
    <w:rsid w:val="00C26754"/>
    <w:rsid w:val="00C26C4A"/>
    <w:rsid w:val="00C27323"/>
    <w:rsid w:val="00C276AD"/>
    <w:rsid w:val="00C279E0"/>
    <w:rsid w:val="00C27A5F"/>
    <w:rsid w:val="00C310DF"/>
    <w:rsid w:val="00C31B43"/>
    <w:rsid w:val="00C31BA9"/>
    <w:rsid w:val="00C31D62"/>
    <w:rsid w:val="00C31D81"/>
    <w:rsid w:val="00C32A72"/>
    <w:rsid w:val="00C32D2A"/>
    <w:rsid w:val="00C3302D"/>
    <w:rsid w:val="00C340EA"/>
    <w:rsid w:val="00C35298"/>
    <w:rsid w:val="00C36090"/>
    <w:rsid w:val="00C363E5"/>
    <w:rsid w:val="00C36D73"/>
    <w:rsid w:val="00C3729B"/>
    <w:rsid w:val="00C37E4C"/>
    <w:rsid w:val="00C4004C"/>
    <w:rsid w:val="00C40AC6"/>
    <w:rsid w:val="00C40AE5"/>
    <w:rsid w:val="00C425D5"/>
    <w:rsid w:val="00C425F2"/>
    <w:rsid w:val="00C42982"/>
    <w:rsid w:val="00C42A8F"/>
    <w:rsid w:val="00C43779"/>
    <w:rsid w:val="00C43BB8"/>
    <w:rsid w:val="00C43E1F"/>
    <w:rsid w:val="00C43F6F"/>
    <w:rsid w:val="00C442DF"/>
    <w:rsid w:val="00C4469C"/>
    <w:rsid w:val="00C44D5A"/>
    <w:rsid w:val="00C44DF9"/>
    <w:rsid w:val="00C45F58"/>
    <w:rsid w:val="00C465C8"/>
    <w:rsid w:val="00C46B05"/>
    <w:rsid w:val="00C46F9B"/>
    <w:rsid w:val="00C475E4"/>
    <w:rsid w:val="00C505CB"/>
    <w:rsid w:val="00C50EE5"/>
    <w:rsid w:val="00C52920"/>
    <w:rsid w:val="00C52DA8"/>
    <w:rsid w:val="00C5310E"/>
    <w:rsid w:val="00C53DBC"/>
    <w:rsid w:val="00C53F58"/>
    <w:rsid w:val="00C5642E"/>
    <w:rsid w:val="00C570BD"/>
    <w:rsid w:val="00C572AE"/>
    <w:rsid w:val="00C575A6"/>
    <w:rsid w:val="00C57856"/>
    <w:rsid w:val="00C578B2"/>
    <w:rsid w:val="00C57FD7"/>
    <w:rsid w:val="00C608CC"/>
    <w:rsid w:val="00C611C9"/>
    <w:rsid w:val="00C61F33"/>
    <w:rsid w:val="00C62130"/>
    <w:rsid w:val="00C62474"/>
    <w:rsid w:val="00C62B7E"/>
    <w:rsid w:val="00C642E8"/>
    <w:rsid w:val="00C655AE"/>
    <w:rsid w:val="00C65901"/>
    <w:rsid w:val="00C661BC"/>
    <w:rsid w:val="00C663CC"/>
    <w:rsid w:val="00C66405"/>
    <w:rsid w:val="00C679D3"/>
    <w:rsid w:val="00C67E56"/>
    <w:rsid w:val="00C70271"/>
    <w:rsid w:val="00C70DD7"/>
    <w:rsid w:val="00C711F9"/>
    <w:rsid w:val="00C725FC"/>
    <w:rsid w:val="00C7265B"/>
    <w:rsid w:val="00C72996"/>
    <w:rsid w:val="00C72B37"/>
    <w:rsid w:val="00C72D7E"/>
    <w:rsid w:val="00C72F61"/>
    <w:rsid w:val="00C7340E"/>
    <w:rsid w:val="00C73631"/>
    <w:rsid w:val="00C755DC"/>
    <w:rsid w:val="00C761C5"/>
    <w:rsid w:val="00C762E4"/>
    <w:rsid w:val="00C76845"/>
    <w:rsid w:val="00C76907"/>
    <w:rsid w:val="00C76CAB"/>
    <w:rsid w:val="00C77024"/>
    <w:rsid w:val="00C8134A"/>
    <w:rsid w:val="00C81CBD"/>
    <w:rsid w:val="00C82D87"/>
    <w:rsid w:val="00C83287"/>
    <w:rsid w:val="00C8371D"/>
    <w:rsid w:val="00C848F7"/>
    <w:rsid w:val="00C861E3"/>
    <w:rsid w:val="00C8735C"/>
    <w:rsid w:val="00C87381"/>
    <w:rsid w:val="00C87C5E"/>
    <w:rsid w:val="00C90CC4"/>
    <w:rsid w:val="00C913DE"/>
    <w:rsid w:val="00C9154A"/>
    <w:rsid w:val="00C91666"/>
    <w:rsid w:val="00C92D4E"/>
    <w:rsid w:val="00C93FC7"/>
    <w:rsid w:val="00C945A7"/>
    <w:rsid w:val="00C945FA"/>
    <w:rsid w:val="00C96EFD"/>
    <w:rsid w:val="00C97793"/>
    <w:rsid w:val="00C97E3F"/>
    <w:rsid w:val="00CA0EAF"/>
    <w:rsid w:val="00CA17E1"/>
    <w:rsid w:val="00CA20A9"/>
    <w:rsid w:val="00CA2791"/>
    <w:rsid w:val="00CA2DF7"/>
    <w:rsid w:val="00CA2F06"/>
    <w:rsid w:val="00CA2FF1"/>
    <w:rsid w:val="00CA3135"/>
    <w:rsid w:val="00CA39AC"/>
    <w:rsid w:val="00CA4037"/>
    <w:rsid w:val="00CA40AE"/>
    <w:rsid w:val="00CB0A46"/>
    <w:rsid w:val="00CB0E68"/>
    <w:rsid w:val="00CB24FB"/>
    <w:rsid w:val="00CB34FE"/>
    <w:rsid w:val="00CB3C81"/>
    <w:rsid w:val="00CB3D85"/>
    <w:rsid w:val="00CB3EA4"/>
    <w:rsid w:val="00CB3FBB"/>
    <w:rsid w:val="00CB4A4C"/>
    <w:rsid w:val="00CB51B4"/>
    <w:rsid w:val="00CB5AA5"/>
    <w:rsid w:val="00CB6023"/>
    <w:rsid w:val="00CB6C02"/>
    <w:rsid w:val="00CB707D"/>
    <w:rsid w:val="00CB766C"/>
    <w:rsid w:val="00CB775C"/>
    <w:rsid w:val="00CC22E5"/>
    <w:rsid w:val="00CC30B7"/>
    <w:rsid w:val="00CC39A9"/>
    <w:rsid w:val="00CC3C64"/>
    <w:rsid w:val="00CC40EA"/>
    <w:rsid w:val="00CC57FB"/>
    <w:rsid w:val="00CC5E59"/>
    <w:rsid w:val="00CC64C6"/>
    <w:rsid w:val="00CC67BD"/>
    <w:rsid w:val="00CC717E"/>
    <w:rsid w:val="00CC7774"/>
    <w:rsid w:val="00CC784A"/>
    <w:rsid w:val="00CC7ADF"/>
    <w:rsid w:val="00CD212C"/>
    <w:rsid w:val="00CD2DCE"/>
    <w:rsid w:val="00CD3B12"/>
    <w:rsid w:val="00CD4864"/>
    <w:rsid w:val="00CD53C6"/>
    <w:rsid w:val="00CD5A6D"/>
    <w:rsid w:val="00CD6516"/>
    <w:rsid w:val="00CE0212"/>
    <w:rsid w:val="00CE0C12"/>
    <w:rsid w:val="00CE1007"/>
    <w:rsid w:val="00CE1B26"/>
    <w:rsid w:val="00CE1D08"/>
    <w:rsid w:val="00CE2734"/>
    <w:rsid w:val="00CE292C"/>
    <w:rsid w:val="00CE4C53"/>
    <w:rsid w:val="00CE4F3A"/>
    <w:rsid w:val="00CE5465"/>
    <w:rsid w:val="00CE6207"/>
    <w:rsid w:val="00CE6727"/>
    <w:rsid w:val="00CE7241"/>
    <w:rsid w:val="00CE76BF"/>
    <w:rsid w:val="00CE7FF1"/>
    <w:rsid w:val="00CF0C6F"/>
    <w:rsid w:val="00CF17E2"/>
    <w:rsid w:val="00CF25F1"/>
    <w:rsid w:val="00CF2CBD"/>
    <w:rsid w:val="00CF4781"/>
    <w:rsid w:val="00CF4818"/>
    <w:rsid w:val="00CF49C7"/>
    <w:rsid w:val="00CF4DDA"/>
    <w:rsid w:val="00CF51CB"/>
    <w:rsid w:val="00D006E6"/>
    <w:rsid w:val="00D03571"/>
    <w:rsid w:val="00D03600"/>
    <w:rsid w:val="00D0413E"/>
    <w:rsid w:val="00D04960"/>
    <w:rsid w:val="00D05D57"/>
    <w:rsid w:val="00D065A3"/>
    <w:rsid w:val="00D065B6"/>
    <w:rsid w:val="00D06D37"/>
    <w:rsid w:val="00D10DEB"/>
    <w:rsid w:val="00D11E8F"/>
    <w:rsid w:val="00D129ED"/>
    <w:rsid w:val="00D1320E"/>
    <w:rsid w:val="00D1349B"/>
    <w:rsid w:val="00D13955"/>
    <w:rsid w:val="00D13C6F"/>
    <w:rsid w:val="00D15D72"/>
    <w:rsid w:val="00D163B8"/>
    <w:rsid w:val="00D16655"/>
    <w:rsid w:val="00D168AA"/>
    <w:rsid w:val="00D17102"/>
    <w:rsid w:val="00D17CC2"/>
    <w:rsid w:val="00D20136"/>
    <w:rsid w:val="00D20383"/>
    <w:rsid w:val="00D211FA"/>
    <w:rsid w:val="00D21DE8"/>
    <w:rsid w:val="00D220B7"/>
    <w:rsid w:val="00D2242F"/>
    <w:rsid w:val="00D228D5"/>
    <w:rsid w:val="00D232F1"/>
    <w:rsid w:val="00D2361B"/>
    <w:rsid w:val="00D23724"/>
    <w:rsid w:val="00D239DE"/>
    <w:rsid w:val="00D23C17"/>
    <w:rsid w:val="00D24849"/>
    <w:rsid w:val="00D24C3F"/>
    <w:rsid w:val="00D25441"/>
    <w:rsid w:val="00D255E0"/>
    <w:rsid w:val="00D257B3"/>
    <w:rsid w:val="00D26147"/>
    <w:rsid w:val="00D31548"/>
    <w:rsid w:val="00D318DB"/>
    <w:rsid w:val="00D33890"/>
    <w:rsid w:val="00D33ADB"/>
    <w:rsid w:val="00D33D1E"/>
    <w:rsid w:val="00D356C2"/>
    <w:rsid w:val="00D35D0D"/>
    <w:rsid w:val="00D36A50"/>
    <w:rsid w:val="00D36DC5"/>
    <w:rsid w:val="00D3722D"/>
    <w:rsid w:val="00D37365"/>
    <w:rsid w:val="00D374C6"/>
    <w:rsid w:val="00D37E46"/>
    <w:rsid w:val="00D40C02"/>
    <w:rsid w:val="00D42A44"/>
    <w:rsid w:val="00D435DC"/>
    <w:rsid w:val="00D437B2"/>
    <w:rsid w:val="00D44637"/>
    <w:rsid w:val="00D44857"/>
    <w:rsid w:val="00D45A60"/>
    <w:rsid w:val="00D466C2"/>
    <w:rsid w:val="00D472BB"/>
    <w:rsid w:val="00D474B9"/>
    <w:rsid w:val="00D474DE"/>
    <w:rsid w:val="00D476B1"/>
    <w:rsid w:val="00D5009E"/>
    <w:rsid w:val="00D515F8"/>
    <w:rsid w:val="00D51887"/>
    <w:rsid w:val="00D52775"/>
    <w:rsid w:val="00D53DB6"/>
    <w:rsid w:val="00D54E1D"/>
    <w:rsid w:val="00D55264"/>
    <w:rsid w:val="00D552E5"/>
    <w:rsid w:val="00D5580A"/>
    <w:rsid w:val="00D55E0E"/>
    <w:rsid w:val="00D55F31"/>
    <w:rsid w:val="00D561CA"/>
    <w:rsid w:val="00D57C0F"/>
    <w:rsid w:val="00D601D8"/>
    <w:rsid w:val="00D60310"/>
    <w:rsid w:val="00D60881"/>
    <w:rsid w:val="00D60BF6"/>
    <w:rsid w:val="00D63187"/>
    <w:rsid w:val="00D6580C"/>
    <w:rsid w:val="00D66012"/>
    <w:rsid w:val="00D66D0F"/>
    <w:rsid w:val="00D6734B"/>
    <w:rsid w:val="00D714F3"/>
    <w:rsid w:val="00D71944"/>
    <w:rsid w:val="00D7292B"/>
    <w:rsid w:val="00D73570"/>
    <w:rsid w:val="00D7510A"/>
    <w:rsid w:val="00D75209"/>
    <w:rsid w:val="00D75CB2"/>
    <w:rsid w:val="00D76EB4"/>
    <w:rsid w:val="00D80547"/>
    <w:rsid w:val="00D8277A"/>
    <w:rsid w:val="00D82A11"/>
    <w:rsid w:val="00D82EAE"/>
    <w:rsid w:val="00D8341A"/>
    <w:rsid w:val="00D8361B"/>
    <w:rsid w:val="00D83910"/>
    <w:rsid w:val="00D8684F"/>
    <w:rsid w:val="00D87E75"/>
    <w:rsid w:val="00D90857"/>
    <w:rsid w:val="00D90EAF"/>
    <w:rsid w:val="00D9105C"/>
    <w:rsid w:val="00D91440"/>
    <w:rsid w:val="00D9186B"/>
    <w:rsid w:val="00D92E24"/>
    <w:rsid w:val="00D92F8A"/>
    <w:rsid w:val="00D93463"/>
    <w:rsid w:val="00D9443B"/>
    <w:rsid w:val="00D949B1"/>
    <w:rsid w:val="00D95007"/>
    <w:rsid w:val="00D955A6"/>
    <w:rsid w:val="00D96272"/>
    <w:rsid w:val="00D96846"/>
    <w:rsid w:val="00D97822"/>
    <w:rsid w:val="00DA039C"/>
    <w:rsid w:val="00DA0573"/>
    <w:rsid w:val="00DA1103"/>
    <w:rsid w:val="00DA119F"/>
    <w:rsid w:val="00DA289B"/>
    <w:rsid w:val="00DA2FC3"/>
    <w:rsid w:val="00DA40D2"/>
    <w:rsid w:val="00DA459C"/>
    <w:rsid w:val="00DA45DB"/>
    <w:rsid w:val="00DA4606"/>
    <w:rsid w:val="00DA6054"/>
    <w:rsid w:val="00DA62BC"/>
    <w:rsid w:val="00DB0EC9"/>
    <w:rsid w:val="00DB0F91"/>
    <w:rsid w:val="00DB1753"/>
    <w:rsid w:val="00DB179B"/>
    <w:rsid w:val="00DB369F"/>
    <w:rsid w:val="00DB3900"/>
    <w:rsid w:val="00DB4144"/>
    <w:rsid w:val="00DB4933"/>
    <w:rsid w:val="00DB4A03"/>
    <w:rsid w:val="00DB5062"/>
    <w:rsid w:val="00DB5348"/>
    <w:rsid w:val="00DB5438"/>
    <w:rsid w:val="00DB6E7F"/>
    <w:rsid w:val="00DB6F56"/>
    <w:rsid w:val="00DB7C31"/>
    <w:rsid w:val="00DC093D"/>
    <w:rsid w:val="00DC0E48"/>
    <w:rsid w:val="00DC1A90"/>
    <w:rsid w:val="00DC3945"/>
    <w:rsid w:val="00DC4075"/>
    <w:rsid w:val="00DC605B"/>
    <w:rsid w:val="00DC692C"/>
    <w:rsid w:val="00DC7D28"/>
    <w:rsid w:val="00DD0A02"/>
    <w:rsid w:val="00DD0FB5"/>
    <w:rsid w:val="00DD1E16"/>
    <w:rsid w:val="00DD3073"/>
    <w:rsid w:val="00DD3079"/>
    <w:rsid w:val="00DD31CF"/>
    <w:rsid w:val="00DD3A5F"/>
    <w:rsid w:val="00DD3B29"/>
    <w:rsid w:val="00DD509C"/>
    <w:rsid w:val="00DD5264"/>
    <w:rsid w:val="00DD5E11"/>
    <w:rsid w:val="00DD5E91"/>
    <w:rsid w:val="00DD7500"/>
    <w:rsid w:val="00DD7BD5"/>
    <w:rsid w:val="00DE226B"/>
    <w:rsid w:val="00DE271B"/>
    <w:rsid w:val="00DE4A6C"/>
    <w:rsid w:val="00DE50FC"/>
    <w:rsid w:val="00DE6CB3"/>
    <w:rsid w:val="00DE6F6D"/>
    <w:rsid w:val="00DF00F4"/>
    <w:rsid w:val="00DF0BE6"/>
    <w:rsid w:val="00DF133D"/>
    <w:rsid w:val="00DF19B4"/>
    <w:rsid w:val="00DF277E"/>
    <w:rsid w:val="00DF2CB9"/>
    <w:rsid w:val="00DF3528"/>
    <w:rsid w:val="00DF3BD6"/>
    <w:rsid w:val="00DF3F31"/>
    <w:rsid w:val="00DF51D3"/>
    <w:rsid w:val="00DF52CE"/>
    <w:rsid w:val="00DF571D"/>
    <w:rsid w:val="00DF673C"/>
    <w:rsid w:val="00DF6FF5"/>
    <w:rsid w:val="00E00ABA"/>
    <w:rsid w:val="00E0183F"/>
    <w:rsid w:val="00E02459"/>
    <w:rsid w:val="00E027FB"/>
    <w:rsid w:val="00E03926"/>
    <w:rsid w:val="00E04FB5"/>
    <w:rsid w:val="00E05083"/>
    <w:rsid w:val="00E0579F"/>
    <w:rsid w:val="00E05E70"/>
    <w:rsid w:val="00E064D8"/>
    <w:rsid w:val="00E069A0"/>
    <w:rsid w:val="00E079E2"/>
    <w:rsid w:val="00E07EAF"/>
    <w:rsid w:val="00E11420"/>
    <w:rsid w:val="00E118ED"/>
    <w:rsid w:val="00E124DB"/>
    <w:rsid w:val="00E13477"/>
    <w:rsid w:val="00E15315"/>
    <w:rsid w:val="00E21482"/>
    <w:rsid w:val="00E21F99"/>
    <w:rsid w:val="00E22AF0"/>
    <w:rsid w:val="00E22E88"/>
    <w:rsid w:val="00E230A0"/>
    <w:rsid w:val="00E23FD4"/>
    <w:rsid w:val="00E2467E"/>
    <w:rsid w:val="00E25576"/>
    <w:rsid w:val="00E25D0B"/>
    <w:rsid w:val="00E25FE1"/>
    <w:rsid w:val="00E2602E"/>
    <w:rsid w:val="00E2621B"/>
    <w:rsid w:val="00E26467"/>
    <w:rsid w:val="00E26720"/>
    <w:rsid w:val="00E27615"/>
    <w:rsid w:val="00E27913"/>
    <w:rsid w:val="00E303A9"/>
    <w:rsid w:val="00E308CC"/>
    <w:rsid w:val="00E3150C"/>
    <w:rsid w:val="00E3172E"/>
    <w:rsid w:val="00E324CE"/>
    <w:rsid w:val="00E3388A"/>
    <w:rsid w:val="00E33C0B"/>
    <w:rsid w:val="00E3500D"/>
    <w:rsid w:val="00E353AD"/>
    <w:rsid w:val="00E36741"/>
    <w:rsid w:val="00E37159"/>
    <w:rsid w:val="00E3781B"/>
    <w:rsid w:val="00E37883"/>
    <w:rsid w:val="00E379F7"/>
    <w:rsid w:val="00E37BE8"/>
    <w:rsid w:val="00E41939"/>
    <w:rsid w:val="00E42233"/>
    <w:rsid w:val="00E424E4"/>
    <w:rsid w:val="00E43061"/>
    <w:rsid w:val="00E43BF8"/>
    <w:rsid w:val="00E4421E"/>
    <w:rsid w:val="00E44806"/>
    <w:rsid w:val="00E44C22"/>
    <w:rsid w:val="00E45024"/>
    <w:rsid w:val="00E4507C"/>
    <w:rsid w:val="00E45833"/>
    <w:rsid w:val="00E45A33"/>
    <w:rsid w:val="00E470C4"/>
    <w:rsid w:val="00E47B57"/>
    <w:rsid w:val="00E47F44"/>
    <w:rsid w:val="00E50051"/>
    <w:rsid w:val="00E50A5D"/>
    <w:rsid w:val="00E50B22"/>
    <w:rsid w:val="00E54736"/>
    <w:rsid w:val="00E54B48"/>
    <w:rsid w:val="00E60127"/>
    <w:rsid w:val="00E60983"/>
    <w:rsid w:val="00E60AA9"/>
    <w:rsid w:val="00E61A61"/>
    <w:rsid w:val="00E61EC5"/>
    <w:rsid w:val="00E624E7"/>
    <w:rsid w:val="00E62FF8"/>
    <w:rsid w:val="00E63167"/>
    <w:rsid w:val="00E63963"/>
    <w:rsid w:val="00E6484E"/>
    <w:rsid w:val="00E64BA3"/>
    <w:rsid w:val="00E64D94"/>
    <w:rsid w:val="00E65F6A"/>
    <w:rsid w:val="00E664AA"/>
    <w:rsid w:val="00E66C13"/>
    <w:rsid w:val="00E66F1C"/>
    <w:rsid w:val="00E67640"/>
    <w:rsid w:val="00E67BDE"/>
    <w:rsid w:val="00E67DCB"/>
    <w:rsid w:val="00E707A2"/>
    <w:rsid w:val="00E70B78"/>
    <w:rsid w:val="00E70C23"/>
    <w:rsid w:val="00E70F8C"/>
    <w:rsid w:val="00E71164"/>
    <w:rsid w:val="00E718BF"/>
    <w:rsid w:val="00E72BB7"/>
    <w:rsid w:val="00E72C79"/>
    <w:rsid w:val="00E73158"/>
    <w:rsid w:val="00E739D7"/>
    <w:rsid w:val="00E75A70"/>
    <w:rsid w:val="00E75F22"/>
    <w:rsid w:val="00E76C03"/>
    <w:rsid w:val="00E8024F"/>
    <w:rsid w:val="00E80589"/>
    <w:rsid w:val="00E80CB1"/>
    <w:rsid w:val="00E81463"/>
    <w:rsid w:val="00E814B1"/>
    <w:rsid w:val="00E81B49"/>
    <w:rsid w:val="00E8214A"/>
    <w:rsid w:val="00E827F9"/>
    <w:rsid w:val="00E829A8"/>
    <w:rsid w:val="00E829AA"/>
    <w:rsid w:val="00E832F5"/>
    <w:rsid w:val="00E857A1"/>
    <w:rsid w:val="00E8617B"/>
    <w:rsid w:val="00E86CAF"/>
    <w:rsid w:val="00E878A2"/>
    <w:rsid w:val="00E90672"/>
    <w:rsid w:val="00E91B89"/>
    <w:rsid w:val="00E9342D"/>
    <w:rsid w:val="00E93890"/>
    <w:rsid w:val="00E94605"/>
    <w:rsid w:val="00E953BE"/>
    <w:rsid w:val="00E96180"/>
    <w:rsid w:val="00E9642B"/>
    <w:rsid w:val="00E96825"/>
    <w:rsid w:val="00E96D39"/>
    <w:rsid w:val="00E97892"/>
    <w:rsid w:val="00E97FB5"/>
    <w:rsid w:val="00EA22F9"/>
    <w:rsid w:val="00EA2D11"/>
    <w:rsid w:val="00EA3185"/>
    <w:rsid w:val="00EA3B3C"/>
    <w:rsid w:val="00EA4114"/>
    <w:rsid w:val="00EA4233"/>
    <w:rsid w:val="00EA4376"/>
    <w:rsid w:val="00EA438F"/>
    <w:rsid w:val="00EA50D8"/>
    <w:rsid w:val="00EA54A6"/>
    <w:rsid w:val="00EA5875"/>
    <w:rsid w:val="00EA7ED7"/>
    <w:rsid w:val="00EB0A5C"/>
    <w:rsid w:val="00EB1143"/>
    <w:rsid w:val="00EB137F"/>
    <w:rsid w:val="00EB16DD"/>
    <w:rsid w:val="00EB3193"/>
    <w:rsid w:val="00EB3D2E"/>
    <w:rsid w:val="00EB3F11"/>
    <w:rsid w:val="00EB471C"/>
    <w:rsid w:val="00EB612D"/>
    <w:rsid w:val="00EB79D0"/>
    <w:rsid w:val="00EB7C43"/>
    <w:rsid w:val="00EC0A1A"/>
    <w:rsid w:val="00EC1826"/>
    <w:rsid w:val="00EC22D2"/>
    <w:rsid w:val="00EC3E3A"/>
    <w:rsid w:val="00EC4E2D"/>
    <w:rsid w:val="00EC550A"/>
    <w:rsid w:val="00EC6101"/>
    <w:rsid w:val="00EC6ED7"/>
    <w:rsid w:val="00EC7091"/>
    <w:rsid w:val="00EC79C0"/>
    <w:rsid w:val="00ED0347"/>
    <w:rsid w:val="00ED036A"/>
    <w:rsid w:val="00ED03A6"/>
    <w:rsid w:val="00ED03BE"/>
    <w:rsid w:val="00ED062B"/>
    <w:rsid w:val="00ED0940"/>
    <w:rsid w:val="00ED17B2"/>
    <w:rsid w:val="00ED1848"/>
    <w:rsid w:val="00ED1B6A"/>
    <w:rsid w:val="00ED2B31"/>
    <w:rsid w:val="00ED3A85"/>
    <w:rsid w:val="00ED3BE7"/>
    <w:rsid w:val="00ED4A29"/>
    <w:rsid w:val="00ED4B7D"/>
    <w:rsid w:val="00ED57AB"/>
    <w:rsid w:val="00ED5FD2"/>
    <w:rsid w:val="00ED5FD7"/>
    <w:rsid w:val="00ED64B0"/>
    <w:rsid w:val="00ED6F56"/>
    <w:rsid w:val="00EE0B9E"/>
    <w:rsid w:val="00EE19B3"/>
    <w:rsid w:val="00EE1D78"/>
    <w:rsid w:val="00EE259B"/>
    <w:rsid w:val="00EE2ABC"/>
    <w:rsid w:val="00EE3789"/>
    <w:rsid w:val="00EE3809"/>
    <w:rsid w:val="00EE3EFC"/>
    <w:rsid w:val="00EE41CB"/>
    <w:rsid w:val="00EE69AC"/>
    <w:rsid w:val="00EE7EDB"/>
    <w:rsid w:val="00EF04A0"/>
    <w:rsid w:val="00EF05A6"/>
    <w:rsid w:val="00EF12EA"/>
    <w:rsid w:val="00EF28F7"/>
    <w:rsid w:val="00EF2DB3"/>
    <w:rsid w:val="00EF43A5"/>
    <w:rsid w:val="00EF563F"/>
    <w:rsid w:val="00EF5AB6"/>
    <w:rsid w:val="00EF6B84"/>
    <w:rsid w:val="00EF6D2C"/>
    <w:rsid w:val="00EF7753"/>
    <w:rsid w:val="00EF78DE"/>
    <w:rsid w:val="00EF7C7B"/>
    <w:rsid w:val="00F006B5"/>
    <w:rsid w:val="00F015B8"/>
    <w:rsid w:val="00F01607"/>
    <w:rsid w:val="00F01650"/>
    <w:rsid w:val="00F01968"/>
    <w:rsid w:val="00F0198C"/>
    <w:rsid w:val="00F02159"/>
    <w:rsid w:val="00F02E9D"/>
    <w:rsid w:val="00F0357D"/>
    <w:rsid w:val="00F04945"/>
    <w:rsid w:val="00F049FA"/>
    <w:rsid w:val="00F057A9"/>
    <w:rsid w:val="00F060AD"/>
    <w:rsid w:val="00F0616B"/>
    <w:rsid w:val="00F0654C"/>
    <w:rsid w:val="00F07D07"/>
    <w:rsid w:val="00F101A1"/>
    <w:rsid w:val="00F10342"/>
    <w:rsid w:val="00F1293C"/>
    <w:rsid w:val="00F13863"/>
    <w:rsid w:val="00F13B58"/>
    <w:rsid w:val="00F13F6F"/>
    <w:rsid w:val="00F14556"/>
    <w:rsid w:val="00F165F9"/>
    <w:rsid w:val="00F166B5"/>
    <w:rsid w:val="00F1672A"/>
    <w:rsid w:val="00F16ABB"/>
    <w:rsid w:val="00F16DF8"/>
    <w:rsid w:val="00F17372"/>
    <w:rsid w:val="00F20039"/>
    <w:rsid w:val="00F2045E"/>
    <w:rsid w:val="00F208B9"/>
    <w:rsid w:val="00F21001"/>
    <w:rsid w:val="00F21958"/>
    <w:rsid w:val="00F21AF2"/>
    <w:rsid w:val="00F21B31"/>
    <w:rsid w:val="00F22FD2"/>
    <w:rsid w:val="00F2369C"/>
    <w:rsid w:val="00F2433A"/>
    <w:rsid w:val="00F24E82"/>
    <w:rsid w:val="00F2513A"/>
    <w:rsid w:val="00F26C3D"/>
    <w:rsid w:val="00F31967"/>
    <w:rsid w:val="00F31A9E"/>
    <w:rsid w:val="00F31C71"/>
    <w:rsid w:val="00F3272E"/>
    <w:rsid w:val="00F32D6C"/>
    <w:rsid w:val="00F3358F"/>
    <w:rsid w:val="00F36A65"/>
    <w:rsid w:val="00F36B07"/>
    <w:rsid w:val="00F37A27"/>
    <w:rsid w:val="00F40B5A"/>
    <w:rsid w:val="00F41884"/>
    <w:rsid w:val="00F42ED4"/>
    <w:rsid w:val="00F43C51"/>
    <w:rsid w:val="00F43CBE"/>
    <w:rsid w:val="00F443E4"/>
    <w:rsid w:val="00F45802"/>
    <w:rsid w:val="00F4635A"/>
    <w:rsid w:val="00F469B7"/>
    <w:rsid w:val="00F47C3C"/>
    <w:rsid w:val="00F47E09"/>
    <w:rsid w:val="00F51305"/>
    <w:rsid w:val="00F5134F"/>
    <w:rsid w:val="00F52315"/>
    <w:rsid w:val="00F52614"/>
    <w:rsid w:val="00F529F4"/>
    <w:rsid w:val="00F52BFB"/>
    <w:rsid w:val="00F53B34"/>
    <w:rsid w:val="00F551C9"/>
    <w:rsid w:val="00F553A4"/>
    <w:rsid w:val="00F55E4D"/>
    <w:rsid w:val="00F5623F"/>
    <w:rsid w:val="00F5633C"/>
    <w:rsid w:val="00F56AF2"/>
    <w:rsid w:val="00F56F21"/>
    <w:rsid w:val="00F56F53"/>
    <w:rsid w:val="00F5788B"/>
    <w:rsid w:val="00F60ADE"/>
    <w:rsid w:val="00F610AC"/>
    <w:rsid w:val="00F611A5"/>
    <w:rsid w:val="00F611E0"/>
    <w:rsid w:val="00F62AB9"/>
    <w:rsid w:val="00F6311F"/>
    <w:rsid w:val="00F63293"/>
    <w:rsid w:val="00F64128"/>
    <w:rsid w:val="00F6435D"/>
    <w:rsid w:val="00F64364"/>
    <w:rsid w:val="00F6541F"/>
    <w:rsid w:val="00F658D4"/>
    <w:rsid w:val="00F66A27"/>
    <w:rsid w:val="00F66E12"/>
    <w:rsid w:val="00F6737A"/>
    <w:rsid w:val="00F67DAF"/>
    <w:rsid w:val="00F703A5"/>
    <w:rsid w:val="00F71157"/>
    <w:rsid w:val="00F71DD8"/>
    <w:rsid w:val="00F72449"/>
    <w:rsid w:val="00F73DC1"/>
    <w:rsid w:val="00F74328"/>
    <w:rsid w:val="00F7506F"/>
    <w:rsid w:val="00F758A1"/>
    <w:rsid w:val="00F758D5"/>
    <w:rsid w:val="00F75E12"/>
    <w:rsid w:val="00F7658E"/>
    <w:rsid w:val="00F76968"/>
    <w:rsid w:val="00F76CAE"/>
    <w:rsid w:val="00F779A5"/>
    <w:rsid w:val="00F805A0"/>
    <w:rsid w:val="00F81886"/>
    <w:rsid w:val="00F81EFB"/>
    <w:rsid w:val="00F8239E"/>
    <w:rsid w:val="00F82A4C"/>
    <w:rsid w:val="00F83481"/>
    <w:rsid w:val="00F83F97"/>
    <w:rsid w:val="00F85603"/>
    <w:rsid w:val="00F85D68"/>
    <w:rsid w:val="00F85F74"/>
    <w:rsid w:val="00F86229"/>
    <w:rsid w:val="00F87AAC"/>
    <w:rsid w:val="00F9016E"/>
    <w:rsid w:val="00F90690"/>
    <w:rsid w:val="00F90D39"/>
    <w:rsid w:val="00F90E5C"/>
    <w:rsid w:val="00F9333B"/>
    <w:rsid w:val="00F93716"/>
    <w:rsid w:val="00F938D5"/>
    <w:rsid w:val="00F93C50"/>
    <w:rsid w:val="00F948F9"/>
    <w:rsid w:val="00F94A05"/>
    <w:rsid w:val="00F95027"/>
    <w:rsid w:val="00F9577F"/>
    <w:rsid w:val="00F97155"/>
    <w:rsid w:val="00F97240"/>
    <w:rsid w:val="00F97DE1"/>
    <w:rsid w:val="00FA0954"/>
    <w:rsid w:val="00FA09D7"/>
    <w:rsid w:val="00FA0E1D"/>
    <w:rsid w:val="00FA100F"/>
    <w:rsid w:val="00FA16FB"/>
    <w:rsid w:val="00FA1FA5"/>
    <w:rsid w:val="00FA1FE2"/>
    <w:rsid w:val="00FA221A"/>
    <w:rsid w:val="00FA2D87"/>
    <w:rsid w:val="00FA37FC"/>
    <w:rsid w:val="00FA3956"/>
    <w:rsid w:val="00FA51F7"/>
    <w:rsid w:val="00FA5800"/>
    <w:rsid w:val="00FA5EC0"/>
    <w:rsid w:val="00FA609E"/>
    <w:rsid w:val="00FA6106"/>
    <w:rsid w:val="00FA68BE"/>
    <w:rsid w:val="00FA68C6"/>
    <w:rsid w:val="00FA7E8D"/>
    <w:rsid w:val="00FB06A9"/>
    <w:rsid w:val="00FB06CF"/>
    <w:rsid w:val="00FB189E"/>
    <w:rsid w:val="00FB23A4"/>
    <w:rsid w:val="00FB2BD1"/>
    <w:rsid w:val="00FB354E"/>
    <w:rsid w:val="00FB603F"/>
    <w:rsid w:val="00FB6A48"/>
    <w:rsid w:val="00FB77E7"/>
    <w:rsid w:val="00FB7820"/>
    <w:rsid w:val="00FC0BD1"/>
    <w:rsid w:val="00FC1847"/>
    <w:rsid w:val="00FC19F0"/>
    <w:rsid w:val="00FC3C20"/>
    <w:rsid w:val="00FC4641"/>
    <w:rsid w:val="00FC48A5"/>
    <w:rsid w:val="00FC4955"/>
    <w:rsid w:val="00FC4B08"/>
    <w:rsid w:val="00FC4C50"/>
    <w:rsid w:val="00FC58DA"/>
    <w:rsid w:val="00FC64A7"/>
    <w:rsid w:val="00FC68CA"/>
    <w:rsid w:val="00FC68CB"/>
    <w:rsid w:val="00FC6CAC"/>
    <w:rsid w:val="00FD0652"/>
    <w:rsid w:val="00FD073D"/>
    <w:rsid w:val="00FD0EFD"/>
    <w:rsid w:val="00FD194A"/>
    <w:rsid w:val="00FD35E8"/>
    <w:rsid w:val="00FD3981"/>
    <w:rsid w:val="00FD451E"/>
    <w:rsid w:val="00FD470F"/>
    <w:rsid w:val="00FD56AE"/>
    <w:rsid w:val="00FD594F"/>
    <w:rsid w:val="00FD59CF"/>
    <w:rsid w:val="00FD6FC2"/>
    <w:rsid w:val="00FD7522"/>
    <w:rsid w:val="00FD7B12"/>
    <w:rsid w:val="00FD7BFE"/>
    <w:rsid w:val="00FD7C78"/>
    <w:rsid w:val="00FE1774"/>
    <w:rsid w:val="00FE1969"/>
    <w:rsid w:val="00FE1DF1"/>
    <w:rsid w:val="00FE27E9"/>
    <w:rsid w:val="00FE2BE7"/>
    <w:rsid w:val="00FE2CF1"/>
    <w:rsid w:val="00FE2FC0"/>
    <w:rsid w:val="00FE315A"/>
    <w:rsid w:val="00FE37EA"/>
    <w:rsid w:val="00FE478B"/>
    <w:rsid w:val="00FE5631"/>
    <w:rsid w:val="00FE6A4A"/>
    <w:rsid w:val="00FE7158"/>
    <w:rsid w:val="00FE7242"/>
    <w:rsid w:val="00FE76EB"/>
    <w:rsid w:val="00FF0072"/>
    <w:rsid w:val="00FF040C"/>
    <w:rsid w:val="00FF051C"/>
    <w:rsid w:val="00FF2DD8"/>
    <w:rsid w:val="00FF45F8"/>
    <w:rsid w:val="00FF4D01"/>
    <w:rsid w:val="00FF619D"/>
    <w:rsid w:val="00FF65BF"/>
    <w:rsid w:val="00FF77CC"/>
    <w:rsid w:val="00FF7D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C7BEF57"/>
  <w15:docId w15:val="{F6D24F25-7065-4EE5-B871-EAD235CF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A1604"/>
    <w:pPr>
      <w:jc w:val="both"/>
    </w:pPr>
    <w:rPr>
      <w:rFonts w:asciiTheme="minorHAnsi" w:hAnsiTheme="minorHAnsi"/>
      <w:sz w:val="24"/>
    </w:rPr>
  </w:style>
  <w:style w:type="paragraph" w:styleId="Nadpis1">
    <w:name w:val="heading 1"/>
    <w:aliases w:val="Nadpis 1 Char,vlevo 18b."/>
    <w:basedOn w:val="Normln"/>
    <w:next w:val="Normln"/>
    <w:uiPriority w:val="9"/>
    <w:qFormat/>
    <w:rsid w:val="00E37883"/>
    <w:pPr>
      <w:keepNext/>
      <w:outlineLvl w:val="0"/>
    </w:pPr>
    <w:rPr>
      <w:b/>
      <w:bCs/>
      <w:sz w:val="28"/>
      <w:szCs w:val="34"/>
      <w:u w:val="single"/>
    </w:rPr>
  </w:style>
  <w:style w:type="paragraph" w:styleId="Nadpis2">
    <w:name w:val="heading 2"/>
    <w:aliases w:val="H2,POŘ-Nadpis 2,vlevo 16b."/>
    <w:basedOn w:val="Normln"/>
    <w:next w:val="Normln"/>
    <w:link w:val="Nadpis2Char"/>
    <w:uiPriority w:val="9"/>
    <w:qFormat/>
    <w:rsid w:val="00445CE4"/>
    <w:pPr>
      <w:keepNext/>
      <w:autoSpaceDE w:val="0"/>
      <w:autoSpaceDN w:val="0"/>
      <w:adjustRightInd w:val="0"/>
      <w:outlineLvl w:val="1"/>
    </w:pPr>
    <w:rPr>
      <w:rFonts w:eastAsia="SimSun"/>
      <w:b/>
    </w:rPr>
  </w:style>
  <w:style w:type="paragraph" w:styleId="Nadpis3">
    <w:name w:val="heading 3"/>
    <w:aliases w:val="H3,vlevo 14b."/>
    <w:basedOn w:val="Normln"/>
    <w:next w:val="Normln"/>
    <w:link w:val="Nadpis3Char"/>
    <w:uiPriority w:val="9"/>
    <w:qFormat/>
    <w:rsid w:val="00445CE4"/>
    <w:pPr>
      <w:keepNext/>
      <w:jc w:val="center"/>
      <w:outlineLvl w:val="2"/>
    </w:pPr>
    <w:rPr>
      <w:b/>
      <w:bCs/>
      <w:color w:val="000000"/>
    </w:rPr>
  </w:style>
  <w:style w:type="paragraph" w:styleId="Nadpis4">
    <w:name w:val="heading 4"/>
    <w:aliases w:val="vlevo 12b."/>
    <w:basedOn w:val="Normln"/>
    <w:next w:val="Normln"/>
    <w:link w:val="Nadpis4Char"/>
    <w:uiPriority w:val="9"/>
    <w:qFormat/>
    <w:rsid w:val="00445CE4"/>
    <w:pPr>
      <w:keepNext/>
      <w:ind w:firstLine="720"/>
      <w:outlineLvl w:val="3"/>
    </w:pPr>
    <w:rPr>
      <w:b/>
      <w:bCs/>
      <w:color w:val="FF0000"/>
    </w:rPr>
  </w:style>
  <w:style w:type="paragraph" w:styleId="Nadpis5">
    <w:name w:val="heading 5"/>
    <w:basedOn w:val="Normln"/>
    <w:next w:val="Normln"/>
    <w:link w:val="Nadpis5Char"/>
    <w:uiPriority w:val="9"/>
    <w:qFormat/>
    <w:rsid w:val="00445CE4"/>
    <w:pPr>
      <w:keepNext/>
      <w:spacing w:before="240" w:after="120"/>
      <w:outlineLvl w:val="4"/>
    </w:pPr>
    <w:rPr>
      <w:b/>
      <w:noProof/>
    </w:rPr>
  </w:style>
  <w:style w:type="paragraph" w:styleId="Nadpis6">
    <w:name w:val="heading 6"/>
    <w:aliases w:val="střed 14b."/>
    <w:basedOn w:val="Normln"/>
    <w:next w:val="Normln"/>
    <w:link w:val="Nadpis6Char"/>
    <w:uiPriority w:val="9"/>
    <w:qFormat/>
    <w:rsid w:val="00445CE4"/>
    <w:pPr>
      <w:keepNext/>
      <w:spacing w:before="360"/>
      <w:ind w:firstLine="720"/>
      <w:outlineLvl w:val="5"/>
    </w:pPr>
    <w:rPr>
      <w:b/>
      <w:bCs/>
      <w:noProof/>
      <w:u w:val="single"/>
    </w:rPr>
  </w:style>
  <w:style w:type="paragraph" w:styleId="Nadpis7">
    <w:name w:val="heading 7"/>
    <w:basedOn w:val="Normln"/>
    <w:next w:val="Normln"/>
    <w:link w:val="Nadpis7Char"/>
    <w:uiPriority w:val="9"/>
    <w:qFormat/>
    <w:rsid w:val="002E15D3"/>
    <w:pPr>
      <w:keepNext/>
      <w:ind w:left="1296" w:hanging="1296"/>
      <w:outlineLvl w:val="6"/>
    </w:pPr>
    <w:rPr>
      <w:rFonts w:ascii="Arial" w:hAnsi="Arial"/>
      <w:b/>
      <w:bCs/>
      <w:color w:val="0000FF"/>
      <w:sz w:val="22"/>
    </w:rPr>
  </w:style>
  <w:style w:type="paragraph" w:styleId="Nadpis8">
    <w:name w:val="heading 8"/>
    <w:basedOn w:val="Normln"/>
    <w:next w:val="Normln"/>
    <w:uiPriority w:val="9"/>
    <w:qFormat/>
    <w:rsid w:val="00445CE4"/>
    <w:pPr>
      <w:keepNext/>
      <w:jc w:val="center"/>
      <w:outlineLvl w:val="7"/>
    </w:pPr>
    <w:rPr>
      <w:b/>
      <w:bCs/>
      <w:noProof/>
    </w:rPr>
  </w:style>
  <w:style w:type="paragraph" w:styleId="Nadpis9">
    <w:name w:val="heading 9"/>
    <w:basedOn w:val="Normln"/>
    <w:next w:val="Normln"/>
    <w:link w:val="Nadpis9Char"/>
    <w:uiPriority w:val="9"/>
    <w:qFormat/>
    <w:rsid w:val="002E15D3"/>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rPr>
  </w:style>
  <w:style w:type="paragraph" w:customStyle="1" w:styleId="odsazen">
    <w:name w:val="odsazený"/>
    <w:basedOn w:val="Normln"/>
    <w:rsid w:val="00445CE4"/>
    <w:pPr>
      <w:spacing w:before="120"/>
      <w:ind w:firstLine="567"/>
    </w:pPr>
    <w:rPr>
      <w:iCs/>
    </w:rPr>
  </w:style>
  <w:style w:type="paragraph" w:styleId="Zkladntext">
    <w:name w:val="Body Text"/>
    <w:aliases w:val="?????1,Body ...,Body Text Char,Body Text Char Char,Body Text Char Char Char,Body Text Char1 Char Char,Body Text Char2 Char,Corps de texte INTSUM,Nornální,Základní text - D,Základní text Char,b,Číslovaný seznam (i),Текст1"/>
    <w:basedOn w:val="Normln"/>
    <w:link w:val="ZkladntextChar1"/>
    <w:rsid w:val="00445CE4"/>
    <w:rPr>
      <w:b/>
      <w:bCs/>
      <w:sz w:val="28"/>
      <w:szCs w:val="28"/>
    </w:rPr>
  </w:style>
  <w:style w:type="paragraph" w:styleId="Zkladntextodsazen2">
    <w:name w:val="Body Text Indent 2"/>
    <w:basedOn w:val="Normln"/>
    <w:semiHidden/>
    <w:rsid w:val="00445CE4"/>
    <w:pPr>
      <w:ind w:left="1080" w:hanging="1080"/>
    </w:pPr>
  </w:style>
  <w:style w:type="paragraph" w:customStyle="1" w:styleId="vod">
    <w:name w:val="Úvod"/>
    <w:basedOn w:val="Normln"/>
    <w:rsid w:val="00445CE4"/>
    <w:pPr>
      <w:keepNext/>
      <w:spacing w:before="360" w:after="240"/>
      <w:outlineLvl w:val="0"/>
    </w:pPr>
    <w:rPr>
      <w:b/>
      <w:bCs/>
      <w:sz w:val="28"/>
      <w:szCs w:val="28"/>
    </w:rPr>
  </w:style>
  <w:style w:type="paragraph" w:customStyle="1" w:styleId="PlainText1">
    <w:name w:val="Plain Text1"/>
    <w:basedOn w:val="Normln"/>
    <w:rsid w:val="00445CE4"/>
    <w:rPr>
      <w:rFonts w:ascii="Courier New" w:hAnsi="Courier New"/>
    </w:rPr>
  </w:style>
  <w:style w:type="paragraph" w:styleId="Zkladntextodsazen">
    <w:name w:val="Body Text Indent"/>
    <w:aliases w:val=" Char Char Char, Char Char Char Char Char, Char Char1, Char Char1 Char Char,Základní text odsazený Char Char,Základní text odsazený Char Char Char Char,Základní text odsazený Char1,Základní text odsazený Char1 Char Char"/>
    <w:basedOn w:val="Normln"/>
    <w:semiHidden/>
    <w:rsid w:val="00445CE4"/>
    <w:pPr>
      <w:ind w:firstLine="720"/>
    </w:pPr>
  </w:style>
  <w:style w:type="paragraph" w:styleId="Zkladntext3">
    <w:name w:val="Body Text 3"/>
    <w:basedOn w:val="Normln"/>
    <w:semiHidden/>
    <w:rsid w:val="00445CE4"/>
    <w:pPr>
      <w:keepNext/>
      <w:keepLines/>
    </w:pPr>
    <w:rPr>
      <w:b/>
      <w:bCs/>
    </w:rPr>
  </w:style>
  <w:style w:type="paragraph" w:styleId="Zkladntext2">
    <w:name w:val="Body Text 2"/>
    <w:basedOn w:val="Normln"/>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textAlignment w:val="baseline"/>
    </w:pPr>
  </w:style>
  <w:style w:type="paragraph" w:styleId="Zpat">
    <w:name w:val="footer"/>
    <w:basedOn w:val="Normln"/>
    <w:link w:val="ZpatChar"/>
    <w:uiPriority w:val="99"/>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link w:val="ZhlavChar"/>
    <w:uiPriority w:val="99"/>
    <w:rsid w:val="00445CE4"/>
    <w:pPr>
      <w:tabs>
        <w:tab w:val="center" w:pos="4536"/>
        <w:tab w:val="right" w:pos="9072"/>
      </w:tabs>
    </w:pPr>
  </w:style>
  <w:style w:type="character" w:styleId="Odkaznakoment">
    <w:name w:val="annotation reference"/>
    <w:basedOn w:val="Standardnpsmoodstavce"/>
    <w:uiPriority w:val="99"/>
    <w:semiHidden/>
    <w:rsid w:val="00445CE4"/>
    <w:rPr>
      <w:sz w:val="16"/>
      <w:szCs w:val="16"/>
    </w:rPr>
  </w:style>
  <w:style w:type="paragraph" w:styleId="Textkomente">
    <w:name w:val="annotation text"/>
    <w:basedOn w:val="Normln"/>
    <w:link w:val="TextkomenteChar"/>
    <w:uiPriority w:val="99"/>
    <w:semiHidden/>
    <w:rsid w:val="00445CE4"/>
  </w:style>
  <w:style w:type="paragraph" w:styleId="Zkladntextodsazen3">
    <w:name w:val="Body Text Indent 3"/>
    <w:basedOn w:val="Normln"/>
    <w:semiHidden/>
    <w:rsid w:val="00445CE4"/>
    <w:pPr>
      <w:tabs>
        <w:tab w:val="center" w:pos="4535"/>
      </w:tabs>
      <w:ind w:left="360"/>
    </w:pPr>
    <w:rPr>
      <w:noProof/>
    </w:rPr>
  </w:style>
  <w:style w:type="paragraph" w:customStyle="1" w:styleId="Styl1">
    <w:name w:val="Styl1"/>
    <w:basedOn w:val="Normln"/>
    <w:rsid w:val="00445CE4"/>
    <w:pPr>
      <w:widowControl w:val="0"/>
      <w:autoSpaceDE w:val="0"/>
      <w:autoSpaceDN w:val="0"/>
      <w:adjustRightInd w:val="0"/>
      <w:spacing w:before="120"/>
      <w:ind w:firstLine="709"/>
    </w:pPr>
    <w:rPr>
      <w:noProof/>
    </w:rPr>
  </w:style>
  <w:style w:type="paragraph" w:customStyle="1" w:styleId="Odstavec">
    <w:name w:val="Odstavec"/>
    <w:basedOn w:val="Normln"/>
    <w:rsid w:val="00445CE4"/>
    <w:pPr>
      <w:spacing w:before="120"/>
      <w:ind w:firstLine="709"/>
    </w:pPr>
    <w:rPr>
      <w:noProof/>
    </w:rPr>
  </w:style>
  <w:style w:type="paragraph" w:styleId="Bezmezer">
    <w:name w:val="No Spacing"/>
    <w:uiPriority w:val="1"/>
    <w:qFormat/>
    <w:rsid w:val="00CF0D65"/>
    <w:rPr>
      <w:sz w:val="24"/>
      <w:szCs w:val="24"/>
      <w:lang w:val="en-US" w:eastAsia="en-US"/>
    </w:rPr>
  </w:style>
  <w:style w:type="paragraph" w:styleId="Odstavecseseznamem">
    <w:name w:val="List Paragraph"/>
    <w:aliases w:val="odrážky,Nadpis pro KZ,List Paragraph_0,můj Nadpis 2"/>
    <w:basedOn w:val="Normln"/>
    <w:link w:val="OdstavecseseznamemChar"/>
    <w:uiPriority w:val="34"/>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aliases w:val="BVI fnr Char Char Char,Char1 Char Char Char,Footnote Char Char Char,Footnote reference number Char Char Char,Footnote symbol Char Char Char,Ref Char Char Char,Times 10 Point Char Char Char,de nota al pie Char Char Char"/>
    <w:basedOn w:val="Standardnpsmoodstavce"/>
    <w:link w:val="BVIfnrCharChar"/>
    <w:uiPriority w:val="99"/>
    <w:rsid w:val="00DC76F7"/>
    <w:rPr>
      <w:vertAlign w:val="superscript"/>
    </w:rPr>
  </w:style>
  <w:style w:type="paragraph" w:styleId="Textpoznpodarou">
    <w:name w:val="footnote text"/>
    <w:aliases w:val="Char,Char Char Char1,Char Char1,FSR footnote,Footnote Text Char1,Fußnote,Geneva 9,Plonk,Schriftart: 10 pt,Schriftart: 8 pt,Schriftart: 9 pt,Text pozn. pod čarou1,Text pozn. pod čarou_martin_ang,f,fn,lábléc,pozn. pod čarou"/>
    <w:basedOn w:val="Normln"/>
    <w:link w:val="TextpoznpodarouChar"/>
    <w:uiPriority w:val="99"/>
    <w:rsid w:val="00DC76F7"/>
  </w:style>
  <w:style w:type="character" w:customStyle="1" w:styleId="TextpoznpodarouChar">
    <w:name w:val="Text pozn. pod čarou Char"/>
    <w:aliases w:val="Char Char,Char Char Char1 Char,Char Char1 Char,FSR footnote Char,Footnote Text Char1 Char,Fußnote Char,Geneva 9 Char,Plonk Char,Schriftart: 10 pt Char,Schriftart: 8 pt Char,Schriftart: 9 pt Char,Text pozn. pod čarou1 Char"/>
    <w:basedOn w:val="Standardnpsmoodstavce"/>
    <w:link w:val="Textpoznpodarou"/>
    <w:uiPriority w:val="99"/>
    <w:rsid w:val="00DC76F7"/>
    <w:rPr>
      <w:lang w:val="en-US" w:eastAsia="en-US"/>
    </w:rPr>
  </w:style>
  <w:style w:type="paragraph" w:styleId="Nzev">
    <w:name w:val="Title"/>
    <w:basedOn w:val="Normln"/>
    <w:link w:val="NzevChar"/>
    <w:uiPriority w:val="99"/>
    <w:qFormat/>
    <w:rsid w:val="00AA4EA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jc w:val="center"/>
    </w:pPr>
    <w:rPr>
      <w:rFonts w:ascii="Times New Roman CE obyeejné" w:hAnsi="Times New Roman CE obyeejné" w:cs="Times New Roman CE obyeejné"/>
      <w:b/>
      <w:bCs/>
      <w:sz w:val="28"/>
      <w:szCs w:val="28"/>
    </w:rPr>
  </w:style>
  <w:style w:type="character" w:customStyle="1" w:styleId="NzevChar">
    <w:name w:val="Název Char"/>
    <w:basedOn w:val="Standardnpsmoodstavce"/>
    <w:link w:val="Nzev"/>
    <w:uiPriority w:val="99"/>
    <w:rsid w:val="00AA4EA4"/>
    <w:rPr>
      <w:rFonts w:ascii="Times New Roman CE obyeejné" w:hAnsi="Times New Roman CE obyeejné" w:cs="Times New Roman CE obyeejné"/>
      <w:b/>
      <w:bCs/>
      <w:sz w:val="28"/>
      <w:szCs w:val="28"/>
    </w:rPr>
  </w:style>
  <w:style w:type="character" w:styleId="Hypertextovodkaz">
    <w:name w:val="Hyperlink"/>
    <w:basedOn w:val="Standardnpsmoodstavce"/>
    <w:uiPriority w:val="99"/>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59"/>
    <w:rsid w:val="00CA6F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rPr>
  </w:style>
  <w:style w:type="paragraph" w:styleId="Textbubliny">
    <w:name w:val="Balloon Text"/>
    <w:basedOn w:val="Normln"/>
    <w:link w:val="TextbublinyChar"/>
    <w:uiPriority w:val="99"/>
    <w:semiHidden/>
    <w:unhideWhenUsed/>
    <w:rsid w:val="001711B8"/>
    <w:rPr>
      <w:rFonts w:ascii="Tahoma" w:hAnsi="Tahoma" w:cs="Tahoma"/>
      <w:sz w:val="16"/>
      <w:szCs w:val="16"/>
    </w:rPr>
  </w:style>
  <w:style w:type="character" w:customStyle="1" w:styleId="TextbublinyChar">
    <w:name w:val="Text bubliny Char"/>
    <w:basedOn w:val="Standardnpsmoodstavce"/>
    <w:link w:val="Textbubliny"/>
    <w:uiPriority w:val="99"/>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pPr>
    <w:rPr>
      <w:rFonts w:ascii="Verdana" w:hAnsi="Verdana"/>
      <w:color w:val="585858"/>
      <w:sz w:val="26"/>
      <w:szCs w:val="26"/>
    </w:rPr>
  </w:style>
  <w:style w:type="paragraph" w:styleId="Normlnweb">
    <w:name w:val="Normal (Web)"/>
    <w:basedOn w:val="Normln"/>
    <w:uiPriority w:val="99"/>
    <w:unhideWhenUsed/>
    <w:rsid w:val="004B5A40"/>
    <w:pPr>
      <w:spacing w:before="100" w:beforeAutospacing="1" w:after="100" w:afterAutospacing="1"/>
    </w:pPr>
  </w:style>
  <w:style w:type="paragraph" w:customStyle="1" w:styleId="Odstavecseseznamem1">
    <w:name w:val="Odstavec se seznamem1"/>
    <w:aliases w:val="Odstavec se seznamem2"/>
    <w:basedOn w:val="Normln"/>
    <w:uiPriority w:val="34"/>
    <w:qFormat/>
    <w:rsid w:val="0055636A"/>
    <w:pPr>
      <w:spacing w:after="200" w:line="276" w:lineRule="auto"/>
      <w:ind w:left="720"/>
      <w:contextualSpacing/>
    </w:pPr>
    <w:rPr>
      <w:rFonts w:ascii="Calibri" w:hAnsi="Calibri"/>
      <w:sz w:val="22"/>
      <w:szCs w:val="22"/>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1"/>
      </w:numPr>
      <w:tabs>
        <w:tab w:val="clear" w:pos="1277"/>
      </w:tabs>
      <w:spacing w:after="120"/>
      <w:ind w:left="2220" w:hanging="360"/>
    </w:pPr>
  </w:style>
  <w:style w:type="paragraph" w:customStyle="1" w:styleId="lnek1">
    <w:name w:val="článek1"/>
    <w:basedOn w:val="Normln"/>
    <w:next w:val="lnek2"/>
    <w:rsid w:val="00E579E8"/>
    <w:pPr>
      <w:keepNext/>
      <w:keepLines/>
      <w:numPr>
        <w:numId w:val="1"/>
      </w:numPr>
      <w:spacing w:before="240" w:after="240"/>
      <w:jc w:val="center"/>
    </w:pPr>
    <w:rPr>
      <w:b/>
      <w:sz w:val="28"/>
      <w:szCs w:val="28"/>
    </w:rPr>
  </w:style>
  <w:style w:type="paragraph" w:customStyle="1" w:styleId="lnek2">
    <w:name w:val="článek2"/>
    <w:basedOn w:val="Normln"/>
    <w:next w:val="lnek3"/>
    <w:rsid w:val="00E579E8"/>
    <w:pPr>
      <w:numPr>
        <w:ilvl w:val="1"/>
        <w:numId w:val="1"/>
      </w:numPr>
      <w:spacing w:before="120" w:after="120"/>
    </w:pPr>
    <w:rPr>
      <w:b/>
    </w:rPr>
  </w:style>
  <w:style w:type="paragraph" w:customStyle="1" w:styleId="NormlnKZ">
    <w:name w:val="Normální KZ"/>
    <w:basedOn w:val="Normln"/>
    <w:rsid w:val="006A7F16"/>
    <w:pPr>
      <w:spacing w:after="120"/>
      <w:ind w:firstLine="425"/>
    </w:pPr>
    <w:rPr>
      <w:sz w:val="22"/>
    </w:rPr>
  </w:style>
  <w:style w:type="paragraph" w:customStyle="1" w:styleId="Fous">
    <w:name w:val="Fous"/>
    <w:basedOn w:val="Normln"/>
    <w:rsid w:val="006A7F16"/>
    <w:pPr>
      <w:numPr>
        <w:numId w:val="2"/>
      </w:numPr>
      <w:tabs>
        <w:tab w:val="clear" w:pos="722"/>
        <w:tab w:val="num" w:pos="360"/>
      </w:tabs>
      <w:ind w:left="360" w:hanging="360"/>
    </w:pPr>
    <w:rPr>
      <w:sz w:val="22"/>
    </w:rPr>
  </w:style>
  <w:style w:type="paragraph" w:customStyle="1" w:styleId="Default">
    <w:name w:val="Default"/>
    <w:rsid w:val="00C50826"/>
    <w:pPr>
      <w:autoSpaceDE w:val="0"/>
      <w:autoSpaceDN w:val="0"/>
      <w:adjustRightInd w:val="0"/>
    </w:pPr>
    <w:rPr>
      <w:rFonts w:ascii="Arial" w:hAnsi="Arial" w:cs="Arial"/>
      <w:color w:val="000000"/>
      <w:sz w:val="24"/>
      <w:szCs w:val="24"/>
      <w:lang w:eastAsia="en-US"/>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A30E79"/>
    <w:pPr>
      <w:spacing w:after="160" w:line="240" w:lineRule="exact"/>
    </w:pPr>
    <w:rPr>
      <w:vertAlign w:val="superscript"/>
    </w:rPr>
  </w:style>
  <w:style w:type="character" w:styleId="Zdraznn">
    <w:name w:val="Emphasis"/>
    <w:basedOn w:val="Standardnpsmoodstavce"/>
    <w:uiPriority w:val="20"/>
    <w:qFormat/>
    <w:rsid w:val="00524340"/>
    <w:rPr>
      <w:b/>
      <w:bCs/>
      <w:i w:val="0"/>
      <w:iCs w:val="0"/>
    </w:rPr>
  </w:style>
  <w:style w:type="character" w:customStyle="1" w:styleId="st1">
    <w:name w:val="st1"/>
    <w:basedOn w:val="Standardnpsmoodstavce"/>
    <w:rsid w:val="004C70C2"/>
  </w:style>
  <w:style w:type="character" w:customStyle="1" w:styleId="cizojazycne">
    <w:name w:val="cizojazycne"/>
    <w:basedOn w:val="Standardnpsmoodstavce"/>
    <w:rsid w:val="004C70C2"/>
  </w:style>
  <w:style w:type="character" w:customStyle="1" w:styleId="red-icon">
    <w:name w:val="red-icon"/>
    <w:basedOn w:val="Standardnpsmoodstavce"/>
    <w:rsid w:val="00A91E58"/>
  </w:style>
  <w:style w:type="character" w:customStyle="1" w:styleId="black-icon">
    <w:name w:val="black-icon"/>
    <w:basedOn w:val="Standardnpsmoodstavce"/>
    <w:rsid w:val="00A91E58"/>
  </w:style>
  <w:style w:type="character" w:customStyle="1" w:styleId="hps">
    <w:name w:val="hps"/>
    <w:basedOn w:val="Standardnpsmoodstavce"/>
    <w:rsid w:val="00692B18"/>
  </w:style>
  <w:style w:type="character" w:customStyle="1" w:styleId="shorttext">
    <w:name w:val="short_text"/>
    <w:basedOn w:val="Standardnpsmoodstavce"/>
    <w:rsid w:val="00692B18"/>
  </w:style>
  <w:style w:type="character" w:customStyle="1" w:styleId="Nadpis3Char">
    <w:name w:val="Nadpis 3 Char"/>
    <w:aliases w:val="H3 Char,vlevo 14b. Char"/>
    <w:basedOn w:val="Standardnpsmoodstavce"/>
    <w:link w:val="Nadpis3"/>
    <w:uiPriority w:val="9"/>
    <w:rsid w:val="00174C92"/>
    <w:rPr>
      <w:b/>
      <w:bCs/>
      <w:color w:val="000000"/>
    </w:rPr>
  </w:style>
  <w:style w:type="character" w:customStyle="1" w:styleId="ZpatChar">
    <w:name w:val="Zápatí Char"/>
    <w:basedOn w:val="Standardnpsmoodstavce"/>
    <w:link w:val="Zpat"/>
    <w:uiPriority w:val="99"/>
    <w:rsid w:val="003D7541"/>
    <w:rPr>
      <w:sz w:val="24"/>
      <w:szCs w:val="24"/>
      <w:lang w:eastAsia="en-US"/>
    </w:rPr>
  </w:style>
  <w:style w:type="character" w:customStyle="1" w:styleId="OdstavecseseznamemChar">
    <w:name w:val="Odstavec se seznamem Char"/>
    <w:aliases w:val="odrážky Char,Nadpis pro KZ Char,List Paragraph_0 Char,můj Nadpis 2 Char"/>
    <w:basedOn w:val="Standardnpsmoodstavce"/>
    <w:link w:val="Odstavecseseznamem"/>
    <w:uiPriority w:val="34"/>
    <w:locked/>
    <w:rsid w:val="00CF2CBD"/>
    <w:rPr>
      <w:sz w:val="24"/>
      <w:szCs w:val="24"/>
      <w:lang w:eastAsia="en-US"/>
    </w:rPr>
  </w:style>
  <w:style w:type="character" w:customStyle="1" w:styleId="Nadpis7Char">
    <w:name w:val="Nadpis 7 Char"/>
    <w:basedOn w:val="Standardnpsmoodstavce"/>
    <w:link w:val="Nadpis7"/>
    <w:uiPriority w:val="9"/>
    <w:rsid w:val="002E15D3"/>
    <w:rPr>
      <w:rFonts w:ascii="Arial" w:hAnsi="Arial"/>
      <w:b/>
      <w:bCs/>
      <w:color w:val="0000FF"/>
      <w:sz w:val="22"/>
      <w:szCs w:val="24"/>
      <w:lang w:eastAsia="en-US"/>
    </w:rPr>
  </w:style>
  <w:style w:type="character" w:customStyle="1" w:styleId="Nadpis9Char">
    <w:name w:val="Nadpis 9 Char"/>
    <w:basedOn w:val="Standardnpsmoodstavce"/>
    <w:link w:val="Nadpis9"/>
    <w:uiPriority w:val="9"/>
    <w:rsid w:val="002E15D3"/>
    <w:rPr>
      <w:rFonts w:ascii="Cambria" w:hAnsi="Cambria"/>
      <w:sz w:val="22"/>
      <w:szCs w:val="22"/>
      <w:lang w:eastAsia="en-US"/>
    </w:rPr>
  </w:style>
  <w:style w:type="character" w:customStyle="1" w:styleId="ZhlavChar">
    <w:name w:val="Záhlaví Char"/>
    <w:basedOn w:val="Standardnpsmoodstavce"/>
    <w:link w:val="Zhlav"/>
    <w:uiPriority w:val="99"/>
    <w:rsid w:val="0024209B"/>
    <w:rPr>
      <w:sz w:val="24"/>
      <w:szCs w:val="24"/>
      <w:lang w:eastAsia="en-US"/>
    </w:rPr>
  </w:style>
  <w:style w:type="character" w:customStyle="1" w:styleId="Nadpis5Char">
    <w:name w:val="Nadpis 5 Char"/>
    <w:basedOn w:val="Standardnpsmoodstavce"/>
    <w:link w:val="Nadpis5"/>
    <w:uiPriority w:val="9"/>
    <w:rsid w:val="006441C4"/>
    <w:rPr>
      <w:b/>
      <w:noProof/>
      <w:sz w:val="24"/>
      <w:szCs w:val="24"/>
      <w:lang w:eastAsia="en-US"/>
    </w:rPr>
  </w:style>
  <w:style w:type="character" w:customStyle="1" w:styleId="TextkomenteChar">
    <w:name w:val="Text komentáře Char"/>
    <w:basedOn w:val="Standardnpsmoodstavce"/>
    <w:link w:val="Textkomente"/>
    <w:uiPriority w:val="99"/>
    <w:semiHidden/>
    <w:rsid w:val="00D75209"/>
    <w:rPr>
      <w:lang w:eastAsia="en-US"/>
    </w:rPr>
  </w:style>
  <w:style w:type="paragraph" w:styleId="Revize">
    <w:name w:val="Revision"/>
    <w:hidden/>
    <w:uiPriority w:val="99"/>
    <w:semiHidden/>
    <w:rsid w:val="00F208B9"/>
    <w:rPr>
      <w:sz w:val="24"/>
      <w:szCs w:val="24"/>
      <w:lang w:eastAsia="en-US"/>
    </w:rPr>
  </w:style>
  <w:style w:type="paragraph" w:styleId="Pedmtkomente">
    <w:name w:val="annotation subject"/>
    <w:basedOn w:val="Textkomente"/>
    <w:next w:val="Textkomente"/>
    <w:link w:val="PedmtkomenteChar"/>
    <w:uiPriority w:val="99"/>
    <w:semiHidden/>
    <w:unhideWhenUsed/>
    <w:rsid w:val="009B2545"/>
    <w:rPr>
      <w:b/>
      <w:bCs/>
    </w:rPr>
  </w:style>
  <w:style w:type="character" w:customStyle="1" w:styleId="PedmtkomenteChar">
    <w:name w:val="Předmět komentáře Char"/>
    <w:basedOn w:val="TextkomenteChar"/>
    <w:link w:val="Pedmtkomente"/>
    <w:uiPriority w:val="99"/>
    <w:semiHidden/>
    <w:rsid w:val="009B2545"/>
    <w:rPr>
      <w:b/>
      <w:bCs/>
      <w:lang w:eastAsia="en-US"/>
    </w:rPr>
  </w:style>
  <w:style w:type="paragraph" w:customStyle="1" w:styleId="Poznmka">
    <w:name w:val="Poznámka"/>
    <w:basedOn w:val="Normln"/>
    <w:link w:val="PoznmkaChar"/>
    <w:autoRedefine/>
    <w:qFormat/>
    <w:rsid w:val="00C3302D"/>
    <w:pPr>
      <w:spacing w:before="60"/>
    </w:pPr>
    <w:rPr>
      <w:i/>
      <w:szCs w:val="18"/>
    </w:rPr>
  </w:style>
  <w:style w:type="character" w:customStyle="1" w:styleId="PoznmkaChar">
    <w:name w:val="Poznámka Char"/>
    <w:link w:val="Poznmka"/>
    <w:rsid w:val="00C3302D"/>
    <w:rPr>
      <w:rFonts w:asciiTheme="minorHAnsi" w:hAnsiTheme="minorHAnsi"/>
      <w:i/>
      <w:szCs w:val="18"/>
      <w:lang w:eastAsia="en-US"/>
    </w:rPr>
  </w:style>
  <w:style w:type="paragraph" w:customStyle="1" w:styleId="Nzevtabulky">
    <w:name w:val="Název tabulky"/>
    <w:basedOn w:val="Normln"/>
    <w:qFormat/>
    <w:rsid w:val="00C3302D"/>
    <w:pPr>
      <w:keepNext/>
      <w:numPr>
        <w:ilvl w:val="1"/>
        <w:numId w:val="3"/>
      </w:numPr>
      <w:spacing w:before="240"/>
      <w:ind w:left="1276" w:hanging="1276"/>
    </w:pPr>
    <w:rPr>
      <w:rFonts w:cs="Arial"/>
      <w:szCs w:val="22"/>
    </w:rPr>
  </w:style>
  <w:style w:type="paragraph" w:customStyle="1" w:styleId="Zdroj">
    <w:name w:val="Zdroj"/>
    <w:basedOn w:val="Normln"/>
    <w:link w:val="ZdrojChar"/>
    <w:qFormat/>
    <w:rsid w:val="007F2E73"/>
    <w:pPr>
      <w:ind w:left="57"/>
    </w:pPr>
    <w:rPr>
      <w:i/>
      <w:sz w:val="20"/>
      <w:szCs w:val="18"/>
    </w:rPr>
  </w:style>
  <w:style w:type="character" w:customStyle="1" w:styleId="ZdrojChar">
    <w:name w:val="Zdroj Char"/>
    <w:basedOn w:val="Standardnpsmoodstavce"/>
    <w:link w:val="Zdroj"/>
    <w:locked/>
    <w:rsid w:val="007F2E73"/>
    <w:rPr>
      <w:rFonts w:asciiTheme="minorHAnsi" w:hAnsiTheme="minorHAnsi"/>
      <w:i/>
      <w:szCs w:val="18"/>
    </w:rPr>
  </w:style>
  <w:style w:type="character" w:customStyle="1" w:styleId="Nadpis2Char">
    <w:name w:val="Nadpis 2 Char"/>
    <w:aliases w:val="H2 Char,POŘ-Nadpis 2 Char,vlevo 16b. Char"/>
    <w:basedOn w:val="Standardnpsmoodstavce"/>
    <w:link w:val="Nadpis2"/>
    <w:uiPriority w:val="9"/>
    <w:rsid w:val="00C21EF3"/>
    <w:rPr>
      <w:rFonts w:eastAsia="SimSun"/>
      <w:b/>
      <w:sz w:val="24"/>
    </w:rPr>
  </w:style>
  <w:style w:type="character" w:customStyle="1" w:styleId="Nadpis6Char">
    <w:name w:val="Nadpis 6 Char"/>
    <w:aliases w:val="střed 14b. Char"/>
    <w:basedOn w:val="Standardnpsmoodstavce"/>
    <w:link w:val="Nadpis6"/>
    <w:uiPriority w:val="9"/>
    <w:rsid w:val="00C21EF3"/>
    <w:rPr>
      <w:b/>
      <w:bCs/>
      <w:noProof/>
      <w:sz w:val="24"/>
      <w:szCs w:val="24"/>
      <w:u w:val="single"/>
      <w:lang w:eastAsia="en-US"/>
    </w:rPr>
  </w:style>
  <w:style w:type="paragraph" w:styleId="Citt">
    <w:name w:val="Quote"/>
    <w:basedOn w:val="Normln"/>
    <w:next w:val="Normln"/>
    <w:link w:val="CittChar"/>
    <w:uiPriority w:val="29"/>
    <w:qFormat/>
    <w:rsid w:val="00C21EF3"/>
    <w:pPr>
      <w:spacing w:before="120"/>
    </w:pPr>
    <w:rPr>
      <w:rFonts w:ascii="Arial" w:eastAsiaTheme="minorHAnsi" w:hAnsi="Arial" w:cstheme="minorBidi"/>
      <w:i/>
      <w:iCs/>
      <w:color w:val="000000" w:themeColor="text1"/>
      <w:sz w:val="22"/>
      <w:szCs w:val="22"/>
    </w:rPr>
  </w:style>
  <w:style w:type="character" w:customStyle="1" w:styleId="CittChar">
    <w:name w:val="Citát Char"/>
    <w:basedOn w:val="Standardnpsmoodstavce"/>
    <w:link w:val="Citt"/>
    <w:uiPriority w:val="29"/>
    <w:rsid w:val="00C21EF3"/>
    <w:rPr>
      <w:rFonts w:ascii="Arial" w:eastAsiaTheme="minorHAnsi" w:hAnsi="Arial" w:cstheme="minorBidi"/>
      <w:i/>
      <w:iCs/>
      <w:color w:val="000000" w:themeColor="text1"/>
      <w:sz w:val="22"/>
      <w:szCs w:val="22"/>
      <w:lang w:eastAsia="en-US"/>
    </w:rPr>
  </w:style>
  <w:style w:type="paragraph" w:customStyle="1" w:styleId="N1">
    <w:name w:val="N1"/>
    <w:basedOn w:val="Normln"/>
    <w:qFormat/>
    <w:rsid w:val="00C21EF3"/>
    <w:pPr>
      <w:keepNext/>
      <w:numPr>
        <w:numId w:val="6"/>
      </w:numPr>
      <w:spacing w:before="240" w:after="240"/>
    </w:pPr>
    <w:rPr>
      <w:rFonts w:ascii="Arial" w:eastAsiaTheme="minorHAnsi" w:hAnsi="Arial" w:cstheme="minorBidi"/>
      <w:b/>
      <w:i/>
      <w:szCs w:val="22"/>
    </w:rPr>
  </w:style>
  <w:style w:type="paragraph" w:customStyle="1" w:styleId="N2">
    <w:name w:val="N2"/>
    <w:basedOn w:val="Normln"/>
    <w:link w:val="N2Char"/>
    <w:qFormat/>
    <w:rsid w:val="00C21EF3"/>
    <w:pPr>
      <w:numPr>
        <w:ilvl w:val="1"/>
        <w:numId w:val="7"/>
      </w:numPr>
      <w:spacing w:before="240" w:after="240"/>
    </w:pPr>
    <w:rPr>
      <w:rFonts w:ascii="Arial" w:eastAsiaTheme="minorHAnsi" w:hAnsi="Arial" w:cstheme="minorBidi"/>
      <w:b/>
      <w:sz w:val="22"/>
      <w:szCs w:val="22"/>
    </w:rPr>
  </w:style>
  <w:style w:type="character" w:customStyle="1" w:styleId="N2Char">
    <w:name w:val="N2 Char"/>
    <w:basedOn w:val="OdstavecseseznamemChar"/>
    <w:link w:val="N2"/>
    <w:rsid w:val="00C21EF3"/>
    <w:rPr>
      <w:rFonts w:ascii="Arial" w:eastAsiaTheme="minorHAnsi" w:hAnsi="Arial" w:cstheme="minorBidi"/>
      <w:b/>
      <w:sz w:val="22"/>
      <w:szCs w:val="22"/>
      <w:lang w:eastAsia="en-US"/>
    </w:rPr>
  </w:style>
  <w:style w:type="paragraph" w:customStyle="1" w:styleId="N3">
    <w:name w:val="N3"/>
    <w:basedOn w:val="Normln"/>
    <w:link w:val="N3Char"/>
    <w:qFormat/>
    <w:rsid w:val="00C21EF3"/>
    <w:pPr>
      <w:keepNext/>
      <w:numPr>
        <w:numId w:val="8"/>
      </w:numPr>
      <w:spacing w:before="240" w:after="240"/>
    </w:pPr>
    <w:rPr>
      <w:rFonts w:ascii="Arial" w:eastAsiaTheme="minorHAnsi" w:hAnsi="Arial" w:cstheme="minorBidi"/>
      <w:i/>
      <w:sz w:val="22"/>
      <w:szCs w:val="22"/>
    </w:rPr>
  </w:style>
  <w:style w:type="character" w:customStyle="1" w:styleId="N3Char">
    <w:name w:val="N3 Char"/>
    <w:basedOn w:val="OdstavecseseznamemChar"/>
    <w:link w:val="N3"/>
    <w:rsid w:val="00C21EF3"/>
    <w:rPr>
      <w:rFonts w:ascii="Arial" w:eastAsiaTheme="minorHAnsi" w:hAnsi="Arial" w:cstheme="minorBidi"/>
      <w:i/>
      <w:sz w:val="22"/>
      <w:szCs w:val="22"/>
      <w:lang w:eastAsia="en-US"/>
    </w:rPr>
  </w:style>
  <w:style w:type="paragraph" w:styleId="Normlnodsazen">
    <w:name w:val="Normal Indent"/>
    <w:basedOn w:val="Normln"/>
    <w:uiPriority w:val="99"/>
    <w:semiHidden/>
    <w:unhideWhenUsed/>
    <w:rsid w:val="00C21EF3"/>
    <w:pPr>
      <w:spacing w:before="120"/>
      <w:ind w:left="708"/>
    </w:pPr>
    <w:rPr>
      <w:rFonts w:ascii="Arial" w:eastAsiaTheme="minorHAnsi" w:hAnsi="Arial" w:cstheme="minorBidi"/>
      <w:sz w:val="22"/>
      <w:szCs w:val="22"/>
    </w:rPr>
  </w:style>
  <w:style w:type="table" w:customStyle="1" w:styleId="Mkatabulky1">
    <w:name w:val="Mřížka tabulky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C21EF3"/>
  </w:style>
  <w:style w:type="numbering" w:customStyle="1" w:styleId="Bezseznamu2">
    <w:name w:val="Bez seznamu2"/>
    <w:next w:val="Bezseznamu"/>
    <w:uiPriority w:val="99"/>
    <w:semiHidden/>
    <w:unhideWhenUsed/>
    <w:rsid w:val="00C21EF3"/>
  </w:style>
  <w:style w:type="numbering" w:customStyle="1" w:styleId="Bezseznamu3">
    <w:name w:val="Bez seznamu3"/>
    <w:next w:val="Bezseznamu"/>
    <w:uiPriority w:val="99"/>
    <w:semiHidden/>
    <w:unhideWhenUsed/>
    <w:rsid w:val="00C21EF3"/>
  </w:style>
  <w:style w:type="paragraph" w:customStyle="1" w:styleId="Nadpis71">
    <w:name w:val="Nadpis 71"/>
    <w:basedOn w:val="Normln"/>
    <w:next w:val="Normln"/>
    <w:uiPriority w:val="9"/>
    <w:unhideWhenUsed/>
    <w:qFormat/>
    <w:rsid w:val="0093467A"/>
    <w:pPr>
      <w:keepNext/>
      <w:keepLines/>
      <w:spacing w:before="200"/>
      <w:outlineLvl w:val="6"/>
    </w:pPr>
    <w:rPr>
      <w:rFonts w:ascii="Cambria" w:hAnsi="Cambria"/>
      <w:i/>
      <w:iCs/>
      <w:color w:val="404040"/>
      <w:lang w:val="en-US"/>
    </w:rPr>
  </w:style>
  <w:style w:type="numbering" w:customStyle="1" w:styleId="Bezseznamu11">
    <w:name w:val="Bez seznamu11"/>
    <w:next w:val="Bezseznamu"/>
    <w:uiPriority w:val="99"/>
    <w:semiHidden/>
    <w:unhideWhenUsed/>
    <w:rsid w:val="00C21EF3"/>
  </w:style>
  <w:style w:type="paragraph" w:customStyle="1" w:styleId="Citt1">
    <w:name w:val="Citát1"/>
    <w:basedOn w:val="Normln"/>
    <w:next w:val="Normln"/>
    <w:uiPriority w:val="29"/>
    <w:qFormat/>
    <w:rsid w:val="00C21EF3"/>
    <w:pPr>
      <w:spacing w:before="120"/>
    </w:pPr>
    <w:rPr>
      <w:rFonts w:ascii="Arial" w:eastAsia="Calibri" w:hAnsi="Arial"/>
      <w:i/>
      <w:iCs/>
      <w:color w:val="000000"/>
      <w:sz w:val="22"/>
      <w:szCs w:val="22"/>
    </w:rPr>
  </w:style>
  <w:style w:type="table" w:customStyle="1" w:styleId="Mkatabulky21">
    <w:name w:val="Mřížka tabulky21"/>
    <w:basedOn w:val="Normlntabulka"/>
    <w:next w:val="Mkatabulky"/>
    <w:uiPriority w:val="59"/>
    <w:rsid w:val="00C21E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1">
    <w:name w:val="Nadpis 7 Char1"/>
    <w:basedOn w:val="Standardnpsmoodstavce"/>
    <w:uiPriority w:val="9"/>
    <w:semiHidden/>
    <w:rsid w:val="00C21EF3"/>
    <w:rPr>
      <w:rFonts w:ascii="Cambria" w:eastAsia="Times New Roman" w:hAnsi="Cambria" w:cs="Times New Roman"/>
      <w:i/>
      <w:iCs/>
      <w:color w:val="404040"/>
      <w:sz w:val="24"/>
      <w:szCs w:val="24"/>
      <w:lang w:val="en-US" w:eastAsia="en-US"/>
    </w:rPr>
  </w:style>
  <w:style w:type="character" w:customStyle="1" w:styleId="CittChar1">
    <w:name w:val="Citát Char1"/>
    <w:basedOn w:val="Standardnpsmoodstavce"/>
    <w:uiPriority w:val="29"/>
    <w:rsid w:val="00C21EF3"/>
    <w:rPr>
      <w:i/>
      <w:iCs/>
      <w:color w:val="000000"/>
      <w:sz w:val="24"/>
      <w:szCs w:val="24"/>
      <w:lang w:val="en-US" w:eastAsia="en-US"/>
    </w:rPr>
  </w:style>
  <w:style w:type="table" w:customStyle="1" w:styleId="Mkatabulky3">
    <w:name w:val="Mřížka tabulky3"/>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4Char">
    <w:name w:val="Nadpis 4 Char"/>
    <w:aliases w:val="vlevo 12b. Char"/>
    <w:basedOn w:val="Standardnpsmoodstavce"/>
    <w:link w:val="Nadpis4"/>
    <w:uiPriority w:val="9"/>
    <w:rsid w:val="00C21EF3"/>
    <w:rPr>
      <w:b/>
      <w:bCs/>
      <w:color w:val="FF0000"/>
      <w:sz w:val="24"/>
      <w:szCs w:val="24"/>
      <w:lang w:eastAsia="en-US"/>
    </w:rPr>
  </w:style>
  <w:style w:type="numbering" w:customStyle="1" w:styleId="Bezseznamu4">
    <w:name w:val="Bez seznamu4"/>
    <w:next w:val="Bezseznamu"/>
    <w:uiPriority w:val="99"/>
    <w:semiHidden/>
    <w:unhideWhenUsed/>
    <w:rsid w:val="00C21EF3"/>
  </w:style>
  <w:style w:type="paragraph" w:styleId="Nadpisobsahu">
    <w:name w:val="TOC Heading"/>
    <w:basedOn w:val="Nadpis1"/>
    <w:next w:val="Normln"/>
    <w:uiPriority w:val="39"/>
    <w:qFormat/>
    <w:rsid w:val="00C21EF3"/>
    <w:pPr>
      <w:keepLines/>
      <w:spacing w:before="240" w:line="259" w:lineRule="auto"/>
      <w:jc w:val="left"/>
      <w:outlineLvl w:val="9"/>
    </w:pPr>
    <w:rPr>
      <w:rFonts w:ascii="Calibri Light" w:hAnsi="Calibri Light"/>
      <w:b w:val="0"/>
      <w:bCs w:val="0"/>
      <w:color w:val="2E74B5"/>
      <w:sz w:val="32"/>
      <w:szCs w:val="32"/>
    </w:rPr>
  </w:style>
  <w:style w:type="paragraph" w:styleId="Obsah2">
    <w:name w:val="toc 2"/>
    <w:basedOn w:val="Normln"/>
    <w:next w:val="Normln"/>
    <w:autoRedefine/>
    <w:uiPriority w:val="39"/>
    <w:unhideWhenUsed/>
    <w:rsid w:val="00C21EF3"/>
    <w:pPr>
      <w:ind w:left="240"/>
    </w:pPr>
    <w:rPr>
      <w:rFonts w:ascii="Calibri" w:hAnsi="Calibri"/>
    </w:rPr>
  </w:style>
  <w:style w:type="paragraph" w:styleId="Obsah3">
    <w:name w:val="toc 3"/>
    <w:basedOn w:val="Normln"/>
    <w:next w:val="Normln"/>
    <w:autoRedefine/>
    <w:uiPriority w:val="39"/>
    <w:unhideWhenUsed/>
    <w:rsid w:val="00C21EF3"/>
    <w:pPr>
      <w:tabs>
        <w:tab w:val="left" w:pos="960"/>
        <w:tab w:val="right" w:leader="dot" w:pos="9062"/>
      </w:tabs>
      <w:ind w:left="480"/>
    </w:pPr>
    <w:rPr>
      <w:rFonts w:ascii="Calibri" w:hAnsi="Calibri"/>
      <w:noProof/>
    </w:rPr>
  </w:style>
  <w:style w:type="paragraph" w:styleId="Rozloendokumentu">
    <w:name w:val="Document Map"/>
    <w:basedOn w:val="Normln"/>
    <w:link w:val="RozloendokumentuChar"/>
    <w:semiHidden/>
    <w:rsid w:val="00C21EF3"/>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C21EF3"/>
    <w:rPr>
      <w:rFonts w:ascii="Tahoma" w:hAnsi="Tahoma" w:cs="Tahoma"/>
      <w:shd w:val="clear" w:color="auto" w:fill="000080"/>
      <w:lang w:eastAsia="en-US"/>
    </w:rPr>
  </w:style>
  <w:style w:type="paragraph" w:styleId="Zkladntext-prvnodsazen">
    <w:name w:val="Body Text First Indent"/>
    <w:basedOn w:val="Zkladntext"/>
    <w:link w:val="Zkladntext-prvnodsazenChar"/>
    <w:rsid w:val="00C21EF3"/>
    <w:pPr>
      <w:spacing w:after="120"/>
      <w:ind w:firstLine="210"/>
      <w:jc w:val="left"/>
    </w:pPr>
    <w:rPr>
      <w:rFonts w:ascii="Calibri" w:hAnsi="Calibri"/>
      <w:b w:val="0"/>
      <w:bCs w:val="0"/>
      <w:sz w:val="24"/>
      <w:szCs w:val="24"/>
    </w:rPr>
  </w:style>
  <w:style w:type="character" w:customStyle="1" w:styleId="ZkladntextChar1">
    <w:name w:val="Základní text Char1"/>
    <w:aliases w:val="?????1 Char,Body ... Char,Body Text Char Char1,Body Text Char Char Char1,Body Text Char Char Char Char,Body Text Char1 Char Char Char,Body Text Char2 Char Char,Corps de texte INTSUM Char,Nornální Char,Základní text - D Char,b Char"/>
    <w:basedOn w:val="Standardnpsmoodstavce"/>
    <w:link w:val="Zkladntext"/>
    <w:rsid w:val="00C21EF3"/>
    <w:rPr>
      <w:b/>
      <w:bCs/>
      <w:sz w:val="28"/>
      <w:szCs w:val="28"/>
      <w:lang w:eastAsia="en-US"/>
    </w:rPr>
  </w:style>
  <w:style w:type="character" w:customStyle="1" w:styleId="Zkladntext-prvnodsazenChar">
    <w:name w:val="Základní text - první odsazený Char"/>
    <w:basedOn w:val="ZkladntextChar1"/>
    <w:link w:val="Zkladntext-prvnodsazen"/>
    <w:rsid w:val="00C21EF3"/>
    <w:rPr>
      <w:rFonts w:ascii="Calibri" w:hAnsi="Calibri"/>
      <w:b w:val="0"/>
      <w:bCs w:val="0"/>
      <w:sz w:val="24"/>
      <w:szCs w:val="24"/>
      <w:lang w:eastAsia="en-US"/>
    </w:rPr>
  </w:style>
  <w:style w:type="table" w:customStyle="1" w:styleId="Mkatabulky6">
    <w:name w:val="Mřížka tabulky6"/>
    <w:basedOn w:val="Normlntabulka"/>
    <w:next w:val="Mkatabulky"/>
    <w:rsid w:val="00C21E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21EF3"/>
  </w:style>
  <w:style w:type="numbering" w:customStyle="1" w:styleId="Bezseznamu5">
    <w:name w:val="Bez seznamu5"/>
    <w:next w:val="Bezseznamu"/>
    <w:uiPriority w:val="99"/>
    <w:semiHidden/>
    <w:unhideWhenUsed/>
    <w:rsid w:val="00C21EF3"/>
  </w:style>
  <w:style w:type="table" w:customStyle="1" w:styleId="Mkatabulky7">
    <w:name w:val="Mřížka tabulky7"/>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
    <w:name w:val="Bez seznamu12"/>
    <w:next w:val="Bezseznamu"/>
    <w:uiPriority w:val="99"/>
    <w:semiHidden/>
    <w:unhideWhenUsed/>
    <w:rsid w:val="00C21EF3"/>
  </w:style>
  <w:style w:type="table" w:customStyle="1" w:styleId="Mkatabulky31">
    <w:name w:val="Mřížka tabulky3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71">
    <w:name w:val="Mřížka tabulky7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6">
    <w:name w:val="Bez seznamu6"/>
    <w:next w:val="Bezseznamu"/>
    <w:uiPriority w:val="99"/>
    <w:semiHidden/>
    <w:unhideWhenUsed/>
    <w:rsid w:val="00C21EF3"/>
  </w:style>
  <w:style w:type="paragraph" w:customStyle="1" w:styleId="Nadpis21">
    <w:name w:val="Nadpis 21"/>
    <w:basedOn w:val="Normln"/>
    <w:next w:val="Normln"/>
    <w:unhideWhenUsed/>
    <w:qFormat/>
    <w:rsid w:val="00C21EF3"/>
    <w:pPr>
      <w:keepNext/>
      <w:keepLines/>
      <w:spacing w:before="200"/>
      <w:outlineLvl w:val="1"/>
    </w:pPr>
    <w:rPr>
      <w:rFonts w:ascii="Cambria" w:hAnsi="Cambria"/>
      <w:b/>
      <w:bCs/>
      <w:color w:val="4F81BD"/>
      <w:sz w:val="26"/>
      <w:szCs w:val="26"/>
    </w:rPr>
  </w:style>
  <w:style w:type="paragraph" w:customStyle="1" w:styleId="Nadpis31">
    <w:name w:val="Nadpis 31"/>
    <w:basedOn w:val="Normln"/>
    <w:next w:val="Normln"/>
    <w:uiPriority w:val="9"/>
    <w:unhideWhenUsed/>
    <w:qFormat/>
    <w:rsid w:val="00C21EF3"/>
    <w:pPr>
      <w:keepNext/>
      <w:keepLines/>
      <w:spacing w:before="40"/>
      <w:outlineLvl w:val="2"/>
    </w:pPr>
    <w:rPr>
      <w:rFonts w:ascii="Cambria" w:hAnsi="Cambria"/>
      <w:color w:val="243F60"/>
    </w:rPr>
  </w:style>
  <w:style w:type="paragraph" w:customStyle="1" w:styleId="Nadpis41">
    <w:name w:val="Nadpis 41"/>
    <w:basedOn w:val="Normln"/>
    <w:next w:val="Normln"/>
    <w:uiPriority w:val="9"/>
    <w:unhideWhenUsed/>
    <w:qFormat/>
    <w:rsid w:val="00C21EF3"/>
    <w:pPr>
      <w:keepNext/>
      <w:keepLines/>
      <w:spacing w:before="40"/>
      <w:outlineLvl w:val="3"/>
    </w:pPr>
    <w:rPr>
      <w:rFonts w:ascii="Cambria" w:hAnsi="Cambria"/>
      <w:i/>
      <w:iCs/>
      <w:color w:val="365F91"/>
      <w:sz w:val="22"/>
      <w:szCs w:val="22"/>
    </w:rPr>
  </w:style>
  <w:style w:type="table" w:customStyle="1" w:styleId="Mkatabulky9">
    <w:name w:val="Mřížka tabulky9"/>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5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59"/>
    <w:rsid w:val="00C21EF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39"/>
    <w:rsid w:val="00C21EF3"/>
    <w:rPr>
      <w:rFonts w:asciiTheme="minorHAnsi"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61">
    <w:name w:val="Mřížka tabulky61"/>
    <w:basedOn w:val="Normlntabulka"/>
    <w:next w:val="Mkatabulky"/>
    <w:rsid w:val="00C21E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1">
    <w:name w:val="Nadpis 2 Char1"/>
    <w:basedOn w:val="Standardnpsmoodstavce"/>
    <w:uiPriority w:val="9"/>
    <w:semiHidden/>
    <w:rsid w:val="00C21EF3"/>
    <w:rPr>
      <w:rFonts w:ascii="Calibri Light" w:eastAsia="Times New Roman" w:hAnsi="Calibri Light" w:cs="Times New Roman"/>
      <w:color w:val="2E74B5"/>
      <w:sz w:val="26"/>
      <w:szCs w:val="26"/>
    </w:rPr>
  </w:style>
  <w:style w:type="character" w:customStyle="1" w:styleId="Nadpis7Char2">
    <w:name w:val="Nadpis 7 Char2"/>
    <w:basedOn w:val="Standardnpsmoodstavce"/>
    <w:uiPriority w:val="9"/>
    <w:semiHidden/>
    <w:rsid w:val="00C21EF3"/>
    <w:rPr>
      <w:rFonts w:ascii="Calibri Light" w:eastAsia="Times New Roman" w:hAnsi="Calibri Light" w:cs="Times New Roman"/>
      <w:i/>
      <w:iCs/>
      <w:color w:val="1F4D78"/>
    </w:rPr>
  </w:style>
  <w:style w:type="character" w:customStyle="1" w:styleId="CittChar2">
    <w:name w:val="Citát Char2"/>
    <w:basedOn w:val="Standardnpsmoodstavce"/>
    <w:uiPriority w:val="29"/>
    <w:rsid w:val="00C21EF3"/>
    <w:rPr>
      <w:rFonts w:cs="Times New Roman"/>
      <w:i/>
      <w:iCs/>
      <w:color w:val="404040"/>
    </w:rPr>
  </w:style>
  <w:style w:type="character" w:customStyle="1" w:styleId="CittChar21">
    <w:name w:val="Citát Char21"/>
    <w:basedOn w:val="Standardnpsmoodstavce"/>
    <w:uiPriority w:val="29"/>
    <w:rsid w:val="00C21EF3"/>
    <w:rPr>
      <w:rFonts w:cs="Times New Roman"/>
      <w:i/>
      <w:iCs/>
      <w:color w:val="404040"/>
    </w:rPr>
  </w:style>
  <w:style w:type="character" w:customStyle="1" w:styleId="Nadpis3Char1">
    <w:name w:val="Nadpis 3 Char1"/>
    <w:basedOn w:val="Standardnpsmoodstavce"/>
    <w:uiPriority w:val="9"/>
    <w:semiHidden/>
    <w:rsid w:val="00C21EF3"/>
    <w:rPr>
      <w:rFonts w:ascii="Calibri Light" w:eastAsia="Times New Roman" w:hAnsi="Calibri Light" w:cs="Times New Roman"/>
      <w:color w:val="1F4D78"/>
      <w:sz w:val="24"/>
      <w:szCs w:val="24"/>
    </w:rPr>
  </w:style>
  <w:style w:type="character" w:customStyle="1" w:styleId="Nadpis4Char1">
    <w:name w:val="Nadpis 4 Char1"/>
    <w:basedOn w:val="Standardnpsmoodstavce"/>
    <w:uiPriority w:val="9"/>
    <w:semiHidden/>
    <w:rsid w:val="00C21EF3"/>
    <w:rPr>
      <w:rFonts w:ascii="Calibri Light" w:eastAsia="Times New Roman" w:hAnsi="Calibri Light" w:cs="Times New Roman"/>
      <w:i/>
      <w:iCs/>
      <w:color w:val="2E74B5"/>
    </w:rPr>
  </w:style>
  <w:style w:type="numbering" w:customStyle="1" w:styleId="Bezseznamu7">
    <w:name w:val="Bez seznamu7"/>
    <w:next w:val="Bezseznamu"/>
    <w:uiPriority w:val="99"/>
    <w:semiHidden/>
    <w:unhideWhenUsed/>
    <w:rsid w:val="00C21EF3"/>
  </w:style>
  <w:style w:type="numbering" w:customStyle="1" w:styleId="Bezseznamu13">
    <w:name w:val="Bez seznamu13"/>
    <w:next w:val="Bezseznamu"/>
    <w:uiPriority w:val="99"/>
    <w:semiHidden/>
    <w:unhideWhenUsed/>
    <w:rsid w:val="00C21EF3"/>
  </w:style>
  <w:style w:type="numbering" w:customStyle="1" w:styleId="Bezseznamu111">
    <w:name w:val="Bez seznamu111"/>
    <w:next w:val="Bezseznamu"/>
    <w:uiPriority w:val="99"/>
    <w:semiHidden/>
    <w:unhideWhenUsed/>
    <w:rsid w:val="00C21EF3"/>
  </w:style>
  <w:style w:type="numbering" w:customStyle="1" w:styleId="Bezseznamu21">
    <w:name w:val="Bez seznamu21"/>
    <w:next w:val="Bezseznamu"/>
    <w:uiPriority w:val="99"/>
    <w:semiHidden/>
    <w:unhideWhenUsed/>
    <w:rsid w:val="00C21EF3"/>
  </w:style>
  <w:style w:type="numbering" w:customStyle="1" w:styleId="Bezseznamu31">
    <w:name w:val="Bez seznamu31"/>
    <w:next w:val="Bezseznamu"/>
    <w:uiPriority w:val="99"/>
    <w:semiHidden/>
    <w:unhideWhenUsed/>
    <w:rsid w:val="00C21EF3"/>
  </w:style>
  <w:style w:type="numbering" w:customStyle="1" w:styleId="Bezseznamu1111">
    <w:name w:val="Bez seznamu1111"/>
    <w:next w:val="Bezseznamu"/>
    <w:uiPriority w:val="99"/>
    <w:semiHidden/>
    <w:unhideWhenUsed/>
    <w:rsid w:val="00C21EF3"/>
  </w:style>
  <w:style w:type="numbering" w:customStyle="1" w:styleId="Bezseznamu41">
    <w:name w:val="Bez seznamu41"/>
    <w:next w:val="Bezseznamu"/>
    <w:uiPriority w:val="99"/>
    <w:semiHidden/>
    <w:unhideWhenUsed/>
    <w:rsid w:val="00C21EF3"/>
  </w:style>
  <w:style w:type="character" w:styleId="slodku">
    <w:name w:val="line number"/>
    <w:basedOn w:val="Standardnpsmoodstavce"/>
    <w:uiPriority w:val="99"/>
    <w:semiHidden/>
    <w:unhideWhenUsed/>
    <w:rsid w:val="00C21EF3"/>
  </w:style>
  <w:style w:type="paragraph" w:customStyle="1" w:styleId="Hlava">
    <w:name w:val="Hlava"/>
    <w:basedOn w:val="Normln"/>
    <w:link w:val="HlavaChar"/>
    <w:qFormat/>
    <w:rsid w:val="00C21EF3"/>
    <w:pPr>
      <w:suppressAutoHyphens/>
      <w:jc w:val="center"/>
    </w:pPr>
    <w:rPr>
      <w:lang w:eastAsia="ar-SA"/>
    </w:rPr>
  </w:style>
  <w:style w:type="character" w:customStyle="1" w:styleId="HlavaChar">
    <w:name w:val="Hlava Char"/>
    <w:link w:val="Hlava"/>
    <w:rsid w:val="00C21EF3"/>
    <w:rPr>
      <w:sz w:val="24"/>
      <w:szCs w:val="24"/>
      <w:lang w:eastAsia="ar-SA"/>
    </w:rPr>
  </w:style>
  <w:style w:type="paragraph" w:customStyle="1" w:styleId="BodyText22">
    <w:name w:val="Body Text 22"/>
    <w:basedOn w:val="Normln"/>
    <w:rsid w:val="00C21EF3"/>
    <w:pPr>
      <w:overflowPunct w:val="0"/>
      <w:autoSpaceDE w:val="0"/>
      <w:autoSpaceDN w:val="0"/>
      <w:adjustRightInd w:val="0"/>
      <w:ind w:firstLine="709"/>
      <w:textAlignment w:val="baseline"/>
    </w:pPr>
  </w:style>
  <w:style w:type="numbering" w:customStyle="1" w:styleId="Styl2">
    <w:name w:val="Styl2"/>
    <w:uiPriority w:val="99"/>
    <w:rsid w:val="006F2E2A"/>
    <w:pPr>
      <w:numPr>
        <w:numId w:val="12"/>
      </w:numPr>
    </w:pPr>
  </w:style>
  <w:style w:type="paragraph" w:customStyle="1" w:styleId="Pa18">
    <w:name w:val="Pa18"/>
    <w:basedOn w:val="Normln"/>
    <w:next w:val="Normln"/>
    <w:uiPriority w:val="99"/>
    <w:rsid w:val="0079253B"/>
    <w:pPr>
      <w:autoSpaceDE w:val="0"/>
      <w:autoSpaceDN w:val="0"/>
      <w:adjustRightInd w:val="0"/>
      <w:spacing w:line="211" w:lineRule="atLeast"/>
      <w:jc w:val="left"/>
    </w:pPr>
    <w:rPr>
      <w:rFonts w:ascii="Calibri" w:hAnsi="Calibri"/>
      <w:szCs w:val="24"/>
    </w:rPr>
  </w:style>
  <w:style w:type="character" w:customStyle="1" w:styleId="A14">
    <w:name w:val="A14"/>
    <w:uiPriority w:val="99"/>
    <w:rsid w:val="0079253B"/>
    <w:rPr>
      <w:b/>
      <w:color w:val="000000"/>
      <w:sz w:val="54"/>
    </w:rPr>
  </w:style>
  <w:style w:type="paragraph" w:customStyle="1" w:styleId="Pa19">
    <w:name w:val="Pa19"/>
    <w:basedOn w:val="Normln"/>
    <w:next w:val="Normln"/>
    <w:uiPriority w:val="99"/>
    <w:rsid w:val="0079253B"/>
    <w:pPr>
      <w:autoSpaceDE w:val="0"/>
      <w:autoSpaceDN w:val="0"/>
      <w:adjustRightInd w:val="0"/>
      <w:spacing w:line="211" w:lineRule="atLeast"/>
      <w:jc w:val="left"/>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937">
      <w:bodyDiv w:val="1"/>
      <w:marLeft w:val="0"/>
      <w:marRight w:val="0"/>
      <w:marTop w:val="0"/>
      <w:marBottom w:val="0"/>
      <w:divBdr>
        <w:top w:val="none" w:sz="0" w:space="0" w:color="auto"/>
        <w:left w:val="none" w:sz="0" w:space="0" w:color="auto"/>
        <w:bottom w:val="none" w:sz="0" w:space="0" w:color="auto"/>
        <w:right w:val="none" w:sz="0" w:space="0" w:color="auto"/>
      </w:divBdr>
    </w:div>
    <w:div w:id="123274900">
      <w:bodyDiv w:val="1"/>
      <w:marLeft w:val="0"/>
      <w:marRight w:val="0"/>
      <w:marTop w:val="0"/>
      <w:marBottom w:val="0"/>
      <w:divBdr>
        <w:top w:val="none" w:sz="0" w:space="0" w:color="auto"/>
        <w:left w:val="none" w:sz="0" w:space="0" w:color="auto"/>
        <w:bottom w:val="none" w:sz="0" w:space="0" w:color="auto"/>
        <w:right w:val="none" w:sz="0" w:space="0" w:color="auto"/>
      </w:divBdr>
    </w:div>
    <w:div w:id="127163080">
      <w:bodyDiv w:val="1"/>
      <w:marLeft w:val="0"/>
      <w:marRight w:val="0"/>
      <w:marTop w:val="0"/>
      <w:marBottom w:val="0"/>
      <w:divBdr>
        <w:top w:val="none" w:sz="0" w:space="0" w:color="auto"/>
        <w:left w:val="none" w:sz="0" w:space="0" w:color="auto"/>
        <w:bottom w:val="none" w:sz="0" w:space="0" w:color="auto"/>
        <w:right w:val="none" w:sz="0" w:space="0" w:color="auto"/>
      </w:divBdr>
    </w:div>
    <w:div w:id="166335869">
      <w:bodyDiv w:val="1"/>
      <w:marLeft w:val="0"/>
      <w:marRight w:val="0"/>
      <w:marTop w:val="0"/>
      <w:marBottom w:val="0"/>
      <w:divBdr>
        <w:top w:val="none" w:sz="0" w:space="0" w:color="auto"/>
        <w:left w:val="none" w:sz="0" w:space="0" w:color="auto"/>
        <w:bottom w:val="none" w:sz="0" w:space="0" w:color="auto"/>
        <w:right w:val="none" w:sz="0" w:space="0" w:color="auto"/>
      </w:divBdr>
    </w:div>
    <w:div w:id="169175116">
      <w:bodyDiv w:val="1"/>
      <w:marLeft w:val="0"/>
      <w:marRight w:val="0"/>
      <w:marTop w:val="0"/>
      <w:marBottom w:val="0"/>
      <w:divBdr>
        <w:top w:val="none" w:sz="0" w:space="0" w:color="auto"/>
        <w:left w:val="none" w:sz="0" w:space="0" w:color="auto"/>
        <w:bottom w:val="none" w:sz="0" w:space="0" w:color="auto"/>
        <w:right w:val="none" w:sz="0" w:space="0" w:color="auto"/>
      </w:divBdr>
    </w:div>
    <w:div w:id="173540885">
      <w:bodyDiv w:val="1"/>
      <w:marLeft w:val="0"/>
      <w:marRight w:val="0"/>
      <w:marTop w:val="0"/>
      <w:marBottom w:val="0"/>
      <w:divBdr>
        <w:top w:val="none" w:sz="0" w:space="0" w:color="auto"/>
        <w:left w:val="none" w:sz="0" w:space="0" w:color="auto"/>
        <w:bottom w:val="none" w:sz="0" w:space="0" w:color="auto"/>
        <w:right w:val="none" w:sz="0" w:space="0" w:color="auto"/>
      </w:divBdr>
    </w:div>
    <w:div w:id="179517282">
      <w:bodyDiv w:val="1"/>
      <w:marLeft w:val="0"/>
      <w:marRight w:val="0"/>
      <w:marTop w:val="0"/>
      <w:marBottom w:val="0"/>
      <w:divBdr>
        <w:top w:val="none" w:sz="0" w:space="0" w:color="auto"/>
        <w:left w:val="none" w:sz="0" w:space="0" w:color="auto"/>
        <w:bottom w:val="none" w:sz="0" w:space="0" w:color="auto"/>
        <w:right w:val="none" w:sz="0" w:space="0" w:color="auto"/>
      </w:divBdr>
    </w:div>
    <w:div w:id="209611271">
      <w:bodyDiv w:val="1"/>
      <w:marLeft w:val="0"/>
      <w:marRight w:val="0"/>
      <w:marTop w:val="0"/>
      <w:marBottom w:val="0"/>
      <w:divBdr>
        <w:top w:val="none" w:sz="0" w:space="0" w:color="auto"/>
        <w:left w:val="none" w:sz="0" w:space="0" w:color="auto"/>
        <w:bottom w:val="none" w:sz="0" w:space="0" w:color="auto"/>
        <w:right w:val="none" w:sz="0" w:space="0" w:color="auto"/>
      </w:divBdr>
    </w:div>
    <w:div w:id="222185248">
      <w:bodyDiv w:val="1"/>
      <w:marLeft w:val="0"/>
      <w:marRight w:val="0"/>
      <w:marTop w:val="0"/>
      <w:marBottom w:val="0"/>
      <w:divBdr>
        <w:top w:val="none" w:sz="0" w:space="0" w:color="auto"/>
        <w:left w:val="none" w:sz="0" w:space="0" w:color="auto"/>
        <w:bottom w:val="none" w:sz="0" w:space="0" w:color="auto"/>
        <w:right w:val="none" w:sz="0" w:space="0" w:color="auto"/>
      </w:divBdr>
    </w:div>
    <w:div w:id="233974015">
      <w:bodyDiv w:val="1"/>
      <w:marLeft w:val="0"/>
      <w:marRight w:val="0"/>
      <w:marTop w:val="0"/>
      <w:marBottom w:val="0"/>
      <w:divBdr>
        <w:top w:val="none" w:sz="0" w:space="0" w:color="auto"/>
        <w:left w:val="none" w:sz="0" w:space="0" w:color="auto"/>
        <w:bottom w:val="none" w:sz="0" w:space="0" w:color="auto"/>
        <w:right w:val="none" w:sz="0" w:space="0" w:color="auto"/>
      </w:divBdr>
    </w:div>
    <w:div w:id="237207119">
      <w:bodyDiv w:val="1"/>
      <w:marLeft w:val="0"/>
      <w:marRight w:val="0"/>
      <w:marTop w:val="0"/>
      <w:marBottom w:val="0"/>
      <w:divBdr>
        <w:top w:val="none" w:sz="0" w:space="0" w:color="auto"/>
        <w:left w:val="none" w:sz="0" w:space="0" w:color="auto"/>
        <w:bottom w:val="none" w:sz="0" w:space="0" w:color="auto"/>
        <w:right w:val="none" w:sz="0" w:space="0" w:color="auto"/>
      </w:divBdr>
    </w:div>
    <w:div w:id="283854771">
      <w:bodyDiv w:val="1"/>
      <w:marLeft w:val="0"/>
      <w:marRight w:val="0"/>
      <w:marTop w:val="0"/>
      <w:marBottom w:val="0"/>
      <w:divBdr>
        <w:top w:val="none" w:sz="0" w:space="0" w:color="auto"/>
        <w:left w:val="none" w:sz="0" w:space="0" w:color="auto"/>
        <w:bottom w:val="none" w:sz="0" w:space="0" w:color="auto"/>
        <w:right w:val="none" w:sz="0" w:space="0" w:color="auto"/>
      </w:divBdr>
    </w:div>
    <w:div w:id="373770148">
      <w:bodyDiv w:val="1"/>
      <w:marLeft w:val="0"/>
      <w:marRight w:val="0"/>
      <w:marTop w:val="0"/>
      <w:marBottom w:val="0"/>
      <w:divBdr>
        <w:top w:val="none" w:sz="0" w:space="0" w:color="auto"/>
        <w:left w:val="none" w:sz="0" w:space="0" w:color="auto"/>
        <w:bottom w:val="none" w:sz="0" w:space="0" w:color="auto"/>
        <w:right w:val="none" w:sz="0" w:space="0" w:color="auto"/>
      </w:divBdr>
    </w:div>
    <w:div w:id="450713098">
      <w:bodyDiv w:val="1"/>
      <w:marLeft w:val="0"/>
      <w:marRight w:val="0"/>
      <w:marTop w:val="0"/>
      <w:marBottom w:val="0"/>
      <w:divBdr>
        <w:top w:val="none" w:sz="0" w:space="0" w:color="auto"/>
        <w:left w:val="none" w:sz="0" w:space="0" w:color="auto"/>
        <w:bottom w:val="none" w:sz="0" w:space="0" w:color="auto"/>
        <w:right w:val="none" w:sz="0" w:space="0" w:color="auto"/>
      </w:divBdr>
    </w:div>
    <w:div w:id="457188425">
      <w:bodyDiv w:val="1"/>
      <w:marLeft w:val="0"/>
      <w:marRight w:val="0"/>
      <w:marTop w:val="0"/>
      <w:marBottom w:val="0"/>
      <w:divBdr>
        <w:top w:val="none" w:sz="0" w:space="0" w:color="auto"/>
        <w:left w:val="none" w:sz="0" w:space="0" w:color="auto"/>
        <w:bottom w:val="none" w:sz="0" w:space="0" w:color="auto"/>
        <w:right w:val="none" w:sz="0" w:space="0" w:color="auto"/>
      </w:divBdr>
    </w:div>
    <w:div w:id="461465138">
      <w:bodyDiv w:val="1"/>
      <w:marLeft w:val="0"/>
      <w:marRight w:val="0"/>
      <w:marTop w:val="0"/>
      <w:marBottom w:val="0"/>
      <w:divBdr>
        <w:top w:val="none" w:sz="0" w:space="0" w:color="auto"/>
        <w:left w:val="none" w:sz="0" w:space="0" w:color="auto"/>
        <w:bottom w:val="none" w:sz="0" w:space="0" w:color="auto"/>
        <w:right w:val="none" w:sz="0" w:space="0" w:color="auto"/>
      </w:divBdr>
    </w:div>
    <w:div w:id="466630434">
      <w:bodyDiv w:val="1"/>
      <w:marLeft w:val="0"/>
      <w:marRight w:val="0"/>
      <w:marTop w:val="0"/>
      <w:marBottom w:val="0"/>
      <w:divBdr>
        <w:top w:val="none" w:sz="0" w:space="0" w:color="auto"/>
        <w:left w:val="none" w:sz="0" w:space="0" w:color="auto"/>
        <w:bottom w:val="none" w:sz="0" w:space="0" w:color="auto"/>
        <w:right w:val="none" w:sz="0" w:space="0" w:color="auto"/>
      </w:divBdr>
    </w:div>
    <w:div w:id="488591887">
      <w:bodyDiv w:val="1"/>
      <w:marLeft w:val="0"/>
      <w:marRight w:val="0"/>
      <w:marTop w:val="0"/>
      <w:marBottom w:val="0"/>
      <w:divBdr>
        <w:top w:val="none" w:sz="0" w:space="0" w:color="auto"/>
        <w:left w:val="none" w:sz="0" w:space="0" w:color="auto"/>
        <w:bottom w:val="none" w:sz="0" w:space="0" w:color="auto"/>
        <w:right w:val="none" w:sz="0" w:space="0" w:color="auto"/>
      </w:divBdr>
    </w:div>
    <w:div w:id="501747825">
      <w:bodyDiv w:val="1"/>
      <w:marLeft w:val="0"/>
      <w:marRight w:val="0"/>
      <w:marTop w:val="0"/>
      <w:marBottom w:val="0"/>
      <w:divBdr>
        <w:top w:val="none" w:sz="0" w:space="0" w:color="auto"/>
        <w:left w:val="none" w:sz="0" w:space="0" w:color="auto"/>
        <w:bottom w:val="none" w:sz="0" w:space="0" w:color="auto"/>
        <w:right w:val="none" w:sz="0" w:space="0" w:color="auto"/>
      </w:divBdr>
    </w:div>
    <w:div w:id="510265857">
      <w:bodyDiv w:val="1"/>
      <w:marLeft w:val="0"/>
      <w:marRight w:val="0"/>
      <w:marTop w:val="0"/>
      <w:marBottom w:val="0"/>
      <w:divBdr>
        <w:top w:val="none" w:sz="0" w:space="0" w:color="auto"/>
        <w:left w:val="none" w:sz="0" w:space="0" w:color="auto"/>
        <w:bottom w:val="none" w:sz="0" w:space="0" w:color="auto"/>
        <w:right w:val="none" w:sz="0" w:space="0" w:color="auto"/>
      </w:divBdr>
    </w:div>
    <w:div w:id="538666512">
      <w:bodyDiv w:val="1"/>
      <w:marLeft w:val="0"/>
      <w:marRight w:val="0"/>
      <w:marTop w:val="0"/>
      <w:marBottom w:val="0"/>
      <w:divBdr>
        <w:top w:val="none" w:sz="0" w:space="0" w:color="auto"/>
        <w:left w:val="none" w:sz="0" w:space="0" w:color="auto"/>
        <w:bottom w:val="none" w:sz="0" w:space="0" w:color="auto"/>
        <w:right w:val="none" w:sz="0" w:space="0" w:color="auto"/>
      </w:divBdr>
    </w:div>
    <w:div w:id="552153802">
      <w:bodyDiv w:val="1"/>
      <w:marLeft w:val="0"/>
      <w:marRight w:val="0"/>
      <w:marTop w:val="0"/>
      <w:marBottom w:val="0"/>
      <w:divBdr>
        <w:top w:val="none" w:sz="0" w:space="0" w:color="auto"/>
        <w:left w:val="none" w:sz="0" w:space="0" w:color="auto"/>
        <w:bottom w:val="none" w:sz="0" w:space="0" w:color="auto"/>
        <w:right w:val="none" w:sz="0" w:space="0" w:color="auto"/>
      </w:divBdr>
    </w:div>
    <w:div w:id="562563393">
      <w:bodyDiv w:val="1"/>
      <w:marLeft w:val="0"/>
      <w:marRight w:val="0"/>
      <w:marTop w:val="0"/>
      <w:marBottom w:val="0"/>
      <w:divBdr>
        <w:top w:val="none" w:sz="0" w:space="0" w:color="auto"/>
        <w:left w:val="none" w:sz="0" w:space="0" w:color="auto"/>
        <w:bottom w:val="none" w:sz="0" w:space="0" w:color="auto"/>
        <w:right w:val="none" w:sz="0" w:space="0" w:color="auto"/>
      </w:divBdr>
    </w:div>
    <w:div w:id="591745080">
      <w:bodyDiv w:val="1"/>
      <w:marLeft w:val="0"/>
      <w:marRight w:val="0"/>
      <w:marTop w:val="0"/>
      <w:marBottom w:val="0"/>
      <w:divBdr>
        <w:top w:val="none" w:sz="0" w:space="0" w:color="auto"/>
        <w:left w:val="none" w:sz="0" w:space="0" w:color="auto"/>
        <w:bottom w:val="none" w:sz="0" w:space="0" w:color="auto"/>
        <w:right w:val="none" w:sz="0" w:space="0" w:color="auto"/>
      </w:divBdr>
    </w:div>
    <w:div w:id="627050395">
      <w:bodyDiv w:val="1"/>
      <w:marLeft w:val="0"/>
      <w:marRight w:val="0"/>
      <w:marTop w:val="0"/>
      <w:marBottom w:val="0"/>
      <w:divBdr>
        <w:top w:val="none" w:sz="0" w:space="0" w:color="auto"/>
        <w:left w:val="none" w:sz="0" w:space="0" w:color="auto"/>
        <w:bottom w:val="none" w:sz="0" w:space="0" w:color="auto"/>
        <w:right w:val="none" w:sz="0" w:space="0" w:color="auto"/>
      </w:divBdr>
    </w:div>
    <w:div w:id="636495894">
      <w:bodyDiv w:val="1"/>
      <w:marLeft w:val="0"/>
      <w:marRight w:val="0"/>
      <w:marTop w:val="0"/>
      <w:marBottom w:val="0"/>
      <w:divBdr>
        <w:top w:val="none" w:sz="0" w:space="0" w:color="auto"/>
        <w:left w:val="none" w:sz="0" w:space="0" w:color="auto"/>
        <w:bottom w:val="none" w:sz="0" w:space="0" w:color="auto"/>
        <w:right w:val="none" w:sz="0" w:space="0" w:color="auto"/>
      </w:divBdr>
    </w:div>
    <w:div w:id="645428361">
      <w:bodyDiv w:val="1"/>
      <w:marLeft w:val="0"/>
      <w:marRight w:val="0"/>
      <w:marTop w:val="0"/>
      <w:marBottom w:val="0"/>
      <w:divBdr>
        <w:top w:val="none" w:sz="0" w:space="0" w:color="auto"/>
        <w:left w:val="none" w:sz="0" w:space="0" w:color="auto"/>
        <w:bottom w:val="none" w:sz="0" w:space="0" w:color="auto"/>
        <w:right w:val="none" w:sz="0" w:space="0" w:color="auto"/>
      </w:divBdr>
    </w:div>
    <w:div w:id="667445267">
      <w:bodyDiv w:val="1"/>
      <w:marLeft w:val="0"/>
      <w:marRight w:val="0"/>
      <w:marTop w:val="0"/>
      <w:marBottom w:val="0"/>
      <w:divBdr>
        <w:top w:val="none" w:sz="0" w:space="0" w:color="auto"/>
        <w:left w:val="none" w:sz="0" w:space="0" w:color="auto"/>
        <w:bottom w:val="none" w:sz="0" w:space="0" w:color="auto"/>
        <w:right w:val="none" w:sz="0" w:space="0" w:color="auto"/>
      </w:divBdr>
    </w:div>
    <w:div w:id="676687608">
      <w:bodyDiv w:val="1"/>
      <w:marLeft w:val="0"/>
      <w:marRight w:val="0"/>
      <w:marTop w:val="0"/>
      <w:marBottom w:val="0"/>
      <w:divBdr>
        <w:top w:val="none" w:sz="0" w:space="0" w:color="auto"/>
        <w:left w:val="none" w:sz="0" w:space="0" w:color="auto"/>
        <w:bottom w:val="none" w:sz="0" w:space="0" w:color="auto"/>
        <w:right w:val="none" w:sz="0" w:space="0" w:color="auto"/>
      </w:divBdr>
    </w:div>
    <w:div w:id="719867876">
      <w:bodyDiv w:val="1"/>
      <w:marLeft w:val="0"/>
      <w:marRight w:val="0"/>
      <w:marTop w:val="0"/>
      <w:marBottom w:val="0"/>
      <w:divBdr>
        <w:top w:val="none" w:sz="0" w:space="0" w:color="auto"/>
        <w:left w:val="none" w:sz="0" w:space="0" w:color="auto"/>
        <w:bottom w:val="none" w:sz="0" w:space="0" w:color="auto"/>
        <w:right w:val="none" w:sz="0" w:space="0" w:color="auto"/>
      </w:divBdr>
    </w:div>
    <w:div w:id="741296534">
      <w:bodyDiv w:val="1"/>
      <w:marLeft w:val="0"/>
      <w:marRight w:val="0"/>
      <w:marTop w:val="0"/>
      <w:marBottom w:val="0"/>
      <w:divBdr>
        <w:top w:val="none" w:sz="0" w:space="0" w:color="auto"/>
        <w:left w:val="none" w:sz="0" w:space="0" w:color="auto"/>
        <w:bottom w:val="none" w:sz="0" w:space="0" w:color="auto"/>
        <w:right w:val="none" w:sz="0" w:space="0" w:color="auto"/>
      </w:divBdr>
    </w:div>
    <w:div w:id="801072643">
      <w:bodyDiv w:val="1"/>
      <w:marLeft w:val="0"/>
      <w:marRight w:val="0"/>
      <w:marTop w:val="0"/>
      <w:marBottom w:val="0"/>
      <w:divBdr>
        <w:top w:val="none" w:sz="0" w:space="0" w:color="auto"/>
        <w:left w:val="none" w:sz="0" w:space="0" w:color="auto"/>
        <w:bottom w:val="none" w:sz="0" w:space="0" w:color="auto"/>
        <w:right w:val="none" w:sz="0" w:space="0" w:color="auto"/>
      </w:divBdr>
    </w:div>
    <w:div w:id="860314503">
      <w:bodyDiv w:val="1"/>
      <w:marLeft w:val="0"/>
      <w:marRight w:val="0"/>
      <w:marTop w:val="0"/>
      <w:marBottom w:val="0"/>
      <w:divBdr>
        <w:top w:val="none" w:sz="0" w:space="0" w:color="auto"/>
        <w:left w:val="none" w:sz="0" w:space="0" w:color="auto"/>
        <w:bottom w:val="none" w:sz="0" w:space="0" w:color="auto"/>
        <w:right w:val="none" w:sz="0" w:space="0" w:color="auto"/>
      </w:divBdr>
    </w:div>
    <w:div w:id="900553185">
      <w:bodyDiv w:val="1"/>
      <w:marLeft w:val="0"/>
      <w:marRight w:val="0"/>
      <w:marTop w:val="0"/>
      <w:marBottom w:val="0"/>
      <w:divBdr>
        <w:top w:val="none" w:sz="0" w:space="0" w:color="auto"/>
        <w:left w:val="none" w:sz="0" w:space="0" w:color="auto"/>
        <w:bottom w:val="none" w:sz="0" w:space="0" w:color="auto"/>
        <w:right w:val="none" w:sz="0" w:space="0" w:color="auto"/>
      </w:divBdr>
    </w:div>
    <w:div w:id="903487889">
      <w:bodyDiv w:val="1"/>
      <w:marLeft w:val="0"/>
      <w:marRight w:val="0"/>
      <w:marTop w:val="0"/>
      <w:marBottom w:val="0"/>
      <w:divBdr>
        <w:top w:val="none" w:sz="0" w:space="0" w:color="auto"/>
        <w:left w:val="none" w:sz="0" w:space="0" w:color="auto"/>
        <w:bottom w:val="none" w:sz="0" w:space="0" w:color="auto"/>
        <w:right w:val="none" w:sz="0" w:space="0" w:color="auto"/>
      </w:divBdr>
    </w:div>
    <w:div w:id="937521830">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92949075">
      <w:bodyDiv w:val="1"/>
      <w:marLeft w:val="0"/>
      <w:marRight w:val="0"/>
      <w:marTop w:val="0"/>
      <w:marBottom w:val="0"/>
      <w:divBdr>
        <w:top w:val="none" w:sz="0" w:space="0" w:color="auto"/>
        <w:left w:val="none" w:sz="0" w:space="0" w:color="auto"/>
        <w:bottom w:val="none" w:sz="0" w:space="0" w:color="auto"/>
        <w:right w:val="none" w:sz="0" w:space="0" w:color="auto"/>
      </w:divBdr>
    </w:div>
    <w:div w:id="1018773054">
      <w:bodyDiv w:val="1"/>
      <w:marLeft w:val="0"/>
      <w:marRight w:val="0"/>
      <w:marTop w:val="0"/>
      <w:marBottom w:val="0"/>
      <w:divBdr>
        <w:top w:val="none" w:sz="0" w:space="0" w:color="auto"/>
        <w:left w:val="none" w:sz="0" w:space="0" w:color="auto"/>
        <w:bottom w:val="none" w:sz="0" w:space="0" w:color="auto"/>
        <w:right w:val="none" w:sz="0" w:space="0" w:color="auto"/>
      </w:divBdr>
    </w:div>
    <w:div w:id="1082676344">
      <w:bodyDiv w:val="1"/>
      <w:marLeft w:val="0"/>
      <w:marRight w:val="0"/>
      <w:marTop w:val="0"/>
      <w:marBottom w:val="0"/>
      <w:divBdr>
        <w:top w:val="none" w:sz="0" w:space="0" w:color="auto"/>
        <w:left w:val="none" w:sz="0" w:space="0" w:color="auto"/>
        <w:bottom w:val="none" w:sz="0" w:space="0" w:color="auto"/>
        <w:right w:val="none" w:sz="0" w:space="0" w:color="auto"/>
      </w:divBdr>
    </w:div>
    <w:div w:id="1084104632">
      <w:bodyDiv w:val="1"/>
      <w:marLeft w:val="0"/>
      <w:marRight w:val="0"/>
      <w:marTop w:val="0"/>
      <w:marBottom w:val="0"/>
      <w:divBdr>
        <w:top w:val="none" w:sz="0" w:space="0" w:color="auto"/>
        <w:left w:val="none" w:sz="0" w:space="0" w:color="auto"/>
        <w:bottom w:val="none" w:sz="0" w:space="0" w:color="auto"/>
        <w:right w:val="none" w:sz="0" w:space="0" w:color="auto"/>
      </w:divBdr>
    </w:div>
    <w:div w:id="1163618434">
      <w:bodyDiv w:val="1"/>
      <w:marLeft w:val="0"/>
      <w:marRight w:val="0"/>
      <w:marTop w:val="0"/>
      <w:marBottom w:val="0"/>
      <w:divBdr>
        <w:top w:val="none" w:sz="0" w:space="0" w:color="auto"/>
        <w:left w:val="none" w:sz="0" w:space="0" w:color="auto"/>
        <w:bottom w:val="none" w:sz="0" w:space="0" w:color="auto"/>
        <w:right w:val="none" w:sz="0" w:space="0" w:color="auto"/>
      </w:divBdr>
    </w:div>
    <w:div w:id="1234782244">
      <w:bodyDiv w:val="1"/>
      <w:marLeft w:val="0"/>
      <w:marRight w:val="0"/>
      <w:marTop w:val="0"/>
      <w:marBottom w:val="0"/>
      <w:divBdr>
        <w:top w:val="none" w:sz="0" w:space="0" w:color="auto"/>
        <w:left w:val="none" w:sz="0" w:space="0" w:color="auto"/>
        <w:bottom w:val="none" w:sz="0" w:space="0" w:color="auto"/>
        <w:right w:val="none" w:sz="0" w:space="0" w:color="auto"/>
      </w:divBdr>
    </w:div>
    <w:div w:id="1259602576">
      <w:bodyDiv w:val="1"/>
      <w:marLeft w:val="0"/>
      <w:marRight w:val="0"/>
      <w:marTop w:val="0"/>
      <w:marBottom w:val="0"/>
      <w:divBdr>
        <w:top w:val="none" w:sz="0" w:space="0" w:color="auto"/>
        <w:left w:val="none" w:sz="0" w:space="0" w:color="auto"/>
        <w:bottom w:val="none" w:sz="0" w:space="0" w:color="auto"/>
        <w:right w:val="none" w:sz="0" w:space="0" w:color="auto"/>
      </w:divBdr>
    </w:div>
    <w:div w:id="1272205887">
      <w:bodyDiv w:val="1"/>
      <w:marLeft w:val="0"/>
      <w:marRight w:val="0"/>
      <w:marTop w:val="0"/>
      <w:marBottom w:val="0"/>
      <w:divBdr>
        <w:top w:val="none" w:sz="0" w:space="0" w:color="auto"/>
        <w:left w:val="none" w:sz="0" w:space="0" w:color="auto"/>
        <w:bottom w:val="none" w:sz="0" w:space="0" w:color="auto"/>
        <w:right w:val="none" w:sz="0" w:space="0" w:color="auto"/>
      </w:divBdr>
    </w:div>
    <w:div w:id="1279920215">
      <w:bodyDiv w:val="1"/>
      <w:marLeft w:val="0"/>
      <w:marRight w:val="0"/>
      <w:marTop w:val="0"/>
      <w:marBottom w:val="0"/>
      <w:divBdr>
        <w:top w:val="none" w:sz="0" w:space="0" w:color="auto"/>
        <w:left w:val="none" w:sz="0" w:space="0" w:color="auto"/>
        <w:bottom w:val="none" w:sz="0" w:space="0" w:color="auto"/>
        <w:right w:val="none" w:sz="0" w:space="0" w:color="auto"/>
      </w:divBdr>
    </w:div>
    <w:div w:id="1359313333">
      <w:bodyDiv w:val="1"/>
      <w:marLeft w:val="0"/>
      <w:marRight w:val="0"/>
      <w:marTop w:val="0"/>
      <w:marBottom w:val="0"/>
      <w:divBdr>
        <w:top w:val="none" w:sz="0" w:space="0" w:color="auto"/>
        <w:left w:val="none" w:sz="0" w:space="0" w:color="auto"/>
        <w:bottom w:val="none" w:sz="0" w:space="0" w:color="auto"/>
        <w:right w:val="none" w:sz="0" w:space="0" w:color="auto"/>
      </w:divBdr>
    </w:div>
    <w:div w:id="1365862458">
      <w:bodyDiv w:val="1"/>
      <w:marLeft w:val="0"/>
      <w:marRight w:val="0"/>
      <w:marTop w:val="0"/>
      <w:marBottom w:val="0"/>
      <w:divBdr>
        <w:top w:val="none" w:sz="0" w:space="0" w:color="auto"/>
        <w:left w:val="none" w:sz="0" w:space="0" w:color="auto"/>
        <w:bottom w:val="none" w:sz="0" w:space="0" w:color="auto"/>
        <w:right w:val="none" w:sz="0" w:space="0" w:color="auto"/>
      </w:divBdr>
    </w:div>
    <w:div w:id="1419015280">
      <w:bodyDiv w:val="1"/>
      <w:marLeft w:val="0"/>
      <w:marRight w:val="0"/>
      <w:marTop w:val="0"/>
      <w:marBottom w:val="0"/>
      <w:divBdr>
        <w:top w:val="none" w:sz="0" w:space="0" w:color="auto"/>
        <w:left w:val="none" w:sz="0" w:space="0" w:color="auto"/>
        <w:bottom w:val="none" w:sz="0" w:space="0" w:color="auto"/>
        <w:right w:val="none" w:sz="0" w:space="0" w:color="auto"/>
      </w:divBdr>
    </w:div>
    <w:div w:id="1458182435">
      <w:bodyDiv w:val="1"/>
      <w:marLeft w:val="0"/>
      <w:marRight w:val="0"/>
      <w:marTop w:val="0"/>
      <w:marBottom w:val="0"/>
      <w:divBdr>
        <w:top w:val="none" w:sz="0" w:space="0" w:color="auto"/>
        <w:left w:val="none" w:sz="0" w:space="0" w:color="auto"/>
        <w:bottom w:val="none" w:sz="0" w:space="0" w:color="auto"/>
        <w:right w:val="none" w:sz="0" w:space="0" w:color="auto"/>
      </w:divBdr>
    </w:div>
    <w:div w:id="1524048740">
      <w:bodyDiv w:val="1"/>
      <w:marLeft w:val="0"/>
      <w:marRight w:val="0"/>
      <w:marTop w:val="0"/>
      <w:marBottom w:val="0"/>
      <w:divBdr>
        <w:top w:val="none" w:sz="0" w:space="0" w:color="auto"/>
        <w:left w:val="none" w:sz="0" w:space="0" w:color="auto"/>
        <w:bottom w:val="none" w:sz="0" w:space="0" w:color="auto"/>
        <w:right w:val="none" w:sz="0" w:space="0" w:color="auto"/>
      </w:divBdr>
    </w:div>
    <w:div w:id="1555971202">
      <w:bodyDiv w:val="1"/>
      <w:marLeft w:val="0"/>
      <w:marRight w:val="0"/>
      <w:marTop w:val="0"/>
      <w:marBottom w:val="0"/>
      <w:divBdr>
        <w:top w:val="none" w:sz="0" w:space="0" w:color="auto"/>
        <w:left w:val="none" w:sz="0" w:space="0" w:color="auto"/>
        <w:bottom w:val="none" w:sz="0" w:space="0" w:color="auto"/>
        <w:right w:val="none" w:sz="0" w:space="0" w:color="auto"/>
      </w:divBdr>
    </w:div>
    <w:div w:id="1695031713">
      <w:bodyDiv w:val="1"/>
      <w:marLeft w:val="0"/>
      <w:marRight w:val="0"/>
      <w:marTop w:val="0"/>
      <w:marBottom w:val="0"/>
      <w:divBdr>
        <w:top w:val="none" w:sz="0" w:space="0" w:color="auto"/>
        <w:left w:val="none" w:sz="0" w:space="0" w:color="auto"/>
        <w:bottom w:val="none" w:sz="0" w:space="0" w:color="auto"/>
        <w:right w:val="none" w:sz="0" w:space="0" w:color="auto"/>
      </w:divBdr>
    </w:div>
    <w:div w:id="1750347376">
      <w:bodyDiv w:val="1"/>
      <w:marLeft w:val="0"/>
      <w:marRight w:val="0"/>
      <w:marTop w:val="0"/>
      <w:marBottom w:val="0"/>
      <w:divBdr>
        <w:top w:val="none" w:sz="0" w:space="0" w:color="auto"/>
        <w:left w:val="none" w:sz="0" w:space="0" w:color="auto"/>
        <w:bottom w:val="none" w:sz="0" w:space="0" w:color="auto"/>
        <w:right w:val="none" w:sz="0" w:space="0" w:color="auto"/>
      </w:divBdr>
    </w:div>
    <w:div w:id="1761368853">
      <w:bodyDiv w:val="1"/>
      <w:marLeft w:val="0"/>
      <w:marRight w:val="0"/>
      <w:marTop w:val="0"/>
      <w:marBottom w:val="0"/>
      <w:divBdr>
        <w:top w:val="none" w:sz="0" w:space="0" w:color="auto"/>
        <w:left w:val="none" w:sz="0" w:space="0" w:color="auto"/>
        <w:bottom w:val="none" w:sz="0" w:space="0" w:color="auto"/>
        <w:right w:val="none" w:sz="0" w:space="0" w:color="auto"/>
      </w:divBdr>
    </w:div>
    <w:div w:id="1774746156">
      <w:bodyDiv w:val="1"/>
      <w:marLeft w:val="0"/>
      <w:marRight w:val="0"/>
      <w:marTop w:val="0"/>
      <w:marBottom w:val="0"/>
      <w:divBdr>
        <w:top w:val="none" w:sz="0" w:space="0" w:color="auto"/>
        <w:left w:val="none" w:sz="0" w:space="0" w:color="auto"/>
        <w:bottom w:val="none" w:sz="0" w:space="0" w:color="auto"/>
        <w:right w:val="none" w:sz="0" w:space="0" w:color="auto"/>
      </w:divBdr>
    </w:div>
    <w:div w:id="1785730739">
      <w:bodyDiv w:val="1"/>
      <w:marLeft w:val="0"/>
      <w:marRight w:val="0"/>
      <w:marTop w:val="0"/>
      <w:marBottom w:val="0"/>
      <w:divBdr>
        <w:top w:val="none" w:sz="0" w:space="0" w:color="auto"/>
        <w:left w:val="none" w:sz="0" w:space="0" w:color="auto"/>
        <w:bottom w:val="none" w:sz="0" w:space="0" w:color="auto"/>
        <w:right w:val="none" w:sz="0" w:space="0" w:color="auto"/>
      </w:divBdr>
    </w:div>
    <w:div w:id="1872960778">
      <w:bodyDiv w:val="1"/>
      <w:marLeft w:val="0"/>
      <w:marRight w:val="0"/>
      <w:marTop w:val="0"/>
      <w:marBottom w:val="0"/>
      <w:divBdr>
        <w:top w:val="none" w:sz="0" w:space="0" w:color="auto"/>
        <w:left w:val="none" w:sz="0" w:space="0" w:color="auto"/>
        <w:bottom w:val="none" w:sz="0" w:space="0" w:color="auto"/>
        <w:right w:val="none" w:sz="0" w:space="0" w:color="auto"/>
      </w:divBdr>
    </w:div>
    <w:div w:id="1901095018">
      <w:bodyDiv w:val="1"/>
      <w:marLeft w:val="0"/>
      <w:marRight w:val="0"/>
      <w:marTop w:val="0"/>
      <w:marBottom w:val="0"/>
      <w:divBdr>
        <w:top w:val="none" w:sz="0" w:space="0" w:color="auto"/>
        <w:left w:val="none" w:sz="0" w:space="0" w:color="auto"/>
        <w:bottom w:val="none" w:sz="0" w:space="0" w:color="auto"/>
        <w:right w:val="none" w:sz="0" w:space="0" w:color="auto"/>
      </w:divBdr>
    </w:div>
    <w:div w:id="1982691176">
      <w:bodyDiv w:val="1"/>
      <w:marLeft w:val="0"/>
      <w:marRight w:val="0"/>
      <w:marTop w:val="0"/>
      <w:marBottom w:val="0"/>
      <w:divBdr>
        <w:top w:val="none" w:sz="0" w:space="0" w:color="auto"/>
        <w:left w:val="none" w:sz="0" w:space="0" w:color="auto"/>
        <w:bottom w:val="none" w:sz="0" w:space="0" w:color="auto"/>
        <w:right w:val="none" w:sz="0" w:space="0" w:color="auto"/>
      </w:divBdr>
    </w:div>
    <w:div w:id="2007243846">
      <w:bodyDiv w:val="1"/>
      <w:marLeft w:val="0"/>
      <w:marRight w:val="0"/>
      <w:marTop w:val="0"/>
      <w:marBottom w:val="0"/>
      <w:divBdr>
        <w:top w:val="none" w:sz="0" w:space="0" w:color="auto"/>
        <w:left w:val="none" w:sz="0" w:space="0" w:color="auto"/>
        <w:bottom w:val="none" w:sz="0" w:space="0" w:color="auto"/>
        <w:right w:val="none" w:sz="0" w:space="0" w:color="auto"/>
      </w:divBdr>
    </w:div>
    <w:div w:id="2034070037">
      <w:bodyDiv w:val="1"/>
      <w:marLeft w:val="0"/>
      <w:marRight w:val="0"/>
      <w:marTop w:val="0"/>
      <w:marBottom w:val="0"/>
      <w:divBdr>
        <w:top w:val="none" w:sz="0" w:space="0" w:color="auto"/>
        <w:left w:val="none" w:sz="0" w:space="0" w:color="auto"/>
        <w:bottom w:val="none" w:sz="0" w:space="0" w:color="auto"/>
        <w:right w:val="none" w:sz="0" w:space="0" w:color="auto"/>
      </w:divBdr>
    </w:div>
    <w:div w:id="2039504490">
      <w:bodyDiv w:val="1"/>
      <w:marLeft w:val="0"/>
      <w:marRight w:val="0"/>
      <w:marTop w:val="0"/>
      <w:marBottom w:val="0"/>
      <w:divBdr>
        <w:top w:val="none" w:sz="0" w:space="0" w:color="auto"/>
        <w:left w:val="none" w:sz="0" w:space="0" w:color="auto"/>
        <w:bottom w:val="none" w:sz="0" w:space="0" w:color="auto"/>
        <w:right w:val="none" w:sz="0" w:space="0" w:color="auto"/>
      </w:divBdr>
    </w:div>
    <w:div w:id="20452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6D2D-E3EE-4292-AD7E-3A26B8A0022F}">
  <ds:schemaRefs>
    <ds:schemaRef ds:uri="http://schemas.microsoft.com/sharepoint/v3/contenttype/forms"/>
  </ds:schemaRefs>
</ds:datastoreItem>
</file>

<file path=customXml/itemProps2.xml><?xml version="1.0" encoding="utf-8"?>
<ds:datastoreItem xmlns:ds="http://schemas.openxmlformats.org/officeDocument/2006/customXml" ds:itemID="{D38B52D9-05C5-401F-9408-AED6596E0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167C8-2C01-4ECC-9A5D-5D9CA6877A28}">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schemas.microsoft.com/sharepoint/v3"/>
    <ds:schemaRef ds:uri="http://purl.org/dc/terms/"/>
  </ds:schemaRefs>
</ds:datastoreItem>
</file>

<file path=customXml/itemProps4.xml><?xml version="1.0" encoding="utf-8"?>
<ds:datastoreItem xmlns:ds="http://schemas.openxmlformats.org/officeDocument/2006/customXml" ds:itemID="{7E7BF6B6-8E20-414D-A604-117A0352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7EF34C02.dotm</Template>
  <TotalTime>3</TotalTime>
  <Pages>33</Pages>
  <Words>12851</Words>
  <Characters>67604</Characters>
  <Application>Microsoft Office Word</Application>
  <DocSecurity>0</DocSecurity>
  <Lines>563</Lines>
  <Paragraphs>160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Kontrolní závěr z kontrolní akce NKÚ č. 16/28 - Peněžní prostředky vynakládané vybranými nemocnicemi na úhradu nákladů z činnosti</vt:lpstr>
      <vt:lpstr/>
    </vt:vector>
  </TitlesOfParts>
  <Company>NKU</Company>
  <LinksUpToDate>false</LinksUpToDate>
  <CharactersWithSpaces>80295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17/19 - Peněžní prostředky vynakládané vybranými nemocnicemi na úhradu nákladů z činnosti</dc:title>
  <dc:subject>Kontrolní závěr z kontrolní akce NKÚ č. 17/19 - Peněžní prostředky vynakládané vybranými nemocnicemi na úhradu nákladů z činnosti</dc:subject>
  <dc:creator>Nejvyšší kontrolní úřad</dc:creator>
  <cp:keywords>kontrolní závěr;nemocnice</cp:keywords>
  <dc:description/>
  <cp:lastModifiedBy>KOKRDA Daniel</cp:lastModifiedBy>
  <cp:revision>4</cp:revision>
  <cp:lastPrinted>2018-08-16T12:06:00Z</cp:lastPrinted>
  <dcterms:created xsi:type="dcterms:W3CDTF">2018-08-16T12:05:00Z</dcterms:created>
  <dcterms:modified xsi:type="dcterms:W3CDTF">2018-08-16T12:07:00Z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184/16-NKU200/641/16</vt:lpwstr>
  </property>
  <property fmtid="{D5CDD505-2E9C-101B-9397-08002B2CF9AE}" pid="4" name="CJ_Spis_Pisemnost">
    <vt:lpwstr>CJ/SPIS/ROK</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22.9.2016</vt:lpwstr>
  </property>
  <property fmtid="{D5CDD505-2E9C-101B-9397-08002B2CF9AE}" pid="8" name="DisplayName_CisloObalky_PostaOdes">
    <vt:lpwstr>{DisplayName_CisloObalky_PostaOdes}</vt:lpwstr>
  </property>
  <property fmtid="{D5CDD505-2E9C-101B-9397-08002B2CF9AE}" pid="9" name="DisplayName_SpisovyUzel_PoziceZodpo_Pisemnost">
    <vt:lpwstr>200</vt:lpwstr>
  </property>
  <property fmtid="{D5CDD505-2E9C-101B-9397-08002B2CF9AE}" pid="10" name="DisplayName_UserPoriz_Pisemnost">
    <vt:lpwstr>Ivana Růžičková</vt:lpwstr>
  </property>
  <property fmtid="{D5CDD505-2E9C-101B-9397-08002B2CF9AE}" pid="11" name="EC_Pisemnost">
    <vt:lpwstr>16-13279/NKU</vt:lpwstr>
  </property>
  <property fmtid="{D5CDD505-2E9C-101B-9397-08002B2CF9AE}" pid="12" name="Key_BarCode_Pisemnost">
    <vt:lpwstr>*B000273530*</vt:lpwstr>
  </property>
  <property fmtid="{D5CDD505-2E9C-101B-9397-08002B2CF9AE}" pid="13" name="KRukam">
    <vt:lpwstr>{KRukam}</vt:lpwstr>
  </property>
  <property fmtid="{D5CDD505-2E9C-101B-9397-08002B2CF9AE}" pid="14" name="Odkaz">
    <vt:lpwstr>ODKAZ</vt:lpwstr>
  </property>
  <property fmtid="{D5CDD505-2E9C-101B-9397-08002B2CF9AE}" pid="15" name="Password_PisemnostTypZpristupneniInformaciZOSZ_Pisemnost">
    <vt:lpwstr>ZOSZ_Password</vt:lpwstr>
  </property>
  <property fmtid="{D5CDD505-2E9C-101B-9397-08002B2CF9AE}" pid="16" name="PocetListuDokumentu_Pisemnost">
    <vt:lpwstr>1</vt:lpwstr>
  </property>
  <property fmtid="{D5CDD505-2E9C-101B-9397-08002B2CF9AE}" pid="17" name="PocetListu_Pisemnost">
    <vt:lpwstr>1</vt:lpwstr>
  </property>
  <property fmtid="{D5CDD505-2E9C-101B-9397-08002B2CF9AE}" pid="18" name="PocetPriloh_Pisemnost">
    <vt:lpwstr>0</vt:lpwstr>
  </property>
  <property fmtid="{D5CDD505-2E9C-101B-9397-08002B2CF9AE}" pid="19" name="Podpis">
    <vt:lpwstr/>
  </property>
  <property fmtid="{D5CDD505-2E9C-101B-9397-08002B2CF9AE}" pid="20" name="SkartacniZnakLhuta_PisemnostZnak">
    <vt:lpwstr>?/?</vt:lpwstr>
  </property>
  <property fmtid="{D5CDD505-2E9C-101B-9397-08002B2CF9AE}" pid="21" name="SmlouvaCislo">
    <vt:lpwstr>ČÍSLO SMLOUVY</vt:lpwstr>
  </property>
  <property fmtid="{D5CDD505-2E9C-101B-9397-08002B2CF9AE}" pid="22" name="SZ_Spis_Pisemnost">
    <vt:lpwstr>184/16</vt:lpwstr>
  </property>
  <property fmtid="{D5CDD505-2E9C-101B-9397-08002B2CF9AE}" pid="23" name="TEST">
    <vt:lpwstr>testovací pole</vt:lpwstr>
  </property>
  <property fmtid="{D5CDD505-2E9C-101B-9397-08002B2CF9AE}" pid="24" name="TypPrilohy_Pisemnost">
    <vt:lpwstr>TYP PŘÍLOHY</vt:lpwstr>
  </property>
  <property fmtid="{D5CDD505-2E9C-101B-9397-08002B2CF9AE}" pid="25" name="UserName_PisemnostTypZpristupneniInformaciZOSZ_Pisemnost">
    <vt:lpwstr>ZOSZ_UserName</vt:lpwstr>
  </property>
  <property fmtid="{D5CDD505-2E9C-101B-9397-08002B2CF9AE}" pid="26" name="Vec_Pisemnost">
    <vt:lpwstr>KZ 16/04 - připomínkové řízení</vt:lpwstr>
  </property>
  <property fmtid="{D5CDD505-2E9C-101B-9397-08002B2CF9AE}" pid="27" name="Zkratka_SpisovyUzel_PoziceZodpo_Pisemnost">
    <vt:lpwstr>200</vt:lpwstr>
  </property>
  <property fmtid="{D5CDD505-2E9C-101B-9397-08002B2CF9AE}" pid="28" name="ContentTypeId">
    <vt:lpwstr>0x0101002F7A625AE9F5AB4A939F92BCAA7FEC02</vt:lpwstr>
  </property>
</Properties>
</file>